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46557B">
      <w:pPr>
        <w:adjustRightInd/>
        <w:spacing w:line="360" w:lineRule="auto"/>
        <w:jc w:val="both"/>
        <w:rPr>
          <w:rFonts w:hint="eastAsia" w:ascii="仿宋" w:hAnsi="仿宋" w:eastAsia="仿宋" w:cs="仿宋"/>
          <w:b/>
          <w:sz w:val="48"/>
          <w:szCs w:val="48"/>
          <w:highlight w:val="none"/>
        </w:rPr>
      </w:pPr>
    </w:p>
    <w:p w14:paraId="096DE960">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bCs/>
          <w:sz w:val="48"/>
          <w:szCs w:val="48"/>
          <w:highlight w:val="none"/>
          <w:lang w:eastAsia="zh-CN"/>
        </w:rPr>
        <w:t>天目未来谷-生态研学城工程</w:t>
      </w:r>
      <w:r>
        <w:rPr>
          <w:rFonts w:hint="eastAsia" w:ascii="仿宋" w:hAnsi="仿宋" w:eastAsia="仿宋" w:cs="仿宋"/>
          <w:b/>
          <w:bCs/>
          <w:sz w:val="48"/>
          <w:szCs w:val="48"/>
          <w:highlight w:val="none"/>
          <w:lang w:val="en-US" w:eastAsia="zh-CN"/>
        </w:rPr>
        <w:t>床垫</w:t>
      </w:r>
      <w:r>
        <w:rPr>
          <w:rFonts w:hint="eastAsia" w:ascii="仿宋" w:hAnsi="仿宋" w:eastAsia="仿宋" w:cs="仿宋"/>
          <w:b/>
          <w:bCs/>
          <w:sz w:val="48"/>
          <w:szCs w:val="48"/>
          <w:highlight w:val="none"/>
          <w:lang w:eastAsia="zh-CN"/>
        </w:rPr>
        <w:t>采购安装项目</w:t>
      </w:r>
      <w:r>
        <w:rPr>
          <w:rFonts w:hint="eastAsia" w:ascii="仿宋" w:hAnsi="仿宋" w:eastAsia="仿宋" w:cs="仿宋"/>
          <w:b/>
          <w:kern w:val="2"/>
          <w:sz w:val="44"/>
          <w:szCs w:val="44"/>
          <w:highlight w:val="none"/>
          <w:lang w:bidi="ar"/>
        </w:rPr>
        <w:t>（非政府采购）</w:t>
      </w:r>
    </w:p>
    <w:p w14:paraId="6EC666BC">
      <w:pPr>
        <w:adjustRightInd/>
        <w:spacing w:line="360" w:lineRule="auto"/>
        <w:jc w:val="both"/>
        <w:rPr>
          <w:rFonts w:hint="eastAsia" w:ascii="仿宋" w:hAnsi="仿宋" w:eastAsia="仿宋" w:cs="仿宋"/>
          <w:sz w:val="52"/>
          <w:szCs w:val="52"/>
          <w:highlight w:val="none"/>
          <w:lang w:eastAsia="zh-CN"/>
        </w:rPr>
      </w:pPr>
    </w:p>
    <w:p w14:paraId="4C50F130">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sz w:val="52"/>
          <w:szCs w:val="52"/>
          <w:highlight w:val="none"/>
          <w:lang w:eastAsia="zh-CN"/>
        </w:rPr>
        <w:t>公开</w:t>
      </w:r>
      <w:r>
        <w:rPr>
          <w:rFonts w:hint="eastAsia" w:ascii="仿宋" w:hAnsi="仿宋" w:eastAsia="仿宋" w:cs="仿宋"/>
          <w:sz w:val="52"/>
          <w:szCs w:val="52"/>
          <w:highlight w:val="none"/>
        </w:rPr>
        <w:t>招标</w:t>
      </w:r>
      <w:r>
        <w:rPr>
          <w:rFonts w:hint="eastAsia" w:ascii="仿宋" w:hAnsi="仿宋" w:eastAsia="仿宋" w:cs="仿宋"/>
          <w:sz w:val="52"/>
          <w:szCs w:val="52"/>
          <w:highlight w:val="none"/>
          <w:lang w:eastAsia="zh-CN"/>
        </w:rPr>
        <w:t>采购</w:t>
      </w:r>
      <w:r>
        <w:rPr>
          <w:rFonts w:hint="eastAsia" w:ascii="仿宋" w:hAnsi="仿宋" w:eastAsia="仿宋" w:cs="仿宋"/>
          <w:sz w:val="52"/>
          <w:szCs w:val="52"/>
          <w:highlight w:val="none"/>
        </w:rPr>
        <w:t>文件</w:t>
      </w:r>
      <w:r>
        <w:rPr>
          <w:rFonts w:hint="eastAsia" w:ascii="仿宋" w:hAnsi="仿宋" w:eastAsia="仿宋" w:cs="仿宋"/>
          <w:sz w:val="48"/>
          <w:szCs w:val="48"/>
          <w:highlight w:val="none"/>
        </w:rPr>
        <w:t xml:space="preserve"> </w:t>
      </w:r>
      <w:r>
        <w:rPr>
          <w:rFonts w:hint="eastAsia" w:ascii="仿宋" w:hAnsi="仿宋" w:eastAsia="仿宋" w:cs="仿宋"/>
          <w:b/>
          <w:sz w:val="44"/>
          <w:szCs w:val="44"/>
          <w:highlight w:val="none"/>
        </w:rPr>
        <w:t xml:space="preserve"> </w:t>
      </w:r>
    </w:p>
    <w:p w14:paraId="5B8C3E44">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（电子招投标）</w:t>
      </w:r>
    </w:p>
    <w:p w14:paraId="424279FB">
      <w:pPr>
        <w:snapToGrid w:val="0"/>
        <w:spacing w:line="360" w:lineRule="auto"/>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编号:（</w:t>
      </w:r>
      <w:r>
        <w:rPr>
          <w:rFonts w:hint="eastAsia" w:ascii="仿宋" w:hAnsi="仿宋" w:eastAsia="仿宋" w:cs="仿宋"/>
          <w:sz w:val="30"/>
          <w:szCs w:val="30"/>
          <w:highlight w:val="none"/>
          <w:lang w:eastAsia="zh-CN"/>
        </w:rPr>
        <w:t>ZJCTLA-GXTZ2025-</w:t>
      </w:r>
      <w:r>
        <w:rPr>
          <w:rFonts w:hint="eastAsia" w:ascii="仿宋" w:hAnsi="仿宋" w:eastAsia="仿宋" w:cs="仿宋"/>
          <w:sz w:val="30"/>
          <w:szCs w:val="30"/>
          <w:highlight w:val="none"/>
          <w:lang w:val="en-US" w:eastAsia="zh-CN"/>
        </w:rPr>
        <w:t>10</w:t>
      </w:r>
      <w:r>
        <w:rPr>
          <w:rFonts w:hint="eastAsia" w:ascii="仿宋" w:hAnsi="仿宋" w:eastAsia="仿宋" w:cs="仿宋"/>
          <w:sz w:val="30"/>
          <w:szCs w:val="30"/>
          <w:highlight w:val="none"/>
        </w:rPr>
        <w:t>）</w:t>
      </w:r>
    </w:p>
    <w:p w14:paraId="3F76EDD5">
      <w:pPr>
        <w:adjustRightInd/>
        <w:spacing w:line="360" w:lineRule="auto"/>
        <w:rPr>
          <w:rFonts w:hint="eastAsia" w:ascii="仿宋" w:hAnsi="仿宋" w:eastAsia="仿宋" w:cs="仿宋"/>
          <w:sz w:val="28"/>
          <w:szCs w:val="20"/>
          <w:highlight w:val="none"/>
        </w:rPr>
      </w:pPr>
    </w:p>
    <w:p w14:paraId="3FA87572">
      <w:pPr>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760F476C">
      <w:pPr>
        <w:spacing w:line="360" w:lineRule="auto"/>
        <w:jc w:val="center"/>
        <w:rPr>
          <w:rFonts w:hint="eastAsia" w:ascii="仿宋" w:hAnsi="仿宋" w:eastAsia="仿宋" w:cs="仿宋"/>
          <w:b/>
          <w:sz w:val="44"/>
          <w:szCs w:val="44"/>
          <w:highlight w:val="none"/>
        </w:rPr>
      </w:pPr>
    </w:p>
    <w:p w14:paraId="48753ABA">
      <w:pPr>
        <w:pStyle w:val="3"/>
        <w:ind w:left="0" w:leftChars="0" w:firstLine="0" w:firstLineChars="0"/>
        <w:rPr>
          <w:rFonts w:hint="eastAsia" w:ascii="仿宋" w:hAnsi="仿宋" w:eastAsia="仿宋" w:cs="仿宋"/>
          <w:sz w:val="24"/>
          <w:highlight w:val="none"/>
        </w:rPr>
      </w:pPr>
    </w:p>
    <w:p w14:paraId="5DB2A378">
      <w:pPr>
        <w:rPr>
          <w:rFonts w:hint="eastAsia" w:ascii="仿宋" w:hAnsi="仿宋" w:eastAsia="仿宋" w:cs="仿宋"/>
          <w:highlight w:val="none"/>
        </w:rPr>
      </w:pPr>
    </w:p>
    <w:p w14:paraId="42D60C3A">
      <w:pPr>
        <w:spacing w:line="360" w:lineRule="auto"/>
        <w:rPr>
          <w:rFonts w:hint="eastAsia" w:ascii="仿宋" w:hAnsi="仿宋" w:eastAsia="仿宋" w:cs="仿宋"/>
          <w:sz w:val="32"/>
          <w:szCs w:val="32"/>
          <w:highlight w:val="none"/>
        </w:rPr>
      </w:pPr>
    </w:p>
    <w:p w14:paraId="1719E4BE">
      <w:pPr>
        <w:snapToGrid w:val="0"/>
        <w:spacing w:line="360" w:lineRule="auto"/>
        <w:ind w:firstLine="640" w:firstLineChars="200"/>
        <w:jc w:val="both"/>
        <w:rPr>
          <w:rFonts w:hint="eastAsia" w:ascii="仿宋" w:hAnsi="仿宋" w:eastAsia="仿宋" w:cs="仿宋"/>
          <w:bCs/>
          <w:sz w:val="32"/>
          <w:szCs w:val="32"/>
          <w:highlight w:val="none"/>
          <w:lang w:val="en-US" w:eastAsia="zh-CN"/>
        </w:rPr>
      </w:pPr>
    </w:p>
    <w:p w14:paraId="1BE6CE7E">
      <w:pPr>
        <w:snapToGrid w:val="0"/>
        <w:spacing w:line="360" w:lineRule="auto"/>
        <w:ind w:firstLine="640" w:firstLineChars="200"/>
        <w:jc w:val="center"/>
        <w:rPr>
          <w:rFonts w:hint="eastAsia" w:ascii="仿宋" w:hAnsi="仿宋" w:eastAsia="仿宋" w:cs="仿宋"/>
          <w:bCs/>
          <w:sz w:val="32"/>
          <w:szCs w:val="32"/>
          <w:highlight w:val="none"/>
          <w:lang w:val="en-US" w:eastAsia="zh-CN"/>
        </w:rPr>
      </w:pPr>
      <w:r>
        <w:rPr>
          <w:rFonts w:hint="eastAsia" w:ascii="仿宋" w:hAnsi="仿宋" w:eastAsia="仿宋" w:cs="仿宋"/>
          <w:bCs/>
          <w:sz w:val="32"/>
          <w:szCs w:val="32"/>
          <w:highlight w:val="none"/>
          <w:lang w:val="en-US" w:eastAsia="zh-CN"/>
        </w:rPr>
        <w:t>采购单位：浙江国兴投资集团有限公司</w:t>
      </w:r>
    </w:p>
    <w:p w14:paraId="608CCF6D">
      <w:pPr>
        <w:snapToGrid w:val="0"/>
        <w:spacing w:line="360" w:lineRule="auto"/>
        <w:ind w:firstLine="640" w:firstLineChars="200"/>
        <w:jc w:val="center"/>
        <w:rPr>
          <w:rFonts w:hint="eastAsia" w:ascii="仿宋" w:hAnsi="仿宋" w:eastAsia="仿宋" w:cs="仿宋"/>
          <w:bCs/>
          <w:sz w:val="32"/>
          <w:szCs w:val="32"/>
          <w:highlight w:val="none"/>
          <w:lang w:val="en-US" w:eastAsia="zh-CN"/>
        </w:rPr>
      </w:pPr>
      <w:r>
        <w:rPr>
          <w:rFonts w:hint="eastAsia" w:ascii="仿宋" w:hAnsi="仿宋" w:eastAsia="仿宋" w:cs="仿宋"/>
          <w:bCs/>
          <w:sz w:val="32"/>
          <w:szCs w:val="32"/>
          <w:highlight w:val="none"/>
          <w:lang w:val="en-US" w:eastAsia="zh-CN"/>
        </w:rPr>
        <w:t>采购代理机构：浙江省成套工程有限公司</w:t>
      </w:r>
    </w:p>
    <w:p w14:paraId="30BD4B4E">
      <w:pPr>
        <w:snapToGrid w:val="0"/>
        <w:spacing w:line="360" w:lineRule="auto"/>
        <w:jc w:val="center"/>
        <w:rPr>
          <w:rFonts w:hint="eastAsia" w:ascii="仿宋" w:hAnsi="仿宋" w:eastAsia="仿宋" w:cs="仿宋"/>
          <w:sz w:val="24"/>
          <w:highlight w:val="none"/>
        </w:rPr>
      </w:pPr>
      <w:r>
        <w:rPr>
          <w:rFonts w:hint="eastAsia" w:ascii="仿宋" w:hAnsi="仿宋" w:eastAsia="仿宋" w:cs="仿宋"/>
          <w:bCs/>
          <w:sz w:val="32"/>
          <w:szCs w:val="32"/>
          <w:highlight w:val="none"/>
        </w:rPr>
        <w:t>二〇二</w:t>
      </w:r>
      <w:r>
        <w:rPr>
          <w:rFonts w:hint="eastAsia" w:ascii="仿宋" w:hAnsi="仿宋" w:eastAsia="仿宋" w:cs="仿宋"/>
          <w:bCs/>
          <w:sz w:val="32"/>
          <w:szCs w:val="32"/>
          <w:highlight w:val="none"/>
          <w:lang w:val="en-US" w:eastAsia="zh-CN"/>
        </w:rPr>
        <w:t>五</w:t>
      </w:r>
      <w:r>
        <w:rPr>
          <w:rFonts w:hint="eastAsia" w:ascii="仿宋" w:hAnsi="仿宋" w:eastAsia="仿宋" w:cs="仿宋"/>
          <w:bCs/>
          <w:sz w:val="32"/>
          <w:szCs w:val="32"/>
          <w:highlight w:val="none"/>
        </w:rPr>
        <w:t>年</w:t>
      </w:r>
      <w:r>
        <w:rPr>
          <w:rFonts w:hint="eastAsia" w:ascii="仿宋" w:hAnsi="仿宋" w:eastAsia="仿宋" w:cs="仿宋"/>
          <w:bCs/>
          <w:sz w:val="32"/>
          <w:szCs w:val="32"/>
          <w:highlight w:val="none"/>
          <w:lang w:val="en-US" w:eastAsia="zh-CN"/>
        </w:rPr>
        <w:t>四</w:t>
      </w:r>
      <w:r>
        <w:rPr>
          <w:rFonts w:hint="eastAsia" w:ascii="仿宋" w:hAnsi="仿宋" w:eastAsia="仿宋" w:cs="仿宋"/>
          <w:bCs/>
          <w:sz w:val="32"/>
          <w:szCs w:val="32"/>
          <w:highlight w:val="none"/>
        </w:rPr>
        <w:t>月</w:t>
      </w:r>
      <w:r>
        <w:rPr>
          <w:rFonts w:hint="eastAsia" w:ascii="仿宋" w:hAnsi="仿宋" w:eastAsia="仿宋" w:cs="仿宋"/>
          <w:sz w:val="24"/>
          <w:highlight w:val="none"/>
        </w:rPr>
        <w:br w:type="page"/>
      </w:r>
      <w:bookmarkStart w:id="0" w:name="_Hlt67893495"/>
      <w:bookmarkEnd w:id="0"/>
    </w:p>
    <w:p w14:paraId="6262C4E1">
      <w:pPr>
        <w:spacing w:line="360" w:lineRule="auto"/>
        <w:jc w:val="center"/>
        <w:rPr>
          <w:rFonts w:hint="eastAsia" w:ascii="仿宋" w:hAnsi="仿宋" w:eastAsia="仿宋" w:cs="仿宋"/>
          <w:sz w:val="24"/>
          <w:highlight w:val="none"/>
        </w:rPr>
      </w:pPr>
    </w:p>
    <w:p w14:paraId="31780550">
      <w:pPr>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目  录</w:t>
      </w:r>
    </w:p>
    <w:p w14:paraId="69B48504">
      <w:pPr>
        <w:spacing w:line="360" w:lineRule="auto"/>
        <w:rPr>
          <w:rFonts w:hint="eastAsia" w:ascii="仿宋" w:hAnsi="仿宋" w:eastAsia="仿宋" w:cs="仿宋"/>
          <w:sz w:val="32"/>
          <w:szCs w:val="32"/>
          <w:highlight w:val="none"/>
        </w:rPr>
      </w:pPr>
    </w:p>
    <w:p w14:paraId="78D985B7">
      <w:pPr>
        <w:spacing w:line="360" w:lineRule="auto"/>
        <w:rPr>
          <w:rFonts w:hint="eastAsia" w:ascii="仿宋" w:hAnsi="仿宋" w:eastAsia="仿宋" w:cs="仿宋"/>
          <w:sz w:val="32"/>
          <w:szCs w:val="32"/>
          <w:highlight w:val="none"/>
        </w:rPr>
      </w:pPr>
    </w:p>
    <w:p w14:paraId="139C40E5">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第一部分      </w:t>
      </w:r>
      <w:r>
        <w:rPr>
          <w:rFonts w:hint="eastAsia" w:ascii="仿宋" w:hAnsi="仿宋" w:eastAsia="仿宋" w:cs="仿宋"/>
          <w:sz w:val="32"/>
          <w:szCs w:val="32"/>
          <w:highlight w:val="none"/>
          <w:lang w:eastAsia="zh-CN"/>
        </w:rPr>
        <w:t>采购</w:t>
      </w:r>
      <w:r>
        <w:rPr>
          <w:rFonts w:hint="eastAsia" w:ascii="仿宋" w:hAnsi="仿宋" w:eastAsia="仿宋" w:cs="仿宋"/>
          <w:sz w:val="32"/>
          <w:szCs w:val="32"/>
          <w:highlight w:val="none"/>
        </w:rPr>
        <w:t>公告</w:t>
      </w:r>
    </w:p>
    <w:p w14:paraId="3C02399B">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第二部分      投标人须知</w:t>
      </w:r>
    </w:p>
    <w:p w14:paraId="4B94A242">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第三部分      采购需求</w:t>
      </w:r>
    </w:p>
    <w:p w14:paraId="07883BED">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第四部分      评标办法</w:t>
      </w:r>
    </w:p>
    <w:p w14:paraId="7FE0B379">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第五部分      拟签订的合同文本</w:t>
      </w:r>
    </w:p>
    <w:p w14:paraId="44AC380C">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第六部分      应提交的有关格式范例</w:t>
      </w:r>
    </w:p>
    <w:p w14:paraId="6BC84D69">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14:paraId="3EE416E7">
      <w:pPr>
        <w:spacing w:line="360" w:lineRule="auto"/>
        <w:ind w:firstLine="549" w:firstLineChars="229"/>
        <w:rPr>
          <w:rFonts w:hint="eastAsia" w:ascii="仿宋" w:hAnsi="仿宋" w:eastAsia="仿宋" w:cs="仿宋"/>
          <w:sz w:val="24"/>
          <w:highlight w:val="none"/>
        </w:rPr>
      </w:pPr>
    </w:p>
    <w:p w14:paraId="136D82ED">
      <w:pPr>
        <w:spacing w:line="360" w:lineRule="auto"/>
        <w:ind w:firstLine="549" w:firstLineChars="229"/>
        <w:rPr>
          <w:rFonts w:hint="eastAsia" w:ascii="仿宋" w:hAnsi="仿宋" w:eastAsia="仿宋" w:cs="仿宋"/>
          <w:sz w:val="24"/>
          <w:highlight w:val="none"/>
        </w:rPr>
      </w:pPr>
    </w:p>
    <w:p w14:paraId="2AD03EDF">
      <w:pPr>
        <w:spacing w:line="360" w:lineRule="auto"/>
        <w:ind w:firstLine="549" w:firstLineChars="229"/>
        <w:rPr>
          <w:rFonts w:hint="eastAsia" w:ascii="仿宋" w:hAnsi="仿宋" w:eastAsia="仿宋" w:cs="仿宋"/>
          <w:sz w:val="24"/>
          <w:highlight w:val="none"/>
        </w:rPr>
      </w:pPr>
    </w:p>
    <w:p w14:paraId="06742D82">
      <w:pPr>
        <w:spacing w:line="360" w:lineRule="auto"/>
        <w:ind w:firstLine="549" w:firstLineChars="229"/>
        <w:rPr>
          <w:rFonts w:hint="eastAsia" w:ascii="仿宋" w:hAnsi="仿宋" w:eastAsia="仿宋" w:cs="仿宋"/>
          <w:sz w:val="24"/>
          <w:highlight w:val="none"/>
        </w:rPr>
      </w:pPr>
    </w:p>
    <w:p w14:paraId="09A4F310">
      <w:pPr>
        <w:spacing w:line="360" w:lineRule="auto"/>
        <w:ind w:firstLine="549" w:firstLineChars="229"/>
        <w:rPr>
          <w:rFonts w:hint="eastAsia" w:ascii="仿宋" w:hAnsi="仿宋" w:eastAsia="仿宋" w:cs="仿宋"/>
          <w:sz w:val="24"/>
          <w:highlight w:val="none"/>
        </w:rPr>
      </w:pPr>
    </w:p>
    <w:p w14:paraId="41297C47">
      <w:pPr>
        <w:spacing w:line="360" w:lineRule="auto"/>
        <w:ind w:firstLine="549" w:firstLineChars="229"/>
        <w:rPr>
          <w:rFonts w:hint="eastAsia" w:ascii="仿宋" w:hAnsi="仿宋" w:eastAsia="仿宋" w:cs="仿宋"/>
          <w:sz w:val="24"/>
          <w:highlight w:val="none"/>
        </w:rPr>
      </w:pPr>
    </w:p>
    <w:p w14:paraId="562FC1CC">
      <w:pPr>
        <w:spacing w:line="360" w:lineRule="auto"/>
        <w:ind w:firstLine="549" w:firstLineChars="229"/>
        <w:rPr>
          <w:rFonts w:hint="eastAsia" w:ascii="仿宋" w:hAnsi="仿宋" w:eastAsia="仿宋" w:cs="仿宋"/>
          <w:sz w:val="24"/>
          <w:highlight w:val="none"/>
        </w:rPr>
      </w:pPr>
    </w:p>
    <w:p w14:paraId="2A1EBCA3">
      <w:pPr>
        <w:spacing w:line="360" w:lineRule="auto"/>
        <w:ind w:firstLine="549" w:firstLineChars="229"/>
        <w:rPr>
          <w:rFonts w:hint="eastAsia" w:ascii="仿宋" w:hAnsi="仿宋" w:eastAsia="仿宋" w:cs="仿宋"/>
          <w:sz w:val="24"/>
          <w:highlight w:val="none"/>
        </w:rPr>
      </w:pPr>
    </w:p>
    <w:p w14:paraId="7ECD12F7">
      <w:pPr>
        <w:spacing w:line="360" w:lineRule="auto"/>
        <w:ind w:firstLine="549" w:firstLineChars="229"/>
        <w:rPr>
          <w:rFonts w:hint="eastAsia" w:ascii="仿宋" w:hAnsi="仿宋" w:eastAsia="仿宋" w:cs="仿宋"/>
          <w:sz w:val="24"/>
          <w:highlight w:val="none"/>
        </w:rPr>
      </w:pPr>
    </w:p>
    <w:p w14:paraId="2A2B07C9">
      <w:pPr>
        <w:spacing w:line="360" w:lineRule="auto"/>
        <w:ind w:firstLine="549" w:firstLineChars="229"/>
        <w:rPr>
          <w:rFonts w:hint="eastAsia" w:ascii="仿宋" w:hAnsi="仿宋" w:eastAsia="仿宋" w:cs="仿宋"/>
          <w:sz w:val="24"/>
          <w:highlight w:val="none"/>
        </w:rPr>
      </w:pPr>
    </w:p>
    <w:p w14:paraId="25378D4C">
      <w:pPr>
        <w:spacing w:line="360" w:lineRule="auto"/>
        <w:ind w:firstLine="549" w:firstLineChars="229"/>
        <w:rPr>
          <w:rFonts w:hint="eastAsia" w:ascii="仿宋" w:hAnsi="仿宋" w:eastAsia="仿宋" w:cs="仿宋"/>
          <w:sz w:val="24"/>
          <w:highlight w:val="none"/>
        </w:rPr>
      </w:pPr>
    </w:p>
    <w:p w14:paraId="42806B33">
      <w:pPr>
        <w:spacing w:line="360" w:lineRule="auto"/>
        <w:ind w:firstLine="549" w:firstLineChars="229"/>
        <w:rPr>
          <w:rFonts w:hint="eastAsia" w:ascii="仿宋" w:hAnsi="仿宋" w:eastAsia="仿宋" w:cs="仿宋"/>
          <w:sz w:val="24"/>
          <w:highlight w:val="none"/>
        </w:rPr>
      </w:pPr>
    </w:p>
    <w:p w14:paraId="2BFE9615">
      <w:pPr>
        <w:spacing w:line="360" w:lineRule="auto"/>
        <w:rPr>
          <w:rFonts w:hint="eastAsia" w:ascii="仿宋" w:hAnsi="仿宋" w:eastAsia="仿宋" w:cs="仿宋"/>
          <w:sz w:val="24"/>
          <w:highlight w:val="none"/>
        </w:rPr>
      </w:pPr>
    </w:p>
    <w:p w14:paraId="7D87F9FF">
      <w:pPr>
        <w:adjustRightInd/>
        <w:spacing w:line="360" w:lineRule="auto"/>
        <w:jc w:val="center"/>
        <w:outlineLvl w:val="0"/>
        <w:rPr>
          <w:rFonts w:hint="eastAsia" w:ascii="仿宋" w:hAnsi="仿宋" w:eastAsia="仿宋" w:cs="仿宋"/>
          <w:b/>
          <w:sz w:val="36"/>
          <w:szCs w:val="20"/>
          <w:highlight w:val="none"/>
        </w:rPr>
      </w:pPr>
      <w:bookmarkStart w:id="3" w:name="第一部分"/>
      <w:r>
        <w:rPr>
          <w:rFonts w:hint="eastAsia" w:ascii="仿宋" w:hAnsi="仿宋" w:eastAsia="仿宋" w:cs="仿宋"/>
          <w:b/>
          <w:sz w:val="36"/>
          <w:szCs w:val="36"/>
          <w:highlight w:val="none"/>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仿宋" w:hAnsi="仿宋" w:eastAsia="仿宋" w:cs="仿宋"/>
          <w:b/>
          <w:sz w:val="36"/>
          <w:szCs w:val="20"/>
          <w:highlight w:val="none"/>
        </w:rPr>
        <w:t xml:space="preserve">第一部分 </w:t>
      </w:r>
      <w:r>
        <w:rPr>
          <w:rFonts w:hint="eastAsia" w:ascii="仿宋" w:hAnsi="仿宋" w:eastAsia="仿宋" w:cs="仿宋"/>
          <w:b/>
          <w:sz w:val="36"/>
          <w:szCs w:val="20"/>
          <w:highlight w:val="none"/>
          <w:lang w:eastAsia="zh-CN"/>
        </w:rPr>
        <w:t>采购</w:t>
      </w:r>
      <w:r>
        <w:rPr>
          <w:rFonts w:hint="eastAsia" w:ascii="仿宋" w:hAnsi="仿宋" w:eastAsia="仿宋" w:cs="仿宋"/>
          <w:b/>
          <w:sz w:val="36"/>
          <w:szCs w:val="20"/>
          <w:highlight w:val="none"/>
        </w:rPr>
        <w:t>公告</w:t>
      </w:r>
    </w:p>
    <w:p w14:paraId="0CF59F4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14:paraId="419A416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lang w:eastAsia="zh-CN"/>
        </w:rPr>
        <w:t>天目未来谷-生态研学城工程床垫采购安装项目</w:t>
      </w:r>
      <w:r>
        <w:rPr>
          <w:rFonts w:hint="eastAsia" w:ascii="仿宋" w:hAnsi="仿宋" w:eastAsia="仿宋" w:cs="仿宋"/>
          <w:sz w:val="24"/>
          <w:highlight w:val="none"/>
        </w:rPr>
        <w:t>招标项目的潜在投标人应在</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"https://www.zcygov.cn/）获取（下载）招标文件，并于2021年" </w:instrText>
      </w:r>
      <w:r>
        <w:rPr>
          <w:rFonts w:hint="eastAsia" w:ascii="仿宋" w:hAnsi="仿宋" w:eastAsia="仿宋" w:cs="仿宋"/>
          <w:highlight w:val="none"/>
        </w:rPr>
        <w:fldChar w:fldCharType="separate"/>
      </w:r>
      <w:r>
        <w:rPr>
          <w:rFonts w:hint="eastAsia" w:ascii="宋体" w:hAnsi="宋体" w:cs="宋体"/>
          <w:sz w:val="24"/>
          <w:highlight w:val="none"/>
          <w:u w:val="single"/>
        </w:rPr>
        <w:fldChar w:fldCharType="begin"/>
      </w:r>
      <w:r>
        <w:rPr>
          <w:rFonts w:hint="eastAsia" w:ascii="宋体" w:hAnsi="宋体" w:cs="宋体"/>
          <w:sz w:val="24"/>
          <w:highlight w:val="none"/>
          <w:u w:val="single"/>
        </w:rPr>
        <w:instrText xml:space="preserve"> HYPERLINK "https://www.lecaiyun.com/" </w:instrText>
      </w:r>
      <w:r>
        <w:rPr>
          <w:rFonts w:hint="eastAsia" w:ascii="宋体" w:hAnsi="宋体" w:cs="宋体"/>
          <w:sz w:val="24"/>
          <w:highlight w:val="none"/>
          <w:u w:val="single"/>
        </w:rPr>
        <w:fldChar w:fldCharType="separate"/>
      </w:r>
      <w:r>
        <w:rPr>
          <w:rFonts w:hint="eastAsia" w:ascii="宋体" w:hAnsi="宋体" w:cs="宋体"/>
          <w:sz w:val="24"/>
          <w:highlight w:val="none"/>
          <w:u w:val="single"/>
        </w:rPr>
        <w:t>https://www.lecaiyun.com/</w:t>
      </w:r>
      <w:r>
        <w:rPr>
          <w:rFonts w:hint="eastAsia" w:ascii="宋体" w:hAnsi="宋体" w:cs="宋体"/>
          <w:sz w:val="24"/>
          <w:highlight w:val="none"/>
          <w:u w:val="single"/>
        </w:rPr>
        <w:fldChar w:fldCharType="end"/>
      </w:r>
      <w:r>
        <w:rPr>
          <w:rStyle w:val="77"/>
          <w:rFonts w:hint="eastAsia" w:ascii="仿宋" w:hAnsi="仿宋" w:eastAsia="仿宋" w:cs="仿宋"/>
          <w:snapToGrid/>
          <w:color w:val="auto"/>
          <w:kern w:val="2"/>
          <w:sz w:val="24"/>
          <w:szCs w:val="24"/>
          <w:highlight w:val="none"/>
        </w:rPr>
        <w:t>）获取（下载）公开招标采购文件，并于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递交（上传）投标文件。</w:t>
      </w:r>
    </w:p>
    <w:p w14:paraId="3F10AD24">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19750E9A">
      <w:pPr>
        <w:spacing w:line="360" w:lineRule="auto"/>
        <w:rPr>
          <w:rFonts w:hint="default" w:ascii="仿宋" w:hAnsi="仿宋" w:eastAsia="仿宋" w:cs="仿宋"/>
          <w:b w:val="0"/>
          <w:bCs/>
          <w:sz w:val="24"/>
          <w:highlight w:val="none"/>
          <w:lang w:val="en-US"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项目编号：</w:t>
      </w:r>
      <w:r>
        <w:rPr>
          <w:rFonts w:hint="eastAsia" w:ascii="仿宋" w:hAnsi="仿宋" w:eastAsia="仿宋" w:cs="仿宋"/>
          <w:b w:val="0"/>
          <w:bCs/>
          <w:sz w:val="24"/>
          <w:highlight w:val="none"/>
          <w:lang w:eastAsia="zh-CN"/>
        </w:rPr>
        <w:t>ZJCTLA-GXTZ2025-</w:t>
      </w:r>
      <w:r>
        <w:rPr>
          <w:rFonts w:hint="eastAsia" w:ascii="仿宋" w:hAnsi="仿宋" w:eastAsia="仿宋" w:cs="仿宋"/>
          <w:b w:val="0"/>
          <w:bCs/>
          <w:sz w:val="24"/>
          <w:highlight w:val="none"/>
          <w:lang w:val="en-US" w:eastAsia="zh-CN"/>
        </w:rPr>
        <w:t>10</w:t>
      </w:r>
    </w:p>
    <w:p w14:paraId="47D82EFF">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项目名称：</w:t>
      </w:r>
      <w:r>
        <w:rPr>
          <w:rFonts w:hint="eastAsia" w:ascii="仿宋" w:hAnsi="仿宋" w:eastAsia="仿宋" w:cs="仿宋"/>
          <w:b w:val="0"/>
          <w:bCs/>
          <w:sz w:val="24"/>
          <w:highlight w:val="none"/>
          <w:lang w:eastAsia="zh-CN"/>
        </w:rPr>
        <w:t>天目未来谷-生态研学城工程床垫采购安装项目</w:t>
      </w:r>
    </w:p>
    <w:p w14:paraId="3EACDAFB">
      <w:pPr>
        <w:spacing w:line="360" w:lineRule="auto"/>
        <w:rPr>
          <w:rFonts w:hint="default" w:ascii="仿宋" w:hAnsi="仿宋" w:eastAsia="仿宋" w:cs="仿宋"/>
          <w:b/>
          <w:color w:val="auto"/>
          <w:sz w:val="24"/>
          <w:highlight w:val="none"/>
          <w:lang w:val="en-US"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w:t>
      </w:r>
      <w:r>
        <w:rPr>
          <w:rFonts w:hint="eastAsia" w:ascii="仿宋" w:hAnsi="仿宋" w:eastAsia="仿宋" w:cs="仿宋"/>
          <w:b/>
          <w:color w:val="auto"/>
          <w:sz w:val="24"/>
          <w:highlight w:val="none"/>
        </w:rPr>
        <w:t>预算金额（元）：</w:t>
      </w:r>
      <w:r>
        <w:rPr>
          <w:rFonts w:hint="eastAsia" w:ascii="仿宋" w:hAnsi="仿宋" w:eastAsia="仿宋" w:cs="仿宋"/>
          <w:b w:val="0"/>
          <w:bCs/>
          <w:sz w:val="24"/>
          <w:highlight w:val="none"/>
          <w:lang w:val="en-US" w:eastAsia="zh-CN"/>
        </w:rPr>
        <w:t>778150</w:t>
      </w:r>
    </w:p>
    <w:p w14:paraId="6D0F03DE">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sz w:val="24"/>
          <w:highlight w:val="none"/>
          <w:lang w:val="en-US" w:eastAsia="zh-CN"/>
        </w:rPr>
        <w:t>778150</w:t>
      </w:r>
    </w:p>
    <w:p w14:paraId="54A2D709">
      <w:pPr>
        <w:pStyle w:val="16"/>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lang w:val="en-US" w:eastAsia="zh-CN"/>
        </w:rPr>
        <w:t>本次采购内容天目未来谷-生态研学城工程床垫采购安装项目</w:t>
      </w:r>
      <w:r>
        <w:rPr>
          <w:rFonts w:hint="eastAsia" w:ascii="仿宋" w:hAnsi="仿宋" w:eastAsia="仿宋" w:cs="仿宋"/>
          <w:bCs/>
          <w:snapToGrid/>
          <w:color w:val="auto"/>
          <w:kern w:val="2"/>
          <w:sz w:val="24"/>
          <w:szCs w:val="24"/>
          <w:highlight w:val="none"/>
        </w:rPr>
        <w:t>。详见</w:t>
      </w:r>
      <w:r>
        <w:rPr>
          <w:rFonts w:hint="eastAsia" w:ascii="仿宋" w:hAnsi="仿宋" w:eastAsia="仿宋" w:cs="仿宋"/>
          <w:bCs/>
          <w:snapToGrid/>
          <w:color w:val="auto"/>
          <w:kern w:val="2"/>
          <w:sz w:val="24"/>
          <w:szCs w:val="24"/>
          <w:highlight w:val="none"/>
          <w:lang w:eastAsia="zh-CN"/>
        </w:rPr>
        <w:t>公开</w:t>
      </w:r>
      <w:r>
        <w:rPr>
          <w:rFonts w:hint="eastAsia" w:ascii="仿宋" w:hAnsi="仿宋" w:eastAsia="仿宋" w:cs="仿宋"/>
          <w:bCs/>
          <w:snapToGrid/>
          <w:color w:val="auto"/>
          <w:kern w:val="2"/>
          <w:sz w:val="24"/>
          <w:szCs w:val="24"/>
          <w:highlight w:val="none"/>
        </w:rPr>
        <w:t>招标</w:t>
      </w:r>
      <w:r>
        <w:rPr>
          <w:rFonts w:hint="eastAsia" w:ascii="仿宋" w:hAnsi="仿宋" w:eastAsia="仿宋" w:cs="仿宋"/>
          <w:bCs/>
          <w:snapToGrid/>
          <w:color w:val="auto"/>
          <w:kern w:val="2"/>
          <w:sz w:val="24"/>
          <w:szCs w:val="24"/>
          <w:highlight w:val="none"/>
          <w:lang w:eastAsia="zh-CN"/>
        </w:rPr>
        <w:t>采购</w:t>
      </w:r>
      <w:r>
        <w:rPr>
          <w:rFonts w:hint="eastAsia" w:ascii="仿宋" w:hAnsi="仿宋" w:eastAsia="仿宋" w:cs="仿宋"/>
          <w:bCs/>
          <w:snapToGrid/>
          <w:color w:val="auto"/>
          <w:kern w:val="2"/>
          <w:sz w:val="24"/>
          <w:szCs w:val="24"/>
          <w:highlight w:val="none"/>
        </w:rPr>
        <w:t>文件第三部分采购需求。</w:t>
      </w:r>
    </w:p>
    <w:p w14:paraId="5BA1DD02">
      <w:pPr>
        <w:pStyle w:val="16"/>
        <w:spacing w:line="360" w:lineRule="auto"/>
        <w:ind w:firstLine="480"/>
        <w:rPr>
          <w:rFonts w:hint="eastAsia" w:ascii="仿宋" w:hAnsi="仿宋" w:eastAsia="仿宋" w:cs="仿宋"/>
          <w:b w:val="0"/>
          <w:bCs/>
          <w:snapToGrid/>
          <w:color w:val="auto"/>
          <w:kern w:val="2"/>
          <w:sz w:val="24"/>
          <w:szCs w:val="24"/>
          <w:highlight w:val="none"/>
          <w:lang w:val="en-US" w:eastAsia="zh-CN"/>
        </w:rPr>
      </w:pPr>
      <w:r>
        <w:rPr>
          <w:rFonts w:hint="eastAsia" w:ascii="仿宋" w:hAnsi="仿宋" w:eastAsia="仿宋" w:cs="仿宋"/>
          <w:b/>
          <w:color w:val="auto"/>
          <w:sz w:val="24"/>
          <w:highlight w:val="none"/>
        </w:rPr>
        <w:t>合同履约期限：</w:t>
      </w:r>
      <w:r>
        <w:rPr>
          <w:rFonts w:hint="eastAsia" w:ascii="仿宋" w:hAnsi="仿宋" w:eastAsia="仿宋" w:cs="仿宋"/>
          <w:b w:val="0"/>
          <w:bCs/>
          <w:snapToGrid/>
          <w:color w:val="auto"/>
          <w:kern w:val="2"/>
          <w:sz w:val="24"/>
          <w:szCs w:val="24"/>
          <w:highlight w:val="none"/>
          <w:lang w:val="en-US" w:eastAsia="zh-CN"/>
        </w:rPr>
        <w:t>中标通知书发出日起5天内完成床垫确认，25天内完成生产、安装、调试。</w:t>
      </w:r>
    </w:p>
    <w:p w14:paraId="5657AF20">
      <w:pPr>
        <w:pStyle w:val="16"/>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w:t>
      </w:r>
      <w:r>
        <w:rPr>
          <w:rFonts w:hint="eastAsia" w:ascii="仿宋" w:hAnsi="仿宋" w:eastAsia="仿宋" w:cs="仿宋"/>
          <w:b/>
          <w:color w:val="auto"/>
          <w:sz w:val="24"/>
          <w:highlight w:val="none"/>
          <w:lang w:eastAsia="zh-CN"/>
        </w:rPr>
        <w:t>不</w:t>
      </w:r>
      <w:r>
        <w:rPr>
          <w:rFonts w:hint="eastAsia" w:ascii="仿宋" w:hAnsi="仿宋" w:eastAsia="仿宋" w:cs="仿宋"/>
          <w:b/>
          <w:color w:val="auto"/>
          <w:sz w:val="24"/>
          <w:highlight w:val="none"/>
        </w:rPr>
        <w:t>接受联合体投标</w:t>
      </w:r>
      <w:r>
        <w:rPr>
          <w:rFonts w:hint="eastAsia" w:ascii="仿宋" w:hAnsi="仿宋" w:eastAsia="仿宋" w:cs="仿宋"/>
          <w:color w:val="auto"/>
          <w:kern w:val="0"/>
          <w:sz w:val="24"/>
          <w:highlight w:val="none"/>
        </w:rPr>
        <w:t>。</w:t>
      </w:r>
    </w:p>
    <w:p w14:paraId="05BD28E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二、</w:t>
      </w:r>
      <w:bookmarkStart w:id="11" w:name="_Hlk101132948"/>
      <w:r>
        <w:rPr>
          <w:rFonts w:hint="eastAsia" w:ascii="仿宋" w:hAnsi="仿宋" w:eastAsia="仿宋" w:cs="仿宋"/>
          <w:b/>
          <w:sz w:val="24"/>
          <w:highlight w:val="none"/>
        </w:rPr>
        <w:t>申请人的资格要求</w:t>
      </w:r>
      <w:bookmarkEnd w:id="11"/>
      <w:r>
        <w:rPr>
          <w:rFonts w:hint="eastAsia" w:ascii="仿宋" w:hAnsi="仿宋" w:eastAsia="仿宋" w:cs="仿宋"/>
          <w:b/>
          <w:sz w:val="24"/>
          <w:highlight w:val="none"/>
        </w:rPr>
        <w:t>：</w:t>
      </w:r>
    </w:p>
    <w:p w14:paraId="0869C0B9">
      <w:pPr>
        <w:spacing w:line="360" w:lineRule="auto"/>
        <w:ind w:firstLine="48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未被“信用中国”（www.creditchina.gov.cn)、中国政府采购网（www.ccgp.gov.cn）列入失信被执行人、重大税收违法案件当事人名单、政府采购严重违法失信行为记录名单；</w:t>
      </w:r>
    </w:p>
    <w:p w14:paraId="516B0B0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napToGrid w:val="0"/>
          <w:kern w:val="28"/>
          <w:sz w:val="24"/>
          <w:szCs w:val="20"/>
          <w:highlight w:val="none"/>
          <w:lang w:val="en-US" w:eastAsia="zh-CN"/>
        </w:rPr>
        <w:t>2</w:t>
      </w:r>
      <w:r>
        <w:rPr>
          <w:rFonts w:hint="eastAsia" w:ascii="仿宋" w:hAnsi="仿宋" w:eastAsia="仿宋" w:cs="仿宋"/>
          <w:sz w:val="24"/>
          <w:highlight w:val="none"/>
        </w:rPr>
        <w:t>.本项目的特定资格要求：</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041EDFD6">
      <w:pPr>
        <w:spacing w:line="360" w:lineRule="auto"/>
        <w:ind w:firstLine="480"/>
        <w:rPr>
          <w:rFonts w:hint="eastAsia" w:ascii="仿宋" w:hAnsi="仿宋" w:eastAsia="仿宋" w:cs="仿宋"/>
          <w:snapToGrid w:val="0"/>
          <w:kern w:val="28"/>
          <w:sz w:val="24"/>
          <w:szCs w:val="20"/>
          <w:highlight w:val="none"/>
          <w:lang w:eastAsia="zh-CN"/>
        </w:rPr>
      </w:pPr>
      <w:r>
        <w:rPr>
          <w:rFonts w:hint="eastAsia" w:ascii="仿宋" w:hAnsi="仿宋" w:eastAsia="仿宋" w:cs="仿宋"/>
          <w:snapToGrid w:val="0"/>
          <w:kern w:val="28"/>
          <w:sz w:val="24"/>
          <w:szCs w:val="20"/>
          <w:highlight w:val="none"/>
          <w:lang w:val="en-US" w:eastAsia="zh-CN"/>
        </w:rPr>
        <w:t>（2）</w:t>
      </w:r>
      <w:r>
        <w:rPr>
          <w:rFonts w:hint="eastAsia" w:ascii="仿宋" w:hAnsi="仿宋" w:eastAsia="仿宋" w:cs="仿宋"/>
          <w:snapToGrid w:val="0"/>
          <w:kern w:val="28"/>
          <w:sz w:val="24"/>
          <w:szCs w:val="20"/>
          <w:highlight w:val="none"/>
        </w:rPr>
        <w:t>投标人</w:t>
      </w:r>
      <w:r>
        <w:rPr>
          <w:rFonts w:hint="eastAsia" w:ascii="仿宋" w:hAnsi="仿宋" w:eastAsia="仿宋" w:cs="仿宋"/>
          <w:snapToGrid w:val="0"/>
          <w:kern w:val="28"/>
          <w:sz w:val="24"/>
          <w:szCs w:val="20"/>
          <w:highlight w:val="none"/>
          <w:lang w:eastAsia="zh-CN"/>
        </w:rPr>
        <w:t>自</w:t>
      </w:r>
      <w:r>
        <w:rPr>
          <w:rFonts w:hint="eastAsia" w:ascii="仿宋" w:hAnsi="仿宋" w:eastAsia="仿宋" w:cs="仿宋"/>
          <w:snapToGrid w:val="0"/>
          <w:kern w:val="28"/>
          <w:sz w:val="24"/>
          <w:szCs w:val="20"/>
          <w:highlight w:val="none"/>
        </w:rPr>
        <w:t>2022年1月1日以来（以合同签订时间为准）</w:t>
      </w:r>
      <w:r>
        <w:rPr>
          <w:rFonts w:hint="eastAsia" w:ascii="仿宋" w:hAnsi="仿宋" w:eastAsia="仿宋" w:cs="仿宋"/>
          <w:snapToGrid w:val="0"/>
          <w:kern w:val="28"/>
          <w:sz w:val="24"/>
          <w:szCs w:val="20"/>
          <w:highlight w:val="none"/>
          <w:lang w:eastAsia="zh-CN"/>
        </w:rPr>
        <w:t>具有</w:t>
      </w:r>
      <w:r>
        <w:rPr>
          <w:rFonts w:hint="eastAsia" w:ascii="仿宋" w:hAnsi="仿宋" w:eastAsia="仿宋" w:cs="仿宋"/>
          <w:snapToGrid w:val="0"/>
          <w:kern w:val="28"/>
          <w:sz w:val="24"/>
          <w:szCs w:val="20"/>
          <w:highlight w:val="none"/>
          <w:lang w:val="en-US" w:eastAsia="zh-CN"/>
        </w:rPr>
        <w:t>一个合同金额50万元及以上类似</w:t>
      </w:r>
      <w:r>
        <w:rPr>
          <w:rFonts w:hint="eastAsia" w:ascii="仿宋" w:hAnsi="仿宋" w:eastAsia="仿宋" w:cs="仿宋"/>
          <w:snapToGrid w:val="0"/>
          <w:kern w:val="28"/>
          <w:sz w:val="24"/>
          <w:szCs w:val="20"/>
          <w:highlight w:val="none"/>
          <w:lang w:eastAsia="zh-CN"/>
        </w:rPr>
        <w:t>业绩的。</w:t>
      </w:r>
    </w:p>
    <w:p w14:paraId="614EE8C9">
      <w:pPr>
        <w:spacing w:line="360" w:lineRule="auto"/>
        <w:ind w:firstLine="480" w:firstLineChars="20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注：提供合同关键页、合同金额60%以上的发票复印件、银行进账回单证明材料（包括但不限于合同标的、签订时间、双方签章页、发票复印件、银行进账回单）扫描件并加盖投标人公章。</w:t>
      </w:r>
      <w:r>
        <w:rPr>
          <w:rFonts w:hint="eastAsia" w:ascii="仿宋" w:hAnsi="仿宋" w:eastAsia="仿宋" w:cs="仿宋"/>
          <w:snapToGrid w:val="0"/>
          <w:kern w:val="28"/>
          <w:sz w:val="24"/>
          <w:szCs w:val="20"/>
          <w:highlight w:val="none"/>
        </w:rPr>
        <w:br w:type="textWrapping"/>
      </w:r>
      <w:r>
        <w:rPr>
          <w:rFonts w:hint="eastAsia" w:ascii="仿宋" w:hAnsi="仿宋" w:eastAsia="仿宋" w:cs="仿宋"/>
          <w:snapToGrid w:val="0"/>
          <w:kern w:val="28"/>
          <w:sz w:val="24"/>
          <w:szCs w:val="20"/>
          <w:highlight w:val="none"/>
        </w:rPr>
        <w:t>如未按要求提供证明材料，视为该证明材料无效。</w:t>
      </w:r>
    </w:p>
    <w:p w14:paraId="7880A521">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 xml:space="preserve">三、获取公开招标采购文件 </w:t>
      </w:r>
    </w:p>
    <w:p w14:paraId="19498ECA">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24</w:t>
      </w:r>
      <w:r>
        <w:rPr>
          <w:rFonts w:hint="eastAsia" w:ascii="仿宋" w:hAnsi="仿宋" w:eastAsia="仿宋" w:cs="仿宋"/>
          <w:sz w:val="24"/>
          <w:highlight w:val="none"/>
          <w:u w:val="single"/>
        </w:rPr>
        <w:t>日</w:t>
      </w:r>
      <w:r>
        <w:rPr>
          <w:rFonts w:hint="eastAsia" w:ascii="仿宋" w:hAnsi="仿宋" w:eastAsia="仿宋" w:cs="仿宋"/>
          <w:sz w:val="24"/>
          <w:highlight w:val="none"/>
        </w:rPr>
        <w:t>，</w:t>
      </w:r>
      <w:r>
        <w:rPr>
          <w:rFonts w:hint="eastAsia" w:ascii="仿宋" w:hAnsi="仿宋" w:eastAsia="仿宋" w:cs="仿宋"/>
          <w:sz w:val="24"/>
          <w:highlight w:val="none"/>
        </w:rPr>
        <w:t>每天上午00:00至12:00 ，下午12:00至23:59（北京时间，线上获取法定节假日均可，线下获取文件法定节假日除外）</w:t>
      </w:r>
    </w:p>
    <w:p w14:paraId="2AAA8BFC">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 </w:t>
      </w:r>
    </w:p>
    <w:p w14:paraId="76FB6F08">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在线申请获取采购文件（进入“项目采购”应用，在获取采购文件菜单中选择项目，申请获取采购文件）。 </w:t>
      </w:r>
    </w:p>
    <w:p w14:paraId="10736C35">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lang w:val="en-US" w:eastAsia="zh-CN"/>
        </w:rPr>
        <w:t>0元。</w:t>
      </w:r>
      <w:r>
        <w:rPr>
          <w:rFonts w:hint="eastAsia" w:ascii="仿宋" w:hAnsi="仿宋" w:eastAsia="仿宋" w:cs="仿宋"/>
          <w:sz w:val="24"/>
          <w:highlight w:val="none"/>
        </w:rPr>
        <w:tab/>
      </w:r>
    </w:p>
    <w:p w14:paraId="7523CC5A">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14:paraId="12E6D84D">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7782077F">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 </w:t>
      </w:r>
    </w:p>
    <w:p w14:paraId="0CE68384">
      <w:pPr>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p>
    <w:p w14:paraId="00E3F628">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开标地点（网址）：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w:t>
      </w:r>
    </w:p>
    <w:p w14:paraId="6739C15C">
      <w:pPr>
        <w:spacing w:line="360" w:lineRule="auto"/>
        <w:rPr>
          <w:rFonts w:hint="eastAsia" w:ascii="仿宋" w:hAnsi="仿宋" w:eastAsia="仿宋" w:cs="仿宋"/>
          <w:sz w:val="24"/>
          <w:highlight w:val="none"/>
        </w:rPr>
      </w:pPr>
      <w:r>
        <w:rPr>
          <w:rFonts w:hint="eastAsia" w:ascii="仿宋" w:hAnsi="仿宋" w:eastAsia="仿宋" w:cs="仿宋"/>
          <w:b/>
          <w:sz w:val="24"/>
          <w:highlight w:val="none"/>
        </w:rPr>
        <w:t xml:space="preserve">五、公告期限 </w:t>
      </w:r>
    </w:p>
    <w:p w14:paraId="31F4210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自本公告发布之日起5个工作日。</w:t>
      </w:r>
    </w:p>
    <w:p w14:paraId="1B553030">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六、电子招投标的说明</w:t>
      </w:r>
    </w:p>
    <w:p w14:paraId="64B69BB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sz w:val="24"/>
          <w:highlight w:val="none"/>
        </w:rPr>
        <w:t xml:space="preserve"> </w:t>
      </w:r>
      <w:r>
        <w:rPr>
          <w:rFonts w:hint="eastAsia" w:ascii="仿宋" w:hAnsi="仿宋" w:eastAsia="仿宋" w:cs="仿宋"/>
          <w:bCs/>
          <w:sz w:val="24"/>
          <w:highlight w:val="none"/>
        </w:rPr>
        <w:t>1、电子招投标：本项目以数据电文形式，依托“乐采云”平台（www.lecaiyun.com）”进行招投标活动，各投标人应按照本项目采购文件和“乐采云”平台的要求编制、加密并递交投标文件，不接受纸质投标文件。</w:t>
      </w:r>
    </w:p>
    <w:p w14:paraId="41845A99">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2、投标准备：</w:t>
      </w:r>
    </w:p>
    <w:p w14:paraId="22A496F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（1）注册账号--点击“商家入驻”，进行项目采购供应商资料填写，通过审核后成为正式供应商。</w:t>
      </w:r>
    </w:p>
    <w:p w14:paraId="2ED4A05F">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2）申领CA数字证书---申领流程详见“https://zfcg.czt.zj.gov.cn/bidClientTemplate/2019-05-27/12945.html”：投标人应在开标前完成CA数字证书办理，完成CA数字证书办理预计1-2周左右，各投标人应充分考虑办理时间等因素。办理流程详见:CA管理操作指南</w:t>
      </w:r>
      <w:r>
        <w:rPr>
          <w:rFonts w:hint="eastAsia" w:ascii="仿宋" w:hAnsi="仿宋" w:eastAsia="仿宋" w:cs="仿宋"/>
          <w:bCs/>
          <w:sz w:val="24"/>
          <w:highlight w:val="none"/>
        </w:rPr>
        <w:fldChar w:fldCharType="begin"/>
      </w:r>
      <w:r>
        <w:rPr>
          <w:rFonts w:hint="eastAsia" w:ascii="仿宋" w:hAnsi="仿宋" w:eastAsia="仿宋" w:cs="仿宋"/>
          <w:bCs/>
          <w:sz w:val="24"/>
          <w:highlight w:val="none"/>
        </w:rPr>
        <w:instrText xml:space="preserve"> HYPERLINK "https://service.zcygov.cn/" \l "/knowledges/cm2eqWwBFdiHxlNd_otq/lwV6GXABiyELHE-oVMj3" </w:instrText>
      </w:r>
      <w:r>
        <w:rPr>
          <w:rFonts w:hint="eastAsia" w:ascii="仿宋" w:hAnsi="仿宋" w:eastAsia="仿宋" w:cs="仿宋"/>
          <w:bCs/>
          <w:sz w:val="24"/>
          <w:highlight w:val="none"/>
        </w:rPr>
        <w:fldChar w:fldCharType="separate"/>
      </w:r>
      <w:r>
        <w:rPr>
          <w:rFonts w:hint="eastAsia" w:ascii="仿宋" w:hAnsi="仿宋" w:eastAsia="仿宋" w:cs="仿宋"/>
          <w:bCs/>
          <w:sz w:val="24"/>
          <w:highlight w:val="none"/>
        </w:rPr>
        <w:t>https://service.zcygov.cn/#/knowledges/cm2eqWwBFdiHxlNd_otq/lwV6GXABiyELHE-oVMj3</w:t>
      </w:r>
      <w:r>
        <w:rPr>
          <w:rFonts w:hint="eastAsia" w:ascii="仿宋" w:hAnsi="仿宋" w:eastAsia="仿宋" w:cs="仿宋"/>
          <w:bCs/>
          <w:sz w:val="24"/>
          <w:highlight w:val="none"/>
        </w:rPr>
        <w:fldChar w:fldCharType="end"/>
      </w:r>
      <w:r>
        <w:rPr>
          <w:rFonts w:hint="eastAsia" w:ascii="仿宋" w:hAnsi="仿宋" w:eastAsia="仿宋" w:cs="仿宋"/>
          <w:bCs/>
          <w:sz w:val="24"/>
          <w:highlight w:val="none"/>
        </w:rPr>
        <w:t>。</w:t>
      </w:r>
    </w:p>
    <w:p w14:paraId="45657398">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（3）安装“电子投标客户端”----投标人通过“乐采云”平台电子投标工具制作投标文件。</w:t>
      </w:r>
    </w:p>
    <w:p w14:paraId="2ECD6D1E">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3、采购文件的获取：使用账号登录或者使用CA登录</w:t>
      </w:r>
      <w:r>
        <w:rPr>
          <w:rFonts w:hint="eastAsia" w:ascii="仿宋" w:hAnsi="仿宋" w:eastAsia="仿宋" w:cs="仿宋"/>
          <w:bCs/>
          <w:sz w:val="24"/>
          <w:highlight w:val="none"/>
          <w:lang w:eastAsia="zh-CN"/>
        </w:rPr>
        <w:t>乐</w:t>
      </w:r>
      <w:r>
        <w:rPr>
          <w:rFonts w:hint="eastAsia" w:ascii="仿宋" w:hAnsi="仿宋" w:eastAsia="仿宋" w:cs="仿宋"/>
          <w:bCs/>
          <w:sz w:val="24"/>
          <w:highlight w:val="none"/>
        </w:rPr>
        <w:t>采云平台；进入“项目采购”应用，在获取采购文件菜单中选择项目，获取采购文件。</w:t>
      </w:r>
    </w:p>
    <w:p w14:paraId="112F3A7E">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4、投标文件的制作：在“电子投标客户端”中完成“填写基本信息”、“导入投标文件”、“标书关联”、“标书检查”、“电子签名”、“生成电子标书”等操作。</w:t>
      </w:r>
    </w:p>
    <w:p w14:paraId="7697121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5、投标文件的传输递交：投标人在投标截止时间前将加密的投标文件上传至“乐采云”平台。</w:t>
      </w:r>
    </w:p>
    <w:p w14:paraId="1F8C4E03">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6、投标文件的解密：投标人按照平台提示和采购文件的规定在开标时间起30分钟内完成在线解密。</w:t>
      </w:r>
    </w:p>
    <w:p w14:paraId="0E288AF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bCs/>
          <w:sz w:val="24"/>
          <w:highlight w:val="none"/>
        </w:rPr>
        <w:t>7、供应商在使用系统进行投标的过程中遇到涉及平台使用的任何问题，可致电乐采云平台技术支持热线咨询，联系方式：400-881-7190。CA问题联系电话（人工）：汇信CA 400-888-4636；天谷CA 400-087-8198</w:t>
      </w:r>
      <w:r>
        <w:rPr>
          <w:rFonts w:hint="eastAsia" w:ascii="仿宋" w:hAnsi="仿宋" w:eastAsia="仿宋" w:cs="仿宋"/>
          <w:sz w:val="24"/>
          <w:highlight w:val="none"/>
        </w:rPr>
        <w:t>。</w:t>
      </w:r>
    </w:p>
    <w:p w14:paraId="75235F07">
      <w:pPr>
        <w:snapToGrid w:val="0"/>
        <w:spacing w:line="43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其他事项：（1）采购人依托乐采云平台完成本项目的电子交易活动，平台不接受未按上述方式获取采购文件的供应商进行投标活动；（2）对未按上述方式获取采购文件的供应商对该文件提出的质疑，采购人将不予处理；（3）采购人对已发出的采购文件等进行必要的澄清或者修改的，采购人将无法通过</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通知未按上述方式获取采购文件的供应商；（4）公告所附采购文件仅供阅览使用，供应商只有在“乐采云”平台完成获取采购文件申请并下载了采购文件后才被视为合法获取了采购文件，否则投标将被拒绝。（供应商获取采购文件时间以供应商完成获取采购文件申请后下载采购文件的时间为准）。注：请供应商按上述要求获取采购文件，如未在“乐采云”平台完成相关流程，引起的投标无效责任自负。（5）本项目不提供采购文件纸质版。</w:t>
      </w:r>
    </w:p>
    <w:p w14:paraId="5B92235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14:paraId="2CF638A6">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1.采购人信息</w:t>
      </w:r>
    </w:p>
    <w:p w14:paraId="55EE8B81">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名    称：</w:t>
      </w:r>
      <w:r>
        <w:rPr>
          <w:rFonts w:hint="eastAsia" w:ascii="仿宋" w:hAnsi="仿宋" w:eastAsia="仿宋" w:cs="仿宋"/>
          <w:sz w:val="24"/>
          <w:highlight w:val="none"/>
          <w:lang w:eastAsia="zh-CN"/>
        </w:rPr>
        <w:t>浙江国兴投资集团有限公司</w:t>
      </w:r>
      <w:r>
        <w:rPr>
          <w:rFonts w:hint="eastAsia" w:ascii="仿宋" w:hAnsi="仿宋" w:eastAsia="仿宋" w:cs="仿宋"/>
          <w:sz w:val="24"/>
          <w:highlight w:val="none"/>
        </w:rPr>
        <w:t xml:space="preserve"> </w:t>
      </w:r>
    </w:p>
    <w:p w14:paraId="254BEC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地    址：</w:t>
      </w:r>
      <w:r>
        <w:rPr>
          <w:rFonts w:hint="eastAsia" w:ascii="仿宋" w:hAnsi="仿宋" w:eastAsia="仿宋" w:cs="仿宋"/>
          <w:sz w:val="24"/>
          <w:highlight w:val="none"/>
          <w:lang w:eastAsia="zh-CN"/>
        </w:rPr>
        <w:t>浙江省杭州市临安区锦城街道国联大厦</w:t>
      </w:r>
    </w:p>
    <w:p w14:paraId="63B95935">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项目联系人（询问）：</w:t>
      </w:r>
      <w:r>
        <w:rPr>
          <w:rFonts w:hint="eastAsia" w:ascii="仿宋" w:hAnsi="仿宋" w:eastAsia="仿宋" w:cs="仿宋"/>
          <w:sz w:val="24"/>
          <w:highlight w:val="none"/>
          <w:lang w:val="en-US" w:eastAsia="zh-CN"/>
        </w:rPr>
        <w:t>董宇芳</w:t>
      </w:r>
      <w:r>
        <w:rPr>
          <w:rFonts w:hint="eastAsia" w:ascii="仿宋" w:hAnsi="仿宋" w:eastAsia="仿宋" w:cs="仿宋"/>
          <w:sz w:val="24"/>
          <w:highlight w:val="none"/>
        </w:rPr>
        <w:t xml:space="preserve">  </w:t>
      </w:r>
    </w:p>
    <w:p w14:paraId="45141AE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项目联系方式（询问）：</w:t>
      </w:r>
      <w:r>
        <w:rPr>
          <w:rFonts w:hint="eastAsia" w:ascii="仿宋" w:hAnsi="仿宋" w:eastAsia="仿宋" w:cs="仿宋"/>
          <w:sz w:val="24"/>
          <w:highlight w:val="none"/>
          <w:lang w:val="en-US" w:eastAsia="zh-CN"/>
        </w:rPr>
        <w:t>0571-61082123</w:t>
      </w:r>
      <w:r>
        <w:rPr>
          <w:rFonts w:hint="eastAsia" w:ascii="仿宋" w:hAnsi="仿宋" w:eastAsia="仿宋" w:cs="仿宋"/>
          <w:sz w:val="24"/>
          <w:highlight w:val="none"/>
        </w:rPr>
        <w:t xml:space="preserve"> </w:t>
      </w:r>
    </w:p>
    <w:p w14:paraId="565E4D8B">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2.采购代理机构信息   </w:t>
      </w:r>
    </w:p>
    <w:p w14:paraId="255545BF">
      <w:pPr>
        <w:spacing w:line="360" w:lineRule="auto"/>
        <w:ind w:firstLine="480"/>
        <w:rPr>
          <w:rFonts w:hint="eastAsia" w:ascii="仿宋" w:hAnsi="仿宋" w:eastAsia="仿宋" w:cs="仿宋"/>
          <w:sz w:val="24"/>
          <w:highlight w:val="none"/>
          <w:lang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浙江省成套工程有限公司</w:t>
      </w:r>
    </w:p>
    <w:p w14:paraId="5CDDDC78">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lang w:val="en-US" w:eastAsia="zh-CN"/>
        </w:rPr>
        <w:t>杭州市临安区筑境花园19幢107室</w:t>
      </w:r>
      <w:r>
        <w:rPr>
          <w:rFonts w:hint="eastAsia" w:ascii="仿宋" w:hAnsi="仿宋" w:eastAsia="仿宋" w:cs="仿宋"/>
          <w:sz w:val="24"/>
          <w:highlight w:val="none"/>
        </w:rPr>
        <w:t xml:space="preserve">             </w:t>
      </w:r>
    </w:p>
    <w:p w14:paraId="2B4B72D3">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项目联系人（询问）：</w:t>
      </w:r>
      <w:r>
        <w:rPr>
          <w:rFonts w:hint="eastAsia" w:ascii="仿宋" w:hAnsi="仿宋" w:eastAsia="仿宋" w:cs="仿宋"/>
          <w:sz w:val="24"/>
          <w:highlight w:val="none"/>
          <w:lang w:val="en-US" w:eastAsia="zh-CN"/>
        </w:rPr>
        <w:t>黄雄</w:t>
      </w:r>
      <w:r>
        <w:rPr>
          <w:rFonts w:hint="eastAsia" w:ascii="仿宋" w:hAnsi="仿宋" w:eastAsia="仿宋" w:cs="仿宋"/>
          <w:sz w:val="24"/>
          <w:highlight w:val="none"/>
        </w:rPr>
        <w:t xml:space="preserve">          </w:t>
      </w:r>
    </w:p>
    <w:p w14:paraId="19D3E2F2">
      <w:pPr>
        <w:spacing w:line="360" w:lineRule="auto"/>
        <w:rPr>
          <w:rFonts w:hint="default" w:ascii="仿宋" w:hAnsi="仿宋" w:eastAsia="仿宋" w:cs="仿宋"/>
          <w:sz w:val="24"/>
          <w:highlight w:val="none"/>
          <w:lang w:val="en-US"/>
        </w:rPr>
      </w:pPr>
      <w:r>
        <w:rPr>
          <w:rFonts w:hint="eastAsia" w:ascii="仿宋" w:hAnsi="仿宋" w:eastAsia="仿宋" w:cs="仿宋"/>
          <w:sz w:val="24"/>
          <w:highlight w:val="none"/>
        </w:rPr>
        <w:t xml:space="preserve">    项目联系方式（询问）：</w:t>
      </w:r>
      <w:r>
        <w:rPr>
          <w:rFonts w:hint="eastAsia" w:ascii="仿宋" w:hAnsi="仿宋" w:eastAsia="仿宋" w:cs="仿宋"/>
          <w:sz w:val="24"/>
          <w:highlight w:val="none"/>
          <w:lang w:val="en-US" w:eastAsia="zh-CN"/>
        </w:rPr>
        <w:t>13345715125</w:t>
      </w:r>
    </w:p>
    <w:p w14:paraId="53865C3A">
      <w:pPr>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rPr>
        <w:t xml:space="preserve">   </w:t>
      </w:r>
    </w:p>
    <w:p w14:paraId="23BF87A1">
      <w:pPr>
        <w:rPr>
          <w:rFonts w:hint="eastAsia" w:ascii="仿宋" w:hAnsi="仿宋" w:eastAsia="仿宋" w:cs="仿宋"/>
          <w:sz w:val="24"/>
          <w:highlight w:val="none"/>
        </w:rPr>
      </w:pPr>
      <w:r>
        <w:rPr>
          <w:rFonts w:hint="eastAsia" w:ascii="仿宋" w:hAnsi="仿宋" w:eastAsia="仿宋" w:cs="仿宋"/>
          <w:sz w:val="24"/>
          <w:highlight w:val="none"/>
        </w:rPr>
        <w:br w:type="page"/>
      </w:r>
    </w:p>
    <w:p w14:paraId="4EE4F2AE">
      <w:pPr>
        <w:pStyle w:val="32"/>
        <w:spacing w:line="360" w:lineRule="auto"/>
        <w:ind w:firstLine="2530" w:firstLineChars="700"/>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8"/>
      <w:r>
        <w:rPr>
          <w:rFonts w:hint="eastAsia" w:ascii="仿宋" w:hAnsi="仿宋" w:eastAsia="仿宋" w:cs="仿宋"/>
          <w:b/>
          <w:sz w:val="36"/>
          <w:szCs w:val="20"/>
          <w:highlight w:val="none"/>
        </w:rPr>
        <w:t xml:space="preserve"> 投标人须知</w:t>
      </w:r>
      <w:bookmarkEnd w:id="9"/>
    </w:p>
    <w:p w14:paraId="177AC885">
      <w:pPr>
        <w:snapToGrid w:val="0"/>
        <w:spacing w:line="360" w:lineRule="auto"/>
        <w:jc w:val="center"/>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414"/>
      </w:tblGrid>
      <w:tr w14:paraId="566811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802A22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E09983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414" w:type="dxa"/>
            <w:tcBorders>
              <w:top w:val="single" w:color="000000" w:sz="8" w:space="0"/>
              <w:left w:val="single" w:color="000000" w:sz="2" w:space="0"/>
              <w:bottom w:val="single" w:color="000000" w:sz="8" w:space="0"/>
              <w:right w:val="single" w:color="000000" w:sz="8" w:space="0"/>
            </w:tcBorders>
            <w:vAlign w:val="center"/>
          </w:tcPr>
          <w:p w14:paraId="1C6F662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0AF45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8DD0DA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D4AD1C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项目属性与核心产品</w:t>
            </w:r>
          </w:p>
        </w:tc>
        <w:tc>
          <w:tcPr>
            <w:tcW w:w="6414" w:type="dxa"/>
            <w:tcBorders>
              <w:top w:val="single" w:color="000000" w:sz="8" w:space="0"/>
              <w:left w:val="single" w:color="000000" w:sz="2" w:space="0"/>
              <w:bottom w:val="single" w:color="000000" w:sz="8" w:space="0"/>
              <w:right w:val="single" w:color="000000" w:sz="8" w:space="0"/>
            </w:tcBorders>
            <w:vAlign w:val="center"/>
          </w:tcPr>
          <w:p w14:paraId="768BD71F">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kern w:val="0"/>
                <w:sz w:val="24"/>
                <w:highlight w:val="none"/>
                <w:u w:val="single"/>
                <w:lang w:val="en-US" w:eastAsia="zh-CN"/>
              </w:rPr>
              <w:t>床垫</w:t>
            </w:r>
            <w:r>
              <w:rPr>
                <w:rFonts w:hint="eastAsia" w:ascii="仿宋" w:hAnsi="仿宋" w:eastAsia="仿宋" w:cs="仿宋"/>
                <w:sz w:val="24"/>
                <w:highlight w:val="none"/>
              </w:rPr>
              <w:t>。</w:t>
            </w:r>
          </w:p>
        </w:tc>
      </w:tr>
      <w:tr w14:paraId="05EC1C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E1B402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AE586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414" w:type="dxa"/>
            <w:tcBorders>
              <w:top w:val="single" w:color="000000" w:sz="8" w:space="0"/>
              <w:left w:val="single" w:color="000000" w:sz="2" w:space="0"/>
              <w:bottom w:val="single" w:color="000000" w:sz="8" w:space="0"/>
              <w:right w:val="single" w:color="000000" w:sz="8" w:space="0"/>
            </w:tcBorders>
            <w:vAlign w:val="center"/>
          </w:tcPr>
          <w:p w14:paraId="3A207595">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highlight w:val="none"/>
              </w:rPr>
            </w:pPr>
            <w:sdt>
              <w:sdtPr>
                <w:rPr>
                  <w:rFonts w:hint="eastAsia" w:ascii="仿宋" w:hAnsi="仿宋" w:eastAsia="仿宋" w:cs="仿宋"/>
                  <w:kern w:val="0"/>
                  <w:sz w:val="24"/>
                  <w:highlight w:val="none"/>
                </w:rPr>
                <w:id w:val="-1828425707"/>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本项目允许采购进口产品。</w:t>
            </w:r>
          </w:p>
        </w:tc>
      </w:tr>
      <w:tr w14:paraId="5E8C3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B9C207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09E9228">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仿宋" w:hAnsi="仿宋" w:eastAsia="仿宋" w:cs="仿宋"/>
                <w:b/>
                <w:sz w:val="24"/>
                <w:highlight w:val="none"/>
              </w:rPr>
            </w:pPr>
            <w:r>
              <w:rPr>
                <w:rFonts w:hint="eastAsia" w:ascii="仿宋" w:hAnsi="仿宋" w:eastAsia="仿宋" w:cs="仿宋"/>
                <w:b/>
                <w:sz w:val="24"/>
                <w:highlight w:val="none"/>
              </w:rPr>
              <w:t>分包</w:t>
            </w:r>
          </w:p>
        </w:tc>
        <w:tc>
          <w:tcPr>
            <w:tcW w:w="6414" w:type="dxa"/>
            <w:tcBorders>
              <w:top w:val="single" w:color="000000" w:sz="8" w:space="0"/>
              <w:left w:val="single" w:color="000000" w:sz="2" w:space="0"/>
              <w:bottom w:val="single" w:color="000000" w:sz="8" w:space="0"/>
              <w:right w:val="single" w:color="000000" w:sz="8" w:space="0"/>
            </w:tcBorders>
            <w:vAlign w:val="center"/>
          </w:tcPr>
          <w:p w14:paraId="300C4337">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276331357"/>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14:paraId="7CB4DB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E893FF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FE82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414" w:type="dxa"/>
            <w:tcBorders>
              <w:top w:val="single" w:color="000000" w:sz="8" w:space="0"/>
              <w:left w:val="single" w:color="000000" w:sz="2" w:space="0"/>
              <w:bottom w:val="single" w:color="000000" w:sz="8" w:space="0"/>
              <w:right w:val="single" w:color="000000" w:sz="8" w:space="0"/>
            </w:tcBorders>
            <w:vAlign w:val="center"/>
          </w:tcPr>
          <w:p w14:paraId="078D61C0">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szCs w:val="20"/>
                <w:highlight w:val="none"/>
              </w:rPr>
            </w:pPr>
            <w:sdt>
              <w:sdtPr>
                <w:rPr>
                  <w:rFonts w:hint="eastAsia" w:ascii="仿宋" w:hAnsi="仿宋" w:eastAsia="仿宋" w:cs="仿宋"/>
                  <w:kern w:val="0"/>
                  <w:sz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14:paraId="57FF25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2A814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681785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414" w:type="dxa"/>
            <w:tcBorders>
              <w:top w:val="single" w:color="000000" w:sz="8" w:space="0"/>
              <w:left w:val="single" w:color="000000" w:sz="2" w:space="0"/>
              <w:bottom w:val="single" w:color="000000" w:sz="8" w:space="0"/>
              <w:right w:val="single" w:color="000000" w:sz="8" w:space="0"/>
            </w:tcBorders>
            <w:vAlign w:val="center"/>
          </w:tcPr>
          <w:p w14:paraId="0FBB7F7B">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4747949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A</w:t>
            </w:r>
            <w:r>
              <w:rPr>
                <w:rFonts w:hint="eastAsia" w:ascii="仿宋" w:hAnsi="仿宋" w:eastAsia="仿宋" w:cs="仿宋"/>
                <w:kern w:val="0"/>
                <w:sz w:val="24"/>
                <w:highlight w:val="none"/>
                <w:lang w:val="en-US" w:eastAsia="zh-CN"/>
              </w:rPr>
              <w:t>不</w:t>
            </w:r>
            <w:r>
              <w:rPr>
                <w:rFonts w:hint="eastAsia" w:ascii="仿宋" w:hAnsi="仿宋" w:eastAsia="仿宋" w:cs="仿宋"/>
                <w:kern w:val="0"/>
                <w:sz w:val="24"/>
                <w:highlight w:val="none"/>
              </w:rPr>
              <w:t>要求提供；</w:t>
            </w:r>
          </w:p>
          <w:p w14:paraId="00DDFEEF">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b/>
                <w:sz w:val="24"/>
                <w:highlight w:val="none"/>
              </w:rPr>
            </w:pPr>
          </w:p>
        </w:tc>
      </w:tr>
      <w:tr w14:paraId="27F832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B0ED513">
            <w:pPr>
              <w:snapToGrid w:val="0"/>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9E50DCC">
            <w:pPr>
              <w:snapToGrid w:val="0"/>
              <w:spacing w:line="360" w:lineRule="auto"/>
              <w:jc w:val="center"/>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414" w:type="dxa"/>
            <w:tcBorders>
              <w:top w:val="single" w:color="000000" w:sz="8" w:space="0"/>
              <w:left w:val="single" w:color="000000" w:sz="2" w:space="0"/>
              <w:bottom w:val="single" w:color="000000" w:sz="8" w:space="0"/>
              <w:right w:val="single" w:color="000000" w:sz="8" w:space="0"/>
            </w:tcBorders>
            <w:vAlign w:val="center"/>
          </w:tcPr>
          <w:p w14:paraId="01DD5740">
            <w:pPr>
              <w:snapToGrid w:val="0"/>
              <w:spacing w:line="360" w:lineRule="auto"/>
              <w:rPr>
                <w:rFonts w:hint="eastAsia" w:ascii="仿宋" w:hAnsi="仿宋" w:eastAsia="仿宋" w:cs="仿宋"/>
                <w:b/>
                <w:kern w:val="0"/>
                <w:sz w:val="24"/>
                <w:highlight w:val="none"/>
                <w:lang w:val="zh-CN"/>
              </w:rPr>
            </w:pPr>
            <w:sdt>
              <w:sdtPr>
                <w:rPr>
                  <w:rFonts w:hint="eastAsia" w:ascii="仿宋" w:hAnsi="仿宋" w:eastAsia="仿宋" w:cs="仿宋"/>
                  <w:kern w:val="0"/>
                  <w:sz w:val="24"/>
                  <w:highlight w:val="none"/>
                </w:rPr>
                <w:id w:val="-1859348549"/>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14:paraId="6A0AC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tcPr>
          <w:p w14:paraId="466D388B">
            <w:pPr>
              <w:snapToGrid w:val="0"/>
              <w:spacing w:line="360" w:lineRule="auto"/>
              <w:jc w:val="center"/>
              <w:rPr>
                <w:rFonts w:hint="eastAsia" w:ascii="仿宋" w:hAnsi="仿宋" w:eastAsia="仿宋" w:cs="仿宋"/>
                <w:sz w:val="24"/>
                <w:highlight w:val="none"/>
              </w:rPr>
            </w:pPr>
          </w:p>
          <w:p w14:paraId="0464C820">
            <w:pPr>
              <w:snapToGrid w:val="0"/>
              <w:spacing w:line="360" w:lineRule="auto"/>
              <w:jc w:val="center"/>
              <w:rPr>
                <w:rFonts w:hint="eastAsia" w:ascii="仿宋" w:hAnsi="仿宋" w:eastAsia="仿宋" w:cs="仿宋"/>
                <w:sz w:val="24"/>
                <w:highlight w:val="none"/>
              </w:rPr>
            </w:pPr>
          </w:p>
          <w:p w14:paraId="20E19B6E">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7</w:t>
            </w:r>
          </w:p>
        </w:tc>
        <w:tc>
          <w:tcPr>
            <w:tcW w:w="1843" w:type="dxa"/>
            <w:vMerge w:val="restart"/>
            <w:tcBorders>
              <w:top w:val="single" w:color="000000" w:sz="8" w:space="0"/>
              <w:left w:val="single" w:color="auto" w:sz="4" w:space="0"/>
              <w:right w:val="single" w:color="000000" w:sz="8" w:space="0"/>
            </w:tcBorders>
            <w:vAlign w:val="center"/>
          </w:tcPr>
          <w:p w14:paraId="4A49C88C">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投标人应当提供的资格、资信证明文件</w:t>
            </w:r>
          </w:p>
        </w:tc>
        <w:tc>
          <w:tcPr>
            <w:tcW w:w="6414" w:type="dxa"/>
            <w:tcBorders>
              <w:top w:val="single" w:color="000000" w:sz="8" w:space="0"/>
              <w:left w:val="single" w:color="000000" w:sz="2" w:space="0"/>
              <w:bottom w:val="single" w:color="auto" w:sz="4" w:space="0"/>
              <w:right w:val="single" w:color="000000" w:sz="8" w:space="0"/>
            </w:tcBorders>
            <w:vAlign w:val="center"/>
          </w:tcPr>
          <w:p w14:paraId="749C4CE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（1）资格证明文件：见公开招标采购文件第二部分11.1。</w:t>
            </w:r>
          </w:p>
          <w:p w14:paraId="77E4DB13">
            <w:pPr>
              <w:spacing w:line="360" w:lineRule="auto"/>
              <w:rPr>
                <w:rFonts w:hint="eastAsia" w:ascii="仿宋" w:hAnsi="仿宋" w:eastAsia="仿宋" w:cs="仿宋"/>
                <w:snapToGrid w:val="0"/>
                <w:kern w:val="0"/>
                <w:szCs w:val="21"/>
                <w:highlight w:val="none"/>
              </w:rPr>
            </w:pPr>
            <w:r>
              <w:rPr>
                <w:rFonts w:hint="eastAsia" w:ascii="仿宋" w:hAnsi="仿宋" w:eastAsia="仿宋" w:cs="仿宋"/>
                <w:kern w:val="0"/>
                <w:sz w:val="24"/>
                <w:highlight w:val="none"/>
                <w:lang w:val="zh-CN"/>
              </w:rPr>
              <w:t>投标人未提供有效的资格证明文件的，视为投标人不具备公开招标采购文件中规定的资格要求，投标无效。</w:t>
            </w:r>
          </w:p>
        </w:tc>
      </w:tr>
      <w:tr w14:paraId="432F19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3" w:hRule="atLeast"/>
          <w:tblHeader/>
          <w:jc w:val="center"/>
        </w:trPr>
        <w:tc>
          <w:tcPr>
            <w:tcW w:w="629" w:type="dxa"/>
            <w:vMerge w:val="continue"/>
            <w:tcBorders>
              <w:left w:val="single" w:color="auto" w:sz="4" w:space="0"/>
              <w:bottom w:val="single" w:color="auto" w:sz="4" w:space="0"/>
              <w:right w:val="single" w:color="auto" w:sz="4" w:space="0"/>
            </w:tcBorders>
          </w:tcPr>
          <w:p w14:paraId="7D786AAA">
            <w:pPr>
              <w:snapToGrid w:val="0"/>
              <w:spacing w:line="360" w:lineRule="auto"/>
              <w:jc w:val="center"/>
              <w:rPr>
                <w:rFonts w:hint="eastAsia" w:ascii="仿宋" w:hAnsi="仿宋" w:eastAsia="仿宋" w:cs="仿宋"/>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AB159CE">
            <w:pPr>
              <w:snapToGrid w:val="0"/>
              <w:spacing w:line="360" w:lineRule="auto"/>
              <w:jc w:val="center"/>
              <w:rPr>
                <w:rFonts w:hint="eastAsia" w:ascii="仿宋" w:hAnsi="仿宋" w:eastAsia="仿宋" w:cs="仿宋"/>
                <w:b/>
                <w:sz w:val="24"/>
                <w:highlight w:val="none"/>
              </w:rPr>
            </w:pPr>
          </w:p>
        </w:tc>
        <w:tc>
          <w:tcPr>
            <w:tcW w:w="6414" w:type="dxa"/>
            <w:tcBorders>
              <w:top w:val="single" w:color="auto" w:sz="4" w:space="0"/>
              <w:left w:val="single" w:color="000000" w:sz="2" w:space="0"/>
              <w:bottom w:val="single" w:color="000000" w:sz="8" w:space="0"/>
              <w:right w:val="single" w:color="000000" w:sz="8" w:space="0"/>
            </w:tcBorders>
            <w:vAlign w:val="center"/>
          </w:tcPr>
          <w:p w14:paraId="55BAB5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（2）资信证明文件：根据公开招标采购文件第四部分评标标准提供。</w:t>
            </w:r>
          </w:p>
        </w:tc>
      </w:tr>
      <w:tr w14:paraId="3D0A87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8DBDCD2">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717B21D">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414" w:type="dxa"/>
            <w:tcBorders>
              <w:top w:val="single" w:color="000000" w:sz="8" w:space="0"/>
              <w:left w:val="single" w:color="000000" w:sz="2" w:space="0"/>
              <w:bottom w:val="single" w:color="000000" w:sz="8" w:space="0"/>
              <w:right w:val="single" w:color="000000" w:sz="8" w:space="0"/>
            </w:tcBorders>
            <w:vAlign w:val="center"/>
          </w:tcPr>
          <w:p w14:paraId="27F19A5A">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有关本项目实施所需的所有费用（含税费）均计入报价。投标文件中价格全部采用人民币报价。公开招标采购文件未列明，而投标人认为必需的费用也需列入报价。</w:t>
            </w:r>
            <w:r>
              <w:rPr>
                <w:rFonts w:hint="eastAsia" w:ascii="仿宋" w:hAnsi="仿宋" w:eastAsia="仿宋" w:cs="仿宋"/>
                <w:b/>
                <w:kern w:val="0"/>
                <w:sz w:val="24"/>
                <w:highlight w:val="none"/>
                <w:lang w:val="zh-CN"/>
              </w:rPr>
              <w:t>提醒：验收时检测费用由采购人承担，不包含在投标总价中。</w:t>
            </w:r>
          </w:p>
          <w:p w14:paraId="233F7408">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投标报价出现下列情形的，投标无效：</w:t>
            </w:r>
          </w:p>
          <w:p w14:paraId="28F0F466">
            <w:pPr>
              <w:snapToGrid w:val="0"/>
              <w:spacing w:line="360" w:lineRule="auto"/>
              <w:ind w:firstLine="241" w:firstLineChars="100"/>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投标文件出现不是唯一的、有选择性投标报价的；</w:t>
            </w:r>
          </w:p>
          <w:p w14:paraId="64362628">
            <w:pPr>
              <w:snapToGrid w:val="0"/>
              <w:spacing w:line="360" w:lineRule="auto"/>
              <w:ind w:firstLine="241" w:firstLineChars="100"/>
              <w:jc w:val="left"/>
              <w:rPr>
                <w:rFonts w:hint="eastAsia" w:ascii="仿宋" w:hAnsi="仿宋" w:eastAsia="仿宋" w:cs="仿宋"/>
                <w:kern w:val="0"/>
                <w:sz w:val="24"/>
                <w:highlight w:val="none"/>
                <w:lang w:val="zh-CN"/>
              </w:rPr>
            </w:pPr>
            <w:r>
              <w:rPr>
                <w:rFonts w:hint="eastAsia" w:ascii="仿宋" w:hAnsi="仿宋" w:eastAsia="仿宋" w:cs="仿宋"/>
                <w:b/>
                <w:kern w:val="0"/>
                <w:sz w:val="24"/>
                <w:highlight w:val="none"/>
                <w:lang w:val="zh-CN"/>
              </w:rPr>
              <w:t>投标报价超过公开招标采购文件中规定的预算金额或者最高限价的;</w:t>
            </w:r>
          </w:p>
          <w:p w14:paraId="0CDFCAAE">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14:paraId="63BECDD6">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p w14:paraId="0635E2DF">
            <w:pPr>
              <w:pStyle w:val="2"/>
              <w:rPr>
                <w:rFonts w:hint="eastAsia"/>
                <w:highlight w:val="none"/>
              </w:rPr>
            </w:pPr>
            <w:r>
              <w:rPr>
                <w:rFonts w:hint="eastAsia" w:ascii="仿宋" w:hAnsi="仿宋" w:eastAsia="仿宋" w:cs="仿宋"/>
                <w:b/>
                <w:kern w:val="0"/>
                <w:sz w:val="24"/>
                <w:highlight w:val="none"/>
              </w:rPr>
              <w:t>为避免恶意竞争，本项目实行风险保证金制度，即投标供应商的投标报价低于投标最高限价的80%并成为第一中标候选人的，投标供应商须在原有履约保证金的基础上再增加风险保证金（采用现金的方式）。风险保证金金额为投标最高限价的80%与中标价之间的差额，所增加缴纳的风险保证金于采购文件规定的质保期满后无息返还</w:t>
            </w:r>
            <w:r>
              <w:rPr>
                <w:rFonts w:hint="eastAsia"/>
                <w:highlight w:val="none"/>
              </w:rPr>
              <w:t>。</w:t>
            </w:r>
          </w:p>
        </w:tc>
      </w:tr>
      <w:tr w14:paraId="202680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FFEC3F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3E5ED1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备份投标文件送达地点和签收人员 </w:t>
            </w:r>
          </w:p>
        </w:tc>
        <w:tc>
          <w:tcPr>
            <w:tcW w:w="6414" w:type="dxa"/>
            <w:tcBorders>
              <w:top w:val="single" w:color="000000" w:sz="8" w:space="0"/>
              <w:left w:val="single" w:color="000000" w:sz="2" w:space="0"/>
              <w:bottom w:val="single" w:color="000000" w:sz="8" w:space="0"/>
              <w:right w:val="single" w:color="000000" w:sz="8" w:space="0"/>
            </w:tcBorders>
            <w:vAlign w:val="center"/>
          </w:tcPr>
          <w:p w14:paraId="7BDD9D90">
            <w:pPr>
              <w:pStyle w:val="32"/>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kern w:val="28"/>
                <w:sz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kern w:val="28"/>
                <w:sz w:val="24"/>
                <w:szCs w:val="24"/>
                <w:highlight w:val="none"/>
                <w:lang w:val="en-US" w:eastAsia="zh-CN"/>
              </w:rPr>
              <w:t>杭州市临安区筑境花园19幢107室</w:t>
            </w:r>
            <w:r>
              <w:rPr>
                <w:rFonts w:hint="eastAsia" w:ascii="仿宋" w:hAnsi="仿宋" w:eastAsia="仿宋" w:cs="仿宋"/>
                <w:kern w:val="28"/>
                <w:sz w:val="24"/>
                <w:szCs w:val="24"/>
                <w:highlight w:val="none"/>
                <w:u w:val="single"/>
              </w:rPr>
              <w:t>（</w:t>
            </w:r>
            <w:r>
              <w:rPr>
                <w:rFonts w:hint="eastAsia" w:ascii="仿宋" w:hAnsi="仿宋" w:eastAsia="仿宋" w:cs="仿宋"/>
                <w:kern w:val="28"/>
                <w:sz w:val="24"/>
                <w:szCs w:val="24"/>
                <w:highlight w:val="none"/>
                <w:u w:val="single"/>
                <w:lang w:eastAsia="zh-CN"/>
              </w:rPr>
              <w:t>浙江省成套工程有限公司</w:t>
            </w:r>
            <w:r>
              <w:rPr>
                <w:rFonts w:hint="eastAsia" w:ascii="仿宋" w:hAnsi="仿宋" w:eastAsia="仿宋" w:cs="仿宋"/>
                <w:kern w:val="28"/>
                <w:sz w:val="24"/>
                <w:szCs w:val="24"/>
                <w:highlight w:val="none"/>
                <w:u w:val="single"/>
              </w:rPr>
              <w:t>） ；备份投标文件签收人员联系电话：</w:t>
            </w:r>
            <w:r>
              <w:rPr>
                <w:rFonts w:hint="eastAsia" w:ascii="仿宋" w:hAnsi="仿宋" w:eastAsia="仿宋" w:cs="仿宋"/>
                <w:kern w:val="28"/>
                <w:sz w:val="24"/>
                <w:szCs w:val="24"/>
                <w:highlight w:val="none"/>
                <w:u w:val="single"/>
                <w:lang w:val="en-US" w:eastAsia="zh-CN"/>
              </w:rPr>
              <w:t>13345715125</w:t>
            </w:r>
            <w:r>
              <w:rPr>
                <w:rFonts w:hint="eastAsia" w:ascii="仿宋" w:hAnsi="仿宋" w:eastAsia="仿宋" w:cs="仿宋"/>
                <w:kern w:val="28"/>
                <w:sz w:val="24"/>
                <w:szCs w:val="24"/>
                <w:highlight w:val="none"/>
                <w:u w:val="single"/>
              </w:rPr>
              <w:t>。</w:t>
            </w:r>
            <w:r>
              <w:rPr>
                <w:rFonts w:hint="eastAsia" w:ascii="仿宋" w:hAnsi="仿宋" w:eastAsia="仿宋" w:cs="仿宋"/>
                <w:b/>
                <w:sz w:val="24"/>
                <w:szCs w:val="24"/>
                <w:highlight w:val="none"/>
              </w:rPr>
              <w:t>采购人、采购机构不强制或变相强制投标人提交备份投标文件。</w:t>
            </w:r>
          </w:p>
        </w:tc>
      </w:tr>
      <w:tr w14:paraId="421DC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170DD38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0</w:t>
            </w:r>
          </w:p>
        </w:tc>
        <w:tc>
          <w:tcPr>
            <w:tcW w:w="1843" w:type="dxa"/>
            <w:vMerge w:val="restart"/>
            <w:tcBorders>
              <w:top w:val="single" w:color="000000" w:sz="8" w:space="0"/>
              <w:left w:val="single" w:color="000000" w:sz="2" w:space="0"/>
              <w:right w:val="single" w:color="000000" w:sz="8" w:space="0"/>
            </w:tcBorders>
            <w:vAlign w:val="center"/>
          </w:tcPr>
          <w:p w14:paraId="75EA37B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特别说明</w:t>
            </w:r>
          </w:p>
        </w:tc>
        <w:tc>
          <w:tcPr>
            <w:tcW w:w="6414" w:type="dxa"/>
            <w:tcBorders>
              <w:top w:val="single" w:color="000000" w:sz="8" w:space="0"/>
              <w:left w:val="single" w:color="000000" w:sz="2" w:space="0"/>
              <w:bottom w:val="single" w:color="000000" w:sz="8" w:space="0"/>
              <w:right w:val="single" w:color="000000" w:sz="8" w:space="0"/>
            </w:tcBorders>
            <w:vAlign w:val="center"/>
          </w:tcPr>
          <w:p w14:paraId="23091DDA">
            <w:pPr>
              <w:keepNext w:val="0"/>
              <w:keepLines w:val="0"/>
              <w:pageBreakBefore w:val="0"/>
              <w:widowControl w:val="0"/>
              <w:numPr>
                <w:ilvl w:val="0"/>
                <w:numId w:val="1"/>
              </w:numPr>
              <w:kinsoku/>
              <w:wordWrap/>
              <w:overflowPunct/>
              <w:topLinePunct w:val="0"/>
              <w:autoSpaceDE/>
              <w:autoSpaceDN/>
              <w:bidi w:val="0"/>
              <w:adjustRightInd w:val="0"/>
              <w:spacing w:line="400" w:lineRule="exact"/>
              <w:textAlignment w:val="auto"/>
              <w:rPr>
                <w:rFonts w:hint="eastAsia"/>
                <w:highlight w:val="none"/>
              </w:rPr>
            </w:pPr>
            <w:r>
              <w:rPr>
                <w:rFonts w:hint="eastAsia" w:ascii="仿宋" w:hAnsi="仿宋" w:eastAsia="仿宋" w:cs="仿宋"/>
                <w:snapToGrid w:val="0"/>
                <w:kern w:val="28"/>
                <w:sz w:val="24"/>
                <w:highlight w:val="none"/>
              </w:rPr>
              <w:t>采购代理服务费按国家发展改革委[2011]534号文件规定收费标准</w:t>
            </w:r>
            <w:r>
              <w:rPr>
                <w:rFonts w:hint="eastAsia" w:ascii="仿宋" w:hAnsi="仿宋" w:eastAsia="仿宋" w:cs="仿宋"/>
                <w:snapToGrid w:val="0"/>
                <w:kern w:val="28"/>
                <w:sz w:val="24"/>
                <w:highlight w:val="none"/>
                <w:lang w:val="en-US" w:eastAsia="zh-CN"/>
              </w:rPr>
              <w:t>50%</w:t>
            </w:r>
            <w:r>
              <w:rPr>
                <w:rFonts w:hint="eastAsia" w:ascii="仿宋" w:hAnsi="仿宋" w:eastAsia="仿宋" w:cs="仿宋"/>
                <w:snapToGrid w:val="0"/>
                <w:kern w:val="28"/>
                <w:sz w:val="24"/>
                <w:highlight w:val="none"/>
              </w:rPr>
              <w:t>收取；</w:t>
            </w:r>
            <w:r>
              <w:rPr>
                <w:rFonts w:hint="eastAsia" w:ascii="仿宋" w:hAnsi="仿宋" w:eastAsia="仿宋" w:cs="仿宋"/>
                <w:snapToGrid w:val="0"/>
                <w:kern w:val="28"/>
                <w:sz w:val="24"/>
                <w:highlight w:val="none"/>
                <w:lang w:val="en-US" w:eastAsia="zh-CN"/>
              </w:rPr>
              <w:t>招标代理</w:t>
            </w:r>
            <w:r>
              <w:rPr>
                <w:rFonts w:hint="eastAsia" w:ascii="仿宋" w:hAnsi="仿宋" w:eastAsia="仿宋" w:cs="仿宋"/>
                <w:snapToGrid w:val="0"/>
                <w:kern w:val="28"/>
                <w:sz w:val="24"/>
                <w:highlight w:val="none"/>
              </w:rPr>
              <w:t>费用由</w:t>
            </w:r>
            <w:r>
              <w:rPr>
                <w:rFonts w:hint="eastAsia" w:ascii="仿宋" w:hAnsi="仿宋" w:eastAsia="仿宋" w:cs="仿宋"/>
                <w:snapToGrid w:val="0"/>
                <w:kern w:val="28"/>
                <w:sz w:val="24"/>
                <w:highlight w:val="none"/>
                <w:lang w:eastAsia="zh-CN"/>
              </w:rPr>
              <w:t>中标人</w:t>
            </w:r>
            <w:r>
              <w:rPr>
                <w:rFonts w:hint="eastAsia" w:ascii="仿宋" w:hAnsi="仿宋" w:eastAsia="仿宋" w:cs="仿宋"/>
                <w:snapToGrid w:val="0"/>
                <w:kern w:val="28"/>
                <w:sz w:val="24"/>
                <w:highlight w:val="none"/>
              </w:rPr>
              <w:t>支付，在成交通知书发出前付清。</w:t>
            </w:r>
          </w:p>
        </w:tc>
      </w:tr>
      <w:tr w14:paraId="44D20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 w:hRule="atLeast"/>
          <w:tblHeader/>
          <w:jc w:val="center"/>
        </w:trPr>
        <w:tc>
          <w:tcPr>
            <w:tcW w:w="629" w:type="dxa"/>
            <w:vMerge w:val="continue"/>
            <w:tcBorders>
              <w:left w:val="single" w:color="000000" w:sz="8" w:space="0"/>
              <w:right w:val="single" w:color="000000" w:sz="2" w:space="0"/>
            </w:tcBorders>
            <w:vAlign w:val="center"/>
          </w:tcPr>
          <w:p w14:paraId="72677F8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bookmarkStart w:id="12" w:name="第三部分"/>
            <w:bookmarkStart w:id="13" w:name="_Toc164416483"/>
          </w:p>
        </w:tc>
        <w:tc>
          <w:tcPr>
            <w:tcW w:w="1843" w:type="dxa"/>
            <w:vMerge w:val="continue"/>
            <w:tcBorders>
              <w:left w:val="single" w:color="000000" w:sz="2" w:space="0"/>
              <w:right w:val="single" w:color="000000" w:sz="8" w:space="0"/>
            </w:tcBorders>
            <w:vAlign w:val="center"/>
          </w:tcPr>
          <w:p w14:paraId="0EF6E7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p>
        </w:tc>
        <w:tc>
          <w:tcPr>
            <w:tcW w:w="6414" w:type="dxa"/>
            <w:tcBorders>
              <w:top w:val="single" w:color="000000" w:sz="8" w:space="0"/>
              <w:left w:val="single" w:color="000000" w:sz="2" w:space="0"/>
              <w:bottom w:val="single" w:color="000000" w:sz="8" w:space="0"/>
              <w:right w:val="single" w:color="000000" w:sz="8" w:space="0"/>
            </w:tcBorders>
            <w:vAlign w:val="center"/>
          </w:tcPr>
          <w:p w14:paraId="52A5D5B5">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解释：本采购文件的解释权属于采购</w:t>
            </w:r>
            <w:r>
              <w:rPr>
                <w:rFonts w:hint="eastAsia" w:ascii="仿宋" w:hAnsi="仿宋" w:eastAsia="仿宋" w:cs="仿宋"/>
                <w:snapToGrid w:val="0"/>
                <w:kern w:val="28"/>
                <w:sz w:val="24"/>
                <w:highlight w:val="none"/>
                <w:lang w:eastAsia="zh-CN"/>
              </w:rPr>
              <w:t>人</w:t>
            </w:r>
            <w:r>
              <w:rPr>
                <w:rFonts w:hint="eastAsia" w:ascii="仿宋" w:hAnsi="仿宋" w:eastAsia="仿宋" w:cs="仿宋"/>
                <w:snapToGrid w:val="0"/>
                <w:kern w:val="28"/>
                <w:sz w:val="24"/>
                <w:highlight w:val="none"/>
              </w:rPr>
              <w:t>。</w:t>
            </w:r>
          </w:p>
        </w:tc>
      </w:tr>
      <w:tr w14:paraId="653FE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 w:hRule="atLeast"/>
          <w:tblHeader/>
          <w:jc w:val="center"/>
        </w:trPr>
        <w:tc>
          <w:tcPr>
            <w:tcW w:w="629" w:type="dxa"/>
            <w:tcBorders>
              <w:left w:val="single" w:color="000000" w:sz="8" w:space="0"/>
              <w:right w:val="single" w:color="000000" w:sz="2" w:space="0"/>
            </w:tcBorders>
            <w:vAlign w:val="center"/>
          </w:tcPr>
          <w:p w14:paraId="746C637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p>
        </w:tc>
        <w:tc>
          <w:tcPr>
            <w:tcW w:w="1843" w:type="dxa"/>
            <w:tcBorders>
              <w:left w:val="single" w:color="000000" w:sz="2" w:space="0"/>
              <w:right w:val="single" w:color="000000" w:sz="8" w:space="0"/>
            </w:tcBorders>
            <w:vAlign w:val="center"/>
          </w:tcPr>
          <w:p w14:paraId="45F8A6A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p>
        </w:tc>
        <w:tc>
          <w:tcPr>
            <w:tcW w:w="6414" w:type="dxa"/>
            <w:tcBorders>
              <w:top w:val="single" w:color="000000" w:sz="8" w:space="0"/>
              <w:left w:val="single" w:color="000000" w:sz="2" w:space="0"/>
              <w:bottom w:val="single" w:color="000000" w:sz="8" w:space="0"/>
              <w:right w:val="single" w:color="000000" w:sz="8" w:space="0"/>
            </w:tcBorders>
            <w:vAlign w:val="center"/>
          </w:tcPr>
          <w:p w14:paraId="679A0C8A">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本项目评审报告推荐的中标候选人数量：1 。</w:t>
            </w:r>
          </w:p>
        </w:tc>
      </w:tr>
      <w:bookmarkEnd w:id="10"/>
    </w:tbl>
    <w:p w14:paraId="0AB46847">
      <w:pPr>
        <w:adjustRightInd/>
        <w:spacing w:line="360" w:lineRule="auto"/>
        <w:ind w:firstLine="3845" w:firstLineChars="1197"/>
        <w:outlineLvl w:val="0"/>
        <w:rPr>
          <w:rFonts w:hint="eastAsia" w:ascii="仿宋" w:hAnsi="仿宋" w:eastAsia="仿宋" w:cs="仿宋"/>
          <w:b/>
          <w:sz w:val="32"/>
          <w:szCs w:val="20"/>
          <w:highlight w:val="none"/>
        </w:rPr>
      </w:pPr>
    </w:p>
    <w:p w14:paraId="2AE919D8">
      <w:pPr>
        <w:adjustRightInd/>
        <w:spacing w:line="360" w:lineRule="auto"/>
        <w:ind w:firstLine="3845" w:firstLineChars="1197"/>
        <w:outlineLvl w:val="0"/>
        <w:rPr>
          <w:rFonts w:hint="eastAsia" w:ascii="仿宋" w:hAnsi="仿宋" w:eastAsia="仿宋" w:cs="仿宋"/>
          <w:b/>
          <w:sz w:val="32"/>
          <w:szCs w:val="20"/>
          <w:highlight w:val="none"/>
        </w:rPr>
      </w:pPr>
    </w:p>
    <w:p w14:paraId="54527C87">
      <w:pPr>
        <w:rPr>
          <w:rFonts w:hint="eastAsia" w:ascii="仿宋" w:hAnsi="仿宋" w:eastAsia="仿宋" w:cs="仿宋"/>
          <w:b/>
          <w:sz w:val="32"/>
          <w:szCs w:val="20"/>
          <w:highlight w:val="none"/>
        </w:rPr>
      </w:pPr>
      <w:r>
        <w:rPr>
          <w:rFonts w:hint="eastAsia" w:ascii="仿宋" w:hAnsi="仿宋" w:eastAsia="仿宋" w:cs="仿宋"/>
          <w:b/>
          <w:sz w:val="32"/>
          <w:szCs w:val="20"/>
          <w:highlight w:val="none"/>
        </w:rPr>
        <w:br w:type="page"/>
      </w:r>
    </w:p>
    <w:p w14:paraId="46997D0C">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一、总则</w:t>
      </w:r>
    </w:p>
    <w:p w14:paraId="221A64AC">
      <w:pPr>
        <w:snapToGrid w:val="0"/>
        <w:spacing w:line="360" w:lineRule="auto"/>
        <w:ind w:firstLine="361" w:firstLineChars="150"/>
        <w:jc w:val="left"/>
        <w:outlineLvl w:val="1"/>
        <w:rPr>
          <w:rFonts w:hint="eastAsia" w:ascii="仿宋" w:hAnsi="仿宋" w:eastAsia="仿宋" w:cs="仿宋"/>
          <w:b/>
          <w:sz w:val="24"/>
          <w:highlight w:val="none"/>
        </w:rPr>
      </w:pPr>
      <w:r>
        <w:rPr>
          <w:rFonts w:hint="eastAsia" w:ascii="仿宋" w:hAnsi="仿宋" w:eastAsia="仿宋" w:cs="仿宋"/>
          <w:b/>
          <w:sz w:val="24"/>
          <w:highlight w:val="none"/>
        </w:rPr>
        <w:t>1. 适用范围</w:t>
      </w:r>
    </w:p>
    <w:p w14:paraId="3A46C36F">
      <w:pPr>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本公开招标采购文件适用于该项目的招标、投标、开标、资格审查及信用信息查询、评标、定标、合同、验收等行为（法律、法规另有规定的，从其规定）。</w:t>
      </w:r>
    </w:p>
    <w:p w14:paraId="5FD70C53">
      <w:pPr>
        <w:adjustRightInd/>
        <w:spacing w:line="360" w:lineRule="auto"/>
        <w:outlineLvl w:val="0"/>
        <w:rPr>
          <w:rFonts w:hint="eastAsia" w:ascii="仿宋" w:hAnsi="仿宋" w:eastAsia="仿宋" w:cs="仿宋"/>
          <w:b/>
          <w:sz w:val="24"/>
          <w:highlight w:val="none"/>
        </w:rPr>
      </w:pPr>
      <w:r>
        <w:rPr>
          <w:rFonts w:hint="eastAsia" w:ascii="仿宋" w:hAnsi="仿宋" w:eastAsia="仿宋" w:cs="仿宋"/>
          <w:b/>
          <w:sz w:val="24"/>
          <w:highlight w:val="none"/>
        </w:rPr>
        <w:t xml:space="preserve">   2.定义</w:t>
      </w:r>
    </w:p>
    <w:p w14:paraId="7942CC0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“采购人”系指</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公告中载明的本项目的采购人。</w:t>
      </w:r>
    </w:p>
    <w:p w14:paraId="0EF50D6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“采购机构”系指</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公告中载明的本项目的采购机构。</w:t>
      </w:r>
    </w:p>
    <w:p w14:paraId="3EB157E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“投标人”系指是指响应招标、参加投标竞争的法人、其他组织或者自然人。</w:t>
      </w:r>
    </w:p>
    <w:p w14:paraId="6350D47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14:paraId="032995D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w:t>
      </w:r>
    </w:p>
    <w:p w14:paraId="7AAD2BD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2.6“电子交易平台”是指乐采云平台（https://www.lecaiyun.com/）。</w:t>
      </w:r>
    </w:p>
    <w:p w14:paraId="668D2AA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 “▲” 系指实质性要求条款，“</w:t>
      </w:r>
      <w:sdt>
        <w:sdtPr>
          <w:rPr>
            <w:rFonts w:hint="eastAsia" w:ascii="仿宋" w:hAnsi="仿宋" w:eastAsia="仿宋" w:cs="仿宋"/>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sz w:val="24"/>
          <w:highlight w:val="none"/>
        </w:rPr>
        <w:t>” 系指适用本项目的要求，“</w:t>
      </w:r>
      <w:sdt>
        <w:sdtPr>
          <w:rPr>
            <w:rFonts w:hint="eastAsia" w:ascii="仿宋" w:hAnsi="仿宋" w:eastAsia="仿宋" w:cs="仿宋"/>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 系指不适用本项目的要求。</w:t>
      </w:r>
    </w:p>
    <w:p w14:paraId="60A6C518">
      <w:pPr>
        <w:spacing w:line="360" w:lineRule="auto"/>
        <w:ind w:firstLine="240" w:firstLineChars="100"/>
        <w:rPr>
          <w:rFonts w:hint="eastAsia" w:ascii="仿宋" w:hAnsi="仿宋" w:eastAsia="仿宋" w:cs="仿宋"/>
          <w:sz w:val="24"/>
          <w:highlight w:val="none"/>
        </w:rPr>
      </w:pPr>
      <w:r>
        <w:rPr>
          <w:rFonts w:hint="eastAsia" w:ascii="仿宋" w:hAnsi="仿宋" w:eastAsia="仿宋" w:cs="仿宋"/>
          <w:sz w:val="24"/>
          <w:highlight w:val="none"/>
        </w:rPr>
        <w:t>3.开标委托</w:t>
      </w:r>
    </w:p>
    <w:p w14:paraId="613D9D0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本项目无须投标人到场参加开标会议。</w:t>
      </w:r>
    </w:p>
    <w:p w14:paraId="4B8C159A">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sz w:val="24"/>
          <w:highlight w:val="none"/>
        </w:rPr>
        <w:t>4. 询问、质疑、投诉</w:t>
      </w:r>
    </w:p>
    <w:p w14:paraId="13947E11">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4.1供应商询问</w:t>
      </w:r>
    </w:p>
    <w:p w14:paraId="6458E7B7">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3272EBE">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4.2供应商质疑</w:t>
      </w:r>
    </w:p>
    <w:p w14:paraId="795F89F2">
      <w:pPr>
        <w:pStyle w:val="3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.1提出质疑的供应商应当是参与所质疑项目采购活动的供应商。潜在供应商已依法获取其可质疑的公开招标采购文件的，可以对该文件提出质疑。</w:t>
      </w:r>
    </w:p>
    <w:p w14:paraId="083FA848">
      <w:pPr>
        <w:pStyle w:val="3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.2供应商认为</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、采购过程和中标结果使自己的权益受到损害的，可以在知道或者应知其权益受到损害之日起七个工作日内，以书面形式向采购人或者采购机构提出质疑，否则，采购人或者采购机构不予受理：</w:t>
      </w:r>
    </w:p>
    <w:p w14:paraId="0AF5761D">
      <w:pPr>
        <w:pStyle w:val="16"/>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w:t>
      </w:r>
      <w:r>
        <w:rPr>
          <w:rFonts w:hint="eastAsia" w:ascii="仿宋" w:hAnsi="仿宋" w:eastAsia="仿宋" w:cs="仿宋"/>
          <w:snapToGrid/>
          <w:color w:val="auto"/>
          <w:kern w:val="2"/>
          <w:sz w:val="24"/>
          <w:highlight w:val="none"/>
          <w:lang w:eastAsia="zh-CN"/>
        </w:rPr>
        <w:t>公开招标采购文件</w:t>
      </w:r>
      <w:r>
        <w:rPr>
          <w:rFonts w:hint="eastAsia" w:ascii="仿宋" w:hAnsi="仿宋" w:eastAsia="仿宋" w:cs="仿宋"/>
          <w:snapToGrid/>
          <w:color w:val="auto"/>
          <w:kern w:val="2"/>
          <w:sz w:val="24"/>
          <w:highlight w:val="none"/>
        </w:rPr>
        <w:t>提出质疑的，质疑期限为</w:t>
      </w:r>
      <w:r>
        <w:rPr>
          <w:rFonts w:hint="eastAsia" w:ascii="仿宋" w:hAnsi="仿宋" w:eastAsia="仿宋" w:cs="仿宋"/>
          <w:snapToGrid/>
          <w:color w:val="auto"/>
          <w:kern w:val="2"/>
          <w:sz w:val="24"/>
          <w:highlight w:val="none"/>
          <w:lang w:eastAsia="zh-CN"/>
        </w:rPr>
        <w:t>公开招标采购文件</w:t>
      </w:r>
      <w:r>
        <w:rPr>
          <w:rFonts w:hint="eastAsia" w:ascii="仿宋" w:hAnsi="仿宋" w:eastAsia="仿宋" w:cs="仿宋"/>
          <w:snapToGrid/>
          <w:color w:val="auto"/>
          <w:kern w:val="2"/>
          <w:sz w:val="24"/>
          <w:highlight w:val="none"/>
        </w:rPr>
        <w:t>公告期限届满之日起计算。</w:t>
      </w:r>
    </w:p>
    <w:p w14:paraId="24EEC54F">
      <w:pPr>
        <w:pStyle w:val="32"/>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4.2.2.2对采购过程提出质疑的，质疑期限为各采购程序环节结束之日起计算。4.2.2.3对采购结果提出质疑的，质疑期限自采购结果公告期限届满之日起计算。</w:t>
      </w:r>
    </w:p>
    <w:p w14:paraId="775001F7">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w:t>
      </w:r>
      <w:r>
        <w:rPr>
          <w:rFonts w:hint="eastAsia" w:ascii="仿宋" w:hAnsi="仿宋" w:eastAsia="仿宋" w:cs="仿宋"/>
          <w:sz w:val="24"/>
          <w:highlight w:val="none"/>
        </w:rPr>
        <w:t>供应商提出质疑应当提交质疑函和必要的证明材料。质疑函应当包括下列内容：</w:t>
      </w:r>
    </w:p>
    <w:p w14:paraId="1F6A7DFA">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4.2.3.1供应商的姓名或者名称、地址、邮编、联系人及联系电话；</w:t>
      </w:r>
    </w:p>
    <w:p w14:paraId="7AFB269F">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4.2.3.2质疑项目的名称、编号；</w:t>
      </w:r>
    </w:p>
    <w:p w14:paraId="0245B9E3">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4.2.3.3具体、明确的质疑事项和与质疑事项相关的请求；</w:t>
      </w:r>
    </w:p>
    <w:p w14:paraId="370FE5FE">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4.2.3.4事实依据；</w:t>
      </w:r>
    </w:p>
    <w:p w14:paraId="650C3635">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4.2.3.5必要的法律依据；</w:t>
      </w:r>
    </w:p>
    <w:p w14:paraId="51C263CF">
      <w:pPr>
        <w:pStyle w:val="32"/>
        <w:spacing w:line="360" w:lineRule="auto"/>
        <w:ind w:firstLine="960" w:firstLineChars="4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4.2.3.6提出质疑的日期。</w:t>
      </w:r>
    </w:p>
    <w:p w14:paraId="5D6AE4CD">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供应商提交的质疑函需一式三份。供应商为自然人的，应当由本人签字；供应商为法人或者其他组织的，应当由法定代表人、主要负责人，或者其授权代表签字或者盖章，并加盖公章。</w:t>
      </w:r>
    </w:p>
    <w:p w14:paraId="196FFB43">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质疑函范本及制作说明详见附件</w:t>
      </w:r>
      <w:r>
        <w:rPr>
          <w:rFonts w:hint="eastAsia" w:ascii="仿宋" w:hAnsi="仿宋" w:eastAsia="仿宋" w:cs="仿宋"/>
          <w:highlight w:val="none"/>
          <w:lang w:val="en-US" w:eastAsia="zh-CN"/>
        </w:rPr>
        <w:t>1</w:t>
      </w:r>
      <w:r>
        <w:rPr>
          <w:rFonts w:hint="eastAsia" w:ascii="仿宋" w:hAnsi="仿宋" w:eastAsia="仿宋" w:cs="仿宋"/>
          <w:highlight w:val="none"/>
        </w:rPr>
        <w:t>。</w:t>
      </w:r>
    </w:p>
    <w:p w14:paraId="056F82C1">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4.2.4对同一采购程序环节的质疑，供应商须在法定质疑期内一次性提出。</w:t>
      </w:r>
    </w:p>
    <w:p w14:paraId="3A343A55">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.5采购人或者采购机构应当在收到供应商的书面质疑后七个工作日内作出答复，并以书面形式通知质疑供应商和其他与质疑处理结果有利害关系的采购当事人，但答复的内容不得涉及商业秘密。</w:t>
      </w:r>
    </w:p>
    <w:p w14:paraId="429DA370">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.6询问或者质疑事项可能影响采购结果的，采购人应当暂停签订合同，已经签订合同的，应当中止履行合同。</w:t>
      </w:r>
    </w:p>
    <w:p w14:paraId="368D91A8">
      <w:pPr>
        <w:pStyle w:val="890"/>
        <w:shd w:val="clear" w:color="auto" w:fill="FFFFFF"/>
        <w:snapToGrid w:val="0"/>
        <w:spacing w:after="240" w:afterAutospacing="0" w:line="360" w:lineRule="auto"/>
        <w:ind w:firstLine="480" w:firstLineChars="200"/>
        <w:contextualSpacing/>
        <w:rPr>
          <w:rFonts w:hint="eastAsia" w:ascii="仿宋" w:hAnsi="仿宋" w:eastAsia="仿宋" w:cs="仿宋"/>
          <w:highlight w:val="none"/>
          <w:lang w:val="zh-CN"/>
        </w:rPr>
      </w:pPr>
      <w:r>
        <w:rPr>
          <w:rFonts w:hint="eastAsia" w:ascii="仿宋" w:hAnsi="仿宋" w:eastAsia="仿宋" w:cs="仿宋"/>
          <w:highlight w:val="none"/>
          <w:lang w:val="zh-CN"/>
        </w:rPr>
        <w:t>4.3供应商投诉</w:t>
      </w:r>
    </w:p>
    <w:p w14:paraId="06471457">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4.3.1质疑供应商对采购人、采购机构的答复不满意或者采购人、采购机构未在规定的时间内作出答复的，可以在答复期满后十五个工作日内向监督管理部门提出投诉。</w:t>
      </w:r>
    </w:p>
    <w:p w14:paraId="27177678">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w:t>
      </w:r>
      <w:r>
        <w:rPr>
          <w:rFonts w:hint="eastAsia" w:ascii="仿宋" w:hAnsi="仿宋" w:eastAsia="仿宋" w:cs="仿宋"/>
          <w:highlight w:val="none"/>
          <w:lang w:val="zh-CN"/>
        </w:rPr>
        <w:t>2</w:t>
      </w:r>
      <w:r>
        <w:rPr>
          <w:rFonts w:hint="eastAsia" w:ascii="仿宋" w:hAnsi="仿宋" w:eastAsia="仿宋" w:cs="仿宋"/>
          <w:highlight w:val="none"/>
        </w:rPr>
        <w:t>供应商投诉的事项不得超出已质疑事项的范围，基于质疑答复内容提出的投诉事项除外。</w:t>
      </w:r>
    </w:p>
    <w:p w14:paraId="26EA21DE">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4.3.3供应商投诉应当有明确的请求和必要的证明材料。</w:t>
      </w:r>
    </w:p>
    <w:p w14:paraId="11BB8ACB">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4.3.5 以联合体形式参加采购活动的，其投诉应当由组成联合体的所有供应商共同提出。</w:t>
      </w:r>
    </w:p>
    <w:p w14:paraId="0EF36F0F">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投诉书范本及制作说明详见附件</w:t>
      </w:r>
      <w:r>
        <w:rPr>
          <w:rFonts w:hint="eastAsia" w:ascii="仿宋" w:hAnsi="仿宋" w:eastAsia="仿宋" w:cs="仿宋"/>
          <w:highlight w:val="none"/>
          <w:lang w:val="en-US" w:eastAsia="zh-CN"/>
        </w:rPr>
        <w:t>2</w:t>
      </w:r>
      <w:r>
        <w:rPr>
          <w:rFonts w:hint="eastAsia" w:ascii="仿宋" w:hAnsi="仿宋" w:eastAsia="仿宋" w:cs="仿宋"/>
          <w:highlight w:val="none"/>
        </w:rPr>
        <w:t>。</w:t>
      </w:r>
    </w:p>
    <w:p w14:paraId="71B9C353">
      <w:pPr>
        <w:pStyle w:val="129"/>
        <w:snapToGrid w:val="0"/>
        <w:spacing w:before="0"/>
        <w:ind w:firstLine="360"/>
        <w:rPr>
          <w:rFonts w:hint="eastAsia" w:ascii="仿宋" w:hAnsi="仿宋" w:eastAsia="仿宋" w:cs="仿宋"/>
          <w:sz w:val="18"/>
          <w:szCs w:val="18"/>
          <w:highlight w:val="none"/>
        </w:rPr>
      </w:pPr>
    </w:p>
    <w:p w14:paraId="4F7A21E2">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 xml:space="preserve">      二、</w:t>
      </w:r>
      <w:r>
        <w:rPr>
          <w:rFonts w:hint="eastAsia" w:ascii="仿宋" w:hAnsi="仿宋" w:eastAsia="仿宋" w:cs="仿宋"/>
          <w:b/>
          <w:sz w:val="32"/>
          <w:szCs w:val="20"/>
          <w:highlight w:val="none"/>
          <w:lang w:eastAsia="zh-CN"/>
        </w:rPr>
        <w:t>公开招标采购文件</w:t>
      </w:r>
      <w:r>
        <w:rPr>
          <w:rFonts w:hint="eastAsia" w:ascii="仿宋" w:hAnsi="仿宋" w:eastAsia="仿宋" w:cs="仿宋"/>
          <w:b/>
          <w:sz w:val="32"/>
          <w:szCs w:val="20"/>
          <w:highlight w:val="none"/>
        </w:rPr>
        <w:t>的构成、澄清、修改</w:t>
      </w:r>
    </w:p>
    <w:p w14:paraId="575A4A6C">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5．</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的构成</w:t>
      </w:r>
    </w:p>
    <w:p w14:paraId="05696F33">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5.1 </w:t>
      </w:r>
      <w:r>
        <w:rPr>
          <w:rFonts w:hint="eastAsia" w:ascii="仿宋" w:hAnsi="仿宋" w:eastAsia="仿宋" w:cs="仿宋"/>
          <w:sz w:val="24"/>
          <w:szCs w:val="24"/>
          <w:highlight w:val="none"/>
          <w:lang w:eastAsia="zh-CN"/>
        </w:rPr>
        <w:t>公开招标采购文件</w:t>
      </w:r>
      <w:r>
        <w:rPr>
          <w:rFonts w:hint="eastAsia" w:ascii="仿宋" w:hAnsi="仿宋" w:eastAsia="仿宋" w:cs="仿宋"/>
          <w:sz w:val="24"/>
          <w:szCs w:val="24"/>
          <w:highlight w:val="none"/>
        </w:rPr>
        <w:t>包括下列文件及附件：</w:t>
      </w:r>
    </w:p>
    <w:p w14:paraId="29A3F9EA">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5.1.1</w:t>
      </w:r>
      <w:r>
        <w:rPr>
          <w:rFonts w:hint="eastAsia" w:ascii="仿宋" w:hAnsi="仿宋" w:eastAsia="仿宋" w:cs="仿宋"/>
          <w:sz w:val="24"/>
          <w:highlight w:val="none"/>
          <w:lang w:eastAsia="zh-CN"/>
        </w:rPr>
        <w:t>采购</w:t>
      </w:r>
      <w:r>
        <w:rPr>
          <w:rFonts w:hint="eastAsia" w:ascii="仿宋" w:hAnsi="仿宋" w:eastAsia="仿宋" w:cs="仿宋"/>
          <w:sz w:val="24"/>
          <w:szCs w:val="24"/>
          <w:highlight w:val="none"/>
        </w:rPr>
        <w:t>公告；</w:t>
      </w:r>
    </w:p>
    <w:p w14:paraId="36335ED8">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5.1.2投标人须知；</w:t>
      </w:r>
    </w:p>
    <w:p w14:paraId="3BB6D397">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5.1.3采购需求；</w:t>
      </w:r>
    </w:p>
    <w:p w14:paraId="585B0160">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5.1.4评标办法；</w:t>
      </w:r>
    </w:p>
    <w:p w14:paraId="02160FE5">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5.1.5拟签订的合同文本；</w:t>
      </w:r>
    </w:p>
    <w:p w14:paraId="1689E046">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highlight w:val="none"/>
        </w:rPr>
        <w:t>5.1.6</w:t>
      </w:r>
      <w:r>
        <w:rPr>
          <w:rFonts w:hint="eastAsia" w:ascii="仿宋" w:hAnsi="仿宋" w:eastAsia="仿宋" w:cs="仿宋"/>
          <w:sz w:val="24"/>
          <w:szCs w:val="24"/>
          <w:highlight w:val="none"/>
        </w:rPr>
        <w:t>应提交的有关格式范例。</w:t>
      </w:r>
    </w:p>
    <w:p w14:paraId="7C1D1D8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5.2与本项目有关的</w:t>
      </w:r>
      <w:r>
        <w:rPr>
          <w:rFonts w:hint="eastAsia" w:ascii="仿宋" w:hAnsi="仿宋" w:eastAsia="仿宋" w:cs="仿宋"/>
          <w:bCs/>
          <w:sz w:val="24"/>
          <w:highlight w:val="none"/>
        </w:rPr>
        <w:t>澄清或者修改的内容为</w:t>
      </w:r>
      <w:r>
        <w:rPr>
          <w:rFonts w:hint="eastAsia" w:ascii="仿宋" w:hAnsi="仿宋" w:eastAsia="仿宋" w:cs="仿宋"/>
          <w:bCs/>
          <w:sz w:val="24"/>
          <w:highlight w:val="none"/>
          <w:lang w:eastAsia="zh-CN"/>
        </w:rPr>
        <w:t>公开招标采购文件</w:t>
      </w:r>
      <w:r>
        <w:rPr>
          <w:rFonts w:hint="eastAsia" w:ascii="仿宋" w:hAnsi="仿宋" w:eastAsia="仿宋" w:cs="仿宋"/>
          <w:bCs/>
          <w:sz w:val="24"/>
          <w:highlight w:val="none"/>
        </w:rPr>
        <w:t>的组成部分</w:t>
      </w:r>
      <w:r>
        <w:rPr>
          <w:rFonts w:hint="eastAsia" w:ascii="仿宋" w:hAnsi="仿宋" w:eastAsia="仿宋" w:cs="仿宋"/>
          <w:sz w:val="24"/>
          <w:highlight w:val="none"/>
        </w:rPr>
        <w:t>。</w:t>
      </w:r>
    </w:p>
    <w:p w14:paraId="6F293261">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6. </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的澄清、修改</w:t>
      </w:r>
    </w:p>
    <w:p w14:paraId="2D7C5017">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6.1已获取</w:t>
      </w:r>
      <w:r>
        <w:rPr>
          <w:rFonts w:hint="eastAsia" w:ascii="仿宋" w:hAnsi="仿宋" w:eastAsia="仿宋" w:cs="仿宋"/>
          <w:highlight w:val="none"/>
          <w:lang w:eastAsia="zh-CN"/>
        </w:rPr>
        <w:t>公开招标采购文件</w:t>
      </w:r>
      <w:r>
        <w:rPr>
          <w:rFonts w:hint="eastAsia" w:ascii="仿宋" w:hAnsi="仿宋" w:eastAsia="仿宋" w:cs="仿宋"/>
          <w:highlight w:val="none"/>
        </w:rPr>
        <w:t>的潜在投标人，若有问题需要澄清，应于投标截止时间前，以书面形式向采购机构提出。</w:t>
      </w:r>
    </w:p>
    <w:p w14:paraId="2883F276">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6.2 采购机构对</w:t>
      </w:r>
      <w:r>
        <w:rPr>
          <w:rFonts w:hint="eastAsia" w:ascii="仿宋" w:hAnsi="仿宋" w:eastAsia="仿宋" w:cs="仿宋"/>
          <w:highlight w:val="none"/>
          <w:lang w:eastAsia="zh-CN"/>
        </w:rPr>
        <w:t>公开招标采购文件</w:t>
      </w:r>
      <w:r>
        <w:rPr>
          <w:rFonts w:hint="eastAsia" w:ascii="仿宋" w:hAnsi="仿宋" w:eastAsia="仿宋" w:cs="仿宋"/>
          <w:highlight w:val="none"/>
        </w:rPr>
        <w:t>进行澄清或修改的，将同时通过电子交易平台通知已获取</w:t>
      </w:r>
      <w:r>
        <w:rPr>
          <w:rFonts w:hint="eastAsia" w:ascii="仿宋" w:hAnsi="仿宋" w:eastAsia="仿宋" w:cs="仿宋"/>
          <w:highlight w:val="none"/>
          <w:lang w:eastAsia="zh-CN"/>
        </w:rPr>
        <w:t>公开招标采购文件</w:t>
      </w:r>
      <w:r>
        <w:rPr>
          <w:rFonts w:hint="eastAsia" w:ascii="仿宋" w:hAnsi="仿宋" w:eastAsia="仿宋" w:cs="仿宋"/>
          <w:highlight w:val="none"/>
        </w:rPr>
        <w:t>的潜在投标人。依法应当公告的，将按规定公告，同时视情况延长投标截止时间和开标时间。该澄清或者修改的内容为</w:t>
      </w:r>
      <w:r>
        <w:rPr>
          <w:rFonts w:hint="eastAsia" w:ascii="仿宋" w:hAnsi="仿宋" w:eastAsia="仿宋" w:cs="仿宋"/>
          <w:highlight w:val="none"/>
          <w:lang w:eastAsia="zh-CN"/>
        </w:rPr>
        <w:t>公开招标采购文件</w:t>
      </w:r>
      <w:r>
        <w:rPr>
          <w:rFonts w:hint="eastAsia" w:ascii="仿宋" w:hAnsi="仿宋" w:eastAsia="仿宋" w:cs="仿宋"/>
          <w:highlight w:val="none"/>
        </w:rPr>
        <w:t>的组成部分。</w:t>
      </w:r>
    </w:p>
    <w:p w14:paraId="14E426DA">
      <w:pPr>
        <w:pStyle w:val="24"/>
        <w:rPr>
          <w:rFonts w:hint="eastAsia" w:ascii="仿宋" w:hAnsi="仿宋" w:eastAsia="仿宋" w:cs="仿宋"/>
          <w:sz w:val="18"/>
          <w:szCs w:val="18"/>
          <w:highlight w:val="none"/>
          <w:lang w:val="en-US"/>
        </w:rPr>
      </w:pPr>
      <w:r>
        <w:rPr>
          <w:rFonts w:hint="eastAsia" w:ascii="仿宋" w:hAnsi="仿宋" w:eastAsia="仿宋" w:cs="仿宋"/>
          <w:szCs w:val="24"/>
          <w:highlight w:val="none"/>
          <w:lang w:val="en-US"/>
        </w:rPr>
        <w:t xml:space="preserve">    </w:t>
      </w:r>
    </w:p>
    <w:p w14:paraId="24568D6A">
      <w:pPr>
        <w:adjustRightInd/>
        <w:spacing w:line="360" w:lineRule="auto"/>
        <w:jc w:val="center"/>
        <w:outlineLvl w:val="0"/>
        <w:rPr>
          <w:rFonts w:hint="eastAsia" w:ascii="仿宋" w:hAnsi="仿宋" w:eastAsia="仿宋" w:cs="仿宋"/>
          <w:b/>
          <w:sz w:val="30"/>
          <w:szCs w:val="20"/>
          <w:highlight w:val="none"/>
        </w:rPr>
      </w:pPr>
      <w:r>
        <w:rPr>
          <w:rFonts w:hint="eastAsia" w:ascii="仿宋" w:hAnsi="仿宋" w:eastAsia="仿宋" w:cs="仿宋"/>
          <w:b/>
          <w:sz w:val="30"/>
          <w:szCs w:val="20"/>
          <w:highlight w:val="none"/>
        </w:rPr>
        <w:t>三、投标</w:t>
      </w:r>
    </w:p>
    <w:p w14:paraId="3025315A">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7. </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的获取</w:t>
      </w:r>
    </w:p>
    <w:p w14:paraId="30F3DADA">
      <w:pPr>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详见</w:t>
      </w:r>
      <w:r>
        <w:rPr>
          <w:rFonts w:hint="eastAsia" w:ascii="仿宋" w:hAnsi="仿宋" w:eastAsia="仿宋" w:cs="仿宋"/>
          <w:sz w:val="24"/>
          <w:highlight w:val="none"/>
          <w:lang w:eastAsia="zh-CN"/>
        </w:rPr>
        <w:t>采购</w:t>
      </w:r>
      <w:r>
        <w:rPr>
          <w:rFonts w:hint="eastAsia" w:ascii="仿宋" w:hAnsi="仿宋" w:eastAsia="仿宋" w:cs="仿宋"/>
          <w:snapToGrid w:val="0"/>
          <w:kern w:val="28"/>
          <w:sz w:val="24"/>
          <w:highlight w:val="none"/>
        </w:rPr>
        <w:t>公告中获取</w:t>
      </w:r>
      <w:r>
        <w:rPr>
          <w:rFonts w:hint="eastAsia" w:ascii="仿宋" w:hAnsi="仿宋" w:eastAsia="仿宋" w:cs="仿宋"/>
          <w:snapToGrid w:val="0"/>
          <w:kern w:val="28"/>
          <w:sz w:val="24"/>
          <w:highlight w:val="none"/>
          <w:lang w:eastAsia="zh-CN"/>
        </w:rPr>
        <w:t>公开招标采购文件</w:t>
      </w:r>
      <w:r>
        <w:rPr>
          <w:rFonts w:hint="eastAsia" w:ascii="仿宋" w:hAnsi="仿宋" w:eastAsia="仿宋" w:cs="仿宋"/>
          <w:snapToGrid w:val="0"/>
          <w:kern w:val="28"/>
          <w:sz w:val="24"/>
          <w:highlight w:val="none"/>
        </w:rPr>
        <w:t>的时间期限、地点、方式及</w:t>
      </w:r>
      <w:r>
        <w:rPr>
          <w:rFonts w:hint="eastAsia" w:ascii="仿宋" w:hAnsi="仿宋" w:eastAsia="仿宋" w:cs="仿宋"/>
          <w:snapToGrid w:val="0"/>
          <w:kern w:val="28"/>
          <w:sz w:val="24"/>
          <w:highlight w:val="none"/>
          <w:lang w:eastAsia="zh-CN"/>
        </w:rPr>
        <w:t>公开招标采购文件</w:t>
      </w:r>
      <w:r>
        <w:rPr>
          <w:rFonts w:hint="eastAsia" w:ascii="仿宋" w:hAnsi="仿宋" w:eastAsia="仿宋" w:cs="仿宋"/>
          <w:snapToGrid w:val="0"/>
          <w:kern w:val="28"/>
          <w:sz w:val="24"/>
          <w:highlight w:val="none"/>
        </w:rPr>
        <w:t>售价。</w:t>
      </w:r>
    </w:p>
    <w:p w14:paraId="5DB74DFC">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8.开标前答疑会或现场考察</w:t>
      </w:r>
    </w:p>
    <w:p w14:paraId="046619F7">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采购人组织潜在投标人现场考察或者召开开标前答疑会的，潜在投标人按第二部分投标人须知前附表的规定参加现场考察或者开标前答疑会。</w:t>
      </w:r>
    </w:p>
    <w:p w14:paraId="48359765">
      <w:pPr>
        <w:pStyle w:val="32"/>
        <w:spacing w:line="360" w:lineRule="auto"/>
        <w:rPr>
          <w:rFonts w:hint="eastAsia" w:ascii="仿宋" w:hAnsi="仿宋" w:eastAsia="仿宋" w:cs="仿宋"/>
          <w:b/>
          <w:szCs w:val="24"/>
          <w:highlight w:val="none"/>
        </w:rPr>
      </w:pPr>
      <w:r>
        <w:rPr>
          <w:rFonts w:hint="eastAsia" w:ascii="仿宋" w:hAnsi="仿宋" w:eastAsia="仿宋" w:cs="仿宋"/>
          <w:b/>
          <w:kern w:val="28"/>
          <w:sz w:val="24"/>
          <w:szCs w:val="24"/>
          <w:highlight w:val="none"/>
        </w:rPr>
        <w:t>9.投标保证金</w:t>
      </w:r>
    </w:p>
    <w:p w14:paraId="44AC5F65">
      <w:pPr>
        <w:pStyle w:val="1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193AB53">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 投标文件的语言</w:t>
      </w:r>
    </w:p>
    <w:p w14:paraId="7404004D">
      <w:pPr>
        <w:autoSpaceDE w:val="0"/>
        <w:autoSpaceDN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投标文件及投标人与采购有关的来往通知、函件和文件均应使用中文。</w:t>
      </w:r>
    </w:p>
    <w:p w14:paraId="09BCBB3A">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11. 投标文件的组成</w:t>
      </w:r>
    </w:p>
    <w:p w14:paraId="68B5675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14:paraId="4A37B675">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11.1.1符合参加采购活动应当具备的一般条件的承诺函；</w:t>
      </w:r>
    </w:p>
    <w:p w14:paraId="4EC1010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14:paraId="20FA0569">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7A29492F">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11.2.1投标函；</w:t>
      </w:r>
      <w:r>
        <w:rPr>
          <w:rFonts w:hint="eastAsia" w:ascii="仿宋" w:hAnsi="仿宋" w:eastAsia="仿宋" w:cs="仿宋"/>
          <w:sz w:val="24"/>
          <w:highlight w:val="none"/>
          <w:lang w:val="zh-CN"/>
        </w:rPr>
        <w:t xml:space="preserve"> </w:t>
      </w:r>
    </w:p>
    <w:p w14:paraId="68E2EA3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11.2.2授权委托书或法定代表人（单位负责人、自然人本人）身份证明；</w:t>
      </w:r>
    </w:p>
    <w:p w14:paraId="765432DC">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p>
    <w:p w14:paraId="3D04D4DD">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p>
    <w:p w14:paraId="4EBD928D">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p>
    <w:p w14:paraId="5DDD991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p>
    <w:p w14:paraId="6A3B972C">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p>
    <w:p w14:paraId="58A8821B">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lang w:val="zh-CN"/>
        </w:rPr>
        <w:t>11.</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r>
        <w:rPr>
          <w:rFonts w:hint="eastAsia" w:ascii="仿宋" w:hAnsi="仿宋" w:eastAsia="仿宋" w:cs="仿宋"/>
          <w:sz w:val="24"/>
          <w:highlight w:val="none"/>
        </w:rPr>
        <w:t xml:space="preserve"> </w:t>
      </w:r>
    </w:p>
    <w:p w14:paraId="542ABC9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11.3.1开标一览表（报价表）；</w:t>
      </w:r>
    </w:p>
    <w:p w14:paraId="6E1E9C64">
      <w:pPr>
        <w:spacing w:line="360" w:lineRule="auto"/>
        <w:ind w:firstLine="723" w:firstLineChars="300"/>
        <w:rPr>
          <w:rFonts w:hint="eastAsia" w:ascii="仿宋" w:hAnsi="仿宋" w:eastAsia="仿宋" w:cs="仿宋"/>
          <w:b/>
          <w:sz w:val="24"/>
          <w:highlight w:val="none"/>
        </w:rPr>
      </w:pPr>
      <w:r>
        <w:rPr>
          <w:rFonts w:hint="eastAsia" w:ascii="仿宋" w:hAnsi="仿宋" w:eastAsia="仿宋" w:cs="仿宋"/>
          <w:b/>
          <w:sz w:val="24"/>
          <w:highlight w:val="none"/>
        </w:rPr>
        <w:t>投标文件含有采购人不能接受的附加条件的，投标无效；</w:t>
      </w:r>
    </w:p>
    <w:p w14:paraId="706A60E3">
      <w:pPr>
        <w:spacing w:line="360" w:lineRule="auto"/>
        <w:ind w:firstLine="723" w:firstLineChars="300"/>
        <w:rPr>
          <w:rFonts w:hint="eastAsia" w:ascii="仿宋" w:hAnsi="仿宋" w:eastAsia="仿宋" w:cs="仿宋"/>
          <w:b/>
          <w:sz w:val="24"/>
          <w:szCs w:val="21"/>
          <w:highlight w:val="none"/>
        </w:rPr>
      </w:pPr>
      <w:r>
        <w:rPr>
          <w:rFonts w:hint="eastAsia" w:ascii="仿宋" w:hAnsi="仿宋" w:eastAsia="仿宋" w:cs="仿宋"/>
          <w:b/>
          <w:sz w:val="24"/>
          <w:highlight w:val="none"/>
        </w:rPr>
        <w:t>投标人提供虚假材料投标的，投标无效。</w:t>
      </w:r>
    </w:p>
    <w:p w14:paraId="51075A56">
      <w:pPr>
        <w:pStyle w:val="129"/>
        <w:snapToGrid w:val="0"/>
        <w:spacing w:before="0"/>
        <w:ind w:firstLine="0" w:firstLineChars="0"/>
        <w:outlineLvl w:val="0"/>
        <w:rPr>
          <w:rFonts w:hint="eastAsia" w:ascii="仿宋" w:hAnsi="仿宋" w:eastAsia="仿宋" w:cs="仿宋"/>
          <w:b/>
          <w:szCs w:val="24"/>
          <w:highlight w:val="none"/>
        </w:rPr>
      </w:pPr>
      <w:r>
        <w:rPr>
          <w:rFonts w:hint="eastAsia" w:ascii="仿宋" w:hAnsi="仿宋" w:eastAsia="仿宋" w:cs="仿宋"/>
          <w:b/>
          <w:szCs w:val="24"/>
          <w:highlight w:val="none"/>
        </w:rPr>
        <w:t>12</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投标文件的编制</w:t>
      </w:r>
    </w:p>
    <w:p w14:paraId="6DFC1702">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12.1投标文件分为资格文件、商务技术文件、报价文件三部分。各投标人在编制投标文件时请按照公开招标采购文件第六部分规定的格式进行，混乱的编排导致投标文件被误读或评标委员会查找不到有效文件是投标人的风险。</w:t>
      </w:r>
    </w:p>
    <w:p w14:paraId="551258CA">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12.2投标文件为电子投标文件。电子投标文件，按“乐采云供应商项目采购-电子招投标操作指南”及本采购文件要求制作、加密并递交。</w:t>
      </w:r>
    </w:p>
    <w:p w14:paraId="6F7ACA59">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13.投标文件的签署、盖章</w:t>
      </w:r>
    </w:p>
    <w:p w14:paraId="1D4B094F">
      <w:pPr>
        <w:pStyle w:val="129"/>
        <w:snapToGrid w:val="0"/>
        <w:spacing w:before="0"/>
        <w:ind w:firstLine="480"/>
        <w:rPr>
          <w:rFonts w:hint="eastAsia" w:ascii="仿宋" w:hAnsi="仿宋" w:eastAsia="仿宋" w:cs="仿宋"/>
          <w:b/>
          <w:highlight w:val="none"/>
        </w:rPr>
      </w:pPr>
      <w:r>
        <w:rPr>
          <w:rFonts w:hint="eastAsia" w:ascii="仿宋" w:hAnsi="仿宋" w:eastAsia="仿宋" w:cs="仿宋"/>
          <w:szCs w:val="24"/>
          <w:highlight w:val="none"/>
        </w:rPr>
        <w:t>13.1投标文件按照</w:t>
      </w:r>
      <w:r>
        <w:rPr>
          <w:rFonts w:hint="eastAsia" w:ascii="仿宋" w:hAnsi="仿宋" w:eastAsia="仿宋" w:cs="仿宋"/>
          <w:szCs w:val="24"/>
          <w:highlight w:val="none"/>
          <w:lang w:eastAsia="zh-CN"/>
        </w:rPr>
        <w:t>公开招标采购文件</w:t>
      </w:r>
      <w:r>
        <w:rPr>
          <w:rFonts w:hint="eastAsia" w:ascii="仿宋" w:hAnsi="仿宋" w:eastAsia="仿宋" w:cs="仿宋"/>
          <w:szCs w:val="24"/>
          <w:highlight w:val="none"/>
        </w:rPr>
        <w:t>第六部分格式要</w:t>
      </w:r>
      <w:r>
        <w:rPr>
          <w:rFonts w:hint="eastAsia" w:ascii="仿宋" w:hAnsi="仿宋" w:eastAsia="仿宋" w:cs="仿宋"/>
          <w:highlight w:val="none"/>
        </w:rPr>
        <w:t>求进行签署、盖章。</w:t>
      </w:r>
      <w:r>
        <w:rPr>
          <w:rFonts w:hint="eastAsia" w:ascii="仿宋" w:hAnsi="仿宋" w:eastAsia="仿宋" w:cs="仿宋"/>
          <w:b/>
          <w:highlight w:val="none"/>
        </w:rPr>
        <w:t>▲投标人的投标文件未按照</w:t>
      </w:r>
      <w:r>
        <w:rPr>
          <w:rFonts w:hint="eastAsia" w:ascii="仿宋" w:hAnsi="仿宋" w:eastAsia="仿宋" w:cs="仿宋"/>
          <w:b/>
          <w:highlight w:val="none"/>
          <w:lang w:eastAsia="zh-CN"/>
        </w:rPr>
        <w:t>公开招标采购文件</w:t>
      </w:r>
      <w:r>
        <w:rPr>
          <w:rFonts w:hint="eastAsia" w:ascii="仿宋" w:hAnsi="仿宋" w:eastAsia="仿宋" w:cs="仿宋"/>
          <w:b/>
          <w:highlight w:val="none"/>
        </w:rPr>
        <w:t>要求签署、盖章的，其投标无效</w:t>
      </w:r>
      <w:r>
        <w:rPr>
          <w:rFonts w:hint="eastAsia" w:ascii="仿宋" w:hAnsi="仿宋" w:eastAsia="仿宋" w:cs="仿宋"/>
          <w:szCs w:val="24"/>
          <w:highlight w:val="none"/>
        </w:rPr>
        <w:t>。</w:t>
      </w:r>
    </w:p>
    <w:p w14:paraId="67E27038">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13.2为确保网上操作合法、有效和安全，投标人应当在投标截止时间前完成在“</w:t>
      </w:r>
      <w:r>
        <w:rPr>
          <w:rFonts w:hint="eastAsia" w:ascii="仿宋" w:hAnsi="仿宋" w:eastAsia="仿宋" w:cs="仿宋"/>
          <w:highlight w:val="none"/>
          <w:lang w:val="en-US" w:eastAsia="zh-CN"/>
        </w:rPr>
        <w:t>乐采</w:t>
      </w:r>
      <w:r>
        <w:rPr>
          <w:rFonts w:hint="eastAsia" w:ascii="仿宋" w:hAnsi="仿宋" w:eastAsia="仿宋" w:cs="仿宋"/>
          <w:highlight w:val="none"/>
        </w:rPr>
        <w:t>云平台”的身份认证，确保在电子投标过程中能够对相关数据电文进行加密和使用电子签名。</w:t>
      </w:r>
    </w:p>
    <w:p w14:paraId="51A8607B">
      <w:pPr>
        <w:pStyle w:val="129"/>
        <w:snapToGrid w:val="0"/>
        <w:spacing w:before="0"/>
        <w:ind w:firstLine="480"/>
        <w:rPr>
          <w:rFonts w:hint="eastAsia" w:ascii="仿宋" w:hAnsi="仿宋" w:eastAsia="仿宋" w:cs="仿宋"/>
          <w:szCs w:val="24"/>
          <w:highlight w:val="none"/>
        </w:rPr>
      </w:pPr>
      <w:r>
        <w:rPr>
          <w:rFonts w:hint="eastAsia" w:ascii="仿宋" w:hAnsi="仿宋" w:eastAsia="仿宋" w:cs="仿宋"/>
          <w:highlight w:val="none"/>
        </w:rPr>
        <w:t>13.3</w:t>
      </w:r>
      <w:r>
        <w:rPr>
          <w:rFonts w:hint="eastAsia" w:ascii="仿宋" w:hAnsi="仿宋" w:eastAsia="仿宋" w:cs="仿宋"/>
          <w:highlight w:val="none"/>
          <w:lang w:eastAsia="zh-CN"/>
        </w:rPr>
        <w:t>公开招标采购文件</w:t>
      </w:r>
      <w:r>
        <w:rPr>
          <w:rFonts w:hint="eastAsia" w:ascii="仿宋" w:hAnsi="仿宋" w:eastAsia="仿宋" w:cs="仿宋"/>
          <w:highlight w:val="none"/>
        </w:rPr>
        <w:t>对投标文件签署、盖章的要求适用于电子签名。</w:t>
      </w:r>
    </w:p>
    <w:p w14:paraId="283863F2">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14. 投标文件的提交、补充、修改、撤回</w:t>
      </w:r>
    </w:p>
    <w:p w14:paraId="3AAB5F0F">
      <w:pPr>
        <w:pStyle w:val="129"/>
        <w:ind w:firstLine="480"/>
        <w:rPr>
          <w:rFonts w:hint="eastAsia" w:ascii="仿宋" w:hAnsi="仿宋" w:eastAsia="仿宋" w:cs="仿宋"/>
          <w:szCs w:val="24"/>
          <w:highlight w:val="none"/>
        </w:rPr>
      </w:pPr>
      <w:r>
        <w:rPr>
          <w:rFonts w:hint="eastAsia" w:ascii="仿宋" w:hAnsi="仿宋" w:eastAsia="仿宋" w:cs="仿宋"/>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0D048B0">
      <w:pPr>
        <w:pStyle w:val="129"/>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DABE567">
      <w:pPr>
        <w:pStyle w:val="129"/>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1699E289">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15.备份投标文件</w:t>
      </w:r>
    </w:p>
    <w:p w14:paraId="2EF76705">
      <w:pPr>
        <w:pStyle w:val="32"/>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highlight w:val="none"/>
        </w:rPr>
        <w:t>但采购人、采购机构不强制或变相强制投标人提交备份投标文件。</w:t>
      </w:r>
    </w:p>
    <w:p w14:paraId="43C99219">
      <w:pPr>
        <w:pStyle w:val="32"/>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15.2备份投标文件须在“</w:t>
      </w:r>
      <w:r>
        <w:rPr>
          <w:rFonts w:hint="eastAsia" w:ascii="仿宋" w:hAnsi="仿宋" w:eastAsia="仿宋" w:cs="仿宋"/>
          <w:sz w:val="24"/>
          <w:szCs w:val="24"/>
          <w:highlight w:val="none"/>
          <w:lang w:eastAsia="zh-CN"/>
        </w:rPr>
        <w:t>乐</w:t>
      </w:r>
      <w:r>
        <w:rPr>
          <w:rFonts w:hint="eastAsia" w:ascii="仿宋" w:hAnsi="仿宋" w:eastAsia="仿宋" w:cs="仿宋"/>
          <w:sz w:val="24"/>
          <w:szCs w:val="24"/>
          <w:highlight w:val="none"/>
        </w:rPr>
        <w:t>采云投标客户端”制作生成，并储存在</w:t>
      </w:r>
      <w:r>
        <w:rPr>
          <w:rFonts w:hint="eastAsia" w:ascii="仿宋" w:hAnsi="仿宋" w:eastAsia="仿宋" w:cs="仿宋"/>
          <w:sz w:val="24"/>
          <w:highlight w:val="none"/>
        </w:rPr>
        <w:t>DVD光盘</w:t>
      </w:r>
      <w:r>
        <w:rPr>
          <w:rFonts w:hint="eastAsia" w:ascii="仿宋" w:hAnsi="仿宋" w:eastAsia="仿宋" w:cs="仿宋"/>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存储、密封规定的备份投标文件将被视为无效或者被拒绝接收。</w:t>
      </w:r>
    </w:p>
    <w:p w14:paraId="4CBAB21C">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15.3直接提交备份投标文件的，投标人应于投标截止时间前在</w:t>
      </w:r>
      <w:r>
        <w:rPr>
          <w:rFonts w:hint="eastAsia" w:ascii="仿宋" w:hAnsi="仿宋" w:eastAsia="仿宋" w:cs="仿宋"/>
          <w:sz w:val="24"/>
          <w:highlight w:val="none"/>
          <w:lang w:eastAsia="zh-CN"/>
        </w:rPr>
        <w:t>采购</w:t>
      </w:r>
      <w:r>
        <w:rPr>
          <w:rFonts w:hint="eastAsia" w:ascii="仿宋" w:hAnsi="仿宋" w:eastAsia="仿宋" w:cs="仿宋"/>
          <w:sz w:val="24"/>
          <w:szCs w:val="24"/>
          <w:highlight w:val="none"/>
        </w:rPr>
        <w:t>公告中载明的开标地点将备份投标文件提交给采购机构，采购机构将拒绝接受逾期送达的备份投标文件。</w:t>
      </w:r>
    </w:p>
    <w:p w14:paraId="105D5115">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highlight w:val="none"/>
          <w:lang w:eastAsia="zh-CN"/>
        </w:rPr>
        <w:t>公开招标采购文件</w:t>
      </w:r>
      <w:r>
        <w:rPr>
          <w:rFonts w:hint="eastAsia" w:ascii="仿宋" w:hAnsi="仿宋" w:eastAsia="仿宋" w:cs="仿宋"/>
          <w:snapToGrid/>
          <w:sz w:val="24"/>
          <w:szCs w:val="24"/>
          <w:highlight w:val="none"/>
        </w:rPr>
        <w:t>第二部分投标人须知前附表规定的备份投标文件送达地点；</w:t>
      </w:r>
      <w:r>
        <w:rPr>
          <w:rFonts w:hint="eastAsia" w:ascii="仿宋" w:hAnsi="仿宋" w:eastAsia="仿宋" w:cs="仿宋"/>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1D4F28BA">
      <w:pPr>
        <w:pStyle w:val="32"/>
        <w:spacing w:line="360" w:lineRule="auto"/>
        <w:ind w:firstLine="479" w:firstLineChars="199"/>
        <w:rPr>
          <w:rFonts w:hint="eastAsia" w:ascii="仿宋" w:hAnsi="仿宋" w:eastAsia="仿宋" w:cs="仿宋"/>
          <w:b/>
          <w:sz w:val="24"/>
          <w:szCs w:val="24"/>
          <w:highlight w:val="none"/>
        </w:rPr>
      </w:pPr>
      <w:r>
        <w:rPr>
          <w:rFonts w:hint="eastAsia" w:ascii="仿宋" w:hAnsi="仿宋" w:eastAsia="仿宋" w:cs="仿宋"/>
          <w:b/>
          <w:sz w:val="24"/>
          <w:szCs w:val="24"/>
          <w:highlight w:val="none"/>
        </w:rPr>
        <w:t>15.5投标人仅提交备份投标文件，未在电子交易平台传输递交投标文件的，投标无效。</w:t>
      </w:r>
    </w:p>
    <w:p w14:paraId="4AD43E97">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16.投标文件的无效处理</w:t>
      </w:r>
    </w:p>
    <w:p w14:paraId="2CEDB2E5">
      <w:pPr>
        <w:pStyle w:val="2"/>
        <w:spacing w:line="360" w:lineRule="auto"/>
        <w:ind w:firstLine="360" w:firstLineChars="150"/>
        <w:rPr>
          <w:rFonts w:hint="eastAsia" w:ascii="仿宋" w:hAnsi="仿宋" w:eastAsia="仿宋" w:cs="仿宋"/>
          <w:szCs w:val="21"/>
          <w:highlight w:val="none"/>
        </w:rPr>
      </w:pPr>
      <w:r>
        <w:rPr>
          <w:rFonts w:hint="eastAsia" w:ascii="仿宋" w:hAnsi="仿宋" w:eastAsia="仿宋" w:cs="仿宋"/>
          <w:szCs w:val="21"/>
          <w:highlight w:val="none"/>
        </w:rPr>
        <w:t>有</w:t>
      </w:r>
      <w:r>
        <w:rPr>
          <w:rFonts w:hint="eastAsia" w:ascii="仿宋" w:hAnsi="仿宋" w:eastAsia="仿宋" w:cs="仿宋"/>
          <w:szCs w:val="21"/>
          <w:highlight w:val="none"/>
          <w:lang w:eastAsia="zh-CN"/>
        </w:rPr>
        <w:t>公开招标采购文件</w:t>
      </w:r>
      <w:r>
        <w:rPr>
          <w:rFonts w:hint="eastAsia" w:ascii="仿宋" w:hAnsi="仿宋" w:eastAsia="仿宋" w:cs="仿宋"/>
          <w:szCs w:val="21"/>
          <w:highlight w:val="none"/>
        </w:rPr>
        <w:t>第四部分</w:t>
      </w:r>
      <w:r>
        <w:rPr>
          <w:rFonts w:hint="eastAsia" w:ascii="仿宋" w:hAnsi="仿宋" w:eastAsia="仿宋" w:cs="仿宋"/>
          <w:highlight w:val="none"/>
        </w:rPr>
        <w:t>4.2规定</w:t>
      </w:r>
      <w:r>
        <w:rPr>
          <w:rFonts w:hint="eastAsia" w:ascii="仿宋" w:hAnsi="仿宋" w:eastAsia="仿宋" w:cs="仿宋"/>
          <w:szCs w:val="21"/>
          <w:highlight w:val="none"/>
        </w:rPr>
        <w:t>的情形之一的，投标无效：</w:t>
      </w:r>
    </w:p>
    <w:p w14:paraId="6CA5153F">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17.投标有效期</w:t>
      </w:r>
    </w:p>
    <w:p w14:paraId="7A890065">
      <w:pPr>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17.1投标有效期为从提交投标文件的截止之日起90天。▲</w:t>
      </w:r>
      <w:r>
        <w:rPr>
          <w:rFonts w:hint="eastAsia" w:ascii="仿宋" w:hAnsi="仿宋" w:eastAsia="仿宋" w:cs="仿宋"/>
          <w:b/>
          <w:sz w:val="24"/>
          <w:szCs w:val="20"/>
          <w:highlight w:val="none"/>
        </w:rPr>
        <w:t>投标人的投标文件中承</w:t>
      </w:r>
      <w:r>
        <w:rPr>
          <w:rFonts w:hint="eastAsia" w:ascii="仿宋" w:hAnsi="仿宋" w:eastAsia="仿宋" w:cs="仿宋"/>
          <w:b/>
          <w:sz w:val="24"/>
          <w:szCs w:val="21"/>
          <w:highlight w:val="none"/>
        </w:rPr>
        <w:t>诺的投标有效期少于</w:t>
      </w:r>
      <w:r>
        <w:rPr>
          <w:rFonts w:hint="eastAsia" w:ascii="仿宋" w:hAnsi="仿宋" w:eastAsia="仿宋" w:cs="仿宋"/>
          <w:b/>
          <w:sz w:val="24"/>
          <w:szCs w:val="21"/>
          <w:highlight w:val="none"/>
          <w:lang w:eastAsia="zh-CN"/>
        </w:rPr>
        <w:t>公开招标采购文件</w:t>
      </w:r>
      <w:r>
        <w:rPr>
          <w:rFonts w:hint="eastAsia" w:ascii="仿宋" w:hAnsi="仿宋" w:eastAsia="仿宋" w:cs="仿宋"/>
          <w:b/>
          <w:sz w:val="24"/>
          <w:szCs w:val="21"/>
          <w:highlight w:val="none"/>
        </w:rPr>
        <w:t>中载明的投标有效期的，投标无效。</w:t>
      </w:r>
    </w:p>
    <w:p w14:paraId="752F0148">
      <w:pPr>
        <w:pStyle w:val="129"/>
        <w:spacing w:before="0"/>
        <w:ind w:firstLine="480"/>
        <w:rPr>
          <w:rFonts w:hint="eastAsia" w:ascii="仿宋" w:hAnsi="仿宋" w:eastAsia="仿宋" w:cs="仿宋"/>
          <w:highlight w:val="none"/>
        </w:rPr>
      </w:pPr>
      <w:r>
        <w:rPr>
          <w:rFonts w:hint="eastAsia" w:ascii="仿宋" w:hAnsi="仿宋" w:eastAsia="仿宋" w:cs="仿宋"/>
          <w:highlight w:val="none"/>
        </w:rPr>
        <w:t>17.2投标文件合格投递后，自投标截止日期起，在投标有效期内有效。</w:t>
      </w:r>
    </w:p>
    <w:p w14:paraId="358BE48C">
      <w:pPr>
        <w:pStyle w:val="129"/>
        <w:spacing w:before="0"/>
        <w:ind w:firstLine="480"/>
        <w:rPr>
          <w:rFonts w:hint="eastAsia" w:ascii="仿宋" w:hAnsi="仿宋" w:eastAsia="仿宋" w:cs="仿宋"/>
          <w:highlight w:val="none"/>
        </w:rPr>
      </w:pPr>
      <w:r>
        <w:rPr>
          <w:rFonts w:hint="eastAsia" w:ascii="仿宋" w:hAnsi="仿宋" w:eastAsia="仿宋" w:cs="仿宋"/>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01DD00FA">
      <w:pPr>
        <w:pStyle w:val="129"/>
        <w:spacing w:before="0"/>
        <w:ind w:firstLine="643"/>
        <w:rPr>
          <w:rFonts w:hint="eastAsia" w:ascii="仿宋" w:hAnsi="仿宋" w:eastAsia="仿宋" w:cs="仿宋"/>
          <w:b/>
          <w:sz w:val="32"/>
          <w:highlight w:val="none"/>
        </w:rPr>
      </w:pPr>
    </w:p>
    <w:p w14:paraId="7C87E020">
      <w:pPr>
        <w:pStyle w:val="129"/>
        <w:spacing w:before="0"/>
        <w:ind w:firstLine="1928" w:firstLineChars="600"/>
        <w:rPr>
          <w:rFonts w:hint="eastAsia" w:ascii="仿宋" w:hAnsi="仿宋" w:eastAsia="仿宋" w:cs="仿宋"/>
          <w:b/>
          <w:sz w:val="32"/>
          <w:highlight w:val="none"/>
        </w:rPr>
      </w:pPr>
      <w:r>
        <w:rPr>
          <w:rFonts w:hint="eastAsia" w:ascii="仿宋" w:hAnsi="仿宋" w:eastAsia="仿宋" w:cs="仿宋"/>
          <w:b/>
          <w:sz w:val="32"/>
          <w:highlight w:val="none"/>
        </w:rPr>
        <w:t>四、开标、资格审查与信用信息查询</w:t>
      </w:r>
    </w:p>
    <w:p w14:paraId="785A575E">
      <w:pPr>
        <w:pStyle w:val="558"/>
        <w:spacing w:before="0" w:line="360" w:lineRule="auto"/>
        <w:ind w:left="0" w:firstLine="241" w:firstLineChars="100"/>
        <w:contextualSpacing/>
        <w:rPr>
          <w:rFonts w:hint="eastAsia" w:ascii="仿宋" w:hAnsi="仿宋" w:eastAsia="仿宋" w:cs="仿宋"/>
          <w:sz w:val="24"/>
          <w:highlight w:val="none"/>
        </w:rPr>
      </w:pPr>
      <w:r>
        <w:rPr>
          <w:rFonts w:hint="eastAsia" w:ascii="仿宋" w:hAnsi="仿宋" w:eastAsia="仿宋" w:cs="仿宋"/>
          <w:b/>
          <w:sz w:val="24"/>
          <w:szCs w:val="24"/>
          <w:highlight w:val="none"/>
        </w:rPr>
        <w:t>18.开标</w:t>
      </w:r>
      <w:r>
        <w:rPr>
          <w:rFonts w:hint="eastAsia" w:ascii="仿宋" w:hAnsi="仿宋" w:eastAsia="仿宋" w:cs="仿宋"/>
          <w:sz w:val="24"/>
          <w:highlight w:val="none"/>
        </w:rPr>
        <w:t xml:space="preserve"> </w:t>
      </w:r>
    </w:p>
    <w:p w14:paraId="5D6B65BA">
      <w:pPr>
        <w:pStyle w:val="558"/>
        <w:spacing w:before="0" w:line="360" w:lineRule="auto"/>
        <w:ind w:left="0" w:firstLine="480" w:firstLineChars="200"/>
        <w:contextualSpacing/>
        <w:rPr>
          <w:rFonts w:hint="eastAsia" w:ascii="仿宋" w:hAnsi="仿宋" w:eastAsia="仿宋" w:cs="仿宋"/>
          <w:sz w:val="24"/>
          <w:highlight w:val="none"/>
        </w:rPr>
      </w:pPr>
      <w:r>
        <w:rPr>
          <w:rFonts w:hint="eastAsia" w:ascii="仿宋" w:hAnsi="仿宋" w:eastAsia="仿宋" w:cs="仿宋"/>
          <w:sz w:val="24"/>
          <w:highlight w:val="none"/>
        </w:rPr>
        <w:t>18.1采购机构按照</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规定的时间通过电子交易平台组织开标，所有投标人均应当准时在线参加。投标人不足3家的，不得开标。</w:t>
      </w:r>
    </w:p>
    <w:p w14:paraId="1C0ED0AC">
      <w:pPr>
        <w:pStyle w:val="558"/>
        <w:spacing w:before="0" w:line="360" w:lineRule="auto"/>
        <w:ind w:left="0" w:firstLine="240" w:firstLineChars="100"/>
        <w:contextualSpacing/>
        <w:rPr>
          <w:rFonts w:hint="eastAsia" w:ascii="仿宋" w:hAnsi="仿宋" w:eastAsia="仿宋" w:cs="仿宋"/>
          <w:sz w:val="24"/>
          <w:highlight w:val="none"/>
        </w:rPr>
      </w:pPr>
      <w:r>
        <w:rPr>
          <w:rFonts w:hint="eastAsia" w:ascii="仿宋" w:hAnsi="仿宋" w:eastAsia="仿宋" w:cs="仿宋"/>
          <w:sz w:val="24"/>
          <w:highlight w:val="none"/>
        </w:rPr>
        <w:t>　18.2开标时，电子交易平台按开标时间自动提取所有投标文件。采购机构依托电子交易平台发起开始解密指令，投标人按照平台提示和</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的规定在半小时内完成在线解密。</w:t>
      </w:r>
    </w:p>
    <w:p w14:paraId="7137BE93">
      <w:pPr>
        <w:pStyle w:val="558"/>
        <w:spacing w:before="0" w:line="360" w:lineRule="auto"/>
        <w:ind w:left="0" w:firstLine="240" w:firstLineChars="100"/>
        <w:contextualSpacing/>
        <w:rPr>
          <w:rFonts w:hint="eastAsia" w:ascii="仿宋" w:hAnsi="仿宋" w:eastAsia="仿宋" w:cs="仿宋"/>
          <w:b/>
          <w:sz w:val="24"/>
          <w:highlight w:val="none"/>
        </w:rPr>
      </w:pPr>
      <w:r>
        <w:rPr>
          <w:rFonts w:hint="eastAsia" w:ascii="仿宋" w:hAnsi="仿宋" w:eastAsia="仿宋" w:cs="仿宋"/>
          <w:sz w:val="24"/>
          <w:highlight w:val="none"/>
        </w:rPr>
        <w:t>　18.3</w:t>
      </w:r>
      <w:r>
        <w:rPr>
          <w:rFonts w:hint="eastAsia" w:ascii="仿宋" w:hAnsi="仿宋" w:eastAsia="仿宋" w:cs="仿宋"/>
          <w:b/>
          <w:sz w:val="24"/>
          <w:highlight w:val="none"/>
        </w:rPr>
        <w:t>投标文件未按时解密，投标人提供了备份投标文件的，以备份投标文件作为依据，否则视为投标文件撤回。投标文件已按时解密的，备份投标文件自动失效。</w:t>
      </w:r>
    </w:p>
    <w:p w14:paraId="60A53F63">
      <w:pPr>
        <w:widowControl/>
        <w:spacing w:before="100" w:beforeAutospacing="1" w:after="240" w:line="360" w:lineRule="auto"/>
        <w:ind w:firstLine="241" w:firstLineChars="100"/>
        <w:jc w:val="left"/>
        <w:rPr>
          <w:rFonts w:hint="eastAsia" w:ascii="仿宋" w:hAnsi="仿宋" w:eastAsia="仿宋" w:cs="仿宋"/>
          <w:b/>
          <w:sz w:val="24"/>
          <w:szCs w:val="20"/>
          <w:highlight w:val="none"/>
        </w:rPr>
      </w:pPr>
      <w:r>
        <w:rPr>
          <w:rFonts w:hint="eastAsia" w:ascii="仿宋" w:hAnsi="仿宋" w:eastAsia="仿宋" w:cs="仿宋"/>
          <w:b/>
          <w:sz w:val="24"/>
          <w:szCs w:val="20"/>
          <w:highlight w:val="none"/>
        </w:rPr>
        <w:t>19、资格审查</w:t>
      </w:r>
    </w:p>
    <w:p w14:paraId="08A4C420">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19.1开标后，采购人或采购机构将依法对投标人的资格进行审查。</w:t>
      </w:r>
    </w:p>
    <w:p w14:paraId="5A197E2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19.2</w:t>
      </w:r>
      <w:r>
        <w:rPr>
          <w:rFonts w:hint="eastAsia" w:ascii="仿宋" w:hAnsi="仿宋" w:eastAsia="仿宋" w:cs="仿宋"/>
          <w:sz w:val="24"/>
          <w:highlight w:val="none"/>
        </w:rPr>
        <w:t>采购人或采购机构依据法律法规和</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的规定，对投标人的资格进行审查。</w:t>
      </w:r>
    </w:p>
    <w:p w14:paraId="55E757F1">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19.3投标人未按照</w:t>
      </w:r>
      <w:r>
        <w:rPr>
          <w:rFonts w:hint="eastAsia" w:ascii="仿宋" w:hAnsi="仿宋" w:eastAsia="仿宋" w:cs="仿宋"/>
          <w:kern w:val="0"/>
          <w:szCs w:val="24"/>
          <w:highlight w:val="none"/>
          <w:lang w:eastAsia="zh-CN"/>
        </w:rPr>
        <w:t>公开招标采购文件</w:t>
      </w:r>
      <w:r>
        <w:rPr>
          <w:rFonts w:hint="eastAsia" w:ascii="仿宋" w:hAnsi="仿宋" w:eastAsia="仿宋" w:cs="仿宋"/>
          <w:kern w:val="0"/>
          <w:szCs w:val="24"/>
          <w:highlight w:val="none"/>
        </w:rPr>
        <w:t>要求提供与</w:t>
      </w:r>
      <w:r>
        <w:rPr>
          <w:rFonts w:hint="eastAsia" w:ascii="仿宋" w:hAnsi="仿宋" w:eastAsia="仿宋" w:cs="仿宋"/>
          <w:highlight w:val="none"/>
        </w:rPr>
        <w:t>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rPr>
        <w:t>投标人不具备</w:t>
      </w:r>
      <w:r>
        <w:rPr>
          <w:rFonts w:hint="eastAsia" w:ascii="仿宋" w:hAnsi="仿宋" w:eastAsia="仿宋" w:cs="仿宋"/>
          <w:highlight w:val="none"/>
          <w:lang w:eastAsia="zh-CN"/>
        </w:rPr>
        <w:t>公开招标采购文件</w:t>
      </w:r>
      <w:r>
        <w:rPr>
          <w:rFonts w:hint="eastAsia" w:ascii="仿宋" w:hAnsi="仿宋" w:eastAsia="仿宋" w:cs="仿宋"/>
          <w:highlight w:val="none"/>
        </w:rPr>
        <w:t>中规定的资格要求，其投标无效。</w:t>
      </w:r>
    </w:p>
    <w:p w14:paraId="2AAAE7E0">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4对未通过资格审查的投标人，采购人或采购机构告知其未通过的原因。</w:t>
      </w:r>
    </w:p>
    <w:p w14:paraId="29A8055B">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5合格投标人不足3家的，不再评标。</w:t>
      </w:r>
    </w:p>
    <w:p w14:paraId="55C4CBFF">
      <w:pPr>
        <w:pStyle w:val="129"/>
        <w:spacing w:before="0"/>
        <w:ind w:firstLine="241" w:firstLineChars="100"/>
        <w:rPr>
          <w:rFonts w:hint="eastAsia" w:ascii="仿宋" w:hAnsi="仿宋" w:eastAsia="仿宋" w:cs="仿宋"/>
          <w:b/>
          <w:szCs w:val="24"/>
          <w:highlight w:val="none"/>
        </w:rPr>
      </w:pPr>
      <w:r>
        <w:rPr>
          <w:rFonts w:hint="eastAsia" w:ascii="仿宋" w:hAnsi="仿宋" w:eastAsia="仿宋" w:cs="仿宋"/>
          <w:b/>
          <w:szCs w:val="24"/>
          <w:highlight w:val="none"/>
        </w:rPr>
        <w:t>20、信用信息查询</w:t>
      </w:r>
      <w:bookmarkStart w:id="399" w:name="_GoBack"/>
      <w:bookmarkEnd w:id="399"/>
    </w:p>
    <w:p w14:paraId="14CBBDC3">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20.1信用信息查询渠道及截止时间：采购机构将在资格审查时通过“信用中国”网站(www.creditchina.gov.cn)、中国政府采购网(www.ccgp.gov.cn)渠道查询投标人接受资格审查时的信用记录。</w:t>
      </w:r>
    </w:p>
    <w:p w14:paraId="1E4A51CC">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20.2信用信息查询记录和证据留存的具体方式：现场查询的投标人的信用记录、查询结果经确认后将与采购文件一起存档。</w:t>
      </w:r>
    </w:p>
    <w:p w14:paraId="599FF8AE">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20.3信用信息的使用规则：经查询列入失信被执行人名单、重大税收违法案件当事人名单、严重违法失信行为记录名单的投标人将被拒绝参与采购活动。</w:t>
      </w:r>
    </w:p>
    <w:p w14:paraId="7B2AC413">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highlight w:val="none"/>
        </w:rPr>
        <w:t>。</w:t>
      </w:r>
    </w:p>
    <w:p w14:paraId="4D1F84D2">
      <w:pPr>
        <w:pStyle w:val="129"/>
        <w:spacing w:before="0"/>
        <w:ind w:firstLine="0" w:firstLineChars="0"/>
        <w:rPr>
          <w:rFonts w:hint="eastAsia" w:ascii="仿宋" w:hAnsi="仿宋" w:eastAsia="仿宋" w:cs="仿宋"/>
          <w:kern w:val="0"/>
          <w:szCs w:val="24"/>
          <w:highlight w:val="none"/>
        </w:rPr>
      </w:pPr>
    </w:p>
    <w:p w14:paraId="29FF5E4C">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五、评标</w:t>
      </w:r>
    </w:p>
    <w:p w14:paraId="126B00E8">
      <w:pPr>
        <w:spacing w:line="360" w:lineRule="auto"/>
        <w:ind w:firstLine="241" w:firstLineChars="100"/>
        <w:rPr>
          <w:rFonts w:hint="eastAsia" w:ascii="仿宋" w:hAnsi="仿宋" w:eastAsia="仿宋" w:cs="仿宋"/>
          <w:b/>
          <w:sz w:val="24"/>
          <w:highlight w:val="none"/>
        </w:rPr>
      </w:pPr>
      <w:bookmarkStart w:id="14" w:name="_Toc91899903"/>
      <w:r>
        <w:rPr>
          <w:rFonts w:hint="eastAsia" w:ascii="仿宋" w:hAnsi="仿宋" w:eastAsia="仿宋" w:cs="仿宋"/>
          <w:b/>
          <w:sz w:val="24"/>
          <w:highlight w:val="none"/>
        </w:rPr>
        <w:t>21.</w:t>
      </w:r>
      <w:r>
        <w:rPr>
          <w:rFonts w:hint="eastAsia" w:ascii="仿宋" w:hAnsi="仿宋" w:eastAsia="仿宋" w:cs="仿宋"/>
          <w:highlight w:val="none"/>
        </w:rPr>
        <w:t xml:space="preserve"> </w:t>
      </w:r>
      <w:r>
        <w:rPr>
          <w:rFonts w:hint="eastAsia" w:ascii="仿宋" w:hAnsi="仿宋" w:eastAsia="仿宋" w:cs="仿宋"/>
          <w:sz w:val="24"/>
          <w:highlight w:val="none"/>
        </w:rPr>
        <w:t>评标委员会将根据</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和有关规定，履行评标工作职责，并按照评标方法及评分标准，全面衡量各投标人对</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的响应情况。对实质上响应</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的投标人，按照评审因素的量化指标排出推荐中标的投标人的先后顺序，并按顺序提出授标建议。</w:t>
      </w:r>
      <w:r>
        <w:rPr>
          <w:rFonts w:hint="eastAsia" w:ascii="仿宋" w:hAnsi="仿宋" w:eastAsia="仿宋" w:cs="仿宋"/>
          <w:b/>
          <w:sz w:val="24"/>
          <w:highlight w:val="none"/>
        </w:rPr>
        <w:t>详见</w:t>
      </w:r>
      <w:r>
        <w:rPr>
          <w:rFonts w:hint="eastAsia" w:ascii="仿宋" w:hAnsi="仿宋" w:eastAsia="仿宋" w:cs="仿宋"/>
          <w:b/>
          <w:sz w:val="24"/>
          <w:highlight w:val="none"/>
          <w:lang w:eastAsia="zh-CN"/>
        </w:rPr>
        <w:t>公开招标采购文件</w:t>
      </w:r>
      <w:r>
        <w:rPr>
          <w:rFonts w:hint="eastAsia" w:ascii="仿宋" w:hAnsi="仿宋" w:eastAsia="仿宋" w:cs="仿宋"/>
          <w:b/>
          <w:sz w:val="24"/>
          <w:highlight w:val="none"/>
        </w:rPr>
        <w:t>第四部分评标办法。</w:t>
      </w:r>
    </w:p>
    <w:p w14:paraId="4D06D267">
      <w:pPr>
        <w:spacing w:line="360" w:lineRule="auto"/>
        <w:rPr>
          <w:rFonts w:hint="eastAsia" w:ascii="仿宋" w:hAnsi="仿宋" w:eastAsia="仿宋" w:cs="仿宋"/>
          <w:b/>
          <w:sz w:val="24"/>
          <w:highlight w:val="none"/>
        </w:rPr>
      </w:pPr>
    </w:p>
    <w:p w14:paraId="5EFED0B0">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六、定 标</w:t>
      </w:r>
    </w:p>
    <w:p w14:paraId="0C41ACAD">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22. 确定中标供应商</w:t>
      </w:r>
    </w:p>
    <w:p w14:paraId="22EA39C2">
      <w:pPr>
        <w:pStyle w:val="129"/>
        <w:snapToGrid w:val="0"/>
        <w:spacing w:before="0"/>
        <w:ind w:firstLine="480"/>
        <w:rPr>
          <w:rFonts w:hint="eastAsia" w:ascii="仿宋" w:hAnsi="仿宋" w:eastAsia="仿宋" w:cs="仿宋"/>
          <w:b/>
          <w:szCs w:val="24"/>
          <w:highlight w:val="none"/>
        </w:rPr>
      </w:pPr>
      <w:r>
        <w:rPr>
          <w:rFonts w:hint="eastAsia" w:ascii="仿宋" w:hAnsi="仿宋" w:eastAsia="仿宋" w:cs="仿宋"/>
          <w:szCs w:val="24"/>
          <w:highlight w:val="none"/>
          <w:lang w:eastAsia="zh-CN"/>
        </w:rPr>
        <w:t>本</w:t>
      </w:r>
      <w:r>
        <w:rPr>
          <w:rFonts w:hint="eastAsia" w:ascii="仿宋" w:hAnsi="仿宋" w:eastAsia="仿宋" w:cs="仿宋"/>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A7D3F59">
      <w:pPr>
        <w:pStyle w:val="129"/>
        <w:snapToGrid w:val="0"/>
        <w:spacing w:before="0"/>
        <w:ind w:firstLine="241" w:firstLineChars="100"/>
        <w:rPr>
          <w:rFonts w:hint="eastAsia" w:ascii="仿宋" w:hAnsi="仿宋" w:eastAsia="仿宋" w:cs="仿宋"/>
          <w:b/>
          <w:szCs w:val="24"/>
          <w:highlight w:val="none"/>
        </w:rPr>
      </w:pPr>
      <w:r>
        <w:rPr>
          <w:rFonts w:hint="eastAsia" w:ascii="仿宋" w:hAnsi="仿宋" w:eastAsia="仿宋" w:cs="仿宋"/>
          <w:b/>
          <w:szCs w:val="24"/>
          <w:highlight w:val="none"/>
        </w:rPr>
        <w:t>23. 中标通知与中标结果公告</w:t>
      </w:r>
    </w:p>
    <w:p w14:paraId="4F9B528C">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23.1自中标人确定之日起2个工作日内，采购机构通过电子交易平台向中标人发出中标通知书，同时编制发布采购结果公告。采购机构也可以以纸质形式进行中标通知。</w:t>
      </w:r>
    </w:p>
    <w:p w14:paraId="01DDD4DD">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23.2中标结果公告内容包括采购人及其委托的采购机构的名称、地址、联系方式，项目名称和项目编号，中标人名称、地址和中标金额，中标公告期限以及评审专家名单</w:t>
      </w:r>
      <w:r>
        <w:rPr>
          <w:rFonts w:hint="eastAsia" w:ascii="仿宋" w:hAnsi="仿宋" w:eastAsia="仿宋" w:cs="仿宋"/>
          <w:sz w:val="24"/>
          <w:highlight w:val="none"/>
          <w:lang w:eastAsia="zh-CN"/>
        </w:rPr>
        <w:t>。</w:t>
      </w:r>
      <w:r>
        <w:rPr>
          <w:rFonts w:hint="eastAsia" w:ascii="仿宋" w:hAnsi="仿宋" w:eastAsia="仿宋" w:cs="仿宋"/>
          <w:sz w:val="24"/>
          <w:highlight w:val="none"/>
        </w:rPr>
        <w:t>23.3公告期限为1个工作日。</w:t>
      </w:r>
    </w:p>
    <w:p w14:paraId="282C99DA">
      <w:pPr>
        <w:snapToGrid w:val="0"/>
        <w:spacing w:line="360" w:lineRule="auto"/>
        <w:ind w:left="120" w:leftChars="57" w:firstLine="482" w:firstLineChars="150"/>
        <w:jc w:val="center"/>
        <w:rPr>
          <w:rFonts w:hint="eastAsia" w:ascii="仿宋" w:hAnsi="仿宋" w:eastAsia="仿宋" w:cs="仿宋"/>
          <w:b/>
          <w:sz w:val="32"/>
          <w:highlight w:val="none"/>
        </w:rPr>
      </w:pPr>
    </w:p>
    <w:p w14:paraId="2DD9641F">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七、合同授予</w:t>
      </w:r>
    </w:p>
    <w:p w14:paraId="4365970A">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 xml:space="preserve">24. </w:t>
      </w:r>
      <w:r>
        <w:rPr>
          <w:rFonts w:hint="eastAsia" w:ascii="仿宋" w:hAnsi="仿宋" w:eastAsia="仿宋" w:cs="仿宋"/>
          <w:highlight w:val="none"/>
        </w:rPr>
        <w:t>合同主要条款详见第五部分拟签订的合同文本。</w:t>
      </w:r>
    </w:p>
    <w:p w14:paraId="4A3099E9">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25. 合同的签订</w:t>
      </w:r>
    </w:p>
    <w:p w14:paraId="674435B9">
      <w:pPr>
        <w:widowControl/>
        <w:shd w:val="clear" w:color="auto" w:fill="FFFFFF"/>
        <w:spacing w:line="360" w:lineRule="auto"/>
        <w:ind w:firstLine="480"/>
        <w:jc w:val="left"/>
        <w:rPr>
          <w:rFonts w:hint="eastAsia" w:ascii="仿宋" w:hAnsi="仿宋" w:eastAsia="仿宋" w:cs="仿宋"/>
          <w:kern w:val="0"/>
          <w:sz w:val="24"/>
          <w:highlight w:val="none"/>
        </w:rPr>
      </w:pPr>
      <w:r>
        <w:rPr>
          <w:rFonts w:hint="eastAsia" w:ascii="仿宋" w:hAnsi="仿宋" w:eastAsia="仿宋" w:cs="仿宋"/>
          <w:sz w:val="24"/>
          <w:highlight w:val="none"/>
        </w:rPr>
        <w:t>25.1</w:t>
      </w:r>
      <w:r>
        <w:rPr>
          <w:rFonts w:hint="eastAsia" w:ascii="仿宋" w:hAnsi="仿宋" w:eastAsia="仿宋" w:cs="仿宋"/>
          <w:kern w:val="0"/>
          <w:sz w:val="24"/>
          <w:highlight w:val="none"/>
        </w:rPr>
        <w:t xml:space="preserve"> 采购人与中标人应当通过电子交易平台在中标通知书发出之日起三十日内，按照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确定的事项签订采购合同，并在签订之日起2个工作日内将采购合同在</w:t>
      </w:r>
      <w:r>
        <w:rPr>
          <w:rFonts w:hint="eastAsia" w:ascii="仿宋" w:hAnsi="仿宋" w:eastAsia="仿宋" w:cs="仿宋"/>
          <w:kern w:val="0"/>
          <w:sz w:val="24"/>
          <w:highlight w:val="none"/>
          <w:lang w:eastAsia="zh-CN"/>
        </w:rPr>
        <w:t>乐彩云平台</w:t>
      </w:r>
      <w:r>
        <w:rPr>
          <w:rFonts w:hint="eastAsia" w:ascii="仿宋" w:hAnsi="仿宋" w:eastAsia="仿宋" w:cs="仿宋"/>
          <w:kern w:val="0"/>
          <w:sz w:val="24"/>
          <w:highlight w:val="none"/>
        </w:rPr>
        <w:t>上公告。鼓励有条件的采购人视情缩减采购合同签订时限，提高采购效率，杜绝“冷、硬、横、推”等不当行为。除不可抗力等特殊情况外，原则上应当在中标通知书发出之日起10个工作日内，与中标供应商按照采购文件确定的事项签订采购合同。</w:t>
      </w:r>
    </w:p>
    <w:p w14:paraId="2AEC0A1C">
      <w:pPr>
        <w:pStyle w:val="129"/>
        <w:snapToGrid w:val="0"/>
        <w:spacing w:before="0"/>
        <w:ind w:firstLine="480"/>
        <w:rPr>
          <w:rFonts w:hint="eastAsia" w:ascii="仿宋" w:hAnsi="仿宋" w:eastAsia="仿宋" w:cs="仿宋"/>
          <w:kern w:val="0"/>
          <w:highlight w:val="none"/>
        </w:rPr>
      </w:pPr>
      <w:r>
        <w:rPr>
          <w:rFonts w:hint="eastAsia" w:ascii="仿宋" w:hAnsi="仿宋" w:eastAsia="仿宋" w:cs="仿宋"/>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A9893D8">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25.3如签订合同并生效后，供应商无故拒绝或延期，除按照合同条款处理外，列入不良行为记录一次，并给予通报。</w:t>
      </w:r>
    </w:p>
    <w:p w14:paraId="3D63EC53">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25.4中标供应商拒绝与采购人签订合同的，采购人可以按照评审报告推荐的中标或者成交候选人名单排序，确定下一候选人为中标供应商，也可以重新开展采购活动。</w:t>
      </w:r>
    </w:p>
    <w:p w14:paraId="1AAD3365">
      <w:pPr>
        <w:pStyle w:val="129"/>
        <w:snapToGrid w:val="0"/>
        <w:spacing w:before="0" w:after="120"/>
        <w:ind w:firstLine="480"/>
        <w:rPr>
          <w:rFonts w:hint="eastAsia" w:ascii="仿宋" w:hAnsi="仿宋" w:eastAsia="仿宋" w:cs="仿宋"/>
          <w:highlight w:val="none"/>
        </w:rPr>
      </w:pPr>
      <w:r>
        <w:rPr>
          <w:rFonts w:hint="eastAsia" w:ascii="仿宋" w:hAnsi="仿宋" w:eastAsia="仿宋" w:cs="仿宋"/>
          <w:highlight w:val="none"/>
        </w:rPr>
        <w:t>25.5采购合同由采购人与中标供应商根据</w:t>
      </w:r>
      <w:r>
        <w:rPr>
          <w:rFonts w:hint="eastAsia" w:ascii="仿宋" w:hAnsi="仿宋" w:eastAsia="仿宋" w:cs="仿宋"/>
          <w:highlight w:val="none"/>
          <w:lang w:eastAsia="zh-CN"/>
        </w:rPr>
        <w:t>公开招标采购文件</w:t>
      </w:r>
      <w:r>
        <w:rPr>
          <w:rFonts w:hint="eastAsia" w:ascii="仿宋" w:hAnsi="仿宋" w:eastAsia="仿宋" w:cs="仿宋"/>
          <w:highlight w:val="none"/>
        </w:rPr>
        <w:t>、投标文件等内容通过电子交易平台在线签订，自动备案。</w:t>
      </w:r>
    </w:p>
    <w:p w14:paraId="68031E51">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26. 履约保证金</w:t>
      </w:r>
    </w:p>
    <w:p w14:paraId="46BDACA7">
      <w:pPr>
        <w:tabs>
          <w:tab w:val="left" w:pos="0"/>
        </w:tabs>
        <w:spacing w:line="360" w:lineRule="auto"/>
        <w:ind w:firstLine="482"/>
        <w:rPr>
          <w:rFonts w:hint="eastAsia" w:ascii="仿宋" w:hAnsi="仿宋" w:eastAsia="仿宋" w:cs="仿宋"/>
          <w:sz w:val="24"/>
          <w:highlight w:val="none"/>
        </w:rPr>
      </w:pPr>
      <w:r>
        <w:rPr>
          <w:rFonts w:hint="eastAsia" w:ascii="仿宋" w:hAnsi="仿宋" w:eastAsia="仿宋" w:cs="仿宋"/>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highlight w:val="none"/>
        </w:rPr>
        <w:t>。履约保证金的数额不得超过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407A71D1">
      <w:pPr>
        <w:snapToGrid w:val="0"/>
        <w:spacing w:line="360" w:lineRule="auto"/>
        <w:ind w:firstLine="0" w:firstLineChars="0"/>
        <w:rPr>
          <w:rFonts w:hint="eastAsia" w:ascii="仿宋" w:hAnsi="仿宋" w:eastAsia="仿宋" w:cs="仿宋"/>
          <w:b/>
          <w:sz w:val="32"/>
          <w:highlight w:val="none"/>
        </w:rPr>
      </w:pPr>
    </w:p>
    <w:p w14:paraId="099A5A8E">
      <w:pPr>
        <w:snapToGrid w:val="0"/>
        <w:spacing w:line="360" w:lineRule="auto"/>
        <w:ind w:firstLine="3357" w:firstLineChars="1045"/>
        <w:rPr>
          <w:rFonts w:hint="eastAsia" w:ascii="仿宋" w:hAnsi="仿宋" w:eastAsia="仿宋" w:cs="仿宋"/>
          <w:b/>
          <w:sz w:val="24"/>
          <w:highlight w:val="none"/>
        </w:rPr>
      </w:pPr>
      <w:r>
        <w:rPr>
          <w:rFonts w:hint="eastAsia" w:ascii="仿宋" w:hAnsi="仿宋" w:eastAsia="仿宋" w:cs="仿宋"/>
          <w:b/>
          <w:sz w:val="32"/>
          <w:highlight w:val="none"/>
        </w:rPr>
        <w:t>八、电子交易活动的中止</w:t>
      </w:r>
    </w:p>
    <w:p w14:paraId="5D93C281">
      <w:pPr>
        <w:pStyle w:val="129"/>
        <w:snapToGrid w:val="0"/>
        <w:spacing w:before="0"/>
        <w:ind w:firstLine="240" w:firstLineChars="100"/>
        <w:rPr>
          <w:rFonts w:hint="eastAsia"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
          <w:szCs w:val="24"/>
          <w:highlight w:val="none"/>
        </w:rPr>
        <w:t>7. 电子交易活动的中止。</w:t>
      </w:r>
      <w:r>
        <w:rPr>
          <w:rFonts w:hint="eastAsia" w:ascii="仿宋" w:hAnsi="仿宋" w:eastAsia="仿宋" w:cs="仿宋"/>
          <w:highlight w:val="none"/>
        </w:rPr>
        <w:t>采购过程中出现以下情形，导致电子交易平台无法正常运行，或者无法保证电子交易的公平、公正和安全时，采购机构可中止电子交易活动：</w:t>
      </w:r>
    </w:p>
    <w:p w14:paraId="5C0F897F">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27.1电子交易平台发生故障而无法登录访问的； </w:t>
      </w:r>
    </w:p>
    <w:p w14:paraId="5C54301A">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27.2电子交易平台应用或数据库出现错误，不能进行正常操作的；</w:t>
      </w:r>
    </w:p>
    <w:p w14:paraId="28D5D89E">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27.3电子交易平台发现严重安全漏洞，有潜在泄密危险的；</w:t>
      </w:r>
    </w:p>
    <w:p w14:paraId="066B26DC">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27.4病毒发作导致不能进行正常操作的； </w:t>
      </w:r>
    </w:p>
    <w:p w14:paraId="055F2560">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27.5其他无法保证电子交易的公平、公正和安全的情况。</w:t>
      </w:r>
    </w:p>
    <w:p w14:paraId="03FCF2D3">
      <w:pPr>
        <w:pStyle w:val="129"/>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5F3C164F">
      <w:pPr>
        <w:tabs>
          <w:tab w:val="left" w:pos="0"/>
        </w:tabs>
        <w:spacing w:line="360" w:lineRule="auto"/>
        <w:ind w:firstLine="480"/>
        <w:rPr>
          <w:rFonts w:hint="eastAsia" w:ascii="仿宋" w:hAnsi="仿宋" w:eastAsia="仿宋" w:cs="仿宋"/>
          <w:sz w:val="24"/>
          <w:highlight w:val="none"/>
        </w:rPr>
      </w:pPr>
    </w:p>
    <w:p w14:paraId="292E6B1D">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九、验收</w:t>
      </w:r>
    </w:p>
    <w:p w14:paraId="4A68A108">
      <w:pPr>
        <w:pStyle w:val="2"/>
        <w:spacing w:line="360" w:lineRule="auto"/>
        <w:ind w:firstLine="241" w:firstLineChars="100"/>
        <w:rPr>
          <w:rFonts w:hint="eastAsia" w:ascii="仿宋" w:hAnsi="仿宋" w:eastAsia="仿宋" w:cs="仿宋"/>
          <w:b/>
          <w:highlight w:val="none"/>
        </w:rPr>
      </w:pPr>
      <w:r>
        <w:rPr>
          <w:rFonts w:hint="eastAsia" w:ascii="仿宋" w:hAnsi="仿宋" w:eastAsia="仿宋" w:cs="仿宋"/>
          <w:b/>
          <w:highlight w:val="none"/>
        </w:rPr>
        <w:t>29.验收</w:t>
      </w:r>
    </w:p>
    <w:p w14:paraId="5AD49DC2">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7EF7CC">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29.2采购人可以邀请参加本项目的其他投标人或者第三方机构参与验收。参与验收的投标人或者第三方机构的意见作为验收书的参考资料一并存档。</w:t>
      </w:r>
    </w:p>
    <w:p w14:paraId="4FD18FA3">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FDDEE31">
      <w:pPr>
        <w:tabs>
          <w:tab w:val="left" w:pos="0"/>
        </w:tabs>
        <w:spacing w:line="360" w:lineRule="auto"/>
        <w:ind w:firstLine="480"/>
        <w:rPr>
          <w:rFonts w:hint="eastAsia" w:ascii="仿宋" w:hAnsi="仿宋" w:eastAsia="仿宋" w:cs="仿宋"/>
          <w:sz w:val="18"/>
          <w:szCs w:val="18"/>
          <w:highlight w:val="none"/>
        </w:rPr>
      </w:pPr>
      <w:r>
        <w:rPr>
          <w:rFonts w:hint="eastAsia" w:ascii="仿宋" w:hAnsi="仿宋" w:eastAsia="仿宋" w:cs="仿宋"/>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违法违规情形的，采购人应当及时报告</w:t>
      </w:r>
      <w:r>
        <w:rPr>
          <w:rFonts w:hint="eastAsia" w:ascii="仿宋" w:hAnsi="仿宋" w:eastAsia="仿宋" w:cs="仿宋"/>
          <w:kern w:val="0"/>
          <w:sz w:val="24"/>
          <w:highlight w:val="none"/>
          <w:lang w:val="en-US" w:eastAsia="zh-CN"/>
        </w:rPr>
        <w:t>监督</w:t>
      </w:r>
      <w:r>
        <w:rPr>
          <w:rFonts w:hint="eastAsia" w:ascii="仿宋" w:hAnsi="仿宋" w:eastAsia="仿宋" w:cs="仿宋"/>
          <w:kern w:val="0"/>
          <w:sz w:val="24"/>
          <w:highlight w:val="none"/>
        </w:rPr>
        <w:t>部门。</w:t>
      </w:r>
    </w:p>
    <w:bookmarkEnd w:id="14"/>
    <w:p w14:paraId="1309B175">
      <w:pPr>
        <w:tabs>
          <w:tab w:val="left" w:pos="0"/>
        </w:tabs>
        <w:spacing w:line="360" w:lineRule="auto"/>
        <w:ind w:firstLine="480"/>
        <w:rPr>
          <w:rFonts w:hint="eastAsia" w:ascii="仿宋" w:hAnsi="仿宋" w:eastAsia="仿宋" w:cs="仿宋"/>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68057669"/>
      <w:bookmarkEnd w:id="16"/>
      <w:bookmarkStart w:id="17" w:name="_Hlt75236101"/>
      <w:bookmarkEnd w:id="17"/>
      <w:bookmarkStart w:id="18" w:name="_Hlt75236290"/>
      <w:bookmarkEnd w:id="18"/>
      <w:bookmarkStart w:id="19" w:name="_Hlt74707468"/>
      <w:bookmarkEnd w:id="19"/>
      <w:bookmarkStart w:id="20" w:name="_Hlt74729768"/>
      <w:bookmarkEnd w:id="20"/>
      <w:bookmarkStart w:id="21" w:name="_Hlt75236011"/>
      <w:bookmarkEnd w:id="21"/>
      <w:bookmarkStart w:id="22" w:name="_Hlt68403820"/>
      <w:bookmarkEnd w:id="22"/>
      <w:bookmarkStart w:id="23" w:name="_Hlt74714665"/>
      <w:bookmarkEnd w:id="23"/>
      <w:bookmarkStart w:id="24" w:name="_Hlt68073093"/>
      <w:bookmarkEnd w:id="24"/>
      <w:bookmarkStart w:id="25" w:name="_Hlt68072990"/>
      <w:bookmarkEnd w:id="25"/>
      <w:bookmarkStart w:id="26" w:name="_Hlt74730295"/>
      <w:bookmarkEnd w:id="26"/>
    </w:p>
    <w:bookmarkEnd w:id="12"/>
    <w:bookmarkEnd w:id="13"/>
    <w:p w14:paraId="12028BEE">
      <w:pPr>
        <w:spacing w:line="360" w:lineRule="auto"/>
        <w:jc w:val="center"/>
        <w:outlineLvl w:val="0"/>
        <w:rPr>
          <w:rFonts w:hint="eastAsia" w:ascii="仿宋" w:hAnsi="仿宋" w:eastAsia="仿宋" w:cs="仿宋"/>
          <w:b/>
          <w:sz w:val="36"/>
          <w:szCs w:val="36"/>
          <w:highlight w:val="none"/>
        </w:rPr>
      </w:pPr>
      <w:bookmarkStart w:id="27" w:name="第四部分"/>
      <w:r>
        <w:rPr>
          <w:rFonts w:hint="eastAsia" w:ascii="仿宋" w:hAnsi="仿宋" w:eastAsia="仿宋" w:cs="仿宋"/>
          <w:b/>
          <w:sz w:val="36"/>
          <w:szCs w:val="36"/>
          <w:highlight w:val="none"/>
        </w:rPr>
        <w:t>第三部分   采购需求</w:t>
      </w:r>
    </w:p>
    <w:p w14:paraId="05595FD3">
      <w:pPr>
        <w:pageBreakBefore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一、概况</w:t>
      </w:r>
    </w:p>
    <w:p w14:paraId="3343A2C6">
      <w:pPr>
        <w:pageBreakBefore w:val="0"/>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szCs w:val="24"/>
          <w:highlight w:val="none"/>
          <w:shd w:val="clear" w:color="auto" w:fill="FFFFFF"/>
        </w:rPr>
      </w:pPr>
      <w:r>
        <w:rPr>
          <w:rFonts w:hint="eastAsia" w:ascii="仿宋" w:hAnsi="仿宋" w:eastAsia="仿宋" w:cs="仿宋"/>
          <w:snapToGrid w:val="0"/>
          <w:color w:val="auto"/>
          <w:kern w:val="0"/>
          <w:sz w:val="24"/>
          <w:szCs w:val="24"/>
          <w:highlight w:val="none"/>
          <w:shd w:val="clear" w:color="auto" w:fill="FFFFFF"/>
        </w:rPr>
        <w:t>1</w:t>
      </w:r>
      <w:r>
        <w:rPr>
          <w:rFonts w:hint="eastAsia" w:ascii="仿宋" w:hAnsi="仿宋" w:eastAsia="仿宋" w:cs="仿宋"/>
          <w:snapToGrid w:val="0"/>
          <w:color w:val="auto"/>
          <w:kern w:val="0"/>
          <w:sz w:val="24"/>
          <w:szCs w:val="24"/>
          <w:highlight w:val="none"/>
          <w:shd w:val="clear" w:color="auto" w:fill="FFFFFF"/>
          <w:lang w:eastAsia="zh-CN"/>
        </w:rPr>
        <w:t>、</w:t>
      </w:r>
      <w:r>
        <w:rPr>
          <w:rFonts w:hint="eastAsia" w:ascii="仿宋" w:hAnsi="仿宋" w:eastAsia="仿宋" w:cs="仿宋"/>
          <w:snapToGrid w:val="0"/>
          <w:color w:val="auto"/>
          <w:kern w:val="0"/>
          <w:sz w:val="24"/>
          <w:szCs w:val="24"/>
          <w:highlight w:val="none"/>
          <w:shd w:val="clear" w:color="auto" w:fill="FFFFFF"/>
        </w:rPr>
        <w:t>项目名称：</w:t>
      </w:r>
      <w:r>
        <w:rPr>
          <w:rFonts w:hint="eastAsia" w:ascii="仿宋" w:hAnsi="仿宋" w:eastAsia="仿宋" w:cs="仿宋"/>
          <w:snapToGrid w:val="0"/>
          <w:color w:val="auto"/>
          <w:kern w:val="0"/>
          <w:sz w:val="24"/>
          <w:szCs w:val="24"/>
          <w:highlight w:val="none"/>
          <w:shd w:val="clear" w:color="auto" w:fill="FFFFFF"/>
          <w:lang w:eastAsia="zh-CN"/>
        </w:rPr>
        <w:t>天目未来谷-生态研学城工程床垫采购安装项目</w:t>
      </w:r>
      <w:r>
        <w:rPr>
          <w:rFonts w:hint="eastAsia" w:ascii="仿宋" w:hAnsi="仿宋" w:eastAsia="仿宋" w:cs="仿宋"/>
          <w:snapToGrid w:val="0"/>
          <w:color w:val="auto"/>
          <w:kern w:val="0"/>
          <w:sz w:val="24"/>
          <w:szCs w:val="24"/>
          <w:highlight w:val="none"/>
          <w:shd w:val="clear" w:color="auto" w:fill="FFFFFF"/>
        </w:rPr>
        <w:t>。</w:t>
      </w:r>
    </w:p>
    <w:p w14:paraId="7B332C94">
      <w:pPr>
        <w:pageBreakBefore w:val="0"/>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szCs w:val="24"/>
          <w:highlight w:val="none"/>
          <w:shd w:val="clear" w:color="auto" w:fill="FFFFFF"/>
        </w:rPr>
      </w:pPr>
      <w:r>
        <w:rPr>
          <w:rFonts w:hint="eastAsia" w:ascii="仿宋" w:hAnsi="仿宋" w:eastAsia="仿宋" w:cs="仿宋"/>
          <w:snapToGrid w:val="0"/>
          <w:color w:val="auto"/>
          <w:kern w:val="0"/>
          <w:sz w:val="24"/>
          <w:szCs w:val="24"/>
          <w:highlight w:val="none"/>
          <w:shd w:val="clear" w:color="auto" w:fill="FFFFFF"/>
        </w:rPr>
        <w:t>2</w:t>
      </w:r>
      <w:r>
        <w:rPr>
          <w:rFonts w:hint="eastAsia" w:ascii="仿宋" w:hAnsi="仿宋" w:eastAsia="仿宋" w:cs="仿宋"/>
          <w:snapToGrid w:val="0"/>
          <w:color w:val="auto"/>
          <w:kern w:val="0"/>
          <w:sz w:val="24"/>
          <w:szCs w:val="24"/>
          <w:highlight w:val="none"/>
          <w:shd w:val="clear" w:color="auto" w:fill="FFFFFF"/>
          <w:lang w:eastAsia="zh-CN"/>
        </w:rPr>
        <w:t>、</w:t>
      </w:r>
      <w:r>
        <w:rPr>
          <w:rFonts w:hint="eastAsia" w:ascii="仿宋" w:hAnsi="仿宋" w:eastAsia="仿宋" w:cs="仿宋"/>
          <w:snapToGrid w:val="0"/>
          <w:color w:val="auto"/>
          <w:kern w:val="0"/>
          <w:sz w:val="24"/>
          <w:szCs w:val="24"/>
          <w:highlight w:val="none"/>
          <w:shd w:val="clear" w:color="auto" w:fill="FFFFFF"/>
        </w:rPr>
        <w:t>供货、安装地点：本项目供货</w:t>
      </w:r>
      <w:r>
        <w:rPr>
          <w:rFonts w:hint="eastAsia" w:ascii="仿宋" w:hAnsi="仿宋" w:eastAsia="仿宋" w:cs="仿宋"/>
          <w:snapToGrid w:val="0"/>
          <w:color w:val="auto"/>
          <w:kern w:val="0"/>
          <w:sz w:val="24"/>
          <w:szCs w:val="24"/>
          <w:highlight w:val="none"/>
          <w:shd w:val="clear" w:color="auto" w:fill="FFFFFF"/>
          <w:lang w:eastAsia="zh-CN"/>
        </w:rPr>
        <w:t>和安装</w:t>
      </w:r>
      <w:r>
        <w:rPr>
          <w:rFonts w:hint="eastAsia" w:ascii="仿宋" w:hAnsi="仿宋" w:eastAsia="仿宋" w:cs="仿宋"/>
          <w:snapToGrid w:val="0"/>
          <w:color w:val="auto"/>
          <w:kern w:val="0"/>
          <w:sz w:val="24"/>
          <w:szCs w:val="24"/>
          <w:highlight w:val="none"/>
          <w:shd w:val="clear" w:color="auto" w:fill="FFFFFF"/>
        </w:rPr>
        <w:t>地</w:t>
      </w:r>
      <w:r>
        <w:rPr>
          <w:rFonts w:hint="eastAsia" w:ascii="仿宋" w:hAnsi="仿宋" w:eastAsia="仿宋" w:cs="仿宋"/>
          <w:snapToGrid w:val="0"/>
          <w:color w:val="auto"/>
          <w:kern w:val="0"/>
          <w:sz w:val="24"/>
          <w:szCs w:val="24"/>
          <w:highlight w:val="none"/>
          <w:shd w:val="clear" w:color="auto" w:fill="FFFFFF"/>
          <w:lang w:eastAsia="zh-CN"/>
        </w:rPr>
        <w:t>点</w:t>
      </w:r>
      <w:r>
        <w:rPr>
          <w:rFonts w:hint="eastAsia" w:ascii="仿宋" w:hAnsi="仿宋" w:eastAsia="仿宋" w:cs="仿宋"/>
          <w:snapToGrid w:val="0"/>
          <w:color w:val="auto"/>
          <w:kern w:val="0"/>
          <w:sz w:val="24"/>
          <w:szCs w:val="24"/>
          <w:highlight w:val="none"/>
          <w:shd w:val="clear" w:color="auto" w:fill="FFFFFF"/>
        </w:rPr>
        <w:t>为</w:t>
      </w:r>
      <w:r>
        <w:rPr>
          <w:rFonts w:hint="eastAsia" w:ascii="仿宋" w:hAnsi="仿宋" w:eastAsia="仿宋" w:cs="仿宋"/>
          <w:snapToGrid w:val="0"/>
          <w:color w:val="auto"/>
          <w:kern w:val="0"/>
          <w:sz w:val="24"/>
          <w:szCs w:val="24"/>
          <w:highlight w:val="none"/>
          <w:shd w:val="clear" w:color="auto" w:fill="FFFFFF"/>
          <w:lang w:eastAsia="zh-CN"/>
        </w:rPr>
        <w:t>天目山希尔顿格芮精选酒店</w:t>
      </w:r>
      <w:r>
        <w:rPr>
          <w:rFonts w:hint="eastAsia" w:ascii="仿宋" w:hAnsi="仿宋" w:eastAsia="仿宋" w:cs="仿宋"/>
          <w:snapToGrid w:val="0"/>
          <w:color w:val="auto"/>
          <w:kern w:val="0"/>
          <w:sz w:val="24"/>
          <w:szCs w:val="24"/>
          <w:highlight w:val="none"/>
          <w:shd w:val="clear" w:color="auto" w:fill="FFFFFF"/>
          <w:lang w:val="en-US" w:eastAsia="zh-CN" w:bidi="ar"/>
        </w:rPr>
        <w:t>内</w:t>
      </w:r>
      <w:r>
        <w:rPr>
          <w:rFonts w:hint="eastAsia" w:ascii="仿宋" w:hAnsi="仿宋" w:eastAsia="仿宋" w:cs="仿宋"/>
          <w:color w:val="auto"/>
          <w:sz w:val="24"/>
          <w:szCs w:val="24"/>
          <w:highlight w:val="none"/>
          <w:shd w:val="clear" w:color="auto" w:fill="FFFFFF"/>
        </w:rPr>
        <w:t>。</w:t>
      </w:r>
    </w:p>
    <w:p w14:paraId="32E02B63">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snapToGrid w:val="0"/>
          <w:color w:val="auto"/>
          <w:kern w:val="0"/>
          <w:sz w:val="24"/>
          <w:szCs w:val="24"/>
          <w:highlight w:val="none"/>
          <w:shd w:val="clear" w:color="auto" w:fill="FFFFFF"/>
          <w:lang w:val="en-US" w:eastAsia="zh-CN"/>
        </w:rPr>
        <w:t>3、项目周期：</w:t>
      </w:r>
      <w:r>
        <w:rPr>
          <w:rFonts w:hint="eastAsia" w:ascii="仿宋" w:hAnsi="仿宋" w:eastAsia="仿宋" w:cs="仿宋"/>
          <w:snapToGrid w:val="0"/>
          <w:color w:val="auto"/>
          <w:kern w:val="0"/>
          <w:sz w:val="24"/>
          <w:highlight w:val="none"/>
          <w:shd w:val="clear" w:color="auto" w:fill="FFFFFF"/>
          <w:lang w:val="en-US" w:eastAsia="zh-CN"/>
        </w:rPr>
        <w:t>中标通知书发出日起5天内完成床垫确认，25天内完成生产、安装、调试。</w:t>
      </w:r>
    </w:p>
    <w:p w14:paraId="0756C17E">
      <w:pPr>
        <w:pStyle w:val="4"/>
        <w:ind w:left="438" w:leftChars="88" w:hanging="253" w:hangingChars="105"/>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二、项目服务要求</w:t>
      </w:r>
    </w:p>
    <w:p w14:paraId="61856CB9">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1.质保期：所有货物提供不少于5年原厂商质保服务（按供货验收完成交付使用之日起计算）。</w:t>
      </w:r>
    </w:p>
    <w:p w14:paraId="6C8FEADC">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须有1名服务人员与采购人对接，负责日常信息的传递和配送的协调工作，并满足货物的配送及</w:t>
      </w:r>
      <w:r>
        <w:rPr>
          <w:rFonts w:hint="eastAsia" w:ascii="仿宋" w:hAnsi="仿宋" w:eastAsia="仿宋" w:cs="仿宋"/>
          <w:kern w:val="2"/>
          <w:sz w:val="24"/>
          <w:szCs w:val="20"/>
          <w:highlight w:val="none"/>
          <w:lang w:eastAsia="zh-CN" w:bidi="ar-SA"/>
        </w:rPr>
        <w:t>安装调试</w:t>
      </w:r>
      <w:r>
        <w:rPr>
          <w:rFonts w:hint="eastAsia" w:ascii="仿宋" w:hAnsi="仿宋" w:eastAsia="仿宋" w:cs="仿宋"/>
          <w:kern w:val="2"/>
          <w:sz w:val="24"/>
          <w:szCs w:val="20"/>
          <w:highlight w:val="none"/>
          <w:lang w:val="en-US" w:eastAsia="zh-CN" w:bidi="ar-SA"/>
        </w:rPr>
        <w:t>服务。拟派专人需要具有一定的同类项目实施经验。</w:t>
      </w:r>
    </w:p>
    <w:p w14:paraId="10D67BCF">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3.不符合质量要求的产品应及时退货或更换，响应时间在24小时内。</w:t>
      </w:r>
    </w:p>
    <w:p w14:paraId="2AC8A3A9">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4.</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制定详细的日常维护计划，定期巡查，及时维护保养和检修。</w:t>
      </w:r>
    </w:p>
    <w:p w14:paraId="56E3CB3E">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5.</w:t>
      </w:r>
      <w:r>
        <w:rPr>
          <w:rFonts w:hint="eastAsia" w:ascii="仿宋" w:hAnsi="仿宋" w:eastAsia="仿宋" w:cs="仿宋"/>
          <w:kern w:val="2"/>
          <w:sz w:val="24"/>
          <w:szCs w:val="20"/>
          <w:highlight w:val="none"/>
          <w:lang w:eastAsia="zh-CN" w:bidi="ar-SA"/>
        </w:rPr>
        <w:t>中标供应商须</w:t>
      </w:r>
      <w:r>
        <w:rPr>
          <w:rFonts w:hint="eastAsia" w:ascii="仿宋" w:hAnsi="仿宋" w:eastAsia="仿宋" w:cs="仿宋"/>
          <w:kern w:val="2"/>
          <w:sz w:val="24"/>
          <w:szCs w:val="20"/>
          <w:highlight w:val="none"/>
          <w:lang w:val="en-US" w:eastAsia="zh-CN" w:bidi="ar-SA"/>
        </w:rPr>
        <w:t>具有较强的技术服务能力，包括具备人员配置和专业维修资质、备件储备等。</w:t>
      </w:r>
    </w:p>
    <w:p w14:paraId="01324928">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三、验收要求和流程</w:t>
      </w:r>
    </w:p>
    <w:p w14:paraId="38FC53A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1.在</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及采购人双方共同参与下进行验收。所供产品符合招标文件供应商投标承诺及采购合同约定的要求。</w:t>
      </w:r>
    </w:p>
    <w:p w14:paraId="64FA9B1D">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2.对产品的品牌、外观、规格、参数配置、数量、配件及安装调试后的使用性能、技术资料及其他进行验收，</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必须在验收现场提供必要的技术支持。</w:t>
      </w:r>
    </w:p>
    <w:p w14:paraId="3EA07E98">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3.所供产品的外观完好，无瑕疵，无安全隐患。</w:t>
      </w:r>
    </w:p>
    <w:p w14:paraId="5A081CA1">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4.所有产品均已运输至指定地点，并安装调试完毕。</w:t>
      </w:r>
    </w:p>
    <w:p w14:paraId="34F218C1">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5.供应商投标承诺及采购合同约定的附件、工具、技术资料等齐全；提供产品使用说明书、合格证。</w:t>
      </w:r>
    </w:p>
    <w:p w14:paraId="6599F1F3">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6.产品的完好性：所提供的产品必须是全新的、完整的、有效的、功能齐全的产品，并且必须是高质量的、工艺精良和包装完好的产品，所有的部件必须无任何缺陷。</w:t>
      </w:r>
    </w:p>
    <w:p w14:paraId="5CFB38B8">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7.</w:t>
      </w:r>
      <w:r>
        <w:rPr>
          <w:rFonts w:hint="eastAsia" w:ascii="仿宋" w:hAnsi="仿宋" w:eastAsia="仿宋" w:cs="仿宋"/>
          <w:kern w:val="2"/>
          <w:sz w:val="24"/>
          <w:szCs w:val="20"/>
          <w:highlight w:val="none"/>
          <w:lang w:eastAsia="zh-CN" w:bidi="ar-SA"/>
        </w:rPr>
        <w:t>中标</w:t>
      </w:r>
      <w:r>
        <w:rPr>
          <w:rFonts w:hint="eastAsia" w:ascii="仿宋" w:hAnsi="仿宋" w:eastAsia="仿宋" w:cs="仿宋"/>
          <w:kern w:val="2"/>
          <w:sz w:val="24"/>
          <w:szCs w:val="20"/>
          <w:highlight w:val="none"/>
          <w:lang w:val="en-US" w:eastAsia="zh-CN" w:bidi="ar-SA"/>
        </w:rPr>
        <w:t>供应商必须按设备配置要求发货的同时提供相应附件。</w:t>
      </w:r>
    </w:p>
    <w:p w14:paraId="240A9A8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8.床垫验收</w:t>
      </w:r>
      <w:r>
        <w:rPr>
          <w:rFonts w:hint="eastAsia" w:ascii="仿宋" w:hAnsi="仿宋" w:eastAsia="仿宋" w:cs="仿宋"/>
          <w:kern w:val="2"/>
          <w:sz w:val="24"/>
          <w:szCs w:val="20"/>
          <w:highlight w:val="none"/>
          <w:lang w:eastAsia="zh-CN" w:bidi="ar-SA"/>
        </w:rPr>
        <w:t>时</w:t>
      </w:r>
      <w:r>
        <w:rPr>
          <w:rFonts w:hint="eastAsia" w:ascii="仿宋" w:hAnsi="仿宋" w:eastAsia="仿宋" w:cs="仿宋"/>
          <w:kern w:val="2"/>
          <w:sz w:val="24"/>
          <w:szCs w:val="20"/>
          <w:highlight w:val="none"/>
          <w:lang w:val="en-US" w:eastAsia="zh-CN" w:bidi="ar-SA"/>
        </w:rPr>
        <w:t>，如所交付床垫与实际参数描述不相符合的，除退回同类采购床垫外，由此造成的损失和一切责任由供应商承担；如所交付床垫符合采购需求相应参数验收条件，</w:t>
      </w:r>
      <w:r>
        <w:rPr>
          <w:rFonts w:hint="eastAsia" w:ascii="仿宋" w:hAnsi="仿宋" w:eastAsia="仿宋" w:cs="仿宋"/>
          <w:kern w:val="2"/>
          <w:sz w:val="24"/>
          <w:szCs w:val="20"/>
          <w:highlight w:val="none"/>
          <w:lang w:eastAsia="zh-CN" w:bidi="ar-SA"/>
        </w:rPr>
        <w:t>采购人</w:t>
      </w:r>
      <w:r>
        <w:rPr>
          <w:rFonts w:hint="eastAsia" w:ascii="仿宋" w:hAnsi="仿宋" w:eastAsia="仿宋" w:cs="仿宋"/>
          <w:kern w:val="2"/>
          <w:sz w:val="24"/>
          <w:szCs w:val="20"/>
          <w:highlight w:val="none"/>
          <w:lang w:val="en-US" w:eastAsia="zh-CN" w:bidi="ar-SA"/>
        </w:rPr>
        <w:t>承担验收相关费用。</w:t>
      </w:r>
    </w:p>
    <w:p w14:paraId="0A9A3600">
      <w:pPr>
        <w:spacing w:line="360" w:lineRule="auto"/>
        <w:ind w:firstLine="480" w:firstLineChars="200"/>
        <w:jc w:val="left"/>
        <w:rPr>
          <w:rFonts w:hint="eastAsia"/>
          <w:highlight w:val="none"/>
          <w:lang w:val="en-US" w:eastAsia="zh-CN"/>
        </w:rPr>
      </w:pPr>
      <w:r>
        <w:rPr>
          <w:rFonts w:hint="eastAsia" w:ascii="仿宋" w:hAnsi="仿宋" w:eastAsia="仿宋" w:cs="仿宋"/>
          <w:sz w:val="24"/>
          <w:highlight w:val="none"/>
          <w:lang w:val="en-US" w:eastAsia="zh-CN"/>
        </w:rPr>
        <w:t>9、满足希尔顿格芮酒店验收标准</w:t>
      </w:r>
      <w:r>
        <w:rPr>
          <w:rFonts w:hint="eastAsia" w:ascii="仿宋" w:hAnsi="仿宋" w:eastAsia="仿宋" w:cs="仿宋"/>
          <w:sz w:val="24"/>
          <w:highlight w:val="none"/>
          <w:lang w:val="zh-CN" w:eastAsia="zh-CN"/>
        </w:rPr>
        <w:t>。</w:t>
      </w:r>
    </w:p>
    <w:p w14:paraId="618F3392">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eastAsia="仿宋" w:cs="仿宋"/>
          <w:b/>
          <w:bCs/>
          <w:color w:val="auto"/>
          <w:kern w:val="2"/>
          <w:sz w:val="24"/>
          <w:szCs w:val="24"/>
          <w:highlight w:val="none"/>
          <w:lang w:val="en-US" w:eastAsia="zh-CN" w:bidi="ar-SA"/>
        </w:rPr>
        <w:t>四</w:t>
      </w:r>
      <w:r>
        <w:rPr>
          <w:rFonts w:hint="eastAsia" w:ascii="仿宋" w:hAnsi="仿宋" w:eastAsia="仿宋" w:cs="仿宋"/>
          <w:b/>
          <w:bCs/>
          <w:color w:val="auto"/>
          <w:kern w:val="2"/>
          <w:sz w:val="24"/>
          <w:szCs w:val="24"/>
          <w:highlight w:val="none"/>
          <w:lang w:val="en-US" w:eastAsia="zh-CN" w:bidi="ar-SA"/>
        </w:rPr>
        <w:t>、采购数量及要求</w:t>
      </w:r>
    </w:p>
    <w:p w14:paraId="313629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1"/>
        <w:rPr>
          <w:rFonts w:hint="eastAsia" w:ascii="仿宋" w:hAnsi="仿宋" w:eastAsia="仿宋" w:cs="仿宋"/>
          <w:sz w:val="24"/>
          <w:highlight w:val="none"/>
        </w:rPr>
      </w:pPr>
      <w:r>
        <w:rPr>
          <w:rFonts w:hint="eastAsia" w:ascii="仿宋" w:hAnsi="仿宋" w:eastAsia="仿宋" w:cs="仿宋"/>
          <w:sz w:val="24"/>
          <w:highlight w:val="none"/>
          <w:lang w:val="en-US" w:eastAsia="zh-CN"/>
        </w:rPr>
        <w:t>采购数量及采购设备的各项参数要求详见采购清单和附件（另附）。</w:t>
      </w:r>
    </w:p>
    <w:p w14:paraId="46EBF45F">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说明：</w:t>
      </w:r>
      <w:r>
        <w:rPr>
          <w:rFonts w:hint="eastAsia" w:ascii="仿宋" w:hAnsi="仿宋" w:eastAsia="仿宋" w:cs="仿宋"/>
          <w:kern w:val="2"/>
          <w:sz w:val="24"/>
          <w:szCs w:val="20"/>
          <w:highlight w:val="none"/>
          <w:lang w:eastAsia="zh-CN" w:bidi="ar-SA"/>
        </w:rPr>
        <w:t>１、中标供应商</w:t>
      </w:r>
      <w:r>
        <w:rPr>
          <w:rFonts w:hint="eastAsia" w:ascii="仿宋" w:hAnsi="仿宋" w:eastAsia="仿宋" w:cs="仿宋"/>
          <w:kern w:val="2"/>
          <w:sz w:val="24"/>
          <w:szCs w:val="20"/>
          <w:highlight w:val="none"/>
          <w:lang w:val="en-US" w:eastAsia="zh-CN" w:bidi="ar-SA"/>
        </w:rPr>
        <w:t>对中标产品使用的安全性能与检测结果的可靠性负全部责任。</w:t>
      </w:r>
    </w:p>
    <w:p w14:paraId="7E21F62E">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w:t>
      </w:r>
      <w:r>
        <w:rPr>
          <w:rFonts w:hint="eastAsia" w:ascii="仿宋" w:hAnsi="仿宋" w:eastAsia="仿宋" w:cs="仿宋"/>
          <w:kern w:val="2"/>
          <w:sz w:val="24"/>
          <w:szCs w:val="20"/>
          <w:highlight w:val="none"/>
          <w:lang w:eastAsia="zh-CN" w:bidi="ar-SA"/>
        </w:rPr>
        <w:t>、</w:t>
      </w:r>
      <w:r>
        <w:rPr>
          <w:rFonts w:hint="eastAsia" w:ascii="仿宋" w:hAnsi="仿宋" w:eastAsia="仿宋" w:cs="仿宋"/>
          <w:kern w:val="2"/>
          <w:sz w:val="24"/>
          <w:szCs w:val="20"/>
          <w:highlight w:val="none"/>
          <w:lang w:val="en-US" w:eastAsia="zh-CN" w:bidi="ar-SA"/>
        </w:rPr>
        <w:t>投标人须提供2025年1月1日以后生产的投标产品。</w:t>
      </w:r>
    </w:p>
    <w:p w14:paraId="2380C7E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w:t>
      </w:r>
      <w:r>
        <w:rPr>
          <w:rFonts w:hint="eastAsia" w:ascii="仿宋" w:hAnsi="仿宋" w:eastAsia="仿宋" w:cs="仿宋"/>
          <w:kern w:val="2"/>
          <w:sz w:val="24"/>
          <w:szCs w:val="20"/>
          <w:highlight w:val="none"/>
          <w:lang w:eastAsia="zh-CN" w:bidi="ar-SA"/>
        </w:rPr>
        <w:t>、</w:t>
      </w:r>
      <w:r>
        <w:rPr>
          <w:rFonts w:hint="eastAsia" w:ascii="仿宋" w:hAnsi="仿宋" w:eastAsia="仿宋" w:cs="仿宋"/>
          <w:kern w:val="2"/>
          <w:sz w:val="24"/>
          <w:szCs w:val="20"/>
          <w:highlight w:val="none"/>
          <w:lang w:val="en-US" w:eastAsia="zh-CN" w:bidi="ar-SA"/>
        </w:rPr>
        <w:t>所有产品含床垫等相关配件由供应商负责免费安装。</w:t>
      </w:r>
    </w:p>
    <w:p w14:paraId="22FE8910">
      <w:pPr>
        <w:widowControl w:val="0"/>
        <w:numPr>
          <w:ilvl w:val="0"/>
          <w:numId w:val="2"/>
        </w:numPr>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招标内容及需求中所指出参数、材料和功能标准等方面的资料如涉及特定品牌、型号规格或制造商的信息，则仅系技术需求及说明而并非进行限制。投标人可提出替代响应内容，但该替代应相当于或优于招标内容及需求的规定，以满足本次招标要求并使招标人可以接受。</w:t>
      </w:r>
    </w:p>
    <w:p w14:paraId="13718B74">
      <w:pPr>
        <w:numPr>
          <w:ilvl w:val="0"/>
          <w:numId w:val="2"/>
        </w:numPr>
        <w:spacing w:line="360" w:lineRule="auto"/>
        <w:ind w:firstLine="480" w:firstLineChars="200"/>
        <w:rPr>
          <w:rFonts w:hint="eastAsia" w:ascii="仿宋" w:hAnsi="仿宋" w:eastAsia="仿宋" w:cs="仿宋"/>
          <w:sz w:val="24"/>
          <w:szCs w:val="20"/>
          <w:highlight w:val="none"/>
          <w:lang w:val="en-US" w:eastAsia="zh-CN"/>
        </w:rPr>
      </w:pPr>
      <w:r>
        <w:rPr>
          <w:rFonts w:hint="eastAsia" w:ascii="仿宋" w:hAnsi="仿宋" w:eastAsia="仿宋" w:cs="仿宋"/>
          <w:sz w:val="24"/>
          <w:szCs w:val="20"/>
          <w:highlight w:val="none"/>
          <w:lang w:val="en-US" w:eastAsia="zh-CN"/>
        </w:rPr>
        <w:t>床垫品牌推荐（Sealy丝涟、 Serta舒达 、Slumberland(Hilding Anders）斯林百兰、King Koil金可儿或相当于）</w:t>
      </w:r>
    </w:p>
    <w:p w14:paraId="327029F0">
      <w:pPr>
        <w:numPr>
          <w:ilvl w:val="0"/>
          <w:numId w:val="2"/>
        </w:numPr>
        <w:spacing w:line="360" w:lineRule="auto"/>
        <w:ind w:firstLine="480" w:firstLineChars="200"/>
        <w:rPr>
          <w:rFonts w:hint="eastAsia" w:ascii="仿宋" w:hAnsi="仿宋" w:eastAsia="仿宋" w:cs="仿宋"/>
          <w:sz w:val="24"/>
          <w:szCs w:val="20"/>
          <w:highlight w:val="none"/>
          <w:lang w:val="en-US" w:eastAsia="zh-CN"/>
        </w:rPr>
      </w:pPr>
      <w:r>
        <w:rPr>
          <w:rFonts w:hint="eastAsia" w:ascii="仿宋" w:hAnsi="仿宋" w:eastAsia="仿宋" w:cs="仿宋"/>
          <w:sz w:val="24"/>
          <w:szCs w:val="20"/>
          <w:highlight w:val="none"/>
          <w:lang w:val="en-US" w:eastAsia="zh-CN"/>
        </w:rPr>
        <w:t>投标人所投床垫配置希尔顿 Comfort Plush面标，需在投标文件中提供扫描件、复印件或照片。</w:t>
      </w:r>
    </w:p>
    <w:p w14:paraId="06F3AF51">
      <w:pPr>
        <w:numPr>
          <w:ilvl w:val="-1"/>
          <w:numId w:val="0"/>
        </w:numPr>
        <w:ind w:firstLine="0" w:firstLineChars="0"/>
        <w:jc w:val="both"/>
        <w:rPr>
          <w:rFonts w:hint="eastAsia" w:ascii="仿宋" w:hAnsi="仿宋" w:eastAsia="仿宋" w:cs="仿宋"/>
          <w:b/>
          <w:bCs/>
          <w:color w:val="auto"/>
          <w:kern w:val="2"/>
          <w:sz w:val="24"/>
          <w:szCs w:val="24"/>
          <w:highlight w:val="none"/>
          <w:lang w:val="en-US" w:eastAsia="zh-CN" w:bidi="ar-SA"/>
        </w:rPr>
      </w:pPr>
      <w:r>
        <w:rPr>
          <w:rFonts w:hint="eastAsia" w:ascii="仿宋" w:eastAsia="仿宋" w:cs="仿宋"/>
          <w:b/>
          <w:bCs/>
          <w:color w:val="auto"/>
          <w:kern w:val="2"/>
          <w:sz w:val="24"/>
          <w:szCs w:val="24"/>
          <w:highlight w:val="none"/>
          <w:lang w:val="en-US" w:eastAsia="zh-CN" w:bidi="ar-SA"/>
        </w:rPr>
        <w:t>五</w:t>
      </w:r>
      <w:r>
        <w:rPr>
          <w:rFonts w:hint="eastAsia" w:ascii="仿宋" w:hAnsi="仿宋" w:eastAsia="仿宋" w:cs="仿宋"/>
          <w:b/>
          <w:bCs/>
          <w:color w:val="auto"/>
          <w:kern w:val="2"/>
          <w:sz w:val="24"/>
          <w:szCs w:val="24"/>
          <w:highlight w:val="none"/>
          <w:lang w:val="en-US" w:eastAsia="zh-CN" w:bidi="ar-SA"/>
        </w:rPr>
        <w:t>、其他要求</w:t>
      </w:r>
    </w:p>
    <w:tbl>
      <w:tblPr>
        <w:tblStyle w:val="6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3"/>
        <w:gridCol w:w="6627"/>
      </w:tblGrid>
      <w:tr w14:paraId="75CCF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2060" w:type="dxa"/>
            <w:noWrap w:val="0"/>
            <w:vAlign w:val="center"/>
          </w:tcPr>
          <w:p w14:paraId="17A45B5E">
            <w:pPr>
              <w:spacing w:line="360" w:lineRule="auto"/>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报价要求</w:t>
            </w:r>
          </w:p>
        </w:tc>
        <w:tc>
          <w:tcPr>
            <w:tcW w:w="7408" w:type="dxa"/>
            <w:noWrap w:val="0"/>
            <w:vAlign w:val="center"/>
          </w:tcPr>
          <w:p w14:paraId="03C0D6DF">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1.投标报价应按招标文件中相关附表格式填写。</w:t>
            </w:r>
          </w:p>
          <w:p w14:paraId="3AE963C4">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2.投标文件中价格全部采用人民币报价，投标文件只允许有一个报价，招标人将不接有选择的或有条件的报价。</w:t>
            </w:r>
          </w:p>
          <w:p w14:paraId="1DED5D68">
            <w:pPr>
              <w:spacing w:line="240" w:lineRule="auto"/>
              <w:ind w:left="0" w:lef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3.本项目的投标报价为：含税综合单价包括</w:t>
            </w:r>
            <w:r>
              <w:rPr>
                <w:rFonts w:hint="eastAsia" w:ascii="仿宋" w:hAnsi="仿宋" w:eastAsia="仿宋" w:cs="仿宋"/>
                <w:color w:val="auto"/>
                <w:sz w:val="24"/>
                <w:szCs w:val="24"/>
                <w:highlight w:val="none"/>
                <w:lang w:eastAsia="zh-CN"/>
              </w:rPr>
              <w:t>设计费、</w:t>
            </w:r>
            <w:r>
              <w:rPr>
                <w:rFonts w:hint="eastAsia" w:ascii="仿宋" w:hAnsi="仿宋" w:eastAsia="仿宋" w:cs="仿宋"/>
                <w:color w:val="auto"/>
                <w:sz w:val="24"/>
                <w:szCs w:val="24"/>
                <w:highlight w:val="none"/>
              </w:rPr>
              <w:t>货款、附件、专用工具、包装、运输、装卸、保险、安装、调试、保管费、保修、第三方检测、利润及税金等完成合同所需的所有工作开支、政策性文件规定包含的所有风险、责任等全部费用。</w:t>
            </w:r>
          </w:p>
          <w:p w14:paraId="4C9DB16D">
            <w:pPr>
              <w:numPr>
                <w:ilvl w:val="0"/>
                <w:numId w:val="3"/>
              </w:numPr>
              <w:spacing w:line="360" w:lineRule="auto"/>
              <w:ind w:left="0" w:leftChars="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标人应派经采购人认可的有经验和能力的技术人员，负责采购产品安装工作；所有的采购产品应按照国家有关技术标准在制造厂检查和试验合格，由中标人负责现场安装调试。在项目相关货物组装就位过程中，中标人应做好成品保护以及相应措施。中标人不得损坏土建结构和已装修完毕的墙面、地面、吊顶和其他已组装就位的货物和系统，由此引起的替换或修补或返工等费用由中标人自行承担，综合考虑到投标报价中。</w:t>
            </w:r>
          </w:p>
          <w:p w14:paraId="40412075">
            <w:pPr>
              <w:numPr>
                <w:ilvl w:val="0"/>
                <w:numId w:val="3"/>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本次招标由采购代理机构负责，中标供应商在收到中标通知书后，向代理机构交纳代理服务费，该费用考虑在总报价中，不必单列。</w:t>
            </w:r>
          </w:p>
          <w:p w14:paraId="0D50E475">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.采购文件未列明，而供应商认为必需的费用也需列入报价。</w:t>
            </w:r>
          </w:p>
        </w:tc>
      </w:tr>
      <w:tr w14:paraId="67DCF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60" w:type="dxa"/>
            <w:noWrap w:val="0"/>
            <w:vAlign w:val="center"/>
          </w:tcPr>
          <w:p w14:paraId="74F264A6">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结算周期及付款方式</w:t>
            </w:r>
          </w:p>
        </w:tc>
        <w:tc>
          <w:tcPr>
            <w:tcW w:w="7408" w:type="dxa"/>
            <w:noWrap w:val="0"/>
            <w:vAlign w:val="center"/>
          </w:tcPr>
          <w:p w14:paraId="55C1BA44">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1.结算周期：</w:t>
            </w:r>
          </w:p>
          <w:p w14:paraId="13E64082">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合同签订后，</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付</w:t>
            </w:r>
            <w:r>
              <w:rPr>
                <w:rFonts w:hint="eastAsia" w:ascii="仿宋" w:hAnsi="仿宋" w:eastAsia="仿宋" w:cs="仿宋"/>
                <w:color w:val="auto"/>
                <w:sz w:val="24"/>
                <w:szCs w:val="24"/>
                <w:highlight w:val="none"/>
                <w:lang w:val="en-US" w:eastAsia="zh-CN"/>
              </w:rPr>
              <w:t>至合同</w:t>
            </w:r>
            <w:r>
              <w:rPr>
                <w:rFonts w:hint="eastAsia" w:ascii="仿宋" w:hAnsi="仿宋" w:eastAsia="仿宋" w:cs="仿宋"/>
                <w:color w:val="auto"/>
                <w:sz w:val="24"/>
                <w:szCs w:val="24"/>
                <w:highlight w:val="none"/>
              </w:rPr>
              <w:t>金额</w:t>
            </w:r>
            <w:r>
              <w:rPr>
                <w:rFonts w:hint="eastAsia" w:ascii="仿宋" w:hAnsi="仿宋" w:eastAsia="仿宋" w:cs="仿宋"/>
                <w:color w:val="auto"/>
                <w:sz w:val="24"/>
                <w:szCs w:val="24"/>
                <w:highlight w:val="none"/>
                <w:lang w:val="en-US" w:eastAsia="zh-CN"/>
              </w:rPr>
              <w:t>的30%；供应商所有床垫安装调试结束且采购人验收合格后须支付至供货</w:t>
            </w:r>
            <w:r>
              <w:rPr>
                <w:rFonts w:hint="eastAsia" w:ascii="仿宋" w:hAnsi="仿宋" w:eastAsia="仿宋" w:cs="仿宋"/>
                <w:color w:val="auto"/>
                <w:sz w:val="24"/>
                <w:szCs w:val="24"/>
                <w:highlight w:val="none"/>
              </w:rPr>
              <w:t>金额的</w:t>
            </w:r>
            <w:r>
              <w:rPr>
                <w:rFonts w:hint="eastAsia" w:ascii="仿宋" w:hAnsi="仿宋" w:eastAsia="仿宋" w:cs="仿宋"/>
                <w:color w:val="auto"/>
                <w:sz w:val="24"/>
                <w:szCs w:val="24"/>
                <w:highlight w:val="none"/>
                <w:lang w:val="en-US" w:eastAsia="zh-CN"/>
              </w:rPr>
              <w:t>80%，审计完成后采购人须付至</w:t>
            </w:r>
            <w:r>
              <w:rPr>
                <w:rFonts w:hint="eastAsia" w:ascii="仿宋" w:hAnsi="仿宋" w:eastAsia="仿宋" w:cs="仿宋"/>
                <w:color w:val="auto"/>
                <w:sz w:val="24"/>
                <w:szCs w:val="24"/>
                <w:highlight w:val="none"/>
              </w:rPr>
              <w:t>结算审定价</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lang w:val="en-US" w:eastAsia="zh-CN"/>
              </w:rPr>
              <w:t>95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并退还履约保证金</w:t>
            </w:r>
            <w:r>
              <w:rPr>
                <w:rFonts w:hint="eastAsia" w:ascii="仿宋" w:hAnsi="仿宋" w:eastAsia="仿宋" w:cs="仿宋"/>
                <w:color w:val="auto"/>
                <w:sz w:val="24"/>
                <w:szCs w:val="24"/>
                <w:highlight w:val="none"/>
                <w:lang w:eastAsia="zh-CN"/>
              </w:rPr>
              <w:t>；剩余尾款作为质量保证金</w:t>
            </w:r>
            <w:r>
              <w:rPr>
                <w:rFonts w:hint="eastAsia" w:ascii="仿宋" w:hAnsi="仿宋" w:eastAsia="仿宋" w:cs="仿宋"/>
                <w:color w:val="auto"/>
                <w:sz w:val="24"/>
                <w:szCs w:val="24"/>
                <w:highlight w:val="none"/>
                <w:lang w:val="en-US" w:eastAsia="zh-CN"/>
              </w:rPr>
              <w:t>，在质保期结束后付清</w:t>
            </w:r>
            <w:r>
              <w:rPr>
                <w:rFonts w:hint="eastAsia" w:ascii="仿宋" w:hAnsi="仿宋" w:eastAsia="仿宋" w:cs="仿宋"/>
                <w:color w:val="auto"/>
                <w:sz w:val="24"/>
                <w:szCs w:val="24"/>
                <w:highlight w:val="none"/>
                <w:lang w:eastAsia="zh-CN"/>
              </w:rPr>
              <w:t>。</w:t>
            </w:r>
          </w:p>
          <w:p w14:paraId="07CDAD02">
            <w:pPr>
              <w:numPr>
                <w:ilvl w:val="0"/>
                <w:numId w:val="4"/>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结算方式：</w:t>
            </w:r>
          </w:p>
          <w:p w14:paraId="347AAB84">
            <w:pPr>
              <w:numPr>
                <w:ilvl w:val="0"/>
                <w:numId w:val="0"/>
              </w:numPr>
              <w:spacing w:line="360" w:lineRule="auto"/>
              <w:ind w:leftChars="0" w:firstLine="480" w:firstLineChars="2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根据实际完成供货设备数量、设备种类、含税综合单价，按实结算。</w:t>
            </w:r>
          </w:p>
          <w:p w14:paraId="53987D65">
            <w:pPr>
              <w:numPr>
                <w:ilvl w:val="0"/>
                <w:numId w:val="4"/>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p w14:paraId="5BC0F688">
            <w:pPr>
              <w:numPr>
                <w:ilvl w:val="0"/>
                <w:numId w:val="0"/>
              </w:numPr>
              <w:spacing w:line="360" w:lineRule="auto"/>
              <w:ind w:leftChars="0" w:firstLine="480" w:firstLineChars="200"/>
              <w:jc w:val="both"/>
              <w:rPr>
                <w:rFonts w:hint="eastAsia" w:ascii="仿宋" w:hAnsi="仿宋" w:eastAsia="仿宋" w:cs="仿宋"/>
                <w:color w:val="auto"/>
                <w:highlight w:val="none"/>
              </w:rPr>
            </w:pPr>
            <w:r>
              <w:rPr>
                <w:rFonts w:hint="eastAsia" w:ascii="仿宋" w:hAnsi="仿宋" w:eastAsia="仿宋" w:cs="仿宋"/>
                <w:color w:val="auto"/>
                <w:sz w:val="24"/>
                <w:szCs w:val="24"/>
                <w:highlight w:val="none"/>
              </w:rPr>
              <w:t>转账或汇款，付款前，供应商需提供符合采购人要求的相关资料及财务要求的发票，否则，采购人不予支付。采购人在供应商提供完整资料后20个工作日内完成支付。</w:t>
            </w:r>
          </w:p>
        </w:tc>
      </w:tr>
      <w:tr w14:paraId="7DF80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060" w:type="dxa"/>
            <w:noWrap w:val="0"/>
            <w:vAlign w:val="center"/>
          </w:tcPr>
          <w:p w14:paraId="2D3F40C2">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履约保证金及</w:t>
            </w:r>
            <w:r>
              <w:rPr>
                <w:rFonts w:hint="eastAsia" w:ascii="仿宋" w:hAnsi="仿宋" w:eastAsia="仿宋" w:cs="仿宋"/>
                <w:color w:val="auto"/>
                <w:sz w:val="24"/>
                <w:szCs w:val="24"/>
                <w:highlight w:val="none"/>
              </w:rPr>
              <w:t>质保金</w:t>
            </w:r>
          </w:p>
        </w:tc>
        <w:tc>
          <w:tcPr>
            <w:tcW w:w="7408" w:type="dxa"/>
            <w:noWrap w:val="0"/>
            <w:vAlign w:val="center"/>
          </w:tcPr>
          <w:p w14:paraId="4EC6CF73">
            <w:pPr>
              <w:numPr>
                <w:ilvl w:val="0"/>
                <w:numId w:val="0"/>
              </w:num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zh-CN"/>
              </w:rPr>
              <w:t>合同签订生效后，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向</w:t>
            </w:r>
            <w:r>
              <w:rPr>
                <w:rFonts w:hint="eastAsia" w:ascii="仿宋" w:hAnsi="仿宋" w:eastAsia="仿宋" w:cs="仿宋"/>
                <w:color w:val="auto"/>
                <w:sz w:val="24"/>
                <w:szCs w:val="24"/>
                <w:highlight w:val="none"/>
                <w:shd w:val="clear" w:color="auto" w:fill="FFFFFF"/>
                <w:lang w:eastAsia="zh-CN"/>
              </w:rPr>
              <w:t>采购人</w:t>
            </w:r>
            <w:r>
              <w:rPr>
                <w:rFonts w:hint="eastAsia" w:ascii="仿宋" w:hAnsi="仿宋" w:eastAsia="仿宋" w:cs="仿宋"/>
                <w:color w:val="auto"/>
                <w:sz w:val="24"/>
                <w:szCs w:val="24"/>
                <w:highlight w:val="none"/>
              </w:rPr>
              <w:t>缴纳合同价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%的履约担保金</w:t>
            </w:r>
            <w:r>
              <w:rPr>
                <w:rFonts w:hint="eastAsia" w:ascii="仿宋" w:hAnsi="仿宋" w:eastAsia="仿宋" w:cs="仿宋"/>
                <w:color w:val="auto"/>
                <w:sz w:val="24"/>
                <w:szCs w:val="24"/>
                <w:highlight w:val="none"/>
                <w:lang w:eastAsia="zh-CN"/>
              </w:rPr>
              <w:t>。</w:t>
            </w:r>
          </w:p>
          <w:p w14:paraId="19CC95BD">
            <w:pPr>
              <w:numPr>
                <w:ilvl w:val="0"/>
                <w:numId w:val="0"/>
              </w:num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质保金金额为结算审定价的5%。</w:t>
            </w:r>
          </w:p>
          <w:p w14:paraId="70D9E517">
            <w:pPr>
              <w:numPr>
                <w:ilvl w:val="0"/>
                <w:numId w:val="0"/>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质保期满，且在质保期内无质量问题或出现的质量问题全部修复后，经采购人确认无息退还[扣除相应款项（如有发生）]。</w:t>
            </w:r>
          </w:p>
        </w:tc>
      </w:tr>
    </w:tbl>
    <w:p w14:paraId="2E0B0CCC">
      <w:pPr>
        <w:snapToGrid w:val="0"/>
        <w:spacing w:line="360" w:lineRule="auto"/>
        <w:jc w:val="center"/>
        <w:rPr>
          <w:rFonts w:hint="eastAsia" w:ascii="仿宋" w:hAnsi="仿宋" w:eastAsia="仿宋" w:cs="仿宋"/>
          <w:b/>
          <w:sz w:val="36"/>
          <w:szCs w:val="36"/>
          <w:highlight w:val="none"/>
        </w:rPr>
      </w:pPr>
      <w:r>
        <w:rPr>
          <w:rFonts w:hint="eastAsia" w:ascii="仿宋" w:hAnsi="仿宋" w:eastAsia="仿宋" w:cs="仿宋"/>
          <w:b/>
          <w:sz w:val="24"/>
          <w:highlight w:val="none"/>
        </w:rPr>
        <w:br w:type="page"/>
      </w:r>
      <w:r>
        <w:rPr>
          <w:rFonts w:hint="eastAsia" w:ascii="仿宋" w:hAnsi="仿宋" w:eastAsia="仿宋" w:cs="仿宋"/>
          <w:b/>
          <w:sz w:val="36"/>
          <w:szCs w:val="36"/>
          <w:highlight w:val="none"/>
        </w:rPr>
        <w:t xml:space="preserve">第四部分   </w:t>
      </w:r>
      <w:bookmarkStart w:id="28" w:name="_Toc184312070"/>
      <w:bookmarkEnd w:id="28"/>
      <w:bookmarkStart w:id="29" w:name="_Toc184308047"/>
      <w:bookmarkEnd w:id="29"/>
      <w:bookmarkStart w:id="30" w:name="_Toc184313255"/>
      <w:bookmarkEnd w:id="30"/>
      <w:bookmarkStart w:id="31" w:name="_Toc184313308"/>
      <w:bookmarkEnd w:id="31"/>
      <w:bookmarkStart w:id="32" w:name="_Toc184310340"/>
      <w:bookmarkEnd w:id="32"/>
      <w:bookmarkStart w:id="33" w:name="_Toc184308074"/>
      <w:bookmarkEnd w:id="33"/>
      <w:bookmarkStart w:id="34" w:name="_Toc184312078"/>
      <w:bookmarkEnd w:id="34"/>
      <w:bookmarkStart w:id="35" w:name="_Toc184314480"/>
      <w:bookmarkEnd w:id="35"/>
      <w:bookmarkStart w:id="36" w:name="_Toc184312088"/>
      <w:bookmarkEnd w:id="36"/>
      <w:bookmarkStart w:id="37" w:name="_Toc184310335"/>
      <w:bookmarkEnd w:id="37"/>
      <w:bookmarkStart w:id="38" w:name="_Toc184314451"/>
      <w:bookmarkEnd w:id="38"/>
      <w:bookmarkStart w:id="39" w:name="_Toc184313273"/>
      <w:bookmarkEnd w:id="39"/>
      <w:bookmarkStart w:id="40" w:name="_Toc184312094"/>
      <w:bookmarkEnd w:id="40"/>
      <w:bookmarkStart w:id="41" w:name="_Toc184312133"/>
      <w:bookmarkEnd w:id="41"/>
      <w:bookmarkStart w:id="42" w:name="_Toc184308083"/>
      <w:bookmarkEnd w:id="42"/>
      <w:bookmarkStart w:id="43" w:name="_Toc184312110"/>
      <w:bookmarkEnd w:id="43"/>
      <w:bookmarkStart w:id="44" w:name="_Toc184314426"/>
      <w:bookmarkEnd w:id="44"/>
      <w:bookmarkStart w:id="45" w:name="_Toc184313245"/>
      <w:bookmarkEnd w:id="45"/>
      <w:bookmarkStart w:id="46" w:name="_Toc184310302"/>
      <w:bookmarkEnd w:id="46"/>
      <w:bookmarkStart w:id="47" w:name="_Toc184308101"/>
      <w:bookmarkEnd w:id="47"/>
      <w:bookmarkStart w:id="48" w:name="_Toc184312135"/>
      <w:bookmarkEnd w:id="48"/>
      <w:bookmarkStart w:id="49" w:name="_Toc184310336"/>
      <w:bookmarkEnd w:id="49"/>
      <w:bookmarkStart w:id="50" w:name="_Toc184313251"/>
      <w:bookmarkEnd w:id="50"/>
      <w:bookmarkStart w:id="51" w:name="_Toc184310315"/>
      <w:bookmarkEnd w:id="51"/>
      <w:bookmarkStart w:id="52" w:name="_Toc184312067"/>
      <w:bookmarkEnd w:id="52"/>
      <w:bookmarkStart w:id="53" w:name="_Toc184314433"/>
      <w:bookmarkEnd w:id="53"/>
      <w:bookmarkStart w:id="54" w:name="_Toc184310298"/>
      <w:bookmarkEnd w:id="54"/>
      <w:bookmarkStart w:id="55" w:name="_Toc184310310"/>
      <w:bookmarkEnd w:id="55"/>
      <w:bookmarkStart w:id="56" w:name="_Toc184313266"/>
      <w:bookmarkEnd w:id="56"/>
      <w:bookmarkStart w:id="57" w:name="_Toc184312129"/>
      <w:bookmarkEnd w:id="57"/>
      <w:bookmarkStart w:id="58" w:name="_Toc184310277"/>
      <w:bookmarkEnd w:id="58"/>
      <w:bookmarkStart w:id="59" w:name="_Toc184314424"/>
      <w:bookmarkEnd w:id="59"/>
      <w:bookmarkStart w:id="60" w:name="_Toc184312122"/>
      <w:bookmarkEnd w:id="60"/>
      <w:bookmarkStart w:id="61" w:name="_Toc184310344"/>
      <w:bookmarkEnd w:id="61"/>
      <w:bookmarkStart w:id="62" w:name="_Toc184310343"/>
      <w:bookmarkEnd w:id="62"/>
      <w:bookmarkStart w:id="63" w:name="_Toc184312119"/>
      <w:bookmarkEnd w:id="63"/>
      <w:bookmarkStart w:id="64" w:name="_Toc184310317"/>
      <w:bookmarkEnd w:id="64"/>
      <w:bookmarkStart w:id="65" w:name="_Toc184314473"/>
      <w:bookmarkEnd w:id="65"/>
      <w:bookmarkStart w:id="66" w:name="_Toc184314421"/>
      <w:bookmarkEnd w:id="66"/>
      <w:bookmarkStart w:id="67" w:name="_Toc184313303"/>
      <w:bookmarkEnd w:id="67"/>
      <w:bookmarkStart w:id="68" w:name="_Toc184308070"/>
      <w:bookmarkEnd w:id="68"/>
      <w:bookmarkStart w:id="69" w:name="_Toc184308059"/>
      <w:bookmarkEnd w:id="69"/>
      <w:bookmarkStart w:id="70" w:name="_Toc184310334"/>
      <w:bookmarkEnd w:id="70"/>
      <w:bookmarkStart w:id="71" w:name="_Toc184312127"/>
      <w:bookmarkEnd w:id="71"/>
      <w:bookmarkStart w:id="72" w:name="_Toc184314412"/>
      <w:bookmarkEnd w:id="72"/>
      <w:bookmarkStart w:id="73" w:name="_Toc184312131"/>
      <w:bookmarkEnd w:id="73"/>
      <w:bookmarkStart w:id="74" w:name="_Toc184313287"/>
      <w:bookmarkEnd w:id="74"/>
      <w:bookmarkStart w:id="75" w:name="_Toc184313302"/>
      <w:bookmarkEnd w:id="75"/>
      <w:bookmarkStart w:id="76" w:name="_Toc184314481"/>
      <w:bookmarkEnd w:id="76"/>
      <w:bookmarkStart w:id="77" w:name="_Toc184313270"/>
      <w:bookmarkEnd w:id="77"/>
      <w:bookmarkStart w:id="78" w:name="_Toc184313243"/>
      <w:bookmarkEnd w:id="78"/>
      <w:bookmarkStart w:id="79" w:name="_Toc184313258"/>
      <w:bookmarkEnd w:id="79"/>
      <w:bookmarkStart w:id="80" w:name="_Toc184310338"/>
      <w:bookmarkEnd w:id="80"/>
      <w:bookmarkStart w:id="81" w:name="_Toc184310276"/>
      <w:bookmarkEnd w:id="81"/>
      <w:bookmarkStart w:id="82" w:name="_Toc184313241"/>
      <w:bookmarkEnd w:id="82"/>
      <w:bookmarkStart w:id="83" w:name="_Toc184312125"/>
      <w:bookmarkEnd w:id="83"/>
      <w:bookmarkStart w:id="84" w:name="_Toc184308055"/>
      <w:bookmarkEnd w:id="84"/>
      <w:bookmarkStart w:id="85" w:name="_Toc184313284"/>
      <w:bookmarkEnd w:id="85"/>
      <w:bookmarkStart w:id="86" w:name="_Toc184310280"/>
      <w:bookmarkEnd w:id="86"/>
      <w:bookmarkStart w:id="87" w:name="_Toc184312083"/>
      <w:bookmarkEnd w:id="87"/>
      <w:bookmarkStart w:id="88" w:name="_Toc184314447"/>
      <w:bookmarkEnd w:id="88"/>
      <w:bookmarkStart w:id="89" w:name="_Toc184314468"/>
      <w:bookmarkEnd w:id="89"/>
      <w:bookmarkStart w:id="90" w:name="_Toc184312114"/>
      <w:bookmarkEnd w:id="90"/>
      <w:bookmarkStart w:id="91" w:name="_Toc184313300"/>
      <w:bookmarkEnd w:id="91"/>
      <w:bookmarkStart w:id="92" w:name="_Toc184310314"/>
      <w:bookmarkEnd w:id="92"/>
      <w:bookmarkStart w:id="93" w:name="_Toc184308071"/>
      <w:bookmarkEnd w:id="93"/>
      <w:bookmarkStart w:id="94" w:name="_Toc184313282"/>
      <w:bookmarkEnd w:id="94"/>
      <w:bookmarkStart w:id="95" w:name="_Toc184308094"/>
      <w:bookmarkEnd w:id="95"/>
      <w:bookmarkStart w:id="96" w:name="_Toc184313252"/>
      <w:bookmarkEnd w:id="96"/>
      <w:bookmarkStart w:id="97" w:name="_Toc184308062"/>
      <w:bookmarkEnd w:id="97"/>
      <w:bookmarkStart w:id="98" w:name="_Toc184314454"/>
      <w:bookmarkEnd w:id="98"/>
      <w:bookmarkStart w:id="99" w:name="_Toc184314471"/>
      <w:bookmarkEnd w:id="99"/>
      <w:bookmarkStart w:id="100" w:name="_Toc184310325"/>
      <w:bookmarkEnd w:id="100"/>
      <w:bookmarkStart w:id="101" w:name="_Toc184308036"/>
      <w:bookmarkEnd w:id="101"/>
      <w:bookmarkStart w:id="102" w:name="_Toc184312112"/>
      <w:bookmarkEnd w:id="102"/>
      <w:bookmarkStart w:id="103" w:name="_Toc184310326"/>
      <w:bookmarkEnd w:id="103"/>
      <w:bookmarkStart w:id="104" w:name="_Toc184313280"/>
      <w:bookmarkEnd w:id="104"/>
      <w:bookmarkStart w:id="105" w:name="_Toc184313276"/>
      <w:bookmarkEnd w:id="105"/>
      <w:bookmarkStart w:id="106" w:name="_Toc184312089"/>
      <w:bookmarkEnd w:id="106"/>
      <w:bookmarkStart w:id="107" w:name="_Toc184313259"/>
      <w:bookmarkEnd w:id="107"/>
      <w:bookmarkStart w:id="108" w:name="_Toc184313260"/>
      <w:bookmarkEnd w:id="108"/>
      <w:bookmarkStart w:id="109" w:name="_Toc184312093"/>
      <w:bookmarkEnd w:id="109"/>
      <w:bookmarkStart w:id="110" w:name="_Toc184313267"/>
      <w:bookmarkEnd w:id="110"/>
      <w:bookmarkStart w:id="111" w:name="_Toc184313253"/>
      <w:bookmarkEnd w:id="111"/>
      <w:bookmarkStart w:id="112" w:name="_Toc184312092"/>
      <w:bookmarkEnd w:id="112"/>
      <w:bookmarkStart w:id="113" w:name="_Toc184308092"/>
      <w:bookmarkEnd w:id="113"/>
      <w:bookmarkStart w:id="114" w:name="_Toc184310293"/>
      <w:bookmarkEnd w:id="114"/>
      <w:bookmarkStart w:id="115" w:name="_Toc184310285"/>
      <w:bookmarkEnd w:id="115"/>
      <w:bookmarkStart w:id="116" w:name="_Toc184313268"/>
      <w:bookmarkEnd w:id="116"/>
      <w:bookmarkStart w:id="117" w:name="_Toc184313256"/>
      <w:bookmarkEnd w:id="117"/>
      <w:bookmarkStart w:id="118" w:name="_Toc184313291"/>
      <w:bookmarkEnd w:id="118"/>
      <w:bookmarkStart w:id="119" w:name="_Toc184314434"/>
      <w:bookmarkEnd w:id="119"/>
      <w:bookmarkStart w:id="120" w:name="_Toc184308064"/>
      <w:bookmarkEnd w:id="120"/>
      <w:bookmarkStart w:id="121" w:name="_Toc184314476"/>
      <w:bookmarkEnd w:id="121"/>
      <w:bookmarkStart w:id="122" w:name="_Toc184314470"/>
      <w:bookmarkEnd w:id="122"/>
      <w:bookmarkStart w:id="123" w:name="_Toc184313278"/>
      <w:bookmarkEnd w:id="123"/>
      <w:bookmarkStart w:id="124" w:name="_Toc184310282"/>
      <w:bookmarkEnd w:id="124"/>
      <w:bookmarkStart w:id="125" w:name="_Toc184312077"/>
      <w:bookmarkEnd w:id="125"/>
      <w:bookmarkStart w:id="126" w:name="_Toc184310333"/>
      <w:bookmarkEnd w:id="126"/>
      <w:bookmarkStart w:id="127" w:name="_Toc184308097"/>
      <w:bookmarkEnd w:id="127"/>
      <w:bookmarkStart w:id="128" w:name="_Toc184313305"/>
      <w:bookmarkEnd w:id="128"/>
      <w:bookmarkStart w:id="129" w:name="_Toc184312115"/>
      <w:bookmarkEnd w:id="129"/>
      <w:bookmarkStart w:id="130" w:name="_Toc184313294"/>
      <w:bookmarkEnd w:id="130"/>
      <w:bookmarkStart w:id="131" w:name="_Toc184312086"/>
      <w:bookmarkEnd w:id="131"/>
      <w:bookmarkStart w:id="132" w:name="_Toc184314464"/>
      <w:bookmarkEnd w:id="132"/>
      <w:bookmarkStart w:id="133" w:name="_Toc184308089"/>
      <w:bookmarkEnd w:id="133"/>
      <w:bookmarkStart w:id="134" w:name="_Toc184310328"/>
      <w:bookmarkEnd w:id="134"/>
      <w:bookmarkStart w:id="135" w:name="_Toc184312084"/>
      <w:bookmarkEnd w:id="135"/>
      <w:bookmarkStart w:id="136" w:name="_Toc184312128"/>
      <w:bookmarkEnd w:id="136"/>
      <w:bookmarkStart w:id="137" w:name="_Toc184313279"/>
      <w:bookmarkEnd w:id="137"/>
      <w:bookmarkStart w:id="138" w:name="_Toc184314450"/>
      <w:bookmarkEnd w:id="138"/>
      <w:bookmarkStart w:id="139" w:name="_Toc184313299"/>
      <w:bookmarkEnd w:id="139"/>
      <w:bookmarkStart w:id="140" w:name="_Toc184310305"/>
      <w:bookmarkEnd w:id="140"/>
      <w:bookmarkStart w:id="141" w:name="_Toc184314443"/>
      <w:bookmarkEnd w:id="141"/>
      <w:bookmarkStart w:id="142" w:name="_Toc184308096"/>
      <w:bookmarkEnd w:id="142"/>
      <w:bookmarkStart w:id="143" w:name="_Toc184312136"/>
      <w:bookmarkEnd w:id="143"/>
      <w:bookmarkStart w:id="144" w:name="_Toc184314442"/>
      <w:bookmarkEnd w:id="144"/>
      <w:bookmarkStart w:id="145" w:name="_Toc184312074"/>
      <w:bookmarkEnd w:id="145"/>
      <w:bookmarkStart w:id="146" w:name="_Toc184314432"/>
      <w:bookmarkEnd w:id="146"/>
      <w:bookmarkStart w:id="147" w:name="_Toc184308103"/>
      <w:bookmarkEnd w:id="147"/>
      <w:bookmarkStart w:id="148" w:name="_Toc184314430"/>
      <w:bookmarkEnd w:id="148"/>
      <w:bookmarkStart w:id="149" w:name="_Toc184314413"/>
      <w:bookmarkEnd w:id="149"/>
      <w:bookmarkStart w:id="150" w:name="_Toc184308091"/>
      <w:bookmarkEnd w:id="150"/>
      <w:bookmarkStart w:id="151" w:name="_Toc184312103"/>
      <w:bookmarkEnd w:id="151"/>
      <w:bookmarkStart w:id="152" w:name="_Toc184314466"/>
      <w:bookmarkEnd w:id="152"/>
      <w:bookmarkStart w:id="153" w:name="_Toc184312075"/>
      <w:bookmarkEnd w:id="153"/>
      <w:bookmarkStart w:id="154" w:name="_Toc184314472"/>
      <w:bookmarkEnd w:id="154"/>
      <w:bookmarkStart w:id="155" w:name="_Toc184312085"/>
      <w:bookmarkEnd w:id="155"/>
      <w:bookmarkStart w:id="156" w:name="_Toc184313301"/>
      <w:bookmarkEnd w:id="156"/>
      <w:bookmarkStart w:id="157" w:name="_Toc184314457"/>
      <w:bookmarkEnd w:id="157"/>
      <w:bookmarkStart w:id="158" w:name="_Toc184312126"/>
      <w:bookmarkEnd w:id="158"/>
      <w:bookmarkStart w:id="159" w:name="_Toc184312117"/>
      <w:bookmarkEnd w:id="159"/>
      <w:bookmarkStart w:id="160" w:name="_Toc184308100"/>
      <w:bookmarkEnd w:id="160"/>
      <w:bookmarkStart w:id="161" w:name="_Toc184314429"/>
      <w:bookmarkEnd w:id="161"/>
      <w:bookmarkStart w:id="162" w:name="_Toc184310281"/>
      <w:bookmarkEnd w:id="162"/>
      <w:bookmarkStart w:id="163" w:name="_Toc184312079"/>
      <w:bookmarkEnd w:id="163"/>
      <w:bookmarkStart w:id="164" w:name="_Toc184314419"/>
      <w:bookmarkEnd w:id="164"/>
      <w:bookmarkStart w:id="165" w:name="_Toc184310289"/>
      <w:bookmarkEnd w:id="165"/>
      <w:bookmarkStart w:id="166" w:name="_Toc184312091"/>
      <w:bookmarkEnd w:id="166"/>
      <w:bookmarkStart w:id="167" w:name="_Toc184312105"/>
      <w:bookmarkEnd w:id="167"/>
      <w:bookmarkStart w:id="168" w:name="_Toc184313246"/>
      <w:bookmarkEnd w:id="168"/>
      <w:bookmarkStart w:id="169" w:name="_Toc184314456"/>
      <w:bookmarkEnd w:id="169"/>
      <w:bookmarkStart w:id="170" w:name="_Toc184312124"/>
      <w:bookmarkEnd w:id="170"/>
      <w:bookmarkStart w:id="171" w:name="_Toc184314444"/>
      <w:bookmarkEnd w:id="171"/>
      <w:bookmarkStart w:id="172" w:name="_Toc184313265"/>
      <w:bookmarkEnd w:id="172"/>
      <w:bookmarkStart w:id="173" w:name="_Toc184308058"/>
      <w:bookmarkEnd w:id="173"/>
      <w:bookmarkStart w:id="174" w:name="_Toc184312095"/>
      <w:bookmarkEnd w:id="174"/>
      <w:bookmarkStart w:id="175" w:name="_Toc184314440"/>
      <w:bookmarkEnd w:id="175"/>
      <w:bookmarkStart w:id="176" w:name="_Toc184313309"/>
      <w:bookmarkEnd w:id="176"/>
      <w:bookmarkStart w:id="177" w:name="_Toc184314428"/>
      <w:bookmarkEnd w:id="177"/>
      <w:bookmarkStart w:id="178" w:name="_Toc184310308"/>
      <w:bookmarkEnd w:id="178"/>
      <w:bookmarkStart w:id="179" w:name="_Toc184308054"/>
      <w:bookmarkEnd w:id="179"/>
      <w:bookmarkStart w:id="180" w:name="_Toc184308061"/>
      <w:bookmarkEnd w:id="180"/>
      <w:bookmarkStart w:id="181" w:name="_Toc184308087"/>
      <w:bookmarkEnd w:id="181"/>
      <w:bookmarkStart w:id="182" w:name="_Toc184313290"/>
      <w:bookmarkEnd w:id="182"/>
      <w:bookmarkStart w:id="183" w:name="_Toc184308037"/>
      <w:bookmarkEnd w:id="183"/>
      <w:bookmarkStart w:id="184" w:name="_Toc184312137"/>
      <w:bookmarkEnd w:id="184"/>
      <w:bookmarkStart w:id="185" w:name="_Toc184314479"/>
      <w:bookmarkEnd w:id="185"/>
      <w:bookmarkStart w:id="186" w:name="_Toc184312071"/>
      <w:bookmarkEnd w:id="186"/>
      <w:bookmarkStart w:id="187" w:name="_Toc184308076"/>
      <w:bookmarkEnd w:id="187"/>
      <w:bookmarkStart w:id="188" w:name="_Toc184308040"/>
      <w:bookmarkEnd w:id="188"/>
      <w:bookmarkStart w:id="189" w:name="_Toc184308080"/>
      <w:bookmarkEnd w:id="189"/>
      <w:bookmarkStart w:id="190" w:name="_Toc184313240"/>
      <w:bookmarkEnd w:id="190"/>
      <w:bookmarkStart w:id="191" w:name="_Toc184312098"/>
      <w:bookmarkEnd w:id="191"/>
      <w:bookmarkStart w:id="192" w:name="_Toc184310313"/>
      <w:bookmarkEnd w:id="192"/>
      <w:bookmarkStart w:id="193" w:name="_Toc184314425"/>
      <w:bookmarkEnd w:id="193"/>
      <w:bookmarkStart w:id="194" w:name="_Toc184313242"/>
      <w:bookmarkEnd w:id="194"/>
      <w:bookmarkStart w:id="195" w:name="_Toc184312097"/>
      <w:bookmarkEnd w:id="195"/>
      <w:bookmarkStart w:id="196" w:name="_Toc184308073"/>
      <w:bookmarkEnd w:id="196"/>
      <w:bookmarkStart w:id="197" w:name="_Toc184312102"/>
      <w:bookmarkEnd w:id="197"/>
      <w:bookmarkStart w:id="198" w:name="_Toc184313250"/>
      <w:bookmarkEnd w:id="198"/>
      <w:bookmarkStart w:id="199" w:name="_Toc184308104"/>
      <w:bookmarkEnd w:id="199"/>
      <w:bookmarkStart w:id="200" w:name="_Toc184308043"/>
      <w:bookmarkEnd w:id="200"/>
      <w:bookmarkStart w:id="201" w:name="_Toc184313269"/>
      <w:bookmarkEnd w:id="201"/>
      <w:bookmarkStart w:id="202" w:name="_Toc184313289"/>
      <w:bookmarkEnd w:id="202"/>
      <w:bookmarkStart w:id="203" w:name="_Toc184308042"/>
      <w:bookmarkEnd w:id="203"/>
      <w:bookmarkStart w:id="204" w:name="_Toc184308098"/>
      <w:bookmarkEnd w:id="204"/>
      <w:bookmarkStart w:id="205" w:name="_Toc184314417"/>
      <w:bookmarkEnd w:id="205"/>
      <w:bookmarkStart w:id="206" w:name="_Toc184314461"/>
      <w:bookmarkEnd w:id="206"/>
      <w:bookmarkStart w:id="207" w:name="_Toc184310295"/>
      <w:bookmarkEnd w:id="207"/>
      <w:bookmarkStart w:id="208" w:name="_Toc184312130"/>
      <w:bookmarkEnd w:id="208"/>
      <w:bookmarkStart w:id="209" w:name="_Toc184308039"/>
      <w:bookmarkEnd w:id="209"/>
      <w:bookmarkStart w:id="210" w:name="_Toc184312107"/>
      <w:bookmarkEnd w:id="210"/>
      <w:bookmarkStart w:id="211" w:name="_Toc184308093"/>
      <w:bookmarkEnd w:id="211"/>
      <w:bookmarkStart w:id="212" w:name="_Toc184313254"/>
      <w:bookmarkEnd w:id="212"/>
      <w:bookmarkStart w:id="213" w:name="_Toc184313288"/>
      <w:bookmarkEnd w:id="213"/>
      <w:bookmarkStart w:id="214" w:name="_Toc184310283"/>
      <w:bookmarkEnd w:id="214"/>
      <w:bookmarkStart w:id="215" w:name="_Toc184313293"/>
      <w:bookmarkEnd w:id="215"/>
      <w:bookmarkStart w:id="216" w:name="_Toc184313272"/>
      <w:bookmarkEnd w:id="216"/>
      <w:bookmarkStart w:id="217" w:name="_Toc184308063"/>
      <w:bookmarkEnd w:id="217"/>
      <w:bookmarkStart w:id="218" w:name="_Toc184308088"/>
      <w:bookmarkEnd w:id="218"/>
      <w:bookmarkStart w:id="219" w:name="_Toc184310320"/>
      <w:bookmarkEnd w:id="219"/>
      <w:bookmarkStart w:id="220" w:name="_Toc184314478"/>
      <w:bookmarkEnd w:id="220"/>
      <w:bookmarkStart w:id="221" w:name="_Toc184308050"/>
      <w:bookmarkEnd w:id="221"/>
      <w:bookmarkStart w:id="222" w:name="_Toc184313297"/>
      <w:bookmarkEnd w:id="222"/>
      <w:bookmarkStart w:id="223" w:name="_Toc184308067"/>
      <w:bookmarkEnd w:id="223"/>
      <w:bookmarkStart w:id="224" w:name="_Toc184312072"/>
      <w:bookmarkEnd w:id="224"/>
      <w:bookmarkStart w:id="225" w:name="_Toc184314475"/>
      <w:bookmarkEnd w:id="225"/>
      <w:bookmarkStart w:id="226" w:name="_Toc184310279"/>
      <w:bookmarkEnd w:id="226"/>
      <w:bookmarkStart w:id="227" w:name="_Toc184313238"/>
      <w:bookmarkEnd w:id="227"/>
      <w:bookmarkStart w:id="228" w:name="_Toc184313277"/>
      <w:bookmarkEnd w:id="228"/>
      <w:bookmarkStart w:id="229" w:name="_Toc184310306"/>
      <w:bookmarkEnd w:id="229"/>
      <w:bookmarkStart w:id="230" w:name="_Toc184308075"/>
      <w:bookmarkEnd w:id="230"/>
      <w:bookmarkStart w:id="231" w:name="_Toc184310274"/>
      <w:bookmarkEnd w:id="231"/>
      <w:bookmarkStart w:id="232" w:name="_Toc184308068"/>
      <w:bookmarkEnd w:id="232"/>
      <w:bookmarkStart w:id="233" w:name="_Toc184310322"/>
      <w:bookmarkEnd w:id="233"/>
      <w:bookmarkStart w:id="234" w:name="_Toc184314416"/>
      <w:bookmarkEnd w:id="234"/>
      <w:bookmarkStart w:id="235" w:name="_Toc184313281"/>
      <w:bookmarkEnd w:id="235"/>
      <w:bookmarkStart w:id="236" w:name="_Toc184310327"/>
      <w:bookmarkEnd w:id="236"/>
      <w:bookmarkStart w:id="237" w:name="_Toc184308084"/>
      <w:bookmarkEnd w:id="237"/>
      <w:bookmarkStart w:id="238" w:name="_Toc184308056"/>
      <w:bookmarkEnd w:id="238"/>
      <w:bookmarkStart w:id="239" w:name="_Toc184312111"/>
      <w:bookmarkEnd w:id="239"/>
      <w:bookmarkStart w:id="240" w:name="_Toc184308081"/>
      <w:bookmarkEnd w:id="240"/>
      <w:bookmarkStart w:id="241" w:name="_Toc184313239"/>
      <w:bookmarkEnd w:id="241"/>
      <w:bookmarkStart w:id="242" w:name="_Toc184314459"/>
      <w:bookmarkEnd w:id="242"/>
      <w:bookmarkStart w:id="243" w:name="_Toc184308041"/>
      <w:bookmarkEnd w:id="243"/>
      <w:bookmarkStart w:id="244" w:name="_Toc184313248"/>
      <w:bookmarkEnd w:id="244"/>
      <w:bookmarkStart w:id="245" w:name="_Toc184310337"/>
      <w:bookmarkEnd w:id="245"/>
      <w:bookmarkStart w:id="246" w:name="_Toc184308072"/>
      <w:bookmarkEnd w:id="246"/>
      <w:bookmarkStart w:id="247" w:name="_Toc184314427"/>
      <w:bookmarkEnd w:id="247"/>
      <w:bookmarkStart w:id="248" w:name="_Toc184308060"/>
      <w:bookmarkEnd w:id="248"/>
      <w:bookmarkStart w:id="249" w:name="_Toc184313257"/>
      <w:bookmarkEnd w:id="249"/>
      <w:bookmarkStart w:id="250" w:name="_Toc184308053"/>
      <w:bookmarkEnd w:id="250"/>
      <w:bookmarkStart w:id="251" w:name="_Toc184310301"/>
      <w:bookmarkEnd w:id="251"/>
      <w:bookmarkStart w:id="252" w:name="_Toc184308086"/>
      <w:bookmarkEnd w:id="252"/>
      <w:bookmarkStart w:id="253" w:name="_Toc184310294"/>
      <w:bookmarkEnd w:id="253"/>
      <w:bookmarkStart w:id="254" w:name="_Toc184308046"/>
      <w:bookmarkEnd w:id="254"/>
      <w:bookmarkStart w:id="255" w:name="_Toc184314482"/>
      <w:bookmarkEnd w:id="255"/>
      <w:bookmarkStart w:id="256" w:name="_Toc184312113"/>
      <w:bookmarkEnd w:id="256"/>
      <w:bookmarkStart w:id="257" w:name="_Toc184310303"/>
      <w:bookmarkEnd w:id="257"/>
      <w:bookmarkStart w:id="258" w:name="_Toc184312090"/>
      <w:bookmarkEnd w:id="258"/>
      <w:bookmarkStart w:id="259" w:name="_Toc184313295"/>
      <w:bookmarkEnd w:id="259"/>
      <w:bookmarkStart w:id="260" w:name="_Toc184310323"/>
      <w:bookmarkEnd w:id="260"/>
      <w:bookmarkStart w:id="261" w:name="_Toc184314436"/>
      <w:bookmarkEnd w:id="261"/>
      <w:bookmarkStart w:id="262" w:name="_Toc184314411"/>
      <w:bookmarkEnd w:id="262"/>
      <w:bookmarkStart w:id="263" w:name="_Toc184308090"/>
      <w:bookmarkEnd w:id="263"/>
      <w:bookmarkStart w:id="264" w:name="_Toc184308102"/>
      <w:bookmarkEnd w:id="264"/>
      <w:bookmarkStart w:id="265" w:name="_Toc184310273"/>
      <w:bookmarkEnd w:id="265"/>
      <w:bookmarkStart w:id="266" w:name="_Toc184310332"/>
      <w:bookmarkEnd w:id="266"/>
      <w:bookmarkStart w:id="267" w:name="_Toc184310318"/>
      <w:bookmarkEnd w:id="267"/>
      <w:bookmarkStart w:id="268" w:name="_Toc184313275"/>
      <w:bookmarkEnd w:id="268"/>
      <w:bookmarkStart w:id="269" w:name="_Toc184314415"/>
      <w:bookmarkEnd w:id="269"/>
      <w:bookmarkStart w:id="270" w:name="_Toc184313296"/>
      <w:bookmarkEnd w:id="270"/>
      <w:bookmarkStart w:id="271" w:name="_Toc184314437"/>
      <w:bookmarkEnd w:id="271"/>
      <w:bookmarkStart w:id="272" w:name="_Toc184310291"/>
      <w:bookmarkEnd w:id="272"/>
      <w:bookmarkStart w:id="273" w:name="_Toc184313292"/>
      <w:bookmarkEnd w:id="273"/>
      <w:bookmarkStart w:id="274" w:name="_Toc184308045"/>
      <w:bookmarkEnd w:id="274"/>
      <w:bookmarkStart w:id="275" w:name="_Toc184313304"/>
      <w:bookmarkEnd w:id="275"/>
      <w:bookmarkStart w:id="276" w:name="_Toc184314445"/>
      <w:bookmarkEnd w:id="276"/>
      <w:bookmarkStart w:id="277" w:name="_Toc184308079"/>
      <w:bookmarkEnd w:id="277"/>
      <w:bookmarkStart w:id="278" w:name="_Toc184310316"/>
      <w:bookmarkEnd w:id="278"/>
      <w:bookmarkStart w:id="279" w:name="_Toc184310287"/>
      <w:bookmarkEnd w:id="279"/>
      <w:bookmarkStart w:id="280" w:name="_Toc184310304"/>
      <w:bookmarkEnd w:id="280"/>
      <w:bookmarkStart w:id="281" w:name="_Toc184310331"/>
      <w:bookmarkEnd w:id="281"/>
      <w:bookmarkStart w:id="282" w:name="_Toc184313263"/>
      <w:bookmarkEnd w:id="282"/>
      <w:bookmarkStart w:id="283" w:name="_Toc184314469"/>
      <w:bookmarkEnd w:id="283"/>
      <w:bookmarkStart w:id="284" w:name="_Toc184314467"/>
      <w:bookmarkEnd w:id="284"/>
      <w:bookmarkStart w:id="285" w:name="_Toc184313286"/>
      <w:bookmarkEnd w:id="285"/>
      <w:bookmarkStart w:id="286" w:name="_Toc184312099"/>
      <w:bookmarkEnd w:id="286"/>
      <w:bookmarkStart w:id="287" w:name="_Toc184314418"/>
      <w:bookmarkEnd w:id="287"/>
      <w:bookmarkStart w:id="288" w:name="_Toc184312106"/>
      <w:bookmarkEnd w:id="288"/>
      <w:bookmarkStart w:id="289" w:name="_Toc184314410"/>
      <w:bookmarkEnd w:id="289"/>
      <w:bookmarkStart w:id="290" w:name="_Toc184314458"/>
      <w:bookmarkEnd w:id="290"/>
      <w:bookmarkStart w:id="291" w:name="_Toc184310309"/>
      <w:bookmarkEnd w:id="291"/>
      <w:bookmarkStart w:id="292" w:name="_Toc184310300"/>
      <w:bookmarkEnd w:id="292"/>
      <w:bookmarkStart w:id="293" w:name="_Toc184308082"/>
      <w:bookmarkEnd w:id="293"/>
      <w:bookmarkStart w:id="294" w:name="_Toc184310297"/>
      <w:bookmarkEnd w:id="294"/>
      <w:bookmarkStart w:id="295" w:name="_Toc184310275"/>
      <w:bookmarkEnd w:id="295"/>
      <w:bookmarkStart w:id="296" w:name="_Toc184312081"/>
      <w:bookmarkEnd w:id="296"/>
      <w:bookmarkStart w:id="297" w:name="_Toc184312108"/>
      <w:bookmarkEnd w:id="297"/>
      <w:bookmarkStart w:id="298" w:name="_Toc184310307"/>
      <w:bookmarkEnd w:id="298"/>
      <w:bookmarkStart w:id="299" w:name="_Toc184314446"/>
      <w:bookmarkEnd w:id="299"/>
      <w:bookmarkStart w:id="300" w:name="_Toc184313306"/>
      <w:bookmarkEnd w:id="300"/>
      <w:bookmarkStart w:id="301" w:name="_Toc184312069"/>
      <w:bookmarkEnd w:id="301"/>
      <w:bookmarkStart w:id="302" w:name="_Toc184310319"/>
      <w:bookmarkEnd w:id="302"/>
      <w:bookmarkStart w:id="303" w:name="_Toc184312073"/>
      <w:bookmarkEnd w:id="303"/>
      <w:bookmarkStart w:id="304" w:name="_Toc184308052"/>
      <w:bookmarkEnd w:id="304"/>
      <w:bookmarkStart w:id="305" w:name="_Toc184310341"/>
      <w:bookmarkEnd w:id="305"/>
      <w:bookmarkStart w:id="306" w:name="_Toc184310321"/>
      <w:bookmarkEnd w:id="306"/>
      <w:bookmarkStart w:id="307" w:name="_Toc184312101"/>
      <w:bookmarkEnd w:id="307"/>
      <w:bookmarkStart w:id="308" w:name="_Toc184313247"/>
      <w:bookmarkEnd w:id="308"/>
      <w:bookmarkStart w:id="309" w:name="_Toc184314477"/>
      <w:bookmarkEnd w:id="309"/>
      <w:bookmarkStart w:id="310" w:name="_Toc184314453"/>
      <w:bookmarkEnd w:id="310"/>
      <w:bookmarkStart w:id="311" w:name="_Toc184313310"/>
      <w:bookmarkEnd w:id="311"/>
      <w:bookmarkStart w:id="312" w:name="_Toc184308077"/>
      <w:bookmarkEnd w:id="312"/>
      <w:bookmarkStart w:id="313" w:name="_Toc184312132"/>
      <w:bookmarkEnd w:id="313"/>
      <w:bookmarkStart w:id="314" w:name="_Toc184310292"/>
      <w:bookmarkEnd w:id="314"/>
      <w:bookmarkStart w:id="315" w:name="_Toc184312121"/>
      <w:bookmarkEnd w:id="315"/>
      <w:bookmarkStart w:id="316" w:name="_Toc184310330"/>
      <w:bookmarkEnd w:id="316"/>
      <w:bookmarkStart w:id="317" w:name="_Toc184314448"/>
      <w:bookmarkEnd w:id="317"/>
      <w:bookmarkStart w:id="318" w:name="_Toc184314474"/>
      <w:bookmarkEnd w:id="318"/>
      <w:bookmarkStart w:id="319" w:name="_Toc184314455"/>
      <w:bookmarkEnd w:id="319"/>
      <w:bookmarkStart w:id="320" w:name="_Toc184308108"/>
      <w:bookmarkEnd w:id="320"/>
      <w:bookmarkStart w:id="321" w:name="_Toc184313285"/>
      <w:bookmarkEnd w:id="321"/>
      <w:bookmarkStart w:id="322" w:name="_Toc184312104"/>
      <w:bookmarkEnd w:id="322"/>
      <w:bookmarkStart w:id="323" w:name="_Toc184314435"/>
      <w:bookmarkEnd w:id="323"/>
      <w:bookmarkStart w:id="324" w:name="_Toc184308105"/>
      <w:bookmarkEnd w:id="324"/>
      <w:bookmarkStart w:id="325" w:name="_Toc184313274"/>
      <w:bookmarkEnd w:id="325"/>
      <w:bookmarkStart w:id="326" w:name="_Toc184308069"/>
      <w:bookmarkEnd w:id="326"/>
      <w:bookmarkStart w:id="327" w:name="_Toc184314438"/>
      <w:bookmarkEnd w:id="327"/>
      <w:bookmarkStart w:id="328" w:name="_Toc184312116"/>
      <w:bookmarkEnd w:id="328"/>
      <w:bookmarkStart w:id="329" w:name="_Toc184314449"/>
      <w:bookmarkEnd w:id="329"/>
      <w:bookmarkStart w:id="330" w:name="_Toc184312087"/>
      <w:bookmarkEnd w:id="330"/>
      <w:bookmarkStart w:id="331" w:name="_Toc184310312"/>
      <w:bookmarkEnd w:id="331"/>
      <w:bookmarkStart w:id="332" w:name="_Toc184312068"/>
      <w:bookmarkEnd w:id="332"/>
      <w:bookmarkStart w:id="333" w:name="_Toc184308048"/>
      <w:bookmarkEnd w:id="333"/>
      <w:bookmarkStart w:id="334" w:name="_Toc184312076"/>
      <w:bookmarkEnd w:id="334"/>
      <w:bookmarkStart w:id="335" w:name="_Toc184313271"/>
      <w:bookmarkEnd w:id="335"/>
      <w:bookmarkStart w:id="336" w:name="_Toc184313262"/>
      <w:bookmarkEnd w:id="336"/>
      <w:bookmarkStart w:id="337" w:name="_Toc184308066"/>
      <w:bookmarkEnd w:id="337"/>
      <w:bookmarkStart w:id="338" w:name="_Toc184314431"/>
      <w:bookmarkEnd w:id="338"/>
      <w:bookmarkStart w:id="339" w:name="_Toc184310339"/>
      <w:bookmarkEnd w:id="339"/>
      <w:bookmarkStart w:id="340" w:name="_Toc184308049"/>
      <w:bookmarkEnd w:id="340"/>
      <w:bookmarkStart w:id="341" w:name="_Toc184312134"/>
      <w:bookmarkEnd w:id="341"/>
      <w:bookmarkStart w:id="342" w:name="_Toc184314439"/>
      <w:bookmarkEnd w:id="342"/>
      <w:bookmarkStart w:id="343" w:name="_Toc184310272"/>
      <w:bookmarkEnd w:id="343"/>
      <w:bookmarkStart w:id="344" w:name="_Toc184310324"/>
      <w:bookmarkEnd w:id="344"/>
      <w:bookmarkStart w:id="345" w:name="_Toc184313244"/>
      <w:bookmarkEnd w:id="345"/>
      <w:bookmarkStart w:id="346" w:name="_Toc184312100"/>
      <w:bookmarkEnd w:id="346"/>
      <w:bookmarkStart w:id="347" w:name="_Toc184314422"/>
      <w:bookmarkEnd w:id="347"/>
      <w:bookmarkStart w:id="348" w:name="_Toc184310284"/>
      <w:bookmarkEnd w:id="348"/>
      <w:bookmarkStart w:id="349" w:name="_Toc184312096"/>
      <w:bookmarkEnd w:id="349"/>
      <w:bookmarkStart w:id="350" w:name="_Toc184310311"/>
      <w:bookmarkEnd w:id="350"/>
      <w:bookmarkStart w:id="351" w:name="_Toc184308106"/>
      <w:bookmarkEnd w:id="351"/>
      <w:bookmarkStart w:id="352" w:name="_Toc184312109"/>
      <w:bookmarkEnd w:id="352"/>
      <w:bookmarkStart w:id="353" w:name="_Toc184314441"/>
      <w:bookmarkEnd w:id="353"/>
      <w:bookmarkStart w:id="354" w:name="_Toc184312138"/>
      <w:bookmarkEnd w:id="354"/>
      <w:bookmarkStart w:id="355" w:name="_Toc184314420"/>
      <w:bookmarkEnd w:id="355"/>
      <w:bookmarkStart w:id="356" w:name="_Toc184308065"/>
      <w:bookmarkEnd w:id="356"/>
      <w:bookmarkStart w:id="357" w:name="_Toc184310288"/>
      <w:bookmarkEnd w:id="357"/>
      <w:bookmarkStart w:id="358" w:name="_Toc184314462"/>
      <w:bookmarkEnd w:id="358"/>
      <w:bookmarkStart w:id="359" w:name="_Toc184308085"/>
      <w:bookmarkEnd w:id="359"/>
      <w:bookmarkStart w:id="360" w:name="_Toc184308038"/>
      <w:bookmarkEnd w:id="360"/>
      <w:bookmarkStart w:id="361" w:name="_Toc184313264"/>
      <w:bookmarkEnd w:id="361"/>
      <w:bookmarkStart w:id="362" w:name="_Toc184314414"/>
      <w:bookmarkEnd w:id="362"/>
      <w:bookmarkStart w:id="363" w:name="_Toc184314460"/>
      <w:bookmarkEnd w:id="363"/>
      <w:bookmarkStart w:id="364" w:name="_Toc184312118"/>
      <w:bookmarkEnd w:id="364"/>
      <w:bookmarkStart w:id="365" w:name="_Toc184310299"/>
      <w:bookmarkEnd w:id="365"/>
      <w:bookmarkStart w:id="366" w:name="_Toc184313249"/>
      <w:bookmarkEnd w:id="366"/>
      <w:bookmarkStart w:id="367" w:name="_Toc184312080"/>
      <w:bookmarkEnd w:id="367"/>
      <w:bookmarkStart w:id="368" w:name="_Toc184310342"/>
      <w:bookmarkEnd w:id="368"/>
      <w:bookmarkStart w:id="369" w:name="_Toc184310296"/>
      <w:bookmarkEnd w:id="369"/>
      <w:bookmarkStart w:id="370" w:name="_Toc184308107"/>
      <w:bookmarkEnd w:id="370"/>
      <w:bookmarkStart w:id="371" w:name="_Toc184310329"/>
      <w:bookmarkEnd w:id="371"/>
      <w:bookmarkStart w:id="372" w:name="_Toc184312120"/>
      <w:bookmarkEnd w:id="372"/>
      <w:bookmarkStart w:id="373" w:name="_Toc184308057"/>
      <w:bookmarkEnd w:id="373"/>
      <w:bookmarkStart w:id="374" w:name="_Toc184312082"/>
      <w:bookmarkEnd w:id="374"/>
      <w:bookmarkStart w:id="375" w:name="_Toc184312139"/>
      <w:bookmarkEnd w:id="375"/>
      <w:bookmarkStart w:id="376" w:name="_Toc184308099"/>
      <w:bookmarkEnd w:id="376"/>
      <w:bookmarkStart w:id="377" w:name="_Toc184308095"/>
      <w:bookmarkEnd w:id="377"/>
      <w:bookmarkStart w:id="378" w:name="_Toc184313261"/>
      <w:bookmarkEnd w:id="378"/>
      <w:bookmarkStart w:id="379" w:name="_Toc184314452"/>
      <w:bookmarkEnd w:id="379"/>
      <w:bookmarkStart w:id="380" w:name="_Toc184310290"/>
      <w:bookmarkEnd w:id="380"/>
      <w:bookmarkStart w:id="381" w:name="_Toc184313283"/>
      <w:bookmarkEnd w:id="381"/>
      <w:bookmarkStart w:id="382" w:name="_Toc184313307"/>
      <w:bookmarkEnd w:id="382"/>
      <w:bookmarkStart w:id="383" w:name="_Toc184310286"/>
      <w:bookmarkEnd w:id="383"/>
      <w:bookmarkStart w:id="384" w:name="_Toc184310278"/>
      <w:bookmarkEnd w:id="384"/>
      <w:bookmarkStart w:id="385" w:name="_Toc184314423"/>
      <w:bookmarkEnd w:id="385"/>
      <w:bookmarkStart w:id="386" w:name="_Toc184312123"/>
      <w:bookmarkEnd w:id="386"/>
      <w:bookmarkStart w:id="387" w:name="_Toc184314463"/>
      <w:bookmarkEnd w:id="387"/>
      <w:bookmarkStart w:id="388" w:name="_Toc184314465"/>
      <w:bookmarkEnd w:id="388"/>
      <w:bookmarkStart w:id="389" w:name="_Toc184313298"/>
      <w:bookmarkEnd w:id="389"/>
      <w:bookmarkStart w:id="390" w:name="_Toc184308051"/>
      <w:bookmarkEnd w:id="390"/>
      <w:bookmarkStart w:id="391" w:name="_Toc184308044"/>
      <w:bookmarkEnd w:id="391"/>
      <w:bookmarkStart w:id="392" w:name="_Toc184308078"/>
      <w:bookmarkEnd w:id="392"/>
      <w:r>
        <w:rPr>
          <w:rFonts w:hint="eastAsia" w:ascii="仿宋" w:hAnsi="仿宋" w:eastAsia="仿宋" w:cs="仿宋"/>
          <w:b/>
          <w:sz w:val="36"/>
          <w:szCs w:val="36"/>
          <w:highlight w:val="none"/>
        </w:rPr>
        <w:t>评标办法</w:t>
      </w:r>
    </w:p>
    <w:p w14:paraId="33F40AB8">
      <w:pPr>
        <w:snapToGrid w:val="0"/>
        <w:spacing w:line="360" w:lineRule="auto"/>
        <w:jc w:val="center"/>
        <w:rPr>
          <w:rFonts w:hint="eastAsia" w:ascii="仿宋" w:hAnsi="仿宋" w:eastAsia="仿宋" w:cs="仿宋"/>
          <w:b/>
          <w:sz w:val="32"/>
          <w:szCs w:val="20"/>
          <w:highlight w:val="none"/>
        </w:rPr>
      </w:pPr>
      <w:r>
        <w:rPr>
          <w:rFonts w:hint="eastAsia" w:ascii="仿宋" w:hAnsi="仿宋" w:eastAsia="仿宋" w:cs="仿宋"/>
          <w:b/>
          <w:sz w:val="32"/>
          <w:szCs w:val="20"/>
          <w:highlight w:val="none"/>
        </w:rPr>
        <w:t>评标办法前附表</w:t>
      </w:r>
    </w:p>
    <w:tbl>
      <w:tblPr>
        <w:tblStyle w:val="63"/>
        <w:tblpPr w:leftFromText="180" w:rightFromText="180" w:vertAnchor="text" w:horzAnchor="page" w:tblpX="1875" w:tblpY="476"/>
        <w:tblW w:w="492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5049"/>
        <w:gridCol w:w="545"/>
        <w:gridCol w:w="656"/>
        <w:gridCol w:w="1492"/>
      </w:tblGrid>
      <w:tr w14:paraId="11B5B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374" w:type="pct"/>
            <w:vAlign w:val="center"/>
          </w:tcPr>
          <w:p w14:paraId="75333F4A">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序号</w:t>
            </w:r>
          </w:p>
        </w:tc>
        <w:tc>
          <w:tcPr>
            <w:tcW w:w="3016" w:type="pct"/>
            <w:vAlign w:val="center"/>
          </w:tcPr>
          <w:p w14:paraId="5AAC1D3A">
            <w:pPr>
              <w:spacing w:line="360" w:lineRule="auto"/>
              <w:ind w:firstLine="1560" w:firstLineChars="650"/>
              <w:outlineLvl w:val="0"/>
              <w:rPr>
                <w:rFonts w:ascii="仿宋" w:hAnsi="仿宋" w:eastAsia="仿宋" w:cs="仿宋_GB2312"/>
                <w:bCs/>
                <w:sz w:val="24"/>
                <w:highlight w:val="none"/>
              </w:rPr>
            </w:pPr>
            <w:r>
              <w:rPr>
                <w:rFonts w:hint="eastAsia" w:ascii="仿宋" w:hAnsi="仿宋" w:eastAsia="仿宋" w:cs="仿宋_GB2312"/>
                <w:bCs/>
                <w:sz w:val="24"/>
                <w:highlight w:val="none"/>
              </w:rPr>
              <w:t>评标标准</w:t>
            </w:r>
          </w:p>
        </w:tc>
        <w:tc>
          <w:tcPr>
            <w:tcW w:w="325" w:type="pct"/>
            <w:vAlign w:val="center"/>
          </w:tcPr>
          <w:p w14:paraId="4E51A55D">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权重</w:t>
            </w:r>
          </w:p>
        </w:tc>
        <w:tc>
          <w:tcPr>
            <w:tcW w:w="391" w:type="pct"/>
            <w:vAlign w:val="center"/>
          </w:tcPr>
          <w:p w14:paraId="020F4D7A">
            <w:pPr>
              <w:spacing w:line="360" w:lineRule="auto"/>
              <w:jc w:val="center"/>
              <w:outlineLvl w:val="0"/>
              <w:rPr>
                <w:rFonts w:hint="eastAsia" w:ascii="仿宋" w:hAnsi="仿宋" w:eastAsia="仿宋" w:cs="仿宋_GB2312"/>
                <w:bCs/>
                <w:sz w:val="24"/>
                <w:highlight w:val="none"/>
                <w:lang w:eastAsia="zh-CN"/>
              </w:rPr>
            </w:pPr>
            <w:r>
              <w:rPr>
                <w:rFonts w:hint="eastAsia" w:ascii="仿宋" w:hAnsi="仿宋" w:eastAsia="仿宋" w:cs="仿宋_GB2312"/>
                <w:bCs/>
                <w:sz w:val="24"/>
                <w:highlight w:val="none"/>
                <w:lang w:eastAsia="zh-CN"/>
              </w:rPr>
              <w:t>分值类型</w:t>
            </w:r>
          </w:p>
        </w:tc>
        <w:tc>
          <w:tcPr>
            <w:tcW w:w="891" w:type="pct"/>
            <w:vAlign w:val="center"/>
          </w:tcPr>
          <w:p w14:paraId="719687B0">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投标文件中评标标准相应的商务技术资料目录</w:t>
            </w:r>
            <w:r>
              <w:rPr>
                <w:rFonts w:ascii="宋体" w:hAnsi="宋体" w:cs="宋体"/>
                <w:sz w:val="24"/>
                <w:highlight w:val="none"/>
                <w:shd w:val="clear" w:color="auto" w:fill="FFFFFF"/>
              </w:rPr>
              <w:t> </w:t>
            </w:r>
            <w:r>
              <w:rPr>
                <w:rFonts w:ascii="仿宋" w:hAnsi="仿宋" w:eastAsia="仿宋" w:cs="Arial"/>
                <w:sz w:val="24"/>
                <w:highlight w:val="none"/>
                <w:shd w:val="clear" w:color="auto" w:fill="FFFFFF"/>
              </w:rPr>
              <w:t>*</w:t>
            </w:r>
          </w:p>
        </w:tc>
      </w:tr>
      <w:tr w14:paraId="4D2E4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374" w:type="pct"/>
            <w:vAlign w:val="center"/>
          </w:tcPr>
          <w:p w14:paraId="1DB574A4">
            <w:pPr>
              <w:pStyle w:val="32"/>
              <w:ind w:left="0" w:leftChars="0" w:firstLine="0" w:firstLineChars="0"/>
              <w:jc w:val="center"/>
              <w:rPr>
                <w:rFonts w:hint="eastAsia" w:ascii="仿宋" w:hAnsi="仿宋" w:eastAsia="仿宋" w:cs="仿宋"/>
                <w:sz w:val="24"/>
                <w:highlight w:val="none"/>
              </w:rPr>
            </w:pPr>
            <w:r>
              <w:rPr>
                <w:rFonts w:hint="eastAsia" w:ascii="仿宋" w:hAnsi="仿宋" w:eastAsia="仿宋" w:cs="仿宋"/>
                <w:sz w:val="21"/>
                <w:szCs w:val="21"/>
                <w:highlight w:val="none"/>
                <w:lang w:val="en-US" w:eastAsia="zh-CN"/>
              </w:rPr>
              <w:t>1</w:t>
            </w:r>
          </w:p>
        </w:tc>
        <w:tc>
          <w:tcPr>
            <w:tcW w:w="3016" w:type="pct"/>
            <w:vAlign w:val="center"/>
          </w:tcPr>
          <w:p w14:paraId="00476CE4">
            <w:pPr>
              <w:pStyle w:val="32"/>
              <w:ind w:left="0" w:leftChars="0" w:firstLine="0" w:firstLineChars="0"/>
              <w:jc w:val="left"/>
              <w:rPr>
                <w:rFonts w:hint="eastAsia" w:ascii="仿宋" w:hAnsi="仿宋" w:eastAsia="仿宋" w:cs="仿宋_GB2312"/>
                <w:sz w:val="24"/>
                <w:szCs w:val="24"/>
                <w:highlight w:val="none"/>
              </w:rPr>
            </w:pP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管理系统认证</w:t>
            </w: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供应商具有有效期内的质量管理体系认证证书、环境管理体系认证证书、职业健康安全管理体系认证证书的，每提供一个得</w:t>
            </w:r>
            <w:r>
              <w:rPr>
                <w:rFonts w:hint="eastAsia" w:ascii="仿宋" w:hAnsi="仿宋" w:eastAsia="仿宋" w:cs="仿宋"/>
                <w:color w:val="auto"/>
                <w:sz w:val="21"/>
                <w:szCs w:val="21"/>
                <w:highlight w:val="none"/>
                <w:lang w:val="en-US" w:eastAsia="zh-CN" w:bidi="ar"/>
              </w:rPr>
              <w:t>1分，最多得3分。（</w:t>
            </w:r>
            <w:r>
              <w:rPr>
                <w:rFonts w:hint="eastAsia" w:ascii="仿宋" w:hAnsi="仿宋" w:eastAsia="仿宋" w:cs="仿宋"/>
                <w:color w:val="auto"/>
                <w:sz w:val="21"/>
                <w:szCs w:val="21"/>
                <w:highlight w:val="none"/>
                <w:lang w:eastAsia="zh-CN" w:bidi="ar"/>
              </w:rPr>
              <w:t>须提供证书复印件并加盖公章，否则不得分</w:t>
            </w:r>
            <w:r>
              <w:rPr>
                <w:rFonts w:hint="eastAsia" w:ascii="仿宋" w:hAnsi="仿宋" w:eastAsia="仿宋" w:cs="仿宋"/>
                <w:color w:val="auto"/>
                <w:sz w:val="21"/>
                <w:szCs w:val="21"/>
                <w:highlight w:val="none"/>
                <w:lang w:val="en-US" w:eastAsia="zh-CN" w:bidi="ar"/>
              </w:rPr>
              <w:t>）</w:t>
            </w:r>
          </w:p>
        </w:tc>
        <w:tc>
          <w:tcPr>
            <w:tcW w:w="325" w:type="pct"/>
            <w:vAlign w:val="center"/>
          </w:tcPr>
          <w:p w14:paraId="0E5DB017">
            <w:pPr>
              <w:pStyle w:val="32"/>
              <w:ind w:left="0" w:leftChars="0" w:firstLine="0" w:firstLineChars="0"/>
              <w:jc w:val="center"/>
              <w:rPr>
                <w:rFonts w:hint="eastAsia" w:ascii="仿宋" w:hAnsi="仿宋" w:eastAsia="仿宋" w:cs="仿宋"/>
                <w:sz w:val="24"/>
                <w:highlight w:val="none"/>
                <w:lang w:val="en-US" w:eastAsia="zh-CN"/>
              </w:rPr>
            </w:pPr>
            <w:r>
              <w:rPr>
                <w:rFonts w:hint="eastAsia" w:ascii="仿宋" w:hAnsi="仿宋" w:eastAsia="仿宋" w:cs="仿宋"/>
                <w:color w:val="auto"/>
                <w:sz w:val="21"/>
                <w:szCs w:val="21"/>
                <w:highlight w:val="none"/>
                <w:lang w:val="en-US" w:eastAsia="zh-CN"/>
              </w:rPr>
              <w:t>3</w:t>
            </w:r>
          </w:p>
        </w:tc>
        <w:tc>
          <w:tcPr>
            <w:tcW w:w="391" w:type="pct"/>
            <w:vAlign w:val="center"/>
          </w:tcPr>
          <w:p w14:paraId="5D068827">
            <w:pPr>
              <w:spacing w:line="360" w:lineRule="auto"/>
              <w:jc w:val="center"/>
              <w:outlineLvl w:val="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客观分</w:t>
            </w:r>
          </w:p>
        </w:tc>
        <w:tc>
          <w:tcPr>
            <w:tcW w:w="891" w:type="pct"/>
            <w:vAlign w:val="center"/>
          </w:tcPr>
          <w:p w14:paraId="12EF4988">
            <w:pPr>
              <w:spacing w:line="360" w:lineRule="auto"/>
              <w:jc w:val="center"/>
              <w:outlineLvl w:val="0"/>
              <w:rPr>
                <w:rFonts w:hint="eastAsia" w:ascii="仿宋" w:hAnsi="仿宋" w:eastAsia="仿宋" w:cs="仿宋"/>
                <w:sz w:val="24"/>
                <w:szCs w:val="24"/>
                <w:highlight w:val="none"/>
                <w:lang w:eastAsia="zh-CN"/>
              </w:rPr>
            </w:pPr>
          </w:p>
        </w:tc>
      </w:tr>
      <w:tr w14:paraId="6DE2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4" w:type="pct"/>
            <w:vAlign w:val="center"/>
          </w:tcPr>
          <w:p w14:paraId="734AADC7">
            <w:pPr>
              <w:pStyle w:val="32"/>
              <w:ind w:left="0" w:leftChars="0" w:firstLine="0" w:firstLineChars="0"/>
              <w:jc w:val="center"/>
              <w:rPr>
                <w:rFonts w:hint="eastAsia" w:ascii="仿宋" w:hAnsi="仿宋" w:eastAsia="仿宋" w:cs="仿宋_GB2312"/>
                <w:kern w:val="2"/>
                <w:sz w:val="24"/>
                <w:szCs w:val="24"/>
                <w:highlight w:val="none"/>
                <w:lang w:val="en-US" w:eastAsia="zh-CN" w:bidi="ar-SA"/>
              </w:rPr>
            </w:pPr>
            <w:r>
              <w:rPr>
                <w:rFonts w:hint="eastAsia" w:ascii="仿宋" w:hAnsi="仿宋" w:eastAsia="仿宋" w:cs="仿宋"/>
                <w:sz w:val="21"/>
                <w:szCs w:val="21"/>
                <w:highlight w:val="none"/>
                <w:lang w:val="en-US" w:eastAsia="zh-CN"/>
              </w:rPr>
              <w:t>2</w:t>
            </w:r>
          </w:p>
        </w:tc>
        <w:tc>
          <w:tcPr>
            <w:tcW w:w="3016" w:type="pct"/>
            <w:vAlign w:val="top"/>
          </w:tcPr>
          <w:p w14:paraId="1BDCC978">
            <w:pPr>
              <w:pStyle w:val="32"/>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i w:val="0"/>
                <w:color w:val="000000"/>
                <w:kern w:val="0"/>
                <w:sz w:val="21"/>
                <w:szCs w:val="21"/>
                <w:highlight w:val="none"/>
                <w:u w:val="none"/>
                <w:lang w:val="en-US" w:eastAsia="zh-CN" w:bidi="ar"/>
              </w:rPr>
              <w:t>床垫：1.供应商所投货物技术规格均满足采购需求及清单要求，得20分；2.所投货物《</w:t>
            </w:r>
            <w:r>
              <w:rPr>
                <w:rFonts w:hint="eastAsia" w:ascii="仿宋" w:hAnsi="仿宋" w:eastAsia="仿宋" w:cs="仿宋"/>
                <w:color w:val="000000"/>
                <w:kern w:val="0"/>
                <w:sz w:val="21"/>
                <w:szCs w:val="21"/>
                <w:highlight w:val="none"/>
                <w:u w:val="none"/>
                <w:lang w:val="en-US" w:eastAsia="zh-CN" w:bidi="ar"/>
              </w:rPr>
              <w:t>商务技术偏离表</w:t>
            </w:r>
            <w:r>
              <w:rPr>
                <w:rFonts w:hint="eastAsia" w:ascii="仿宋" w:hAnsi="仿宋" w:eastAsia="仿宋" w:cs="仿宋"/>
                <w:i w:val="0"/>
                <w:color w:val="000000"/>
                <w:kern w:val="0"/>
                <w:sz w:val="21"/>
                <w:szCs w:val="21"/>
                <w:highlight w:val="none"/>
                <w:u w:val="none"/>
                <w:lang w:val="en-US" w:eastAsia="zh-CN" w:bidi="ar"/>
              </w:rPr>
              <w:t>》有负偏离的，每项扣1分直到扣完为止。</w:t>
            </w:r>
          </w:p>
        </w:tc>
        <w:tc>
          <w:tcPr>
            <w:tcW w:w="325" w:type="pct"/>
            <w:vAlign w:val="center"/>
          </w:tcPr>
          <w:p w14:paraId="2FB028A3">
            <w:pPr>
              <w:pStyle w:val="32"/>
              <w:ind w:left="0" w:leftChars="0" w:firstLine="0" w:firstLineChars="0"/>
              <w:jc w:val="center"/>
              <w:rPr>
                <w:rFonts w:hint="default"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20</w:t>
            </w:r>
          </w:p>
        </w:tc>
        <w:tc>
          <w:tcPr>
            <w:tcW w:w="391" w:type="pct"/>
            <w:vAlign w:val="center"/>
          </w:tcPr>
          <w:p w14:paraId="6E6503F6">
            <w:pPr>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客观分</w:t>
            </w:r>
          </w:p>
        </w:tc>
        <w:tc>
          <w:tcPr>
            <w:tcW w:w="891" w:type="pct"/>
            <w:vAlign w:val="center"/>
          </w:tcPr>
          <w:p w14:paraId="71D2F369">
            <w:pPr>
              <w:jc w:val="center"/>
              <w:rPr>
                <w:rFonts w:hint="eastAsia" w:ascii="仿宋" w:hAnsi="仿宋" w:eastAsia="仿宋" w:cs="仿宋"/>
                <w:sz w:val="24"/>
                <w:szCs w:val="24"/>
                <w:highlight w:val="none"/>
                <w:lang w:eastAsia="zh-CN"/>
              </w:rPr>
            </w:pPr>
          </w:p>
        </w:tc>
      </w:tr>
      <w:tr w14:paraId="46AF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74" w:type="pct"/>
            <w:vAlign w:val="center"/>
          </w:tcPr>
          <w:p w14:paraId="4FDCD937">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3</w:t>
            </w:r>
          </w:p>
        </w:tc>
        <w:tc>
          <w:tcPr>
            <w:tcW w:w="3016" w:type="pct"/>
            <w:vAlign w:val="top"/>
          </w:tcPr>
          <w:p w14:paraId="6FFD8487">
            <w:pPr>
              <w:pStyle w:val="32"/>
              <w:numPr>
                <w:ilvl w:val="-1"/>
                <w:numId w:val="0"/>
              </w:numPr>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val="en-US" w:bidi="ar"/>
              </w:rPr>
              <w:t>项目实施方案：针对本项目的需求，供应商提供的整体服务方案的合理性、全面性及科学性；服务方案的针对性方案及解决措施的可行性。方案完整、可行且措施得当的得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val="en-US" w:bidi="ar"/>
              </w:rPr>
              <w:t>分；方案较完整可行、满足采购要求的得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val="en-US" w:bidi="ar"/>
              </w:rPr>
              <w:t>分；方案、措施普通，基本满足要求得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val="en-US" w:bidi="ar"/>
              </w:rPr>
              <w:t>分；方案和措施有瑕疵得2分；方案不完善、措施不得当得1分；无方案不得分。</w:t>
            </w:r>
          </w:p>
        </w:tc>
        <w:tc>
          <w:tcPr>
            <w:tcW w:w="325" w:type="pct"/>
            <w:vAlign w:val="center"/>
          </w:tcPr>
          <w:p w14:paraId="0D420364">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8</w:t>
            </w:r>
          </w:p>
        </w:tc>
        <w:tc>
          <w:tcPr>
            <w:tcW w:w="391" w:type="pct"/>
            <w:vAlign w:val="center"/>
          </w:tcPr>
          <w:p w14:paraId="62B30904">
            <w:pPr>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主观分</w:t>
            </w:r>
          </w:p>
        </w:tc>
        <w:tc>
          <w:tcPr>
            <w:tcW w:w="891" w:type="pct"/>
            <w:vMerge w:val="restart"/>
            <w:vAlign w:val="center"/>
          </w:tcPr>
          <w:p w14:paraId="2C959057">
            <w:pPr>
              <w:jc w:val="center"/>
              <w:rPr>
                <w:rFonts w:hint="default" w:ascii="仿宋" w:hAnsi="仿宋" w:eastAsia="仿宋" w:cs="仿宋"/>
                <w:sz w:val="24"/>
                <w:szCs w:val="24"/>
                <w:highlight w:val="none"/>
                <w:lang w:val="en-US" w:eastAsia="zh-CN"/>
              </w:rPr>
            </w:pPr>
          </w:p>
        </w:tc>
      </w:tr>
      <w:tr w14:paraId="2B81F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74" w:type="pct"/>
            <w:vAlign w:val="center"/>
          </w:tcPr>
          <w:p w14:paraId="085377CF">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016" w:type="pct"/>
            <w:vAlign w:val="top"/>
          </w:tcPr>
          <w:p w14:paraId="28F66FF2">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产品质量保障：制造商的工艺流程控制、自检体系、独立品管部门和质检方案。方案完整、可行且措施得当的得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bidi="ar"/>
              </w:rPr>
              <w:t>分；方案较完整、较可行且措施较得当的得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分；方案、措施普通，基本满足要求得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分；方案和措施有瑕疵得2分；方案不完善、措施不得当得1分；无方案不得分。</w:t>
            </w:r>
          </w:p>
        </w:tc>
        <w:tc>
          <w:tcPr>
            <w:tcW w:w="325" w:type="pct"/>
            <w:vAlign w:val="center"/>
          </w:tcPr>
          <w:p w14:paraId="67F9EB95">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8</w:t>
            </w:r>
          </w:p>
        </w:tc>
        <w:tc>
          <w:tcPr>
            <w:tcW w:w="391" w:type="pct"/>
            <w:vAlign w:val="center"/>
          </w:tcPr>
          <w:p w14:paraId="7C942193">
            <w:pPr>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主观分</w:t>
            </w:r>
          </w:p>
        </w:tc>
        <w:tc>
          <w:tcPr>
            <w:tcW w:w="891" w:type="pct"/>
            <w:vMerge w:val="continue"/>
            <w:vAlign w:val="center"/>
          </w:tcPr>
          <w:p w14:paraId="791B4A88">
            <w:pPr>
              <w:jc w:val="center"/>
              <w:rPr>
                <w:rFonts w:hint="eastAsia" w:ascii="仿宋" w:hAnsi="仿宋" w:eastAsia="仿宋" w:cs="仿宋"/>
                <w:sz w:val="24"/>
                <w:szCs w:val="24"/>
                <w:highlight w:val="none"/>
                <w:lang w:eastAsia="zh-CN"/>
              </w:rPr>
            </w:pPr>
          </w:p>
        </w:tc>
      </w:tr>
      <w:tr w14:paraId="013A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374" w:type="pct"/>
            <w:vAlign w:val="center"/>
          </w:tcPr>
          <w:p w14:paraId="7BF33893">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5</w:t>
            </w:r>
          </w:p>
        </w:tc>
        <w:tc>
          <w:tcPr>
            <w:tcW w:w="3016" w:type="pct"/>
            <w:vAlign w:val="top"/>
          </w:tcPr>
          <w:p w14:paraId="7EEE91E8">
            <w:pPr>
              <w:pStyle w:val="32"/>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运输方案和配送能力。方案科学合理的得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分；方案较科学合理的得</w:t>
            </w:r>
            <w:r>
              <w:rPr>
                <w:rFonts w:hint="eastAsia" w:ascii="仿宋" w:hAnsi="仿宋" w:eastAsia="仿宋" w:cs="仿宋"/>
                <w:color w:val="auto"/>
                <w:sz w:val="21"/>
                <w:szCs w:val="21"/>
                <w:highlight w:val="none"/>
                <w:lang w:val="en-US" w:eastAsia="zh-CN" w:bidi="ar"/>
              </w:rPr>
              <w:t>5</w:t>
            </w:r>
            <w:r>
              <w:rPr>
                <w:rFonts w:hint="eastAsia" w:ascii="仿宋" w:hAnsi="仿宋" w:eastAsia="仿宋" w:cs="仿宋"/>
                <w:color w:val="auto"/>
                <w:sz w:val="21"/>
                <w:szCs w:val="21"/>
                <w:highlight w:val="none"/>
                <w:lang w:bidi="ar"/>
              </w:rPr>
              <w:t>分；方案基本满足项目需求的得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分；方案略有瑕疵得</w:t>
            </w:r>
            <w:r>
              <w:rPr>
                <w:rFonts w:hint="eastAsia" w:ascii="仿宋" w:hAnsi="仿宋" w:eastAsia="仿宋" w:cs="仿宋"/>
                <w:color w:val="auto"/>
                <w:sz w:val="21"/>
                <w:szCs w:val="21"/>
                <w:highlight w:val="none"/>
                <w:lang w:val="en-US" w:eastAsia="zh-CN" w:bidi="ar"/>
              </w:rPr>
              <w:t>3</w:t>
            </w:r>
            <w:r>
              <w:rPr>
                <w:rFonts w:hint="eastAsia" w:ascii="仿宋" w:hAnsi="仿宋" w:eastAsia="仿宋" w:cs="仿宋"/>
                <w:color w:val="auto"/>
                <w:sz w:val="21"/>
                <w:szCs w:val="21"/>
                <w:highlight w:val="none"/>
                <w:lang w:bidi="ar"/>
              </w:rPr>
              <w:t>分；方案有缺陷的得</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分，方案有较多缺陷的得</w:t>
            </w:r>
            <w:r>
              <w:rPr>
                <w:rFonts w:hint="eastAsia" w:ascii="仿宋" w:hAnsi="仿宋" w:eastAsia="仿宋" w:cs="仿宋"/>
                <w:color w:val="auto"/>
                <w:sz w:val="21"/>
                <w:szCs w:val="21"/>
                <w:highlight w:val="none"/>
                <w:lang w:val="en-US" w:eastAsia="zh-CN" w:bidi="ar"/>
              </w:rPr>
              <w:t>1</w:t>
            </w:r>
            <w:r>
              <w:rPr>
                <w:rFonts w:hint="eastAsia" w:ascii="仿宋" w:hAnsi="仿宋" w:eastAsia="仿宋" w:cs="仿宋"/>
                <w:color w:val="auto"/>
                <w:sz w:val="21"/>
                <w:szCs w:val="21"/>
                <w:highlight w:val="none"/>
                <w:lang w:bidi="ar"/>
              </w:rPr>
              <w:t>分；未提供方案得0分。</w:t>
            </w:r>
          </w:p>
        </w:tc>
        <w:tc>
          <w:tcPr>
            <w:tcW w:w="325" w:type="pct"/>
            <w:vAlign w:val="center"/>
          </w:tcPr>
          <w:p w14:paraId="09671F8A">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6</w:t>
            </w:r>
          </w:p>
        </w:tc>
        <w:tc>
          <w:tcPr>
            <w:tcW w:w="391" w:type="pct"/>
            <w:vAlign w:val="center"/>
          </w:tcPr>
          <w:p w14:paraId="39E5DD5E">
            <w:pPr>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38EEF52B">
            <w:pPr>
              <w:jc w:val="center"/>
              <w:rPr>
                <w:rFonts w:hint="default" w:ascii="仿宋" w:hAnsi="仿宋" w:eastAsia="仿宋" w:cs="仿宋"/>
                <w:kern w:val="2"/>
                <w:sz w:val="24"/>
                <w:szCs w:val="24"/>
                <w:highlight w:val="none"/>
                <w:lang w:val="en-US" w:eastAsia="zh-CN" w:bidi="ar-SA"/>
              </w:rPr>
            </w:pPr>
          </w:p>
        </w:tc>
      </w:tr>
      <w:tr w14:paraId="335D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374" w:type="pct"/>
            <w:vAlign w:val="center"/>
          </w:tcPr>
          <w:p w14:paraId="000D9064">
            <w:pPr>
              <w:pStyle w:val="32"/>
              <w:ind w:left="0" w:leftChars="0" w:firstLine="0" w:firstLineChars="0"/>
              <w:jc w:val="center"/>
              <w:rPr>
                <w:rFonts w:hint="default"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6</w:t>
            </w:r>
          </w:p>
        </w:tc>
        <w:tc>
          <w:tcPr>
            <w:tcW w:w="3016" w:type="pct"/>
            <w:vAlign w:val="top"/>
          </w:tcPr>
          <w:p w14:paraId="6774B45A">
            <w:pPr>
              <w:pStyle w:val="32"/>
              <w:ind w:left="0" w:leftChars="0" w:firstLine="0" w:firstLineChars="0"/>
              <w:rPr>
                <w:rFonts w:hint="eastAsia" w:ascii="仿宋" w:hAnsi="仿宋" w:eastAsia="仿宋" w:cs="仿宋_GB2312"/>
                <w:sz w:val="24"/>
                <w:szCs w:val="24"/>
                <w:highlight w:val="none"/>
                <w:lang w:val="en-US" w:eastAsia="zh-Hans"/>
              </w:rPr>
            </w:pPr>
            <w:r>
              <w:rPr>
                <w:rFonts w:hint="eastAsia" w:ascii="仿宋" w:hAnsi="仿宋" w:eastAsia="仿宋" w:cs="仿宋"/>
                <w:color w:val="auto"/>
                <w:sz w:val="21"/>
                <w:szCs w:val="21"/>
                <w:highlight w:val="none"/>
                <w:lang w:bidi="ar"/>
              </w:rPr>
              <w:t>安装调试方案，包括对场地环境的了解、人员的安排、时间进度的规划，对设备的调试进度安排，调试的步骤、措施，问题的解决方案等。方案内容全面完整、针对性强的，得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bidi="ar"/>
              </w:rPr>
              <w:t>分；方案内容完整，计划安排较有针对的得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分；方案内容完整、计划安排能满足项目的得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分；方案内容有不完整的得</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分；方案内容不齐全、无法全部满足采购需求的</w:t>
            </w:r>
            <w:r>
              <w:rPr>
                <w:rFonts w:hint="eastAsia" w:ascii="仿宋" w:hAnsi="仿宋" w:eastAsia="仿宋" w:cs="仿宋"/>
                <w:color w:val="auto"/>
                <w:sz w:val="21"/>
                <w:szCs w:val="21"/>
                <w:highlight w:val="none"/>
                <w:lang w:val="en-US" w:eastAsia="zh-CN" w:bidi="ar"/>
              </w:rPr>
              <w:t>1</w:t>
            </w:r>
            <w:r>
              <w:rPr>
                <w:rFonts w:hint="eastAsia" w:ascii="仿宋" w:hAnsi="仿宋" w:eastAsia="仿宋" w:cs="仿宋"/>
                <w:color w:val="auto"/>
                <w:sz w:val="21"/>
                <w:szCs w:val="21"/>
                <w:highlight w:val="none"/>
                <w:lang w:bidi="ar"/>
              </w:rPr>
              <w:t>分；无内容的不得分。</w:t>
            </w:r>
          </w:p>
        </w:tc>
        <w:tc>
          <w:tcPr>
            <w:tcW w:w="325" w:type="pct"/>
            <w:vAlign w:val="center"/>
          </w:tcPr>
          <w:p w14:paraId="723E58CE">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8</w:t>
            </w:r>
          </w:p>
        </w:tc>
        <w:tc>
          <w:tcPr>
            <w:tcW w:w="391" w:type="pct"/>
            <w:vAlign w:val="center"/>
          </w:tcPr>
          <w:p w14:paraId="7FA8AADB">
            <w:pPr>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63EC7AF8">
            <w:pPr>
              <w:jc w:val="center"/>
              <w:rPr>
                <w:rFonts w:hint="eastAsia" w:ascii="仿宋" w:hAnsi="仿宋" w:eastAsia="仿宋" w:cs="仿宋"/>
                <w:kern w:val="2"/>
                <w:sz w:val="24"/>
                <w:szCs w:val="24"/>
                <w:highlight w:val="none"/>
                <w:lang w:val="en-US" w:eastAsia="zh-CN" w:bidi="ar-SA"/>
              </w:rPr>
            </w:pPr>
          </w:p>
        </w:tc>
      </w:tr>
      <w:tr w14:paraId="3EDD1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374" w:type="pct"/>
            <w:vAlign w:val="center"/>
          </w:tcPr>
          <w:p w14:paraId="205B0F86">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7</w:t>
            </w:r>
          </w:p>
        </w:tc>
        <w:tc>
          <w:tcPr>
            <w:tcW w:w="3016" w:type="pct"/>
            <w:vAlign w:val="top"/>
          </w:tcPr>
          <w:p w14:paraId="150D16F6">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售后服务方案，包括但不限于服务响应时间、故障解决方案，响应时间短，解决方案充分得4分；响应时间一般，解决方案较合理得3分；响应时间长，解决方案一般2分；响应时间长，解决方案欠合理1分；无解决方案得0分。</w:t>
            </w:r>
          </w:p>
        </w:tc>
        <w:tc>
          <w:tcPr>
            <w:tcW w:w="325" w:type="pct"/>
            <w:vAlign w:val="center"/>
          </w:tcPr>
          <w:p w14:paraId="69864011">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91" w:type="pct"/>
            <w:vAlign w:val="center"/>
          </w:tcPr>
          <w:p w14:paraId="11F91AFF">
            <w:pPr>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5242F716">
            <w:pPr>
              <w:jc w:val="center"/>
              <w:rPr>
                <w:rFonts w:hint="eastAsia" w:ascii="仿宋" w:hAnsi="仿宋" w:eastAsia="仿宋" w:cs="仿宋"/>
                <w:kern w:val="2"/>
                <w:sz w:val="24"/>
                <w:szCs w:val="24"/>
                <w:highlight w:val="none"/>
                <w:lang w:val="en-US" w:eastAsia="zh-CN" w:bidi="ar-SA"/>
              </w:rPr>
            </w:pPr>
          </w:p>
        </w:tc>
      </w:tr>
      <w:tr w14:paraId="511D9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A5850C0">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8</w:t>
            </w:r>
          </w:p>
        </w:tc>
        <w:tc>
          <w:tcPr>
            <w:tcW w:w="3016" w:type="pct"/>
            <w:vAlign w:val="top"/>
          </w:tcPr>
          <w:p w14:paraId="16E5E6C6">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售后服务机构技术服务人员情况，提供姓名、工作经验、资质证书情况。人员配备充足，售后服务经验丰富得4分；人员配备较充足，售后服务经验较丰富得3分；人员配备和售后服务一般得2分；人员配备不足，售后服务经验不足1分；无人员配备得0分。</w:t>
            </w:r>
          </w:p>
        </w:tc>
        <w:tc>
          <w:tcPr>
            <w:tcW w:w="325" w:type="pct"/>
            <w:vAlign w:val="center"/>
          </w:tcPr>
          <w:p w14:paraId="0570DE44">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91" w:type="pct"/>
            <w:vAlign w:val="center"/>
          </w:tcPr>
          <w:p w14:paraId="4B309D75">
            <w:pPr>
              <w:spacing w:line="360" w:lineRule="auto"/>
              <w:jc w:val="center"/>
              <w:outlineLvl w:val="0"/>
              <w:rPr>
                <w:rFonts w:hint="default"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主观分</w:t>
            </w:r>
          </w:p>
        </w:tc>
        <w:tc>
          <w:tcPr>
            <w:tcW w:w="891" w:type="pct"/>
            <w:vAlign w:val="center"/>
          </w:tcPr>
          <w:p w14:paraId="7CCB6531">
            <w:pPr>
              <w:spacing w:line="360" w:lineRule="auto"/>
              <w:jc w:val="center"/>
              <w:outlineLvl w:val="0"/>
              <w:rPr>
                <w:rFonts w:hint="eastAsia" w:ascii="仿宋" w:hAnsi="仿宋" w:eastAsia="仿宋" w:cs="仿宋"/>
                <w:kern w:val="2"/>
                <w:sz w:val="24"/>
                <w:szCs w:val="24"/>
                <w:highlight w:val="none"/>
                <w:lang w:val="en-US" w:eastAsia="zh-CN" w:bidi="ar-SA"/>
              </w:rPr>
            </w:pPr>
          </w:p>
        </w:tc>
      </w:tr>
      <w:tr w14:paraId="1CA76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BF58A54">
            <w:pPr>
              <w:pStyle w:val="32"/>
              <w:ind w:left="0" w:leftChars="0" w:firstLine="0" w:firstLineChars="0"/>
              <w:jc w:val="center"/>
              <w:rPr>
                <w:rFonts w:hint="eastAsia"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9</w:t>
            </w:r>
          </w:p>
        </w:tc>
        <w:tc>
          <w:tcPr>
            <w:tcW w:w="3016" w:type="pct"/>
            <w:vAlign w:val="top"/>
          </w:tcPr>
          <w:p w14:paraId="7837B0CA">
            <w:pPr>
              <w:pStyle w:val="32"/>
              <w:ind w:left="0" w:leftChars="0" w:firstLine="0" w:firstLineChars="0"/>
              <w:rPr>
                <w:rFonts w:hint="eastAsia" w:ascii="仿宋" w:hAnsi="仿宋" w:eastAsia="仿宋" w:cs="仿宋_GB2312"/>
                <w:sz w:val="24"/>
                <w:szCs w:val="24"/>
                <w:highlight w:val="none"/>
              </w:rPr>
            </w:pPr>
            <w:r>
              <w:rPr>
                <w:rFonts w:hint="eastAsia" w:ascii="仿宋" w:hAnsi="仿宋" w:eastAsia="仿宋" w:cs="仿宋"/>
                <w:color w:val="auto"/>
                <w:sz w:val="21"/>
                <w:szCs w:val="21"/>
                <w:highlight w:val="none"/>
                <w:lang w:eastAsia="zh-CN" w:bidi="ar"/>
              </w:rPr>
              <w:t>免费质量保期：</w:t>
            </w:r>
            <w:r>
              <w:rPr>
                <w:rFonts w:hint="eastAsia" w:ascii="仿宋" w:hAnsi="仿宋" w:eastAsia="仿宋" w:cs="仿宋"/>
                <w:color w:val="auto"/>
                <w:sz w:val="21"/>
                <w:szCs w:val="21"/>
                <w:highlight w:val="none"/>
                <w:lang w:val="en-US" w:eastAsia="zh-CN" w:bidi="ar"/>
              </w:rPr>
              <w:t>低于采购</w:t>
            </w:r>
            <w:r>
              <w:rPr>
                <w:rFonts w:hint="eastAsia" w:ascii="仿宋" w:hAnsi="仿宋" w:eastAsia="仿宋" w:cs="仿宋"/>
                <w:color w:val="auto"/>
                <w:sz w:val="21"/>
                <w:szCs w:val="21"/>
                <w:highlight w:val="none"/>
                <w:lang w:eastAsia="zh-CN" w:bidi="ar"/>
              </w:rPr>
              <w:t>文件要求的作无效</w:t>
            </w:r>
            <w:r>
              <w:rPr>
                <w:rFonts w:hint="eastAsia" w:ascii="仿宋" w:hAnsi="仿宋" w:eastAsia="仿宋" w:cs="仿宋"/>
                <w:color w:val="auto"/>
                <w:sz w:val="21"/>
                <w:szCs w:val="21"/>
                <w:highlight w:val="none"/>
                <w:lang w:val="en-US" w:eastAsia="zh-CN" w:bidi="ar"/>
              </w:rPr>
              <w:t>响应</w:t>
            </w:r>
            <w:r>
              <w:rPr>
                <w:rFonts w:hint="eastAsia" w:ascii="仿宋" w:hAnsi="仿宋" w:eastAsia="仿宋" w:cs="仿宋"/>
                <w:color w:val="auto"/>
                <w:sz w:val="21"/>
                <w:szCs w:val="21"/>
                <w:highlight w:val="none"/>
                <w:lang w:eastAsia="zh-CN" w:bidi="ar"/>
              </w:rPr>
              <w:t>文件处理，每增加1年免费质量保修期的加1分，本项最高分3分。免费质量保修期间产生的所有保修相关费用（包括但不限于人工费、备品备件、耗材、服务费、税金以及保修期间涉及到的其他一切费用）全部由投标人承担。（以投标人投标时提供的承诺函（格式自拟）为准，未提供的不得分）。</w:t>
            </w:r>
          </w:p>
        </w:tc>
        <w:tc>
          <w:tcPr>
            <w:tcW w:w="325" w:type="pct"/>
            <w:vAlign w:val="center"/>
          </w:tcPr>
          <w:p w14:paraId="2BEB4846">
            <w:pPr>
              <w:pStyle w:val="32"/>
              <w:ind w:left="0" w:leftChars="0" w:firstLine="0" w:firstLineChars="0"/>
              <w:jc w:val="center"/>
              <w:rPr>
                <w:rFonts w:hint="eastAsia"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3</w:t>
            </w:r>
          </w:p>
        </w:tc>
        <w:tc>
          <w:tcPr>
            <w:tcW w:w="391" w:type="pct"/>
            <w:vAlign w:val="center"/>
          </w:tcPr>
          <w:p w14:paraId="3FA91355">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客观分</w:t>
            </w:r>
          </w:p>
        </w:tc>
        <w:tc>
          <w:tcPr>
            <w:tcW w:w="891" w:type="pct"/>
            <w:vAlign w:val="center"/>
          </w:tcPr>
          <w:p w14:paraId="066663E7">
            <w:pPr>
              <w:spacing w:line="360" w:lineRule="auto"/>
              <w:jc w:val="center"/>
              <w:outlineLvl w:val="0"/>
              <w:rPr>
                <w:rFonts w:hint="eastAsia" w:ascii="仿宋" w:hAnsi="仿宋" w:eastAsia="仿宋" w:cs="仿宋"/>
                <w:sz w:val="24"/>
                <w:szCs w:val="24"/>
                <w:highlight w:val="none"/>
              </w:rPr>
            </w:pPr>
          </w:p>
        </w:tc>
      </w:tr>
      <w:tr w14:paraId="6CDE2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64827300">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10</w:t>
            </w:r>
          </w:p>
        </w:tc>
        <w:tc>
          <w:tcPr>
            <w:tcW w:w="3016" w:type="pct"/>
            <w:shd w:val="clear" w:color="auto" w:fill="auto"/>
            <w:vAlign w:val="top"/>
          </w:tcPr>
          <w:p w14:paraId="59594661">
            <w:pPr>
              <w:pStyle w:val="32"/>
              <w:ind w:left="0" w:leftChars="0" w:firstLine="0" w:firstLineChars="0"/>
              <w:rPr>
                <w:rFonts w:hint="eastAsia" w:ascii="仿宋" w:hAnsi="仿宋" w:eastAsia="仿宋" w:cs="仿宋_GB2312"/>
                <w:kern w:val="2"/>
                <w:sz w:val="24"/>
                <w:szCs w:val="24"/>
                <w:highlight w:val="none"/>
                <w:lang w:val="en-US" w:eastAsia="zh-CN" w:bidi="ar-SA"/>
              </w:rPr>
            </w:pPr>
            <w:r>
              <w:rPr>
                <w:rFonts w:hint="eastAsia" w:ascii="仿宋" w:hAnsi="仿宋" w:eastAsia="仿宋" w:cs="仿宋"/>
                <w:bCs/>
                <w:color w:val="000000"/>
                <w:sz w:val="21"/>
                <w:szCs w:val="21"/>
                <w:highlight w:val="none"/>
              </w:rPr>
              <w:t>项目培训方案：根据投标人提供的项目培训方案进行评分，方案至少包括培训的技术人员安排、培训频率、培训内容，培训方案优于本项目需求的得3分；方案基本符合本项目需求的得2分；方案简单低于本项目需求的得1分；不提供不得分。</w:t>
            </w:r>
          </w:p>
        </w:tc>
        <w:tc>
          <w:tcPr>
            <w:tcW w:w="325" w:type="pct"/>
            <w:shd w:val="clear" w:color="auto" w:fill="auto"/>
            <w:vAlign w:val="center"/>
          </w:tcPr>
          <w:p w14:paraId="1AA28D48">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3</w:t>
            </w:r>
          </w:p>
        </w:tc>
        <w:tc>
          <w:tcPr>
            <w:tcW w:w="391" w:type="pct"/>
            <w:vAlign w:val="center"/>
          </w:tcPr>
          <w:p w14:paraId="232ED637">
            <w:pPr>
              <w:spacing w:line="360" w:lineRule="auto"/>
              <w:jc w:val="center"/>
              <w:outlineLvl w:val="0"/>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3FB1AD24">
            <w:pPr>
              <w:spacing w:line="360" w:lineRule="auto"/>
              <w:jc w:val="center"/>
              <w:outlineLvl w:val="0"/>
              <w:rPr>
                <w:rFonts w:hint="eastAsia" w:ascii="仿宋" w:hAnsi="仿宋" w:eastAsia="仿宋" w:cs="仿宋"/>
                <w:sz w:val="24"/>
                <w:szCs w:val="24"/>
                <w:highlight w:val="none"/>
              </w:rPr>
            </w:pPr>
          </w:p>
        </w:tc>
      </w:tr>
      <w:tr w14:paraId="60FE8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0DA0B06">
            <w:pPr>
              <w:pStyle w:val="32"/>
              <w:ind w:left="0" w:leftChars="0" w:firstLine="0" w:firstLineChars="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11</w:t>
            </w:r>
          </w:p>
        </w:tc>
        <w:tc>
          <w:tcPr>
            <w:tcW w:w="3016" w:type="pct"/>
            <w:shd w:val="clear" w:color="auto" w:fill="auto"/>
            <w:vAlign w:val="top"/>
          </w:tcPr>
          <w:p w14:paraId="5225A8BB">
            <w:pPr>
              <w:adjustRightInd w:val="0"/>
              <w:snapToGrid w:val="0"/>
              <w:spacing w:line="360" w:lineRule="auto"/>
              <w:jc w:val="left"/>
              <w:outlineLvl w:val="0"/>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企业业绩</w:t>
            </w:r>
            <w:r>
              <w:rPr>
                <w:rFonts w:hint="eastAsia" w:ascii="仿宋" w:hAnsi="仿宋" w:eastAsia="仿宋" w:cs="仿宋"/>
                <w:color w:val="auto"/>
                <w:sz w:val="21"/>
                <w:szCs w:val="21"/>
                <w:highlight w:val="none"/>
                <w:lang w:bidi="ar"/>
              </w:rPr>
              <w:t>】投标人</w:t>
            </w:r>
            <w:r>
              <w:rPr>
                <w:rFonts w:hint="eastAsia" w:ascii="仿宋" w:hAnsi="仿宋" w:eastAsia="仿宋" w:cs="仿宋"/>
                <w:color w:val="auto"/>
                <w:sz w:val="21"/>
                <w:szCs w:val="21"/>
                <w:highlight w:val="none"/>
                <w:lang w:eastAsia="zh-CN" w:bidi="ar"/>
              </w:rPr>
              <w:t>自</w:t>
            </w:r>
            <w:r>
              <w:rPr>
                <w:rFonts w:hint="eastAsia" w:ascii="仿宋" w:hAnsi="仿宋" w:eastAsia="仿宋" w:cs="仿宋"/>
                <w:color w:val="auto"/>
                <w:sz w:val="21"/>
                <w:szCs w:val="21"/>
                <w:highlight w:val="none"/>
                <w:lang w:bidi="ar"/>
              </w:rPr>
              <w:t>2022年1月1日以来（以合同签订时间为准）</w:t>
            </w:r>
            <w:r>
              <w:rPr>
                <w:rFonts w:hint="eastAsia" w:ascii="仿宋" w:hAnsi="仿宋" w:eastAsia="仿宋" w:cs="仿宋"/>
                <w:color w:val="auto"/>
                <w:sz w:val="21"/>
                <w:szCs w:val="21"/>
                <w:highlight w:val="none"/>
                <w:lang w:eastAsia="zh-CN" w:bidi="ar"/>
              </w:rPr>
              <w:t>具有</w:t>
            </w:r>
            <w:r>
              <w:rPr>
                <w:rFonts w:hint="eastAsia" w:ascii="仿宋" w:hAnsi="仿宋" w:eastAsia="仿宋" w:cs="仿宋"/>
                <w:color w:val="auto"/>
                <w:sz w:val="21"/>
                <w:szCs w:val="21"/>
                <w:highlight w:val="none"/>
                <w:lang w:val="en-US" w:eastAsia="zh-CN" w:bidi="ar"/>
              </w:rPr>
              <w:t>合同金额50万元及以上的类似</w:t>
            </w:r>
            <w:r>
              <w:rPr>
                <w:rFonts w:hint="eastAsia" w:ascii="仿宋" w:hAnsi="仿宋" w:eastAsia="仿宋" w:cs="仿宋"/>
                <w:color w:val="auto"/>
                <w:sz w:val="21"/>
                <w:szCs w:val="21"/>
                <w:highlight w:val="none"/>
                <w:lang w:eastAsia="zh-CN" w:bidi="ar"/>
              </w:rPr>
              <w:t>业绩，</w:t>
            </w:r>
            <w:r>
              <w:rPr>
                <w:rFonts w:hint="eastAsia" w:ascii="仿宋" w:hAnsi="仿宋" w:eastAsia="仿宋" w:cs="仿宋"/>
                <w:color w:val="auto"/>
                <w:kern w:val="2"/>
                <w:szCs w:val="21"/>
                <w:highlight w:val="none"/>
                <w:lang w:bidi="ar"/>
              </w:rPr>
              <w:t>每提供一</w:t>
            </w:r>
            <w:r>
              <w:rPr>
                <w:rFonts w:hint="eastAsia" w:ascii="仿宋" w:hAnsi="仿宋" w:eastAsia="仿宋" w:cs="仿宋"/>
                <w:color w:val="auto"/>
                <w:kern w:val="2"/>
                <w:szCs w:val="21"/>
                <w:highlight w:val="none"/>
                <w:lang w:val="en-US" w:eastAsia="zh-CN" w:bidi="ar"/>
              </w:rPr>
              <w:t>个</w:t>
            </w:r>
            <w:r>
              <w:rPr>
                <w:rFonts w:hint="eastAsia" w:ascii="仿宋" w:hAnsi="仿宋" w:eastAsia="仿宋" w:cs="仿宋"/>
                <w:color w:val="auto"/>
                <w:kern w:val="2"/>
                <w:szCs w:val="21"/>
                <w:highlight w:val="none"/>
                <w:lang w:bidi="ar"/>
              </w:rPr>
              <w:t>得</w:t>
            </w:r>
            <w:r>
              <w:rPr>
                <w:rFonts w:hint="eastAsia" w:ascii="仿宋" w:hAnsi="仿宋" w:eastAsia="仿宋" w:cs="仿宋"/>
                <w:color w:val="auto"/>
                <w:kern w:val="2"/>
                <w:szCs w:val="21"/>
                <w:highlight w:val="none"/>
                <w:lang w:val="en-US" w:eastAsia="zh-CN" w:bidi="ar"/>
              </w:rPr>
              <w:t>1</w:t>
            </w:r>
            <w:r>
              <w:rPr>
                <w:rFonts w:hint="eastAsia" w:ascii="仿宋" w:hAnsi="仿宋" w:eastAsia="仿宋" w:cs="仿宋"/>
                <w:color w:val="auto"/>
                <w:kern w:val="2"/>
                <w:szCs w:val="21"/>
                <w:highlight w:val="none"/>
                <w:lang w:bidi="ar"/>
              </w:rPr>
              <w:t>分，最多3分。</w:t>
            </w:r>
          </w:p>
          <w:p w14:paraId="5DEF9C81">
            <w:pPr>
              <w:snapToGrid w:val="0"/>
              <w:spacing w:line="360" w:lineRule="auto"/>
              <w:ind w:left="0" w:leftChars="0" w:firstLineChars="0"/>
              <w:jc w:val="left"/>
              <w:outlineLvl w:val="0"/>
              <w:rPr>
                <w:rFonts w:hint="eastAsia" w:ascii="仿宋" w:hAnsi="仿宋" w:eastAsia="仿宋" w:cs="仿宋"/>
                <w:bCs/>
                <w:color w:val="000000"/>
                <w:sz w:val="21"/>
                <w:szCs w:val="21"/>
                <w:highlight w:val="none"/>
              </w:rPr>
            </w:pPr>
            <w:r>
              <w:rPr>
                <w:rFonts w:hint="eastAsia" w:ascii="仿宋" w:hAnsi="仿宋" w:eastAsia="仿宋" w:cs="仿宋"/>
                <w:color w:val="auto"/>
                <w:sz w:val="21"/>
                <w:szCs w:val="21"/>
                <w:highlight w:val="none"/>
                <w:lang w:bidi="ar"/>
              </w:rPr>
              <w:t>注：提供合同关键页、合同金额60%以上的发票复印件、银行进账回单证明材料（包括但不限于合同标的、签订时间、双方签章页、发票复印件、银行进账回单）扫描件并加盖投标人公章。如未按要求提供证明材料，视为该证明材料无效。</w:t>
            </w:r>
          </w:p>
        </w:tc>
        <w:tc>
          <w:tcPr>
            <w:tcW w:w="325" w:type="pct"/>
            <w:shd w:val="clear" w:color="auto" w:fill="auto"/>
            <w:vAlign w:val="center"/>
          </w:tcPr>
          <w:p w14:paraId="0A8A3FF9">
            <w:pPr>
              <w:pStyle w:val="32"/>
              <w:ind w:left="0" w:leftChars="0" w:firstLine="0" w:firstLineChars="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w:t>
            </w:r>
          </w:p>
        </w:tc>
        <w:tc>
          <w:tcPr>
            <w:tcW w:w="391" w:type="pct"/>
            <w:vAlign w:val="center"/>
          </w:tcPr>
          <w:p w14:paraId="65A49AA5">
            <w:pPr>
              <w:spacing w:line="360" w:lineRule="auto"/>
              <w:jc w:val="center"/>
              <w:outlineLv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客观分</w:t>
            </w:r>
          </w:p>
        </w:tc>
        <w:tc>
          <w:tcPr>
            <w:tcW w:w="891" w:type="pct"/>
            <w:vAlign w:val="center"/>
          </w:tcPr>
          <w:p w14:paraId="76DC4358">
            <w:pPr>
              <w:spacing w:line="360" w:lineRule="auto"/>
              <w:jc w:val="center"/>
              <w:outlineLvl w:val="0"/>
              <w:rPr>
                <w:rFonts w:hint="eastAsia" w:ascii="仿宋" w:hAnsi="仿宋" w:eastAsia="仿宋" w:cs="仿宋"/>
                <w:sz w:val="24"/>
                <w:szCs w:val="24"/>
                <w:highlight w:val="none"/>
              </w:rPr>
            </w:pPr>
          </w:p>
        </w:tc>
      </w:tr>
      <w:tr w14:paraId="25731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shd w:val="clear" w:color="auto" w:fill="auto"/>
            <w:vAlign w:val="center"/>
          </w:tcPr>
          <w:p w14:paraId="0A71B548">
            <w:pPr>
              <w:pStyle w:val="32"/>
              <w:spacing w:line="360" w:lineRule="auto"/>
              <w:ind w:firstLine="0" w:firstLineChars="0"/>
              <w:jc w:val="center"/>
              <w:outlineLvl w:val="0"/>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12</w:t>
            </w:r>
          </w:p>
        </w:tc>
        <w:tc>
          <w:tcPr>
            <w:tcW w:w="3016" w:type="pct"/>
            <w:shd w:val="clear" w:color="auto" w:fill="auto"/>
            <w:vAlign w:val="top"/>
          </w:tcPr>
          <w:p w14:paraId="0C6201CD">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报价评分，满足招标文件要求且最低有效投标报价为评标基准价，其报价得分为满分。其他投标人的价格分统一按照下列公式计算：</w:t>
            </w:r>
          </w:p>
          <w:p w14:paraId="2AF6D699">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评标基准价偏差率N=（投标报价-评标基准价）/评标基准价</w:t>
            </w:r>
          </w:p>
          <w:p w14:paraId="572943A7">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报价评标基准价偏差率分段法扣分原则如下：</w:t>
            </w:r>
          </w:p>
          <w:p w14:paraId="39D1A87A">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①0%＜偏差率N≤5%，报价分扣4分；</w:t>
            </w:r>
          </w:p>
          <w:p w14:paraId="765ADF5B">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②5%＜偏差率N≤10%，报价分扣8分；</w:t>
            </w:r>
          </w:p>
          <w:p w14:paraId="5433FAAC">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③10%＜偏差率N≤15%，报价分扣</w:t>
            </w:r>
            <w:r>
              <w:rPr>
                <w:rFonts w:hint="eastAsia" w:ascii="仿宋" w:hAnsi="仿宋" w:eastAsia="仿宋" w:cs="仿宋"/>
                <w:bCs/>
                <w:color w:val="000000"/>
                <w:sz w:val="21"/>
                <w:szCs w:val="21"/>
                <w:highlight w:val="none"/>
                <w:lang w:val="en-US" w:eastAsia="zh-CN"/>
              </w:rPr>
              <w:t>12</w:t>
            </w:r>
            <w:r>
              <w:rPr>
                <w:rFonts w:hint="eastAsia" w:ascii="仿宋" w:hAnsi="仿宋" w:eastAsia="仿宋" w:cs="仿宋"/>
                <w:bCs/>
                <w:color w:val="000000"/>
                <w:sz w:val="21"/>
                <w:szCs w:val="21"/>
                <w:highlight w:val="none"/>
                <w:lang w:val="zh-CN"/>
              </w:rPr>
              <w:t>分；</w:t>
            </w:r>
          </w:p>
          <w:p w14:paraId="7E47FFD4">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④15%＜偏差率N≤20%，报价分扣</w:t>
            </w:r>
            <w:r>
              <w:rPr>
                <w:rFonts w:hint="eastAsia" w:ascii="仿宋" w:hAnsi="仿宋" w:eastAsia="仿宋" w:cs="仿宋"/>
                <w:bCs/>
                <w:color w:val="000000"/>
                <w:sz w:val="21"/>
                <w:szCs w:val="21"/>
                <w:highlight w:val="none"/>
                <w:lang w:val="en-US" w:eastAsia="zh-CN"/>
              </w:rPr>
              <w:t>16</w:t>
            </w:r>
            <w:r>
              <w:rPr>
                <w:rFonts w:hint="eastAsia" w:ascii="仿宋" w:hAnsi="仿宋" w:eastAsia="仿宋" w:cs="仿宋"/>
                <w:bCs/>
                <w:color w:val="000000"/>
                <w:sz w:val="21"/>
                <w:szCs w:val="21"/>
                <w:highlight w:val="none"/>
                <w:lang w:val="zh-CN"/>
              </w:rPr>
              <w:t>分；</w:t>
            </w:r>
          </w:p>
          <w:p w14:paraId="19F4A708">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⑤偏差率N＞20%，报价分扣</w:t>
            </w:r>
            <w:r>
              <w:rPr>
                <w:rFonts w:hint="eastAsia" w:ascii="仿宋" w:hAnsi="仿宋" w:eastAsia="仿宋" w:cs="仿宋"/>
                <w:bCs/>
                <w:color w:val="000000"/>
                <w:sz w:val="21"/>
                <w:szCs w:val="21"/>
                <w:highlight w:val="none"/>
                <w:lang w:val="en-US" w:eastAsia="zh-CN"/>
              </w:rPr>
              <w:t>20</w:t>
            </w:r>
            <w:r>
              <w:rPr>
                <w:rFonts w:hint="eastAsia" w:ascii="仿宋" w:hAnsi="仿宋" w:eastAsia="仿宋" w:cs="仿宋"/>
                <w:bCs/>
                <w:color w:val="000000"/>
                <w:sz w:val="21"/>
                <w:szCs w:val="21"/>
                <w:highlight w:val="none"/>
                <w:lang w:val="zh-CN"/>
              </w:rPr>
              <w:t>分；</w:t>
            </w:r>
          </w:p>
          <w:p w14:paraId="2B5337DD">
            <w:pPr>
              <w:pStyle w:val="32"/>
              <w:ind w:left="0" w:leftChars="0" w:firstLine="0" w:firstLineChars="0"/>
              <w:rPr>
                <w:rFonts w:hint="eastAsia" w:ascii="仿宋" w:hAnsi="仿宋" w:eastAsia="仿宋" w:cs="仿宋_GB2312"/>
                <w:kern w:val="2"/>
                <w:sz w:val="24"/>
                <w:szCs w:val="24"/>
                <w:highlight w:val="none"/>
                <w:lang w:val="en-US" w:eastAsia="zh-CN" w:bidi="ar-SA"/>
              </w:rPr>
            </w:pPr>
            <w:r>
              <w:rPr>
                <w:rFonts w:hint="eastAsia" w:ascii="仿宋" w:hAnsi="仿宋" w:eastAsia="仿宋" w:cs="仿宋"/>
                <w:bCs/>
                <w:color w:val="000000"/>
                <w:sz w:val="21"/>
                <w:szCs w:val="21"/>
                <w:highlight w:val="none"/>
                <w:lang w:val="zh-CN"/>
              </w:rPr>
              <w:t>其他投标人报价得分=</w:t>
            </w:r>
            <w:r>
              <w:rPr>
                <w:rFonts w:hint="eastAsia" w:ascii="仿宋" w:hAnsi="仿宋" w:eastAsia="仿宋" w:cs="仿宋"/>
                <w:bCs/>
                <w:color w:val="000000"/>
                <w:sz w:val="21"/>
                <w:szCs w:val="21"/>
                <w:highlight w:val="none"/>
                <w:lang w:val="en-US" w:eastAsia="zh-CN"/>
              </w:rPr>
              <w:t>(</w:t>
            </w:r>
            <w:r>
              <w:rPr>
                <w:rFonts w:hint="eastAsia" w:ascii="仿宋" w:hAnsi="仿宋" w:eastAsia="仿宋" w:cs="仿宋"/>
                <w:bCs/>
                <w:color w:val="000000"/>
                <w:sz w:val="21"/>
                <w:szCs w:val="21"/>
                <w:highlight w:val="none"/>
                <w:lang w:val="zh-CN"/>
              </w:rPr>
              <w:t>满分100分-分段报价扣分值</w:t>
            </w:r>
            <w:r>
              <w:rPr>
                <w:rFonts w:hint="eastAsia" w:ascii="仿宋" w:hAnsi="仿宋" w:eastAsia="仿宋" w:cs="仿宋"/>
                <w:bCs/>
                <w:color w:val="000000"/>
                <w:sz w:val="21"/>
                <w:szCs w:val="21"/>
                <w:highlight w:val="none"/>
                <w:lang w:val="en-US" w:eastAsia="zh-CN"/>
              </w:rPr>
              <w:t>)*30%。</w:t>
            </w:r>
          </w:p>
        </w:tc>
        <w:tc>
          <w:tcPr>
            <w:tcW w:w="325" w:type="pct"/>
            <w:shd w:val="clear" w:color="auto" w:fill="auto"/>
            <w:vAlign w:val="center"/>
          </w:tcPr>
          <w:p w14:paraId="39167DE0">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snapToGrid w:val="0"/>
                <w:kern w:val="2"/>
                <w:sz w:val="21"/>
                <w:szCs w:val="21"/>
                <w:highlight w:val="none"/>
                <w:lang w:val="en-US" w:eastAsia="zh-CN" w:bidi="ar-SA"/>
              </w:rPr>
              <w:t>30</w:t>
            </w:r>
          </w:p>
        </w:tc>
        <w:tc>
          <w:tcPr>
            <w:tcW w:w="391" w:type="pct"/>
            <w:vAlign w:val="center"/>
          </w:tcPr>
          <w:p w14:paraId="36ED4DD8">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w:t>
            </w:r>
          </w:p>
        </w:tc>
        <w:tc>
          <w:tcPr>
            <w:tcW w:w="891" w:type="pct"/>
            <w:vAlign w:val="center"/>
          </w:tcPr>
          <w:p w14:paraId="7C4C4794">
            <w:pPr>
              <w:spacing w:line="360" w:lineRule="auto"/>
              <w:jc w:val="center"/>
              <w:outlineLvl w:val="0"/>
              <w:rPr>
                <w:rFonts w:hint="eastAsia" w:ascii="仿宋" w:hAnsi="仿宋" w:eastAsia="仿宋" w:cs="仿宋"/>
                <w:sz w:val="24"/>
                <w:szCs w:val="24"/>
                <w:highlight w:val="none"/>
              </w:rPr>
            </w:pPr>
          </w:p>
        </w:tc>
      </w:tr>
    </w:tbl>
    <w:p w14:paraId="481C383A">
      <w:pPr>
        <w:snapToGrid w:val="0"/>
        <w:spacing w:line="360" w:lineRule="auto"/>
        <w:rPr>
          <w:rFonts w:hint="eastAsia" w:ascii="仿宋" w:hAnsi="仿宋" w:eastAsia="仿宋" w:cs="仿宋"/>
          <w:sz w:val="20"/>
          <w:szCs w:val="20"/>
          <w:highlight w:val="none"/>
          <w:shd w:val="clear" w:color="auto" w:fill="FFFFFF"/>
        </w:rPr>
      </w:pPr>
      <w:r>
        <w:rPr>
          <w:rFonts w:hint="eastAsia" w:ascii="仿宋" w:hAnsi="仿宋" w:eastAsia="仿宋" w:cs="仿宋"/>
          <w:sz w:val="20"/>
          <w:szCs w:val="20"/>
          <w:highlight w:val="none"/>
          <w:shd w:val="clear" w:color="auto" w:fill="FFFFFF"/>
        </w:rPr>
        <w:t> </w:t>
      </w:r>
    </w:p>
    <w:p w14:paraId="436C0F57">
      <w:pPr>
        <w:snapToGrid w:val="0"/>
        <w:spacing w:line="360" w:lineRule="auto"/>
        <w:ind w:firstLine="0" w:firstLineChars="0"/>
        <w:rPr>
          <w:rFonts w:hint="eastAsia" w:ascii="仿宋" w:hAnsi="仿宋" w:eastAsia="仿宋" w:cs="仿宋"/>
          <w:b/>
          <w:sz w:val="24"/>
          <w:highlight w:val="none"/>
        </w:rPr>
      </w:pP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 </w:t>
      </w:r>
    </w:p>
    <w:p w14:paraId="7386D997">
      <w:pPr>
        <w:snapToGrid w:val="0"/>
        <w:spacing w:line="360" w:lineRule="auto"/>
        <w:rPr>
          <w:rFonts w:hint="eastAsia" w:ascii="仿宋" w:hAnsi="仿宋" w:eastAsia="仿宋" w:cs="仿宋"/>
          <w:b/>
          <w:sz w:val="28"/>
          <w:szCs w:val="28"/>
          <w:highlight w:val="none"/>
        </w:rPr>
      </w:pPr>
      <w:r>
        <w:rPr>
          <w:rFonts w:hint="eastAsia" w:ascii="仿宋" w:hAnsi="仿宋" w:eastAsia="仿宋" w:cs="仿宋"/>
          <w:b/>
          <w:sz w:val="32"/>
          <w:highlight w:val="none"/>
        </w:rPr>
        <w:t>一、评标方法</w:t>
      </w:r>
    </w:p>
    <w:p w14:paraId="67DA00DB">
      <w:pPr>
        <w:adjustRightInd/>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1.本项目采用综合评分法。</w:t>
      </w:r>
      <w:r>
        <w:rPr>
          <w:rFonts w:hint="eastAsia" w:ascii="仿宋" w:hAnsi="仿宋" w:eastAsia="仿宋" w:cs="仿宋"/>
          <w:kern w:val="0"/>
          <w:sz w:val="24"/>
          <w:highlight w:val="none"/>
        </w:rPr>
        <w:t>综合评分法，是指投标文件满足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全部实质性要求，且按照评审因素的量化指标评审得分最高的投标人为中标候选人的评标方法。</w:t>
      </w:r>
    </w:p>
    <w:p w14:paraId="6CAD276A">
      <w:pPr>
        <w:adjustRightInd/>
        <w:spacing w:line="360" w:lineRule="auto"/>
        <w:rPr>
          <w:rFonts w:hint="eastAsia" w:ascii="仿宋" w:hAnsi="仿宋" w:eastAsia="仿宋" w:cs="仿宋"/>
          <w:kern w:val="0"/>
          <w:sz w:val="24"/>
          <w:highlight w:val="none"/>
        </w:rPr>
      </w:pPr>
      <w:r>
        <w:rPr>
          <w:rFonts w:hint="eastAsia" w:ascii="仿宋" w:hAnsi="仿宋" w:eastAsia="仿宋" w:cs="仿宋"/>
          <w:b/>
          <w:sz w:val="32"/>
          <w:highlight w:val="none"/>
        </w:rPr>
        <w:t>二、评标标准</w:t>
      </w:r>
    </w:p>
    <w:p w14:paraId="77679DD1">
      <w:pPr>
        <w:spacing w:line="360" w:lineRule="auto"/>
        <w:ind w:firstLine="472" w:firstLineChars="196"/>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highlight w:val="none"/>
        </w:rPr>
        <w:t xml:space="preserve"> </w:t>
      </w:r>
      <w:r>
        <w:rPr>
          <w:rFonts w:hint="eastAsia" w:ascii="仿宋" w:hAnsi="仿宋" w:eastAsia="仿宋" w:cs="仿宋"/>
          <w:b/>
          <w:sz w:val="24"/>
          <w:highlight w:val="none"/>
        </w:rPr>
        <w:t>评标标准：</w:t>
      </w:r>
      <w:r>
        <w:rPr>
          <w:rFonts w:hint="eastAsia" w:ascii="仿宋" w:hAnsi="仿宋" w:eastAsia="仿宋" w:cs="仿宋"/>
          <w:kern w:val="0"/>
          <w:sz w:val="24"/>
          <w:highlight w:val="none"/>
        </w:rPr>
        <w:t>见评标办法前附表。</w:t>
      </w:r>
    </w:p>
    <w:p w14:paraId="4056E01A">
      <w:pPr>
        <w:spacing w:line="360" w:lineRule="auto"/>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三、评标程序</w:t>
      </w:r>
    </w:p>
    <w:p w14:paraId="6C408957">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3.1符合性审查。</w:t>
      </w:r>
      <w:r>
        <w:rPr>
          <w:rFonts w:hint="eastAsia" w:ascii="仿宋" w:hAnsi="仿宋" w:eastAsia="仿宋" w:cs="仿宋"/>
          <w:kern w:val="0"/>
          <w:sz w:val="24"/>
          <w:highlight w:val="none"/>
        </w:rPr>
        <w:t>评标委员会应当对符合资格的投标人的投标文件进行符合性审查，以确定其是否满足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的实质性要求。不满足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的实质性要求的，投标无效。</w:t>
      </w:r>
    </w:p>
    <w:p w14:paraId="0076186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3.2 比较与评价。</w:t>
      </w:r>
      <w:r>
        <w:rPr>
          <w:rFonts w:hint="eastAsia" w:ascii="仿宋" w:hAnsi="仿宋" w:eastAsia="仿宋" w:cs="仿宋"/>
          <w:kern w:val="0"/>
          <w:sz w:val="24"/>
          <w:highlight w:val="none"/>
        </w:rPr>
        <w:t>评标委员会应当按照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中规定的评标方法和标准，对符合性审查合格的投标文件进行商务和技术评估，综合比较与评价。</w:t>
      </w:r>
    </w:p>
    <w:p w14:paraId="6866109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3.3汇总商务技术得分。</w:t>
      </w:r>
      <w:r>
        <w:rPr>
          <w:rFonts w:hint="eastAsia" w:ascii="仿宋" w:hAnsi="仿宋" w:eastAsia="仿宋" w:cs="仿宋"/>
          <w:kern w:val="0"/>
          <w:sz w:val="24"/>
          <w:highlight w:val="none"/>
        </w:rPr>
        <w:t>评标委员会各成员应当独立对每个投标人的商务和技术文件进行评价，并汇总商务技术得分情况。</w:t>
      </w:r>
    </w:p>
    <w:p w14:paraId="7DE73520">
      <w:pPr>
        <w:spacing w:line="360" w:lineRule="auto"/>
        <w:ind w:firstLine="472" w:firstLineChars="196"/>
        <w:rPr>
          <w:rFonts w:hint="eastAsia" w:ascii="仿宋" w:hAnsi="仿宋" w:eastAsia="仿宋" w:cs="仿宋"/>
          <w:b/>
          <w:kern w:val="0"/>
          <w:sz w:val="24"/>
          <w:highlight w:val="none"/>
        </w:rPr>
      </w:pPr>
      <w:r>
        <w:rPr>
          <w:rFonts w:hint="eastAsia" w:ascii="仿宋" w:hAnsi="仿宋" w:eastAsia="仿宋" w:cs="仿宋"/>
          <w:b/>
          <w:kern w:val="0"/>
          <w:sz w:val="24"/>
          <w:highlight w:val="none"/>
        </w:rPr>
        <w:t>3.4报价评审。</w:t>
      </w:r>
    </w:p>
    <w:p w14:paraId="0CEDC8FB">
      <w:pPr>
        <w:pStyle w:val="129"/>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3.4.1投标文件报价出现前后不一致的，按照下列规定修正：</w:t>
      </w:r>
    </w:p>
    <w:p w14:paraId="70A5A302">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3.4.1.1投标文件中开标一览表(报价表)内容与投标文件中相应内容不一致的，以开标一览表(报价表)为准;</w:t>
      </w:r>
    </w:p>
    <w:p w14:paraId="37B8F678">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3.4.1.2大写金额和小写金额不一致的，以大写金额为准;</w:t>
      </w:r>
    </w:p>
    <w:p w14:paraId="08B92FAF">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3.4.1.3单价金额小数点或者百分比有明显错位的，以开标一览表的总价为准，并修改单价;</w:t>
      </w:r>
    </w:p>
    <w:p w14:paraId="1C531A2E">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3.4.1.4总价金额与按单价汇总金额不一致的，以单价金额计算结果为准。</w:t>
      </w:r>
    </w:p>
    <w:p w14:paraId="45F2F6E6">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EA4CAAA">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3.4.2投标文件出现不是唯一的、有选择性投标报价的，投标无效。</w:t>
      </w:r>
    </w:p>
    <w:p w14:paraId="6950ABD2">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3.4.3投标报价超过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中规定的预算金额或者最高限价的，投标无效。</w:t>
      </w:r>
    </w:p>
    <w:p w14:paraId="5ABE789B">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7D931D7">
      <w:pPr>
        <w:spacing w:line="360" w:lineRule="auto"/>
        <w:ind w:firstLine="482" w:firstLineChars="200"/>
        <w:rPr>
          <w:rFonts w:hint="eastAsia" w:ascii="仿宋" w:hAnsi="仿宋" w:eastAsia="仿宋" w:cs="仿宋"/>
          <w:kern w:val="0"/>
          <w:sz w:val="24"/>
          <w:highlight w:val="none"/>
        </w:rPr>
      </w:pPr>
      <w:r>
        <w:rPr>
          <w:rFonts w:hint="eastAsia" w:ascii="仿宋" w:hAnsi="仿宋" w:eastAsia="仿宋" w:cs="仿宋"/>
          <w:b/>
          <w:kern w:val="0"/>
          <w:sz w:val="24"/>
          <w:highlight w:val="none"/>
        </w:rPr>
        <w:t>3.5排序与推荐。</w:t>
      </w:r>
      <w:r>
        <w:rPr>
          <w:rFonts w:hint="eastAsia" w:ascii="仿宋" w:hAnsi="仿宋" w:eastAsia="仿宋" w:cs="仿宋"/>
          <w:kern w:val="0"/>
          <w:sz w:val="24"/>
          <w:highlight w:val="none"/>
        </w:rPr>
        <w:t>采用综合评分法的，评标结果按评审后得分由高到低顺序排列。得分相同的，按投标报价由低到高顺序排列。得分且投标报价相同的并列。投标文件满足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全部实质性要求，且按照评审因素的量化指标评审得分最高的投标人为排名第一的中标候选人。</w:t>
      </w:r>
    </w:p>
    <w:p w14:paraId="183C478C">
      <w:pPr>
        <w:spacing w:line="360" w:lineRule="auto"/>
        <w:ind w:firstLine="480" w:firstLineChars="200"/>
        <w:rPr>
          <w:rFonts w:hint="eastAsia" w:ascii="仿宋" w:hAnsi="仿宋" w:eastAsia="仿宋" w:cs="仿宋"/>
          <w:b/>
          <w:kern w:val="0"/>
          <w:sz w:val="24"/>
          <w:highlight w:val="none"/>
        </w:rPr>
      </w:pPr>
      <w:r>
        <w:rPr>
          <w:rFonts w:hint="eastAsia" w:ascii="仿宋" w:hAnsi="仿宋" w:eastAsia="仿宋" w:cs="仿宋"/>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6E5017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3.6编写评标报告。</w:t>
      </w:r>
      <w:r>
        <w:rPr>
          <w:rFonts w:hint="eastAsia" w:ascii="仿宋" w:hAnsi="仿宋" w:eastAsia="仿宋" w:cs="仿宋"/>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50092BB">
      <w:pPr>
        <w:widowControl/>
        <w:shd w:val="clear" w:color="auto" w:fill="FFFFFF"/>
        <w:adjustRightInd/>
        <w:spacing w:after="225" w:line="315" w:lineRule="atLeast"/>
        <w:jc w:val="left"/>
        <w:rPr>
          <w:rFonts w:hint="eastAsia" w:ascii="仿宋" w:hAnsi="仿宋" w:eastAsia="仿宋" w:cs="仿宋"/>
          <w:b/>
          <w:sz w:val="32"/>
          <w:highlight w:val="none"/>
        </w:rPr>
      </w:pPr>
      <w:r>
        <w:rPr>
          <w:rFonts w:hint="eastAsia" w:ascii="仿宋" w:hAnsi="仿宋" w:eastAsia="仿宋" w:cs="仿宋"/>
          <w:b/>
          <w:sz w:val="32"/>
          <w:highlight w:val="none"/>
        </w:rPr>
        <w:t>四、评标中的其他事项</w:t>
      </w:r>
    </w:p>
    <w:p w14:paraId="5FCEA082">
      <w:pPr>
        <w:pStyle w:val="129"/>
        <w:spacing w:before="0"/>
        <w:ind w:firstLine="472" w:firstLineChars="196"/>
        <w:rPr>
          <w:rFonts w:hint="eastAsia" w:ascii="仿宋" w:hAnsi="仿宋" w:eastAsia="仿宋" w:cs="仿宋"/>
          <w:kern w:val="0"/>
          <w:szCs w:val="24"/>
          <w:highlight w:val="none"/>
        </w:rPr>
      </w:pPr>
      <w:r>
        <w:rPr>
          <w:rFonts w:hint="eastAsia" w:ascii="仿宋" w:hAnsi="仿宋" w:eastAsia="仿宋" w:cs="仿宋"/>
          <w:b/>
          <w:kern w:val="0"/>
          <w:szCs w:val="24"/>
          <w:highlight w:val="none"/>
        </w:rPr>
        <w:t>4.1投标人澄清、说明或者补正。</w:t>
      </w:r>
      <w:r>
        <w:rPr>
          <w:rFonts w:hint="eastAsia" w:ascii="仿宋" w:hAnsi="仿宋" w:eastAsia="仿宋" w:cs="仿宋"/>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293ED9">
      <w:pPr>
        <w:pStyle w:val="2"/>
        <w:spacing w:line="360" w:lineRule="auto"/>
        <w:ind w:left="954" w:leftChars="226" w:hanging="479" w:firstLineChars="0"/>
        <w:rPr>
          <w:rFonts w:hint="eastAsia" w:ascii="仿宋" w:hAnsi="仿宋" w:eastAsia="仿宋" w:cs="仿宋"/>
          <w:szCs w:val="21"/>
          <w:highlight w:val="none"/>
        </w:rPr>
      </w:pPr>
      <w:r>
        <w:rPr>
          <w:rFonts w:hint="eastAsia" w:ascii="仿宋" w:hAnsi="仿宋" w:eastAsia="仿宋" w:cs="仿宋"/>
          <w:b/>
          <w:kern w:val="0"/>
          <w:highlight w:val="none"/>
        </w:rPr>
        <w:t>4.2投标无效。</w:t>
      </w:r>
      <w:r>
        <w:rPr>
          <w:rFonts w:hint="eastAsia" w:ascii="仿宋" w:hAnsi="仿宋" w:eastAsia="仿宋" w:cs="仿宋"/>
          <w:szCs w:val="21"/>
          <w:highlight w:val="none"/>
        </w:rPr>
        <w:t>有下列情形之一的，投标无效：</w:t>
      </w:r>
    </w:p>
    <w:p w14:paraId="08D5E616">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4.2.1投标人不具备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中规定的资格要求的（投标人未提供有效的资格文件的，视为投标人不具备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中规定的资格要求）；</w:t>
      </w:r>
    </w:p>
    <w:p w14:paraId="48C0D1B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4.2.2投标文件未按照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要求签署、盖章的；</w:t>
      </w:r>
    </w:p>
    <w:p w14:paraId="16DAB8CA">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投标文件含有采购人不能接受的附加条件的；</w:t>
      </w:r>
    </w:p>
    <w:p w14:paraId="3A29AB60">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4</w:t>
      </w:r>
      <w:r>
        <w:rPr>
          <w:rFonts w:hint="eastAsia" w:ascii="仿宋" w:hAnsi="仿宋" w:eastAsia="仿宋" w:cs="仿宋"/>
          <w:kern w:val="0"/>
          <w:sz w:val="24"/>
          <w:highlight w:val="none"/>
        </w:rPr>
        <w:t>投标文件中承诺的投标有效期少于</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中载明的投标有效期的；</w:t>
      </w:r>
    </w:p>
    <w:p w14:paraId="30006C35">
      <w:pPr>
        <w:snapToGrid w:val="0"/>
        <w:spacing w:line="360" w:lineRule="auto"/>
        <w:ind w:firstLine="120" w:firstLineChars="50"/>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w:t>
      </w:r>
      <w:r>
        <w:rPr>
          <w:rFonts w:hint="eastAsia" w:ascii="仿宋" w:hAnsi="仿宋" w:eastAsia="仿宋" w:cs="仿宋"/>
          <w:kern w:val="0"/>
          <w:sz w:val="24"/>
          <w:highlight w:val="none"/>
          <w:lang w:val="en-US" w:eastAsia="zh-CN"/>
        </w:rPr>
        <w:t>5</w:t>
      </w:r>
      <w:r>
        <w:rPr>
          <w:rFonts w:hint="eastAsia" w:ascii="仿宋" w:hAnsi="仿宋" w:eastAsia="仿宋" w:cs="仿宋"/>
          <w:kern w:val="0"/>
          <w:sz w:val="24"/>
          <w:highlight w:val="none"/>
        </w:rPr>
        <w:t>投标文件出现不是唯一的、有选择性投标报价的;</w:t>
      </w:r>
    </w:p>
    <w:p w14:paraId="192890E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6</w:t>
      </w:r>
      <w:r>
        <w:rPr>
          <w:rFonts w:hint="eastAsia" w:ascii="仿宋" w:hAnsi="仿宋" w:eastAsia="仿宋" w:cs="仿宋"/>
          <w:kern w:val="0"/>
          <w:sz w:val="24"/>
          <w:highlight w:val="none"/>
        </w:rPr>
        <w:t>投标报价超过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中规定的预算金额或者最高限价的;</w:t>
      </w:r>
    </w:p>
    <w:p w14:paraId="4B5F46E2">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7</w:t>
      </w:r>
      <w:r>
        <w:rPr>
          <w:rFonts w:hint="eastAsia" w:ascii="仿宋" w:hAnsi="仿宋" w:eastAsia="仿宋" w:cs="仿宋"/>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4E13108A">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8</w:t>
      </w:r>
      <w:r>
        <w:rPr>
          <w:rFonts w:hint="eastAsia" w:ascii="仿宋" w:hAnsi="仿宋" w:eastAsia="仿宋" w:cs="仿宋"/>
          <w:kern w:val="0"/>
          <w:sz w:val="24"/>
          <w:highlight w:val="none"/>
        </w:rPr>
        <w:t>投标人对根据修正原则修正后的报价不确认的；</w:t>
      </w:r>
    </w:p>
    <w:p w14:paraId="7B9158D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9</w:t>
      </w:r>
      <w:r>
        <w:rPr>
          <w:rFonts w:hint="eastAsia" w:ascii="仿宋" w:hAnsi="仿宋" w:eastAsia="仿宋" w:cs="仿宋"/>
          <w:kern w:val="0"/>
          <w:sz w:val="24"/>
          <w:highlight w:val="none"/>
        </w:rPr>
        <w:t>投标人提供虚假材料投标的；</w:t>
      </w:r>
    </w:p>
    <w:p w14:paraId="70EDD0F6">
      <w:pPr>
        <w:spacing w:line="360" w:lineRule="auto"/>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4.2.1</w:t>
      </w:r>
      <w:r>
        <w:rPr>
          <w:rFonts w:hint="eastAsia" w:ascii="仿宋" w:hAnsi="仿宋" w:eastAsia="仿宋" w:cs="仿宋"/>
          <w:kern w:val="0"/>
          <w:sz w:val="24"/>
          <w:highlight w:val="none"/>
          <w:lang w:val="en-US" w:eastAsia="zh-CN"/>
        </w:rPr>
        <w:t>0</w:t>
      </w:r>
      <w:r>
        <w:rPr>
          <w:rFonts w:hint="eastAsia" w:ascii="仿宋" w:hAnsi="仿宋" w:eastAsia="仿宋" w:cs="仿宋"/>
          <w:kern w:val="0"/>
          <w:sz w:val="24"/>
          <w:highlight w:val="none"/>
        </w:rPr>
        <w:t>投标人有恶意串通、妨碍其他投标人的竞争行为、损害采购人或者其他投标人的合法权益情形的；</w:t>
      </w:r>
    </w:p>
    <w:p w14:paraId="088F0C8F">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w:t>
      </w: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投标人仅提交备份投标文件，未在电子交易平台传输递交投标文件的，投标无效；</w:t>
      </w:r>
    </w:p>
    <w:p w14:paraId="66968BAD">
      <w:pPr>
        <w:pStyle w:val="4"/>
        <w:ind w:left="862" w:leftChars="205"/>
        <w:rPr>
          <w:rFonts w:hint="eastAsia" w:ascii="仿宋" w:hAnsi="仿宋" w:eastAsia="仿宋" w:cs="仿宋"/>
          <w:b w:val="0"/>
          <w:bCs w:val="0"/>
          <w:kern w:val="0"/>
          <w:sz w:val="24"/>
          <w:szCs w:val="24"/>
          <w:highlight w:val="none"/>
          <w:lang w:val="en-US"/>
        </w:rPr>
      </w:pPr>
      <w:r>
        <w:rPr>
          <w:rFonts w:hint="eastAsia" w:ascii="仿宋" w:hAnsi="仿宋" w:eastAsia="仿宋" w:cs="仿宋"/>
          <w:b w:val="0"/>
          <w:bCs w:val="0"/>
          <w:kern w:val="0"/>
          <w:sz w:val="24"/>
          <w:szCs w:val="24"/>
          <w:highlight w:val="none"/>
          <w:lang w:val="en-US"/>
        </w:rPr>
        <w:t>4.2.1</w:t>
      </w:r>
      <w:r>
        <w:rPr>
          <w:rFonts w:hint="eastAsia" w:ascii="仿宋" w:eastAsia="仿宋" w:cs="仿宋"/>
          <w:b w:val="0"/>
          <w:bCs w:val="0"/>
          <w:kern w:val="0"/>
          <w:sz w:val="24"/>
          <w:szCs w:val="24"/>
          <w:highlight w:val="none"/>
          <w:lang w:val="en-US" w:eastAsia="zh-CN"/>
        </w:rPr>
        <w:t>2</w:t>
      </w:r>
      <w:r>
        <w:rPr>
          <w:rFonts w:hint="eastAsia" w:ascii="仿宋" w:hAnsi="仿宋" w:eastAsia="仿宋" w:cs="仿宋"/>
          <w:b w:val="0"/>
          <w:bCs w:val="0"/>
          <w:kern w:val="0"/>
          <w:sz w:val="24"/>
          <w:szCs w:val="24"/>
          <w:highlight w:val="none"/>
          <w:lang w:val="en-US"/>
        </w:rPr>
        <w:t xml:space="preserve"> 投标文件不满足</w:t>
      </w:r>
      <w:r>
        <w:rPr>
          <w:rFonts w:hint="eastAsia" w:ascii="仿宋" w:eastAsia="仿宋" w:cs="仿宋"/>
          <w:b w:val="0"/>
          <w:bCs w:val="0"/>
          <w:kern w:val="0"/>
          <w:sz w:val="24"/>
          <w:szCs w:val="24"/>
          <w:highlight w:val="none"/>
          <w:lang w:val="en-US" w:eastAsia="zh-CN"/>
        </w:rPr>
        <w:t>公开招标采购文件</w:t>
      </w:r>
      <w:r>
        <w:rPr>
          <w:rFonts w:hint="eastAsia" w:ascii="仿宋" w:hAnsi="仿宋" w:eastAsia="仿宋" w:cs="仿宋"/>
          <w:b w:val="0"/>
          <w:bCs w:val="0"/>
          <w:kern w:val="0"/>
          <w:sz w:val="24"/>
          <w:szCs w:val="24"/>
          <w:highlight w:val="none"/>
          <w:lang w:val="en-US"/>
        </w:rPr>
        <w:t>的其它实质性要求的；</w:t>
      </w:r>
    </w:p>
    <w:p w14:paraId="3C944E33">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w:t>
      </w: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法律、法规、规章（适用本市的）及省级以上规范性文件（适用本市的）规定的其他无效情形。</w:t>
      </w:r>
    </w:p>
    <w:p w14:paraId="520C7EEA">
      <w:pPr>
        <w:pStyle w:val="2"/>
        <w:snapToGrid w:val="0"/>
        <w:spacing w:line="360" w:lineRule="auto"/>
        <w:ind w:firstLine="472" w:firstLineChars="196"/>
        <w:rPr>
          <w:rFonts w:hint="eastAsia" w:ascii="仿宋" w:hAnsi="仿宋" w:eastAsia="仿宋" w:cs="仿宋"/>
          <w:highlight w:val="none"/>
        </w:rPr>
      </w:pPr>
      <w:r>
        <w:rPr>
          <w:rFonts w:hint="eastAsia" w:ascii="仿宋" w:hAnsi="仿宋" w:eastAsia="仿宋" w:cs="仿宋"/>
          <w:b/>
          <w:highlight w:val="none"/>
        </w:rPr>
        <w:t>5.废标。</w:t>
      </w:r>
      <w:r>
        <w:rPr>
          <w:rFonts w:hint="eastAsia" w:ascii="仿宋" w:hAnsi="仿宋" w:eastAsia="仿宋" w:cs="仿宋"/>
          <w:highlight w:val="none"/>
        </w:rPr>
        <w:t>在采购中，出现下列情形之一的，应予废标：</w:t>
      </w:r>
    </w:p>
    <w:p w14:paraId="6045763C">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5.1符合专业条件的供应商或者对</w:t>
      </w:r>
      <w:r>
        <w:rPr>
          <w:rFonts w:hint="eastAsia" w:ascii="仿宋" w:hAnsi="仿宋" w:eastAsia="仿宋" w:cs="仿宋"/>
          <w:highlight w:val="none"/>
          <w:lang w:eastAsia="zh-CN"/>
        </w:rPr>
        <w:t>公开招标采购文件</w:t>
      </w:r>
      <w:r>
        <w:rPr>
          <w:rFonts w:hint="eastAsia" w:ascii="仿宋" w:hAnsi="仿宋" w:eastAsia="仿宋" w:cs="仿宋"/>
          <w:highlight w:val="none"/>
        </w:rPr>
        <w:t>作实质响应的供应商不足3家的；</w:t>
      </w:r>
    </w:p>
    <w:p w14:paraId="1E519535">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5.2出现影响采购公正的违法、违规行为的；</w:t>
      </w:r>
    </w:p>
    <w:p w14:paraId="3042CBE6">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5.3投标人的报价均超过了采购预算，采购人不能支付的；</w:t>
      </w:r>
    </w:p>
    <w:p w14:paraId="4284196A">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5.4因重大变故，采购任务取消的。</w:t>
      </w:r>
    </w:p>
    <w:p w14:paraId="6A880648">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废标后，采购机构应当将废标理由通知所有投标人。</w:t>
      </w:r>
    </w:p>
    <w:p w14:paraId="2FB6C9E5">
      <w:pPr>
        <w:pStyle w:val="2"/>
        <w:snapToGrid w:val="0"/>
        <w:spacing w:line="360" w:lineRule="auto"/>
        <w:ind w:firstLine="590" w:firstLineChars="245"/>
        <w:rPr>
          <w:rFonts w:hint="eastAsia" w:ascii="仿宋" w:hAnsi="仿宋" w:eastAsia="仿宋" w:cs="仿宋"/>
          <w:highlight w:val="none"/>
        </w:rPr>
      </w:pPr>
      <w:r>
        <w:rPr>
          <w:rFonts w:hint="eastAsia" w:ascii="仿宋" w:hAnsi="仿宋" w:eastAsia="仿宋" w:cs="仿宋"/>
          <w:b/>
          <w:highlight w:val="none"/>
        </w:rPr>
        <w:t>6.修改</w:t>
      </w:r>
      <w:r>
        <w:rPr>
          <w:rFonts w:hint="eastAsia" w:ascii="仿宋" w:hAnsi="仿宋" w:eastAsia="仿宋" w:cs="仿宋"/>
          <w:b/>
          <w:highlight w:val="none"/>
          <w:lang w:eastAsia="zh-CN"/>
        </w:rPr>
        <w:t>公开招标采购文件</w:t>
      </w:r>
      <w:r>
        <w:rPr>
          <w:rFonts w:hint="eastAsia" w:ascii="仿宋" w:hAnsi="仿宋" w:eastAsia="仿宋" w:cs="仿宋"/>
          <w:b/>
          <w:highlight w:val="none"/>
        </w:rPr>
        <w:t>，重新组织采购活动。</w:t>
      </w:r>
      <w:r>
        <w:rPr>
          <w:rFonts w:hint="eastAsia" w:ascii="仿宋" w:hAnsi="仿宋" w:eastAsia="仿宋" w:cs="仿宋"/>
          <w:highlight w:val="none"/>
        </w:rPr>
        <w:t>评标委员会发现</w:t>
      </w:r>
      <w:r>
        <w:rPr>
          <w:rFonts w:hint="eastAsia" w:ascii="仿宋" w:hAnsi="仿宋" w:eastAsia="仿宋" w:cs="仿宋"/>
          <w:highlight w:val="none"/>
          <w:lang w:eastAsia="zh-CN"/>
        </w:rPr>
        <w:t>公开招标采购文件</w:t>
      </w:r>
      <w:r>
        <w:rPr>
          <w:rFonts w:hint="eastAsia" w:ascii="仿宋" w:hAnsi="仿宋" w:eastAsia="仿宋" w:cs="仿宋"/>
          <w:highlight w:val="none"/>
        </w:rPr>
        <w:t>存在歧义、重大缺陷导致评标工作无法进行，或者</w:t>
      </w:r>
      <w:r>
        <w:rPr>
          <w:rFonts w:hint="eastAsia" w:ascii="仿宋" w:hAnsi="仿宋" w:eastAsia="仿宋" w:cs="仿宋"/>
          <w:highlight w:val="none"/>
          <w:lang w:eastAsia="zh-CN"/>
        </w:rPr>
        <w:t>公开招标采购文件</w:t>
      </w:r>
      <w:r>
        <w:rPr>
          <w:rFonts w:hint="eastAsia" w:ascii="仿宋" w:hAnsi="仿宋" w:eastAsia="仿宋" w:cs="仿宋"/>
          <w:highlight w:val="none"/>
        </w:rPr>
        <w:t>内容违反国家有关强制性规定的，将停止评标工作，并与采购人、采购机构沟通并作书面记录。采购人、采购机构确认后，将修改</w:t>
      </w:r>
      <w:r>
        <w:rPr>
          <w:rFonts w:hint="eastAsia" w:ascii="仿宋" w:hAnsi="仿宋" w:eastAsia="仿宋" w:cs="仿宋"/>
          <w:highlight w:val="none"/>
          <w:lang w:eastAsia="zh-CN"/>
        </w:rPr>
        <w:t>公开招标采购文件</w:t>
      </w:r>
      <w:r>
        <w:rPr>
          <w:rFonts w:hint="eastAsia" w:ascii="仿宋" w:hAnsi="仿宋" w:eastAsia="仿宋" w:cs="仿宋"/>
          <w:highlight w:val="none"/>
        </w:rPr>
        <w:t>，重新组织采购活动。</w:t>
      </w:r>
    </w:p>
    <w:p w14:paraId="040C690E">
      <w:pPr>
        <w:pStyle w:val="2"/>
        <w:snapToGrid w:val="0"/>
        <w:spacing w:line="360" w:lineRule="auto"/>
        <w:ind w:firstLine="482"/>
        <w:rPr>
          <w:rFonts w:hint="eastAsia" w:ascii="仿宋" w:hAnsi="仿宋" w:eastAsia="仿宋" w:cs="仿宋"/>
          <w:highlight w:val="none"/>
        </w:rPr>
      </w:pPr>
      <w:r>
        <w:rPr>
          <w:rFonts w:hint="eastAsia" w:ascii="仿宋" w:hAnsi="仿宋" w:eastAsia="仿宋" w:cs="仿宋"/>
          <w:b/>
          <w:kern w:val="0"/>
          <w:highlight w:val="none"/>
        </w:rPr>
        <w:t>7.重新开展采购。</w:t>
      </w:r>
      <w:r>
        <w:rPr>
          <w:rFonts w:hint="eastAsia" w:ascii="仿宋" w:hAnsi="仿宋" w:eastAsia="仿宋" w:cs="仿宋"/>
          <w:highlight w:val="none"/>
        </w:rPr>
        <w:t>有政府采购法第七十一条、第七十二条规定的违法行为之一，影响或者可能影响中标结果的，依照下列规定处理：</w:t>
      </w:r>
    </w:p>
    <w:p w14:paraId="00047F75">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7.1未确定中标供应商的，终止本次采购活动，重新开展采购活动。</w:t>
      </w:r>
    </w:p>
    <w:p w14:paraId="5DE0BB47">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7.2已确定中标供应商但尚未签订采购合同的，中标结果无效，从合格的中标候选人中另行确定中标供应商；没有合格的中标候选人的，重新开展采购活动。</w:t>
      </w:r>
    </w:p>
    <w:p w14:paraId="61460490">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7.3采购合同已签订但尚未履行的，撤销合同，从合格的中标候选人中另行确定中标供应商；没有合格的中标候选人的，重新开展采购活动。</w:t>
      </w:r>
    </w:p>
    <w:p w14:paraId="07FB3674">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7.4采购合同已经履行，给采购人、供应商造成损失的，由责任人承担赔偿责任。</w:t>
      </w:r>
    </w:p>
    <w:p w14:paraId="3171FFCC">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7.5采购当事人有其他违反政府采购法或者政府采购法实施条例等法律法规规定的行为，经改正后仍然影响或者可能影响中标结果或者依法被认定为中标无效的，依照7.1-7.4规定处理。</w:t>
      </w:r>
    </w:p>
    <w:bookmarkEnd w:id="27"/>
    <w:p w14:paraId="6EDAB7D3">
      <w:pPr>
        <w:spacing w:line="360" w:lineRule="auto"/>
        <w:outlineLvl w:val="0"/>
        <w:rPr>
          <w:rFonts w:hint="eastAsia" w:ascii="仿宋" w:hAnsi="仿宋" w:eastAsia="仿宋" w:cs="仿宋"/>
          <w:b/>
          <w:sz w:val="36"/>
          <w:szCs w:val="36"/>
          <w:highlight w:val="none"/>
        </w:rPr>
      </w:pPr>
      <w:bookmarkStart w:id="393" w:name="第五部分"/>
      <w:bookmarkStart w:id="394" w:name="_Toc86217003"/>
    </w:p>
    <w:p w14:paraId="002ED7C4">
      <w:pPr>
        <w:pStyle w:val="61"/>
        <w:rPr>
          <w:rFonts w:hint="eastAsia" w:ascii="仿宋" w:hAnsi="仿宋" w:eastAsia="仿宋" w:cs="仿宋"/>
          <w:b/>
          <w:sz w:val="36"/>
          <w:szCs w:val="36"/>
          <w:highlight w:val="none"/>
        </w:rPr>
      </w:pPr>
    </w:p>
    <w:p w14:paraId="7FBA5E12">
      <w:pPr>
        <w:pStyle w:val="62"/>
        <w:rPr>
          <w:rFonts w:hint="eastAsia" w:ascii="仿宋" w:hAnsi="仿宋" w:eastAsia="仿宋" w:cs="仿宋"/>
          <w:b/>
          <w:sz w:val="36"/>
          <w:szCs w:val="36"/>
          <w:highlight w:val="none"/>
        </w:rPr>
      </w:pPr>
    </w:p>
    <w:p w14:paraId="11135AEF">
      <w:pPr>
        <w:spacing w:line="360" w:lineRule="auto"/>
        <w:ind w:left="720" w:leftChars="343" w:firstLine="1084" w:firstLineChars="300"/>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 </w:t>
      </w:r>
    </w:p>
    <w:p w14:paraId="671068E5">
      <w:pPr>
        <w:spacing w:line="360" w:lineRule="auto"/>
        <w:ind w:left="720" w:leftChars="343" w:firstLine="1084" w:firstLineChars="300"/>
        <w:outlineLvl w:val="0"/>
        <w:rPr>
          <w:rFonts w:hint="eastAsia" w:ascii="仿宋" w:hAnsi="仿宋" w:eastAsia="仿宋" w:cs="仿宋"/>
          <w:b/>
          <w:sz w:val="36"/>
          <w:szCs w:val="36"/>
          <w:highlight w:val="none"/>
        </w:rPr>
      </w:pPr>
    </w:p>
    <w:p w14:paraId="0B87D5B8">
      <w:pPr>
        <w:spacing w:line="360" w:lineRule="auto"/>
        <w:ind w:left="720" w:leftChars="343" w:firstLine="1084" w:firstLineChars="300"/>
        <w:outlineLvl w:val="0"/>
        <w:rPr>
          <w:rFonts w:hint="eastAsia" w:ascii="仿宋" w:hAnsi="仿宋" w:eastAsia="仿宋" w:cs="仿宋"/>
          <w:b/>
          <w:sz w:val="36"/>
          <w:szCs w:val="36"/>
          <w:highlight w:val="none"/>
        </w:rPr>
      </w:pPr>
    </w:p>
    <w:p w14:paraId="74F734E3">
      <w:pPr>
        <w:spacing w:line="360" w:lineRule="auto"/>
        <w:ind w:left="720" w:leftChars="343" w:firstLine="1084" w:firstLineChars="300"/>
        <w:outlineLvl w:val="0"/>
        <w:rPr>
          <w:rFonts w:hint="eastAsia" w:ascii="仿宋" w:hAnsi="仿宋" w:eastAsia="仿宋" w:cs="仿宋"/>
          <w:b/>
          <w:sz w:val="36"/>
          <w:szCs w:val="36"/>
          <w:highlight w:val="none"/>
        </w:rPr>
      </w:pPr>
    </w:p>
    <w:p w14:paraId="52ABB109">
      <w:pPr>
        <w:spacing w:line="240" w:lineRule="auto"/>
        <w:ind w:left="0" w:leftChars="0" w:firstLine="0" w:firstLineChars="0"/>
        <w:outlineLvl w:val="9"/>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2A5BBAF0">
      <w:pPr>
        <w:pStyle w:val="2"/>
        <w:rPr>
          <w:rFonts w:hint="eastAsia"/>
          <w:highlight w:val="none"/>
        </w:rPr>
      </w:pPr>
    </w:p>
    <w:p w14:paraId="265DA0F5">
      <w:pPr>
        <w:spacing w:line="360" w:lineRule="auto"/>
        <w:ind w:left="720" w:leftChars="343" w:firstLine="1084" w:firstLineChars="300"/>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   第五部分 拟签订的合同文本</w:t>
      </w:r>
    </w:p>
    <w:p w14:paraId="695DC571">
      <w:pPr>
        <w:rPr>
          <w:rFonts w:hint="eastAsia" w:ascii="仿宋" w:hAnsi="仿宋" w:eastAsia="仿宋" w:cs="仿宋"/>
          <w:sz w:val="24"/>
          <w:highlight w:val="none"/>
          <w:u w:val="single"/>
        </w:rPr>
      </w:pPr>
      <w:r>
        <w:rPr>
          <w:rFonts w:hint="eastAsia" w:ascii="仿宋" w:hAnsi="仿宋" w:eastAsia="仿宋" w:cs="仿宋"/>
          <w:sz w:val="24"/>
          <w:highlight w:val="none"/>
        </w:rPr>
        <w:t>合同编号：</w:t>
      </w:r>
      <w:r>
        <w:rPr>
          <w:rFonts w:hint="eastAsia" w:ascii="仿宋" w:hAnsi="仿宋" w:eastAsia="仿宋" w:cs="仿宋"/>
          <w:sz w:val="24"/>
          <w:highlight w:val="none"/>
          <w:u w:val="single"/>
        </w:rPr>
        <w:t xml:space="preserve">           </w:t>
      </w:r>
    </w:p>
    <w:p w14:paraId="239433C4">
      <w:pPr>
        <w:spacing w:line="480" w:lineRule="auto"/>
        <w:jc w:val="center"/>
        <w:rPr>
          <w:rFonts w:hint="eastAsia" w:ascii="仿宋" w:hAnsi="仿宋" w:eastAsia="仿宋" w:cs="仿宋"/>
          <w:b/>
          <w:sz w:val="28"/>
          <w:szCs w:val="28"/>
          <w:highlight w:val="none"/>
        </w:rPr>
      </w:pPr>
    </w:p>
    <w:p w14:paraId="7188F8A8">
      <w:pPr>
        <w:spacing w:line="480" w:lineRule="auto"/>
        <w:jc w:val="center"/>
        <w:rPr>
          <w:rFonts w:hint="eastAsia" w:ascii="仿宋" w:hAnsi="仿宋" w:eastAsia="仿宋" w:cs="仿宋"/>
          <w:b/>
          <w:sz w:val="24"/>
          <w:highlight w:val="none"/>
        </w:rPr>
      </w:pPr>
    </w:p>
    <w:p w14:paraId="30E6592D">
      <w:pPr>
        <w:spacing w:line="480" w:lineRule="auto"/>
        <w:jc w:val="center"/>
        <w:rPr>
          <w:rFonts w:hint="eastAsia" w:ascii="仿宋" w:hAnsi="仿宋" w:eastAsia="仿宋" w:cs="仿宋"/>
          <w:b/>
          <w:sz w:val="24"/>
          <w:highlight w:val="none"/>
        </w:rPr>
      </w:pPr>
    </w:p>
    <w:p w14:paraId="5D12D47D">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采购合同参考范本</w:t>
      </w:r>
    </w:p>
    <w:p w14:paraId="639BE74A">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（货物类）</w:t>
      </w:r>
    </w:p>
    <w:p w14:paraId="44B7E30B">
      <w:pPr>
        <w:pStyle w:val="703"/>
        <w:rPr>
          <w:rFonts w:hint="eastAsia" w:ascii="仿宋" w:hAnsi="仿宋" w:eastAsia="仿宋" w:cs="仿宋"/>
          <w:szCs w:val="24"/>
          <w:highlight w:val="none"/>
        </w:rPr>
      </w:pPr>
    </w:p>
    <w:p w14:paraId="7B120E3F">
      <w:pPr>
        <w:pStyle w:val="703"/>
        <w:rPr>
          <w:rFonts w:hint="eastAsia" w:ascii="仿宋" w:hAnsi="仿宋" w:eastAsia="仿宋" w:cs="仿宋"/>
          <w:szCs w:val="24"/>
          <w:highlight w:val="none"/>
        </w:rPr>
      </w:pPr>
    </w:p>
    <w:p w14:paraId="795B970A">
      <w:pPr>
        <w:pStyle w:val="703"/>
        <w:jc w:val="center"/>
        <w:rPr>
          <w:rFonts w:hint="eastAsia" w:ascii="仿宋" w:hAnsi="仿宋" w:eastAsia="仿宋" w:cs="仿宋"/>
          <w:szCs w:val="24"/>
          <w:highlight w:val="none"/>
        </w:rPr>
      </w:pPr>
    </w:p>
    <w:p w14:paraId="604D808E">
      <w:pPr>
        <w:pStyle w:val="703"/>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0D25803D">
      <w:pPr>
        <w:pStyle w:val="703"/>
        <w:rPr>
          <w:rFonts w:hint="eastAsia" w:ascii="仿宋" w:hAnsi="仿宋" w:eastAsia="仿宋" w:cs="仿宋"/>
          <w:szCs w:val="24"/>
          <w:highlight w:val="none"/>
        </w:rPr>
      </w:pPr>
    </w:p>
    <w:p w14:paraId="07CAC611">
      <w:pPr>
        <w:pStyle w:val="703"/>
        <w:rPr>
          <w:rFonts w:hint="eastAsia" w:ascii="仿宋" w:hAnsi="仿宋" w:eastAsia="仿宋" w:cs="仿宋"/>
          <w:szCs w:val="24"/>
          <w:highlight w:val="none"/>
        </w:rPr>
      </w:pPr>
    </w:p>
    <w:p w14:paraId="55D4D1F9">
      <w:pPr>
        <w:spacing w:before="120" w:line="22" w:lineRule="atLeast"/>
        <w:rPr>
          <w:rFonts w:hint="eastAsia" w:ascii="仿宋" w:hAnsi="仿宋" w:eastAsia="仿宋" w:cs="仿宋"/>
          <w:sz w:val="24"/>
          <w:highlight w:val="none"/>
        </w:rPr>
      </w:pPr>
    </w:p>
    <w:p w14:paraId="3ABD7541">
      <w:pPr>
        <w:spacing w:before="120" w:line="22" w:lineRule="atLeast"/>
        <w:ind w:left="96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73F6344B">
      <w:pPr>
        <w:pStyle w:val="600"/>
        <w:spacing w:before="120" w:line="22" w:lineRule="atLeast"/>
        <w:rPr>
          <w:rFonts w:hint="eastAsia" w:ascii="仿宋" w:hAnsi="仿宋" w:eastAsia="仿宋" w:cs="仿宋"/>
          <w:szCs w:val="24"/>
          <w:highlight w:val="none"/>
        </w:rPr>
      </w:pPr>
    </w:p>
    <w:p w14:paraId="63F5F147">
      <w:pPr>
        <w:pStyle w:val="600"/>
        <w:spacing w:before="120" w:line="22" w:lineRule="atLeast"/>
        <w:rPr>
          <w:rFonts w:hint="eastAsia" w:ascii="仿宋" w:hAnsi="仿宋" w:eastAsia="仿宋" w:cs="仿宋"/>
          <w:szCs w:val="24"/>
          <w:highlight w:val="none"/>
        </w:rPr>
      </w:pPr>
    </w:p>
    <w:p w14:paraId="3689C3F3">
      <w:pPr>
        <w:rPr>
          <w:rFonts w:hint="eastAsia" w:ascii="仿宋" w:hAnsi="仿宋" w:eastAsia="仿宋" w:cs="仿宋"/>
          <w:sz w:val="24"/>
          <w:highlight w:val="none"/>
        </w:rPr>
      </w:pPr>
    </w:p>
    <w:p w14:paraId="0FC845A8">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甲方：</w:t>
      </w:r>
      <w:r>
        <w:rPr>
          <w:rFonts w:hint="eastAsia" w:ascii="仿宋" w:hAnsi="仿宋" w:eastAsia="仿宋" w:cs="仿宋"/>
          <w:sz w:val="24"/>
          <w:highlight w:val="none"/>
          <w:u w:val="single"/>
        </w:rPr>
        <w:t xml:space="preserve">                                       </w:t>
      </w:r>
    </w:p>
    <w:p w14:paraId="1AC0044F">
      <w:pPr>
        <w:spacing w:before="120" w:line="22" w:lineRule="atLeast"/>
        <w:rPr>
          <w:rFonts w:hint="eastAsia" w:ascii="仿宋" w:hAnsi="仿宋" w:eastAsia="仿宋" w:cs="仿宋"/>
          <w:sz w:val="24"/>
          <w:highlight w:val="none"/>
        </w:rPr>
      </w:pPr>
    </w:p>
    <w:p w14:paraId="24DE3090">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p>
    <w:p w14:paraId="1EC3B64D">
      <w:pPr>
        <w:spacing w:before="120" w:line="22" w:lineRule="atLeast"/>
        <w:rPr>
          <w:rFonts w:hint="eastAsia" w:ascii="仿宋" w:hAnsi="仿宋" w:eastAsia="仿宋" w:cs="仿宋"/>
          <w:sz w:val="24"/>
          <w:highlight w:val="none"/>
        </w:rPr>
      </w:pPr>
    </w:p>
    <w:p w14:paraId="2EBC39E4">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1D01CCAE">
      <w:pPr>
        <w:spacing w:before="120" w:line="22" w:lineRule="atLeast"/>
        <w:rPr>
          <w:rFonts w:hint="eastAsia" w:ascii="仿宋" w:hAnsi="仿宋" w:eastAsia="仿宋" w:cs="仿宋"/>
          <w:sz w:val="24"/>
          <w:highlight w:val="none"/>
        </w:rPr>
      </w:pPr>
    </w:p>
    <w:p w14:paraId="668DF153">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40D170A1">
      <w:pPr>
        <w:widowControl/>
        <w:jc w:val="left"/>
        <w:rPr>
          <w:rFonts w:hint="eastAsia" w:ascii="仿宋" w:hAnsi="仿宋" w:eastAsia="仿宋" w:cs="仿宋"/>
          <w:kern w:val="0"/>
          <w:sz w:val="24"/>
          <w:highlight w:val="none"/>
        </w:rPr>
        <w:sectPr>
          <w:pgSz w:w="11907" w:h="16840"/>
          <w:pgMar w:top="1474" w:right="1814" w:bottom="1474" w:left="1814" w:header="851" w:footer="851" w:gutter="0"/>
          <w:cols w:space="720" w:num="1"/>
        </w:sectPr>
      </w:pPr>
    </w:p>
    <w:p w14:paraId="40EB83A7">
      <w:pPr>
        <w:spacing w:line="48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年</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月</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日</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以</w:t>
      </w:r>
      <w:r>
        <w:rPr>
          <w:rFonts w:hint="eastAsia" w:ascii="仿宋" w:hAnsi="仿宋" w:eastAsia="仿宋" w:cs="仿宋"/>
          <w:sz w:val="24"/>
          <w:highlight w:val="none"/>
          <w:u w:val="single"/>
        </w:rPr>
        <w:t xml:space="preserve"> 公开招标方式 </w:t>
      </w:r>
      <w:r>
        <w:rPr>
          <w:rFonts w:hint="eastAsia" w:ascii="仿宋" w:hAnsi="仿宋" w:eastAsia="仿宋" w:cs="仿宋"/>
          <w:sz w:val="24"/>
          <w:highlight w:val="none"/>
        </w:rPr>
        <w:t>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项目</w:t>
      </w:r>
      <w:r>
        <w:rPr>
          <w:rFonts w:hint="eastAsia" w:ascii="仿宋" w:hAnsi="仿宋" w:eastAsia="仿宋" w:cs="仿宋"/>
          <w:sz w:val="24"/>
          <w:highlight w:val="none"/>
        </w:rPr>
        <w:t>进行了</w:t>
      </w:r>
      <w:r>
        <w:rPr>
          <w:rFonts w:hint="eastAsia" w:ascii="仿宋" w:hAnsi="仿宋" w:eastAsia="仿宋" w:cs="仿宋"/>
          <w:sz w:val="24"/>
          <w:highlight w:val="none"/>
          <w:lang w:val="en-US" w:eastAsia="zh-CN"/>
        </w:rPr>
        <w:t>公开</w:t>
      </w:r>
      <w:r>
        <w:rPr>
          <w:rFonts w:hint="eastAsia" w:ascii="仿宋" w:hAnsi="仿宋" w:eastAsia="仿宋" w:cs="仿宋"/>
          <w:sz w:val="24"/>
          <w:highlight w:val="none"/>
        </w:rPr>
        <w:t>采购</w:t>
      </w:r>
      <w:r>
        <w:rPr>
          <w:rFonts w:hint="eastAsia" w:ascii="仿宋" w:hAnsi="仿宋" w:eastAsia="仿宋" w:cs="仿宋"/>
          <w:sz w:val="24"/>
          <w:highlight w:val="none"/>
          <w:lang w:val="en-US" w:eastAsia="zh-CN"/>
        </w:rPr>
        <w:t>招标</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为该项目</w:t>
      </w:r>
      <w:r>
        <w:rPr>
          <w:rFonts w:hint="eastAsia" w:ascii="仿宋" w:hAnsi="仿宋" w:eastAsia="仿宋" w:cs="仿宋"/>
          <w:sz w:val="24"/>
          <w:highlight w:val="none"/>
          <w:lang w:eastAsia="zh-CN"/>
        </w:rPr>
        <w:t>中标人</w:t>
      </w:r>
      <w:r>
        <w:rPr>
          <w:rFonts w:hint="eastAsia" w:ascii="仿宋" w:hAnsi="仿宋" w:eastAsia="仿宋" w:cs="仿宋"/>
          <w:sz w:val="24"/>
          <w:highlight w:val="none"/>
        </w:rPr>
        <w:t>。现于</w:t>
      </w:r>
      <w:r>
        <w:rPr>
          <w:rFonts w:hint="eastAsia" w:ascii="仿宋" w:hAnsi="仿宋" w:eastAsia="仿宋" w:cs="仿宋"/>
          <w:sz w:val="24"/>
          <w:highlight w:val="none"/>
          <w:lang w:eastAsia="zh-CN"/>
        </w:rPr>
        <w:t>成交确认书</w:t>
      </w:r>
      <w:r>
        <w:rPr>
          <w:rFonts w:hint="eastAsia" w:ascii="仿宋" w:hAnsi="仿宋" w:eastAsia="仿宋" w:cs="仿宋"/>
          <w:sz w:val="24"/>
          <w:highlight w:val="none"/>
        </w:rPr>
        <w:t>发出之日起三十日内，按照采购文件确定的事项签订本合同。</w:t>
      </w:r>
    </w:p>
    <w:p w14:paraId="30EA26F2">
      <w:pPr>
        <w:spacing w:line="48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zh-CN"/>
        </w:rPr>
        <w:t>根据《中华人民共和国民法典》、</w:t>
      </w:r>
      <w:r>
        <w:rPr>
          <w:rFonts w:hint="eastAsia" w:ascii="仿宋" w:hAnsi="仿宋" w:eastAsia="仿宋" w:cs="仿宋"/>
          <w:i w:val="0"/>
          <w:caps w:val="0"/>
          <w:color w:val="auto"/>
          <w:spacing w:val="0"/>
          <w:kern w:val="0"/>
          <w:sz w:val="24"/>
          <w:szCs w:val="24"/>
          <w:highlight w:val="none"/>
          <w:u w:val="none"/>
          <w:lang w:val="en-US" w:eastAsia="zh-CN" w:bidi="ar"/>
        </w:rPr>
        <w:t>《中华人民共和国政府采购法》、《中华人民共和国招标投标法》</w:t>
      </w:r>
      <w:r>
        <w:rPr>
          <w:rFonts w:hint="eastAsia" w:ascii="仿宋" w:hAnsi="仿宋" w:eastAsia="仿宋" w:cs="仿宋"/>
          <w:sz w:val="24"/>
          <w:highlight w:val="none"/>
          <w:lang w:val="zh-CN"/>
        </w:rPr>
        <w:t>等相关法律法规之规定，按照平等、自愿、公平、诚实信用和绿色的原则，经</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(以下简称：甲方)和</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(以下简称：乙方)协商一致，约定以下合同</w:t>
      </w:r>
      <w:r>
        <w:rPr>
          <w:rFonts w:hint="eastAsia" w:ascii="仿宋" w:hAnsi="仿宋" w:eastAsia="仿宋" w:cs="仿宋"/>
          <w:sz w:val="24"/>
          <w:highlight w:val="none"/>
        </w:rPr>
        <w:t>条款，以兹共同遵守、全面履行。</w:t>
      </w:r>
    </w:p>
    <w:p w14:paraId="79447E6D">
      <w:pPr>
        <w:spacing w:line="480" w:lineRule="exact"/>
        <w:ind w:firstLine="482" w:firstLineChars="200"/>
        <w:outlineLvl w:val="0"/>
        <w:rPr>
          <w:rFonts w:hint="eastAsia" w:ascii="仿宋" w:hAnsi="仿宋" w:eastAsia="仿宋" w:cs="仿宋"/>
          <w:b/>
          <w:sz w:val="24"/>
          <w:highlight w:val="none"/>
        </w:rPr>
      </w:pPr>
      <w:r>
        <w:rPr>
          <w:rFonts w:hint="eastAsia" w:ascii="仿宋" w:hAnsi="仿宋" w:eastAsia="仿宋" w:cs="仿宋"/>
          <w:b/>
          <w:sz w:val="24"/>
          <w:highlight w:val="none"/>
        </w:rPr>
        <w:t>1.1 合同组成部分</w:t>
      </w:r>
    </w:p>
    <w:p w14:paraId="327DA6DF">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w:t>
      </w:r>
      <w:r>
        <w:rPr>
          <w:rFonts w:hint="eastAsia" w:ascii="仿宋" w:hAnsi="仿宋" w:eastAsia="仿宋" w:cs="仿宋"/>
          <w:color w:val="auto"/>
          <w:sz w:val="24"/>
          <w:highlight w:val="none"/>
        </w:rPr>
        <w:t>形，那么在保证按照采购文件确定的事项的前提下，组成本合同的多个文件的优先适用顺序如下：</w:t>
      </w:r>
    </w:p>
    <w:p w14:paraId="016D80B3">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 货物</w:t>
      </w:r>
    </w:p>
    <w:p w14:paraId="0F445ADF">
      <w:pPr>
        <w:spacing w:line="48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货物名称：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25512A58">
      <w:pPr>
        <w:spacing w:line="480" w:lineRule="exact"/>
        <w:ind w:firstLine="480" w:firstLineChars="20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详见清单，附后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货物技术参数及规范要求一并</w:t>
      </w:r>
      <w:r>
        <w:rPr>
          <w:rFonts w:hint="eastAsia" w:ascii="仿宋" w:hAnsi="仿宋" w:eastAsia="仿宋" w:cs="仿宋"/>
          <w:color w:val="auto"/>
          <w:sz w:val="24"/>
          <w:highlight w:val="none"/>
          <w:lang w:eastAsia="zh-CN"/>
        </w:rPr>
        <w:t>）</w:t>
      </w:r>
    </w:p>
    <w:p w14:paraId="7839842A">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满足希尔顿格芮酒店验收标准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6894820">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p>
    <w:p w14:paraId="14199047">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DCD6FDC">
      <w:pPr>
        <w:spacing w:line="480" w:lineRule="exact"/>
        <w:ind w:firstLine="480" w:firstLineChars="20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分项价格：</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另附</w:t>
      </w:r>
      <w:r>
        <w:rPr>
          <w:rFonts w:hint="eastAsia" w:ascii="仿宋" w:hAnsi="仿宋" w:eastAsia="仿宋" w:cs="仿宋"/>
          <w:color w:val="auto"/>
          <w:sz w:val="24"/>
          <w:highlight w:val="none"/>
          <w:lang w:eastAsia="zh-CN"/>
        </w:rPr>
        <w:t>）</w:t>
      </w:r>
    </w:p>
    <w:p w14:paraId="418E4523">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1.4 付款方式、时间和条件</w:t>
      </w:r>
    </w:p>
    <w:p w14:paraId="24E66C9E">
      <w:pPr>
        <w:widowControl w:val="0"/>
        <w:snapToGrid w:val="0"/>
        <w:spacing w:before="0" w:beforeLines="0" w:after="0" w:afterLines="0" w:line="460" w:lineRule="exact"/>
        <w:ind w:firstLine="482" w:firstLineChars="200"/>
        <w:jc w:val="both"/>
        <w:outlineLvl w:val="1"/>
        <w:rPr>
          <w:rFonts w:hint="eastAsia" w:ascii="仿宋" w:hAnsi="仿宋" w:eastAsia="仿宋" w:cs="仿宋"/>
          <w:color w:val="auto"/>
          <w:sz w:val="24"/>
          <w:highlight w:val="none"/>
          <w:u w:val="single"/>
          <w:lang w:val="en-US" w:eastAsia="zh-CN"/>
        </w:rPr>
      </w:pPr>
      <w:r>
        <w:rPr>
          <w:rFonts w:hint="eastAsia" w:ascii="仿宋" w:hAnsi="仿宋" w:eastAsia="仿宋" w:cs="仿宋"/>
          <w:b/>
          <w:color w:val="auto"/>
          <w:sz w:val="24"/>
          <w:highlight w:val="none"/>
        </w:rPr>
        <w:t>1.4.1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color w:val="auto"/>
          <w:sz w:val="24"/>
          <w:highlight w:val="none"/>
          <w:u w:val="single"/>
          <w:lang w:val="en-US" w:eastAsia="zh-CN"/>
        </w:rPr>
        <w:t>合同签订前，乙方应向甲方提交合同金额1%的履约保证金（采用转账/支票/汇票/银行保函/保险公司保函方式）；</w:t>
      </w:r>
    </w:p>
    <w:p w14:paraId="62748986">
      <w:pPr>
        <w:pStyle w:val="2"/>
        <w:rPr>
          <w:rFonts w:hint="eastAsia" w:ascii="仿宋" w:hAnsi="仿宋" w:eastAsia="仿宋" w:cs="仿宋"/>
          <w:highlight w:val="none"/>
        </w:rPr>
      </w:pPr>
    </w:p>
    <w:p w14:paraId="14CE70A7">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u w:val="single"/>
        </w:rPr>
        <w:t>合同签订后，甲方付预付款</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szCs w:val="24"/>
          <w:highlight w:val="none"/>
          <w:u w:val="single"/>
        </w:rPr>
        <w:t>付</w:t>
      </w:r>
      <w:r>
        <w:rPr>
          <w:rFonts w:hint="eastAsia" w:ascii="仿宋" w:hAnsi="仿宋" w:eastAsia="仿宋" w:cs="仿宋"/>
          <w:color w:val="auto"/>
          <w:sz w:val="24"/>
          <w:szCs w:val="24"/>
          <w:highlight w:val="none"/>
          <w:u w:val="single"/>
          <w:lang w:val="en-US" w:eastAsia="zh-CN"/>
        </w:rPr>
        <w:t>至合同</w:t>
      </w:r>
      <w:r>
        <w:rPr>
          <w:rFonts w:hint="eastAsia" w:ascii="仿宋" w:hAnsi="仿宋" w:eastAsia="仿宋" w:cs="仿宋"/>
          <w:color w:val="auto"/>
          <w:sz w:val="24"/>
          <w:szCs w:val="24"/>
          <w:highlight w:val="none"/>
          <w:u w:val="single"/>
        </w:rPr>
        <w:t>金额</w:t>
      </w:r>
      <w:r>
        <w:rPr>
          <w:rFonts w:hint="eastAsia" w:ascii="仿宋" w:hAnsi="仿宋" w:eastAsia="仿宋" w:cs="仿宋"/>
          <w:color w:val="auto"/>
          <w:sz w:val="24"/>
          <w:szCs w:val="24"/>
          <w:highlight w:val="none"/>
          <w:u w:val="single"/>
          <w:lang w:val="en-US" w:eastAsia="zh-CN"/>
        </w:rPr>
        <w:t>的30%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乙方所有床垫安装调试结束且甲方验收合格后须支付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至供货</w:t>
      </w:r>
      <w:r>
        <w:rPr>
          <w:rFonts w:hint="eastAsia" w:ascii="仿宋" w:hAnsi="仿宋" w:eastAsia="仿宋" w:cs="仿宋"/>
          <w:color w:val="auto"/>
          <w:sz w:val="24"/>
          <w:szCs w:val="24"/>
          <w:highlight w:val="none"/>
          <w:u w:val="single"/>
        </w:rPr>
        <w:t>金额的</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；审计完成后采购人须付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w:t>
      </w:r>
      <w:r>
        <w:rPr>
          <w:rFonts w:hint="eastAsia" w:ascii="仿宋" w:hAnsi="仿宋" w:eastAsia="仿宋" w:cs="仿宋"/>
          <w:color w:val="auto"/>
          <w:sz w:val="24"/>
          <w:szCs w:val="24"/>
          <w:highlight w:val="none"/>
          <w:u w:val="single"/>
        </w:rPr>
        <w:t>结算审定价</w:t>
      </w:r>
      <w:r>
        <w:rPr>
          <w:rFonts w:hint="eastAsia" w:ascii="仿宋" w:hAnsi="仿宋" w:eastAsia="仿宋" w:cs="仿宋"/>
          <w:color w:val="auto"/>
          <w:sz w:val="24"/>
          <w:szCs w:val="24"/>
          <w:highlight w:val="none"/>
          <w:u w:val="single"/>
          <w:lang w:eastAsia="zh-CN"/>
        </w:rPr>
        <w:t>的</w:t>
      </w:r>
      <w:r>
        <w:rPr>
          <w:rFonts w:hint="eastAsia" w:ascii="仿宋" w:hAnsi="仿宋" w:eastAsia="仿宋" w:cs="仿宋"/>
          <w:color w:val="auto"/>
          <w:sz w:val="24"/>
          <w:szCs w:val="24"/>
          <w:highlight w:val="none"/>
          <w:u w:val="single"/>
          <w:lang w:val="en-US" w:eastAsia="zh-CN"/>
        </w:rPr>
        <w:t>95</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并退还履约保证金</w:t>
      </w:r>
      <w:r>
        <w:rPr>
          <w:rFonts w:hint="eastAsia" w:ascii="仿宋" w:hAnsi="仿宋" w:eastAsia="仿宋" w:cs="仿宋"/>
          <w:color w:val="auto"/>
          <w:sz w:val="24"/>
          <w:szCs w:val="24"/>
          <w:highlight w:val="none"/>
          <w:u w:val="single"/>
          <w:lang w:eastAsia="zh-CN"/>
        </w:rPr>
        <w:t>；剩余尾款作为质量保证金</w:t>
      </w:r>
      <w:r>
        <w:rPr>
          <w:rFonts w:hint="eastAsia" w:ascii="仿宋" w:hAnsi="仿宋" w:eastAsia="仿宋" w:cs="仿宋"/>
          <w:color w:val="auto"/>
          <w:sz w:val="24"/>
          <w:szCs w:val="24"/>
          <w:highlight w:val="none"/>
          <w:u w:val="single"/>
          <w:lang w:val="en-US" w:eastAsia="zh-CN"/>
        </w:rPr>
        <w:t>，在质保期结束后付清</w:t>
      </w:r>
      <w:r>
        <w:rPr>
          <w:rFonts w:hint="eastAsia" w:ascii="仿宋" w:hAnsi="仿宋" w:eastAsia="仿宋" w:cs="仿宋"/>
          <w:color w:val="auto"/>
          <w:sz w:val="24"/>
          <w:szCs w:val="24"/>
          <w:highlight w:val="none"/>
          <w:u w:val="single"/>
          <w:lang w:eastAsia="zh-CN"/>
        </w:rPr>
        <w:t>。</w:t>
      </w:r>
    </w:p>
    <w:p w14:paraId="2E1A9E52">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1.6 违约责任</w:t>
      </w:r>
    </w:p>
    <w:p w14:paraId="1D39750A">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14:paraId="3B68B248">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E5FC272">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CC8D6A9">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C221883">
      <w:pPr>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1.6.5.合同履行期间，乙方履约过程中不符合安全文明施工规范或违反国家或行业现行规范标准的，甲方有权对乙方进行处罚。</w:t>
      </w:r>
    </w:p>
    <w:p w14:paraId="6A0AA5BF">
      <w:pPr>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1.6.6.合同履行期间，乙方产生的任何安全事故由乙方自行承担责任，甲方有权对乙方进行处罚。由此导致甲方产生损失的，乙方须赔偿甲方损失。情节严重的，甲方可单方面解除合同，乙方须另向甲方支付合同总值20%的违约金。</w:t>
      </w:r>
    </w:p>
    <w:p w14:paraId="5F07B844">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5FDA8A12">
      <w:pPr>
        <w:pStyle w:val="2"/>
        <w:rPr>
          <w:rFonts w:hint="eastAsia" w:ascii="仿宋" w:hAnsi="仿宋" w:eastAsia="仿宋" w:cs="仿宋"/>
          <w:highlight w:val="none"/>
          <w:lang w:val="en-US" w:eastAsia="zh-CN"/>
        </w:rPr>
      </w:pPr>
    </w:p>
    <w:p w14:paraId="000A7379">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合同争议的解决</w:t>
      </w:r>
    </w:p>
    <w:p w14:paraId="57FB0AA7">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14:paraId="6C13B791">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1455E1BD">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127ACD6F">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1.8 合同生效</w:t>
      </w:r>
    </w:p>
    <w:p w14:paraId="0BE7299B">
      <w:pPr>
        <w:spacing w:line="48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14:paraId="5C597A42">
      <w:pPr>
        <w:autoSpaceDE w:val="0"/>
        <w:autoSpaceDN w:val="0"/>
        <w:spacing w:line="480" w:lineRule="exact"/>
        <w:ind w:firstLine="480" w:firstLineChars="200"/>
        <w:rPr>
          <w:rFonts w:hint="eastAsia" w:ascii="仿宋" w:hAnsi="仿宋" w:eastAsia="仿宋" w:cs="仿宋"/>
          <w:color w:val="auto"/>
          <w:sz w:val="24"/>
          <w:highlight w:val="none"/>
          <w:lang w:val="zh-CN"/>
        </w:rPr>
      </w:pPr>
    </w:p>
    <w:p w14:paraId="151CC8EC">
      <w:pPr>
        <w:autoSpaceDE w:val="0"/>
        <w:autoSpaceDN w:val="0"/>
        <w:spacing w:line="480" w:lineRule="exact"/>
        <w:ind w:firstLine="482" w:firstLineChars="200"/>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59F2405F">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w:t>
      </w:r>
    </w:p>
    <w:p w14:paraId="6BD5D05C">
      <w:pPr>
        <w:autoSpaceDE w:val="0"/>
        <w:autoSpaceDN w:val="0"/>
        <w:spacing w:line="480" w:lineRule="exact"/>
        <w:ind w:left="6180" w:leftChars="200" w:hanging="5760" w:hangingChars="2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62258264">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2C115617">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69031065">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29E00BCB">
      <w:pPr>
        <w:autoSpaceDE w:val="0"/>
        <w:autoSpaceDN w:val="0"/>
        <w:spacing w:line="48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    邮政编码：                           邮政编码：</w:t>
      </w:r>
    </w:p>
    <w:p w14:paraId="6BEE61D0">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2652F5E8">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B10CF89">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7B939DDD">
      <w:pPr>
        <w:autoSpaceDE w:val="0"/>
        <w:autoSpaceDN w:val="0"/>
        <w:spacing w:line="480" w:lineRule="exact"/>
        <w:ind w:left="6660" w:leftChars="200" w:hanging="6240" w:hangingChars="26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217BBAC">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开户名称：                           开户名称：</w:t>
      </w:r>
    </w:p>
    <w:p w14:paraId="7506F112">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583164AD">
      <w:pPr>
        <w:widowControl/>
        <w:spacing w:line="480" w:lineRule="exact"/>
        <w:ind w:firstLine="482" w:firstLineChars="200"/>
        <w:rPr>
          <w:rFonts w:hint="eastAsia" w:ascii="仿宋" w:hAnsi="仿宋" w:eastAsia="仿宋" w:cs="仿宋"/>
          <w:b/>
          <w:color w:val="auto"/>
          <w:sz w:val="24"/>
          <w:highlight w:val="none"/>
        </w:rPr>
      </w:pPr>
    </w:p>
    <w:p w14:paraId="1BF1424B">
      <w:pPr>
        <w:pStyle w:val="24"/>
        <w:rPr>
          <w:rFonts w:hint="eastAsia" w:ascii="仿宋" w:hAnsi="仿宋" w:eastAsia="仿宋" w:cs="仿宋"/>
          <w:b/>
          <w:color w:val="auto"/>
          <w:szCs w:val="24"/>
          <w:highlight w:val="none"/>
        </w:rPr>
      </w:pPr>
    </w:p>
    <w:p w14:paraId="1BD419EB">
      <w:pPr>
        <w:pStyle w:val="233"/>
        <w:rPr>
          <w:rFonts w:hint="eastAsia" w:ascii="仿宋" w:hAnsi="仿宋" w:eastAsia="仿宋" w:cs="仿宋"/>
          <w:b/>
          <w:color w:val="auto"/>
          <w:highlight w:val="none"/>
        </w:rPr>
      </w:pPr>
    </w:p>
    <w:p w14:paraId="5128F475">
      <w:pPr>
        <w:pStyle w:val="233"/>
        <w:rPr>
          <w:rFonts w:hint="eastAsia" w:ascii="仿宋" w:hAnsi="仿宋" w:eastAsia="仿宋" w:cs="仿宋"/>
          <w:b/>
          <w:color w:val="auto"/>
          <w:highlight w:val="none"/>
        </w:rPr>
      </w:pPr>
    </w:p>
    <w:p w14:paraId="6C722B27">
      <w:pPr>
        <w:pStyle w:val="233"/>
        <w:rPr>
          <w:rFonts w:hint="eastAsia" w:ascii="仿宋" w:hAnsi="仿宋" w:eastAsia="仿宋" w:cs="仿宋"/>
          <w:b/>
          <w:color w:val="auto"/>
          <w:highlight w:val="none"/>
        </w:rPr>
      </w:pPr>
    </w:p>
    <w:p w14:paraId="3118BE58">
      <w:pPr>
        <w:pStyle w:val="233"/>
        <w:rPr>
          <w:rFonts w:hint="eastAsia" w:ascii="仿宋" w:hAnsi="仿宋" w:eastAsia="仿宋" w:cs="仿宋"/>
          <w:b/>
          <w:color w:val="auto"/>
          <w:highlight w:val="none"/>
        </w:rPr>
      </w:pPr>
    </w:p>
    <w:p w14:paraId="24512379">
      <w:pPr>
        <w:pStyle w:val="233"/>
        <w:rPr>
          <w:rFonts w:hint="eastAsia" w:ascii="仿宋" w:hAnsi="仿宋" w:eastAsia="仿宋" w:cs="仿宋"/>
          <w:b/>
          <w:color w:val="auto"/>
          <w:highlight w:val="none"/>
        </w:rPr>
      </w:pPr>
    </w:p>
    <w:p w14:paraId="51CAEA4F">
      <w:pPr>
        <w:pStyle w:val="233"/>
        <w:rPr>
          <w:rFonts w:hint="eastAsia" w:ascii="仿宋" w:hAnsi="仿宋" w:eastAsia="仿宋" w:cs="仿宋"/>
          <w:b/>
          <w:color w:val="auto"/>
          <w:highlight w:val="none"/>
        </w:rPr>
      </w:pPr>
    </w:p>
    <w:p w14:paraId="11E67A85">
      <w:pPr>
        <w:pStyle w:val="233"/>
        <w:rPr>
          <w:rFonts w:hint="eastAsia" w:ascii="仿宋" w:hAnsi="仿宋" w:eastAsia="仿宋" w:cs="仿宋"/>
          <w:b/>
          <w:color w:val="auto"/>
          <w:highlight w:val="none"/>
        </w:rPr>
      </w:pPr>
    </w:p>
    <w:p w14:paraId="28D08962">
      <w:pPr>
        <w:pStyle w:val="233"/>
        <w:rPr>
          <w:rFonts w:hint="eastAsia" w:ascii="仿宋" w:hAnsi="仿宋" w:eastAsia="仿宋" w:cs="仿宋"/>
          <w:b/>
          <w:color w:val="auto"/>
          <w:highlight w:val="none"/>
        </w:rPr>
      </w:pPr>
    </w:p>
    <w:p w14:paraId="47DA4DAA">
      <w:pPr>
        <w:pStyle w:val="233"/>
        <w:rPr>
          <w:rFonts w:hint="eastAsia" w:ascii="仿宋" w:hAnsi="仿宋" w:eastAsia="仿宋" w:cs="仿宋"/>
          <w:b/>
          <w:color w:val="auto"/>
          <w:highlight w:val="none"/>
        </w:rPr>
      </w:pPr>
    </w:p>
    <w:p w14:paraId="02049E6E">
      <w:pPr>
        <w:pStyle w:val="233"/>
        <w:rPr>
          <w:rFonts w:hint="eastAsia" w:ascii="仿宋" w:hAnsi="仿宋" w:eastAsia="仿宋" w:cs="仿宋"/>
          <w:b/>
          <w:color w:val="auto"/>
          <w:highlight w:val="none"/>
        </w:rPr>
      </w:pPr>
    </w:p>
    <w:p w14:paraId="6ADB7250">
      <w:pPr>
        <w:pStyle w:val="233"/>
        <w:rPr>
          <w:rFonts w:hint="eastAsia" w:ascii="仿宋" w:hAnsi="仿宋" w:eastAsia="仿宋" w:cs="仿宋"/>
          <w:b/>
          <w:color w:val="auto"/>
          <w:highlight w:val="none"/>
        </w:rPr>
      </w:pPr>
    </w:p>
    <w:p w14:paraId="7CE287C4">
      <w:pPr>
        <w:pStyle w:val="233"/>
        <w:rPr>
          <w:rFonts w:hint="eastAsia" w:ascii="仿宋" w:hAnsi="仿宋" w:eastAsia="仿宋" w:cs="仿宋"/>
          <w:b/>
          <w:color w:val="auto"/>
          <w:highlight w:val="none"/>
        </w:rPr>
      </w:pPr>
    </w:p>
    <w:p w14:paraId="08B0D5CD">
      <w:pPr>
        <w:pStyle w:val="233"/>
        <w:rPr>
          <w:rFonts w:hint="eastAsia" w:ascii="仿宋" w:hAnsi="仿宋" w:eastAsia="仿宋" w:cs="仿宋"/>
          <w:b/>
          <w:color w:val="auto"/>
          <w:highlight w:val="none"/>
        </w:rPr>
      </w:pPr>
    </w:p>
    <w:p w14:paraId="1EDC2CBA">
      <w:pPr>
        <w:pStyle w:val="233"/>
        <w:rPr>
          <w:rFonts w:hint="eastAsia" w:ascii="仿宋" w:hAnsi="仿宋" w:eastAsia="仿宋" w:cs="仿宋"/>
          <w:b/>
          <w:color w:val="auto"/>
          <w:highlight w:val="none"/>
        </w:rPr>
      </w:pPr>
    </w:p>
    <w:p w14:paraId="59EF151C">
      <w:pPr>
        <w:pStyle w:val="233"/>
        <w:rPr>
          <w:rFonts w:hint="eastAsia" w:ascii="仿宋" w:hAnsi="仿宋" w:eastAsia="仿宋" w:cs="仿宋"/>
          <w:b/>
          <w:color w:val="auto"/>
          <w:highlight w:val="none"/>
        </w:rPr>
      </w:pPr>
    </w:p>
    <w:p w14:paraId="3F37E8FE">
      <w:pPr>
        <w:pStyle w:val="233"/>
        <w:rPr>
          <w:rFonts w:hint="eastAsia" w:ascii="仿宋" w:hAnsi="仿宋" w:eastAsia="仿宋" w:cs="仿宋"/>
          <w:b/>
          <w:color w:val="auto"/>
          <w:highlight w:val="none"/>
        </w:rPr>
      </w:pPr>
    </w:p>
    <w:p w14:paraId="14689A40">
      <w:pPr>
        <w:pStyle w:val="233"/>
        <w:rPr>
          <w:rFonts w:hint="eastAsia" w:ascii="仿宋" w:hAnsi="仿宋" w:eastAsia="仿宋" w:cs="仿宋"/>
          <w:b/>
          <w:color w:val="auto"/>
          <w:highlight w:val="none"/>
        </w:rPr>
      </w:pPr>
    </w:p>
    <w:p w14:paraId="2255134A">
      <w:pPr>
        <w:pStyle w:val="233"/>
        <w:rPr>
          <w:rFonts w:hint="eastAsia" w:ascii="仿宋" w:hAnsi="仿宋" w:eastAsia="仿宋" w:cs="仿宋"/>
          <w:b/>
          <w:color w:val="auto"/>
          <w:highlight w:val="none"/>
        </w:rPr>
      </w:pPr>
    </w:p>
    <w:p w14:paraId="7860F3F3">
      <w:pPr>
        <w:pStyle w:val="39"/>
        <w:rPr>
          <w:rFonts w:hint="eastAsia" w:ascii="仿宋" w:hAnsi="仿宋" w:eastAsia="仿宋" w:cs="仿宋"/>
          <w:b/>
          <w:color w:val="auto"/>
          <w:highlight w:val="none"/>
        </w:rPr>
      </w:pPr>
    </w:p>
    <w:p w14:paraId="33A48C58">
      <w:pPr>
        <w:pStyle w:val="39"/>
        <w:rPr>
          <w:rFonts w:hint="eastAsia" w:ascii="仿宋" w:hAnsi="仿宋" w:eastAsia="仿宋" w:cs="仿宋"/>
          <w:b/>
          <w:color w:val="auto"/>
          <w:highlight w:val="none"/>
        </w:rPr>
      </w:pPr>
    </w:p>
    <w:p w14:paraId="7B399467">
      <w:pPr>
        <w:pStyle w:val="39"/>
        <w:rPr>
          <w:rFonts w:hint="eastAsia" w:ascii="仿宋" w:hAnsi="仿宋" w:eastAsia="仿宋" w:cs="仿宋"/>
          <w:b/>
          <w:color w:val="auto"/>
          <w:highlight w:val="none"/>
        </w:rPr>
      </w:pPr>
    </w:p>
    <w:p w14:paraId="14C49681">
      <w:pPr>
        <w:pStyle w:val="703"/>
        <w:spacing w:after="0" w:line="500" w:lineRule="exact"/>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433E888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 定义</w:t>
      </w:r>
    </w:p>
    <w:p w14:paraId="12A01E4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29FAD957">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签订的载明双方当事人所达成的协议，并包括所有的附件、附录和构成合同的其他文件。</w:t>
      </w:r>
    </w:p>
    <w:p w14:paraId="5B4342A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在完全履行合同义务后，采购人应支付给</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的价格。</w:t>
      </w:r>
    </w:p>
    <w:p w14:paraId="6625C24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“货物”系指</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根据合同约定应向采购人交付的一切各种形态和种类的物品，包括原材料、燃料、设备、机械、仪表、备件、计算机软件、产品等，并包括工具、手册等其他相关资料。</w:t>
      </w:r>
    </w:p>
    <w:p w14:paraId="40FC712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签署合同的采购人；采购人委托</w:t>
      </w:r>
      <w:r>
        <w:rPr>
          <w:rFonts w:hint="eastAsia" w:ascii="仿宋" w:hAnsi="仿宋" w:eastAsia="仿宋" w:cs="仿宋"/>
          <w:color w:val="auto"/>
          <w:sz w:val="24"/>
          <w:highlight w:val="none"/>
          <w:lang w:eastAsia="zh-CN"/>
        </w:rPr>
        <w:t>采购机构</w:t>
      </w:r>
      <w:r>
        <w:rPr>
          <w:rFonts w:hint="eastAsia" w:ascii="仿宋" w:hAnsi="仿宋" w:eastAsia="仿宋" w:cs="仿宋"/>
          <w:color w:val="auto"/>
          <w:sz w:val="24"/>
          <w:highlight w:val="none"/>
        </w:rPr>
        <w:t>代表其与乙方签订合同的，采购人的授权委托书作为合同附件。</w:t>
      </w:r>
    </w:p>
    <w:p w14:paraId="1CE1397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“乙方”系指根据合同约定交付货物的</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如为</w:t>
      </w:r>
      <w:r>
        <w:rPr>
          <w:rFonts w:hint="eastAsia" w:ascii="仿宋" w:hAnsi="仿宋" w:eastAsia="仿宋" w:cs="仿宋"/>
          <w:color w:val="auto"/>
          <w:sz w:val="24"/>
          <w:highlight w:val="none"/>
        </w:rPr>
        <w:t>两个以上的自然人、法人或者其他组织组成一个联合体，以一个</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的身份共同参加政府采购的，联合体各方均应为乙方或者与乙方相同地位的合同当事人，并就合同约定的事项对甲方承担连带责任。</w:t>
      </w:r>
    </w:p>
    <w:p w14:paraId="76C8B40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“现场”系指合同约定货物将要运至或者安装的地点。</w:t>
      </w:r>
    </w:p>
    <w:p w14:paraId="123F8505">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 技术规范</w:t>
      </w:r>
    </w:p>
    <w:p w14:paraId="3BD3FA3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AC1F0A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 知识产权</w:t>
      </w:r>
    </w:p>
    <w:p w14:paraId="7E248B6C">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64DD7C9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868D4CD">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包装和装运</w:t>
      </w:r>
    </w:p>
    <w:p w14:paraId="203FFBE9">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4A6071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32FC5B65">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23D0324">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2.5 履约检查和问题反馈</w:t>
      </w:r>
    </w:p>
    <w:p w14:paraId="37F7C97D">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2.5.1甲方有权在其认为必要时，对乙方是否能够按照合同约定交付货物进行履约检查，以确保乙方所交付的货物能够依约满足甲方之项目需求，但不得因履约检查妨碍乙方的正常工作，乙方应予积极配合；</w:t>
      </w:r>
    </w:p>
    <w:p w14:paraId="41F54F0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p>
    <w:p w14:paraId="3B11EDC1">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2.6 技术资料和保密义务</w:t>
      </w:r>
    </w:p>
    <w:p w14:paraId="5C06261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10B5668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w:t>
      </w:r>
      <w:r>
        <w:rPr>
          <w:rFonts w:hint="eastAsia" w:ascii="仿宋" w:hAnsi="仿宋" w:eastAsia="仿宋" w:cs="仿宋"/>
          <w:color w:val="auto"/>
          <w:sz w:val="24"/>
          <w:highlight w:val="none"/>
          <w:lang w:val="en-US" w:eastAsia="zh-CN"/>
        </w:rPr>
        <w:t>钱</w:t>
      </w:r>
      <w:r>
        <w:rPr>
          <w:rFonts w:hint="eastAsia" w:ascii="仿宋" w:hAnsi="仿宋" w:eastAsia="仿宋" w:cs="仿宋"/>
          <w:color w:val="auto"/>
          <w:sz w:val="24"/>
          <w:highlight w:val="none"/>
        </w:rPr>
        <w:t>款信息和资料等；</w:t>
      </w:r>
    </w:p>
    <w:p w14:paraId="7998C387">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17C23BE">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2.7 质量保证</w:t>
      </w:r>
    </w:p>
    <w:p w14:paraId="507A715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20E6837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4A567E39">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2.8 货物的风险负担</w:t>
      </w:r>
    </w:p>
    <w:p w14:paraId="682DA563">
      <w:pPr>
        <w:spacing w:line="5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2DF63ED">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2.9 延迟交货</w:t>
      </w:r>
    </w:p>
    <w:p w14:paraId="25DF144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4BCA8AB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2.10 合同变更</w:t>
      </w:r>
    </w:p>
    <w:p w14:paraId="2035F2B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08ACB3B">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2.11 合同转让和分包</w:t>
      </w:r>
    </w:p>
    <w:p w14:paraId="1BA897F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就分包项目向甲方承担连带责任。</w:t>
      </w:r>
    </w:p>
    <w:p w14:paraId="31860FC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支付款项。</w:t>
      </w:r>
    </w:p>
    <w:p w14:paraId="66910C27">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2.12 不可抗力</w:t>
      </w:r>
    </w:p>
    <w:p w14:paraId="3EEE31A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14:paraId="41E257D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14:paraId="2558C29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4B38795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0BFF092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2.13 税费</w:t>
      </w:r>
    </w:p>
    <w:p w14:paraId="1742F84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14:paraId="72CFA38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2.14乙方破产</w:t>
      </w:r>
    </w:p>
    <w:p w14:paraId="21084E1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5FF5C05">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2.15 合同中止、终止</w:t>
      </w:r>
    </w:p>
    <w:p w14:paraId="26CF4A5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14:paraId="4D9C88A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10D07053">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2.16检验和验收</w:t>
      </w:r>
    </w:p>
    <w:p w14:paraId="0B1686D5">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14:paraId="4D586206">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EE63939">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694EE3EF">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2.17 通知和送达</w:t>
      </w:r>
    </w:p>
    <w:p w14:paraId="3E62DA6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2.17.1任何一方因履行合同而以合同第一部分尾部所列明的传真或电子邮件</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7751D0B5">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478ACF0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2.18 计量单位</w:t>
      </w:r>
    </w:p>
    <w:p w14:paraId="07F003D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71298A66">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 合同使用的文字和适用的法律</w:t>
      </w:r>
    </w:p>
    <w:p w14:paraId="05A22B1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16892F8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5A616438">
      <w:pPr>
        <w:spacing w:line="500" w:lineRule="exac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2.20.3 如果乙方不履行合同，履约保证金不予退还；如果乙方未能按合同约定全面履行义务，那么甲方有权从履约保证金中取得补偿或赔偿，同时不影响甲方要求乙方承担合同约定的超过履约保证金的违约责任</w:t>
      </w:r>
      <w:r>
        <w:rPr>
          <w:rFonts w:hint="eastAsia" w:ascii="仿宋" w:hAnsi="仿宋" w:eastAsia="仿宋" w:cs="仿宋"/>
          <w:color w:val="auto"/>
          <w:sz w:val="24"/>
          <w:highlight w:val="none"/>
          <w:lang w:eastAsia="zh-CN"/>
        </w:rPr>
        <w:t>。</w:t>
      </w:r>
    </w:p>
    <w:p w14:paraId="5A164F2D">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2.21对于因甲方原因导致变更、中止或者终止政府采购合同的，甲方应当依照合同约定对</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受到的损失予以赔偿或者补偿。</w:t>
      </w:r>
    </w:p>
    <w:p w14:paraId="66C8CC36">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2.22合同份数</w:t>
      </w:r>
    </w:p>
    <w:p w14:paraId="5D3CF05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4FB81D61">
      <w:pPr>
        <w:spacing w:line="500" w:lineRule="exact"/>
        <w:ind w:firstLine="480" w:firstLineChars="200"/>
        <w:rPr>
          <w:rFonts w:hint="eastAsia" w:ascii="仿宋" w:hAnsi="仿宋" w:eastAsia="仿宋" w:cs="仿宋"/>
          <w:color w:val="auto"/>
          <w:sz w:val="24"/>
          <w:highlight w:val="none"/>
        </w:rPr>
      </w:pPr>
    </w:p>
    <w:p w14:paraId="7C4729F9">
      <w:pPr>
        <w:spacing w:line="500" w:lineRule="exact"/>
        <w:ind w:firstLine="480" w:firstLineChars="200"/>
        <w:rPr>
          <w:rFonts w:hint="eastAsia" w:ascii="仿宋" w:hAnsi="仿宋" w:eastAsia="仿宋" w:cs="仿宋"/>
          <w:color w:val="auto"/>
          <w:sz w:val="24"/>
          <w:highlight w:val="none"/>
        </w:rPr>
        <w:sectPr>
          <w:headerReference r:id="rId8" w:type="default"/>
          <w:footerReference r:id="rId9"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71F27F6E">
      <w:pPr>
        <w:pStyle w:val="703"/>
        <w:spacing w:after="0" w:line="500" w:lineRule="exact"/>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第三部分  合同专用条款</w:t>
      </w:r>
    </w:p>
    <w:p w14:paraId="0A017E3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4977" w:type="pct"/>
        <w:tblInd w:w="14"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194"/>
        <w:gridCol w:w="7890"/>
      </w:tblGrid>
      <w:tr w14:paraId="04940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0"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01BD66D">
            <w:pPr>
              <w:spacing w:line="5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05EE08B1">
            <w:pPr>
              <w:spacing w:line="5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507E08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45465CF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1.4.4</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5418E85E">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资金支付的方式、时间和条件：</w:t>
            </w:r>
            <w:r>
              <w:rPr>
                <w:rFonts w:hint="eastAsia" w:ascii="仿宋" w:hAnsi="仿宋" w:eastAsia="仿宋" w:cs="仿宋"/>
                <w:color w:val="auto"/>
                <w:sz w:val="24"/>
                <w:highlight w:val="none"/>
                <w:u w:val="single"/>
                <w:lang w:val="en-US" w:eastAsia="zh-CN"/>
              </w:rPr>
              <w:t>合同签订前，乙方应向甲方提交合同金额1%的履约保证金（采用转账/支票/汇票/银行保函/保险公司保函方式）；</w:t>
            </w:r>
          </w:p>
          <w:p w14:paraId="2617DB6F">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合同签订后，甲方付预付款</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szCs w:val="24"/>
                <w:highlight w:val="none"/>
                <w:u w:val="single"/>
              </w:rPr>
              <w:t>付</w:t>
            </w:r>
            <w:r>
              <w:rPr>
                <w:rFonts w:hint="eastAsia" w:ascii="仿宋" w:hAnsi="仿宋" w:eastAsia="仿宋" w:cs="仿宋"/>
                <w:color w:val="auto"/>
                <w:sz w:val="24"/>
                <w:szCs w:val="24"/>
                <w:highlight w:val="none"/>
                <w:u w:val="single"/>
                <w:lang w:val="en-US" w:eastAsia="zh-CN"/>
              </w:rPr>
              <w:t>至合同</w:t>
            </w:r>
            <w:r>
              <w:rPr>
                <w:rFonts w:hint="eastAsia" w:ascii="仿宋" w:hAnsi="仿宋" w:eastAsia="仿宋" w:cs="仿宋"/>
                <w:color w:val="auto"/>
                <w:sz w:val="24"/>
                <w:szCs w:val="24"/>
                <w:highlight w:val="none"/>
                <w:u w:val="single"/>
              </w:rPr>
              <w:t>金额</w:t>
            </w:r>
            <w:r>
              <w:rPr>
                <w:rFonts w:hint="eastAsia" w:ascii="仿宋" w:hAnsi="仿宋" w:eastAsia="仿宋" w:cs="仿宋"/>
                <w:color w:val="auto"/>
                <w:sz w:val="24"/>
                <w:szCs w:val="24"/>
                <w:highlight w:val="none"/>
                <w:u w:val="single"/>
                <w:lang w:val="en-US" w:eastAsia="zh-CN"/>
              </w:rPr>
              <w:t>的30%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乙方所有床垫安装调试结束且甲方验收合格后须支付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至供货</w:t>
            </w:r>
            <w:r>
              <w:rPr>
                <w:rFonts w:hint="eastAsia" w:ascii="仿宋" w:hAnsi="仿宋" w:eastAsia="仿宋" w:cs="仿宋"/>
                <w:color w:val="auto"/>
                <w:sz w:val="24"/>
                <w:szCs w:val="24"/>
                <w:highlight w:val="none"/>
                <w:u w:val="single"/>
              </w:rPr>
              <w:t>金额的</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；审计完成后采购人须付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w:t>
            </w:r>
            <w:r>
              <w:rPr>
                <w:rFonts w:hint="eastAsia" w:ascii="仿宋" w:hAnsi="仿宋" w:eastAsia="仿宋" w:cs="仿宋"/>
                <w:color w:val="auto"/>
                <w:sz w:val="24"/>
                <w:szCs w:val="24"/>
                <w:highlight w:val="none"/>
                <w:u w:val="single"/>
              </w:rPr>
              <w:t>结算审定价</w:t>
            </w:r>
            <w:r>
              <w:rPr>
                <w:rFonts w:hint="eastAsia" w:ascii="仿宋" w:hAnsi="仿宋" w:eastAsia="仿宋" w:cs="仿宋"/>
                <w:color w:val="auto"/>
                <w:sz w:val="24"/>
                <w:szCs w:val="24"/>
                <w:highlight w:val="none"/>
                <w:u w:val="single"/>
                <w:lang w:eastAsia="zh-CN"/>
              </w:rPr>
              <w:t>的</w:t>
            </w:r>
            <w:r>
              <w:rPr>
                <w:rFonts w:hint="eastAsia" w:ascii="仿宋" w:hAnsi="仿宋" w:eastAsia="仿宋" w:cs="仿宋"/>
                <w:color w:val="auto"/>
                <w:sz w:val="24"/>
                <w:szCs w:val="24"/>
                <w:highlight w:val="none"/>
                <w:u w:val="single"/>
                <w:lang w:val="en-US" w:eastAsia="zh-CN"/>
              </w:rPr>
              <w:t>95</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并退还履约保证金</w:t>
            </w:r>
            <w:r>
              <w:rPr>
                <w:rFonts w:hint="eastAsia" w:ascii="仿宋" w:hAnsi="仿宋" w:eastAsia="仿宋" w:cs="仿宋"/>
                <w:color w:val="auto"/>
                <w:sz w:val="24"/>
                <w:szCs w:val="24"/>
                <w:highlight w:val="none"/>
                <w:u w:val="single"/>
                <w:lang w:eastAsia="zh-CN"/>
              </w:rPr>
              <w:t>；剩余尾款作为质量保证金</w:t>
            </w:r>
            <w:r>
              <w:rPr>
                <w:rFonts w:hint="eastAsia" w:ascii="仿宋" w:hAnsi="仿宋" w:eastAsia="仿宋" w:cs="仿宋"/>
                <w:color w:val="auto"/>
                <w:sz w:val="24"/>
                <w:szCs w:val="24"/>
                <w:highlight w:val="none"/>
                <w:u w:val="single"/>
                <w:lang w:val="en-US" w:eastAsia="zh-CN"/>
              </w:rPr>
              <w:t>，在质保期结束后付清</w:t>
            </w:r>
            <w:r>
              <w:rPr>
                <w:rFonts w:hint="eastAsia" w:ascii="仿宋" w:hAnsi="仿宋" w:eastAsia="仿宋" w:cs="仿宋"/>
                <w:color w:val="auto"/>
                <w:sz w:val="24"/>
                <w:szCs w:val="24"/>
                <w:highlight w:val="none"/>
                <w:u w:val="single"/>
                <w:lang w:eastAsia="zh-CN"/>
              </w:rPr>
              <w:t>。</w:t>
            </w:r>
          </w:p>
        </w:tc>
      </w:tr>
      <w:tr w14:paraId="0BD53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567EA32">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C467EDE">
            <w:pPr>
              <w:keepNext w:val="0"/>
              <w:keepLines w:val="0"/>
              <w:pageBreakBefore w:val="0"/>
              <w:widowControl w:val="0"/>
              <w:kinsoku/>
              <w:wordWrap/>
              <w:overflowPunct/>
              <w:topLinePunct w:val="0"/>
              <w:autoSpaceDE/>
              <w:autoSpaceDN/>
              <w:bidi w:val="0"/>
              <w:adjustRightInd/>
              <w:spacing w:line="460" w:lineRule="exact"/>
              <w:ind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供货及安装期</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中标通知书发出日起5天内完成床垫确认，25天内完成生产、安装、调试。</w:t>
            </w:r>
          </w:p>
        </w:tc>
      </w:tr>
      <w:tr w14:paraId="26367E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4D034E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D49C6D8">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交付地点：</w:t>
            </w:r>
            <w:r>
              <w:rPr>
                <w:rFonts w:hint="eastAsia" w:ascii="仿宋" w:hAnsi="仿宋" w:eastAsia="仿宋" w:cs="仿宋"/>
                <w:color w:val="auto"/>
                <w:kern w:val="2"/>
                <w:sz w:val="24"/>
                <w:szCs w:val="24"/>
                <w:highlight w:val="none"/>
                <w:lang w:val="en-US" w:eastAsia="zh-CN" w:bidi="ar-SA"/>
              </w:rPr>
              <w:t>杭州市临安区於潜镇绍鲁村天目未来谷生态研学城</w:t>
            </w:r>
            <w:r>
              <w:rPr>
                <w:rFonts w:hint="eastAsia" w:ascii="仿宋" w:hAnsi="仿宋" w:eastAsia="仿宋" w:cs="仿宋"/>
                <w:color w:val="auto"/>
                <w:sz w:val="24"/>
                <w:highlight w:val="none"/>
              </w:rPr>
              <w:t>。</w:t>
            </w:r>
          </w:p>
        </w:tc>
      </w:tr>
      <w:tr w14:paraId="48D013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2"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69128F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AE8C43D">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交付方式：货送至甲方指定地点。</w:t>
            </w:r>
          </w:p>
        </w:tc>
      </w:tr>
      <w:tr w14:paraId="2F11F9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66"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2BB8831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7AD149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违约责任：</w:t>
            </w:r>
          </w:p>
          <w:p w14:paraId="00AD827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逾期交付货物的，乙方应按逾期交货总额每日千分之六向甲方支付违约金，由甲方从待付货款中扣除。逾期超过约定日期5个工作日不能交货的，甲方可解除本合同。乙方因逾期交货或因其他违约行为导致甲方解除合同的，乙方应向甲方支付合同总值5%的违约金，如造成甲方损失超过违约金的，超出部分由乙方继续承担赔偿责任。</w:t>
            </w:r>
          </w:p>
          <w:p w14:paraId="0339E2C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4B0F9453">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highlight w:val="none"/>
                <w:lang w:val="en-US" w:eastAsia="zh-CN"/>
              </w:rPr>
            </w:pPr>
            <w:r>
              <w:rPr>
                <w:rFonts w:hint="eastAsia" w:ascii="仿宋" w:hAnsi="仿宋" w:eastAsia="仿宋" w:cs="仿宋"/>
                <w:b/>
                <w:bCs/>
                <w:color w:val="auto"/>
                <w:sz w:val="24"/>
                <w:highlight w:val="none"/>
                <w:lang w:val="en-US" w:eastAsia="zh-CN"/>
              </w:rPr>
              <w:t>3、乙方所交付的货物无法通过验收的，乙方须承担甲方的所有损失，</w:t>
            </w:r>
            <w:r>
              <w:rPr>
                <w:rFonts w:hint="eastAsia" w:ascii="仿宋" w:hAnsi="仿宋" w:eastAsia="仿宋" w:cs="仿宋"/>
                <w:b/>
                <w:bCs/>
                <w:color w:val="auto"/>
                <w:sz w:val="24"/>
                <w:highlight w:val="none"/>
              </w:rPr>
              <w:t>甲方可单方面解除合同。</w:t>
            </w:r>
          </w:p>
        </w:tc>
      </w:tr>
      <w:tr w14:paraId="239905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5538557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A82C19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选择第1.7.2款规定</w:t>
            </w:r>
          </w:p>
        </w:tc>
      </w:tr>
      <w:tr w14:paraId="7F55C1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738DA6A">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43A722A">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杭州市</w:t>
            </w:r>
          </w:p>
        </w:tc>
      </w:tr>
      <w:tr w14:paraId="227DE3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5EE73BC6">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5F2C5F0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临安区</w:t>
            </w:r>
          </w:p>
        </w:tc>
      </w:tr>
      <w:tr w14:paraId="16F7D5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28243B7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42005E6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归属甲方</w:t>
            </w:r>
          </w:p>
        </w:tc>
      </w:tr>
      <w:tr w14:paraId="2E47A7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CDA92B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2.4.1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BBFB8B0">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同合同一般条款</w:t>
            </w:r>
          </w:p>
        </w:tc>
      </w:tr>
      <w:tr w14:paraId="37E22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5EF6FA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2.4.2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4B4D4D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使用说明书、质量检验证明书、随配附件和工具以及清单一并附于货物内。</w:t>
            </w:r>
          </w:p>
        </w:tc>
      </w:tr>
      <w:tr w14:paraId="61613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050"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2E0795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72D2C52">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新增以下条款：</w:t>
            </w:r>
          </w:p>
          <w:p w14:paraId="12190A1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2.7.3乙方应保证本合同中所供应的商品是最新生产的符合国家技术规格和质量标准的出厂原装合格产品。如发生所供商品与合同不符，甲方（使用方）有权拒收或退货，由此产生的一切责任和后果由乙方承担。</w:t>
            </w:r>
          </w:p>
          <w:p w14:paraId="3C9C808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2.7.4本项目质保期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年（自验收合格之日起计），乙方提供的货物在质保期内因货物本身的质量问题发生故障，乙方应负责免费更换。对达不到技术要求者，根据实际情况，经双方协商，可按以下办法处理：</w:t>
            </w:r>
          </w:p>
          <w:p w14:paraId="0BE5B304">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更换：由乙方承担所发生的全部费用。</w:t>
            </w:r>
          </w:p>
          <w:p w14:paraId="3C73795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贬值处理：由甲乙双方合议定价。</w:t>
            </w:r>
          </w:p>
          <w:p w14:paraId="7A6C906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退货处理：乙方应退还甲方支付的合同款，同时应承担该货物的直接费用（运输、保险、检验、货款利息及银行手续费等）。</w:t>
            </w:r>
          </w:p>
          <w:p w14:paraId="233A7B0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2.7.5在质保期内，乙方应对货物出现的质量及安全问题负责处理解决并承担一切费用。质保期内涉及的数据处理软件升级费用包含在总价中，不另行计取。</w:t>
            </w:r>
          </w:p>
          <w:p w14:paraId="2E839590">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2.7.6上述货物在质保期内必须及时免费保修，不能因为</w:t>
            </w:r>
            <w:r>
              <w:rPr>
                <w:rFonts w:hint="eastAsia" w:ascii="仿宋" w:hAnsi="仿宋" w:eastAsia="仿宋" w:cs="仿宋"/>
                <w:color w:val="auto"/>
                <w:sz w:val="24"/>
                <w:highlight w:val="none"/>
                <w:lang w:eastAsia="zh-CN"/>
              </w:rPr>
              <w:t>床垫</w:t>
            </w:r>
            <w:r>
              <w:rPr>
                <w:rFonts w:hint="eastAsia" w:ascii="仿宋" w:hAnsi="仿宋" w:eastAsia="仿宋" w:cs="仿宋"/>
                <w:color w:val="auto"/>
                <w:sz w:val="24"/>
                <w:highlight w:val="none"/>
              </w:rPr>
              <w:t>原因导致</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无法正常开展，否则甲方将从</w:t>
            </w:r>
            <w:r>
              <w:rPr>
                <w:rFonts w:hint="eastAsia" w:ascii="仿宋" w:hAnsi="仿宋" w:eastAsia="仿宋" w:cs="仿宋"/>
                <w:color w:val="auto"/>
                <w:sz w:val="24"/>
                <w:highlight w:val="none"/>
                <w:lang w:val="en-US" w:eastAsia="zh-CN"/>
              </w:rPr>
              <w:t>质保金</w:t>
            </w:r>
            <w:r>
              <w:rPr>
                <w:rFonts w:hint="eastAsia" w:ascii="仿宋" w:hAnsi="仿宋" w:eastAsia="仿宋" w:cs="仿宋"/>
                <w:color w:val="auto"/>
                <w:sz w:val="24"/>
                <w:highlight w:val="none"/>
              </w:rPr>
              <w:t>中扣除相应的维修费用。因人为故意损坏因素出现的故障不在免费保修范围内。</w:t>
            </w:r>
          </w:p>
          <w:p w14:paraId="090DC1B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2.7.7乙方在接到甲方维修服务要求后应在1小时内作出响应，24小时内派出维修工程师到现场解决问题。如果不能及时解决问题的，则要提供备件，以便保障</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开展。</w:t>
            </w:r>
          </w:p>
          <w:p w14:paraId="2FB6F00A">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整个合同期限内，乙方须备足备品备件，如果有</w:t>
            </w:r>
            <w:r>
              <w:rPr>
                <w:rFonts w:hint="eastAsia" w:ascii="仿宋" w:hAnsi="仿宋" w:eastAsia="仿宋" w:cs="仿宋"/>
                <w:color w:val="auto"/>
                <w:sz w:val="24"/>
                <w:highlight w:val="none"/>
                <w:lang w:eastAsia="zh-CN"/>
              </w:rPr>
              <w:t>床垫</w:t>
            </w:r>
            <w:r>
              <w:rPr>
                <w:rFonts w:hint="eastAsia" w:ascii="仿宋" w:hAnsi="仿宋" w:eastAsia="仿宋" w:cs="仿宋"/>
                <w:color w:val="auto"/>
                <w:sz w:val="24"/>
                <w:highlight w:val="none"/>
              </w:rPr>
              <w:t>（包括整体材料）需要返厂维修的或不能及时修好的则要提供备件，以便保障</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开展。</w:t>
            </w:r>
          </w:p>
          <w:p w14:paraId="6FF0E7AD">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2.7.8质保期满后乙方必须提供最优惠的维修价格（包括材料、人工、设备等），</w:t>
            </w:r>
            <w:r>
              <w:rPr>
                <w:rFonts w:hint="eastAsia" w:ascii="仿宋" w:hAnsi="仿宋" w:eastAsia="仿宋" w:cs="仿宋"/>
                <w:color w:val="auto"/>
                <w:sz w:val="24"/>
                <w:highlight w:val="none"/>
                <w:lang w:eastAsia="zh-CN"/>
              </w:rPr>
              <w:t>床垫</w:t>
            </w:r>
            <w:r>
              <w:rPr>
                <w:rFonts w:hint="eastAsia" w:ascii="仿宋" w:hAnsi="仿宋" w:eastAsia="仿宋" w:cs="仿宋"/>
                <w:color w:val="auto"/>
                <w:sz w:val="24"/>
                <w:highlight w:val="none"/>
              </w:rPr>
              <w:t>使用期内保证配件供应和维修，而且只收设备、材料费，人工工资不另行计取。</w:t>
            </w:r>
          </w:p>
          <w:p w14:paraId="2EAC250E">
            <w:pPr>
              <w:spacing w:line="500" w:lineRule="exact"/>
              <w:rPr>
                <w:rFonts w:hint="eastAsia" w:ascii="仿宋" w:hAnsi="仿宋" w:eastAsia="仿宋" w:cs="仿宋"/>
                <w:color w:val="auto"/>
                <w:highlight w:val="none"/>
                <w:lang w:val="en-US"/>
              </w:rPr>
            </w:pPr>
            <w:r>
              <w:rPr>
                <w:rFonts w:hint="eastAsia" w:ascii="仿宋" w:hAnsi="仿宋" w:eastAsia="仿宋" w:cs="仿宋"/>
                <w:color w:val="auto"/>
                <w:sz w:val="24"/>
                <w:highlight w:val="none"/>
              </w:rPr>
              <w:t xml:space="preserve">   施工过程中，按照合同清单内容及图纸方案完成履行，由于现场客观条件原因造成的方案更改及合同内容变动，须出具</w:t>
            </w:r>
            <w:r>
              <w:rPr>
                <w:rFonts w:hint="eastAsia" w:ascii="仿宋" w:hAnsi="仿宋" w:eastAsia="仿宋" w:cs="仿宋"/>
                <w:color w:val="auto"/>
                <w:sz w:val="24"/>
                <w:highlight w:val="none"/>
                <w:lang w:val="en-US" w:eastAsia="zh-CN"/>
              </w:rPr>
              <w:t>确认单</w:t>
            </w:r>
            <w:r>
              <w:rPr>
                <w:rFonts w:hint="eastAsia" w:ascii="仿宋" w:hAnsi="仿宋" w:eastAsia="仿宋" w:cs="仿宋"/>
                <w:color w:val="auto"/>
                <w:sz w:val="24"/>
                <w:highlight w:val="none"/>
              </w:rPr>
              <w:t>双方确认为准。</w:t>
            </w:r>
          </w:p>
        </w:tc>
      </w:tr>
      <w:tr w14:paraId="2B6DEC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66AC8BF">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2.8</w:t>
            </w:r>
          </w:p>
        </w:tc>
        <w:tc>
          <w:tcPr>
            <w:tcW w:w="4342" w:type="pct"/>
            <w:tcBorders>
              <w:top w:val="single" w:color="auto" w:sz="4" w:space="0"/>
              <w:left w:val="single" w:color="auto" w:sz="4" w:space="0"/>
              <w:bottom w:val="single" w:color="auto" w:sz="4" w:space="0"/>
              <w:right w:val="single" w:color="auto" w:sz="4" w:space="0"/>
            </w:tcBorders>
            <w:noWrap w:val="0"/>
            <w:vAlign w:val="top"/>
          </w:tcPr>
          <w:p w14:paraId="7A0DEFF8">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由承包人承担相关费用和责任，并重新补货。</w:t>
            </w:r>
          </w:p>
        </w:tc>
      </w:tr>
      <w:tr w14:paraId="17C5A8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B47629B">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2.11</w:t>
            </w:r>
          </w:p>
        </w:tc>
        <w:tc>
          <w:tcPr>
            <w:tcW w:w="4342" w:type="pct"/>
            <w:tcBorders>
              <w:top w:val="single" w:color="auto" w:sz="4" w:space="0"/>
              <w:left w:val="single" w:color="auto" w:sz="4" w:space="0"/>
              <w:bottom w:val="single" w:color="auto" w:sz="4" w:space="0"/>
              <w:right w:val="single" w:color="auto" w:sz="4" w:space="0"/>
            </w:tcBorders>
            <w:noWrap w:val="0"/>
            <w:vAlign w:val="top"/>
          </w:tcPr>
          <w:p w14:paraId="4D043A72">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新增：2.11.3乙方将本合同范围内的货物转让转让他人供应的，甲方有权解除合同，并追究乙方的违约责任。</w:t>
            </w:r>
          </w:p>
        </w:tc>
      </w:tr>
      <w:tr w14:paraId="2B8E75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4EA4E34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2.12.3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13DB7B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15个工作日内以书面形式变更合同</w:t>
            </w:r>
          </w:p>
        </w:tc>
      </w:tr>
      <w:tr w14:paraId="5F8E19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B70BFFE">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2.12.4</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4FBF8FC">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3个工作日内以书面形式通知对方当事人，7个工作日内将有关部门出具的证明文件送达对方当事人。</w:t>
            </w:r>
          </w:p>
        </w:tc>
      </w:tr>
      <w:tr w14:paraId="3E15F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53D761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2.16.1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057D95D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7个工作日内</w:t>
            </w:r>
          </w:p>
        </w:tc>
      </w:tr>
      <w:tr w14:paraId="2639C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512D436">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2.16.3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F5958A5">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1、甲方对乙方提交的货物依据采购文件上的技术规格要求和国家有关质量标准进行现场验收。</w:t>
            </w:r>
          </w:p>
          <w:p w14:paraId="1ED2C75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2、乙方交货前应对产品作出全面检查和对验收文件进行整理，并列出清单，作为甲方收货验收和使用的技术条件依据，检验的结果应随货物交甲方。</w:t>
            </w:r>
          </w:p>
          <w:p w14:paraId="39D8185F">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3、甲方对乙方提供的货物在使用前进行调试时，乙方需负责安装并培训甲方的使用操作人员，并协助甲方一起调试，直到符合技术要求，甲方才做最终验收。</w:t>
            </w:r>
          </w:p>
          <w:p w14:paraId="398CB47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4、对技术复杂的货物，甲方应请国家认可的专业检测机构参与验收，并由其出具质量检测报告。</w:t>
            </w:r>
          </w:p>
          <w:p w14:paraId="55BC71E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5、验收时乙方必须在现场，验收完毕后作出验收结果报告。</w:t>
            </w:r>
          </w:p>
        </w:tc>
      </w:tr>
      <w:tr w14:paraId="6073E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88136B8">
            <w:pPr>
              <w:spacing w:line="500" w:lineRule="exact"/>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D5168E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合同一式</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份，甲方执</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份，乙方执</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份。</w:t>
            </w:r>
          </w:p>
        </w:tc>
      </w:tr>
    </w:tbl>
    <w:p w14:paraId="7B9D5DCA">
      <w:pPr>
        <w:spacing w:line="360" w:lineRule="auto"/>
        <w:ind w:right="-420" w:rightChars="-200"/>
        <w:jc w:val="both"/>
        <w:outlineLvl w:val="0"/>
        <w:rPr>
          <w:rFonts w:hint="default" w:ascii="仿宋" w:hAnsi="仿宋" w:eastAsia="仿宋" w:cs="仿宋"/>
          <w:sz w:val="24"/>
          <w:highlight w:val="none"/>
          <w:lang w:val="en-US" w:eastAsia="zh-CN"/>
        </w:rPr>
      </w:pPr>
    </w:p>
    <w:p w14:paraId="3D4CD464">
      <w:pPr>
        <w:pStyle w:val="2"/>
        <w:rPr>
          <w:rFonts w:hint="default" w:ascii="仿宋" w:hAnsi="仿宋" w:eastAsia="仿宋" w:cs="仿宋"/>
          <w:sz w:val="24"/>
          <w:highlight w:val="none"/>
          <w:lang w:val="en-US" w:eastAsia="zh-CN"/>
        </w:rPr>
      </w:pPr>
    </w:p>
    <w:p w14:paraId="277FE29D">
      <w:pPr>
        <w:rPr>
          <w:rFonts w:hint="default" w:ascii="仿宋" w:hAnsi="仿宋" w:eastAsia="仿宋" w:cs="仿宋"/>
          <w:sz w:val="24"/>
          <w:highlight w:val="none"/>
          <w:lang w:val="en-US" w:eastAsia="zh-CN"/>
        </w:rPr>
      </w:pPr>
    </w:p>
    <w:p w14:paraId="20FD329B">
      <w:pPr>
        <w:pStyle w:val="2"/>
        <w:rPr>
          <w:rFonts w:hint="default"/>
          <w:highlight w:val="none"/>
          <w:lang w:val="en-US" w:eastAsia="zh-CN"/>
        </w:rPr>
      </w:pPr>
    </w:p>
    <w:p w14:paraId="70747027">
      <w:pPr>
        <w:rPr>
          <w:rFonts w:hint="default"/>
          <w:highlight w:val="none"/>
          <w:lang w:val="en-US" w:eastAsia="zh-CN"/>
        </w:rPr>
      </w:pPr>
    </w:p>
    <w:p w14:paraId="1C4AB866">
      <w:pPr>
        <w:pStyle w:val="2"/>
        <w:rPr>
          <w:rFonts w:hint="default"/>
          <w:highlight w:val="none"/>
          <w:lang w:val="en-US" w:eastAsia="zh-CN"/>
        </w:rPr>
      </w:pPr>
    </w:p>
    <w:p w14:paraId="5C32F9ED">
      <w:pPr>
        <w:rPr>
          <w:rFonts w:hint="default"/>
          <w:highlight w:val="none"/>
          <w:lang w:val="en-US" w:eastAsia="zh-CN"/>
        </w:rPr>
      </w:pPr>
    </w:p>
    <w:p w14:paraId="35925E7D">
      <w:pPr>
        <w:pStyle w:val="61"/>
        <w:rPr>
          <w:rFonts w:hint="eastAsia" w:ascii="仿宋" w:hAnsi="仿宋" w:eastAsia="仿宋" w:cs="仿宋"/>
          <w:sz w:val="24"/>
          <w:highlight w:val="none"/>
        </w:rPr>
      </w:pPr>
    </w:p>
    <w:p w14:paraId="0ACBE0B1">
      <w:pPr>
        <w:spacing w:line="360" w:lineRule="auto"/>
        <w:ind w:left="-420" w:leftChars="-200" w:right="-420" w:rightChars="-200" w:firstLine="480" w:firstLineChars="200"/>
        <w:jc w:val="center"/>
        <w:outlineLvl w:val="0"/>
        <w:rPr>
          <w:rFonts w:hint="eastAsia" w:ascii="仿宋" w:hAnsi="仿宋" w:eastAsia="仿宋" w:cs="仿宋"/>
          <w:sz w:val="24"/>
          <w:highlight w:val="none"/>
        </w:rPr>
      </w:pPr>
    </w:p>
    <w:p w14:paraId="596870B5">
      <w:pPr>
        <w:spacing w:line="360" w:lineRule="auto"/>
        <w:ind w:left="720" w:firstLine="723" w:firstLineChars="200"/>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第六部分</w:t>
      </w:r>
      <w:bookmarkEnd w:id="393"/>
      <w:r>
        <w:rPr>
          <w:rFonts w:hint="eastAsia" w:ascii="仿宋" w:hAnsi="仿宋" w:eastAsia="仿宋" w:cs="仿宋"/>
          <w:b/>
          <w:sz w:val="36"/>
          <w:szCs w:val="20"/>
          <w:highlight w:val="none"/>
        </w:rPr>
        <w:t xml:space="preserve"> </w:t>
      </w:r>
      <w:bookmarkEnd w:id="394"/>
      <w:r>
        <w:rPr>
          <w:rFonts w:hint="eastAsia" w:ascii="仿宋" w:hAnsi="仿宋" w:eastAsia="仿宋" w:cs="仿宋"/>
          <w:b/>
          <w:sz w:val="36"/>
          <w:szCs w:val="20"/>
          <w:highlight w:val="none"/>
        </w:rPr>
        <w:t>应提交的有关格式范例</w:t>
      </w:r>
    </w:p>
    <w:p w14:paraId="3D7AB14E">
      <w:pPr>
        <w:spacing w:line="360" w:lineRule="auto"/>
        <w:jc w:val="center"/>
        <w:outlineLvl w:val="0"/>
        <w:rPr>
          <w:rFonts w:hint="eastAsia" w:ascii="仿宋" w:hAnsi="仿宋" w:eastAsia="仿宋" w:cs="仿宋"/>
          <w:b/>
          <w:kern w:val="0"/>
          <w:sz w:val="36"/>
          <w:szCs w:val="36"/>
          <w:highlight w:val="none"/>
        </w:rPr>
      </w:pPr>
    </w:p>
    <w:p w14:paraId="50A6DCF0">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1F621FAA">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32093F3B">
      <w:pPr>
        <w:spacing w:line="360" w:lineRule="auto"/>
        <w:jc w:val="center"/>
        <w:outlineLvl w:val="0"/>
        <w:rPr>
          <w:rFonts w:hint="eastAsia" w:ascii="仿宋" w:hAnsi="仿宋" w:eastAsia="仿宋" w:cs="仿宋"/>
          <w:b/>
          <w:kern w:val="0"/>
          <w:sz w:val="36"/>
          <w:szCs w:val="36"/>
          <w:highlight w:val="none"/>
        </w:rPr>
      </w:pPr>
    </w:p>
    <w:p w14:paraId="2BA5993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（1）符合参加采购活动应当具备的一般条件的承诺函…………………（页码）</w:t>
      </w:r>
    </w:p>
    <w:p w14:paraId="65DE9CB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）本项目的特定资格要求………………………………………………（页码）</w:t>
      </w:r>
    </w:p>
    <w:p w14:paraId="13D7CBD9">
      <w:pPr>
        <w:snapToGrid w:val="0"/>
        <w:spacing w:line="360" w:lineRule="auto"/>
        <w:ind w:firstLine="480" w:firstLineChars="200"/>
        <w:rPr>
          <w:rFonts w:hint="eastAsia" w:ascii="仿宋" w:hAnsi="仿宋" w:eastAsia="仿宋" w:cs="仿宋"/>
          <w:sz w:val="24"/>
          <w:highlight w:val="none"/>
        </w:rPr>
      </w:pPr>
    </w:p>
    <w:p w14:paraId="79638808">
      <w:pPr>
        <w:spacing w:line="360" w:lineRule="auto"/>
        <w:ind w:firstLine="480" w:firstLineChars="200"/>
        <w:rPr>
          <w:rFonts w:hint="eastAsia" w:ascii="仿宋" w:hAnsi="仿宋" w:eastAsia="仿宋" w:cs="仿宋"/>
          <w:sz w:val="24"/>
          <w:highlight w:val="none"/>
        </w:rPr>
      </w:pPr>
    </w:p>
    <w:p w14:paraId="54B773D8">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 符合参加采购活动应当具备的一般条件的承诺函</w:t>
      </w:r>
    </w:p>
    <w:p w14:paraId="47B8876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14:paraId="49D393E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我方参与（项目名称）【招标编号：（采购编号）】采购活动，郑重承诺：</w:t>
      </w:r>
    </w:p>
    <w:p w14:paraId="495C8D80">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w:t>
      </w:r>
    </w:p>
    <w:p w14:paraId="15C4F74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14:paraId="1E05DC9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3DCA2B2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0E4492B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7CB9C06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20552AE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35301CA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6F95A82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6F75F30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1、单位负责人为同一人或者存在直接控股、管理关系的不同供应商参加同一合同项下的采购活动的；</w:t>
      </w:r>
    </w:p>
    <w:p w14:paraId="757D048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62F8CDCF">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653BE77A">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0F61E73C">
      <w:pPr>
        <w:snapToGrid w:val="0"/>
        <w:spacing w:line="360" w:lineRule="auto"/>
        <w:ind w:right="480"/>
        <w:jc w:val="center"/>
        <w:rPr>
          <w:rFonts w:hint="eastAsia" w:ascii="仿宋" w:hAnsi="仿宋" w:eastAsia="仿宋" w:cs="仿宋"/>
          <w:b/>
          <w:kern w:val="0"/>
          <w:sz w:val="32"/>
          <w:szCs w:val="32"/>
          <w:highlight w:val="none"/>
        </w:rPr>
      </w:pPr>
    </w:p>
    <w:p w14:paraId="20BFAEC8">
      <w:pPr>
        <w:snapToGrid w:val="0"/>
        <w:spacing w:line="360" w:lineRule="auto"/>
        <w:ind w:right="480"/>
        <w:jc w:val="center"/>
        <w:rPr>
          <w:rFonts w:hint="eastAsia" w:ascii="仿宋" w:hAnsi="仿宋" w:eastAsia="仿宋" w:cs="仿宋"/>
          <w:b/>
          <w:kern w:val="0"/>
          <w:sz w:val="32"/>
          <w:szCs w:val="32"/>
          <w:highlight w:val="none"/>
        </w:rPr>
      </w:pPr>
    </w:p>
    <w:p w14:paraId="1A7A59EA">
      <w:pPr>
        <w:snapToGrid w:val="0"/>
        <w:spacing w:line="360" w:lineRule="auto"/>
        <w:ind w:right="480"/>
        <w:jc w:val="center"/>
        <w:rPr>
          <w:rFonts w:hint="eastAsia" w:ascii="仿宋" w:hAnsi="仿宋" w:eastAsia="仿宋" w:cs="仿宋"/>
          <w:b/>
          <w:kern w:val="0"/>
          <w:sz w:val="32"/>
          <w:szCs w:val="32"/>
          <w:highlight w:val="none"/>
        </w:rPr>
      </w:pPr>
    </w:p>
    <w:p w14:paraId="4B609F40">
      <w:pPr>
        <w:rPr>
          <w:rFonts w:hint="eastAsia" w:ascii="仿宋" w:hAnsi="仿宋" w:eastAsia="仿宋" w:cs="仿宋"/>
          <w:highlight w:val="none"/>
        </w:rPr>
      </w:pPr>
    </w:p>
    <w:p w14:paraId="7B2A8A3A">
      <w:pPr>
        <w:snapToGrid w:val="0"/>
        <w:spacing w:line="360" w:lineRule="auto"/>
        <w:ind w:right="480"/>
        <w:jc w:val="center"/>
        <w:rPr>
          <w:rFonts w:hint="eastAsia" w:ascii="仿宋" w:hAnsi="仿宋" w:eastAsia="仿宋" w:cs="仿宋"/>
          <w:b/>
          <w:kern w:val="0"/>
          <w:sz w:val="32"/>
          <w:szCs w:val="32"/>
          <w:highlight w:val="none"/>
        </w:rPr>
      </w:pPr>
    </w:p>
    <w:p w14:paraId="261B7E9C">
      <w:pPr>
        <w:snapToGrid w:val="0"/>
        <w:spacing w:line="360" w:lineRule="auto"/>
        <w:ind w:right="480"/>
        <w:jc w:val="center"/>
        <w:rPr>
          <w:rFonts w:hint="eastAsia" w:ascii="仿宋" w:hAnsi="仿宋" w:eastAsia="仿宋" w:cs="仿宋"/>
          <w:b/>
          <w:kern w:val="0"/>
          <w:sz w:val="32"/>
          <w:szCs w:val="32"/>
          <w:highlight w:val="none"/>
        </w:rPr>
      </w:pPr>
    </w:p>
    <w:p w14:paraId="4F34AFA9">
      <w:pPr>
        <w:snapToGrid w:val="0"/>
        <w:spacing w:line="360" w:lineRule="auto"/>
        <w:ind w:right="480"/>
        <w:jc w:val="center"/>
        <w:rPr>
          <w:rFonts w:hint="eastAsia" w:ascii="仿宋" w:hAnsi="仿宋" w:eastAsia="仿宋" w:cs="仿宋"/>
          <w:b/>
          <w:kern w:val="0"/>
          <w:sz w:val="32"/>
          <w:szCs w:val="32"/>
          <w:highlight w:val="none"/>
        </w:rPr>
      </w:pPr>
    </w:p>
    <w:p w14:paraId="3EAA08BB">
      <w:pPr>
        <w:widowControl/>
        <w:spacing w:line="360" w:lineRule="auto"/>
        <w:ind w:firstLine="643" w:firstLineChars="200"/>
        <w:jc w:val="center"/>
        <w:rPr>
          <w:rFonts w:hint="eastAsia" w:ascii="仿宋" w:hAnsi="仿宋" w:eastAsia="仿宋" w:cs="仿宋"/>
          <w:b/>
          <w:kern w:val="0"/>
          <w:sz w:val="32"/>
          <w:szCs w:val="32"/>
          <w:highlight w:val="none"/>
        </w:rPr>
      </w:pPr>
    </w:p>
    <w:p w14:paraId="1F906191">
      <w:pPr>
        <w:widowControl/>
        <w:spacing w:line="360" w:lineRule="auto"/>
        <w:ind w:left="150"/>
        <w:jc w:val="center"/>
        <w:rPr>
          <w:rFonts w:hint="eastAsia" w:ascii="仿宋" w:hAnsi="仿宋" w:eastAsia="仿宋" w:cs="仿宋"/>
          <w:b/>
          <w:kern w:val="0"/>
          <w:sz w:val="32"/>
          <w:szCs w:val="32"/>
          <w:highlight w:val="none"/>
        </w:rPr>
      </w:pPr>
    </w:p>
    <w:p w14:paraId="29CCCC02">
      <w:pPr>
        <w:widowControl/>
        <w:spacing w:line="360" w:lineRule="auto"/>
        <w:ind w:left="15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二</w:t>
      </w:r>
      <w:r>
        <w:rPr>
          <w:rFonts w:hint="eastAsia" w:ascii="仿宋" w:hAnsi="仿宋" w:eastAsia="仿宋" w:cs="仿宋"/>
          <w:b/>
          <w:kern w:val="0"/>
          <w:sz w:val="32"/>
          <w:szCs w:val="32"/>
          <w:highlight w:val="none"/>
        </w:rPr>
        <w:t>、本项目的特定资格要求</w:t>
      </w:r>
    </w:p>
    <w:p w14:paraId="1760A779">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公告本项目的特定资格要求提供相应的材料；未要求的，无需提供）</w:t>
      </w:r>
    </w:p>
    <w:p w14:paraId="3132C949">
      <w:pPr>
        <w:rPr>
          <w:rFonts w:hint="eastAsia" w:ascii="仿宋" w:hAnsi="仿宋" w:eastAsia="仿宋" w:cs="仿宋"/>
          <w:highlight w:val="none"/>
        </w:rPr>
      </w:pPr>
    </w:p>
    <w:p w14:paraId="5917DC02">
      <w:pPr>
        <w:snapToGrid w:val="0"/>
        <w:spacing w:line="360" w:lineRule="auto"/>
        <w:ind w:right="480"/>
        <w:jc w:val="center"/>
        <w:rPr>
          <w:rFonts w:hint="eastAsia" w:ascii="仿宋" w:hAnsi="仿宋" w:eastAsia="仿宋" w:cs="仿宋"/>
          <w:b/>
          <w:kern w:val="0"/>
          <w:sz w:val="32"/>
          <w:szCs w:val="32"/>
          <w:highlight w:val="none"/>
        </w:rPr>
      </w:pPr>
    </w:p>
    <w:p w14:paraId="2471209F">
      <w:pPr>
        <w:snapToGrid w:val="0"/>
        <w:spacing w:line="360" w:lineRule="auto"/>
        <w:ind w:right="480"/>
        <w:jc w:val="center"/>
        <w:rPr>
          <w:rFonts w:hint="eastAsia" w:ascii="仿宋" w:hAnsi="仿宋" w:eastAsia="仿宋" w:cs="仿宋"/>
          <w:b/>
          <w:kern w:val="0"/>
          <w:sz w:val="32"/>
          <w:szCs w:val="32"/>
          <w:highlight w:val="none"/>
        </w:rPr>
      </w:pPr>
    </w:p>
    <w:p w14:paraId="5C9AEC4D">
      <w:pPr>
        <w:snapToGrid w:val="0"/>
        <w:spacing w:line="360" w:lineRule="auto"/>
        <w:ind w:right="480"/>
        <w:jc w:val="center"/>
        <w:rPr>
          <w:rFonts w:hint="eastAsia" w:ascii="仿宋" w:hAnsi="仿宋" w:eastAsia="仿宋" w:cs="仿宋"/>
          <w:b/>
          <w:kern w:val="0"/>
          <w:sz w:val="32"/>
          <w:szCs w:val="32"/>
          <w:highlight w:val="none"/>
        </w:rPr>
      </w:pPr>
    </w:p>
    <w:p w14:paraId="3CF41BBE">
      <w:pPr>
        <w:snapToGrid w:val="0"/>
        <w:spacing w:line="360" w:lineRule="auto"/>
        <w:ind w:right="480"/>
        <w:jc w:val="center"/>
        <w:rPr>
          <w:rFonts w:hint="eastAsia" w:ascii="仿宋" w:hAnsi="仿宋" w:eastAsia="仿宋" w:cs="仿宋"/>
          <w:b/>
          <w:kern w:val="0"/>
          <w:sz w:val="32"/>
          <w:szCs w:val="32"/>
          <w:highlight w:val="none"/>
        </w:rPr>
      </w:pPr>
    </w:p>
    <w:p w14:paraId="68D24892">
      <w:pPr>
        <w:snapToGrid w:val="0"/>
        <w:spacing w:line="360" w:lineRule="auto"/>
        <w:ind w:right="480"/>
        <w:jc w:val="center"/>
        <w:rPr>
          <w:rFonts w:hint="eastAsia" w:ascii="仿宋" w:hAnsi="仿宋" w:eastAsia="仿宋" w:cs="仿宋"/>
          <w:b/>
          <w:kern w:val="0"/>
          <w:sz w:val="32"/>
          <w:szCs w:val="32"/>
          <w:highlight w:val="none"/>
        </w:rPr>
      </w:pPr>
    </w:p>
    <w:p w14:paraId="06115584">
      <w:pPr>
        <w:pStyle w:val="4"/>
        <w:rPr>
          <w:rFonts w:hint="eastAsia" w:ascii="仿宋" w:hAnsi="仿宋" w:eastAsia="仿宋" w:cs="仿宋"/>
          <w:highlight w:val="none"/>
          <w:lang w:val="en-US"/>
        </w:rPr>
      </w:pPr>
    </w:p>
    <w:p w14:paraId="67E0B853">
      <w:pPr>
        <w:rPr>
          <w:rFonts w:hint="eastAsia" w:ascii="仿宋" w:hAnsi="仿宋" w:eastAsia="仿宋" w:cs="仿宋"/>
          <w:highlight w:val="none"/>
        </w:rPr>
      </w:pPr>
    </w:p>
    <w:p w14:paraId="66F684DB">
      <w:pPr>
        <w:spacing w:line="360" w:lineRule="auto"/>
        <w:ind w:right="420" w:firstLine="3614" w:firstLineChars="1000"/>
        <w:rPr>
          <w:rFonts w:hint="eastAsia" w:ascii="仿宋" w:hAnsi="仿宋" w:eastAsia="仿宋" w:cs="仿宋"/>
          <w:b/>
          <w:kern w:val="0"/>
          <w:sz w:val="36"/>
          <w:szCs w:val="36"/>
          <w:highlight w:val="none"/>
        </w:rPr>
      </w:pPr>
    </w:p>
    <w:p w14:paraId="4FC5CA24">
      <w:pPr>
        <w:pStyle w:val="42"/>
        <w:rPr>
          <w:rFonts w:hint="eastAsia" w:ascii="仿宋" w:hAnsi="仿宋" w:eastAsia="仿宋" w:cs="仿宋"/>
          <w:b/>
          <w:kern w:val="0"/>
          <w:sz w:val="36"/>
          <w:szCs w:val="36"/>
          <w:highlight w:val="none"/>
        </w:rPr>
      </w:pPr>
    </w:p>
    <w:p w14:paraId="23193B1A">
      <w:pPr>
        <w:rPr>
          <w:rFonts w:hint="eastAsia" w:ascii="仿宋" w:hAnsi="仿宋" w:eastAsia="仿宋" w:cs="仿宋"/>
          <w:b/>
          <w:kern w:val="0"/>
          <w:sz w:val="36"/>
          <w:szCs w:val="36"/>
          <w:highlight w:val="none"/>
        </w:rPr>
      </w:pPr>
    </w:p>
    <w:p w14:paraId="14985574">
      <w:pPr>
        <w:pStyle w:val="42"/>
        <w:rPr>
          <w:rFonts w:hint="eastAsia" w:ascii="仿宋" w:hAnsi="仿宋" w:eastAsia="仿宋" w:cs="仿宋"/>
          <w:b/>
          <w:kern w:val="0"/>
          <w:sz w:val="36"/>
          <w:szCs w:val="36"/>
          <w:highlight w:val="none"/>
        </w:rPr>
      </w:pPr>
    </w:p>
    <w:p w14:paraId="5B78E433">
      <w:pPr>
        <w:rPr>
          <w:rFonts w:hint="eastAsia" w:ascii="仿宋" w:hAnsi="仿宋" w:eastAsia="仿宋" w:cs="仿宋"/>
          <w:b/>
          <w:kern w:val="0"/>
          <w:sz w:val="36"/>
          <w:szCs w:val="36"/>
          <w:highlight w:val="none"/>
        </w:rPr>
      </w:pPr>
    </w:p>
    <w:p w14:paraId="3B30CA10">
      <w:pPr>
        <w:pStyle w:val="42"/>
        <w:rPr>
          <w:rFonts w:hint="eastAsia" w:ascii="仿宋" w:hAnsi="仿宋" w:eastAsia="仿宋" w:cs="仿宋"/>
          <w:b/>
          <w:kern w:val="0"/>
          <w:sz w:val="36"/>
          <w:szCs w:val="36"/>
          <w:highlight w:val="none"/>
        </w:rPr>
      </w:pPr>
    </w:p>
    <w:p w14:paraId="5D91278B">
      <w:pPr>
        <w:rPr>
          <w:rFonts w:hint="eastAsia" w:ascii="仿宋" w:hAnsi="仿宋" w:eastAsia="仿宋" w:cs="仿宋"/>
          <w:b/>
          <w:kern w:val="0"/>
          <w:sz w:val="36"/>
          <w:szCs w:val="36"/>
          <w:highlight w:val="none"/>
        </w:rPr>
      </w:pPr>
    </w:p>
    <w:p w14:paraId="54B6EEAB">
      <w:pPr>
        <w:pStyle w:val="42"/>
        <w:rPr>
          <w:rFonts w:hint="eastAsia" w:ascii="仿宋" w:hAnsi="仿宋" w:eastAsia="仿宋" w:cs="仿宋"/>
          <w:b/>
          <w:kern w:val="0"/>
          <w:sz w:val="36"/>
          <w:szCs w:val="36"/>
          <w:highlight w:val="none"/>
        </w:rPr>
      </w:pPr>
    </w:p>
    <w:p w14:paraId="7878EE04">
      <w:pPr>
        <w:rPr>
          <w:rFonts w:hint="eastAsia" w:ascii="仿宋" w:hAnsi="仿宋" w:eastAsia="仿宋" w:cs="仿宋"/>
          <w:b/>
          <w:kern w:val="0"/>
          <w:sz w:val="36"/>
          <w:szCs w:val="36"/>
          <w:highlight w:val="none"/>
        </w:rPr>
      </w:pPr>
    </w:p>
    <w:p w14:paraId="39842253">
      <w:pPr>
        <w:pStyle w:val="42"/>
        <w:rPr>
          <w:rFonts w:hint="eastAsia" w:ascii="仿宋" w:hAnsi="仿宋" w:eastAsia="仿宋" w:cs="仿宋"/>
          <w:b/>
          <w:kern w:val="0"/>
          <w:sz w:val="36"/>
          <w:szCs w:val="36"/>
          <w:highlight w:val="none"/>
        </w:rPr>
      </w:pPr>
    </w:p>
    <w:p w14:paraId="43CC2BC5">
      <w:pPr>
        <w:rPr>
          <w:rFonts w:hint="eastAsia" w:ascii="仿宋" w:hAnsi="仿宋" w:eastAsia="仿宋" w:cs="仿宋"/>
          <w:b/>
          <w:kern w:val="0"/>
          <w:sz w:val="36"/>
          <w:szCs w:val="36"/>
          <w:highlight w:val="none"/>
        </w:rPr>
      </w:pPr>
    </w:p>
    <w:p w14:paraId="6F82112D">
      <w:pPr>
        <w:pStyle w:val="42"/>
        <w:rPr>
          <w:rFonts w:hint="eastAsia" w:ascii="仿宋" w:hAnsi="仿宋" w:eastAsia="仿宋" w:cs="仿宋"/>
          <w:b/>
          <w:kern w:val="0"/>
          <w:sz w:val="36"/>
          <w:szCs w:val="36"/>
          <w:highlight w:val="none"/>
        </w:rPr>
      </w:pPr>
    </w:p>
    <w:p w14:paraId="52394B35">
      <w:pPr>
        <w:rPr>
          <w:rFonts w:hint="eastAsia" w:ascii="仿宋" w:hAnsi="仿宋" w:eastAsia="仿宋" w:cs="仿宋"/>
          <w:b/>
          <w:kern w:val="0"/>
          <w:sz w:val="36"/>
          <w:szCs w:val="36"/>
          <w:highlight w:val="none"/>
        </w:rPr>
      </w:pPr>
    </w:p>
    <w:p w14:paraId="7ED88B06">
      <w:pPr>
        <w:pStyle w:val="42"/>
        <w:rPr>
          <w:rFonts w:hint="eastAsia" w:ascii="仿宋" w:hAnsi="仿宋" w:eastAsia="仿宋" w:cs="仿宋"/>
          <w:b/>
          <w:kern w:val="0"/>
          <w:sz w:val="36"/>
          <w:szCs w:val="36"/>
          <w:highlight w:val="none"/>
        </w:rPr>
      </w:pPr>
    </w:p>
    <w:p w14:paraId="2F74D487">
      <w:pPr>
        <w:rPr>
          <w:rFonts w:hint="eastAsia" w:ascii="仿宋" w:hAnsi="仿宋" w:eastAsia="仿宋" w:cs="仿宋"/>
          <w:b/>
          <w:kern w:val="0"/>
          <w:sz w:val="36"/>
          <w:szCs w:val="36"/>
          <w:highlight w:val="none"/>
        </w:rPr>
      </w:pPr>
    </w:p>
    <w:p w14:paraId="1B5C9695">
      <w:pPr>
        <w:pStyle w:val="42"/>
        <w:rPr>
          <w:rFonts w:hint="eastAsia" w:ascii="仿宋" w:hAnsi="仿宋" w:eastAsia="仿宋" w:cs="仿宋"/>
          <w:b/>
          <w:kern w:val="0"/>
          <w:sz w:val="36"/>
          <w:szCs w:val="36"/>
          <w:highlight w:val="none"/>
        </w:rPr>
      </w:pPr>
    </w:p>
    <w:p w14:paraId="4492FBFA">
      <w:pPr>
        <w:rPr>
          <w:rFonts w:hint="eastAsia"/>
          <w:highlight w:val="none"/>
        </w:rPr>
      </w:pPr>
    </w:p>
    <w:p w14:paraId="4C74656D">
      <w:pPr>
        <w:spacing w:line="360" w:lineRule="auto"/>
        <w:ind w:right="420" w:firstLine="3614" w:firstLineChars="100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77B11824">
      <w:pPr>
        <w:spacing w:line="360" w:lineRule="auto"/>
        <w:jc w:val="center"/>
        <w:outlineLvl w:val="0"/>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14:paraId="0623A552">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（1）投标函</w:t>
      </w:r>
      <w:r>
        <w:rPr>
          <w:rFonts w:hint="eastAsia" w:ascii="仿宋" w:hAnsi="仿宋" w:eastAsia="仿宋" w:cs="仿宋"/>
          <w:highlight w:val="none"/>
        </w:rPr>
        <w:t>…………………………………………………………………………………（页码）</w:t>
      </w:r>
      <w:r>
        <w:rPr>
          <w:rFonts w:hint="eastAsia" w:ascii="仿宋" w:hAnsi="仿宋" w:eastAsia="仿宋" w:cs="仿宋"/>
          <w:sz w:val="24"/>
          <w:highlight w:val="none"/>
        </w:rPr>
        <w:t>（2）授权委托书或法定代表人（单位负责人、自然人本人）身份证明</w:t>
      </w:r>
      <w:r>
        <w:rPr>
          <w:rFonts w:hint="eastAsia" w:ascii="仿宋" w:hAnsi="仿宋" w:eastAsia="仿宋" w:cs="仿宋"/>
          <w:highlight w:val="none"/>
        </w:rPr>
        <w:t>………（页码）</w:t>
      </w:r>
    </w:p>
    <w:p w14:paraId="221B61D4">
      <w:pPr>
        <w:snapToGrid w:val="0"/>
        <w:spacing w:line="360" w:lineRule="auto"/>
        <w:ind w:firstLine="480" w:firstLineChars="200"/>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r>
        <w:rPr>
          <w:rFonts w:hint="eastAsia" w:ascii="仿宋" w:hAnsi="仿宋" w:eastAsia="仿宋" w:cs="仿宋"/>
          <w:highlight w:val="none"/>
        </w:rPr>
        <w:t>………………………………………………………………………（页码）</w:t>
      </w:r>
    </w:p>
    <w:p w14:paraId="201B86B6">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……………（页码）</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……………（页码）</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r>
        <w:rPr>
          <w:rFonts w:hint="eastAsia" w:ascii="仿宋" w:hAnsi="仿宋" w:eastAsia="仿宋" w:cs="仿宋"/>
          <w:highlight w:val="none"/>
        </w:rPr>
        <w:t>………………………………………………………………………（页码）</w:t>
      </w:r>
    </w:p>
    <w:p w14:paraId="56E3C9DC">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r>
        <w:rPr>
          <w:rFonts w:hint="eastAsia" w:ascii="仿宋" w:hAnsi="仿宋" w:eastAsia="仿宋" w:cs="仿宋"/>
          <w:highlight w:val="none"/>
        </w:rPr>
        <w:t>……………………………………………………………（页码）</w:t>
      </w:r>
    </w:p>
    <w:p w14:paraId="180C3330">
      <w:pPr>
        <w:snapToGrid w:val="0"/>
        <w:spacing w:line="360" w:lineRule="auto"/>
        <w:jc w:val="center"/>
        <w:rPr>
          <w:rFonts w:hint="eastAsia" w:ascii="仿宋" w:hAnsi="仿宋" w:eastAsia="仿宋" w:cs="仿宋"/>
          <w:b/>
          <w:kern w:val="0"/>
          <w:sz w:val="32"/>
          <w:szCs w:val="32"/>
          <w:highlight w:val="none"/>
          <w:lang w:val="zh-CN"/>
        </w:rPr>
      </w:pPr>
    </w:p>
    <w:p w14:paraId="330B1376">
      <w:pPr>
        <w:snapToGrid w:val="0"/>
        <w:spacing w:line="360" w:lineRule="auto"/>
        <w:jc w:val="center"/>
        <w:rPr>
          <w:rFonts w:hint="eastAsia" w:ascii="仿宋" w:hAnsi="仿宋" w:eastAsia="仿宋" w:cs="仿宋"/>
          <w:b/>
          <w:kern w:val="0"/>
          <w:sz w:val="32"/>
          <w:szCs w:val="32"/>
          <w:highlight w:val="none"/>
          <w:lang w:val="zh-CN"/>
        </w:rPr>
      </w:pPr>
    </w:p>
    <w:p w14:paraId="63B345BA">
      <w:pPr>
        <w:snapToGrid w:val="0"/>
        <w:spacing w:line="360" w:lineRule="auto"/>
        <w:jc w:val="center"/>
        <w:rPr>
          <w:rFonts w:hint="eastAsia" w:ascii="仿宋" w:hAnsi="仿宋" w:eastAsia="仿宋" w:cs="仿宋"/>
          <w:b/>
          <w:kern w:val="0"/>
          <w:sz w:val="32"/>
          <w:szCs w:val="32"/>
          <w:highlight w:val="none"/>
          <w:lang w:val="zh-CN"/>
        </w:rPr>
      </w:pPr>
    </w:p>
    <w:p w14:paraId="7E27A1AC">
      <w:pPr>
        <w:snapToGrid w:val="0"/>
        <w:spacing w:line="360" w:lineRule="auto"/>
        <w:jc w:val="center"/>
        <w:rPr>
          <w:rFonts w:hint="eastAsia" w:ascii="仿宋" w:hAnsi="仿宋" w:eastAsia="仿宋" w:cs="仿宋"/>
          <w:b/>
          <w:kern w:val="0"/>
          <w:sz w:val="32"/>
          <w:szCs w:val="32"/>
          <w:highlight w:val="none"/>
          <w:lang w:val="zh-CN"/>
        </w:rPr>
      </w:pPr>
    </w:p>
    <w:p w14:paraId="4960C750">
      <w:pPr>
        <w:snapToGrid w:val="0"/>
        <w:spacing w:line="360" w:lineRule="auto"/>
        <w:jc w:val="center"/>
        <w:rPr>
          <w:rFonts w:hint="eastAsia" w:ascii="仿宋" w:hAnsi="仿宋" w:eastAsia="仿宋" w:cs="仿宋"/>
          <w:b/>
          <w:kern w:val="0"/>
          <w:sz w:val="32"/>
          <w:szCs w:val="32"/>
          <w:highlight w:val="none"/>
          <w:lang w:val="zh-CN"/>
        </w:rPr>
      </w:pPr>
    </w:p>
    <w:p w14:paraId="76E847E8">
      <w:pPr>
        <w:snapToGrid w:val="0"/>
        <w:spacing w:line="360" w:lineRule="auto"/>
        <w:jc w:val="center"/>
        <w:outlineLvl w:val="0"/>
        <w:rPr>
          <w:rFonts w:hint="eastAsia" w:ascii="仿宋" w:hAnsi="仿宋" w:eastAsia="仿宋" w:cs="仿宋"/>
          <w:b/>
          <w:kern w:val="0"/>
          <w:sz w:val="32"/>
          <w:szCs w:val="32"/>
          <w:highlight w:val="none"/>
        </w:rPr>
      </w:pPr>
    </w:p>
    <w:p w14:paraId="6CB6B233">
      <w:pPr>
        <w:snapToGrid w:val="0"/>
        <w:spacing w:line="360" w:lineRule="auto"/>
        <w:jc w:val="center"/>
        <w:outlineLvl w:val="0"/>
        <w:rPr>
          <w:rFonts w:hint="eastAsia" w:ascii="仿宋" w:hAnsi="仿宋" w:eastAsia="仿宋" w:cs="仿宋"/>
          <w:b/>
          <w:kern w:val="0"/>
          <w:sz w:val="32"/>
          <w:szCs w:val="32"/>
          <w:highlight w:val="none"/>
        </w:rPr>
      </w:pPr>
    </w:p>
    <w:p w14:paraId="1C62A548">
      <w:pPr>
        <w:rPr>
          <w:rFonts w:hint="eastAsia" w:ascii="仿宋" w:hAnsi="仿宋" w:eastAsia="仿宋" w:cs="仿宋"/>
          <w:highlight w:val="none"/>
        </w:rPr>
      </w:pPr>
    </w:p>
    <w:p w14:paraId="2CBF4273">
      <w:pPr>
        <w:snapToGrid w:val="0"/>
        <w:spacing w:line="360" w:lineRule="auto"/>
        <w:jc w:val="center"/>
        <w:outlineLvl w:val="0"/>
        <w:rPr>
          <w:rFonts w:hint="eastAsia" w:ascii="仿宋" w:hAnsi="仿宋" w:eastAsia="仿宋" w:cs="仿宋"/>
          <w:b/>
          <w:kern w:val="0"/>
          <w:sz w:val="32"/>
          <w:szCs w:val="32"/>
          <w:highlight w:val="none"/>
        </w:rPr>
      </w:pPr>
    </w:p>
    <w:p w14:paraId="65F4C2E9">
      <w:pPr>
        <w:snapToGrid w:val="0"/>
        <w:spacing w:line="360" w:lineRule="auto"/>
        <w:jc w:val="center"/>
        <w:outlineLvl w:val="0"/>
        <w:rPr>
          <w:rFonts w:hint="eastAsia" w:ascii="仿宋" w:hAnsi="仿宋" w:eastAsia="仿宋" w:cs="仿宋"/>
          <w:b/>
          <w:kern w:val="0"/>
          <w:sz w:val="32"/>
          <w:szCs w:val="32"/>
          <w:highlight w:val="none"/>
        </w:rPr>
      </w:pPr>
    </w:p>
    <w:p w14:paraId="37468D41">
      <w:pPr>
        <w:pStyle w:val="4"/>
        <w:rPr>
          <w:rFonts w:hint="eastAsia" w:ascii="仿宋" w:hAnsi="仿宋" w:eastAsia="仿宋" w:cs="仿宋"/>
          <w:highlight w:val="none"/>
          <w:lang w:val="en-US"/>
        </w:rPr>
      </w:pPr>
    </w:p>
    <w:p w14:paraId="320214B5">
      <w:pPr>
        <w:rPr>
          <w:rFonts w:hint="eastAsia" w:ascii="仿宋" w:hAnsi="仿宋" w:eastAsia="仿宋" w:cs="仿宋"/>
          <w:highlight w:val="none"/>
        </w:rPr>
      </w:pPr>
    </w:p>
    <w:p w14:paraId="76BA72B6">
      <w:pPr>
        <w:snapToGrid w:val="0"/>
        <w:spacing w:line="360" w:lineRule="auto"/>
        <w:ind w:firstLine="3855" w:firstLineChars="1200"/>
        <w:outlineLvl w:val="0"/>
        <w:rPr>
          <w:rFonts w:hint="eastAsia" w:ascii="仿宋" w:hAnsi="仿宋" w:eastAsia="仿宋" w:cs="仿宋"/>
          <w:b/>
          <w:kern w:val="0"/>
          <w:sz w:val="32"/>
          <w:szCs w:val="32"/>
          <w:highlight w:val="none"/>
        </w:rPr>
      </w:pPr>
    </w:p>
    <w:p w14:paraId="4F06EC18">
      <w:pPr>
        <w:snapToGrid w:val="0"/>
        <w:spacing w:line="360" w:lineRule="auto"/>
        <w:ind w:firstLine="3855" w:firstLineChars="1200"/>
        <w:outlineLvl w:val="0"/>
        <w:rPr>
          <w:rFonts w:hint="eastAsia" w:ascii="仿宋" w:hAnsi="仿宋" w:eastAsia="仿宋" w:cs="仿宋"/>
          <w:b/>
          <w:kern w:val="0"/>
          <w:sz w:val="32"/>
          <w:szCs w:val="32"/>
          <w:highlight w:val="none"/>
        </w:rPr>
      </w:pPr>
    </w:p>
    <w:p w14:paraId="6F509CFA">
      <w:pPr>
        <w:snapToGrid w:val="0"/>
        <w:spacing w:line="360" w:lineRule="auto"/>
        <w:ind w:firstLine="3855" w:firstLineChars="1200"/>
        <w:outlineLvl w:val="0"/>
        <w:rPr>
          <w:rFonts w:hint="eastAsia" w:ascii="仿宋" w:hAnsi="仿宋" w:eastAsia="仿宋" w:cs="仿宋"/>
          <w:b/>
          <w:kern w:val="0"/>
          <w:sz w:val="32"/>
          <w:szCs w:val="32"/>
          <w:highlight w:val="none"/>
        </w:rPr>
      </w:pPr>
    </w:p>
    <w:p w14:paraId="39777E27">
      <w:pPr>
        <w:snapToGrid w:val="0"/>
        <w:spacing w:line="360" w:lineRule="auto"/>
        <w:ind w:firstLine="3855" w:firstLineChars="1200"/>
        <w:outlineLvl w:val="0"/>
        <w:rPr>
          <w:rFonts w:hint="eastAsia" w:ascii="仿宋" w:hAnsi="仿宋" w:eastAsia="仿宋" w:cs="仿宋"/>
          <w:b/>
          <w:kern w:val="0"/>
          <w:sz w:val="32"/>
          <w:szCs w:val="32"/>
          <w:highlight w:val="none"/>
        </w:rPr>
      </w:pPr>
    </w:p>
    <w:p w14:paraId="612944FB">
      <w:pPr>
        <w:snapToGrid w:val="0"/>
        <w:spacing w:line="360" w:lineRule="auto"/>
        <w:ind w:firstLine="3855" w:firstLineChars="1200"/>
        <w:outlineLvl w:val="0"/>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14:paraId="489027D5">
      <w:pPr>
        <w:snapToGrid w:val="0"/>
        <w:spacing w:line="420" w:lineRule="exact"/>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14:paraId="72BD8A4E">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我方参加你方组织的（项目名称）【招标编号：（采购编号）】招标的有关活动，并对此项目进行投标。为此：</w:t>
      </w:r>
    </w:p>
    <w:p w14:paraId="53FB2864">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1、我方承诺投标有效期从提交投标文件的截止之日起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w:t>
      </w:r>
      <w:r>
        <w:rPr>
          <w:rFonts w:hint="eastAsia" w:ascii="仿宋" w:hAnsi="仿宋" w:eastAsia="仿宋" w:cs="仿宋"/>
          <w:highlight w:val="none"/>
        </w:rPr>
        <w:t>，</w:t>
      </w:r>
      <w:r>
        <w:rPr>
          <w:rFonts w:hint="eastAsia" w:ascii="仿宋" w:hAnsi="仿宋" w:eastAsia="仿宋" w:cs="仿宋"/>
          <w:sz w:val="24"/>
          <w:highlight w:val="none"/>
        </w:rPr>
        <w:t>本投标文件在投标有效期满之前均具有约束力。</w:t>
      </w:r>
    </w:p>
    <w:p w14:paraId="14087393">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2、我方的投标文件包括以下内容：</w:t>
      </w:r>
    </w:p>
    <w:p w14:paraId="731CA565">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2.1资格文件：</w:t>
      </w:r>
    </w:p>
    <w:p w14:paraId="36A38CAB">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2.1.1符合参加采购活动应当具备的一般条件的承诺函；</w:t>
      </w:r>
    </w:p>
    <w:p w14:paraId="3965000F">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本项目的特定资格要求（如果有）。</w:t>
      </w:r>
    </w:p>
    <w:p w14:paraId="054474F7">
      <w:pPr>
        <w:snapToGrid w:val="0"/>
        <w:spacing w:line="420" w:lineRule="exact"/>
        <w:ind w:left="210" w:leftChars="1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6C21FBFE">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2.2.1投标函；</w:t>
      </w:r>
      <w:r>
        <w:rPr>
          <w:rFonts w:hint="eastAsia" w:ascii="仿宋" w:hAnsi="仿宋" w:eastAsia="仿宋" w:cs="仿宋"/>
          <w:sz w:val="24"/>
          <w:highlight w:val="none"/>
          <w:lang w:val="zh-CN"/>
        </w:rPr>
        <w:t xml:space="preserve"> </w:t>
      </w:r>
    </w:p>
    <w:p w14:paraId="52BD77B3">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14:paraId="30CBAE01">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p>
    <w:p w14:paraId="11FEF7BE">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p>
    <w:p w14:paraId="217841E3">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p>
    <w:p w14:paraId="22BB7E87">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p>
    <w:p w14:paraId="3F90F775">
      <w:pPr>
        <w:snapToGrid w:val="0"/>
        <w:spacing w:line="420" w:lineRule="exact"/>
        <w:ind w:left="420" w:leftChars="2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p>
    <w:p w14:paraId="20E2DAB9">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3报价文件</w:t>
      </w:r>
    </w:p>
    <w:p w14:paraId="6459CDE7">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14:paraId="467DA63A">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3、我方承诺除商务技术偏离表列出的偏离外，我方响应</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的全部要求。</w:t>
      </w:r>
    </w:p>
    <w:p w14:paraId="2DC29383">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4、如我方中标，我方承诺：</w:t>
      </w:r>
    </w:p>
    <w:p w14:paraId="2538019C">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4.1在收到中标通知书后，在中标通知书规定的期限内与你方签订合同； </w:t>
      </w:r>
    </w:p>
    <w:p w14:paraId="0D282ADF">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4.2在签订合同时不向你方提出附加条件； </w:t>
      </w:r>
    </w:p>
    <w:p w14:paraId="3F4AC452">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4.3按照</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 xml:space="preserve">要求提交履约保证金； </w:t>
      </w:r>
    </w:p>
    <w:p w14:paraId="6DBC6D27">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4.4在合同约定的期限内完成合同规定的全部义务。 </w:t>
      </w:r>
    </w:p>
    <w:p w14:paraId="573BFAD4">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5、其他补充说明: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6EE25BE5">
      <w:pPr>
        <w:spacing w:line="420" w:lineRule="exact"/>
        <w:ind w:firstLine="3600" w:firstLineChars="1500"/>
        <w:rPr>
          <w:rFonts w:hint="eastAsia" w:ascii="仿宋" w:hAnsi="仿宋" w:eastAsia="仿宋" w:cs="仿宋"/>
          <w:sz w:val="24"/>
          <w:highlight w:val="none"/>
        </w:rPr>
      </w:pPr>
      <w:r>
        <w:rPr>
          <w:rFonts w:hint="eastAsia" w:ascii="仿宋" w:hAnsi="仿宋" w:eastAsia="仿宋" w:cs="仿宋"/>
          <w:sz w:val="24"/>
          <w:highlight w:val="none"/>
        </w:rPr>
        <w:t xml:space="preserve">投标人名称（电子签名）：                          </w:t>
      </w:r>
    </w:p>
    <w:p w14:paraId="69E0ED00">
      <w:pPr>
        <w:spacing w:line="420" w:lineRule="exact"/>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6203472F">
      <w:pPr>
        <w:snapToGrid w:val="0"/>
        <w:spacing w:line="360" w:lineRule="auto"/>
        <w:ind w:left="420" w:leftChars="200" w:firstLine="4200" w:firstLineChars="1750"/>
        <w:rPr>
          <w:rFonts w:hint="eastAsia" w:ascii="仿宋" w:hAnsi="仿宋" w:eastAsia="仿宋" w:cs="仿宋"/>
          <w:kern w:val="0"/>
          <w:sz w:val="24"/>
          <w:highlight w:val="none"/>
          <w:u w:val="single"/>
        </w:rPr>
      </w:pPr>
    </w:p>
    <w:p w14:paraId="24A8612F">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69D641CE">
      <w:pPr>
        <w:snapToGrid w:val="0"/>
        <w:spacing w:line="360" w:lineRule="auto"/>
        <w:rPr>
          <w:rFonts w:hint="eastAsia" w:ascii="仿宋" w:hAnsi="仿宋" w:eastAsia="仿宋" w:cs="仿宋"/>
          <w:sz w:val="24"/>
          <w:highlight w:val="none"/>
        </w:rPr>
      </w:pPr>
    </w:p>
    <w:p w14:paraId="173F26D2">
      <w:pPr>
        <w:jc w:val="center"/>
        <w:rPr>
          <w:rFonts w:hint="eastAsia" w:ascii="仿宋" w:hAnsi="仿宋" w:eastAsia="仿宋" w:cs="仿宋"/>
          <w:b/>
          <w:kern w:val="0"/>
          <w:sz w:val="32"/>
          <w:szCs w:val="32"/>
          <w:highlight w:val="none"/>
        </w:rPr>
      </w:pPr>
    </w:p>
    <w:p w14:paraId="72F5F78D">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二、授权委托书或法定代表人（单位负责人、自然人本人）身份证明</w:t>
      </w:r>
    </w:p>
    <w:p w14:paraId="6C5D19C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w:t>
      </w:r>
    </w:p>
    <w:p w14:paraId="6F061A5B">
      <w:pPr>
        <w:snapToGrid w:val="0"/>
        <w:spacing w:line="360" w:lineRule="auto"/>
        <w:ind w:firstLine="2872" w:firstLineChars="894"/>
        <w:rPr>
          <w:rFonts w:hint="eastAsia" w:ascii="仿宋" w:hAnsi="仿宋" w:eastAsia="仿宋" w:cs="仿宋"/>
          <w:highlight w:val="none"/>
        </w:rPr>
      </w:pPr>
      <w:r>
        <w:rPr>
          <w:rFonts w:hint="eastAsia" w:ascii="仿宋" w:hAnsi="仿宋" w:eastAsia="仿宋" w:cs="仿宋"/>
          <w:b/>
          <w:kern w:val="0"/>
          <w:sz w:val="32"/>
          <w:szCs w:val="32"/>
          <w:highlight w:val="none"/>
          <w:lang w:val="zh-CN"/>
        </w:rPr>
        <w:t>授权委托书（适用于非联合体投标）</w:t>
      </w:r>
      <w:r>
        <w:rPr>
          <w:rFonts w:hint="eastAsia" w:ascii="仿宋" w:hAnsi="仿宋" w:eastAsia="仿宋" w:cs="仿宋"/>
          <w:highlight w:val="none"/>
        </w:rPr>
        <w:t xml:space="preserve">                               </w:t>
      </w:r>
    </w:p>
    <w:p w14:paraId="4744CD60">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169E178C">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采购投标的一切事项，其法律后果由我方承担。</w:t>
      </w:r>
    </w:p>
    <w:p w14:paraId="2782A7DC">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14:paraId="0BD307E6">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14:paraId="75D574CA">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投标人名称(电子签名)：</w:t>
      </w:r>
    </w:p>
    <w:p w14:paraId="4F2FB403">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14:paraId="0CC785BE">
      <w:pPr>
        <w:snapToGrid w:val="0"/>
        <w:spacing w:line="360" w:lineRule="auto"/>
        <w:rPr>
          <w:rFonts w:hint="eastAsia" w:ascii="仿宋" w:hAnsi="仿宋" w:eastAsia="仿宋" w:cs="仿宋"/>
          <w:sz w:val="24"/>
          <w:highlight w:val="none"/>
        </w:rPr>
      </w:pPr>
    </w:p>
    <w:p w14:paraId="579B05AF">
      <w:pPr>
        <w:snapToGrid w:val="0"/>
        <w:spacing w:line="360" w:lineRule="auto"/>
        <w:rPr>
          <w:rFonts w:hint="eastAsia" w:ascii="仿宋" w:hAnsi="仿宋" w:eastAsia="仿宋" w:cs="仿宋"/>
          <w:sz w:val="24"/>
          <w:highlight w:val="none"/>
        </w:rPr>
      </w:pPr>
    </w:p>
    <w:p w14:paraId="45613AB3">
      <w:pPr>
        <w:snapToGrid w:val="0"/>
        <w:spacing w:line="360" w:lineRule="auto"/>
        <w:rPr>
          <w:rFonts w:hint="eastAsia" w:ascii="仿宋" w:hAnsi="仿宋" w:eastAsia="仿宋" w:cs="仿宋"/>
          <w:sz w:val="24"/>
          <w:highlight w:val="none"/>
        </w:rPr>
      </w:pPr>
    </w:p>
    <w:p w14:paraId="3AF03164">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 xml:space="preserve">      </w:t>
      </w:r>
      <w:r>
        <w:rPr>
          <w:rFonts w:hint="eastAsia" w:ascii="仿宋" w:hAnsi="仿宋" w:eastAsia="仿宋" w:cs="仿宋"/>
          <w:b/>
          <w:kern w:val="0"/>
          <w:sz w:val="32"/>
          <w:szCs w:val="32"/>
          <w:highlight w:val="none"/>
        </w:rPr>
        <w:t xml:space="preserve"> </w:t>
      </w:r>
      <w:r>
        <w:rPr>
          <w:rFonts w:hint="eastAsia" w:ascii="仿宋" w:hAnsi="仿宋" w:eastAsia="仿宋" w:cs="仿宋"/>
          <w:b/>
          <w:kern w:val="0"/>
          <w:sz w:val="32"/>
          <w:szCs w:val="32"/>
          <w:highlight w:val="none"/>
          <w:lang w:val="zh-CN"/>
        </w:rPr>
        <w:t>授权委托书（适用于联合体投标）</w:t>
      </w:r>
    </w:p>
    <w:p w14:paraId="1F7812F4">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632C33E2">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采购投标的一切事项，其法律后果由我方承担。</w:t>
      </w:r>
    </w:p>
    <w:p w14:paraId="1015731B">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14:paraId="297B97D0">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14:paraId="71BCBD8B">
      <w:pPr>
        <w:jc w:val="center"/>
        <w:rPr>
          <w:rFonts w:hint="eastAsia" w:ascii="仿宋" w:hAnsi="仿宋" w:eastAsia="仿宋" w:cs="仿宋"/>
          <w:b/>
          <w:kern w:val="0"/>
          <w:sz w:val="32"/>
          <w:szCs w:val="32"/>
          <w:highlight w:val="none"/>
        </w:rPr>
      </w:pPr>
    </w:p>
    <w:p w14:paraId="441A04AD">
      <w:pPr>
        <w:jc w:val="center"/>
        <w:rPr>
          <w:rFonts w:hint="eastAsia" w:ascii="仿宋" w:hAnsi="仿宋" w:eastAsia="仿宋" w:cs="仿宋"/>
          <w:b/>
          <w:kern w:val="0"/>
          <w:sz w:val="32"/>
          <w:szCs w:val="32"/>
          <w:highlight w:val="none"/>
        </w:rPr>
      </w:pPr>
    </w:p>
    <w:p w14:paraId="7814A308">
      <w:pPr>
        <w:jc w:val="center"/>
        <w:rPr>
          <w:rFonts w:hint="eastAsia" w:ascii="仿宋" w:hAnsi="仿宋" w:eastAsia="仿宋" w:cs="仿宋"/>
          <w:b/>
          <w:kern w:val="0"/>
          <w:sz w:val="32"/>
          <w:szCs w:val="32"/>
          <w:highlight w:val="none"/>
        </w:rPr>
      </w:pPr>
    </w:p>
    <w:p w14:paraId="7965E1DE">
      <w:pPr>
        <w:rPr>
          <w:rFonts w:hint="eastAsia" w:ascii="仿宋" w:hAnsi="仿宋" w:eastAsia="仿宋" w:cs="仿宋"/>
          <w:highlight w:val="none"/>
        </w:rPr>
      </w:pPr>
    </w:p>
    <w:p w14:paraId="5FD2C1BE">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69557547">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78842919">
      <w:pPr>
        <w:snapToGrid w:val="0"/>
        <w:spacing w:line="360"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3D667971">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5E54D20B">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32"/>
          <w:szCs w:val="32"/>
          <w:highlight w:val="none"/>
          <w:lang w:val="zh-CN"/>
        </w:rPr>
        <w:t>法定代表人、单位负责人或自然人本人</w:t>
      </w:r>
      <w:r>
        <w:rPr>
          <w:rFonts w:hint="eastAsia" w:ascii="仿宋" w:hAnsi="仿宋" w:eastAsia="仿宋" w:cs="仿宋"/>
          <w:b/>
          <w:sz w:val="30"/>
          <w:szCs w:val="30"/>
          <w:highlight w:val="none"/>
        </w:rPr>
        <w:t>的身份证明（适用于法定代表人、单位负责人或者自然人本人代表投标人参加投标）</w:t>
      </w:r>
    </w:p>
    <w:p w14:paraId="121F255C">
      <w:pPr>
        <w:pStyle w:val="147"/>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E065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059954C">
            <w:pPr>
              <w:pStyle w:val="147"/>
              <w:adjustRightIn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正面：                                 反面：</w:t>
            </w:r>
          </w:p>
          <w:p w14:paraId="348CDCD3">
            <w:pPr>
              <w:pStyle w:val="147"/>
              <w:adjustRightInd w:val="0"/>
              <w:spacing w:line="360" w:lineRule="auto"/>
              <w:rPr>
                <w:rFonts w:hint="eastAsia" w:ascii="仿宋" w:hAnsi="仿宋" w:eastAsia="仿宋" w:cs="仿宋"/>
                <w:bCs/>
                <w:sz w:val="24"/>
                <w:highlight w:val="none"/>
              </w:rPr>
            </w:pPr>
          </w:p>
        </w:tc>
      </w:tr>
    </w:tbl>
    <w:p w14:paraId="70351959">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0862F474">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14:paraId="4A55C6F8">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05739548">
      <w:pPr>
        <w:jc w:val="center"/>
        <w:rPr>
          <w:rFonts w:hint="eastAsia" w:ascii="仿宋" w:hAnsi="仿宋" w:eastAsia="仿宋" w:cs="仿宋"/>
          <w:b/>
          <w:kern w:val="0"/>
          <w:sz w:val="32"/>
          <w:szCs w:val="32"/>
          <w:highlight w:val="none"/>
        </w:rPr>
      </w:pPr>
    </w:p>
    <w:p w14:paraId="6F306454">
      <w:pPr>
        <w:jc w:val="center"/>
        <w:rPr>
          <w:rFonts w:hint="eastAsia" w:ascii="仿宋" w:hAnsi="仿宋" w:eastAsia="仿宋" w:cs="仿宋"/>
          <w:b/>
          <w:kern w:val="0"/>
          <w:sz w:val="32"/>
          <w:szCs w:val="32"/>
          <w:highlight w:val="none"/>
        </w:rPr>
      </w:pPr>
    </w:p>
    <w:p w14:paraId="1338D134">
      <w:pPr>
        <w:jc w:val="center"/>
        <w:rPr>
          <w:rFonts w:hint="eastAsia" w:ascii="仿宋" w:hAnsi="仿宋" w:eastAsia="仿宋" w:cs="仿宋"/>
          <w:b/>
          <w:kern w:val="0"/>
          <w:sz w:val="32"/>
          <w:szCs w:val="32"/>
          <w:highlight w:val="none"/>
        </w:rPr>
      </w:pPr>
    </w:p>
    <w:p w14:paraId="147C01DF">
      <w:pPr>
        <w:jc w:val="center"/>
        <w:rPr>
          <w:rFonts w:hint="eastAsia" w:ascii="仿宋" w:hAnsi="仿宋" w:eastAsia="仿宋" w:cs="仿宋"/>
          <w:b/>
          <w:kern w:val="0"/>
          <w:sz w:val="32"/>
          <w:szCs w:val="32"/>
          <w:highlight w:val="none"/>
        </w:rPr>
      </w:pPr>
    </w:p>
    <w:p w14:paraId="32106CB5">
      <w:pPr>
        <w:jc w:val="center"/>
        <w:rPr>
          <w:rFonts w:hint="eastAsia" w:ascii="仿宋" w:hAnsi="仿宋" w:eastAsia="仿宋" w:cs="仿宋"/>
          <w:b/>
          <w:kern w:val="0"/>
          <w:sz w:val="32"/>
          <w:szCs w:val="32"/>
          <w:highlight w:val="none"/>
        </w:rPr>
      </w:pPr>
    </w:p>
    <w:p w14:paraId="11F18653">
      <w:pPr>
        <w:jc w:val="center"/>
        <w:rPr>
          <w:rFonts w:hint="eastAsia" w:ascii="仿宋" w:hAnsi="仿宋" w:eastAsia="仿宋" w:cs="仿宋"/>
          <w:b/>
          <w:kern w:val="0"/>
          <w:sz w:val="32"/>
          <w:szCs w:val="32"/>
          <w:highlight w:val="none"/>
        </w:rPr>
      </w:pPr>
    </w:p>
    <w:p w14:paraId="293AD56A">
      <w:pPr>
        <w:jc w:val="center"/>
        <w:rPr>
          <w:rFonts w:hint="eastAsia" w:ascii="仿宋" w:hAnsi="仿宋" w:eastAsia="仿宋" w:cs="仿宋"/>
          <w:b/>
          <w:kern w:val="0"/>
          <w:sz w:val="32"/>
          <w:szCs w:val="32"/>
          <w:highlight w:val="none"/>
        </w:rPr>
      </w:pPr>
    </w:p>
    <w:p w14:paraId="6ABA7B68">
      <w:pPr>
        <w:jc w:val="center"/>
        <w:rPr>
          <w:rFonts w:hint="eastAsia" w:ascii="仿宋" w:hAnsi="仿宋" w:eastAsia="仿宋" w:cs="仿宋"/>
          <w:b/>
          <w:kern w:val="0"/>
          <w:sz w:val="32"/>
          <w:szCs w:val="32"/>
          <w:highlight w:val="none"/>
        </w:rPr>
      </w:pPr>
    </w:p>
    <w:p w14:paraId="67EF4AC8">
      <w:pPr>
        <w:jc w:val="center"/>
        <w:rPr>
          <w:rFonts w:hint="eastAsia" w:ascii="仿宋" w:hAnsi="仿宋" w:eastAsia="仿宋" w:cs="仿宋"/>
          <w:b/>
          <w:kern w:val="0"/>
          <w:sz w:val="32"/>
          <w:szCs w:val="32"/>
          <w:highlight w:val="none"/>
        </w:rPr>
      </w:pPr>
    </w:p>
    <w:p w14:paraId="61B0B0F3">
      <w:pPr>
        <w:jc w:val="center"/>
        <w:rPr>
          <w:rFonts w:hint="eastAsia" w:ascii="仿宋" w:hAnsi="仿宋" w:eastAsia="仿宋" w:cs="仿宋"/>
          <w:b/>
          <w:kern w:val="0"/>
          <w:sz w:val="32"/>
          <w:szCs w:val="32"/>
          <w:highlight w:val="none"/>
        </w:rPr>
      </w:pPr>
    </w:p>
    <w:p w14:paraId="37E8959F">
      <w:pPr>
        <w:snapToGrid w:val="0"/>
        <w:spacing w:line="360" w:lineRule="auto"/>
        <w:ind w:right="480"/>
        <w:rPr>
          <w:rFonts w:hint="eastAsia" w:ascii="仿宋" w:hAnsi="仿宋" w:eastAsia="仿宋" w:cs="仿宋"/>
          <w:b/>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433A3127">
      <w:pPr>
        <w:snapToGrid w:val="0"/>
        <w:spacing w:line="360" w:lineRule="auto"/>
        <w:rPr>
          <w:rFonts w:hint="eastAsia" w:ascii="仿宋" w:hAnsi="仿宋" w:eastAsia="仿宋" w:cs="仿宋"/>
          <w:kern w:val="0"/>
          <w:sz w:val="24"/>
          <w:highlight w:val="none"/>
        </w:rPr>
      </w:pPr>
    </w:p>
    <w:p w14:paraId="6168C556">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三</w:t>
      </w:r>
      <w:r>
        <w:rPr>
          <w:rFonts w:hint="eastAsia" w:ascii="仿宋" w:hAnsi="仿宋" w:eastAsia="仿宋" w:cs="仿宋"/>
          <w:b/>
          <w:kern w:val="0"/>
          <w:sz w:val="32"/>
          <w:szCs w:val="32"/>
          <w:highlight w:val="none"/>
        </w:rPr>
        <w:t>、符合性审查资料</w:t>
      </w:r>
    </w:p>
    <w:p w14:paraId="5901FEB7">
      <w:pPr>
        <w:jc w:val="center"/>
        <w:rPr>
          <w:rFonts w:hint="eastAsia" w:ascii="仿宋" w:hAnsi="仿宋" w:eastAsia="仿宋" w:cs="仿宋"/>
          <w:b/>
          <w:kern w:val="0"/>
          <w:sz w:val="32"/>
          <w:szCs w:val="32"/>
          <w:highlight w:val="none"/>
        </w:rPr>
      </w:pPr>
    </w:p>
    <w:tbl>
      <w:tblPr>
        <w:tblStyle w:val="63"/>
        <w:tblpPr w:leftFromText="180" w:rightFromText="180" w:vertAnchor="text" w:horzAnchor="page" w:tblpX="1429" w:tblpY="410"/>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97"/>
        <w:gridCol w:w="3275"/>
        <w:gridCol w:w="1388"/>
      </w:tblGrid>
      <w:tr w14:paraId="4DC89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A9CBAFF">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4297" w:type="dxa"/>
            <w:vAlign w:val="center"/>
          </w:tcPr>
          <w:p w14:paraId="2DEEC0BE">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实质性要求</w:t>
            </w:r>
          </w:p>
        </w:tc>
        <w:tc>
          <w:tcPr>
            <w:tcW w:w="3275" w:type="dxa"/>
            <w:vAlign w:val="center"/>
          </w:tcPr>
          <w:p w14:paraId="6813BECA">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需要提供的符合性审查资料</w:t>
            </w:r>
          </w:p>
        </w:tc>
        <w:tc>
          <w:tcPr>
            <w:tcW w:w="1388" w:type="dxa"/>
            <w:vAlign w:val="center"/>
          </w:tcPr>
          <w:p w14:paraId="3F298AD0">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投标文件中的</w:t>
            </w:r>
          </w:p>
          <w:p w14:paraId="3776BD8B">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页码位置</w:t>
            </w:r>
          </w:p>
        </w:tc>
      </w:tr>
      <w:tr w14:paraId="63ADC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FC3EB8">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297" w:type="dxa"/>
            <w:vAlign w:val="center"/>
          </w:tcPr>
          <w:p w14:paraId="5B485F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（1）报价文件未按要求签署、盖章的；</w:t>
            </w:r>
          </w:p>
          <w:p w14:paraId="3BFA119A">
            <w:pPr>
              <w:spacing w:line="360" w:lineRule="auto"/>
              <w:rPr>
                <w:rFonts w:hint="eastAsia" w:ascii="仿宋" w:hAnsi="仿宋" w:eastAsia="仿宋" w:cs="仿宋"/>
                <w:sz w:val="24"/>
                <w:highlight w:val="none"/>
              </w:rPr>
            </w:pPr>
            <w:r>
              <w:rPr>
                <w:rFonts w:hint="eastAsia" w:ascii="仿宋" w:hAnsi="仿宋" w:eastAsia="仿宋" w:cs="仿宋"/>
                <w:sz w:val="24"/>
                <w:highlight w:val="none"/>
              </w:rPr>
              <w:t>（2）未按照招标文件标明的币种报价的；</w:t>
            </w:r>
          </w:p>
          <w:p w14:paraId="3261D7FB">
            <w:pPr>
              <w:spacing w:line="360" w:lineRule="auto"/>
              <w:rPr>
                <w:rFonts w:hint="eastAsia" w:ascii="仿宋" w:hAnsi="仿宋" w:eastAsia="仿宋" w:cs="仿宋"/>
                <w:sz w:val="24"/>
                <w:highlight w:val="none"/>
              </w:rPr>
            </w:pPr>
            <w:r>
              <w:rPr>
                <w:rFonts w:hint="eastAsia" w:ascii="仿宋" w:hAnsi="仿宋" w:eastAsia="仿宋" w:cs="仿宋"/>
                <w:sz w:val="24"/>
                <w:highlight w:val="none"/>
              </w:rPr>
              <w:t>（3）报价超过招标文件中规定的预算金额或者最高限价的；</w:t>
            </w:r>
          </w:p>
          <w:p w14:paraId="4168BD74">
            <w:pPr>
              <w:spacing w:line="360" w:lineRule="auto"/>
              <w:rPr>
                <w:rFonts w:hint="eastAsia" w:ascii="仿宋" w:hAnsi="仿宋" w:eastAsia="仿宋" w:cs="仿宋"/>
                <w:sz w:val="24"/>
                <w:highlight w:val="none"/>
              </w:rPr>
            </w:pPr>
            <w:r>
              <w:rPr>
                <w:rFonts w:hint="eastAsia" w:ascii="仿宋" w:hAnsi="仿宋" w:eastAsia="仿宋" w:cs="仿宋"/>
                <w:sz w:val="24"/>
                <w:highlight w:val="none"/>
              </w:rPr>
              <w:t>（4）报价具有选择性的；</w:t>
            </w:r>
          </w:p>
          <w:p w14:paraId="1F60591C">
            <w:pPr>
              <w:spacing w:line="360" w:lineRule="auto"/>
              <w:rPr>
                <w:rFonts w:hint="eastAsia" w:ascii="仿宋" w:hAnsi="仿宋" w:eastAsia="仿宋" w:cs="仿宋"/>
                <w:sz w:val="24"/>
                <w:highlight w:val="none"/>
              </w:rPr>
            </w:pPr>
            <w:r>
              <w:rPr>
                <w:rFonts w:hint="eastAsia" w:ascii="仿宋" w:hAnsi="仿宋" w:eastAsia="仿宋" w:cs="仿宋"/>
                <w:sz w:val="24"/>
                <w:highlight w:val="none"/>
              </w:rPr>
              <w:t>（5）报价明显低于其他通过符合性审查投标人的报价（有可能影响产品质量或者不能诚信履约的），投标人在评标现场合理的时间内无法提供书面说明（必要时提交相关证明材料）证明其报价合理性的。</w:t>
            </w:r>
          </w:p>
          <w:p w14:paraId="4143E863">
            <w:pPr>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清单存在漏项、错项的情况的。</w:t>
            </w:r>
          </w:p>
        </w:tc>
        <w:tc>
          <w:tcPr>
            <w:tcW w:w="3275" w:type="dxa"/>
            <w:vAlign w:val="center"/>
          </w:tcPr>
          <w:p w14:paraId="2C8BFF71">
            <w:pPr>
              <w:rPr>
                <w:rFonts w:hint="eastAsia" w:ascii="仿宋" w:hAnsi="仿宋" w:eastAsia="仿宋" w:cs="仿宋"/>
                <w:sz w:val="24"/>
                <w:highlight w:val="none"/>
              </w:rPr>
            </w:pPr>
            <w:r>
              <w:rPr>
                <w:rFonts w:hint="eastAsia" w:ascii="仿宋" w:hAnsi="仿宋" w:eastAsia="仿宋" w:cs="仿宋"/>
                <w:sz w:val="24"/>
                <w:highlight w:val="none"/>
              </w:rPr>
              <w:t>1）报价文件未按要求签署、盖章的；</w:t>
            </w:r>
          </w:p>
          <w:p w14:paraId="01E6188D">
            <w:pPr>
              <w:rPr>
                <w:rFonts w:hint="eastAsia" w:ascii="仿宋" w:hAnsi="仿宋" w:eastAsia="仿宋" w:cs="仿宋"/>
                <w:sz w:val="24"/>
                <w:highlight w:val="none"/>
              </w:rPr>
            </w:pPr>
            <w:r>
              <w:rPr>
                <w:rFonts w:hint="eastAsia" w:ascii="仿宋" w:hAnsi="仿宋" w:eastAsia="仿宋" w:cs="仿宋"/>
                <w:sz w:val="24"/>
                <w:highlight w:val="none"/>
              </w:rPr>
              <w:t>（2）未按照招标文件标明的币种报价的；</w:t>
            </w:r>
          </w:p>
          <w:p w14:paraId="433A9515">
            <w:pPr>
              <w:rPr>
                <w:rFonts w:hint="eastAsia" w:ascii="仿宋" w:hAnsi="仿宋" w:eastAsia="仿宋" w:cs="仿宋"/>
                <w:sz w:val="24"/>
                <w:highlight w:val="none"/>
              </w:rPr>
            </w:pPr>
            <w:r>
              <w:rPr>
                <w:rFonts w:hint="eastAsia" w:ascii="仿宋" w:hAnsi="仿宋" w:eastAsia="仿宋" w:cs="仿宋"/>
                <w:sz w:val="24"/>
                <w:highlight w:val="none"/>
              </w:rPr>
              <w:t>（3）报价超过招标文件中规定的预算金额或者最高限价的；</w:t>
            </w:r>
          </w:p>
          <w:p w14:paraId="6A271C3E">
            <w:pPr>
              <w:rPr>
                <w:rFonts w:hint="eastAsia" w:ascii="仿宋" w:hAnsi="仿宋" w:eastAsia="仿宋" w:cs="仿宋"/>
                <w:sz w:val="24"/>
                <w:highlight w:val="none"/>
              </w:rPr>
            </w:pPr>
            <w:r>
              <w:rPr>
                <w:rFonts w:hint="eastAsia" w:ascii="仿宋" w:hAnsi="仿宋" w:eastAsia="仿宋" w:cs="仿宋"/>
                <w:sz w:val="24"/>
                <w:highlight w:val="none"/>
              </w:rPr>
              <w:t>（4）报价具有选择性的；</w:t>
            </w:r>
          </w:p>
          <w:p w14:paraId="1BAE976F">
            <w:pPr>
              <w:rPr>
                <w:rFonts w:hint="eastAsia" w:ascii="仿宋" w:hAnsi="仿宋" w:eastAsia="仿宋" w:cs="仿宋"/>
                <w:sz w:val="24"/>
                <w:highlight w:val="none"/>
              </w:rPr>
            </w:pPr>
            <w:r>
              <w:rPr>
                <w:rFonts w:hint="eastAsia" w:ascii="仿宋" w:hAnsi="仿宋" w:eastAsia="仿宋" w:cs="仿宋"/>
                <w:sz w:val="24"/>
                <w:highlight w:val="none"/>
              </w:rPr>
              <w:t>（5）报价明显低于其他通过符合性审查投标人的报价（有可能影响产品质量或者不能诚信履约的），投标人在评标现场合理的时间内无法提供书面说明（必要时提交相关证明材料）证明其报价合理性的。</w:t>
            </w:r>
          </w:p>
          <w:p w14:paraId="38B74463">
            <w:pPr>
              <w:pStyle w:val="2"/>
              <w:ind w:left="0" w:leftChars="0" w:firstLine="0" w:firstLineChars="0"/>
              <w:rPr>
                <w:rFonts w:hint="default" w:eastAsia="仿宋"/>
                <w:highlight w:val="none"/>
                <w:lang w:val="en-US" w:eastAsia="zh-CN"/>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清单存在漏项、错项的情况的。</w:t>
            </w:r>
          </w:p>
        </w:tc>
        <w:tc>
          <w:tcPr>
            <w:tcW w:w="1388" w:type="dxa"/>
            <w:vAlign w:val="center"/>
          </w:tcPr>
          <w:p w14:paraId="3DCAE30C">
            <w:pPr>
              <w:rPr>
                <w:rFonts w:hint="eastAsia" w:ascii="仿宋" w:hAnsi="仿宋" w:eastAsia="仿宋" w:cs="仿宋"/>
                <w:sz w:val="24"/>
                <w:highlight w:val="none"/>
              </w:rPr>
            </w:pPr>
            <w:r>
              <w:rPr>
                <w:rFonts w:hint="eastAsia" w:ascii="仿宋" w:hAnsi="仿宋" w:eastAsia="仿宋" w:cs="仿宋"/>
                <w:sz w:val="24"/>
                <w:highlight w:val="none"/>
              </w:rPr>
              <w:t>见投标文件</w:t>
            </w:r>
          </w:p>
          <w:p w14:paraId="75D42498">
            <w:pPr>
              <w:rPr>
                <w:rFonts w:hint="eastAsia" w:ascii="仿宋" w:hAnsi="仿宋" w:eastAsia="仿宋" w:cs="仿宋"/>
                <w:highlight w:val="none"/>
              </w:rPr>
            </w:pPr>
            <w:r>
              <w:rPr>
                <w:rFonts w:hint="eastAsia" w:ascii="仿宋" w:hAnsi="仿宋" w:eastAsia="仿宋" w:cs="仿宋"/>
                <w:sz w:val="24"/>
                <w:highlight w:val="none"/>
              </w:rPr>
              <w:t>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14:paraId="53C41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EA1E54A">
            <w:pPr>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4297" w:type="dxa"/>
            <w:vAlign w:val="center"/>
          </w:tcPr>
          <w:p w14:paraId="4A6E66C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（1）资格文件及商务和技术文件未按要求签署、盖章的；</w:t>
            </w:r>
          </w:p>
          <w:p w14:paraId="4470EDD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（2）未提供或未按要求提供投标函、法定代表人资格证明书、法定代表人授权委托书； </w:t>
            </w:r>
          </w:p>
          <w:p w14:paraId="1F23A085">
            <w:pPr>
              <w:spacing w:line="360" w:lineRule="auto"/>
              <w:rPr>
                <w:rFonts w:hint="eastAsia" w:ascii="仿宋" w:hAnsi="仿宋" w:eastAsia="仿宋" w:cs="仿宋"/>
                <w:sz w:val="24"/>
                <w:highlight w:val="none"/>
              </w:rPr>
            </w:pPr>
            <w:r>
              <w:rPr>
                <w:rFonts w:hint="eastAsia" w:ascii="仿宋" w:hAnsi="仿宋" w:eastAsia="仿宋" w:cs="仿宋"/>
                <w:sz w:val="24"/>
                <w:highlight w:val="none"/>
              </w:rPr>
              <w:t>（3）投标文件含有采购人不能接受的附加条件的；</w:t>
            </w:r>
          </w:p>
          <w:p w14:paraId="374BA251">
            <w:pPr>
              <w:spacing w:line="360" w:lineRule="auto"/>
              <w:rPr>
                <w:rFonts w:hint="eastAsia" w:ascii="仿宋" w:hAnsi="仿宋" w:eastAsia="仿宋" w:cs="仿宋"/>
                <w:sz w:val="24"/>
                <w:highlight w:val="none"/>
              </w:rPr>
            </w:pPr>
            <w:r>
              <w:rPr>
                <w:rFonts w:hint="eastAsia" w:ascii="仿宋" w:hAnsi="仿宋" w:eastAsia="仿宋" w:cs="仿宋"/>
                <w:sz w:val="24"/>
                <w:highlight w:val="none"/>
              </w:rPr>
              <w:t>（4）法律、法规和招标文件规定的其他无效情形。</w:t>
            </w:r>
          </w:p>
        </w:tc>
        <w:tc>
          <w:tcPr>
            <w:tcW w:w="3275" w:type="dxa"/>
            <w:vAlign w:val="center"/>
          </w:tcPr>
          <w:p w14:paraId="4996E3BD">
            <w:pPr>
              <w:rPr>
                <w:rFonts w:hint="eastAsia" w:ascii="仿宋" w:hAnsi="仿宋" w:eastAsia="仿宋" w:cs="仿宋"/>
                <w:sz w:val="24"/>
                <w:highlight w:val="none"/>
              </w:rPr>
            </w:pPr>
            <w:r>
              <w:rPr>
                <w:rFonts w:hint="eastAsia" w:ascii="仿宋" w:hAnsi="仿宋" w:eastAsia="仿宋" w:cs="仿宋"/>
                <w:sz w:val="24"/>
                <w:highlight w:val="none"/>
              </w:rPr>
              <w:t>（1）资格文件及商务和技术文件未按要求签署、盖章的；</w:t>
            </w:r>
          </w:p>
          <w:p w14:paraId="6362AEC3">
            <w:pPr>
              <w:rPr>
                <w:rFonts w:hint="eastAsia" w:ascii="仿宋" w:hAnsi="仿宋" w:eastAsia="仿宋" w:cs="仿宋"/>
                <w:sz w:val="24"/>
                <w:highlight w:val="none"/>
              </w:rPr>
            </w:pPr>
            <w:r>
              <w:rPr>
                <w:rFonts w:hint="eastAsia" w:ascii="仿宋" w:hAnsi="仿宋" w:eastAsia="仿宋" w:cs="仿宋"/>
                <w:sz w:val="24"/>
                <w:highlight w:val="none"/>
              </w:rPr>
              <w:t xml:space="preserve">（2）未提供或未按要求提供投标函、法定代表人资格证明书、法定代表人授权委托书； </w:t>
            </w:r>
          </w:p>
          <w:p w14:paraId="64C87D73">
            <w:pPr>
              <w:rPr>
                <w:rFonts w:hint="eastAsia" w:ascii="仿宋" w:hAnsi="仿宋" w:eastAsia="仿宋" w:cs="仿宋"/>
                <w:sz w:val="24"/>
                <w:highlight w:val="none"/>
              </w:rPr>
            </w:pPr>
            <w:r>
              <w:rPr>
                <w:rFonts w:hint="eastAsia" w:ascii="仿宋" w:hAnsi="仿宋" w:eastAsia="仿宋" w:cs="仿宋"/>
                <w:sz w:val="24"/>
                <w:highlight w:val="none"/>
              </w:rPr>
              <w:t>（3）投标文件含有采购人不能接受的附加条件的；</w:t>
            </w:r>
          </w:p>
          <w:p w14:paraId="3FA48328">
            <w:pPr>
              <w:rPr>
                <w:rFonts w:hint="eastAsia" w:ascii="仿宋" w:hAnsi="仿宋" w:eastAsia="仿宋" w:cs="仿宋"/>
                <w:sz w:val="24"/>
                <w:highlight w:val="none"/>
              </w:rPr>
            </w:pPr>
            <w:r>
              <w:rPr>
                <w:rFonts w:hint="eastAsia" w:ascii="仿宋" w:hAnsi="仿宋" w:eastAsia="仿宋" w:cs="仿宋"/>
                <w:sz w:val="24"/>
                <w:highlight w:val="none"/>
              </w:rPr>
              <w:t>（4）法律、法规和招标文件规定的其他无效情形。</w:t>
            </w:r>
          </w:p>
        </w:tc>
        <w:tc>
          <w:tcPr>
            <w:tcW w:w="1388" w:type="dxa"/>
            <w:vAlign w:val="center"/>
          </w:tcPr>
          <w:p w14:paraId="1C71F77F">
            <w:pPr>
              <w:rPr>
                <w:rFonts w:hint="eastAsia" w:ascii="仿宋" w:hAnsi="仿宋" w:eastAsia="仿宋" w:cs="仿宋"/>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14:paraId="2EBDF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430A59A">
            <w:pPr>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4297" w:type="dxa"/>
            <w:vAlign w:val="center"/>
          </w:tcPr>
          <w:p w14:paraId="557F99A5">
            <w:pPr>
              <w:spacing w:line="360" w:lineRule="auto"/>
              <w:rPr>
                <w:rFonts w:hint="eastAsia" w:ascii="仿宋" w:hAnsi="仿宋" w:eastAsia="仿宋" w:cs="仿宋"/>
                <w:sz w:val="24"/>
                <w:highlight w:val="none"/>
              </w:rPr>
            </w:pPr>
            <w:r>
              <w:rPr>
                <w:rFonts w:hint="eastAsia" w:ascii="仿宋" w:hAnsi="仿宋" w:eastAsia="仿宋" w:cs="仿宋"/>
                <w:sz w:val="24"/>
                <w:highlight w:val="none"/>
              </w:rPr>
              <w:t>（1）未提供或未如实提供商务技术偏离表的；</w:t>
            </w:r>
          </w:p>
          <w:p w14:paraId="60B64CFE">
            <w:pPr>
              <w:spacing w:line="360" w:lineRule="auto"/>
              <w:rPr>
                <w:rFonts w:hint="eastAsia" w:ascii="仿宋" w:hAnsi="仿宋" w:eastAsia="仿宋" w:cs="仿宋"/>
                <w:sz w:val="24"/>
                <w:highlight w:val="none"/>
              </w:rPr>
            </w:pPr>
            <w:r>
              <w:rPr>
                <w:rFonts w:hint="eastAsia" w:ascii="仿宋" w:hAnsi="仿宋" w:eastAsia="仿宋" w:cs="仿宋"/>
                <w:sz w:val="24"/>
                <w:highlight w:val="none"/>
              </w:rPr>
              <w:t>（2）对“▲”条款未作实质性响应的；</w:t>
            </w:r>
          </w:p>
        </w:tc>
        <w:tc>
          <w:tcPr>
            <w:tcW w:w="3275" w:type="dxa"/>
            <w:vAlign w:val="center"/>
          </w:tcPr>
          <w:p w14:paraId="7C1E6095">
            <w:pP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eastAsia="zh-CN"/>
              </w:rPr>
              <w:t>（1）未提供或未如实提供商务技术偏离表的；</w:t>
            </w:r>
          </w:p>
          <w:p w14:paraId="199E89A5">
            <w:pPr>
              <w:rPr>
                <w:rFonts w:hint="eastAsia" w:ascii="仿宋" w:hAnsi="仿宋" w:eastAsia="仿宋" w:cs="仿宋"/>
                <w:sz w:val="24"/>
                <w:highlight w:val="none"/>
              </w:rPr>
            </w:pPr>
            <w:r>
              <w:rPr>
                <w:rFonts w:hint="eastAsia" w:ascii="仿宋" w:hAnsi="仿宋" w:eastAsia="仿宋" w:cs="仿宋"/>
                <w:kern w:val="0"/>
                <w:sz w:val="24"/>
                <w:highlight w:val="none"/>
                <w:lang w:eastAsia="zh-CN"/>
              </w:rPr>
              <w:t>（2）对“▲”条款未作实质性响应的；</w:t>
            </w:r>
            <w:r>
              <w:rPr>
                <w:rFonts w:hint="eastAsia" w:ascii="仿宋" w:hAnsi="仿宋" w:eastAsia="仿宋" w:cs="仿宋"/>
                <w:kern w:val="0"/>
                <w:sz w:val="24"/>
                <w:highlight w:val="none"/>
              </w:rPr>
              <w:t>质性要求的，无需提供）</w:t>
            </w:r>
          </w:p>
        </w:tc>
        <w:tc>
          <w:tcPr>
            <w:tcW w:w="1388" w:type="dxa"/>
            <w:vAlign w:val="center"/>
          </w:tcPr>
          <w:p w14:paraId="3816D31D">
            <w:pPr>
              <w:rPr>
                <w:rFonts w:hint="eastAsia" w:ascii="仿宋" w:hAnsi="仿宋" w:eastAsia="仿宋" w:cs="仿宋"/>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bl>
    <w:p w14:paraId="573FD626">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5B023C95">
      <w:pPr>
        <w:jc w:val="center"/>
        <w:rPr>
          <w:rFonts w:hint="eastAsia" w:ascii="仿宋" w:hAnsi="仿宋" w:eastAsia="仿宋" w:cs="仿宋"/>
          <w:b/>
          <w:kern w:val="0"/>
          <w:sz w:val="32"/>
          <w:szCs w:val="32"/>
          <w:highlight w:val="none"/>
        </w:rPr>
      </w:pPr>
    </w:p>
    <w:p w14:paraId="6CE95CFE">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 xml:space="preserve">            </w:t>
      </w:r>
    </w:p>
    <w:p w14:paraId="35FA2360">
      <w:pPr>
        <w:jc w:val="center"/>
        <w:rPr>
          <w:rFonts w:hint="eastAsia" w:ascii="仿宋" w:hAnsi="仿宋" w:eastAsia="仿宋" w:cs="仿宋"/>
          <w:b/>
          <w:kern w:val="0"/>
          <w:sz w:val="32"/>
          <w:szCs w:val="32"/>
          <w:highlight w:val="none"/>
        </w:rPr>
      </w:pPr>
    </w:p>
    <w:p w14:paraId="750A182A">
      <w:pPr>
        <w:jc w:val="center"/>
        <w:rPr>
          <w:rFonts w:hint="eastAsia" w:ascii="仿宋" w:hAnsi="仿宋" w:eastAsia="仿宋" w:cs="仿宋"/>
          <w:b/>
          <w:kern w:val="0"/>
          <w:sz w:val="32"/>
          <w:szCs w:val="32"/>
          <w:highlight w:val="none"/>
        </w:rPr>
      </w:pPr>
    </w:p>
    <w:p w14:paraId="0DFD26D5">
      <w:pPr>
        <w:jc w:val="center"/>
        <w:rPr>
          <w:rFonts w:hint="eastAsia" w:ascii="仿宋" w:hAnsi="仿宋" w:eastAsia="仿宋" w:cs="仿宋"/>
          <w:b/>
          <w:kern w:val="0"/>
          <w:sz w:val="32"/>
          <w:szCs w:val="32"/>
          <w:highlight w:val="none"/>
        </w:rPr>
      </w:pPr>
    </w:p>
    <w:p w14:paraId="4E1D5300">
      <w:pPr>
        <w:jc w:val="center"/>
        <w:rPr>
          <w:rFonts w:hint="eastAsia" w:ascii="仿宋" w:hAnsi="仿宋" w:eastAsia="仿宋" w:cs="仿宋"/>
          <w:b/>
          <w:kern w:val="0"/>
          <w:sz w:val="32"/>
          <w:szCs w:val="32"/>
          <w:highlight w:val="none"/>
        </w:rPr>
      </w:pPr>
    </w:p>
    <w:p w14:paraId="1142C220">
      <w:pPr>
        <w:jc w:val="center"/>
        <w:rPr>
          <w:rFonts w:hint="eastAsia" w:ascii="仿宋" w:hAnsi="仿宋" w:eastAsia="仿宋" w:cs="仿宋"/>
          <w:b/>
          <w:kern w:val="0"/>
          <w:sz w:val="32"/>
          <w:szCs w:val="32"/>
          <w:highlight w:val="none"/>
        </w:rPr>
      </w:pPr>
    </w:p>
    <w:p w14:paraId="6068BA33">
      <w:pPr>
        <w:jc w:val="center"/>
        <w:rPr>
          <w:rFonts w:hint="eastAsia" w:ascii="仿宋" w:hAnsi="仿宋" w:eastAsia="仿宋" w:cs="仿宋"/>
          <w:b/>
          <w:kern w:val="0"/>
          <w:sz w:val="32"/>
          <w:szCs w:val="32"/>
          <w:highlight w:val="none"/>
        </w:rPr>
      </w:pPr>
    </w:p>
    <w:p w14:paraId="1D323110">
      <w:pPr>
        <w:jc w:val="center"/>
        <w:rPr>
          <w:rFonts w:hint="eastAsia" w:ascii="仿宋" w:hAnsi="仿宋" w:eastAsia="仿宋" w:cs="仿宋"/>
          <w:b/>
          <w:kern w:val="0"/>
          <w:sz w:val="32"/>
          <w:szCs w:val="32"/>
          <w:highlight w:val="none"/>
        </w:rPr>
      </w:pPr>
    </w:p>
    <w:p w14:paraId="0017F943">
      <w:pPr>
        <w:jc w:val="center"/>
        <w:rPr>
          <w:rFonts w:hint="eastAsia" w:ascii="仿宋" w:hAnsi="仿宋" w:eastAsia="仿宋" w:cs="仿宋"/>
          <w:b/>
          <w:kern w:val="0"/>
          <w:sz w:val="32"/>
          <w:szCs w:val="32"/>
          <w:highlight w:val="none"/>
        </w:rPr>
      </w:pPr>
    </w:p>
    <w:p w14:paraId="4D2F12A1">
      <w:pPr>
        <w:jc w:val="center"/>
        <w:rPr>
          <w:rFonts w:hint="eastAsia" w:ascii="仿宋" w:hAnsi="仿宋" w:eastAsia="仿宋" w:cs="仿宋"/>
          <w:highlight w:val="none"/>
        </w:rPr>
      </w:pPr>
      <w:r>
        <w:rPr>
          <w:rFonts w:hint="eastAsia" w:ascii="仿宋" w:hAnsi="仿宋" w:eastAsia="仿宋" w:cs="仿宋"/>
          <w:b/>
          <w:kern w:val="0"/>
          <w:sz w:val="32"/>
          <w:szCs w:val="32"/>
          <w:highlight w:val="none"/>
          <w:lang w:eastAsia="zh-CN"/>
        </w:rPr>
        <w:t>四</w:t>
      </w:r>
      <w:r>
        <w:rPr>
          <w:rFonts w:hint="eastAsia" w:ascii="仿宋" w:hAnsi="仿宋" w:eastAsia="仿宋" w:cs="仿宋"/>
          <w:b/>
          <w:kern w:val="0"/>
          <w:sz w:val="32"/>
          <w:szCs w:val="32"/>
          <w:highlight w:val="none"/>
        </w:rPr>
        <w:t>、评标标准相应的商务技术资料</w:t>
      </w:r>
    </w:p>
    <w:p w14:paraId="12BDE5FB">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w:t>
      </w:r>
      <w:r>
        <w:rPr>
          <w:rFonts w:hint="eastAsia" w:ascii="仿宋" w:hAnsi="仿宋" w:eastAsia="仿宋" w:cs="仿宋"/>
          <w:b/>
          <w:sz w:val="24"/>
          <w:highlight w:val="none"/>
          <w:lang w:eastAsia="zh-CN"/>
        </w:rPr>
        <w:t>公开招标采购文件</w:t>
      </w:r>
      <w:r>
        <w:rPr>
          <w:rFonts w:hint="eastAsia" w:ascii="仿宋" w:hAnsi="仿宋" w:eastAsia="仿宋" w:cs="仿宋"/>
          <w:b/>
          <w:sz w:val="24"/>
          <w:highlight w:val="none"/>
        </w:rPr>
        <w:t>第四部分评标办法前附表中“投标文件中评标标准相应的商务技术资料目录”提供资料。）</w:t>
      </w:r>
    </w:p>
    <w:p w14:paraId="0BD4D40A">
      <w:pPr>
        <w:jc w:val="center"/>
        <w:rPr>
          <w:rFonts w:hint="eastAsia" w:ascii="仿宋" w:hAnsi="仿宋" w:eastAsia="仿宋" w:cs="仿宋"/>
          <w:b/>
          <w:kern w:val="0"/>
          <w:sz w:val="32"/>
          <w:szCs w:val="32"/>
          <w:highlight w:val="none"/>
        </w:rPr>
      </w:pPr>
    </w:p>
    <w:p w14:paraId="6EDEDFD0">
      <w:pPr>
        <w:jc w:val="center"/>
        <w:rPr>
          <w:rFonts w:hint="eastAsia" w:ascii="仿宋" w:hAnsi="仿宋" w:eastAsia="仿宋" w:cs="仿宋"/>
          <w:b/>
          <w:kern w:val="0"/>
          <w:sz w:val="32"/>
          <w:szCs w:val="32"/>
          <w:highlight w:val="none"/>
        </w:rPr>
      </w:pPr>
    </w:p>
    <w:p w14:paraId="54DB0DAB">
      <w:pPr>
        <w:jc w:val="center"/>
        <w:rPr>
          <w:rFonts w:hint="eastAsia" w:ascii="仿宋" w:hAnsi="仿宋" w:eastAsia="仿宋" w:cs="仿宋"/>
          <w:b/>
          <w:kern w:val="0"/>
          <w:sz w:val="32"/>
          <w:szCs w:val="32"/>
          <w:highlight w:val="none"/>
        </w:rPr>
      </w:pPr>
    </w:p>
    <w:p w14:paraId="56CE2F6A">
      <w:pPr>
        <w:ind w:firstLine="2891" w:firstLineChars="90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五</w:t>
      </w:r>
      <w:r>
        <w:rPr>
          <w:rFonts w:hint="eastAsia" w:ascii="仿宋" w:hAnsi="仿宋" w:eastAsia="仿宋" w:cs="仿宋"/>
          <w:b/>
          <w:kern w:val="0"/>
          <w:sz w:val="32"/>
          <w:szCs w:val="32"/>
          <w:highlight w:val="none"/>
        </w:rPr>
        <w:t>、投标标的清单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20FC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322C39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71A2A1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4EA23594">
            <w:pPr>
              <w:spacing w:line="360" w:lineRule="auto"/>
              <w:jc w:val="center"/>
              <w:rPr>
                <w:rFonts w:hint="eastAsia" w:ascii="仿宋" w:hAnsi="仿宋" w:eastAsia="仿宋" w:cs="仿宋"/>
                <w:b/>
                <w:sz w:val="24"/>
                <w:highlight w:val="none"/>
              </w:rPr>
            </w:pPr>
          </w:p>
          <w:p w14:paraId="4229FA7A">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DE62DB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54C0C35">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4E7FF4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w:t>
            </w:r>
          </w:p>
        </w:tc>
      </w:tr>
      <w:tr w14:paraId="7914C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853B54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5475F1F">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CAA64A9">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F902109">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E74E65">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909BDF8">
            <w:pPr>
              <w:spacing w:line="360" w:lineRule="auto"/>
              <w:jc w:val="center"/>
              <w:rPr>
                <w:rFonts w:hint="eastAsia" w:ascii="仿宋" w:hAnsi="仿宋" w:eastAsia="仿宋" w:cs="仿宋"/>
                <w:sz w:val="24"/>
                <w:highlight w:val="none"/>
              </w:rPr>
            </w:pPr>
          </w:p>
        </w:tc>
      </w:tr>
      <w:tr w14:paraId="2C906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5068B4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7B9E9FD">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43F1A65">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B827AE5">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AA0E180">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D2EB9CE">
            <w:pPr>
              <w:spacing w:line="360" w:lineRule="auto"/>
              <w:jc w:val="center"/>
              <w:rPr>
                <w:rFonts w:hint="eastAsia" w:ascii="仿宋" w:hAnsi="仿宋" w:eastAsia="仿宋" w:cs="仿宋"/>
                <w:sz w:val="24"/>
                <w:highlight w:val="none"/>
              </w:rPr>
            </w:pPr>
          </w:p>
        </w:tc>
      </w:tr>
      <w:tr w14:paraId="30D2D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2AA61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CC26CF8">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66D7A65">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075FBE2">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1278122">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54361D0">
            <w:pPr>
              <w:spacing w:line="360" w:lineRule="auto"/>
              <w:jc w:val="center"/>
              <w:rPr>
                <w:rFonts w:hint="eastAsia" w:ascii="仿宋" w:hAnsi="仿宋" w:eastAsia="仿宋" w:cs="仿宋"/>
                <w:sz w:val="24"/>
                <w:highlight w:val="none"/>
              </w:rPr>
            </w:pPr>
          </w:p>
        </w:tc>
      </w:tr>
    </w:tbl>
    <w:p w14:paraId="54F71E43">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234C7687">
      <w:pPr>
        <w:jc w:val="center"/>
        <w:rPr>
          <w:rFonts w:hint="eastAsia" w:ascii="仿宋" w:hAnsi="仿宋" w:eastAsia="仿宋" w:cs="仿宋"/>
          <w:b/>
          <w:kern w:val="0"/>
          <w:sz w:val="32"/>
          <w:szCs w:val="32"/>
          <w:highlight w:val="none"/>
        </w:rPr>
      </w:pPr>
    </w:p>
    <w:p w14:paraId="18086D18">
      <w:pPr>
        <w:jc w:val="center"/>
        <w:rPr>
          <w:rFonts w:hint="eastAsia" w:ascii="仿宋" w:hAnsi="仿宋" w:eastAsia="仿宋" w:cs="仿宋"/>
          <w:b/>
          <w:kern w:val="0"/>
          <w:sz w:val="32"/>
          <w:szCs w:val="32"/>
          <w:highlight w:val="none"/>
        </w:rPr>
      </w:pPr>
    </w:p>
    <w:p w14:paraId="2E5D24F3">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六</w:t>
      </w:r>
      <w:r>
        <w:rPr>
          <w:rFonts w:hint="eastAsia" w:ascii="仿宋" w:hAnsi="仿宋" w:eastAsia="仿宋" w:cs="仿宋"/>
          <w:b/>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6A68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C7B4C6">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tcPr>
          <w:p w14:paraId="3AE1BFCB">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公开招标采购文件</w:t>
            </w:r>
            <w:r>
              <w:rPr>
                <w:rFonts w:hint="eastAsia" w:ascii="仿宋" w:hAnsi="仿宋" w:eastAsia="仿宋" w:cs="仿宋"/>
                <w:b/>
                <w:bCs/>
                <w:sz w:val="24"/>
                <w:highlight w:val="none"/>
              </w:rPr>
              <w:t>章节及具体内容</w:t>
            </w:r>
          </w:p>
        </w:tc>
        <w:tc>
          <w:tcPr>
            <w:tcW w:w="3546" w:type="dxa"/>
          </w:tcPr>
          <w:p w14:paraId="47E20AEC">
            <w:pPr>
              <w:jc w:val="center"/>
              <w:rPr>
                <w:rFonts w:hint="eastAsia"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tcPr>
          <w:p w14:paraId="7C87D74E">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14:paraId="696DA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4DA93F">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tcPr>
          <w:p w14:paraId="6E5834FE">
            <w:pPr>
              <w:jc w:val="center"/>
              <w:rPr>
                <w:rFonts w:hint="eastAsia" w:ascii="仿宋" w:hAnsi="仿宋" w:eastAsia="仿宋" w:cs="仿宋"/>
                <w:b/>
                <w:kern w:val="0"/>
                <w:sz w:val="32"/>
                <w:szCs w:val="32"/>
                <w:highlight w:val="none"/>
              </w:rPr>
            </w:pPr>
          </w:p>
        </w:tc>
        <w:tc>
          <w:tcPr>
            <w:tcW w:w="3546" w:type="dxa"/>
          </w:tcPr>
          <w:p w14:paraId="393A0E87">
            <w:pPr>
              <w:jc w:val="center"/>
              <w:rPr>
                <w:rFonts w:hint="eastAsia" w:ascii="仿宋" w:hAnsi="仿宋" w:eastAsia="仿宋" w:cs="仿宋"/>
                <w:b/>
                <w:kern w:val="0"/>
                <w:sz w:val="32"/>
                <w:szCs w:val="32"/>
                <w:highlight w:val="none"/>
              </w:rPr>
            </w:pPr>
          </w:p>
        </w:tc>
        <w:tc>
          <w:tcPr>
            <w:tcW w:w="1276" w:type="dxa"/>
          </w:tcPr>
          <w:p w14:paraId="39E7F998">
            <w:pPr>
              <w:jc w:val="center"/>
              <w:rPr>
                <w:rFonts w:hint="eastAsia" w:ascii="仿宋" w:hAnsi="仿宋" w:eastAsia="仿宋" w:cs="仿宋"/>
                <w:b/>
                <w:kern w:val="0"/>
                <w:sz w:val="32"/>
                <w:szCs w:val="32"/>
                <w:highlight w:val="none"/>
              </w:rPr>
            </w:pPr>
          </w:p>
        </w:tc>
      </w:tr>
      <w:tr w14:paraId="41DF0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4FCCEE6">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tcPr>
          <w:p w14:paraId="337D65FE">
            <w:pPr>
              <w:jc w:val="center"/>
              <w:rPr>
                <w:rFonts w:hint="eastAsia" w:ascii="仿宋" w:hAnsi="仿宋" w:eastAsia="仿宋" w:cs="仿宋"/>
                <w:b/>
                <w:kern w:val="0"/>
                <w:sz w:val="32"/>
                <w:szCs w:val="32"/>
                <w:highlight w:val="none"/>
              </w:rPr>
            </w:pPr>
          </w:p>
        </w:tc>
        <w:tc>
          <w:tcPr>
            <w:tcW w:w="3546" w:type="dxa"/>
          </w:tcPr>
          <w:p w14:paraId="69897044">
            <w:pPr>
              <w:jc w:val="center"/>
              <w:rPr>
                <w:rFonts w:hint="eastAsia" w:ascii="仿宋" w:hAnsi="仿宋" w:eastAsia="仿宋" w:cs="仿宋"/>
                <w:b/>
                <w:kern w:val="0"/>
                <w:sz w:val="32"/>
                <w:szCs w:val="32"/>
                <w:highlight w:val="none"/>
              </w:rPr>
            </w:pPr>
          </w:p>
        </w:tc>
        <w:tc>
          <w:tcPr>
            <w:tcW w:w="1276" w:type="dxa"/>
          </w:tcPr>
          <w:p w14:paraId="402D4291">
            <w:pPr>
              <w:jc w:val="center"/>
              <w:rPr>
                <w:rFonts w:hint="eastAsia" w:ascii="仿宋" w:hAnsi="仿宋" w:eastAsia="仿宋" w:cs="仿宋"/>
                <w:b/>
                <w:kern w:val="0"/>
                <w:sz w:val="32"/>
                <w:szCs w:val="32"/>
                <w:highlight w:val="none"/>
              </w:rPr>
            </w:pPr>
          </w:p>
        </w:tc>
      </w:tr>
      <w:tr w14:paraId="2EF62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57A9A07">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tcPr>
          <w:p w14:paraId="6D93034B">
            <w:pPr>
              <w:jc w:val="center"/>
              <w:rPr>
                <w:rFonts w:hint="eastAsia" w:ascii="仿宋" w:hAnsi="仿宋" w:eastAsia="仿宋" w:cs="仿宋"/>
                <w:b/>
                <w:kern w:val="0"/>
                <w:sz w:val="32"/>
                <w:szCs w:val="32"/>
                <w:highlight w:val="none"/>
              </w:rPr>
            </w:pPr>
          </w:p>
        </w:tc>
        <w:tc>
          <w:tcPr>
            <w:tcW w:w="3546" w:type="dxa"/>
          </w:tcPr>
          <w:p w14:paraId="69EDE5BF">
            <w:pPr>
              <w:jc w:val="center"/>
              <w:rPr>
                <w:rFonts w:hint="eastAsia" w:ascii="仿宋" w:hAnsi="仿宋" w:eastAsia="仿宋" w:cs="仿宋"/>
                <w:b/>
                <w:kern w:val="0"/>
                <w:sz w:val="32"/>
                <w:szCs w:val="32"/>
                <w:highlight w:val="none"/>
              </w:rPr>
            </w:pPr>
          </w:p>
        </w:tc>
        <w:tc>
          <w:tcPr>
            <w:tcW w:w="1276" w:type="dxa"/>
          </w:tcPr>
          <w:p w14:paraId="2A1D140D">
            <w:pPr>
              <w:jc w:val="center"/>
              <w:rPr>
                <w:rFonts w:hint="eastAsia" w:ascii="仿宋" w:hAnsi="仿宋" w:eastAsia="仿宋" w:cs="仿宋"/>
                <w:b/>
                <w:kern w:val="0"/>
                <w:sz w:val="32"/>
                <w:szCs w:val="32"/>
                <w:highlight w:val="none"/>
              </w:rPr>
            </w:pPr>
          </w:p>
        </w:tc>
      </w:tr>
    </w:tbl>
    <w:p w14:paraId="22E993FD">
      <w:pPr>
        <w:jc w:val="left"/>
        <w:rPr>
          <w:rFonts w:hint="eastAsia"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的全部要求</w:t>
      </w:r>
    </w:p>
    <w:p w14:paraId="375D972B">
      <w:pPr>
        <w:jc w:val="center"/>
        <w:rPr>
          <w:rFonts w:hint="eastAsia" w:ascii="仿宋" w:hAnsi="仿宋" w:eastAsia="仿宋" w:cs="仿宋"/>
          <w:b/>
          <w:kern w:val="0"/>
          <w:sz w:val="32"/>
          <w:szCs w:val="32"/>
          <w:highlight w:val="none"/>
        </w:rPr>
      </w:pPr>
    </w:p>
    <w:p w14:paraId="5CB970C8">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3B5FCDD2">
      <w:pPr>
        <w:ind w:firstLine="1911" w:firstLineChars="595"/>
        <w:rPr>
          <w:rFonts w:hint="eastAsia" w:ascii="仿宋" w:hAnsi="仿宋" w:eastAsia="仿宋" w:cs="仿宋"/>
          <w:b/>
          <w:bCs/>
          <w:sz w:val="32"/>
          <w:szCs w:val="32"/>
          <w:highlight w:val="none"/>
        </w:rPr>
      </w:pPr>
    </w:p>
    <w:p w14:paraId="6448363E">
      <w:pPr>
        <w:ind w:firstLine="1911" w:firstLineChars="595"/>
        <w:rPr>
          <w:rFonts w:hint="eastAsia" w:ascii="仿宋" w:hAnsi="仿宋" w:eastAsia="仿宋" w:cs="仿宋"/>
          <w:b/>
          <w:bCs/>
          <w:sz w:val="32"/>
          <w:szCs w:val="32"/>
          <w:highlight w:val="none"/>
        </w:rPr>
      </w:pPr>
    </w:p>
    <w:p w14:paraId="3090484F">
      <w:pPr>
        <w:ind w:firstLine="1911" w:firstLineChars="595"/>
        <w:rPr>
          <w:rFonts w:hint="eastAsia" w:ascii="仿宋" w:hAnsi="仿宋" w:eastAsia="仿宋" w:cs="仿宋"/>
          <w:b/>
          <w:bCs/>
          <w:sz w:val="32"/>
          <w:szCs w:val="32"/>
          <w:highlight w:val="none"/>
        </w:rPr>
      </w:pPr>
    </w:p>
    <w:p w14:paraId="4A07DC47">
      <w:pPr>
        <w:ind w:firstLine="1911" w:firstLineChars="595"/>
        <w:rPr>
          <w:rFonts w:hint="eastAsia" w:ascii="仿宋" w:hAnsi="仿宋" w:eastAsia="仿宋" w:cs="仿宋"/>
          <w:b/>
          <w:bCs/>
          <w:sz w:val="32"/>
          <w:szCs w:val="32"/>
          <w:highlight w:val="none"/>
        </w:rPr>
      </w:pPr>
    </w:p>
    <w:p w14:paraId="1C132C5D">
      <w:pPr>
        <w:ind w:firstLine="1911" w:firstLineChars="595"/>
        <w:rPr>
          <w:rFonts w:hint="eastAsia" w:ascii="仿宋" w:hAnsi="仿宋" w:eastAsia="仿宋" w:cs="仿宋"/>
          <w:b/>
          <w:bCs/>
          <w:sz w:val="32"/>
          <w:szCs w:val="32"/>
          <w:highlight w:val="none"/>
        </w:rPr>
      </w:pPr>
    </w:p>
    <w:p w14:paraId="4B7EA032">
      <w:pPr>
        <w:ind w:firstLine="1911" w:firstLineChars="595"/>
        <w:rPr>
          <w:rFonts w:hint="eastAsia" w:ascii="仿宋" w:hAnsi="仿宋" w:eastAsia="仿宋" w:cs="仿宋"/>
          <w:b/>
          <w:bCs/>
          <w:sz w:val="32"/>
          <w:szCs w:val="32"/>
          <w:highlight w:val="none"/>
        </w:rPr>
      </w:pPr>
    </w:p>
    <w:p w14:paraId="6921C875">
      <w:pPr>
        <w:ind w:firstLine="1911" w:firstLineChars="595"/>
        <w:rPr>
          <w:rFonts w:hint="eastAsia" w:ascii="仿宋" w:hAnsi="仿宋" w:eastAsia="仿宋" w:cs="仿宋"/>
          <w:b/>
          <w:bCs/>
          <w:sz w:val="32"/>
          <w:szCs w:val="32"/>
          <w:highlight w:val="none"/>
        </w:rPr>
      </w:pPr>
    </w:p>
    <w:p w14:paraId="3AD37FE5">
      <w:pPr>
        <w:pStyle w:val="42"/>
        <w:rPr>
          <w:rFonts w:hint="eastAsia" w:ascii="仿宋" w:hAnsi="仿宋" w:eastAsia="仿宋" w:cs="仿宋"/>
          <w:b/>
          <w:bCs/>
          <w:sz w:val="32"/>
          <w:szCs w:val="32"/>
          <w:highlight w:val="none"/>
        </w:rPr>
      </w:pPr>
    </w:p>
    <w:p w14:paraId="44E9C707">
      <w:pPr>
        <w:rPr>
          <w:rFonts w:hint="eastAsia" w:ascii="仿宋" w:hAnsi="仿宋" w:eastAsia="仿宋" w:cs="仿宋"/>
          <w:b/>
          <w:bCs/>
          <w:sz w:val="32"/>
          <w:szCs w:val="32"/>
          <w:highlight w:val="none"/>
        </w:rPr>
      </w:pPr>
    </w:p>
    <w:p w14:paraId="6E9A5239">
      <w:pPr>
        <w:pStyle w:val="42"/>
        <w:rPr>
          <w:rFonts w:hint="eastAsia" w:ascii="仿宋" w:hAnsi="仿宋" w:eastAsia="仿宋" w:cs="仿宋"/>
          <w:b/>
          <w:bCs/>
          <w:sz w:val="32"/>
          <w:szCs w:val="32"/>
          <w:highlight w:val="none"/>
        </w:rPr>
      </w:pPr>
    </w:p>
    <w:p w14:paraId="2746B836">
      <w:pPr>
        <w:rPr>
          <w:rFonts w:hint="eastAsia" w:ascii="仿宋" w:hAnsi="仿宋" w:eastAsia="仿宋" w:cs="仿宋"/>
          <w:b/>
          <w:bCs/>
          <w:sz w:val="32"/>
          <w:szCs w:val="32"/>
          <w:highlight w:val="none"/>
        </w:rPr>
      </w:pPr>
    </w:p>
    <w:p w14:paraId="3C0284EE">
      <w:pPr>
        <w:pStyle w:val="42"/>
        <w:rPr>
          <w:rFonts w:hint="eastAsia"/>
          <w:highlight w:val="none"/>
        </w:rPr>
      </w:pPr>
    </w:p>
    <w:p w14:paraId="74BC6871">
      <w:pPr>
        <w:ind w:firstLine="1911" w:firstLineChars="595"/>
        <w:rPr>
          <w:rFonts w:hint="eastAsia" w:ascii="仿宋" w:hAnsi="仿宋" w:eastAsia="仿宋" w:cs="仿宋"/>
          <w:b/>
          <w:bCs/>
          <w:sz w:val="32"/>
          <w:szCs w:val="32"/>
          <w:highlight w:val="none"/>
        </w:rPr>
      </w:pPr>
    </w:p>
    <w:p w14:paraId="1506CDAC">
      <w:pPr>
        <w:ind w:firstLine="1911" w:firstLineChars="595"/>
        <w:rPr>
          <w:rFonts w:hint="eastAsia" w:ascii="仿宋" w:hAnsi="仿宋" w:eastAsia="仿宋" w:cs="仿宋"/>
          <w:b/>
          <w:kern w:val="0"/>
          <w:sz w:val="32"/>
          <w:szCs w:val="32"/>
          <w:highlight w:val="none"/>
        </w:rPr>
      </w:pPr>
      <w:r>
        <w:rPr>
          <w:rFonts w:hint="eastAsia" w:ascii="仿宋" w:hAnsi="仿宋" w:eastAsia="仿宋" w:cs="仿宋"/>
          <w:b/>
          <w:bCs/>
          <w:sz w:val="32"/>
          <w:szCs w:val="32"/>
          <w:highlight w:val="none"/>
          <w:lang w:eastAsia="zh-CN"/>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供应商廉洁自律承诺书</w:t>
      </w:r>
    </w:p>
    <w:p w14:paraId="57661971">
      <w:pPr>
        <w:snapToGrid w:val="0"/>
        <w:spacing w:line="360" w:lineRule="auto"/>
        <w:rPr>
          <w:rFonts w:hint="eastAsia" w:ascii="仿宋" w:hAnsi="仿宋" w:eastAsia="仿宋" w:cs="仿宋"/>
          <w:sz w:val="24"/>
          <w:highlight w:val="none"/>
        </w:rPr>
      </w:pPr>
    </w:p>
    <w:p w14:paraId="537E91FF">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5D325A7A">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14:paraId="04794263">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01738C23">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58136931">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0139EA4D">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4121A888">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6B2E609C">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1A2C0669">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28C8BDD3">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27F35BEE">
      <w:pPr>
        <w:autoSpaceDE w:val="0"/>
        <w:autoSpaceDN w:val="0"/>
        <w:spacing w:line="360" w:lineRule="auto"/>
        <w:ind w:left="2"/>
        <w:jc w:val="left"/>
        <w:rPr>
          <w:rFonts w:hint="eastAsia" w:ascii="仿宋" w:hAnsi="仿宋" w:eastAsia="仿宋" w:cs="仿宋"/>
          <w:kern w:val="0"/>
          <w:sz w:val="24"/>
          <w:highlight w:val="none"/>
          <w:lang w:val="zh-CN"/>
        </w:rPr>
      </w:pPr>
    </w:p>
    <w:p w14:paraId="59B9BC7B">
      <w:pPr>
        <w:autoSpaceDE w:val="0"/>
        <w:autoSpaceDN w:val="0"/>
        <w:spacing w:line="360" w:lineRule="auto"/>
        <w:ind w:left="2"/>
        <w:jc w:val="left"/>
        <w:rPr>
          <w:rFonts w:hint="eastAsia" w:ascii="仿宋" w:hAnsi="仿宋" w:eastAsia="仿宋" w:cs="仿宋"/>
          <w:kern w:val="0"/>
          <w:sz w:val="24"/>
          <w:highlight w:val="none"/>
          <w:lang w:val="zh-CN"/>
        </w:rPr>
      </w:pPr>
    </w:p>
    <w:p w14:paraId="08244EC3">
      <w:pPr>
        <w:autoSpaceDE w:val="0"/>
        <w:autoSpaceDN w:val="0"/>
        <w:spacing w:line="360" w:lineRule="auto"/>
        <w:ind w:left="2"/>
        <w:jc w:val="left"/>
        <w:rPr>
          <w:rFonts w:hint="eastAsia" w:ascii="仿宋" w:hAnsi="仿宋" w:eastAsia="仿宋" w:cs="仿宋"/>
          <w:kern w:val="0"/>
          <w:sz w:val="24"/>
          <w:highlight w:val="none"/>
          <w:lang w:val="zh-CN"/>
        </w:rPr>
      </w:pPr>
    </w:p>
    <w:p w14:paraId="07E5991B">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14:paraId="6CCDC3AC">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14:paraId="49A5CDD9">
      <w:pPr>
        <w:spacing w:line="360" w:lineRule="auto"/>
        <w:jc w:val="center"/>
        <w:rPr>
          <w:rFonts w:hint="eastAsia" w:ascii="仿宋" w:hAnsi="仿宋" w:eastAsia="仿宋" w:cs="仿宋"/>
          <w:b/>
          <w:bCs/>
          <w:sz w:val="24"/>
          <w:highlight w:val="none"/>
        </w:rPr>
      </w:pPr>
    </w:p>
    <w:p w14:paraId="63F4AA7D">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7E0CAD77">
      <w:pPr>
        <w:spacing w:line="360" w:lineRule="auto"/>
        <w:jc w:val="center"/>
        <w:rPr>
          <w:rFonts w:hint="eastAsia" w:ascii="仿宋" w:hAnsi="仿宋" w:eastAsia="仿宋" w:cs="仿宋"/>
          <w:b/>
          <w:bCs/>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ADEE0DE">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245B3B23">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08A1C9F5">
      <w:pPr>
        <w:spacing w:line="360" w:lineRule="auto"/>
        <w:jc w:val="center"/>
        <w:outlineLvl w:val="0"/>
        <w:rPr>
          <w:rFonts w:hint="eastAsia" w:ascii="仿宋" w:hAnsi="仿宋" w:eastAsia="仿宋" w:cs="仿宋"/>
          <w:b/>
          <w:kern w:val="0"/>
          <w:sz w:val="36"/>
          <w:szCs w:val="36"/>
          <w:highlight w:val="none"/>
        </w:rPr>
      </w:pPr>
    </w:p>
    <w:p w14:paraId="18DD5285">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开标一览表（报价表）………………………………………………………（页码）</w:t>
      </w:r>
    </w:p>
    <w:p w14:paraId="68813790">
      <w:pPr>
        <w:numPr>
          <w:ilvl w:val="0"/>
          <w:numId w:val="5"/>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报价明细</w:t>
      </w:r>
      <w:r>
        <w:rPr>
          <w:rFonts w:hint="eastAsia" w:ascii="仿宋" w:hAnsi="仿宋" w:eastAsia="仿宋" w:cs="仿宋"/>
          <w:sz w:val="24"/>
          <w:highlight w:val="none"/>
          <w:lang w:val="en-US" w:eastAsia="zh-CN"/>
        </w:rPr>
        <w:t>表（详见附件）</w:t>
      </w:r>
      <w:r>
        <w:rPr>
          <w:rFonts w:hint="eastAsia" w:ascii="仿宋" w:hAnsi="仿宋" w:eastAsia="仿宋" w:cs="仿宋"/>
          <w:sz w:val="24"/>
          <w:highlight w:val="none"/>
        </w:rPr>
        <w:t>……………………………………………………（页码）</w:t>
      </w:r>
    </w:p>
    <w:p w14:paraId="5ADA59B4">
      <w:pPr>
        <w:snapToGrid w:val="0"/>
        <w:spacing w:line="360" w:lineRule="auto"/>
        <w:ind w:right="480"/>
        <w:jc w:val="center"/>
        <w:rPr>
          <w:rFonts w:hint="eastAsia" w:ascii="仿宋" w:hAnsi="仿宋" w:eastAsia="仿宋" w:cs="仿宋"/>
          <w:b/>
          <w:kern w:val="0"/>
          <w:sz w:val="32"/>
          <w:szCs w:val="32"/>
          <w:highlight w:val="none"/>
        </w:rPr>
      </w:pPr>
    </w:p>
    <w:p w14:paraId="024E8D88">
      <w:pPr>
        <w:snapToGrid w:val="0"/>
        <w:spacing w:line="360" w:lineRule="auto"/>
        <w:ind w:right="480"/>
        <w:jc w:val="center"/>
        <w:rPr>
          <w:rFonts w:hint="eastAsia" w:ascii="仿宋" w:hAnsi="仿宋" w:eastAsia="仿宋" w:cs="仿宋"/>
          <w:b/>
          <w:kern w:val="0"/>
          <w:sz w:val="32"/>
          <w:szCs w:val="32"/>
          <w:highlight w:val="none"/>
        </w:rPr>
      </w:pPr>
    </w:p>
    <w:p w14:paraId="4A98E72F">
      <w:pPr>
        <w:snapToGrid w:val="0"/>
        <w:spacing w:line="360" w:lineRule="auto"/>
        <w:ind w:right="480"/>
        <w:jc w:val="center"/>
        <w:rPr>
          <w:rFonts w:hint="eastAsia" w:ascii="仿宋" w:hAnsi="仿宋" w:eastAsia="仿宋" w:cs="仿宋"/>
          <w:b/>
          <w:kern w:val="0"/>
          <w:sz w:val="32"/>
          <w:szCs w:val="32"/>
          <w:highlight w:val="none"/>
        </w:rPr>
      </w:pPr>
    </w:p>
    <w:p w14:paraId="77C46039">
      <w:pPr>
        <w:snapToGrid w:val="0"/>
        <w:spacing w:line="360" w:lineRule="auto"/>
        <w:ind w:right="480"/>
        <w:jc w:val="center"/>
        <w:rPr>
          <w:rFonts w:hint="eastAsia" w:ascii="仿宋" w:hAnsi="仿宋" w:eastAsia="仿宋" w:cs="仿宋"/>
          <w:b/>
          <w:kern w:val="0"/>
          <w:sz w:val="32"/>
          <w:szCs w:val="32"/>
          <w:highlight w:val="none"/>
        </w:rPr>
      </w:pPr>
    </w:p>
    <w:p w14:paraId="1AF31EC1">
      <w:pPr>
        <w:snapToGrid w:val="0"/>
        <w:spacing w:line="360" w:lineRule="auto"/>
        <w:ind w:right="480"/>
        <w:jc w:val="center"/>
        <w:rPr>
          <w:rFonts w:hint="eastAsia" w:ascii="仿宋" w:hAnsi="仿宋" w:eastAsia="仿宋" w:cs="仿宋"/>
          <w:b/>
          <w:kern w:val="0"/>
          <w:sz w:val="32"/>
          <w:szCs w:val="32"/>
          <w:highlight w:val="none"/>
        </w:rPr>
      </w:pPr>
    </w:p>
    <w:p w14:paraId="7C65F69E">
      <w:pPr>
        <w:snapToGrid w:val="0"/>
        <w:spacing w:line="360" w:lineRule="auto"/>
        <w:ind w:right="480"/>
        <w:jc w:val="center"/>
        <w:rPr>
          <w:rFonts w:hint="eastAsia" w:ascii="仿宋" w:hAnsi="仿宋" w:eastAsia="仿宋" w:cs="仿宋"/>
          <w:b/>
          <w:kern w:val="0"/>
          <w:sz w:val="32"/>
          <w:szCs w:val="32"/>
          <w:highlight w:val="none"/>
        </w:rPr>
      </w:pPr>
    </w:p>
    <w:p w14:paraId="427CEA4E">
      <w:pPr>
        <w:snapToGrid w:val="0"/>
        <w:spacing w:line="360" w:lineRule="auto"/>
        <w:ind w:right="480"/>
        <w:jc w:val="center"/>
        <w:rPr>
          <w:rFonts w:hint="eastAsia" w:ascii="仿宋" w:hAnsi="仿宋" w:eastAsia="仿宋" w:cs="仿宋"/>
          <w:b/>
          <w:kern w:val="0"/>
          <w:sz w:val="32"/>
          <w:szCs w:val="32"/>
          <w:highlight w:val="none"/>
        </w:rPr>
      </w:pPr>
    </w:p>
    <w:p w14:paraId="16B89C58">
      <w:pPr>
        <w:snapToGrid w:val="0"/>
        <w:spacing w:line="360" w:lineRule="auto"/>
        <w:ind w:right="480"/>
        <w:jc w:val="center"/>
        <w:rPr>
          <w:rFonts w:hint="eastAsia" w:ascii="仿宋" w:hAnsi="仿宋" w:eastAsia="仿宋" w:cs="仿宋"/>
          <w:b/>
          <w:kern w:val="0"/>
          <w:sz w:val="32"/>
          <w:szCs w:val="32"/>
          <w:highlight w:val="none"/>
        </w:rPr>
      </w:pPr>
    </w:p>
    <w:p w14:paraId="17797C27">
      <w:pPr>
        <w:snapToGrid w:val="0"/>
        <w:spacing w:line="360" w:lineRule="auto"/>
        <w:ind w:right="480"/>
        <w:jc w:val="center"/>
        <w:rPr>
          <w:rFonts w:hint="eastAsia" w:ascii="仿宋" w:hAnsi="仿宋" w:eastAsia="仿宋" w:cs="仿宋"/>
          <w:b/>
          <w:kern w:val="0"/>
          <w:sz w:val="32"/>
          <w:szCs w:val="32"/>
          <w:highlight w:val="none"/>
        </w:rPr>
      </w:pPr>
    </w:p>
    <w:p w14:paraId="5D918A01">
      <w:pPr>
        <w:snapToGrid w:val="0"/>
        <w:spacing w:line="360" w:lineRule="auto"/>
        <w:ind w:right="480"/>
        <w:jc w:val="center"/>
        <w:rPr>
          <w:rFonts w:hint="eastAsia" w:ascii="仿宋" w:hAnsi="仿宋" w:eastAsia="仿宋" w:cs="仿宋"/>
          <w:b/>
          <w:kern w:val="0"/>
          <w:sz w:val="32"/>
          <w:szCs w:val="32"/>
          <w:highlight w:val="none"/>
        </w:rPr>
      </w:pPr>
    </w:p>
    <w:p w14:paraId="117EEC6B">
      <w:pPr>
        <w:snapToGrid w:val="0"/>
        <w:spacing w:line="360" w:lineRule="auto"/>
        <w:ind w:right="480"/>
        <w:jc w:val="center"/>
        <w:rPr>
          <w:rFonts w:hint="eastAsia" w:ascii="仿宋" w:hAnsi="仿宋" w:eastAsia="仿宋" w:cs="仿宋"/>
          <w:b/>
          <w:kern w:val="0"/>
          <w:sz w:val="32"/>
          <w:szCs w:val="32"/>
          <w:highlight w:val="none"/>
        </w:rPr>
      </w:pPr>
    </w:p>
    <w:p w14:paraId="19E3485D">
      <w:pPr>
        <w:snapToGrid w:val="0"/>
        <w:spacing w:line="360" w:lineRule="auto"/>
        <w:ind w:right="480"/>
        <w:jc w:val="center"/>
        <w:rPr>
          <w:rFonts w:hint="eastAsia" w:ascii="仿宋" w:hAnsi="仿宋" w:eastAsia="仿宋" w:cs="仿宋"/>
          <w:b/>
          <w:kern w:val="0"/>
          <w:sz w:val="32"/>
          <w:szCs w:val="32"/>
          <w:highlight w:val="none"/>
        </w:rPr>
      </w:pPr>
    </w:p>
    <w:p w14:paraId="1A0D6147">
      <w:pPr>
        <w:snapToGrid w:val="0"/>
        <w:spacing w:line="360" w:lineRule="auto"/>
        <w:ind w:right="480"/>
        <w:jc w:val="center"/>
        <w:rPr>
          <w:rFonts w:hint="eastAsia" w:ascii="仿宋" w:hAnsi="仿宋" w:eastAsia="仿宋" w:cs="仿宋"/>
          <w:b/>
          <w:kern w:val="0"/>
          <w:sz w:val="32"/>
          <w:szCs w:val="32"/>
          <w:highlight w:val="none"/>
        </w:rPr>
      </w:pPr>
    </w:p>
    <w:p w14:paraId="560ED9CC">
      <w:pPr>
        <w:snapToGrid w:val="0"/>
        <w:spacing w:line="360" w:lineRule="auto"/>
        <w:ind w:right="480"/>
        <w:jc w:val="center"/>
        <w:rPr>
          <w:rFonts w:hint="eastAsia" w:ascii="仿宋" w:hAnsi="仿宋" w:eastAsia="仿宋" w:cs="仿宋"/>
          <w:b/>
          <w:kern w:val="0"/>
          <w:sz w:val="32"/>
          <w:szCs w:val="32"/>
          <w:highlight w:val="none"/>
        </w:rPr>
      </w:pPr>
    </w:p>
    <w:p w14:paraId="17E896DC">
      <w:pPr>
        <w:snapToGrid w:val="0"/>
        <w:spacing w:line="360" w:lineRule="auto"/>
        <w:ind w:right="480"/>
        <w:jc w:val="center"/>
        <w:rPr>
          <w:rFonts w:hint="eastAsia" w:ascii="仿宋" w:hAnsi="仿宋" w:eastAsia="仿宋" w:cs="仿宋"/>
          <w:b/>
          <w:kern w:val="0"/>
          <w:sz w:val="32"/>
          <w:szCs w:val="32"/>
          <w:highlight w:val="none"/>
        </w:rPr>
      </w:pPr>
    </w:p>
    <w:p w14:paraId="60EB3D5A">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25EA0F7A">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14:paraId="51D2D958">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2187A5A6">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按你方公开招标采购文件要求，我们，本投标文件签字方，谨此向你方发出要约如下：如你方接受本投标，我方承诺按照如下开标一览表（报价表）的价格完成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（采购编号）】的实施</w:t>
      </w:r>
      <w:r>
        <w:rPr>
          <w:rFonts w:hint="eastAsia" w:ascii="仿宋" w:hAnsi="仿宋" w:eastAsia="仿宋" w:cs="仿宋"/>
          <w:kern w:val="0"/>
          <w:sz w:val="24"/>
          <w:highlight w:val="none"/>
          <w:lang w:val="zh-CN"/>
        </w:rPr>
        <w:t>。</w:t>
      </w:r>
    </w:p>
    <w:p w14:paraId="7E1293C7">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3"/>
        <w:tblW w:w="143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872"/>
        <w:gridCol w:w="2025"/>
        <w:gridCol w:w="2000"/>
        <w:gridCol w:w="1887"/>
        <w:gridCol w:w="2167"/>
        <w:gridCol w:w="981"/>
        <w:gridCol w:w="1759"/>
      </w:tblGrid>
      <w:tr w14:paraId="69017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700" w:type="dxa"/>
            <w:vAlign w:val="center"/>
          </w:tcPr>
          <w:p w14:paraId="06C7BAE3">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2872" w:type="dxa"/>
            <w:vAlign w:val="center"/>
          </w:tcPr>
          <w:p w14:paraId="1F71F018">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投标报价</w:t>
            </w:r>
          </w:p>
        </w:tc>
        <w:tc>
          <w:tcPr>
            <w:tcW w:w="2025" w:type="dxa"/>
            <w:vAlign w:val="center"/>
          </w:tcPr>
          <w:p w14:paraId="680649B9">
            <w:pPr>
              <w:spacing w:line="360" w:lineRule="auto"/>
              <w:jc w:val="center"/>
              <w:rPr>
                <w:rFonts w:hint="eastAsia" w:ascii="仿宋" w:hAnsi="仿宋" w:eastAsia="仿宋" w:cs="仿宋"/>
                <w:b/>
                <w:sz w:val="24"/>
                <w:highlight w:val="none"/>
                <w:lang w:eastAsia="zh-CN"/>
              </w:rPr>
            </w:pPr>
            <w:r>
              <w:rPr>
                <w:rFonts w:hint="eastAsia" w:ascii="仿宋" w:hAnsi="仿宋" w:eastAsia="仿宋" w:cs="仿宋"/>
                <w:b/>
                <w:sz w:val="24"/>
                <w:highlight w:val="none"/>
                <w:lang w:val="en-US" w:eastAsia="zh-CN"/>
              </w:rPr>
              <w:t>项目负责人</w:t>
            </w:r>
          </w:p>
        </w:tc>
        <w:tc>
          <w:tcPr>
            <w:tcW w:w="2000" w:type="dxa"/>
            <w:vAlign w:val="top"/>
          </w:tcPr>
          <w:p w14:paraId="13214BA9">
            <w:pPr>
              <w:spacing w:line="360" w:lineRule="auto"/>
              <w:jc w:val="center"/>
              <w:rPr>
                <w:rFonts w:hint="eastAsia" w:ascii="仿宋" w:hAnsi="仿宋" w:eastAsia="仿宋" w:cs="仿宋"/>
                <w:b/>
                <w:sz w:val="24"/>
                <w:highlight w:val="none"/>
              </w:rPr>
            </w:pPr>
          </w:p>
          <w:p w14:paraId="05C48B47">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服务地点</w:t>
            </w:r>
          </w:p>
        </w:tc>
        <w:tc>
          <w:tcPr>
            <w:tcW w:w="1887" w:type="dxa"/>
            <w:vAlign w:val="center"/>
          </w:tcPr>
          <w:p w14:paraId="2322C6F2">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供货及安装期</w:t>
            </w:r>
          </w:p>
        </w:tc>
        <w:tc>
          <w:tcPr>
            <w:tcW w:w="2167" w:type="dxa"/>
            <w:vAlign w:val="center"/>
          </w:tcPr>
          <w:p w14:paraId="3C4E69B9">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质量要求</w:t>
            </w:r>
          </w:p>
        </w:tc>
        <w:tc>
          <w:tcPr>
            <w:tcW w:w="981" w:type="dxa"/>
            <w:vAlign w:val="center"/>
          </w:tcPr>
          <w:p w14:paraId="0111585D">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品牌</w:t>
            </w:r>
          </w:p>
        </w:tc>
        <w:tc>
          <w:tcPr>
            <w:tcW w:w="1759" w:type="dxa"/>
            <w:vAlign w:val="center"/>
          </w:tcPr>
          <w:p w14:paraId="1B5530F1">
            <w:pPr>
              <w:spacing w:line="360" w:lineRule="auto"/>
              <w:jc w:val="center"/>
              <w:rPr>
                <w:rFonts w:hint="eastAsia" w:ascii="仿宋" w:hAnsi="仿宋" w:eastAsia="仿宋" w:cs="仿宋"/>
                <w:b/>
                <w:sz w:val="24"/>
                <w:highlight w:val="none"/>
              </w:rPr>
            </w:pPr>
          </w:p>
          <w:p w14:paraId="7898A02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14:paraId="44D307AB">
            <w:pPr>
              <w:spacing w:line="360" w:lineRule="auto"/>
              <w:jc w:val="center"/>
              <w:rPr>
                <w:rFonts w:hint="eastAsia" w:ascii="仿宋" w:hAnsi="仿宋" w:eastAsia="仿宋" w:cs="仿宋"/>
                <w:b/>
                <w:sz w:val="24"/>
                <w:highlight w:val="none"/>
              </w:rPr>
            </w:pPr>
          </w:p>
        </w:tc>
      </w:tr>
      <w:tr w14:paraId="400DE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00" w:type="dxa"/>
            <w:vAlign w:val="center"/>
          </w:tcPr>
          <w:p w14:paraId="238B4FD8">
            <w:pPr>
              <w:snapToGrid w:val="0"/>
              <w:spacing w:line="360" w:lineRule="auto"/>
              <w:jc w:val="center"/>
              <w:rPr>
                <w:rFonts w:hint="eastAsia" w:ascii="仿宋" w:hAnsi="仿宋" w:eastAsia="仿宋" w:cs="仿宋"/>
                <w:sz w:val="24"/>
                <w:highlight w:val="none"/>
                <w:lang w:val="en-US" w:eastAsia="zh-CN"/>
              </w:rPr>
            </w:pPr>
          </w:p>
        </w:tc>
        <w:tc>
          <w:tcPr>
            <w:tcW w:w="2872" w:type="dxa"/>
            <w:vAlign w:val="center"/>
          </w:tcPr>
          <w:p w14:paraId="769C0D45">
            <w:pPr>
              <w:widowControl/>
              <w:jc w:val="center"/>
              <w:rPr>
                <w:rFonts w:hint="eastAsia" w:ascii="仿宋" w:hAnsi="仿宋" w:eastAsia="仿宋" w:cs="仿宋"/>
                <w:sz w:val="24"/>
                <w:highlight w:val="none"/>
              </w:rPr>
            </w:pPr>
          </w:p>
        </w:tc>
        <w:tc>
          <w:tcPr>
            <w:tcW w:w="2025" w:type="dxa"/>
            <w:vAlign w:val="center"/>
          </w:tcPr>
          <w:p w14:paraId="52FE14AA">
            <w:pPr>
              <w:snapToGrid w:val="0"/>
              <w:spacing w:line="360" w:lineRule="auto"/>
              <w:jc w:val="center"/>
              <w:rPr>
                <w:rFonts w:hint="eastAsia" w:ascii="仿宋" w:hAnsi="仿宋" w:eastAsia="仿宋" w:cs="仿宋"/>
                <w:sz w:val="24"/>
                <w:highlight w:val="none"/>
              </w:rPr>
            </w:pPr>
          </w:p>
        </w:tc>
        <w:tc>
          <w:tcPr>
            <w:tcW w:w="2000" w:type="dxa"/>
            <w:vAlign w:val="center"/>
          </w:tcPr>
          <w:p w14:paraId="04C8F706">
            <w:pPr>
              <w:snapToGrid w:val="0"/>
              <w:spacing w:line="360" w:lineRule="auto"/>
              <w:jc w:val="center"/>
              <w:rPr>
                <w:rFonts w:hint="eastAsia" w:ascii="仿宋" w:hAnsi="仿宋" w:eastAsia="仿宋" w:cs="仿宋"/>
                <w:sz w:val="24"/>
                <w:highlight w:val="none"/>
              </w:rPr>
            </w:pPr>
          </w:p>
        </w:tc>
        <w:tc>
          <w:tcPr>
            <w:tcW w:w="1887" w:type="dxa"/>
            <w:vAlign w:val="center"/>
          </w:tcPr>
          <w:p w14:paraId="7A17A696">
            <w:pPr>
              <w:snapToGrid w:val="0"/>
              <w:spacing w:line="360" w:lineRule="auto"/>
              <w:jc w:val="center"/>
              <w:rPr>
                <w:rFonts w:hint="default" w:ascii="仿宋" w:hAnsi="仿宋" w:eastAsia="仿宋" w:cs="仿宋"/>
                <w:sz w:val="24"/>
                <w:highlight w:val="none"/>
                <w:lang w:val="en-US" w:eastAsia="zh-CN"/>
              </w:rPr>
            </w:pPr>
          </w:p>
        </w:tc>
        <w:tc>
          <w:tcPr>
            <w:tcW w:w="2167" w:type="dxa"/>
            <w:vAlign w:val="center"/>
          </w:tcPr>
          <w:p w14:paraId="0DED97D6">
            <w:pPr>
              <w:spacing w:line="360" w:lineRule="auto"/>
              <w:jc w:val="center"/>
              <w:rPr>
                <w:rFonts w:hint="eastAsia" w:ascii="仿宋" w:hAnsi="仿宋" w:eastAsia="仿宋" w:cs="仿宋"/>
                <w:sz w:val="24"/>
                <w:highlight w:val="none"/>
              </w:rPr>
            </w:pPr>
          </w:p>
        </w:tc>
        <w:tc>
          <w:tcPr>
            <w:tcW w:w="981" w:type="dxa"/>
            <w:vAlign w:val="center"/>
          </w:tcPr>
          <w:p w14:paraId="5154913F">
            <w:pPr>
              <w:spacing w:line="360" w:lineRule="auto"/>
              <w:jc w:val="center"/>
              <w:rPr>
                <w:rFonts w:hint="eastAsia" w:ascii="仿宋" w:hAnsi="仿宋" w:eastAsia="仿宋" w:cs="仿宋"/>
                <w:sz w:val="24"/>
                <w:highlight w:val="none"/>
              </w:rPr>
            </w:pPr>
          </w:p>
        </w:tc>
        <w:tc>
          <w:tcPr>
            <w:tcW w:w="1759" w:type="dxa"/>
            <w:vAlign w:val="center"/>
          </w:tcPr>
          <w:p w14:paraId="06E0F8A3">
            <w:pPr>
              <w:spacing w:line="360" w:lineRule="auto"/>
              <w:jc w:val="center"/>
              <w:rPr>
                <w:rFonts w:hint="eastAsia" w:ascii="仿宋" w:hAnsi="仿宋" w:eastAsia="仿宋" w:cs="仿宋"/>
                <w:sz w:val="24"/>
                <w:highlight w:val="none"/>
              </w:rPr>
            </w:pPr>
          </w:p>
        </w:tc>
      </w:tr>
    </w:tbl>
    <w:p w14:paraId="7F066104">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44FC07DE">
      <w:pPr>
        <w:spacing w:line="360" w:lineRule="auto"/>
        <w:ind w:left="-2" w:leftChars="-1"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1、投标人需按本表格式填写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kern w:val="0"/>
          <w:sz w:val="24"/>
          <w:highlight w:val="none"/>
          <w:lang w:val="zh-CN"/>
        </w:rPr>
        <w:t>。</w:t>
      </w:r>
    </w:p>
    <w:p w14:paraId="5565A334">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；采购内容未包含在《开标一览表（报价表）》名称栏中，投标人不能作出合理解释的，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投标文件含有采购人不能接受的附加条件的，投标无效。</w:t>
      </w:r>
    </w:p>
    <w:p w14:paraId="6D1D2749">
      <w:pPr>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3、特别提示：采购机构将对项目名称和项目编号，中标供应商名称、地址和中标金额，主要中标标的名称、品牌（如果有）、规格型号、数量、单价等予以公示。</w:t>
      </w:r>
    </w:p>
    <w:p w14:paraId="3AE9EC99">
      <w:pPr>
        <w:pStyle w:val="2"/>
        <w:rPr>
          <w:rFonts w:hint="eastAsia" w:ascii="仿宋" w:hAnsi="仿宋" w:eastAsia="仿宋" w:cs="仿宋"/>
          <w:kern w:val="2"/>
          <w:sz w:val="32"/>
          <w:szCs w:val="32"/>
          <w:highlight w:val="none"/>
        </w:rPr>
      </w:pPr>
      <w:r>
        <w:rPr>
          <w:rFonts w:hint="eastAsia" w:ascii="仿宋" w:hAnsi="仿宋" w:eastAsia="仿宋" w:cs="仿宋"/>
          <w:kern w:val="0"/>
          <w:sz w:val="24"/>
          <w:highlight w:val="none"/>
          <w:lang w:val="en-US" w:eastAsia="zh-CN"/>
        </w:rPr>
        <w:t>4、 以上报价应与“报价明细清单”中的“合计”数相一致，报价明细表（详见附件）。</w:t>
      </w:r>
    </w:p>
    <w:p w14:paraId="50B3EDA6">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lang w:val="en-US" w:eastAsia="zh-CN"/>
        </w:rPr>
        <w:t>二、</w:t>
      </w:r>
      <w:r>
        <w:rPr>
          <w:rFonts w:hint="eastAsia" w:ascii="仿宋" w:hAnsi="仿宋" w:eastAsia="仿宋" w:cs="仿宋"/>
          <w:kern w:val="2"/>
          <w:sz w:val="32"/>
          <w:szCs w:val="32"/>
          <w:highlight w:val="none"/>
        </w:rPr>
        <w:t>报价明细</w:t>
      </w:r>
      <w:r>
        <w:rPr>
          <w:rFonts w:hint="eastAsia" w:ascii="仿宋" w:hAnsi="仿宋" w:eastAsia="仿宋" w:cs="仿宋"/>
          <w:kern w:val="2"/>
          <w:sz w:val="32"/>
          <w:szCs w:val="32"/>
          <w:highlight w:val="none"/>
          <w:lang w:val="en-US" w:eastAsia="zh-CN"/>
        </w:rPr>
        <w:t>表（详见附件）</w:t>
      </w:r>
    </w:p>
    <w:p w14:paraId="0CEEF80F">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项目名称：</w:t>
      </w:r>
    </w:p>
    <w:p w14:paraId="6893F73A">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项目编号：</w:t>
      </w:r>
    </w:p>
    <w:p w14:paraId="205E9424">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30775B0">
      <w:pPr>
        <w:spacing w:line="360" w:lineRule="auto"/>
        <w:rPr>
          <w:rFonts w:hint="eastAsia" w:ascii="仿宋" w:hAnsi="仿宋" w:eastAsia="仿宋" w:cs="仿宋"/>
          <w:b/>
          <w:sz w:val="24"/>
          <w:highlight w:val="none"/>
        </w:rPr>
      </w:pPr>
    </w:p>
    <w:p w14:paraId="04DF9D8C">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1</w:t>
      </w:r>
      <w:r>
        <w:rPr>
          <w:rFonts w:hint="eastAsia" w:ascii="仿宋" w:hAnsi="仿宋" w:eastAsia="仿宋" w:cs="仿宋"/>
          <w:b/>
          <w:spacing w:val="6"/>
          <w:sz w:val="32"/>
          <w:szCs w:val="32"/>
          <w:highlight w:val="none"/>
        </w:rPr>
        <w:t>：质疑函范本及制作说明</w:t>
      </w:r>
    </w:p>
    <w:p w14:paraId="77BC21ED">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40B24D35">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14:paraId="4BA1298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14:paraId="4291D02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37E6A2E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1C3B859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334A6F2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4C136E8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66F8C0B">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79B4CAD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7EA77A2D">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56F1B8E9">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14:paraId="02EC9317">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14:paraId="5CE3B13A">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057698FE">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7EAB32D2">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7DCCDED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1C7F2DE8">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30E1034">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7453A6D7">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0DC7355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5E175823">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73AB730D">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3DAA20D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7F95C40F">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288C8D10">
      <w:pPr>
        <w:spacing w:line="360" w:lineRule="auto"/>
        <w:jc w:val="center"/>
        <w:rPr>
          <w:rFonts w:hint="eastAsia" w:ascii="仿宋" w:hAnsi="仿宋" w:eastAsia="仿宋" w:cs="仿宋"/>
          <w:b/>
          <w:bCs/>
          <w:sz w:val="24"/>
          <w:highlight w:val="none"/>
        </w:rPr>
      </w:pPr>
    </w:p>
    <w:p w14:paraId="68B16EC8">
      <w:pPr>
        <w:spacing w:line="360" w:lineRule="auto"/>
        <w:rPr>
          <w:rFonts w:hint="eastAsia" w:ascii="仿宋" w:hAnsi="仿宋" w:eastAsia="仿宋" w:cs="仿宋"/>
          <w:b/>
          <w:sz w:val="24"/>
          <w:highlight w:val="none"/>
        </w:rPr>
      </w:pPr>
    </w:p>
    <w:p w14:paraId="19BE42E7">
      <w:pPr>
        <w:spacing w:line="360" w:lineRule="auto"/>
        <w:rPr>
          <w:rFonts w:hint="eastAsia" w:ascii="仿宋" w:hAnsi="仿宋" w:eastAsia="仿宋" w:cs="仿宋"/>
          <w:b/>
          <w:sz w:val="24"/>
          <w:highlight w:val="none"/>
        </w:rPr>
      </w:pPr>
    </w:p>
    <w:p w14:paraId="3D36D45B">
      <w:pPr>
        <w:spacing w:line="360" w:lineRule="auto"/>
        <w:rPr>
          <w:rFonts w:hint="eastAsia" w:ascii="仿宋" w:hAnsi="仿宋" w:eastAsia="仿宋" w:cs="仿宋"/>
          <w:b/>
          <w:sz w:val="24"/>
          <w:highlight w:val="none"/>
        </w:rPr>
      </w:pPr>
    </w:p>
    <w:p w14:paraId="67FDBCE0">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14:paraId="6CCBB120">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14:paraId="07154307">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14:paraId="7FB9660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14:paraId="0FEDA496">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12A057D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19094643">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14:paraId="111D5DF1">
      <w:pPr>
        <w:widowControl/>
        <w:spacing w:line="360" w:lineRule="auto"/>
        <w:ind w:firstLine="600" w:firstLineChars="200"/>
        <w:jc w:val="left"/>
        <w:rPr>
          <w:rFonts w:hint="eastAsia" w:ascii="仿宋" w:hAnsi="仿宋" w:eastAsia="仿宋" w:cs="仿宋"/>
          <w:sz w:val="30"/>
          <w:szCs w:val="30"/>
          <w:highlight w:val="none"/>
        </w:rPr>
      </w:pPr>
    </w:p>
    <w:p w14:paraId="03F86AE9">
      <w:pPr>
        <w:spacing w:line="360" w:lineRule="auto"/>
        <w:jc w:val="center"/>
        <w:rPr>
          <w:rFonts w:hint="eastAsia" w:ascii="仿宋" w:hAnsi="仿宋" w:eastAsia="仿宋" w:cs="仿宋"/>
          <w:b/>
          <w:spacing w:val="6"/>
          <w:sz w:val="32"/>
          <w:szCs w:val="32"/>
          <w:highlight w:val="none"/>
        </w:rPr>
      </w:pPr>
    </w:p>
    <w:p w14:paraId="443DD06E">
      <w:pPr>
        <w:spacing w:line="360" w:lineRule="auto"/>
        <w:jc w:val="center"/>
        <w:rPr>
          <w:rFonts w:hint="eastAsia" w:ascii="仿宋" w:hAnsi="仿宋" w:eastAsia="仿宋" w:cs="仿宋"/>
          <w:b/>
          <w:spacing w:val="6"/>
          <w:sz w:val="32"/>
          <w:szCs w:val="32"/>
          <w:highlight w:val="none"/>
        </w:rPr>
      </w:pPr>
    </w:p>
    <w:p w14:paraId="309CCCAF">
      <w:pPr>
        <w:spacing w:line="360" w:lineRule="auto"/>
        <w:jc w:val="center"/>
        <w:rPr>
          <w:rFonts w:hint="eastAsia" w:ascii="仿宋" w:hAnsi="仿宋" w:eastAsia="仿宋" w:cs="仿宋"/>
          <w:b/>
          <w:spacing w:val="6"/>
          <w:sz w:val="32"/>
          <w:szCs w:val="32"/>
          <w:highlight w:val="none"/>
        </w:rPr>
      </w:pPr>
    </w:p>
    <w:p w14:paraId="0A994390">
      <w:pPr>
        <w:spacing w:line="360" w:lineRule="auto"/>
        <w:jc w:val="center"/>
        <w:rPr>
          <w:rFonts w:hint="eastAsia" w:ascii="仿宋" w:hAnsi="仿宋" w:eastAsia="仿宋" w:cs="仿宋"/>
          <w:b/>
          <w:spacing w:val="6"/>
          <w:sz w:val="32"/>
          <w:szCs w:val="32"/>
          <w:highlight w:val="none"/>
        </w:rPr>
      </w:pPr>
    </w:p>
    <w:p w14:paraId="658EB939">
      <w:pPr>
        <w:spacing w:line="360" w:lineRule="auto"/>
        <w:jc w:val="center"/>
        <w:rPr>
          <w:rFonts w:hint="eastAsia" w:ascii="仿宋" w:hAnsi="仿宋" w:eastAsia="仿宋" w:cs="仿宋"/>
          <w:b/>
          <w:spacing w:val="6"/>
          <w:sz w:val="32"/>
          <w:szCs w:val="32"/>
          <w:highlight w:val="none"/>
        </w:rPr>
      </w:pPr>
    </w:p>
    <w:p w14:paraId="1BC49132">
      <w:pPr>
        <w:spacing w:line="360" w:lineRule="auto"/>
        <w:jc w:val="center"/>
        <w:rPr>
          <w:rFonts w:hint="eastAsia" w:ascii="仿宋" w:hAnsi="仿宋" w:eastAsia="仿宋" w:cs="仿宋"/>
          <w:b/>
          <w:spacing w:val="6"/>
          <w:sz w:val="32"/>
          <w:szCs w:val="32"/>
          <w:highlight w:val="none"/>
        </w:rPr>
      </w:pPr>
    </w:p>
    <w:p w14:paraId="70AE0AB4">
      <w:pPr>
        <w:spacing w:line="360" w:lineRule="auto"/>
        <w:jc w:val="center"/>
        <w:rPr>
          <w:rFonts w:hint="eastAsia" w:ascii="仿宋" w:hAnsi="仿宋" w:eastAsia="仿宋" w:cs="仿宋"/>
          <w:b/>
          <w:spacing w:val="6"/>
          <w:sz w:val="32"/>
          <w:szCs w:val="32"/>
          <w:highlight w:val="none"/>
        </w:rPr>
      </w:pPr>
    </w:p>
    <w:p w14:paraId="2C5927C9">
      <w:pPr>
        <w:spacing w:line="360" w:lineRule="auto"/>
        <w:jc w:val="center"/>
        <w:rPr>
          <w:rFonts w:hint="eastAsia" w:ascii="仿宋" w:hAnsi="仿宋" w:eastAsia="仿宋" w:cs="仿宋"/>
          <w:b/>
          <w:spacing w:val="6"/>
          <w:sz w:val="32"/>
          <w:szCs w:val="32"/>
          <w:highlight w:val="none"/>
        </w:rPr>
      </w:pPr>
    </w:p>
    <w:p w14:paraId="3A7A382D">
      <w:pPr>
        <w:spacing w:line="360" w:lineRule="auto"/>
        <w:jc w:val="center"/>
        <w:rPr>
          <w:rFonts w:hint="eastAsia" w:ascii="仿宋" w:hAnsi="仿宋" w:eastAsia="仿宋" w:cs="仿宋"/>
          <w:b/>
          <w:spacing w:val="6"/>
          <w:sz w:val="32"/>
          <w:szCs w:val="32"/>
          <w:highlight w:val="none"/>
        </w:rPr>
      </w:pPr>
    </w:p>
    <w:p w14:paraId="2CCAFD82">
      <w:pPr>
        <w:spacing w:line="360" w:lineRule="auto"/>
        <w:jc w:val="center"/>
        <w:rPr>
          <w:rFonts w:hint="eastAsia" w:ascii="仿宋" w:hAnsi="仿宋" w:eastAsia="仿宋" w:cs="仿宋"/>
          <w:b/>
          <w:spacing w:val="6"/>
          <w:sz w:val="32"/>
          <w:szCs w:val="32"/>
          <w:highlight w:val="none"/>
        </w:rPr>
      </w:pPr>
    </w:p>
    <w:p w14:paraId="706CD67E">
      <w:pPr>
        <w:spacing w:line="360" w:lineRule="auto"/>
        <w:jc w:val="center"/>
        <w:rPr>
          <w:rFonts w:hint="eastAsia" w:ascii="仿宋" w:hAnsi="仿宋" w:eastAsia="仿宋" w:cs="仿宋"/>
          <w:b/>
          <w:spacing w:val="6"/>
          <w:sz w:val="32"/>
          <w:szCs w:val="32"/>
          <w:highlight w:val="none"/>
        </w:rPr>
      </w:pPr>
    </w:p>
    <w:p w14:paraId="5C59080A">
      <w:pPr>
        <w:spacing w:line="360" w:lineRule="auto"/>
        <w:jc w:val="center"/>
        <w:rPr>
          <w:rFonts w:hint="eastAsia" w:ascii="仿宋" w:hAnsi="仿宋" w:eastAsia="仿宋" w:cs="仿宋"/>
          <w:b/>
          <w:spacing w:val="6"/>
          <w:sz w:val="32"/>
          <w:szCs w:val="32"/>
          <w:highlight w:val="none"/>
        </w:rPr>
      </w:pPr>
    </w:p>
    <w:p w14:paraId="6F623908">
      <w:pPr>
        <w:spacing w:line="360" w:lineRule="auto"/>
        <w:jc w:val="left"/>
        <w:rPr>
          <w:rFonts w:hint="eastAsia" w:ascii="仿宋" w:hAnsi="仿宋" w:eastAsia="仿宋" w:cs="仿宋"/>
          <w:b/>
          <w:spacing w:val="6"/>
          <w:sz w:val="32"/>
          <w:szCs w:val="32"/>
          <w:highlight w:val="none"/>
        </w:rPr>
      </w:pPr>
    </w:p>
    <w:p w14:paraId="5D3AA108">
      <w:pPr>
        <w:spacing w:line="360" w:lineRule="auto"/>
        <w:jc w:val="left"/>
        <w:rPr>
          <w:rFonts w:hint="eastAsia" w:ascii="仿宋" w:hAnsi="仿宋" w:eastAsia="仿宋" w:cs="仿宋"/>
          <w:b/>
          <w:spacing w:val="6"/>
          <w:sz w:val="32"/>
          <w:szCs w:val="32"/>
          <w:highlight w:val="none"/>
        </w:rPr>
      </w:pPr>
    </w:p>
    <w:p w14:paraId="6191B19B">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2</w:t>
      </w:r>
      <w:r>
        <w:rPr>
          <w:rFonts w:hint="eastAsia" w:ascii="仿宋" w:hAnsi="仿宋" w:eastAsia="仿宋" w:cs="仿宋"/>
          <w:b/>
          <w:spacing w:val="6"/>
          <w:sz w:val="32"/>
          <w:szCs w:val="32"/>
          <w:highlight w:val="none"/>
        </w:rPr>
        <w:t>：投诉书范本及制作说明</w:t>
      </w:r>
    </w:p>
    <w:p w14:paraId="375BAB87">
      <w:pPr>
        <w:spacing w:line="360" w:lineRule="auto"/>
        <w:jc w:val="center"/>
        <w:rPr>
          <w:rFonts w:hint="eastAsia" w:ascii="仿宋" w:hAnsi="仿宋" w:eastAsia="仿宋" w:cs="仿宋"/>
          <w:b/>
          <w:sz w:val="24"/>
          <w:highlight w:val="none"/>
        </w:rPr>
      </w:pPr>
    </w:p>
    <w:p w14:paraId="064F1912">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2E0F68DF">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14:paraId="445A0BC7">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387302F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6D24A520">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0F10E3AF">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3F8ADAF">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2AA2702">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2361166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E17E55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4269C0F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1B59F8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5749FB4C">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73C8D38D">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7C38659">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4FCEC52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4287A92">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14:paraId="6EF793E6">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57C49D3C">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0069D373">
      <w:pPr>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6433258">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6984968B">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55C40E8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1422FFB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14:paraId="43FC0A2D">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5E5335F8">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27ED66D1">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138284C9">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14:paraId="0D2348F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4B917B52">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14F91D7A">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679C07B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78E516C3">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2733C0D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279D5094">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340C5CE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14:paraId="235AD30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06D561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 xml:space="preserve">                                                                                                    </w:t>
      </w:r>
    </w:p>
    <w:p w14:paraId="0F0829F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2DAB556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0600F040">
      <w:pPr>
        <w:spacing w:line="360" w:lineRule="auto"/>
        <w:rPr>
          <w:rFonts w:hint="eastAsia" w:ascii="仿宋" w:hAnsi="仿宋" w:eastAsia="仿宋" w:cs="仿宋"/>
          <w:b/>
          <w:sz w:val="24"/>
          <w:highlight w:val="none"/>
        </w:rPr>
      </w:pPr>
    </w:p>
    <w:p w14:paraId="51DCE23D">
      <w:pPr>
        <w:spacing w:line="360" w:lineRule="auto"/>
        <w:rPr>
          <w:rFonts w:hint="eastAsia" w:ascii="仿宋" w:hAnsi="仿宋" w:eastAsia="仿宋" w:cs="仿宋"/>
          <w:b/>
          <w:sz w:val="24"/>
          <w:highlight w:val="none"/>
        </w:rPr>
      </w:pPr>
    </w:p>
    <w:p w14:paraId="766CE30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7153A6E0">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14:paraId="0872459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31C22897">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18A7AB7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5F7E485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6F394934">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5158E5D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4F77BCE0">
      <w:pPr>
        <w:spacing w:line="360" w:lineRule="auto"/>
        <w:rPr>
          <w:rFonts w:hint="eastAsia" w:ascii="仿宋" w:hAnsi="仿宋" w:eastAsia="仿宋" w:cs="仿宋"/>
          <w:b/>
          <w:sz w:val="24"/>
          <w:highlight w:val="none"/>
        </w:rPr>
      </w:pPr>
    </w:p>
    <w:p w14:paraId="68B0E8BC">
      <w:pPr>
        <w:autoSpaceDE w:val="0"/>
        <w:autoSpaceDN w:val="0"/>
        <w:jc w:val="center"/>
        <w:rPr>
          <w:rFonts w:hint="eastAsia" w:ascii="仿宋" w:hAnsi="仿宋" w:eastAsia="仿宋" w:cs="仿宋"/>
          <w:b/>
          <w:spacing w:val="6"/>
          <w:sz w:val="32"/>
          <w:szCs w:val="32"/>
          <w:highlight w:val="none"/>
        </w:rPr>
      </w:pPr>
    </w:p>
    <w:p w14:paraId="33F3F5FF">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3</w:t>
      </w:r>
      <w:r>
        <w:rPr>
          <w:rFonts w:hint="eastAsia" w:ascii="仿宋" w:hAnsi="仿宋" w:eastAsia="仿宋" w:cs="仿宋"/>
          <w:b/>
          <w:spacing w:val="6"/>
          <w:sz w:val="32"/>
          <w:szCs w:val="32"/>
          <w:highlight w:val="none"/>
        </w:rPr>
        <w:t>：</w:t>
      </w:r>
      <w:r>
        <w:rPr>
          <w:rFonts w:hint="eastAsia" w:ascii="仿宋" w:hAnsi="仿宋" w:eastAsia="仿宋" w:cs="仿宋"/>
          <w:b/>
          <w:bCs/>
          <w:sz w:val="32"/>
          <w:szCs w:val="32"/>
          <w:highlight w:val="none"/>
        </w:rPr>
        <w:t>业务专用章使用说明函</w:t>
      </w:r>
    </w:p>
    <w:p w14:paraId="07786A01">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p>
    <w:p w14:paraId="442CE4C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你方组织的（项目名称）项目【招标编号：（采购编号）】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0FCE840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553E4A27">
      <w:pPr>
        <w:spacing w:line="360" w:lineRule="auto"/>
        <w:ind w:firstLine="494"/>
        <w:rPr>
          <w:rFonts w:hint="eastAsia" w:ascii="仿宋" w:hAnsi="仿宋" w:eastAsia="仿宋" w:cs="仿宋"/>
          <w:sz w:val="24"/>
          <w:highlight w:val="none"/>
        </w:rPr>
      </w:pPr>
    </w:p>
    <w:p w14:paraId="342C62CB">
      <w:pPr>
        <w:spacing w:line="360" w:lineRule="auto"/>
        <w:ind w:firstLine="494"/>
        <w:rPr>
          <w:rFonts w:hint="eastAsia" w:ascii="仿宋" w:hAnsi="仿宋" w:eastAsia="仿宋" w:cs="仿宋"/>
          <w:sz w:val="24"/>
          <w:highlight w:val="none"/>
        </w:rPr>
      </w:pPr>
    </w:p>
    <w:p w14:paraId="1E09C9C6">
      <w:pPr>
        <w:spacing w:line="360" w:lineRule="auto"/>
        <w:ind w:firstLine="494"/>
        <w:rPr>
          <w:rFonts w:hint="eastAsia" w:ascii="仿宋" w:hAnsi="仿宋" w:eastAsia="仿宋" w:cs="仿宋"/>
          <w:sz w:val="24"/>
          <w:highlight w:val="none"/>
        </w:rPr>
      </w:pPr>
    </w:p>
    <w:p w14:paraId="6499D329">
      <w:pPr>
        <w:spacing w:line="360" w:lineRule="auto"/>
        <w:ind w:firstLine="494"/>
        <w:rPr>
          <w:rFonts w:hint="eastAsia" w:ascii="仿宋" w:hAnsi="仿宋" w:eastAsia="仿宋" w:cs="仿宋"/>
          <w:sz w:val="24"/>
          <w:highlight w:val="none"/>
        </w:rPr>
      </w:pPr>
    </w:p>
    <w:p w14:paraId="16A92DBE">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rPr>
        <w:t>投标单位（法定名称章）：</w:t>
      </w:r>
    </w:p>
    <w:p w14:paraId="1FD4495F">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14718B63">
      <w:pPr>
        <w:rPr>
          <w:rFonts w:hint="eastAsia" w:ascii="仿宋" w:hAnsi="仿宋" w:eastAsia="仿宋" w:cs="仿宋"/>
          <w:sz w:val="24"/>
          <w:highlight w:val="none"/>
        </w:rPr>
      </w:pPr>
      <w:r>
        <w:rPr>
          <w:rFonts w:hint="eastAsia" w:ascii="仿宋" w:hAnsi="仿宋" w:eastAsia="仿宋" w:cs="仿宋"/>
          <w:b/>
          <w:bCs/>
          <w:sz w:val="24"/>
          <w:highlight w:val="none"/>
        </w:rPr>
        <w:t>附：</w:t>
      </w:r>
    </w:p>
    <w:p w14:paraId="647C440A">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投标单位法定名称章（印模）                投标单位“XX专用章”（印模）</w:t>
      </w:r>
    </w:p>
    <w:p w14:paraId="38BD97E7">
      <w:pPr>
        <w:autoSpaceDE w:val="0"/>
        <w:autoSpaceDN w:val="0"/>
        <w:jc w:val="center"/>
        <w:rPr>
          <w:rFonts w:hint="eastAsia" w:ascii="仿宋" w:hAnsi="仿宋" w:eastAsia="仿宋" w:cs="仿宋"/>
          <w:b/>
          <w:spacing w:val="6"/>
          <w:sz w:val="32"/>
          <w:szCs w:val="32"/>
          <w:highlight w:val="none"/>
        </w:rPr>
      </w:pPr>
    </w:p>
    <w:p w14:paraId="0FCE801A">
      <w:pPr>
        <w:autoSpaceDE w:val="0"/>
        <w:autoSpaceDN w:val="0"/>
        <w:jc w:val="center"/>
        <w:rPr>
          <w:rFonts w:hint="eastAsia" w:ascii="仿宋" w:hAnsi="仿宋" w:eastAsia="仿宋" w:cs="仿宋"/>
          <w:b/>
          <w:spacing w:val="6"/>
          <w:sz w:val="32"/>
          <w:szCs w:val="32"/>
          <w:highlight w:val="none"/>
        </w:rPr>
      </w:pPr>
    </w:p>
    <w:p w14:paraId="120E9DC2">
      <w:pPr>
        <w:autoSpaceDE w:val="0"/>
        <w:autoSpaceDN w:val="0"/>
        <w:jc w:val="center"/>
        <w:rPr>
          <w:rFonts w:hint="eastAsia" w:ascii="仿宋" w:hAnsi="仿宋" w:eastAsia="仿宋" w:cs="仿宋"/>
          <w:b/>
          <w:spacing w:val="6"/>
          <w:sz w:val="32"/>
          <w:szCs w:val="32"/>
          <w:highlight w:val="none"/>
        </w:rPr>
      </w:pPr>
    </w:p>
    <w:p w14:paraId="10B3CD3F">
      <w:pPr>
        <w:autoSpaceDE w:val="0"/>
        <w:autoSpaceDN w:val="0"/>
        <w:jc w:val="center"/>
        <w:rPr>
          <w:rFonts w:hint="eastAsia" w:ascii="仿宋" w:hAnsi="仿宋" w:eastAsia="仿宋" w:cs="仿宋"/>
          <w:b/>
          <w:spacing w:val="6"/>
          <w:sz w:val="32"/>
          <w:szCs w:val="32"/>
          <w:highlight w:val="none"/>
        </w:rPr>
      </w:pPr>
    </w:p>
    <w:p w14:paraId="067FC58E">
      <w:pPr>
        <w:autoSpaceDE w:val="0"/>
        <w:autoSpaceDN w:val="0"/>
        <w:jc w:val="center"/>
        <w:rPr>
          <w:rFonts w:hint="eastAsia" w:ascii="仿宋" w:hAnsi="仿宋" w:eastAsia="仿宋" w:cs="仿宋"/>
          <w:b/>
          <w:spacing w:val="6"/>
          <w:sz w:val="32"/>
          <w:szCs w:val="32"/>
          <w:highlight w:val="none"/>
        </w:rPr>
      </w:pPr>
    </w:p>
    <w:p w14:paraId="11F30FF7">
      <w:pPr>
        <w:autoSpaceDE w:val="0"/>
        <w:autoSpaceDN w:val="0"/>
        <w:jc w:val="center"/>
        <w:rPr>
          <w:rFonts w:hint="eastAsia" w:ascii="仿宋" w:hAnsi="仿宋" w:eastAsia="仿宋" w:cs="仿宋"/>
          <w:b/>
          <w:spacing w:val="6"/>
          <w:sz w:val="32"/>
          <w:szCs w:val="32"/>
          <w:highlight w:val="none"/>
        </w:rPr>
      </w:pPr>
    </w:p>
    <w:p w14:paraId="76320C1B">
      <w:pPr>
        <w:autoSpaceDE w:val="0"/>
        <w:autoSpaceDN w:val="0"/>
        <w:jc w:val="center"/>
        <w:rPr>
          <w:rFonts w:hint="eastAsia" w:ascii="仿宋" w:hAnsi="仿宋" w:eastAsia="仿宋" w:cs="仿宋"/>
          <w:b/>
          <w:spacing w:val="6"/>
          <w:sz w:val="32"/>
          <w:szCs w:val="32"/>
          <w:highlight w:val="none"/>
        </w:rPr>
      </w:pPr>
    </w:p>
    <w:p w14:paraId="068E0B0C">
      <w:pPr>
        <w:autoSpaceDE w:val="0"/>
        <w:autoSpaceDN w:val="0"/>
        <w:jc w:val="center"/>
        <w:rPr>
          <w:rFonts w:hint="eastAsia" w:ascii="仿宋" w:hAnsi="仿宋" w:eastAsia="仿宋" w:cs="仿宋"/>
          <w:b/>
          <w:spacing w:val="6"/>
          <w:sz w:val="32"/>
          <w:szCs w:val="32"/>
          <w:highlight w:val="none"/>
        </w:rPr>
      </w:pPr>
    </w:p>
    <w:p w14:paraId="796E69FA">
      <w:pPr>
        <w:autoSpaceDE w:val="0"/>
        <w:autoSpaceDN w:val="0"/>
        <w:jc w:val="center"/>
        <w:rPr>
          <w:rFonts w:hint="eastAsia" w:ascii="仿宋" w:hAnsi="仿宋" w:eastAsia="仿宋" w:cs="仿宋"/>
          <w:b/>
          <w:spacing w:val="6"/>
          <w:sz w:val="32"/>
          <w:szCs w:val="32"/>
          <w:highlight w:val="none"/>
        </w:rPr>
      </w:pPr>
    </w:p>
    <w:p w14:paraId="6DEF447B">
      <w:pPr>
        <w:autoSpaceDE w:val="0"/>
        <w:autoSpaceDN w:val="0"/>
        <w:jc w:val="center"/>
        <w:rPr>
          <w:rFonts w:hint="eastAsia" w:ascii="仿宋" w:hAnsi="仿宋" w:eastAsia="仿宋" w:cs="仿宋"/>
          <w:b/>
          <w:spacing w:val="6"/>
          <w:sz w:val="32"/>
          <w:szCs w:val="32"/>
          <w:highlight w:val="none"/>
        </w:rPr>
      </w:pPr>
    </w:p>
    <w:p w14:paraId="60E2F38C">
      <w:pPr>
        <w:autoSpaceDE w:val="0"/>
        <w:autoSpaceDN w:val="0"/>
        <w:jc w:val="center"/>
        <w:rPr>
          <w:rFonts w:hint="eastAsia" w:ascii="仿宋" w:hAnsi="仿宋" w:eastAsia="仿宋" w:cs="仿宋"/>
          <w:b/>
          <w:spacing w:val="6"/>
          <w:sz w:val="32"/>
          <w:szCs w:val="32"/>
          <w:highlight w:val="none"/>
        </w:rPr>
      </w:pPr>
    </w:p>
    <w:p w14:paraId="51A812D2">
      <w:pPr>
        <w:autoSpaceDE w:val="0"/>
        <w:autoSpaceDN w:val="0"/>
        <w:jc w:val="center"/>
        <w:rPr>
          <w:rFonts w:hint="eastAsia" w:ascii="仿宋" w:hAnsi="仿宋" w:eastAsia="仿宋" w:cs="仿宋"/>
          <w:b/>
          <w:spacing w:val="6"/>
          <w:sz w:val="32"/>
          <w:szCs w:val="32"/>
          <w:highlight w:val="none"/>
        </w:rPr>
      </w:pPr>
    </w:p>
    <w:p w14:paraId="4BC24E1D">
      <w:pPr>
        <w:spacing w:line="360" w:lineRule="auto"/>
        <w:jc w:val="both"/>
        <w:rPr>
          <w:rFonts w:hint="eastAsia" w:ascii="仿宋" w:hAnsi="仿宋" w:eastAsia="仿宋" w:cs="仿宋"/>
          <w:b/>
          <w:sz w:val="32"/>
          <w:szCs w:val="32"/>
          <w:highlight w:val="none"/>
        </w:rPr>
      </w:pPr>
    </w:p>
    <w:p w14:paraId="61012557">
      <w:pPr>
        <w:spacing w:line="360" w:lineRule="auto"/>
        <w:jc w:val="center"/>
        <w:rPr>
          <w:rFonts w:hint="eastAsia" w:ascii="仿宋" w:hAnsi="仿宋" w:eastAsia="仿宋" w:cs="仿宋"/>
          <w:b/>
          <w:sz w:val="32"/>
          <w:szCs w:val="32"/>
          <w:highlight w:val="none"/>
        </w:rPr>
      </w:pPr>
    </w:p>
    <w:p w14:paraId="4B7F6F9E">
      <w:pPr>
        <w:spacing w:line="360" w:lineRule="auto"/>
        <w:rPr>
          <w:rFonts w:hint="eastAsia" w:ascii="仿宋" w:hAnsi="仿宋" w:eastAsia="仿宋" w:cs="仿宋"/>
          <w:bCs/>
          <w:sz w:val="24"/>
          <w:highlight w:val="none"/>
        </w:rPr>
      </w:pPr>
    </w:p>
    <w:p w14:paraId="62D82F10">
      <w:pPr>
        <w:rPr>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decorative"/>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6F47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035D07">
    <w:pPr>
      <w:pStyle w:val="39"/>
      <w:framePr w:wrap="around" w:vAnchor="text" w:hAnchor="margin" w:xAlign="right" w:y="1"/>
      <w:rPr>
        <w:rStyle w:val="73"/>
      </w:rPr>
    </w:pPr>
    <w:r>
      <w:fldChar w:fldCharType="begin"/>
    </w:r>
    <w:r>
      <w:rPr>
        <w:rStyle w:val="73"/>
      </w:rPr>
      <w:instrText xml:space="preserve">PAGE  </w:instrText>
    </w:r>
    <w:r>
      <w:fldChar w:fldCharType="end"/>
    </w:r>
  </w:p>
  <w:p w14:paraId="7DEB44D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9FC4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28DBA">
    <w:pPr>
      <w:pStyle w:val="39"/>
      <w:ind w:right="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FCAD8">
                          <w:pPr>
                            <w:pStyle w:val="39"/>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A3FCAD8">
                    <w:pPr>
                      <w:pStyle w:val="39"/>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BD71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773C9760">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1C47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5D6B780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511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5F6EAE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8A84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03DCF1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5CF4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6FDDFB0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5880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2BB5E3F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9FB9D">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35E3A">
    <w:pPr>
      <w:pStyle w:val="39"/>
      <w:framePr w:wrap="around" w:vAnchor="text" w:hAnchor="margin" w:xAlign="right" w:y="1"/>
      <w:rPr>
        <w:rStyle w:val="73"/>
      </w:rPr>
    </w:pPr>
    <w:r>
      <w:fldChar w:fldCharType="begin"/>
    </w:r>
    <w:r>
      <w:rPr>
        <w:rStyle w:val="73"/>
      </w:rPr>
      <w:instrText xml:space="preserve">PAGE  </w:instrText>
    </w:r>
    <w:r>
      <w:fldChar w:fldCharType="end"/>
    </w:r>
  </w:p>
  <w:p w14:paraId="5FFD5BCF">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45BB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395" w:name="_Toc91899912"/>
    <w:bookmarkStart w:id="396" w:name="_Toc164085800"/>
    <w:bookmarkStart w:id="397" w:name="_Toc131845147"/>
    <w:bookmarkStart w:id="398" w:name="_Toc36110187"/>
    <w:r>
      <w:rPr>
        <w:rFonts w:hint="eastAsia" w:ascii="仿宋_GB2312" w:eastAsia="仿宋_GB2312"/>
        <w:kern w:val="0"/>
        <w:szCs w:val="21"/>
      </w:rPr>
      <w:t xml:space="preserve"> 页</w:t>
    </w:r>
    <w:bookmarkEnd w:id="395"/>
    <w:bookmarkEnd w:id="396"/>
    <w:bookmarkEnd w:id="397"/>
    <w:bookmarkEnd w:id="39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CF557">
    <w:pPr>
      <w:pStyle w:val="40"/>
      <w:pBdr>
        <w:bottom w:val="none" w:color="auto" w:sz="0" w:space="4"/>
      </w:pBdr>
      <w:jc w:val="right"/>
    </w:pPr>
    <w:r>
      <w:t></w:t>
    </w:r>
    <w:r>
      <w:rPr>
        <w:rFonts w:hint="eastAsia"/>
      </w:rPr>
      <w:t xml:space="preserve">     </w:t>
    </w:r>
  </w:p>
  <w:p w14:paraId="053121CD">
    <w:pPr>
      <w:pStyle w:val="58"/>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0517D">
    <w:pPr>
      <w:pStyle w:val="40"/>
      <w:pBdr>
        <w:bottom w:val="none" w:color="auto" w:sz="0" w:space="0"/>
      </w:pBdr>
      <w:tabs>
        <w:tab w:val="center" w:pos="4535"/>
        <w:tab w:val="right" w:pos="9070"/>
        <w:tab w:val="clear" w:pos="4153"/>
        <w:tab w:val="clear" w:pos="8306"/>
      </w:tabs>
      <w:jc w:val="right"/>
    </w:pPr>
    <w:r>
      <w:rPr>
        <w:lang w:val="zh-CN"/>
      </w:rPr>
      <w:t></w:t>
    </w:r>
    <w:r>
      <w:tab/>
    </w:r>
    <w:r>
      <w:rPr>
        <w:lang w:val="zh-CN"/>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47A9E">
    <w:pPr>
      <w:pStyle w:val="4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D110E">
    <w:pPr>
      <w:pStyle w:val="40"/>
      <w:pBdr>
        <w:bottom w:val="none" w:color="auto" w:sz="0" w:space="1"/>
      </w:pBdr>
      <w:rPr>
        <w:rFonts w:ascii="仿宋_GB2312" w:eastAsia="仿宋_GB2312"/>
        <w:b/>
        <w:i/>
        <w:u w:val="single"/>
      </w:rPr>
    </w:pPr>
    <w:r>
      <w:t></w:t>
    </w: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0A71B">
    <w:pPr>
      <w:pStyle w:val="40"/>
      <w:pBdr>
        <w:bottom w:val="none" w:color="auto" w:sz="0" w:space="1"/>
      </w:pBdr>
    </w:pPr>
    <w:r>
      <w:t></w:t>
    </w:r>
    <w:r>
      <w:rPr>
        <w:rFonts w:hint="eastAsia"/>
      </w:rPr>
      <w:t xml:space="preserve">         </w:t>
    </w:r>
  </w:p>
  <w:p w14:paraId="51FC2348">
    <w:pPr>
      <w:pStyle w:val="40"/>
      <w:pBdr>
        <w:bottom w:val="none" w:color="auto" w:sz="0" w:space="1"/>
      </w:pBdr>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0DDA0">
    <w:pPr>
      <w:pStyle w:val="40"/>
      <w:pBdr>
        <w:bottom w:val="none" w:color="auto" w:sz="0" w:space="1"/>
      </w:pBdr>
      <w:rPr>
        <w:rFonts w:ascii="仿宋_GB2312" w:eastAsia="仿宋_GB2312"/>
        <w:b/>
        <w:i/>
        <w:u w:val="single"/>
      </w:rPr>
    </w:pPr>
    <w:r>
      <w:t></w:t>
    </w:r>
    <w:r>
      <w:rPr>
        <w:rFonts w:hint="eastAsia"/>
      </w:rPr>
      <w:t xml:space="preserve">                                         </w:t>
    </w:r>
  </w:p>
  <w:p w14:paraId="5006BE40">
    <w:pPr>
      <w:pBdr>
        <w:bottom w:val="none" w:color="auto" w:sz="0" w:space="0"/>
      </w:pBd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DEF00">
    <w:pPr>
      <w:pStyle w:val="40"/>
      <w:pBdr>
        <w:bottom w:val="none" w:color="auto" w:sz="0" w:space="1"/>
      </w:pBdr>
    </w:pPr>
    <w:r>
      <w:t></w:t>
    </w:r>
    <w:r>
      <w:rPr>
        <w:rFonts w:hint="eastAsia"/>
      </w:rPr>
      <w:t xml:space="preserve">         </w:t>
    </w:r>
  </w:p>
  <w:p w14:paraId="3BED3B99">
    <w:pPr>
      <w:pStyle w:val="40"/>
      <w:pBdr>
        <w:bottom w:val="none" w:color="auto" w:sz="0" w:space="1"/>
      </w:pBdr>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A2E35">
    <w:pPr>
      <w:pStyle w:val="40"/>
      <w:pBdr>
        <w:bottom w:val="none" w:color="auto" w:sz="0" w:space="1"/>
      </w:pBdr>
      <w:jc w:val="right"/>
      <w:rPr>
        <w:rFonts w:ascii="仿宋_GB2312" w:eastAsia="仿宋_GB2312"/>
        <w:b/>
        <w:i/>
        <w:u w:val="single"/>
      </w:rPr>
    </w:pPr>
    <w:r>
      <w:rPr>
        <w:rFonts w:hint="eastAsia"/>
      </w:rPr>
      <w:t xml:space="preserve">                              </w:t>
    </w:r>
  </w:p>
  <w:p w14:paraId="61307DDD">
    <w:pPr>
      <w:pBdr>
        <w:bottom w:val="none" w:color="auto" w:sz="0" w:space="0"/>
      </w:pBd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57F74">
    <w:pPr>
      <w:pStyle w:val="40"/>
      <w:pBdr>
        <w:bottom w:val="none" w:color="auto" w:sz="0" w:space="1"/>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13A42">
    <w:pPr>
      <w:pStyle w:val="40"/>
      <w:pBdr>
        <w:bottom w:val="none" w:color="auto" w:sz="0" w:space="1"/>
      </w:pBdr>
      <w:jc w:val="right"/>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02CE1">
    <w:pPr>
      <w:pStyle w:val="40"/>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2C0529"/>
    <w:multiLevelType w:val="singleLevel"/>
    <w:tmpl w:val="992C0529"/>
    <w:lvl w:ilvl="0" w:tentative="0">
      <w:start w:val="4"/>
      <w:numFmt w:val="decimal"/>
      <w:suff w:val="nothing"/>
      <w:lvlText w:val="%1、"/>
      <w:lvlJc w:val="left"/>
    </w:lvl>
  </w:abstractNum>
  <w:abstractNum w:abstractNumId="1">
    <w:nsid w:val="EE3023FA"/>
    <w:multiLevelType w:val="singleLevel"/>
    <w:tmpl w:val="EE3023FA"/>
    <w:lvl w:ilvl="0" w:tentative="0">
      <w:start w:val="2"/>
      <w:numFmt w:val="decimal"/>
      <w:lvlText w:val="%1."/>
      <w:lvlJc w:val="left"/>
      <w:pPr>
        <w:tabs>
          <w:tab w:val="left" w:pos="312"/>
        </w:tabs>
      </w:pPr>
    </w:lvl>
  </w:abstractNum>
  <w:abstractNum w:abstractNumId="2">
    <w:nsid w:val="2079463E"/>
    <w:multiLevelType w:val="singleLevel"/>
    <w:tmpl w:val="2079463E"/>
    <w:lvl w:ilvl="0" w:tentative="0">
      <w:start w:val="1"/>
      <w:numFmt w:val="decimal"/>
      <w:suff w:val="nothing"/>
      <w:lvlText w:val="%1、"/>
      <w:lvlJc w:val="left"/>
    </w:lvl>
  </w:abstractNum>
  <w:abstractNum w:abstractNumId="3">
    <w:nsid w:val="4D4467D0"/>
    <w:multiLevelType w:val="singleLevel"/>
    <w:tmpl w:val="4D4467D0"/>
    <w:lvl w:ilvl="0" w:tentative="0">
      <w:start w:val="1"/>
      <w:numFmt w:val="decimal"/>
      <w:suff w:val="nothing"/>
      <w:lvlText w:val="（%1）"/>
      <w:lvlJc w:val="left"/>
    </w:lvl>
  </w:abstractNum>
  <w:abstractNum w:abstractNumId="4">
    <w:nsid w:val="629AF815"/>
    <w:multiLevelType w:val="singleLevel"/>
    <w:tmpl w:val="629AF815"/>
    <w:lvl w:ilvl="0" w:tentative="0">
      <w:start w:val="4"/>
      <w:numFmt w:val="decimal"/>
      <w:suff w:val="nothing"/>
      <w:lvlText w:val="%1、"/>
      <w:lvlJc w:val="left"/>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3ZTZmNGVlZjljZWYzYjg4MjQzM2UwNWEyYTQ1Zm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464"/>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272"/>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7535F8"/>
    <w:rsid w:val="019F7441"/>
    <w:rsid w:val="01A43482"/>
    <w:rsid w:val="01B37585"/>
    <w:rsid w:val="01D55165"/>
    <w:rsid w:val="01D77941"/>
    <w:rsid w:val="01DF6BF8"/>
    <w:rsid w:val="01EC2C57"/>
    <w:rsid w:val="023200F8"/>
    <w:rsid w:val="02557C87"/>
    <w:rsid w:val="025F0711"/>
    <w:rsid w:val="026B2E25"/>
    <w:rsid w:val="02824D4D"/>
    <w:rsid w:val="02C24BF1"/>
    <w:rsid w:val="02DC4B10"/>
    <w:rsid w:val="02DD76CE"/>
    <w:rsid w:val="02F36323"/>
    <w:rsid w:val="02F5619C"/>
    <w:rsid w:val="0326446A"/>
    <w:rsid w:val="032D5555"/>
    <w:rsid w:val="036634D2"/>
    <w:rsid w:val="03857E60"/>
    <w:rsid w:val="03DD35E4"/>
    <w:rsid w:val="04076900"/>
    <w:rsid w:val="041A5A3B"/>
    <w:rsid w:val="042311BA"/>
    <w:rsid w:val="042B157A"/>
    <w:rsid w:val="043438CC"/>
    <w:rsid w:val="047414D8"/>
    <w:rsid w:val="048F763B"/>
    <w:rsid w:val="049F330E"/>
    <w:rsid w:val="04AA775C"/>
    <w:rsid w:val="04AF1889"/>
    <w:rsid w:val="04C77768"/>
    <w:rsid w:val="04F66F48"/>
    <w:rsid w:val="05251E14"/>
    <w:rsid w:val="058C6D8B"/>
    <w:rsid w:val="059047BB"/>
    <w:rsid w:val="059211F2"/>
    <w:rsid w:val="05A16594"/>
    <w:rsid w:val="05A7762D"/>
    <w:rsid w:val="05A84572"/>
    <w:rsid w:val="05DE61E6"/>
    <w:rsid w:val="060E5941"/>
    <w:rsid w:val="06110FAF"/>
    <w:rsid w:val="06462D5B"/>
    <w:rsid w:val="06493CA7"/>
    <w:rsid w:val="065A6178"/>
    <w:rsid w:val="066F1CF3"/>
    <w:rsid w:val="06930BB8"/>
    <w:rsid w:val="069639E4"/>
    <w:rsid w:val="06BF2E4B"/>
    <w:rsid w:val="06E670D4"/>
    <w:rsid w:val="06F23CF7"/>
    <w:rsid w:val="07245D42"/>
    <w:rsid w:val="07264C62"/>
    <w:rsid w:val="0779354C"/>
    <w:rsid w:val="07B5708F"/>
    <w:rsid w:val="08056AEF"/>
    <w:rsid w:val="08061376"/>
    <w:rsid w:val="0845185E"/>
    <w:rsid w:val="08452D77"/>
    <w:rsid w:val="086401F8"/>
    <w:rsid w:val="0868109B"/>
    <w:rsid w:val="0869448C"/>
    <w:rsid w:val="08751CAA"/>
    <w:rsid w:val="087E4C40"/>
    <w:rsid w:val="088E6E4A"/>
    <w:rsid w:val="08964B56"/>
    <w:rsid w:val="08A871D0"/>
    <w:rsid w:val="08D66AD6"/>
    <w:rsid w:val="08DA33A3"/>
    <w:rsid w:val="08E80F13"/>
    <w:rsid w:val="09335624"/>
    <w:rsid w:val="093648CC"/>
    <w:rsid w:val="0944690F"/>
    <w:rsid w:val="09535675"/>
    <w:rsid w:val="095F057D"/>
    <w:rsid w:val="09634701"/>
    <w:rsid w:val="09642282"/>
    <w:rsid w:val="09733572"/>
    <w:rsid w:val="09772C16"/>
    <w:rsid w:val="098353B5"/>
    <w:rsid w:val="09A92330"/>
    <w:rsid w:val="09B06B87"/>
    <w:rsid w:val="09C13146"/>
    <w:rsid w:val="09E04166"/>
    <w:rsid w:val="0A1C0718"/>
    <w:rsid w:val="0A3E7710"/>
    <w:rsid w:val="0A5B7E63"/>
    <w:rsid w:val="0AA374A5"/>
    <w:rsid w:val="0AAB7649"/>
    <w:rsid w:val="0ABC5606"/>
    <w:rsid w:val="0B05444C"/>
    <w:rsid w:val="0B30404E"/>
    <w:rsid w:val="0B351F5A"/>
    <w:rsid w:val="0B4C6C14"/>
    <w:rsid w:val="0B4E34C6"/>
    <w:rsid w:val="0B547599"/>
    <w:rsid w:val="0B631A88"/>
    <w:rsid w:val="0B683D45"/>
    <w:rsid w:val="0B7F3F11"/>
    <w:rsid w:val="0B884417"/>
    <w:rsid w:val="0BB936E4"/>
    <w:rsid w:val="0BDE6F3F"/>
    <w:rsid w:val="0BE425F9"/>
    <w:rsid w:val="0BE86906"/>
    <w:rsid w:val="0BF6188C"/>
    <w:rsid w:val="0BF73C91"/>
    <w:rsid w:val="0C170175"/>
    <w:rsid w:val="0C571A41"/>
    <w:rsid w:val="0C5C1171"/>
    <w:rsid w:val="0C5E1CBC"/>
    <w:rsid w:val="0C615B50"/>
    <w:rsid w:val="0C8445DA"/>
    <w:rsid w:val="0C87121B"/>
    <w:rsid w:val="0C8C4869"/>
    <w:rsid w:val="0CC007F7"/>
    <w:rsid w:val="0CC617AC"/>
    <w:rsid w:val="0CE618DF"/>
    <w:rsid w:val="0CFE707A"/>
    <w:rsid w:val="0D063BDA"/>
    <w:rsid w:val="0D08375F"/>
    <w:rsid w:val="0D184CFB"/>
    <w:rsid w:val="0D3050C4"/>
    <w:rsid w:val="0D442DD2"/>
    <w:rsid w:val="0D4A7419"/>
    <w:rsid w:val="0D827401"/>
    <w:rsid w:val="0D84094E"/>
    <w:rsid w:val="0D8A00E9"/>
    <w:rsid w:val="0D8D589E"/>
    <w:rsid w:val="0DA01C73"/>
    <w:rsid w:val="0DD63300"/>
    <w:rsid w:val="0DF50604"/>
    <w:rsid w:val="0DF702FE"/>
    <w:rsid w:val="0E060E51"/>
    <w:rsid w:val="0E1116D0"/>
    <w:rsid w:val="0E5604B2"/>
    <w:rsid w:val="0E6D5D79"/>
    <w:rsid w:val="0E6E66B4"/>
    <w:rsid w:val="0E9D0089"/>
    <w:rsid w:val="0EB803EE"/>
    <w:rsid w:val="0EF94D4B"/>
    <w:rsid w:val="0F4958DC"/>
    <w:rsid w:val="0F515DF7"/>
    <w:rsid w:val="0F596BA8"/>
    <w:rsid w:val="0F5D63CD"/>
    <w:rsid w:val="0F6248D2"/>
    <w:rsid w:val="0F693536"/>
    <w:rsid w:val="0F791955"/>
    <w:rsid w:val="0F7B0511"/>
    <w:rsid w:val="0F7B76D9"/>
    <w:rsid w:val="0F816ACD"/>
    <w:rsid w:val="0F9832DB"/>
    <w:rsid w:val="0FBF3FD2"/>
    <w:rsid w:val="0FBF7FF3"/>
    <w:rsid w:val="10343EAB"/>
    <w:rsid w:val="10646583"/>
    <w:rsid w:val="107D4B15"/>
    <w:rsid w:val="108A3C80"/>
    <w:rsid w:val="10C26171"/>
    <w:rsid w:val="10D820B6"/>
    <w:rsid w:val="10F33360"/>
    <w:rsid w:val="10FC16EA"/>
    <w:rsid w:val="110F1D40"/>
    <w:rsid w:val="11266F33"/>
    <w:rsid w:val="11543087"/>
    <w:rsid w:val="118963A1"/>
    <w:rsid w:val="11C6522A"/>
    <w:rsid w:val="11D725A6"/>
    <w:rsid w:val="11E104CC"/>
    <w:rsid w:val="11E20309"/>
    <w:rsid w:val="11F823DD"/>
    <w:rsid w:val="12255233"/>
    <w:rsid w:val="12530213"/>
    <w:rsid w:val="127723A9"/>
    <w:rsid w:val="12862074"/>
    <w:rsid w:val="12883966"/>
    <w:rsid w:val="129E45B4"/>
    <w:rsid w:val="12D81596"/>
    <w:rsid w:val="13072A44"/>
    <w:rsid w:val="13337F45"/>
    <w:rsid w:val="134B4C0C"/>
    <w:rsid w:val="135D6510"/>
    <w:rsid w:val="135F4BE2"/>
    <w:rsid w:val="139B1A0A"/>
    <w:rsid w:val="139D25C7"/>
    <w:rsid w:val="13BF3CE4"/>
    <w:rsid w:val="13DC0C82"/>
    <w:rsid w:val="13F80232"/>
    <w:rsid w:val="13FC335A"/>
    <w:rsid w:val="141008D8"/>
    <w:rsid w:val="141259D8"/>
    <w:rsid w:val="14125FE6"/>
    <w:rsid w:val="142A67B4"/>
    <w:rsid w:val="146D271E"/>
    <w:rsid w:val="14982588"/>
    <w:rsid w:val="149A5AD9"/>
    <w:rsid w:val="14A7619D"/>
    <w:rsid w:val="150536C3"/>
    <w:rsid w:val="150C1963"/>
    <w:rsid w:val="151447A0"/>
    <w:rsid w:val="153E45AB"/>
    <w:rsid w:val="154047C7"/>
    <w:rsid w:val="154A6454"/>
    <w:rsid w:val="15762120"/>
    <w:rsid w:val="15B8435D"/>
    <w:rsid w:val="16A8729C"/>
    <w:rsid w:val="16B33777"/>
    <w:rsid w:val="16B77463"/>
    <w:rsid w:val="16BC70A7"/>
    <w:rsid w:val="16C6339E"/>
    <w:rsid w:val="16EF2784"/>
    <w:rsid w:val="172F2D79"/>
    <w:rsid w:val="17557BEF"/>
    <w:rsid w:val="176F70BC"/>
    <w:rsid w:val="17A32DEB"/>
    <w:rsid w:val="17D349C1"/>
    <w:rsid w:val="1830729E"/>
    <w:rsid w:val="185F5BB0"/>
    <w:rsid w:val="186D70FB"/>
    <w:rsid w:val="1870062C"/>
    <w:rsid w:val="18817102"/>
    <w:rsid w:val="18830A15"/>
    <w:rsid w:val="18852B28"/>
    <w:rsid w:val="188B5321"/>
    <w:rsid w:val="18A27B3B"/>
    <w:rsid w:val="19081158"/>
    <w:rsid w:val="19313AE7"/>
    <w:rsid w:val="19932372"/>
    <w:rsid w:val="19A20DD5"/>
    <w:rsid w:val="19AE03F1"/>
    <w:rsid w:val="1A071A03"/>
    <w:rsid w:val="1A1F16AE"/>
    <w:rsid w:val="1A3B5C77"/>
    <w:rsid w:val="1A984BAD"/>
    <w:rsid w:val="1AB8220E"/>
    <w:rsid w:val="1AE4166C"/>
    <w:rsid w:val="1AF06CFB"/>
    <w:rsid w:val="1AF11B8D"/>
    <w:rsid w:val="1B1107D6"/>
    <w:rsid w:val="1B11359C"/>
    <w:rsid w:val="1B2A271F"/>
    <w:rsid w:val="1B530544"/>
    <w:rsid w:val="1B713184"/>
    <w:rsid w:val="1BA209CF"/>
    <w:rsid w:val="1BB4777D"/>
    <w:rsid w:val="1BD75AB8"/>
    <w:rsid w:val="1C0459C2"/>
    <w:rsid w:val="1C1B3B4A"/>
    <w:rsid w:val="1C88086E"/>
    <w:rsid w:val="1CA27B15"/>
    <w:rsid w:val="1D266CE1"/>
    <w:rsid w:val="1D3963AF"/>
    <w:rsid w:val="1D6A673C"/>
    <w:rsid w:val="1D9247AE"/>
    <w:rsid w:val="1D9702B9"/>
    <w:rsid w:val="1DB567EC"/>
    <w:rsid w:val="1DD4763E"/>
    <w:rsid w:val="1DF51A98"/>
    <w:rsid w:val="1DF910B2"/>
    <w:rsid w:val="1E3D060F"/>
    <w:rsid w:val="1E3F7D2E"/>
    <w:rsid w:val="1E4134E4"/>
    <w:rsid w:val="1E5062B3"/>
    <w:rsid w:val="1E523514"/>
    <w:rsid w:val="1E714A66"/>
    <w:rsid w:val="1E802593"/>
    <w:rsid w:val="1E882F3A"/>
    <w:rsid w:val="1E8B6156"/>
    <w:rsid w:val="1EA703CC"/>
    <w:rsid w:val="1EAB0F03"/>
    <w:rsid w:val="1EB62D77"/>
    <w:rsid w:val="1EB7330C"/>
    <w:rsid w:val="1EBB56D5"/>
    <w:rsid w:val="1EF06AED"/>
    <w:rsid w:val="1F0A0FF3"/>
    <w:rsid w:val="1F2E5690"/>
    <w:rsid w:val="1F3A37E1"/>
    <w:rsid w:val="1F5771FF"/>
    <w:rsid w:val="1F6F397B"/>
    <w:rsid w:val="1FE868A9"/>
    <w:rsid w:val="20034907"/>
    <w:rsid w:val="20173E4B"/>
    <w:rsid w:val="204E48BC"/>
    <w:rsid w:val="208921B3"/>
    <w:rsid w:val="20973DEB"/>
    <w:rsid w:val="20B26522"/>
    <w:rsid w:val="20B44310"/>
    <w:rsid w:val="211116EB"/>
    <w:rsid w:val="211D696A"/>
    <w:rsid w:val="216133FC"/>
    <w:rsid w:val="21AA36F4"/>
    <w:rsid w:val="21D56769"/>
    <w:rsid w:val="21E52EF3"/>
    <w:rsid w:val="21ED4F0B"/>
    <w:rsid w:val="21FB5D7B"/>
    <w:rsid w:val="22015E94"/>
    <w:rsid w:val="220B1C3D"/>
    <w:rsid w:val="221D1D20"/>
    <w:rsid w:val="22334A87"/>
    <w:rsid w:val="22BE6801"/>
    <w:rsid w:val="233500BF"/>
    <w:rsid w:val="23377FF7"/>
    <w:rsid w:val="236B425F"/>
    <w:rsid w:val="23836192"/>
    <w:rsid w:val="23901F29"/>
    <w:rsid w:val="23962B6C"/>
    <w:rsid w:val="239C0061"/>
    <w:rsid w:val="23B908A4"/>
    <w:rsid w:val="23E95BEF"/>
    <w:rsid w:val="23ED7143"/>
    <w:rsid w:val="23FD0064"/>
    <w:rsid w:val="245375B0"/>
    <w:rsid w:val="24642C0A"/>
    <w:rsid w:val="24B22173"/>
    <w:rsid w:val="24B95AD9"/>
    <w:rsid w:val="24BA2219"/>
    <w:rsid w:val="24BE24DA"/>
    <w:rsid w:val="24CF5825"/>
    <w:rsid w:val="24D663E6"/>
    <w:rsid w:val="24D77F2B"/>
    <w:rsid w:val="258B00E2"/>
    <w:rsid w:val="25A917A6"/>
    <w:rsid w:val="25BB1883"/>
    <w:rsid w:val="25BE27CC"/>
    <w:rsid w:val="25F74A5C"/>
    <w:rsid w:val="260E3B25"/>
    <w:rsid w:val="261D1FBA"/>
    <w:rsid w:val="2628662C"/>
    <w:rsid w:val="262D45DE"/>
    <w:rsid w:val="26362DEA"/>
    <w:rsid w:val="26871DC8"/>
    <w:rsid w:val="26A53EF9"/>
    <w:rsid w:val="26A94201"/>
    <w:rsid w:val="26AC274F"/>
    <w:rsid w:val="26AF7C79"/>
    <w:rsid w:val="26BE19EF"/>
    <w:rsid w:val="27044A29"/>
    <w:rsid w:val="271D34C8"/>
    <w:rsid w:val="27425C25"/>
    <w:rsid w:val="276142BF"/>
    <w:rsid w:val="276E48E5"/>
    <w:rsid w:val="27783712"/>
    <w:rsid w:val="277F11A4"/>
    <w:rsid w:val="27901611"/>
    <w:rsid w:val="27907362"/>
    <w:rsid w:val="28075DD3"/>
    <w:rsid w:val="28333E1D"/>
    <w:rsid w:val="28454BD6"/>
    <w:rsid w:val="28455253"/>
    <w:rsid w:val="28551971"/>
    <w:rsid w:val="285B1C53"/>
    <w:rsid w:val="289F7086"/>
    <w:rsid w:val="28C32028"/>
    <w:rsid w:val="28CC490F"/>
    <w:rsid w:val="28DE40AA"/>
    <w:rsid w:val="29345E77"/>
    <w:rsid w:val="294C65AD"/>
    <w:rsid w:val="29806583"/>
    <w:rsid w:val="298B3C4C"/>
    <w:rsid w:val="299656F1"/>
    <w:rsid w:val="29B03496"/>
    <w:rsid w:val="29BF5862"/>
    <w:rsid w:val="29F26D24"/>
    <w:rsid w:val="2A15033F"/>
    <w:rsid w:val="2A1662C1"/>
    <w:rsid w:val="2A1C7367"/>
    <w:rsid w:val="2A2815FA"/>
    <w:rsid w:val="2A6D6092"/>
    <w:rsid w:val="2A7D76B4"/>
    <w:rsid w:val="2AB27175"/>
    <w:rsid w:val="2B437463"/>
    <w:rsid w:val="2B7807EE"/>
    <w:rsid w:val="2BA50BF7"/>
    <w:rsid w:val="2BBF00EC"/>
    <w:rsid w:val="2BC37CFD"/>
    <w:rsid w:val="2BD5237F"/>
    <w:rsid w:val="2BE536CE"/>
    <w:rsid w:val="2BE758D9"/>
    <w:rsid w:val="2C09049E"/>
    <w:rsid w:val="2C0A653C"/>
    <w:rsid w:val="2C191F85"/>
    <w:rsid w:val="2C2946F8"/>
    <w:rsid w:val="2CE82D6F"/>
    <w:rsid w:val="2CFA2F60"/>
    <w:rsid w:val="2D343236"/>
    <w:rsid w:val="2DB779FE"/>
    <w:rsid w:val="2DD15014"/>
    <w:rsid w:val="2DDD31D8"/>
    <w:rsid w:val="2DF72DE4"/>
    <w:rsid w:val="2E0220AF"/>
    <w:rsid w:val="2E4B082A"/>
    <w:rsid w:val="2E5D4E86"/>
    <w:rsid w:val="2E5D790B"/>
    <w:rsid w:val="2E84083D"/>
    <w:rsid w:val="2E953036"/>
    <w:rsid w:val="2E9A3C18"/>
    <w:rsid w:val="2EBB0FEE"/>
    <w:rsid w:val="2EC13E2B"/>
    <w:rsid w:val="2EC63002"/>
    <w:rsid w:val="2F0A6B38"/>
    <w:rsid w:val="2F946CCB"/>
    <w:rsid w:val="2FD25781"/>
    <w:rsid w:val="2FDC745C"/>
    <w:rsid w:val="2FFD7934"/>
    <w:rsid w:val="302F641F"/>
    <w:rsid w:val="305F38FB"/>
    <w:rsid w:val="30733ACD"/>
    <w:rsid w:val="308C3862"/>
    <w:rsid w:val="309379D8"/>
    <w:rsid w:val="30A270F7"/>
    <w:rsid w:val="30C33CA7"/>
    <w:rsid w:val="30DF1478"/>
    <w:rsid w:val="30EC586F"/>
    <w:rsid w:val="312241A9"/>
    <w:rsid w:val="31565457"/>
    <w:rsid w:val="318D730D"/>
    <w:rsid w:val="31983503"/>
    <w:rsid w:val="319C6071"/>
    <w:rsid w:val="31AC537E"/>
    <w:rsid w:val="31BF7763"/>
    <w:rsid w:val="31E3679B"/>
    <w:rsid w:val="31E732FD"/>
    <w:rsid w:val="32517576"/>
    <w:rsid w:val="32BE5C2C"/>
    <w:rsid w:val="32FB6478"/>
    <w:rsid w:val="33263B3F"/>
    <w:rsid w:val="336963EB"/>
    <w:rsid w:val="33816EEB"/>
    <w:rsid w:val="33AC25F0"/>
    <w:rsid w:val="33EB55CD"/>
    <w:rsid w:val="33EC4C02"/>
    <w:rsid w:val="33F23657"/>
    <w:rsid w:val="34086058"/>
    <w:rsid w:val="340D2360"/>
    <w:rsid w:val="3410665D"/>
    <w:rsid w:val="342015F4"/>
    <w:rsid w:val="34211214"/>
    <w:rsid w:val="342E63AB"/>
    <w:rsid w:val="34950E68"/>
    <w:rsid w:val="34986E94"/>
    <w:rsid w:val="34AF62C9"/>
    <w:rsid w:val="34C44C99"/>
    <w:rsid w:val="34C648B5"/>
    <w:rsid w:val="34CB4388"/>
    <w:rsid w:val="34FA6E12"/>
    <w:rsid w:val="354D7158"/>
    <w:rsid w:val="358D5588"/>
    <w:rsid w:val="35972F67"/>
    <w:rsid w:val="35BE1323"/>
    <w:rsid w:val="362619BE"/>
    <w:rsid w:val="363A3B40"/>
    <w:rsid w:val="365302AE"/>
    <w:rsid w:val="36607A0A"/>
    <w:rsid w:val="366E227C"/>
    <w:rsid w:val="366F2E0D"/>
    <w:rsid w:val="367B6A5C"/>
    <w:rsid w:val="368C1A53"/>
    <w:rsid w:val="36A74ADA"/>
    <w:rsid w:val="36AD60D5"/>
    <w:rsid w:val="36B224F9"/>
    <w:rsid w:val="36EC0CC9"/>
    <w:rsid w:val="372447ED"/>
    <w:rsid w:val="373F410B"/>
    <w:rsid w:val="3745217E"/>
    <w:rsid w:val="37EE7094"/>
    <w:rsid w:val="37FE72C1"/>
    <w:rsid w:val="38296C89"/>
    <w:rsid w:val="383002EB"/>
    <w:rsid w:val="384004B6"/>
    <w:rsid w:val="38586797"/>
    <w:rsid w:val="38632BBA"/>
    <w:rsid w:val="387160B0"/>
    <w:rsid w:val="38995E18"/>
    <w:rsid w:val="38BC0149"/>
    <w:rsid w:val="38BE5FCB"/>
    <w:rsid w:val="38C60CFD"/>
    <w:rsid w:val="38D87D1C"/>
    <w:rsid w:val="38EA1ECC"/>
    <w:rsid w:val="39636459"/>
    <w:rsid w:val="396B7F6C"/>
    <w:rsid w:val="39B417A9"/>
    <w:rsid w:val="39F657B6"/>
    <w:rsid w:val="39FC5695"/>
    <w:rsid w:val="3A006D8E"/>
    <w:rsid w:val="3A3651E5"/>
    <w:rsid w:val="3A744481"/>
    <w:rsid w:val="3A8C7BEF"/>
    <w:rsid w:val="3A906246"/>
    <w:rsid w:val="3A920D71"/>
    <w:rsid w:val="3AAC7D24"/>
    <w:rsid w:val="3B2349B7"/>
    <w:rsid w:val="3B616CFF"/>
    <w:rsid w:val="3B6259F6"/>
    <w:rsid w:val="3B644E9E"/>
    <w:rsid w:val="3B976654"/>
    <w:rsid w:val="3B9C1C00"/>
    <w:rsid w:val="3BC01EFC"/>
    <w:rsid w:val="3BCA786A"/>
    <w:rsid w:val="3BD31E2F"/>
    <w:rsid w:val="3BF15831"/>
    <w:rsid w:val="3C105946"/>
    <w:rsid w:val="3C4475CA"/>
    <w:rsid w:val="3C471448"/>
    <w:rsid w:val="3C5F759A"/>
    <w:rsid w:val="3C6C525A"/>
    <w:rsid w:val="3C785211"/>
    <w:rsid w:val="3C905633"/>
    <w:rsid w:val="3CC7611D"/>
    <w:rsid w:val="3CCE23CB"/>
    <w:rsid w:val="3CD17D17"/>
    <w:rsid w:val="3D3C7F39"/>
    <w:rsid w:val="3D440F09"/>
    <w:rsid w:val="3D4504A0"/>
    <w:rsid w:val="3D8734BB"/>
    <w:rsid w:val="3D9A11D4"/>
    <w:rsid w:val="3DA16D89"/>
    <w:rsid w:val="3DA364BE"/>
    <w:rsid w:val="3DD27AA0"/>
    <w:rsid w:val="3DE041CB"/>
    <w:rsid w:val="3E0B3E03"/>
    <w:rsid w:val="3E0D48F6"/>
    <w:rsid w:val="3E1868B4"/>
    <w:rsid w:val="3E377251"/>
    <w:rsid w:val="3E42664B"/>
    <w:rsid w:val="3E5A7334"/>
    <w:rsid w:val="3E7B5D6B"/>
    <w:rsid w:val="3E843E66"/>
    <w:rsid w:val="3E8F51FE"/>
    <w:rsid w:val="3E926F87"/>
    <w:rsid w:val="3E9A59DE"/>
    <w:rsid w:val="3EAF4836"/>
    <w:rsid w:val="3EC33DFA"/>
    <w:rsid w:val="3ED41415"/>
    <w:rsid w:val="3F060E16"/>
    <w:rsid w:val="3F1D1096"/>
    <w:rsid w:val="3F2226C4"/>
    <w:rsid w:val="3F26732B"/>
    <w:rsid w:val="3F2F0234"/>
    <w:rsid w:val="3F6363FE"/>
    <w:rsid w:val="3F756B8F"/>
    <w:rsid w:val="3F95482B"/>
    <w:rsid w:val="3FEB2F56"/>
    <w:rsid w:val="4019356B"/>
    <w:rsid w:val="40430B4B"/>
    <w:rsid w:val="40447A68"/>
    <w:rsid w:val="40592157"/>
    <w:rsid w:val="406E1CAE"/>
    <w:rsid w:val="40994C08"/>
    <w:rsid w:val="40A0133A"/>
    <w:rsid w:val="40C31A53"/>
    <w:rsid w:val="40DA6FCE"/>
    <w:rsid w:val="40FF545D"/>
    <w:rsid w:val="410067C8"/>
    <w:rsid w:val="413E57AF"/>
    <w:rsid w:val="413F522A"/>
    <w:rsid w:val="415E16F0"/>
    <w:rsid w:val="41711799"/>
    <w:rsid w:val="418A27A2"/>
    <w:rsid w:val="418A544A"/>
    <w:rsid w:val="418F0D2A"/>
    <w:rsid w:val="41D01505"/>
    <w:rsid w:val="41EC6A3C"/>
    <w:rsid w:val="42474939"/>
    <w:rsid w:val="424C3C57"/>
    <w:rsid w:val="42613FF3"/>
    <w:rsid w:val="42660D96"/>
    <w:rsid w:val="428667D2"/>
    <w:rsid w:val="42BD3EF7"/>
    <w:rsid w:val="42CD1CE0"/>
    <w:rsid w:val="42E1381E"/>
    <w:rsid w:val="42ED6459"/>
    <w:rsid w:val="42FE58DD"/>
    <w:rsid w:val="430F5FF8"/>
    <w:rsid w:val="43174B3D"/>
    <w:rsid w:val="43215CC4"/>
    <w:rsid w:val="434B790E"/>
    <w:rsid w:val="4360274F"/>
    <w:rsid w:val="43977AB6"/>
    <w:rsid w:val="43A3342B"/>
    <w:rsid w:val="43AB6BAA"/>
    <w:rsid w:val="43C77C27"/>
    <w:rsid w:val="43DE09EE"/>
    <w:rsid w:val="44002FAD"/>
    <w:rsid w:val="440429F3"/>
    <w:rsid w:val="4453631F"/>
    <w:rsid w:val="44627CB8"/>
    <w:rsid w:val="44727C49"/>
    <w:rsid w:val="449101DD"/>
    <w:rsid w:val="44DE1391"/>
    <w:rsid w:val="451B225C"/>
    <w:rsid w:val="451F3201"/>
    <w:rsid w:val="452410C9"/>
    <w:rsid w:val="45317DFB"/>
    <w:rsid w:val="456D3CE4"/>
    <w:rsid w:val="4579042C"/>
    <w:rsid w:val="457B2E0E"/>
    <w:rsid w:val="457F0571"/>
    <w:rsid w:val="45851176"/>
    <w:rsid w:val="45C63B94"/>
    <w:rsid w:val="460E7DA5"/>
    <w:rsid w:val="46422483"/>
    <w:rsid w:val="4659254A"/>
    <w:rsid w:val="465B0637"/>
    <w:rsid w:val="465E3F0D"/>
    <w:rsid w:val="466A16E6"/>
    <w:rsid w:val="467852BF"/>
    <w:rsid w:val="46893F2B"/>
    <w:rsid w:val="46C4686E"/>
    <w:rsid w:val="46F54B5B"/>
    <w:rsid w:val="475B4640"/>
    <w:rsid w:val="477B778F"/>
    <w:rsid w:val="478203EC"/>
    <w:rsid w:val="47B025FA"/>
    <w:rsid w:val="47DA10BA"/>
    <w:rsid w:val="47ED11ED"/>
    <w:rsid w:val="4809698F"/>
    <w:rsid w:val="4811697D"/>
    <w:rsid w:val="487A3E25"/>
    <w:rsid w:val="488B5503"/>
    <w:rsid w:val="48937E21"/>
    <w:rsid w:val="489A0361"/>
    <w:rsid w:val="48B94FF3"/>
    <w:rsid w:val="48E37AAB"/>
    <w:rsid w:val="48FD4B4C"/>
    <w:rsid w:val="490A68E0"/>
    <w:rsid w:val="491055FE"/>
    <w:rsid w:val="49283C81"/>
    <w:rsid w:val="49535B70"/>
    <w:rsid w:val="495F5B3E"/>
    <w:rsid w:val="49686565"/>
    <w:rsid w:val="496F77D7"/>
    <w:rsid w:val="497654FD"/>
    <w:rsid w:val="49901338"/>
    <w:rsid w:val="499D2887"/>
    <w:rsid w:val="49A61712"/>
    <w:rsid w:val="49B601A8"/>
    <w:rsid w:val="49B64211"/>
    <w:rsid w:val="49F47923"/>
    <w:rsid w:val="49F6167F"/>
    <w:rsid w:val="4A064FA0"/>
    <w:rsid w:val="4A16615C"/>
    <w:rsid w:val="4A192ED1"/>
    <w:rsid w:val="4A4424D7"/>
    <w:rsid w:val="4A543F62"/>
    <w:rsid w:val="4A5F0DE7"/>
    <w:rsid w:val="4AB82D0F"/>
    <w:rsid w:val="4AEB7664"/>
    <w:rsid w:val="4AFD7C19"/>
    <w:rsid w:val="4B0567D1"/>
    <w:rsid w:val="4B236AAE"/>
    <w:rsid w:val="4B3E17E4"/>
    <w:rsid w:val="4B707271"/>
    <w:rsid w:val="4B9739F7"/>
    <w:rsid w:val="4BA34A41"/>
    <w:rsid w:val="4BC025E0"/>
    <w:rsid w:val="4BEE2503"/>
    <w:rsid w:val="4BF161A7"/>
    <w:rsid w:val="4C156757"/>
    <w:rsid w:val="4C245A30"/>
    <w:rsid w:val="4C3064DB"/>
    <w:rsid w:val="4C60371D"/>
    <w:rsid w:val="4C673F17"/>
    <w:rsid w:val="4C804ECE"/>
    <w:rsid w:val="4CB6685F"/>
    <w:rsid w:val="4CC367FE"/>
    <w:rsid w:val="4CC60B88"/>
    <w:rsid w:val="4CD95142"/>
    <w:rsid w:val="4CE75AFC"/>
    <w:rsid w:val="4D077F3C"/>
    <w:rsid w:val="4D0F570C"/>
    <w:rsid w:val="4D123355"/>
    <w:rsid w:val="4D155616"/>
    <w:rsid w:val="4D2A3B31"/>
    <w:rsid w:val="4D312C52"/>
    <w:rsid w:val="4D4976F7"/>
    <w:rsid w:val="4D905305"/>
    <w:rsid w:val="4D964A72"/>
    <w:rsid w:val="4D9C1254"/>
    <w:rsid w:val="4DA62712"/>
    <w:rsid w:val="4DB06937"/>
    <w:rsid w:val="4E1C5322"/>
    <w:rsid w:val="4E793892"/>
    <w:rsid w:val="4E800872"/>
    <w:rsid w:val="4EC569ED"/>
    <w:rsid w:val="4ED50EA1"/>
    <w:rsid w:val="4EEC050C"/>
    <w:rsid w:val="4F104EC3"/>
    <w:rsid w:val="4F47354A"/>
    <w:rsid w:val="4F911C54"/>
    <w:rsid w:val="4FC200D6"/>
    <w:rsid w:val="4FE625E0"/>
    <w:rsid w:val="501222E0"/>
    <w:rsid w:val="5021480F"/>
    <w:rsid w:val="50353E5E"/>
    <w:rsid w:val="50423170"/>
    <w:rsid w:val="50962ECB"/>
    <w:rsid w:val="50A42E38"/>
    <w:rsid w:val="50A4577F"/>
    <w:rsid w:val="50B73D1F"/>
    <w:rsid w:val="50BD5BC9"/>
    <w:rsid w:val="50C11EEE"/>
    <w:rsid w:val="50E97CFC"/>
    <w:rsid w:val="50FA4028"/>
    <w:rsid w:val="5100482F"/>
    <w:rsid w:val="510D65B7"/>
    <w:rsid w:val="511157AB"/>
    <w:rsid w:val="5142540C"/>
    <w:rsid w:val="5151508A"/>
    <w:rsid w:val="518832C8"/>
    <w:rsid w:val="519D3C50"/>
    <w:rsid w:val="51A0432A"/>
    <w:rsid w:val="51A86090"/>
    <w:rsid w:val="51B7396D"/>
    <w:rsid w:val="51E64DE7"/>
    <w:rsid w:val="522E4CC3"/>
    <w:rsid w:val="5237795C"/>
    <w:rsid w:val="5244713B"/>
    <w:rsid w:val="52523C02"/>
    <w:rsid w:val="5253774B"/>
    <w:rsid w:val="52615633"/>
    <w:rsid w:val="526F4DE4"/>
    <w:rsid w:val="52977FD4"/>
    <w:rsid w:val="529F7E91"/>
    <w:rsid w:val="52A25790"/>
    <w:rsid w:val="52A96B6F"/>
    <w:rsid w:val="52AD567D"/>
    <w:rsid w:val="52B45975"/>
    <w:rsid w:val="52D94AA4"/>
    <w:rsid w:val="52EA3A62"/>
    <w:rsid w:val="52F50BB8"/>
    <w:rsid w:val="53097272"/>
    <w:rsid w:val="531E71EE"/>
    <w:rsid w:val="5324158D"/>
    <w:rsid w:val="53544462"/>
    <w:rsid w:val="537D3F15"/>
    <w:rsid w:val="5397158E"/>
    <w:rsid w:val="53B4405D"/>
    <w:rsid w:val="53DD0E57"/>
    <w:rsid w:val="53DE7B36"/>
    <w:rsid w:val="54013861"/>
    <w:rsid w:val="54487265"/>
    <w:rsid w:val="544D6070"/>
    <w:rsid w:val="54605E1E"/>
    <w:rsid w:val="54A379AB"/>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AE448D"/>
    <w:rsid w:val="55DC29B6"/>
    <w:rsid w:val="55DD4241"/>
    <w:rsid w:val="56222F84"/>
    <w:rsid w:val="566B6D1E"/>
    <w:rsid w:val="56B075E9"/>
    <w:rsid w:val="56E524FD"/>
    <w:rsid w:val="56E842F8"/>
    <w:rsid w:val="57032A2C"/>
    <w:rsid w:val="570F5219"/>
    <w:rsid w:val="57534858"/>
    <w:rsid w:val="575431DF"/>
    <w:rsid w:val="575D12B5"/>
    <w:rsid w:val="57610A87"/>
    <w:rsid w:val="577B1140"/>
    <w:rsid w:val="577B7F21"/>
    <w:rsid w:val="577F181B"/>
    <w:rsid w:val="57921984"/>
    <w:rsid w:val="579737F0"/>
    <w:rsid w:val="57AB7B30"/>
    <w:rsid w:val="57AF5251"/>
    <w:rsid w:val="57B26373"/>
    <w:rsid w:val="57B63F04"/>
    <w:rsid w:val="57CD20C2"/>
    <w:rsid w:val="57D675AB"/>
    <w:rsid w:val="57D95FDD"/>
    <w:rsid w:val="58705DF6"/>
    <w:rsid w:val="58795AA4"/>
    <w:rsid w:val="58917D2F"/>
    <w:rsid w:val="5894085C"/>
    <w:rsid w:val="58A27F7A"/>
    <w:rsid w:val="58AE4F0C"/>
    <w:rsid w:val="58B85899"/>
    <w:rsid w:val="58E363A9"/>
    <w:rsid w:val="595E1678"/>
    <w:rsid w:val="596D5BD4"/>
    <w:rsid w:val="59755C1F"/>
    <w:rsid w:val="5977310C"/>
    <w:rsid w:val="597E3DD8"/>
    <w:rsid w:val="59F80043"/>
    <w:rsid w:val="5A09252F"/>
    <w:rsid w:val="5A0B2778"/>
    <w:rsid w:val="5A2A7C7B"/>
    <w:rsid w:val="5A3E2560"/>
    <w:rsid w:val="5A4F5073"/>
    <w:rsid w:val="5A5D3B6E"/>
    <w:rsid w:val="5A637A76"/>
    <w:rsid w:val="5A687090"/>
    <w:rsid w:val="5A6D33BA"/>
    <w:rsid w:val="5A792B1F"/>
    <w:rsid w:val="5A874767"/>
    <w:rsid w:val="5AA85BE2"/>
    <w:rsid w:val="5AAD6F28"/>
    <w:rsid w:val="5AD63A24"/>
    <w:rsid w:val="5B173059"/>
    <w:rsid w:val="5B2E1A1D"/>
    <w:rsid w:val="5B843A1C"/>
    <w:rsid w:val="5B873E3F"/>
    <w:rsid w:val="5BA83044"/>
    <w:rsid w:val="5BAA7506"/>
    <w:rsid w:val="5BCB618D"/>
    <w:rsid w:val="5C02690E"/>
    <w:rsid w:val="5C196DA7"/>
    <w:rsid w:val="5C2752B7"/>
    <w:rsid w:val="5C2A048C"/>
    <w:rsid w:val="5C4D7325"/>
    <w:rsid w:val="5C7659A5"/>
    <w:rsid w:val="5C80234E"/>
    <w:rsid w:val="5C8A680C"/>
    <w:rsid w:val="5CA95708"/>
    <w:rsid w:val="5CCB55DB"/>
    <w:rsid w:val="5CDB37DD"/>
    <w:rsid w:val="5D0C4701"/>
    <w:rsid w:val="5D0F0395"/>
    <w:rsid w:val="5D221076"/>
    <w:rsid w:val="5D397964"/>
    <w:rsid w:val="5D3A5AD2"/>
    <w:rsid w:val="5D5A391C"/>
    <w:rsid w:val="5D5F10C0"/>
    <w:rsid w:val="5D605931"/>
    <w:rsid w:val="5D891B7B"/>
    <w:rsid w:val="5D905D3A"/>
    <w:rsid w:val="5DA54D9C"/>
    <w:rsid w:val="5DAD38EE"/>
    <w:rsid w:val="5E006862"/>
    <w:rsid w:val="5E0207B9"/>
    <w:rsid w:val="5E1834A1"/>
    <w:rsid w:val="5E224CB8"/>
    <w:rsid w:val="5E261785"/>
    <w:rsid w:val="5E4A7017"/>
    <w:rsid w:val="5E552BBA"/>
    <w:rsid w:val="5E611C10"/>
    <w:rsid w:val="5E7A0F3F"/>
    <w:rsid w:val="5E7E5A19"/>
    <w:rsid w:val="5E9172FC"/>
    <w:rsid w:val="5ED54C05"/>
    <w:rsid w:val="5EDD3604"/>
    <w:rsid w:val="5EFC7377"/>
    <w:rsid w:val="5F06174D"/>
    <w:rsid w:val="5F3A3602"/>
    <w:rsid w:val="5F45733B"/>
    <w:rsid w:val="5F6277C6"/>
    <w:rsid w:val="5F6D0B1D"/>
    <w:rsid w:val="5F8D0B82"/>
    <w:rsid w:val="5FC436B0"/>
    <w:rsid w:val="5FCC5339"/>
    <w:rsid w:val="5FDE140F"/>
    <w:rsid w:val="5FE34A5B"/>
    <w:rsid w:val="5FEA2932"/>
    <w:rsid w:val="5FFE1E36"/>
    <w:rsid w:val="60232584"/>
    <w:rsid w:val="60465DA1"/>
    <w:rsid w:val="606B48E7"/>
    <w:rsid w:val="607330CE"/>
    <w:rsid w:val="60825176"/>
    <w:rsid w:val="60911000"/>
    <w:rsid w:val="609F2AC4"/>
    <w:rsid w:val="60A40C05"/>
    <w:rsid w:val="60FA2EE8"/>
    <w:rsid w:val="61054A27"/>
    <w:rsid w:val="610A52BC"/>
    <w:rsid w:val="610E06A3"/>
    <w:rsid w:val="611D2366"/>
    <w:rsid w:val="61421856"/>
    <w:rsid w:val="615227C4"/>
    <w:rsid w:val="61654E3F"/>
    <w:rsid w:val="6182292A"/>
    <w:rsid w:val="619F7F92"/>
    <w:rsid w:val="61ED6709"/>
    <w:rsid w:val="61F94C26"/>
    <w:rsid w:val="62000E56"/>
    <w:rsid w:val="624F3E49"/>
    <w:rsid w:val="62632286"/>
    <w:rsid w:val="62885958"/>
    <w:rsid w:val="62F40B65"/>
    <w:rsid w:val="62FC2CFE"/>
    <w:rsid w:val="63024505"/>
    <w:rsid w:val="635600A5"/>
    <w:rsid w:val="635B1DB5"/>
    <w:rsid w:val="636C36C9"/>
    <w:rsid w:val="63711FED"/>
    <w:rsid w:val="63880DDC"/>
    <w:rsid w:val="638D750D"/>
    <w:rsid w:val="63AC6CC0"/>
    <w:rsid w:val="63C70091"/>
    <w:rsid w:val="63EA7CB1"/>
    <w:rsid w:val="63F22C96"/>
    <w:rsid w:val="63FD5816"/>
    <w:rsid w:val="64055776"/>
    <w:rsid w:val="64240056"/>
    <w:rsid w:val="643E143A"/>
    <w:rsid w:val="64491666"/>
    <w:rsid w:val="648B6EEF"/>
    <w:rsid w:val="64C158BF"/>
    <w:rsid w:val="64CE2EAA"/>
    <w:rsid w:val="653C3090"/>
    <w:rsid w:val="65476131"/>
    <w:rsid w:val="656B0A66"/>
    <w:rsid w:val="65743C91"/>
    <w:rsid w:val="65854376"/>
    <w:rsid w:val="658767BE"/>
    <w:rsid w:val="65892531"/>
    <w:rsid w:val="66195831"/>
    <w:rsid w:val="662E75B1"/>
    <w:rsid w:val="66342C2E"/>
    <w:rsid w:val="663E784C"/>
    <w:rsid w:val="664E20CF"/>
    <w:rsid w:val="668B6A45"/>
    <w:rsid w:val="66A17AC3"/>
    <w:rsid w:val="672F3F24"/>
    <w:rsid w:val="673E055F"/>
    <w:rsid w:val="67551CE3"/>
    <w:rsid w:val="678278F4"/>
    <w:rsid w:val="67A22552"/>
    <w:rsid w:val="67AF4FE5"/>
    <w:rsid w:val="67B22DCC"/>
    <w:rsid w:val="67BE71AA"/>
    <w:rsid w:val="67D90273"/>
    <w:rsid w:val="67DE5875"/>
    <w:rsid w:val="67E55852"/>
    <w:rsid w:val="67EB1AB4"/>
    <w:rsid w:val="67FA1285"/>
    <w:rsid w:val="68551F4F"/>
    <w:rsid w:val="687C10C9"/>
    <w:rsid w:val="68840C16"/>
    <w:rsid w:val="68876EFB"/>
    <w:rsid w:val="68884654"/>
    <w:rsid w:val="689F444F"/>
    <w:rsid w:val="68B96DBB"/>
    <w:rsid w:val="68BC7777"/>
    <w:rsid w:val="68CA2805"/>
    <w:rsid w:val="68E937A3"/>
    <w:rsid w:val="69076303"/>
    <w:rsid w:val="69382960"/>
    <w:rsid w:val="693E15D3"/>
    <w:rsid w:val="69627681"/>
    <w:rsid w:val="69713566"/>
    <w:rsid w:val="6977531D"/>
    <w:rsid w:val="69BB20C1"/>
    <w:rsid w:val="69BF099D"/>
    <w:rsid w:val="69CC2BFF"/>
    <w:rsid w:val="69FD55B8"/>
    <w:rsid w:val="6A0B1C62"/>
    <w:rsid w:val="6A12024C"/>
    <w:rsid w:val="6A2406C8"/>
    <w:rsid w:val="6A327CD8"/>
    <w:rsid w:val="6A892D47"/>
    <w:rsid w:val="6AA8074B"/>
    <w:rsid w:val="6AC41E33"/>
    <w:rsid w:val="6ADE0BD1"/>
    <w:rsid w:val="6AE96859"/>
    <w:rsid w:val="6B147746"/>
    <w:rsid w:val="6B1C669A"/>
    <w:rsid w:val="6B24787C"/>
    <w:rsid w:val="6B467643"/>
    <w:rsid w:val="6B573233"/>
    <w:rsid w:val="6B5B6274"/>
    <w:rsid w:val="6B935D53"/>
    <w:rsid w:val="6BA7424F"/>
    <w:rsid w:val="6BE2035B"/>
    <w:rsid w:val="6C196F71"/>
    <w:rsid w:val="6C226FCB"/>
    <w:rsid w:val="6C31226F"/>
    <w:rsid w:val="6C3D64DF"/>
    <w:rsid w:val="6C552F0B"/>
    <w:rsid w:val="6C5B0941"/>
    <w:rsid w:val="6C871E1C"/>
    <w:rsid w:val="6C8C67B7"/>
    <w:rsid w:val="6C9D744C"/>
    <w:rsid w:val="6CAA31D9"/>
    <w:rsid w:val="6D0B038C"/>
    <w:rsid w:val="6D167928"/>
    <w:rsid w:val="6D247E9B"/>
    <w:rsid w:val="6D26299B"/>
    <w:rsid w:val="6D4772EC"/>
    <w:rsid w:val="6D9078AF"/>
    <w:rsid w:val="6DAA3FEF"/>
    <w:rsid w:val="6DC0172B"/>
    <w:rsid w:val="6DCB690C"/>
    <w:rsid w:val="6DD41A5B"/>
    <w:rsid w:val="6DF43C2E"/>
    <w:rsid w:val="6DF51CA3"/>
    <w:rsid w:val="6E627AD2"/>
    <w:rsid w:val="6E8335BD"/>
    <w:rsid w:val="6E8E12EF"/>
    <w:rsid w:val="6E972936"/>
    <w:rsid w:val="6ECC253F"/>
    <w:rsid w:val="6ED446C5"/>
    <w:rsid w:val="6F2A7D94"/>
    <w:rsid w:val="6F3E58A4"/>
    <w:rsid w:val="6F8331F1"/>
    <w:rsid w:val="6FAE1A09"/>
    <w:rsid w:val="6FD75BF8"/>
    <w:rsid w:val="701D640C"/>
    <w:rsid w:val="707723D0"/>
    <w:rsid w:val="70F5661B"/>
    <w:rsid w:val="7128150C"/>
    <w:rsid w:val="7133352F"/>
    <w:rsid w:val="71360107"/>
    <w:rsid w:val="713B688E"/>
    <w:rsid w:val="71844269"/>
    <w:rsid w:val="71D43752"/>
    <w:rsid w:val="71F1796A"/>
    <w:rsid w:val="720179A9"/>
    <w:rsid w:val="72154626"/>
    <w:rsid w:val="72262B5D"/>
    <w:rsid w:val="72283FF7"/>
    <w:rsid w:val="722E7212"/>
    <w:rsid w:val="723A0474"/>
    <w:rsid w:val="725923E4"/>
    <w:rsid w:val="72864BF7"/>
    <w:rsid w:val="728C6BB3"/>
    <w:rsid w:val="729023FC"/>
    <w:rsid w:val="72903084"/>
    <w:rsid w:val="73C01571"/>
    <w:rsid w:val="73C0646E"/>
    <w:rsid w:val="73F77E09"/>
    <w:rsid w:val="741A60DE"/>
    <w:rsid w:val="742222F5"/>
    <w:rsid w:val="74476126"/>
    <w:rsid w:val="744B4216"/>
    <w:rsid w:val="74696ABC"/>
    <w:rsid w:val="74706664"/>
    <w:rsid w:val="747B55A9"/>
    <w:rsid w:val="747F3682"/>
    <w:rsid w:val="749C4185"/>
    <w:rsid w:val="750247A1"/>
    <w:rsid w:val="75067759"/>
    <w:rsid w:val="752E6DCD"/>
    <w:rsid w:val="75354737"/>
    <w:rsid w:val="7551380D"/>
    <w:rsid w:val="75600BE5"/>
    <w:rsid w:val="7564475C"/>
    <w:rsid w:val="7575461B"/>
    <w:rsid w:val="7583797F"/>
    <w:rsid w:val="75AD1FE0"/>
    <w:rsid w:val="75D20F1D"/>
    <w:rsid w:val="75DA2C18"/>
    <w:rsid w:val="75F54412"/>
    <w:rsid w:val="761D08E0"/>
    <w:rsid w:val="765A5F65"/>
    <w:rsid w:val="765D347C"/>
    <w:rsid w:val="76826699"/>
    <w:rsid w:val="76A912CA"/>
    <w:rsid w:val="76C87133"/>
    <w:rsid w:val="76CD08D5"/>
    <w:rsid w:val="76DB4B92"/>
    <w:rsid w:val="76E71522"/>
    <w:rsid w:val="77052AA4"/>
    <w:rsid w:val="77136511"/>
    <w:rsid w:val="77340A39"/>
    <w:rsid w:val="77351FD0"/>
    <w:rsid w:val="77472422"/>
    <w:rsid w:val="77760385"/>
    <w:rsid w:val="777F31F2"/>
    <w:rsid w:val="77D1700D"/>
    <w:rsid w:val="77EC04CC"/>
    <w:rsid w:val="7814695D"/>
    <w:rsid w:val="78775729"/>
    <w:rsid w:val="7878384E"/>
    <w:rsid w:val="787E5EB6"/>
    <w:rsid w:val="78A225BF"/>
    <w:rsid w:val="78A42DB0"/>
    <w:rsid w:val="78A656AB"/>
    <w:rsid w:val="78B2245C"/>
    <w:rsid w:val="78E172CC"/>
    <w:rsid w:val="78E61BD4"/>
    <w:rsid w:val="78EA1D1F"/>
    <w:rsid w:val="7904172F"/>
    <w:rsid w:val="790F7E27"/>
    <w:rsid w:val="792A231A"/>
    <w:rsid w:val="79316829"/>
    <w:rsid w:val="79327572"/>
    <w:rsid w:val="793D51E2"/>
    <w:rsid w:val="797018F5"/>
    <w:rsid w:val="797E66A9"/>
    <w:rsid w:val="798518A4"/>
    <w:rsid w:val="79A97383"/>
    <w:rsid w:val="79D753AC"/>
    <w:rsid w:val="79E27E8B"/>
    <w:rsid w:val="79F850CE"/>
    <w:rsid w:val="79FD443C"/>
    <w:rsid w:val="7A1D1975"/>
    <w:rsid w:val="7A340F22"/>
    <w:rsid w:val="7A3E5150"/>
    <w:rsid w:val="7A4670D6"/>
    <w:rsid w:val="7A534B63"/>
    <w:rsid w:val="7A615382"/>
    <w:rsid w:val="7A67303B"/>
    <w:rsid w:val="7AAB1D04"/>
    <w:rsid w:val="7ABA4368"/>
    <w:rsid w:val="7AD05746"/>
    <w:rsid w:val="7B113011"/>
    <w:rsid w:val="7B257FFD"/>
    <w:rsid w:val="7B343476"/>
    <w:rsid w:val="7B5A2978"/>
    <w:rsid w:val="7B5A7E4C"/>
    <w:rsid w:val="7B667AF9"/>
    <w:rsid w:val="7B7468F8"/>
    <w:rsid w:val="7BEE0103"/>
    <w:rsid w:val="7C0A0FE4"/>
    <w:rsid w:val="7C254906"/>
    <w:rsid w:val="7C4E24B7"/>
    <w:rsid w:val="7C590818"/>
    <w:rsid w:val="7C7C10F6"/>
    <w:rsid w:val="7C853BEA"/>
    <w:rsid w:val="7C881368"/>
    <w:rsid w:val="7CE27788"/>
    <w:rsid w:val="7CE704CD"/>
    <w:rsid w:val="7CFD384D"/>
    <w:rsid w:val="7D0C32F1"/>
    <w:rsid w:val="7D0F408D"/>
    <w:rsid w:val="7D491C6C"/>
    <w:rsid w:val="7D5429C0"/>
    <w:rsid w:val="7D6E6D43"/>
    <w:rsid w:val="7DB33A5B"/>
    <w:rsid w:val="7DB57A34"/>
    <w:rsid w:val="7DDB7408"/>
    <w:rsid w:val="7DE60973"/>
    <w:rsid w:val="7DEF0916"/>
    <w:rsid w:val="7E1E5218"/>
    <w:rsid w:val="7E3F09AC"/>
    <w:rsid w:val="7E8C4BFF"/>
    <w:rsid w:val="7E9A4E1F"/>
    <w:rsid w:val="7EA7723A"/>
    <w:rsid w:val="7ED22AB7"/>
    <w:rsid w:val="7EF56FBB"/>
    <w:rsid w:val="7F0768EB"/>
    <w:rsid w:val="7F0C4CE4"/>
    <w:rsid w:val="7F143BEC"/>
    <w:rsid w:val="7F715AF2"/>
    <w:rsid w:val="7F7678E7"/>
    <w:rsid w:val="7F886E69"/>
    <w:rsid w:val="7F9C6272"/>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6"/>
    <w:autoRedefine/>
    <w:qFormat/>
    <w:uiPriority w:val="0"/>
    <w:pPr>
      <w:spacing w:line="480" w:lineRule="exact"/>
      <w:ind w:firstLine="480" w:firstLineChars="200"/>
    </w:pPr>
    <w:rPr>
      <w:rFonts w:ascii="宋体" w:hAnsi="宋体"/>
      <w:sz w:val="24"/>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2"/>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7"/>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0"/>
    <w:autoRedefine/>
    <w:qFormat/>
    <w:uiPriority w:val="0"/>
    <w:pPr>
      <w:shd w:val="clear" w:color="auto" w:fill="000080"/>
    </w:pPr>
  </w:style>
  <w:style w:type="paragraph" w:styleId="20">
    <w:name w:val="annotation text"/>
    <w:basedOn w:val="1"/>
    <w:link w:val="345"/>
    <w:autoRedefine/>
    <w:qFormat/>
    <w:uiPriority w:val="99"/>
    <w:pPr>
      <w:jc w:val="left"/>
    </w:pPr>
  </w:style>
  <w:style w:type="paragraph" w:styleId="21">
    <w:name w:val="Salutation"/>
    <w:basedOn w:val="1"/>
    <w:next w:val="1"/>
    <w:link w:val="299"/>
    <w:autoRedefine/>
    <w:qFormat/>
    <w:uiPriority w:val="0"/>
    <w:rPr>
      <w:rFonts w:ascii="仿宋_GB2312" w:eastAsia="仿宋_GB2312"/>
      <w:sz w:val="28"/>
      <w:szCs w:val="20"/>
    </w:rPr>
  </w:style>
  <w:style w:type="paragraph" w:styleId="22">
    <w:name w:val="Body Text 3"/>
    <w:basedOn w:val="1"/>
    <w:link w:val="331"/>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1"/>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9"/>
    <w:autoRedefine/>
    <w:qFormat/>
    <w:uiPriority w:val="0"/>
    <w:pPr>
      <w:ind w:left="100" w:leftChars="2500"/>
    </w:pPr>
    <w:rPr>
      <w:rFonts w:ascii="宋体"/>
      <w:sz w:val="24"/>
      <w:szCs w:val="21"/>
      <w:lang w:val="zh-CN"/>
    </w:rPr>
  </w:style>
  <w:style w:type="paragraph" w:styleId="36">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3"/>
    <w:autoRedefine/>
    <w:qFormat/>
    <w:uiPriority w:val="0"/>
    <w:rPr>
      <w:lang w:val="zh-CN"/>
    </w:rPr>
  </w:style>
  <w:style w:type="paragraph" w:styleId="38">
    <w:name w:val="Balloon Text"/>
    <w:basedOn w:val="1"/>
    <w:link w:val="186"/>
    <w:autoRedefine/>
    <w:qFormat/>
    <w:uiPriority w:val="0"/>
    <w:rPr>
      <w:sz w:val="18"/>
      <w:szCs w:val="18"/>
    </w:rPr>
  </w:style>
  <w:style w:type="paragraph" w:styleId="39">
    <w:name w:val="footer"/>
    <w:basedOn w:val="1"/>
    <w:link w:val="384"/>
    <w:autoRedefine/>
    <w:qFormat/>
    <w:uiPriority w:val="99"/>
    <w:pPr>
      <w:tabs>
        <w:tab w:val="center" w:pos="4153"/>
        <w:tab w:val="right" w:pos="8306"/>
      </w:tabs>
      <w:snapToGrid w:val="0"/>
      <w:jc w:val="left"/>
    </w:pPr>
    <w:rPr>
      <w:sz w:val="18"/>
      <w:szCs w:val="18"/>
    </w:rPr>
  </w:style>
  <w:style w:type="paragraph" w:styleId="40">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6"/>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6"/>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3"/>
    <w:autoRedefine/>
    <w:qFormat/>
    <w:uiPriority w:val="0"/>
    <w:pPr>
      <w:spacing w:after="120" w:line="480" w:lineRule="auto"/>
    </w:pPr>
  </w:style>
  <w:style w:type="paragraph" w:styleId="56">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4"/>
    <w:autoRedefine/>
    <w:qFormat/>
    <w:uiPriority w:val="0"/>
    <w:rPr>
      <w:b/>
      <w:bCs/>
    </w:rPr>
  </w:style>
  <w:style w:type="paragraph" w:styleId="60">
    <w:name w:val="Body Text First Indent"/>
    <w:basedOn w:val="24"/>
    <w:next w:val="50"/>
    <w:link w:val="322"/>
    <w:autoRedefine/>
    <w:qFormat/>
    <w:uiPriority w:val="0"/>
    <w:pPr>
      <w:ind w:firstLine="420"/>
    </w:pPr>
    <w:rPr>
      <w:rFonts w:hAnsi="Calibri" w:cs="Times New Roman"/>
      <w:snapToGrid/>
      <w:szCs w:val="20"/>
    </w:rPr>
  </w:style>
  <w:style w:type="paragraph" w:styleId="61">
    <w:name w:val="Body Text First Indent 2"/>
    <w:basedOn w:val="2"/>
    <w:next w:val="62"/>
    <w:link w:val="119"/>
    <w:autoRedefine/>
    <w:qFormat/>
    <w:uiPriority w:val="0"/>
    <w:pPr>
      <w:adjustRightInd/>
      <w:spacing w:after="120" w:line="240" w:lineRule="auto"/>
      <w:ind w:left="420" w:leftChars="200" w:firstLine="210"/>
    </w:pPr>
    <w:rPr>
      <w:sz w:val="21"/>
    </w:rPr>
  </w:style>
  <w:style w:type="paragraph" w:customStyle="1" w:styleId="62">
    <w:name w:val="xl53"/>
    <w:basedOn w:val="1"/>
    <w:next w:val="1"/>
    <w:autoRedefine/>
    <w:qFormat/>
    <w:uiPriority w:val="0"/>
    <w:pPr>
      <w:widowControl w:val="0"/>
      <w:spacing w:before="280" w:after="280" w:line="100" w:lineRule="exact"/>
      <w:jc w:val="center"/>
    </w:pPr>
    <w:rPr>
      <w:rFonts w:ascii="宋体" w:hAnsi="Times New Roman"/>
      <w:b/>
      <w:kern w:val="2"/>
      <w:szCs w:val="28"/>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字符"/>
    <w:link w:val="59"/>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文本首行缩进 2 字符"/>
    <w:link w:val="61"/>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字符"/>
    <w:link w:val="46"/>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字符"/>
    <w:link w:val="8"/>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4"/>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字符"/>
    <w:link w:val="35"/>
    <w:autoRedefine/>
    <w:qFormat/>
    <w:uiPriority w:val="0"/>
    <w:rPr>
      <w:rFonts w:ascii="宋体"/>
      <w:kern w:val="2"/>
      <w:sz w:val="24"/>
      <w:szCs w:val="21"/>
      <w:lang w:val="zh-CN"/>
    </w:rPr>
  </w:style>
  <w:style w:type="character" w:customStyle="1" w:styleId="180">
    <w:name w:val="标题 9 字符"/>
    <w:link w:val="11"/>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字符1"/>
    <w:link w:val="38"/>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字符"/>
    <w:link w:val="19"/>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字符"/>
    <w:link w:val="29"/>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6"/>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字符"/>
    <w:link w:val="17"/>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next w:val="234"/>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4">
    <w:name w:val="toc 7"/>
    <w:next w:val="235"/>
    <w:qFormat/>
    <w:uiPriority w:val="0"/>
    <w:pPr>
      <w:wordWrap w:val="0"/>
      <w:ind w:left="2550"/>
      <w:jc w:val="both"/>
    </w:pPr>
    <w:rPr>
      <w:rFonts w:ascii="Calibri" w:hAnsi="Calibri" w:eastAsia="宋体" w:cs="Times New Roman"/>
      <w:sz w:val="21"/>
      <w:szCs w:val="22"/>
      <w:lang w:val="en-US" w:eastAsia="zh-CN" w:bidi="ar-SA"/>
    </w:rPr>
  </w:style>
  <w:style w:type="paragraph" w:customStyle="1" w:styleId="235">
    <w:name w:val="正文_4"/>
    <w:next w:val="23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6">
    <w:name w:val="正文缩进_2"/>
    <w:basedOn w:val="235"/>
    <w:qFormat/>
    <w:uiPriority w:val="0"/>
    <w:pPr>
      <w:ind w:firstLine="420"/>
    </w:pPr>
    <w:rPr>
      <w:szCs w:val="20"/>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2"/>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3"/>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58"/>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7"/>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1"/>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6"/>
    <w:autoRedefine/>
    <w:qFormat/>
    <w:uiPriority w:val="0"/>
    <w:rPr>
      <w:rFonts w:ascii="黑体" w:hAnsi="Courier New" w:eastAsia="黑体"/>
    </w:rPr>
  </w:style>
  <w:style w:type="character" w:customStyle="1" w:styleId="303">
    <w:name w:val="正文文本 2 字符1"/>
    <w:link w:val="55"/>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6"/>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9"/>
    <w:autoRedefine/>
    <w:qFormat/>
    <w:uiPriority w:val="0"/>
    <w:rPr>
      <w:b/>
      <w:bCs/>
      <w:kern w:val="2"/>
      <w:sz w:val="24"/>
      <w:szCs w:val="24"/>
    </w:rPr>
  </w:style>
  <w:style w:type="character" w:customStyle="1" w:styleId="309">
    <w:name w:val="正文文本缩进 2 字符"/>
    <w:link w:val="36"/>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49"/>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60"/>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6"/>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2"/>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0"/>
    <w:autoRedefine/>
    <w:qFormat/>
    <w:uiPriority w:val="0"/>
    <w:rPr>
      <w:kern w:val="2"/>
      <w:sz w:val="21"/>
      <w:szCs w:val="24"/>
    </w:rPr>
  </w:style>
  <w:style w:type="character" w:customStyle="1" w:styleId="346">
    <w:name w:val="签名 字符"/>
    <w:link w:val="41"/>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0"/>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2"/>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39"/>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0"/>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156"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6"/>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 w:val="24"/>
      <w:szCs w:val="20"/>
    </w:rPr>
  </w:style>
  <w:style w:type="paragraph" w:customStyle="1" w:styleId="45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autoRedefine/>
    <w:qFormat/>
    <w:uiPriority w:val="0"/>
    <w:pPr>
      <w:tabs>
        <w:tab w:val="left" w:pos="360"/>
      </w:tabs>
    </w:pPr>
    <w:rPr>
      <w:sz w:val="24"/>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autoRedefine/>
    <w:qFormat/>
    <w:uiPriority w:val="0"/>
    <w:pPr>
      <w:tabs>
        <w:tab w:val="left" w:pos="2790"/>
        <w:tab w:val="left" w:pos="4230"/>
      </w:tabs>
      <w:spacing w:before="312" w:beforeLines="100"/>
      <w:jc w:val="left"/>
    </w:pPr>
  </w:style>
  <w:style w:type="paragraph" w:customStyle="1" w:styleId="46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spacing w:before="0" w:after="0"/>
      <w:outlineLvl w:val="5"/>
    </w:pPr>
  </w:style>
  <w:style w:type="paragraph" w:customStyle="1" w:styleId="475">
    <w:name w:val="5级标题"/>
    <w:basedOn w:val="476"/>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5"/>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7"/>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3"/>
    <w:next w:val="233"/>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3"/>
    <w:next w:val="233"/>
    <w:autoRedefine/>
    <w:qFormat/>
    <w:uiPriority w:val="0"/>
    <w:rPr>
      <w:rFonts w:ascii="宋体" w:eastAsia="宋体" w:cs="Times New Roman"/>
      <w:color w:val="auto"/>
    </w:rPr>
  </w:style>
  <w:style w:type="paragraph" w:customStyle="1" w:styleId="55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156"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5"/>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3"/>
    <w:autoRedefine/>
    <w:qFormat/>
    <w:uiPriority w:val="0"/>
    <w:pPr>
      <w:tabs>
        <w:tab w:val="left" w:pos="840"/>
      </w:tabs>
      <w:adjustRightInd/>
      <w:ind w:left="840" w:hanging="420"/>
    </w:pPr>
  </w:style>
  <w:style w:type="paragraph" w:customStyle="1" w:styleId="627">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156"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0" w:beforeLines="0" w:after="0" w:afterLines="0"/>
      <w:ind w:left="1680"/>
      <w:outlineLvl w:val="2"/>
    </w:pPr>
  </w:style>
  <w:style w:type="paragraph" w:customStyle="1" w:styleId="659">
    <w:name w:val="章标题"/>
    <w:next w:val="64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8"/>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5"/>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19"/>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39"/>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autoRedefine/>
    <w:qFormat/>
    <w:uiPriority w:val="0"/>
    <w:pPr>
      <w:tabs>
        <w:tab w:val="left" w:pos="1080"/>
      </w:tabs>
      <w:ind w:left="1080" w:hanging="1080"/>
    </w:pPr>
  </w:style>
  <w:style w:type="paragraph" w:customStyle="1" w:styleId="898">
    <w:name w:val="数字标题1"/>
    <w:basedOn w:val="3"/>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4"/>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7"/>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正文_2"/>
    <w:next w:val="522"/>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56</Pages>
  <Words>10896</Words>
  <Characters>11955</Characters>
  <Lines>287</Lines>
  <Paragraphs>81</Paragraphs>
  <TotalTime>42</TotalTime>
  <ScaleCrop>false</ScaleCrop>
  <LinksUpToDate>false</LinksUpToDate>
  <CharactersWithSpaces>12240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Cjkdblb</cp:lastModifiedBy>
  <cp:lastPrinted>2023-04-04T07:09:00Z</cp:lastPrinted>
  <dcterms:modified xsi:type="dcterms:W3CDTF">2025-04-03T04:12:13Z</dcterms:modified>
  <dc:title>杭州市市民卡扩大发卡工程</dc:title>
  <cp:revision>270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CC353C524C1E46D79977FB88DDA630CF_13</vt:lpwstr>
  </property>
  <property fmtid="{D5CDD505-2E9C-101B-9397-08002B2CF9AE}" pid="5" name="KSOTemplateDocerSaveRecord">
    <vt:lpwstr>eyJoZGlkIjoiZDliOWM2MzNlZjk4NTNhNjlmZThmZjcxNGE1Y2Q0ZmIiLCJ1c2VySWQiOiI0NjAwNTcyNzgifQ==</vt:lpwstr>
  </property>
</Properties>
</file>