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231D6">
      <w:pPr>
        <w:autoSpaceDE/>
        <w:autoSpaceDN/>
        <w:spacing w:line="240" w:lineRule="auto"/>
        <w:jc w:val="center"/>
        <w:rPr>
          <w:rFonts w:hint="eastAsia" w:ascii="宋体" w:hAnsi="宋体" w:eastAsia="宋体" w:cs="宋体"/>
          <w:b/>
          <w:bCs/>
          <w:color w:val="auto"/>
          <w:sz w:val="48"/>
          <w:szCs w:val="48"/>
          <w:highlight w:val="none"/>
          <w:lang w:eastAsia="zh-CN"/>
        </w:rPr>
      </w:pPr>
    </w:p>
    <w:p w14:paraId="371C8B5F">
      <w:pPr>
        <w:autoSpaceDE/>
        <w:autoSpaceDN/>
        <w:spacing w:line="360" w:lineRule="auto"/>
        <w:jc w:val="center"/>
        <w:rPr>
          <w:rFonts w:hint="eastAsia" w:ascii="宋体" w:hAnsi="宋体" w:eastAsia="宋体" w:cs="宋体"/>
          <w:b/>
          <w:bCs/>
          <w:color w:val="auto"/>
          <w:sz w:val="56"/>
          <w:szCs w:val="56"/>
          <w:highlight w:val="none"/>
          <w:lang w:eastAsia="zh-CN"/>
        </w:rPr>
      </w:pPr>
      <w:r>
        <w:rPr>
          <w:rFonts w:hint="eastAsia" w:ascii="宋体" w:hAnsi="宋体" w:cs="宋体"/>
          <w:b/>
          <w:bCs/>
          <w:color w:val="auto"/>
          <w:sz w:val="52"/>
          <w:szCs w:val="52"/>
          <w:highlight w:val="none"/>
          <w:lang w:val="en-US" w:eastAsia="zh-CN"/>
        </w:rPr>
        <w:t>诸暨市建设集团有限公司（含下属单位）2025年车辆保险供应商征集项目</w:t>
      </w:r>
    </w:p>
    <w:p w14:paraId="143BAA1C">
      <w:pPr>
        <w:keepNext w:val="0"/>
        <w:keepLines w:val="0"/>
        <w:pageBreakBefore w:val="0"/>
        <w:widowControl w:val="0"/>
        <w:kinsoku/>
        <w:wordWrap/>
        <w:overflowPunct/>
        <w:topLinePunct w:val="0"/>
        <w:autoSpaceDE/>
        <w:autoSpaceDN/>
        <w:bidi w:val="0"/>
        <w:adjustRightInd w:val="0"/>
        <w:snapToGrid/>
        <w:spacing w:before="157" w:beforeLines="50" w:line="48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w:t>
      </w:r>
      <w:r>
        <w:rPr>
          <w:rFonts w:hint="eastAsia" w:ascii="宋体" w:hAnsi="宋体" w:eastAsia="宋体" w:cs="宋体"/>
          <w:b/>
          <w:bCs/>
          <w:color w:val="auto"/>
          <w:sz w:val="30"/>
          <w:szCs w:val="30"/>
          <w:highlight w:val="none"/>
          <w:lang w:val="en-US" w:eastAsia="zh-CN"/>
        </w:rPr>
        <w:t>浙博策202</w:t>
      </w:r>
      <w:r>
        <w:rPr>
          <w:rFonts w:hint="eastAsia" w:ascii="宋体" w:hAnsi="宋体" w:cs="宋体"/>
          <w:b/>
          <w:bCs/>
          <w:color w:val="auto"/>
          <w:sz w:val="30"/>
          <w:szCs w:val="30"/>
          <w:highlight w:val="none"/>
          <w:lang w:val="en-US" w:eastAsia="zh-CN"/>
        </w:rPr>
        <w:t>5</w:t>
      </w:r>
      <w:r>
        <w:rPr>
          <w:rFonts w:hint="eastAsia" w:ascii="宋体" w:hAnsi="宋体" w:eastAsia="宋体" w:cs="宋体"/>
          <w:b/>
          <w:bCs/>
          <w:color w:val="auto"/>
          <w:sz w:val="30"/>
          <w:szCs w:val="30"/>
          <w:highlight w:val="none"/>
          <w:lang w:val="en-US" w:eastAsia="zh-CN"/>
        </w:rPr>
        <w:t>-</w:t>
      </w:r>
      <w:r>
        <w:rPr>
          <w:rFonts w:hint="eastAsia" w:ascii="宋体" w:hAnsi="宋体" w:cs="宋体"/>
          <w:b/>
          <w:bCs/>
          <w:color w:val="auto"/>
          <w:sz w:val="30"/>
          <w:szCs w:val="30"/>
          <w:highlight w:val="none"/>
          <w:lang w:val="en-US" w:eastAsia="zh-CN"/>
        </w:rPr>
        <w:t>02</w:t>
      </w:r>
      <w:r>
        <w:rPr>
          <w:rFonts w:hint="eastAsia" w:ascii="宋体" w:hAnsi="宋体" w:eastAsia="宋体" w:cs="宋体"/>
          <w:b/>
          <w:bCs/>
          <w:color w:val="auto"/>
          <w:sz w:val="30"/>
          <w:szCs w:val="30"/>
          <w:highlight w:val="none"/>
          <w:lang w:val="en-US" w:eastAsia="zh-CN"/>
        </w:rPr>
        <w:t>-</w:t>
      </w:r>
      <w:r>
        <w:rPr>
          <w:rFonts w:hint="eastAsia" w:ascii="宋体" w:hAnsi="宋体" w:cs="宋体"/>
          <w:b/>
          <w:bCs/>
          <w:color w:val="auto"/>
          <w:sz w:val="30"/>
          <w:szCs w:val="30"/>
          <w:highlight w:val="none"/>
          <w:lang w:val="en-US" w:eastAsia="zh-CN"/>
        </w:rPr>
        <w:t>03</w:t>
      </w:r>
      <w:r>
        <w:rPr>
          <w:rFonts w:hint="eastAsia" w:ascii="宋体" w:hAnsi="宋体" w:eastAsia="宋体" w:cs="宋体"/>
          <w:b/>
          <w:bCs/>
          <w:color w:val="auto"/>
          <w:sz w:val="30"/>
          <w:szCs w:val="30"/>
          <w:highlight w:val="none"/>
        </w:rPr>
        <w:t>）</w:t>
      </w:r>
    </w:p>
    <w:p w14:paraId="5350B5AB">
      <w:pPr>
        <w:keepNext w:val="0"/>
        <w:keepLines w:val="0"/>
        <w:pageBreakBefore w:val="0"/>
        <w:widowControl w:val="0"/>
        <w:kinsoku/>
        <w:wordWrap/>
        <w:overflowPunct/>
        <w:topLinePunct w:val="0"/>
        <w:autoSpaceDE w:val="0"/>
        <w:autoSpaceDN w:val="0"/>
        <w:bidi w:val="0"/>
        <w:adjustRightInd w:val="0"/>
        <w:snapToGrid/>
        <w:spacing w:before="313" w:beforeLines="100" w:after="469" w:afterLines="150" w:line="72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征</w:t>
      </w:r>
    </w:p>
    <w:p w14:paraId="0B97F3EB">
      <w:pPr>
        <w:keepNext w:val="0"/>
        <w:keepLines w:val="0"/>
        <w:pageBreakBefore w:val="0"/>
        <w:widowControl w:val="0"/>
        <w:kinsoku/>
        <w:wordWrap/>
        <w:overflowPunct/>
        <w:topLinePunct w:val="0"/>
        <w:autoSpaceDE w:val="0"/>
        <w:autoSpaceDN w:val="0"/>
        <w:bidi w:val="0"/>
        <w:adjustRightInd w:val="0"/>
        <w:snapToGrid/>
        <w:spacing w:before="313" w:beforeLines="100" w:after="469" w:afterLines="150" w:line="72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集</w:t>
      </w:r>
    </w:p>
    <w:p w14:paraId="1CA1F083">
      <w:pPr>
        <w:keepNext w:val="0"/>
        <w:keepLines w:val="0"/>
        <w:pageBreakBefore w:val="0"/>
        <w:widowControl w:val="0"/>
        <w:kinsoku/>
        <w:wordWrap/>
        <w:overflowPunct/>
        <w:topLinePunct w:val="0"/>
        <w:autoSpaceDE w:val="0"/>
        <w:autoSpaceDN w:val="0"/>
        <w:bidi w:val="0"/>
        <w:adjustRightInd w:val="0"/>
        <w:snapToGrid/>
        <w:spacing w:before="313" w:beforeLines="100" w:after="469" w:afterLines="150" w:line="72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文</w:t>
      </w:r>
    </w:p>
    <w:p w14:paraId="475861D9">
      <w:pPr>
        <w:keepNext w:val="0"/>
        <w:keepLines w:val="0"/>
        <w:pageBreakBefore w:val="0"/>
        <w:widowControl w:val="0"/>
        <w:kinsoku/>
        <w:wordWrap/>
        <w:overflowPunct/>
        <w:topLinePunct w:val="0"/>
        <w:autoSpaceDE/>
        <w:autoSpaceDN/>
        <w:bidi w:val="0"/>
        <w:adjustRightInd w:val="0"/>
        <w:snapToGrid/>
        <w:spacing w:before="313" w:beforeLines="100" w:after="469" w:afterLines="150" w:line="72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件</w:t>
      </w:r>
    </w:p>
    <w:p w14:paraId="1F6DAA1F">
      <w:pPr>
        <w:keepNext w:val="0"/>
        <w:keepLines w:val="0"/>
        <w:pageBreakBefore w:val="0"/>
        <w:widowControl w:val="0"/>
        <w:kinsoku/>
        <w:wordWrap/>
        <w:overflowPunct/>
        <w:topLinePunct w:val="0"/>
        <w:autoSpaceDE/>
        <w:autoSpaceDN/>
        <w:bidi w:val="0"/>
        <w:adjustRightInd w:val="0"/>
        <w:snapToGrid/>
        <w:spacing w:before="430" w:beforeLines="150" w:after="287" w:afterLines="100" w:line="360" w:lineRule="auto"/>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val="en-US" w:eastAsia="zh-CN"/>
        </w:rPr>
        <w:t>电子招投标</w:t>
      </w:r>
      <w:r>
        <w:rPr>
          <w:rFonts w:hint="eastAsia" w:ascii="宋体" w:hAnsi="宋体" w:eastAsia="宋体" w:cs="宋体"/>
          <w:b/>
          <w:bCs/>
          <w:color w:val="auto"/>
          <w:sz w:val="30"/>
          <w:szCs w:val="30"/>
          <w:highlight w:val="none"/>
        </w:rPr>
        <w:t>）</w:t>
      </w:r>
    </w:p>
    <w:tbl>
      <w:tblPr>
        <w:tblStyle w:val="17"/>
        <w:tblW w:w="71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14"/>
      </w:tblGrid>
      <w:tr w14:paraId="0432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14" w:type="dxa"/>
            <w:vAlign w:val="center"/>
          </w:tcPr>
          <w:p w14:paraId="1EA38D7F">
            <w:pPr>
              <w:pStyle w:val="8"/>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pacing w:val="12"/>
                <w:w w:val="95"/>
                <w:kern w:val="0"/>
                <w:sz w:val="32"/>
                <w:szCs w:val="32"/>
                <w:highlight w:val="none"/>
              </w:rPr>
              <w:t>采购</w:t>
            </w:r>
            <w:r>
              <w:rPr>
                <w:rFonts w:hint="eastAsia" w:ascii="宋体" w:hAnsi="宋体" w:cs="宋体"/>
                <w:b/>
                <w:bCs/>
                <w:color w:val="auto"/>
                <w:spacing w:val="12"/>
                <w:w w:val="95"/>
                <w:kern w:val="0"/>
                <w:sz w:val="32"/>
                <w:szCs w:val="32"/>
                <w:highlight w:val="none"/>
                <w:lang w:val="en-US" w:eastAsia="zh-CN"/>
              </w:rPr>
              <w:t>单位</w:t>
            </w:r>
            <w:r>
              <w:rPr>
                <w:rFonts w:hint="eastAsia" w:ascii="宋体" w:hAnsi="宋体" w:eastAsia="宋体" w:cs="宋体"/>
                <w:b/>
                <w:bCs/>
                <w:color w:val="auto"/>
                <w:spacing w:val="12"/>
                <w:w w:val="95"/>
                <w:kern w:val="0"/>
                <w:sz w:val="32"/>
                <w:szCs w:val="32"/>
                <w:highlight w:val="none"/>
              </w:rPr>
              <w:t>：</w:t>
            </w:r>
            <w:r>
              <w:rPr>
                <w:rFonts w:hint="eastAsia" w:ascii="宋体" w:hAnsi="宋体" w:cs="宋体"/>
                <w:b/>
                <w:bCs/>
                <w:color w:val="auto"/>
                <w:w w:val="95"/>
                <w:sz w:val="32"/>
                <w:szCs w:val="32"/>
                <w:highlight w:val="none"/>
                <w:lang w:val="en-US" w:eastAsia="zh-CN"/>
              </w:rPr>
              <w:t>诸暨市建设集团有限公司</w:t>
            </w:r>
          </w:p>
        </w:tc>
      </w:tr>
      <w:tr w14:paraId="6B6B4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114" w:type="dxa"/>
            <w:vAlign w:val="center"/>
          </w:tcPr>
          <w:p w14:paraId="0ED2AC6E">
            <w:pPr>
              <w:pStyle w:val="8"/>
              <w:snapToGrid w:val="0"/>
              <w:spacing w:before="120" w:after="120" w:line="360" w:lineRule="auto"/>
              <w:jc w:val="center"/>
              <w:rPr>
                <w:rFonts w:hint="eastAsia" w:ascii="宋体" w:hAnsi="宋体" w:eastAsia="宋体" w:cs="宋体"/>
                <w:b/>
                <w:bCs/>
                <w:color w:val="auto"/>
                <w:w w:val="95"/>
                <w:kern w:val="0"/>
                <w:sz w:val="32"/>
                <w:szCs w:val="32"/>
                <w:highlight w:val="none"/>
                <w:lang w:eastAsia="zh-CN"/>
              </w:rPr>
            </w:pPr>
            <w:r>
              <w:rPr>
                <w:rFonts w:hint="eastAsia" w:ascii="宋体" w:hAnsi="宋体" w:eastAsia="宋体" w:cs="宋体"/>
                <w:b/>
                <w:bCs/>
                <w:color w:val="auto"/>
                <w:w w:val="95"/>
                <w:kern w:val="0"/>
                <w:sz w:val="32"/>
                <w:szCs w:val="32"/>
                <w:highlight w:val="none"/>
              </w:rPr>
              <w:t>采购代理机构：</w:t>
            </w:r>
            <w:r>
              <w:rPr>
                <w:rFonts w:hint="eastAsia" w:ascii="宋体" w:hAnsi="宋体" w:eastAsia="宋体" w:cs="宋体"/>
                <w:b/>
                <w:bCs/>
                <w:color w:val="auto"/>
                <w:w w:val="95"/>
                <w:kern w:val="0"/>
                <w:sz w:val="32"/>
                <w:szCs w:val="32"/>
                <w:highlight w:val="none"/>
                <w:lang w:eastAsia="zh-CN"/>
              </w:rPr>
              <w:t>浙江博策工程项目管理有限公司</w:t>
            </w:r>
          </w:p>
        </w:tc>
      </w:tr>
    </w:tbl>
    <w:p w14:paraId="3637FE0A">
      <w:pPr>
        <w:spacing w:line="360" w:lineRule="auto"/>
        <w:jc w:val="center"/>
        <w:rPr>
          <w:rFonts w:hint="eastAsia" w:ascii="宋体" w:hAnsi="宋体" w:eastAsia="宋体" w:cs="宋体"/>
          <w:b/>
          <w:bCs/>
          <w:color w:val="auto"/>
          <w:w w:val="95"/>
          <w:sz w:val="32"/>
          <w:szCs w:val="32"/>
          <w:highlight w:val="none"/>
        </w:rPr>
      </w:pPr>
      <w:r>
        <w:rPr>
          <w:rFonts w:hint="eastAsia" w:ascii="宋体" w:hAnsi="宋体" w:eastAsia="宋体" w:cs="宋体"/>
          <w:b/>
          <w:bCs/>
          <w:color w:val="auto"/>
          <w:w w:val="95"/>
          <w:sz w:val="32"/>
          <w:szCs w:val="32"/>
          <w:highlight w:val="none"/>
        </w:rPr>
        <w:t>二〇二</w:t>
      </w:r>
      <w:r>
        <w:rPr>
          <w:rFonts w:hint="eastAsia" w:ascii="宋体" w:hAnsi="宋体" w:cs="宋体"/>
          <w:b/>
          <w:bCs/>
          <w:color w:val="auto"/>
          <w:w w:val="95"/>
          <w:sz w:val="32"/>
          <w:szCs w:val="32"/>
          <w:highlight w:val="none"/>
          <w:lang w:val="en-US" w:eastAsia="zh-CN"/>
        </w:rPr>
        <w:t>五</w:t>
      </w:r>
      <w:r>
        <w:rPr>
          <w:rFonts w:hint="eastAsia" w:ascii="宋体" w:hAnsi="宋体" w:eastAsia="宋体" w:cs="宋体"/>
          <w:b/>
          <w:bCs/>
          <w:color w:val="auto"/>
          <w:w w:val="95"/>
          <w:sz w:val="32"/>
          <w:szCs w:val="32"/>
          <w:highlight w:val="none"/>
        </w:rPr>
        <w:t>年</w:t>
      </w:r>
      <w:r>
        <w:rPr>
          <w:rFonts w:hint="eastAsia" w:ascii="宋体" w:hAnsi="宋体" w:cs="宋体"/>
          <w:b/>
          <w:bCs/>
          <w:color w:val="auto"/>
          <w:w w:val="95"/>
          <w:sz w:val="32"/>
          <w:szCs w:val="32"/>
          <w:highlight w:val="none"/>
          <w:lang w:val="en-US" w:eastAsia="zh-CN"/>
        </w:rPr>
        <w:t>二</w:t>
      </w:r>
      <w:r>
        <w:rPr>
          <w:rFonts w:hint="eastAsia" w:ascii="宋体" w:hAnsi="宋体" w:eastAsia="宋体" w:cs="宋体"/>
          <w:b/>
          <w:bCs/>
          <w:color w:val="auto"/>
          <w:w w:val="95"/>
          <w:sz w:val="32"/>
          <w:szCs w:val="32"/>
          <w:highlight w:val="none"/>
        </w:rPr>
        <w:t>月</w:t>
      </w:r>
    </w:p>
    <w:p w14:paraId="164FC3A8">
      <w:pPr>
        <w:autoSpaceDE/>
        <w:autoSpaceDN/>
        <w:spacing w:line="720" w:lineRule="auto"/>
        <w:jc w:val="center"/>
        <w:rPr>
          <w:rFonts w:hint="eastAsia" w:ascii="宋体" w:hAnsi="宋体" w:eastAsia="宋体" w:cs="宋体"/>
          <w:b/>
          <w:bCs/>
          <w:color w:val="auto"/>
          <w:sz w:val="32"/>
          <w:szCs w:val="32"/>
          <w:highlight w:val="none"/>
        </w:rPr>
      </w:pPr>
    </w:p>
    <w:p w14:paraId="0F3C29DF">
      <w:pPr>
        <w:pStyle w:val="15"/>
        <w:ind w:left="0" w:leftChars="0" w:firstLine="0" w:firstLineChars="0"/>
        <w:rPr>
          <w:rFonts w:hint="eastAsia" w:ascii="宋体" w:hAnsi="宋体" w:eastAsia="宋体" w:cs="宋体"/>
          <w:b/>
          <w:color w:val="auto"/>
          <w:sz w:val="44"/>
          <w:szCs w:val="44"/>
          <w:highlight w:val="none"/>
        </w:rPr>
      </w:pPr>
    </w:p>
    <w:p w14:paraId="5EF51D6D">
      <w:pPr>
        <w:ind w:firstLine="3975" w:firstLineChars="900"/>
        <w:jc w:val="both"/>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w:t>
      </w:r>
      <w:r>
        <w:rPr>
          <w:rFonts w:hint="eastAsia" w:ascii="宋体" w:hAnsi="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录</w:t>
      </w:r>
    </w:p>
    <w:p w14:paraId="4582BF98">
      <w:pPr>
        <w:jc w:val="center"/>
        <w:rPr>
          <w:rFonts w:hint="eastAsia" w:ascii="宋体" w:hAnsi="宋体" w:eastAsia="宋体" w:cs="宋体"/>
          <w:b/>
          <w:color w:val="auto"/>
          <w:sz w:val="44"/>
          <w:szCs w:val="44"/>
          <w:highlight w:val="none"/>
        </w:rPr>
      </w:pPr>
    </w:p>
    <w:p w14:paraId="77607C0D">
      <w:pPr>
        <w:jc w:val="center"/>
        <w:rPr>
          <w:rFonts w:hint="eastAsia" w:ascii="宋体" w:hAnsi="宋体" w:eastAsia="宋体" w:cs="宋体"/>
          <w:color w:val="auto"/>
          <w:highlight w:val="none"/>
        </w:rPr>
      </w:pPr>
    </w:p>
    <w:p w14:paraId="0E5C9936">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    征集公告</w:t>
      </w:r>
    </w:p>
    <w:p w14:paraId="1D1EACA0">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    投标须知</w:t>
      </w:r>
    </w:p>
    <w:p w14:paraId="0C855513">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kern w:val="44"/>
          <w:sz w:val="36"/>
          <w:szCs w:val="36"/>
          <w:highlight w:val="none"/>
          <w:lang w:val="en-US" w:eastAsia="zh-CN" w:bidi="ar-SA"/>
        </w:rPr>
        <w:t>评分办法</w:t>
      </w:r>
    </w:p>
    <w:p w14:paraId="7B0D1D87">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w:t>
      </w:r>
      <w:r>
        <w:rPr>
          <w:rFonts w:hint="eastAsia" w:ascii="宋体" w:hAnsi="宋体" w:eastAsia="宋体" w:cs="宋体"/>
          <w:b/>
          <w:color w:val="auto"/>
          <w:sz w:val="36"/>
          <w:szCs w:val="36"/>
          <w:highlight w:val="none"/>
          <w:lang w:val="en-US" w:eastAsia="zh-CN"/>
        </w:rPr>
        <w:t xml:space="preserve">    采购</w:t>
      </w:r>
      <w:r>
        <w:rPr>
          <w:rFonts w:hint="eastAsia" w:ascii="宋体" w:hAnsi="宋体" w:eastAsia="宋体" w:cs="宋体"/>
          <w:b/>
          <w:color w:val="auto"/>
          <w:sz w:val="36"/>
          <w:szCs w:val="36"/>
          <w:highlight w:val="none"/>
        </w:rPr>
        <w:t>需求</w:t>
      </w:r>
    </w:p>
    <w:p w14:paraId="6BFB2363">
      <w:pPr>
        <w:snapToGrid w:val="0"/>
        <w:spacing w:line="480" w:lineRule="auto"/>
        <w:ind w:firstLine="1807" w:firstLineChars="500"/>
        <w:jc w:val="left"/>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 xml:space="preserve">章    </w:t>
      </w:r>
      <w:r>
        <w:rPr>
          <w:rFonts w:hint="eastAsia" w:ascii="宋体" w:hAnsi="宋体" w:cs="宋体"/>
          <w:b/>
          <w:color w:val="auto"/>
          <w:sz w:val="36"/>
          <w:szCs w:val="36"/>
          <w:highlight w:val="none"/>
          <w:lang w:val="en-US" w:eastAsia="zh-CN"/>
        </w:rPr>
        <w:t>采购合同</w:t>
      </w:r>
    </w:p>
    <w:p w14:paraId="54D5910C">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    应提交的有关格式范例</w:t>
      </w:r>
    </w:p>
    <w:p w14:paraId="618CD899">
      <w:pPr>
        <w:spacing w:line="360" w:lineRule="auto"/>
        <w:ind w:firstLine="562" w:firstLineChars="200"/>
        <w:jc w:val="center"/>
        <w:rPr>
          <w:rFonts w:hint="eastAsia" w:ascii="宋体" w:hAnsi="宋体" w:eastAsia="宋体" w:cs="宋体"/>
          <w:b/>
          <w:color w:val="auto"/>
          <w:sz w:val="28"/>
          <w:szCs w:val="22"/>
          <w:highlight w:val="none"/>
        </w:rPr>
      </w:pPr>
      <w:r>
        <w:rPr>
          <w:rFonts w:hint="eastAsia" w:ascii="宋体" w:hAnsi="宋体" w:eastAsia="宋体" w:cs="宋体"/>
          <w:b/>
          <w:color w:val="auto"/>
          <w:sz w:val="28"/>
          <w:szCs w:val="22"/>
          <w:highlight w:val="none"/>
        </w:rPr>
        <w:t>请各位投标人详细阅读各项条款</w:t>
      </w:r>
    </w:p>
    <w:p w14:paraId="2FDF8AB6">
      <w:pPr>
        <w:snapToGrid w:val="0"/>
        <w:spacing w:line="480" w:lineRule="auto"/>
        <w:ind w:firstLine="1807" w:firstLineChars="500"/>
        <w:jc w:val="left"/>
        <w:rPr>
          <w:rFonts w:hint="eastAsia" w:ascii="宋体" w:hAnsi="宋体" w:eastAsia="宋体" w:cs="宋体"/>
          <w:b/>
          <w:color w:val="auto"/>
          <w:sz w:val="36"/>
          <w:szCs w:val="36"/>
          <w:highlight w:val="none"/>
        </w:rPr>
      </w:pPr>
    </w:p>
    <w:p w14:paraId="0C6A2BFD">
      <w:pPr>
        <w:spacing w:line="500" w:lineRule="exact"/>
        <w:rPr>
          <w:rStyle w:val="21"/>
          <w:rFonts w:hint="eastAsia" w:ascii="宋体" w:hAnsi="宋体" w:eastAsia="宋体" w:cs="宋体"/>
          <w:color w:val="auto"/>
          <w:sz w:val="30"/>
          <w:highlight w:val="none"/>
        </w:rPr>
      </w:pPr>
    </w:p>
    <w:p w14:paraId="02FFDC99">
      <w:pPr>
        <w:spacing w:line="500" w:lineRule="exact"/>
        <w:rPr>
          <w:rStyle w:val="21"/>
          <w:rFonts w:hint="eastAsia" w:ascii="宋体" w:hAnsi="宋体" w:eastAsia="宋体" w:cs="宋体"/>
          <w:color w:val="auto"/>
          <w:sz w:val="30"/>
          <w:highlight w:val="none"/>
        </w:rPr>
      </w:pPr>
    </w:p>
    <w:p w14:paraId="31677090">
      <w:pPr>
        <w:spacing w:line="500" w:lineRule="exact"/>
        <w:rPr>
          <w:rStyle w:val="21"/>
          <w:rFonts w:hint="eastAsia" w:ascii="宋体" w:hAnsi="宋体" w:eastAsia="宋体" w:cs="宋体"/>
          <w:color w:val="auto"/>
          <w:sz w:val="30"/>
          <w:highlight w:val="none"/>
        </w:rPr>
      </w:pPr>
    </w:p>
    <w:p w14:paraId="7D036898">
      <w:pPr>
        <w:spacing w:line="500" w:lineRule="exact"/>
        <w:rPr>
          <w:rStyle w:val="21"/>
          <w:rFonts w:hint="eastAsia" w:ascii="宋体" w:hAnsi="宋体" w:eastAsia="宋体" w:cs="宋体"/>
          <w:color w:val="auto"/>
          <w:sz w:val="30"/>
          <w:highlight w:val="none"/>
        </w:rPr>
      </w:pPr>
    </w:p>
    <w:p w14:paraId="54A9A36B">
      <w:pPr>
        <w:spacing w:line="500" w:lineRule="exact"/>
        <w:rPr>
          <w:rStyle w:val="21"/>
          <w:rFonts w:hint="eastAsia" w:ascii="宋体" w:hAnsi="宋体" w:eastAsia="宋体" w:cs="宋体"/>
          <w:color w:val="auto"/>
          <w:sz w:val="30"/>
          <w:highlight w:val="none"/>
        </w:rPr>
      </w:pPr>
    </w:p>
    <w:p w14:paraId="15FD668B">
      <w:pPr>
        <w:spacing w:line="500" w:lineRule="exact"/>
        <w:rPr>
          <w:rStyle w:val="21"/>
          <w:rFonts w:hint="eastAsia" w:ascii="宋体" w:hAnsi="宋体" w:eastAsia="宋体" w:cs="宋体"/>
          <w:color w:val="auto"/>
          <w:sz w:val="30"/>
          <w:highlight w:val="none"/>
        </w:rPr>
      </w:pPr>
    </w:p>
    <w:p w14:paraId="63B2223F">
      <w:pPr>
        <w:spacing w:line="500" w:lineRule="exact"/>
        <w:jc w:val="center"/>
        <w:rPr>
          <w:rFonts w:hint="eastAsia" w:ascii="宋体" w:hAnsi="宋体" w:eastAsia="宋体" w:cs="宋体"/>
          <w:b/>
          <w:bCs/>
          <w:color w:val="auto"/>
          <w:sz w:val="36"/>
          <w:szCs w:val="36"/>
          <w:highlight w:val="none"/>
        </w:rPr>
        <w:sectPr>
          <w:headerReference r:id="rId4" w:type="first"/>
          <w:headerReference r:id="rId3" w:type="default"/>
          <w:footerReference r:id="rId5" w:type="even"/>
          <w:pgSz w:w="11906" w:h="16838"/>
          <w:pgMar w:top="1236" w:right="1236" w:bottom="1236" w:left="1236" w:header="851" w:footer="907"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491DABC8">
      <w:pPr>
        <w:keepNext w:val="0"/>
        <w:keepLines w:val="0"/>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第一章  征集公告（非政府采购）</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0"/>
      </w:tblGrid>
      <w:tr w14:paraId="5AE0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650" w:type="dxa"/>
            <w:noWrap w:val="0"/>
            <w:vAlign w:val="top"/>
          </w:tcPr>
          <w:p w14:paraId="222D6239">
            <w:pPr>
              <w:keepNext w:val="0"/>
              <w:keepLines w:val="0"/>
              <w:pageBreakBefore w:val="0"/>
              <w:widowControl/>
              <w:suppressLineNumbers w:val="0"/>
              <w:shd w:val="clear"/>
              <w:kinsoku/>
              <w:overflow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i w:val="0"/>
                <w:iCs w:val="0"/>
                <w:color w:val="auto"/>
                <w:sz w:val="24"/>
                <w:szCs w:val="24"/>
                <w:highlight w:val="none"/>
                <w:lang w:val="en-US" w:eastAsia="zh-CN" w:bidi="ar-SA"/>
              </w:rPr>
            </w:pPr>
            <w:r>
              <w:rPr>
                <w:rFonts w:hint="eastAsia" w:ascii="宋体" w:hAnsi="宋体" w:eastAsia="宋体" w:cs="宋体"/>
                <w:b w:val="0"/>
                <w:bCs w:val="0"/>
                <w:i w:val="0"/>
                <w:iCs w:val="0"/>
                <w:color w:val="auto"/>
                <w:sz w:val="24"/>
                <w:szCs w:val="24"/>
                <w:highlight w:val="none"/>
                <w:shd w:val="clear" w:color="auto" w:fill="FFFFFF"/>
                <w:lang w:val="en-US" w:eastAsia="zh-CN" w:bidi="ar-SA"/>
              </w:rPr>
              <w:t>项目概况</w:t>
            </w:r>
          </w:p>
          <w:p w14:paraId="14531A44">
            <w:pPr>
              <w:keepNext w:val="0"/>
              <w:keepLines w:val="0"/>
              <w:pageBreakBefore w:val="0"/>
              <w:widowControl/>
              <w:suppressLineNumbers w:val="0"/>
              <w:shd w:val="clear"/>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i w:val="0"/>
                <w:iCs w:val="0"/>
                <w:color w:val="auto"/>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u w:val="single"/>
                <w:shd w:val="clear" w:color="auto" w:fill="FFFFFF"/>
                <w:lang w:val="en-US" w:eastAsia="zh-CN" w:bidi="ar-SA"/>
              </w:rPr>
              <w:t>诸暨市建设集团有限公司（含下属单位）2025年车辆保险供应商征集项目</w:t>
            </w:r>
            <w:r>
              <w:rPr>
                <w:rFonts w:hint="eastAsia" w:ascii="宋体" w:hAnsi="宋体" w:eastAsia="宋体" w:cs="宋体"/>
                <w:b w:val="0"/>
                <w:bCs w:val="0"/>
                <w:i w:val="0"/>
                <w:iCs w:val="0"/>
                <w:color w:val="auto"/>
                <w:sz w:val="24"/>
                <w:szCs w:val="24"/>
                <w:highlight w:val="none"/>
                <w:u w:val="single"/>
                <w:shd w:val="clear" w:color="auto" w:fill="FFFFFF"/>
                <w:lang w:val="en-US" w:eastAsia="zh-CN" w:bidi="ar-SA"/>
              </w:rPr>
              <w:t xml:space="preserve"> </w:t>
            </w:r>
            <w:r>
              <w:rPr>
                <w:rFonts w:hint="eastAsia" w:ascii="宋体" w:hAnsi="宋体" w:eastAsia="宋体" w:cs="宋体"/>
                <w:b w:val="0"/>
                <w:bCs w:val="0"/>
                <w:i w:val="0"/>
                <w:iCs w:val="0"/>
                <w:color w:val="auto"/>
                <w:sz w:val="24"/>
                <w:szCs w:val="24"/>
                <w:highlight w:val="none"/>
                <w:shd w:val="clear" w:color="auto" w:fill="FFFFFF"/>
              </w:rPr>
              <w:t>项目的潜在</w:t>
            </w:r>
            <w:r>
              <w:rPr>
                <w:rFonts w:hint="eastAsia" w:ascii="宋体" w:hAnsi="宋体" w:cs="宋体"/>
                <w:b w:val="0"/>
                <w:bCs w:val="0"/>
                <w:i w:val="0"/>
                <w:iCs w:val="0"/>
                <w:color w:val="auto"/>
                <w:sz w:val="24"/>
                <w:szCs w:val="24"/>
                <w:highlight w:val="none"/>
                <w:shd w:val="clear" w:color="auto" w:fill="FFFFFF"/>
                <w:lang w:val="en-US" w:eastAsia="zh-CN"/>
              </w:rPr>
              <w:t>供应商</w:t>
            </w:r>
            <w:r>
              <w:rPr>
                <w:rFonts w:hint="eastAsia" w:ascii="宋体" w:hAnsi="宋体" w:eastAsia="宋体" w:cs="宋体"/>
                <w:b w:val="0"/>
                <w:bCs w:val="0"/>
                <w:i w:val="0"/>
                <w:iCs w:val="0"/>
                <w:color w:val="auto"/>
                <w:sz w:val="24"/>
                <w:szCs w:val="24"/>
                <w:highlight w:val="none"/>
                <w:shd w:val="clear" w:color="auto" w:fill="FFFFFF"/>
              </w:rPr>
              <w:t>应</w:t>
            </w:r>
            <w:r>
              <w:rPr>
                <w:rFonts w:hint="eastAsia" w:ascii="宋体" w:hAnsi="宋体" w:eastAsia="宋体" w:cs="宋体"/>
                <w:b w:val="0"/>
                <w:bCs w:val="0"/>
                <w:i w:val="0"/>
                <w:iCs w:val="0"/>
                <w:color w:val="auto"/>
                <w:sz w:val="24"/>
                <w:szCs w:val="24"/>
                <w:highlight w:val="none"/>
                <w:u w:val="none"/>
                <w:shd w:val="clear" w:color="auto" w:fill="FFFFFF"/>
              </w:rPr>
              <w:t>在</w:t>
            </w:r>
            <w:r>
              <w:rPr>
                <w:rFonts w:hint="eastAsia" w:ascii="宋体" w:hAnsi="宋体" w:eastAsia="宋体" w:cs="宋体"/>
                <w:b w:val="0"/>
                <w:bCs w:val="0"/>
                <w:i w:val="0"/>
                <w:iCs w:val="0"/>
                <w:color w:val="auto"/>
                <w:sz w:val="24"/>
                <w:szCs w:val="24"/>
                <w:highlight w:val="none"/>
                <w:u w:val="single"/>
                <w:shd w:val="clear" w:color="auto" w:fill="FFFFFF"/>
              </w:rPr>
              <w:t>乐采云平台（https://www.lecaiyun.com/）</w:t>
            </w:r>
            <w:r>
              <w:rPr>
                <w:rFonts w:hint="eastAsia" w:ascii="宋体" w:hAnsi="宋体" w:eastAsia="宋体" w:cs="宋体"/>
                <w:b w:val="0"/>
                <w:bCs w:val="0"/>
                <w:i w:val="0"/>
                <w:iCs w:val="0"/>
                <w:color w:val="auto"/>
                <w:sz w:val="24"/>
                <w:szCs w:val="24"/>
                <w:highlight w:val="none"/>
                <w:shd w:val="clear" w:color="auto" w:fill="FFFFFF"/>
              </w:rPr>
              <w:t>获取（下载）征集文件，并于</w:t>
            </w:r>
            <w:r>
              <w:rPr>
                <w:rFonts w:hint="eastAsia" w:ascii="宋体" w:hAnsi="宋体" w:cs="宋体"/>
                <w:b w:val="0"/>
                <w:bCs w:val="0"/>
                <w:i w:val="0"/>
                <w:iCs w:val="0"/>
                <w:color w:val="auto"/>
                <w:sz w:val="24"/>
                <w:szCs w:val="24"/>
                <w:highlight w:val="none"/>
                <w:u w:val="single"/>
                <w:shd w:val="clear" w:color="auto" w:fill="FFFFFF"/>
                <w:lang w:eastAsia="zh-CN"/>
              </w:rPr>
              <w:t>2025年3月4日14:30时</w:t>
            </w:r>
            <w:r>
              <w:rPr>
                <w:rFonts w:hint="eastAsia" w:ascii="宋体" w:hAnsi="宋体" w:eastAsia="宋体" w:cs="宋体"/>
                <w:b w:val="0"/>
                <w:bCs w:val="0"/>
                <w:i w:val="0"/>
                <w:iCs w:val="0"/>
                <w:color w:val="auto"/>
                <w:sz w:val="24"/>
                <w:szCs w:val="24"/>
                <w:highlight w:val="none"/>
                <w:shd w:val="clear" w:color="auto" w:fill="FFFFFF"/>
              </w:rPr>
              <w:t>（北京时间）前递交（上传）</w:t>
            </w:r>
            <w:r>
              <w:rPr>
                <w:rFonts w:hint="eastAsia" w:ascii="宋体" w:hAnsi="宋体" w:cs="宋体"/>
                <w:b w:val="0"/>
                <w:bCs w:val="0"/>
                <w:i w:val="0"/>
                <w:iCs w:val="0"/>
                <w:color w:val="auto"/>
                <w:sz w:val="24"/>
                <w:szCs w:val="24"/>
                <w:highlight w:val="none"/>
                <w:shd w:val="clear" w:color="auto" w:fill="FFFFFF"/>
                <w:lang w:val="en-US" w:eastAsia="zh-CN"/>
              </w:rPr>
              <w:t>响应</w:t>
            </w:r>
            <w:r>
              <w:rPr>
                <w:rFonts w:hint="eastAsia" w:ascii="宋体" w:hAnsi="宋体" w:eastAsia="宋体" w:cs="宋体"/>
                <w:b w:val="0"/>
                <w:bCs w:val="0"/>
                <w:i w:val="0"/>
                <w:iCs w:val="0"/>
                <w:color w:val="auto"/>
                <w:sz w:val="24"/>
                <w:szCs w:val="24"/>
                <w:highlight w:val="none"/>
                <w:shd w:val="clear" w:color="auto" w:fill="FFFFFF"/>
              </w:rPr>
              <w:t>文件。</w:t>
            </w:r>
          </w:p>
        </w:tc>
      </w:tr>
    </w:tbl>
    <w:p w14:paraId="32A2C20E">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bookmarkStart w:id="0" w:name="_Toc28359079"/>
      <w:bookmarkStart w:id="1" w:name="_Toc28359002"/>
      <w:bookmarkStart w:id="2" w:name="_Toc35393621"/>
      <w:bookmarkStart w:id="3" w:name="_Toc35393790"/>
      <w:bookmarkStart w:id="4" w:name="_Hlk24379207"/>
      <w:r>
        <w:rPr>
          <w:rFonts w:hint="eastAsia" w:ascii="宋体" w:hAnsi="宋体" w:eastAsia="宋体" w:cs="宋体"/>
          <w:b/>
          <w:bCs w:val="0"/>
          <w:color w:val="auto"/>
          <w:kern w:val="0"/>
          <w:sz w:val="24"/>
          <w:szCs w:val="24"/>
          <w:highlight w:val="none"/>
          <w:lang w:val="en-US" w:eastAsia="zh-CN" w:bidi="ar-SA"/>
        </w:rPr>
        <w:t>一、项目基本情况</w:t>
      </w:r>
      <w:bookmarkEnd w:id="0"/>
      <w:bookmarkEnd w:id="1"/>
      <w:bookmarkEnd w:id="2"/>
      <w:bookmarkEnd w:id="3"/>
    </w:p>
    <w:bookmarkEnd w:id="4"/>
    <w:p w14:paraId="2FD7E031">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bookmarkStart w:id="5" w:name="_Toc28359080"/>
      <w:bookmarkStart w:id="6" w:name="_Toc35393791"/>
      <w:bookmarkStart w:id="7" w:name="_Toc35393622"/>
      <w:bookmarkStart w:id="8" w:name="_Toc28359003"/>
      <w:r>
        <w:rPr>
          <w:rFonts w:hint="eastAsia" w:ascii="宋体" w:hAnsi="宋体" w:eastAsia="宋体" w:cs="宋体"/>
          <w:bCs/>
          <w:color w:val="auto"/>
          <w:sz w:val="24"/>
          <w:szCs w:val="24"/>
          <w:highlight w:val="none"/>
          <w:lang w:val="en-US" w:eastAsia="zh-CN"/>
        </w:rPr>
        <w:t>项目编号：浙博策202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02</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03</w:t>
      </w:r>
    </w:p>
    <w:p w14:paraId="4C5BFF17">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项目名称及规模：</w:t>
      </w:r>
      <w:r>
        <w:rPr>
          <w:rFonts w:hint="eastAsia" w:ascii="宋体" w:hAnsi="宋体" w:cs="宋体"/>
          <w:bCs/>
          <w:color w:val="auto"/>
          <w:sz w:val="24"/>
          <w:szCs w:val="24"/>
          <w:highlight w:val="none"/>
          <w:lang w:val="en-US" w:eastAsia="zh-CN"/>
        </w:rPr>
        <w:t>诸暨市建设集团有限公司（含下属单位）2025年车辆保险供应商征集项目，本项目采购预算金额为1000万元，本次共征集入围3家供应商，费用按实结算，具体内容详见采购需求。</w:t>
      </w:r>
    </w:p>
    <w:p w14:paraId="790F14B7">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采购组织类型：分散采购委托代理</w:t>
      </w:r>
    </w:p>
    <w:p w14:paraId="34ECF678">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采购方式：公开征集入围</w:t>
      </w:r>
    </w:p>
    <w:p w14:paraId="02985DC6">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评标办法：质量优先法（综合评分法）</w:t>
      </w:r>
    </w:p>
    <w:p w14:paraId="1C936546">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预算金额：1000万元</w:t>
      </w:r>
    </w:p>
    <w:p w14:paraId="5E4CC8CA">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最高限价</w:t>
      </w:r>
      <w:r>
        <w:rPr>
          <w:rFonts w:hint="eastAsia" w:ascii="宋体" w:hAnsi="宋体" w:eastAsia="宋体" w:cs="宋体"/>
          <w:bCs/>
          <w:strike w:val="0"/>
          <w:dstrike w:val="0"/>
          <w:color w:val="auto"/>
          <w:sz w:val="24"/>
          <w:highlight w:val="none"/>
          <w:lang w:val="en-US" w:eastAsia="zh-CN"/>
        </w:rPr>
        <w:t>（费率折扣）</w:t>
      </w:r>
      <w:r>
        <w:rPr>
          <w:rFonts w:hint="eastAsia" w:ascii="宋体" w:hAnsi="宋体" w:cs="宋体"/>
          <w:bCs/>
          <w:color w:val="auto"/>
          <w:sz w:val="24"/>
          <w:szCs w:val="24"/>
          <w:highlight w:val="none"/>
          <w:lang w:val="en-US" w:eastAsia="zh-CN"/>
        </w:rPr>
        <w:t>：</w:t>
      </w:r>
      <w:r>
        <w:rPr>
          <w:rFonts w:hint="eastAsia" w:ascii="宋体" w:hAnsi="宋体" w:cs="宋体"/>
          <w:color w:val="auto"/>
          <w:sz w:val="24"/>
          <w:szCs w:val="24"/>
          <w:highlight w:val="none"/>
          <w:lang w:val="en-US" w:eastAsia="zh-CN"/>
        </w:rPr>
        <w:t>0.8</w:t>
      </w:r>
    </w:p>
    <w:p w14:paraId="17033235">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供应商入围数量：</w:t>
      </w:r>
      <w:r>
        <w:rPr>
          <w:rFonts w:hint="eastAsia" w:ascii="宋体" w:hAnsi="宋体" w:cs="宋体"/>
          <w:bCs/>
          <w:color w:val="auto"/>
          <w:sz w:val="24"/>
          <w:szCs w:val="24"/>
          <w:highlight w:val="none"/>
          <w:lang w:val="en-US" w:eastAsia="zh-CN"/>
        </w:rPr>
        <w:t>共入围3家，</w:t>
      </w:r>
      <w:r>
        <w:rPr>
          <w:rFonts w:hint="eastAsia" w:ascii="宋体" w:hAnsi="宋体" w:eastAsia="宋体" w:cs="宋体"/>
          <w:bCs/>
          <w:color w:val="auto"/>
          <w:sz w:val="24"/>
          <w:szCs w:val="24"/>
          <w:highlight w:val="none"/>
          <w:lang w:val="en-US" w:eastAsia="zh-CN"/>
        </w:rPr>
        <w:t>淘汰比例不少于20%，且至少淘汰一家供应商</w:t>
      </w:r>
    </w:p>
    <w:p w14:paraId="3DDE7D4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服务期限</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自签订合同之日起一年</w:t>
      </w:r>
      <w:r>
        <w:rPr>
          <w:rFonts w:hint="eastAsia" w:ascii="宋体" w:hAnsi="宋体" w:cs="宋体"/>
          <w:bCs/>
          <w:color w:val="auto"/>
          <w:sz w:val="24"/>
          <w:szCs w:val="24"/>
          <w:highlight w:val="none"/>
          <w:lang w:val="en-US" w:eastAsia="zh-CN"/>
        </w:rPr>
        <w:t>。</w:t>
      </w:r>
    </w:p>
    <w:p w14:paraId="09379D48">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本项目（否）接受联合体投标。</w:t>
      </w:r>
    </w:p>
    <w:p w14:paraId="21837E6B">
      <w:pPr>
        <w:pageBreakBefore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kern w:val="0"/>
          <w:sz w:val="24"/>
          <w:szCs w:val="24"/>
          <w:highlight w:val="none"/>
          <w:lang w:val="en-US" w:eastAsia="zh-CN" w:bidi="ar-SA"/>
        </w:rPr>
        <w:t>二</w:t>
      </w:r>
      <w:bookmarkEnd w:id="5"/>
      <w:bookmarkEnd w:id="6"/>
      <w:bookmarkEnd w:id="7"/>
      <w:bookmarkEnd w:id="8"/>
      <w:r>
        <w:rPr>
          <w:rFonts w:hint="eastAsia" w:ascii="宋体" w:hAnsi="宋体" w:eastAsia="宋体" w:cs="宋体"/>
          <w:b/>
          <w:color w:val="auto"/>
          <w:sz w:val="24"/>
          <w:szCs w:val="24"/>
          <w:highlight w:val="none"/>
        </w:rPr>
        <w:t>、申请人的资格要求：</w:t>
      </w:r>
    </w:p>
    <w:p w14:paraId="4976280D">
      <w:pPr>
        <w:pageBreakBefore w:val="0"/>
        <w:shd w:val="clear"/>
        <w:kinsoku/>
        <w:overflowPunct/>
        <w:bidi w:val="0"/>
        <w:spacing w:line="360" w:lineRule="auto"/>
        <w:ind w:firstLine="480" w:firstLineChars="200"/>
        <w:jc w:val="left"/>
        <w:textAlignment w:val="auto"/>
        <w:rPr>
          <w:rFonts w:hint="eastAsia" w:ascii="宋体" w:hAnsi="宋体" w:cs="宋体"/>
          <w:bCs/>
          <w:color w:val="auto"/>
          <w:sz w:val="24"/>
          <w:szCs w:val="24"/>
          <w:highlight w:val="none"/>
          <w:lang w:val="en-US" w:eastAsia="zh-CN"/>
        </w:rPr>
      </w:pPr>
      <w:bookmarkStart w:id="9" w:name="_Toc35393792"/>
      <w:bookmarkStart w:id="10" w:name="_Toc35393623"/>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本项目的</w:t>
      </w:r>
      <w:r>
        <w:rPr>
          <w:rFonts w:hint="eastAsia" w:ascii="宋体" w:hAnsi="宋体" w:cs="宋体"/>
          <w:bCs/>
          <w:color w:val="auto"/>
          <w:sz w:val="24"/>
          <w:szCs w:val="24"/>
          <w:highlight w:val="none"/>
          <w:lang w:val="en-US" w:eastAsia="zh-CN"/>
        </w:rPr>
        <w:t>基本资格要求：</w:t>
      </w:r>
    </w:p>
    <w:p w14:paraId="5C77FAF8">
      <w:pPr>
        <w:pageBreakBefore w:val="0"/>
        <w:shd w:val="clear"/>
        <w:kinsoku/>
        <w:overflowPunct/>
        <w:bidi w:val="0"/>
        <w:spacing w:line="360" w:lineRule="auto"/>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（1）具有独立承担民事责任的能力；</w:t>
      </w:r>
    </w:p>
    <w:p w14:paraId="1EAF360C">
      <w:pPr>
        <w:pageBreakBefore w:val="0"/>
        <w:shd w:val="clear"/>
        <w:kinsoku/>
        <w:overflowPunct/>
        <w:bidi w:val="0"/>
        <w:spacing w:line="360" w:lineRule="auto"/>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（2）具有良好的商业信誉和健全的财务会计制度；</w:t>
      </w:r>
    </w:p>
    <w:p w14:paraId="057A1037">
      <w:pPr>
        <w:pageBreakBefore w:val="0"/>
        <w:shd w:val="clear"/>
        <w:kinsoku/>
        <w:overflowPunct/>
        <w:bidi w:val="0"/>
        <w:spacing w:line="360" w:lineRule="auto"/>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（3）具有履行合同所必需的设备和专业技术能力；</w:t>
      </w:r>
    </w:p>
    <w:p w14:paraId="777F1EC1">
      <w:pPr>
        <w:pageBreakBefore w:val="0"/>
        <w:shd w:val="clear"/>
        <w:kinsoku/>
        <w:overflowPunct/>
        <w:bidi w:val="0"/>
        <w:spacing w:line="360" w:lineRule="auto"/>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（4）具有依法缴纳税收和社会保障资金的良好记录；</w:t>
      </w:r>
    </w:p>
    <w:p w14:paraId="258F47DC">
      <w:pPr>
        <w:pageBreakBefore w:val="0"/>
        <w:shd w:val="clear"/>
        <w:kinsoku/>
        <w:overflowPunct/>
        <w:bidi w:val="0"/>
        <w:spacing w:line="360" w:lineRule="auto"/>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（5）参加采购活动前三年内，在经营活动中没有重大违法记录；</w:t>
      </w:r>
    </w:p>
    <w:p w14:paraId="1D7A5773">
      <w:pPr>
        <w:pageBreakBefore w:val="0"/>
        <w:shd w:val="clear"/>
        <w:kinsoku/>
        <w:overflowPunct/>
        <w:bidi w:val="0"/>
        <w:spacing w:line="360" w:lineRule="auto"/>
        <w:ind w:firstLine="480" w:firstLineChars="200"/>
        <w:jc w:val="left"/>
        <w:textAlignment w:val="auto"/>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val="zh-CN" w:eastAsia="zh-CN"/>
        </w:rPr>
        <w:t>法律、行政法规规定的其他条件；</w:t>
      </w:r>
    </w:p>
    <w:p w14:paraId="7B22CC95">
      <w:pPr>
        <w:pageBreakBefore w:val="0"/>
        <w:shd w:val="clear"/>
        <w:kinsoku/>
        <w:overflowPunct/>
        <w:bidi w:val="0"/>
        <w:spacing w:line="360" w:lineRule="auto"/>
        <w:ind w:firstLine="480" w:firstLineChars="200"/>
        <w:textAlignment w:val="auto"/>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lang w:val="zh-CN" w:eastAsia="zh-CN"/>
        </w:rPr>
        <w:t>未被“信用中国”（www.creditchina.gov.cn）、中国政府采购网（www.ccgp.gov.cn）列入失信被执行人、重大税收违法案件当事人名单、政府采购严重违法失信行为记录名单；</w:t>
      </w:r>
    </w:p>
    <w:p w14:paraId="11F2A4D1">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2、本项目的特定资格要求：</w:t>
      </w:r>
      <w:r>
        <w:rPr>
          <w:rFonts w:hint="eastAsia" w:ascii="宋体" w:hAnsi="宋体" w:cs="宋体"/>
          <w:color w:val="auto"/>
          <w:spacing w:val="-4"/>
          <w:kern w:val="2"/>
          <w:sz w:val="24"/>
          <w:szCs w:val="24"/>
          <w:highlight w:val="none"/>
        </w:rPr>
        <w:t>具有经营财产损失保险范围的经营保险业务许可证</w:t>
      </w:r>
      <w:r>
        <w:rPr>
          <w:rFonts w:hint="eastAsia" w:ascii="宋体" w:hAnsi="宋体" w:cs="宋体"/>
          <w:bCs/>
          <w:color w:val="auto"/>
          <w:sz w:val="24"/>
          <w:szCs w:val="24"/>
          <w:highlight w:val="none"/>
          <w:lang w:val="en-US" w:eastAsia="zh-CN"/>
        </w:rPr>
        <w:t>。</w:t>
      </w:r>
    </w:p>
    <w:p w14:paraId="3062606A">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三、获取征集文件</w:t>
      </w:r>
      <w:bookmarkEnd w:id="9"/>
      <w:bookmarkEnd w:id="10"/>
    </w:p>
    <w:p w14:paraId="7ACE2188">
      <w:pPr>
        <w:keepNext w:val="0"/>
        <w:keepLines w:val="0"/>
        <w:pageBreakBefore w:val="0"/>
        <w:widowControl/>
        <w:suppressLineNumbers w:val="0"/>
        <w:shd w:val="clear"/>
        <w:kinsoku/>
        <w:wordWrap/>
        <w:overflowPunct/>
        <w:topLinePunct w:val="0"/>
        <w:autoSpaceDE/>
        <w:autoSpaceDN/>
        <w:bidi w:val="0"/>
        <w:adjustRightInd/>
        <w:spacing w:before="0" w:beforeAutospacing="0" w:after="0" w:afterAutospacing="0" w:line="360" w:lineRule="auto"/>
        <w:ind w:left="0" w:right="0" w:firstLine="555"/>
        <w:jc w:val="left"/>
        <w:textAlignment w:val="auto"/>
        <w:rPr>
          <w:rStyle w:val="19"/>
          <w:rFonts w:hint="eastAsia" w:ascii="宋体" w:hAnsi="宋体" w:eastAsia="宋体" w:cs="宋体"/>
          <w:b w:val="0"/>
          <w:color w:val="auto"/>
          <w:sz w:val="24"/>
          <w:szCs w:val="24"/>
          <w:highlight w:val="none"/>
          <w:shd w:val="clear" w:color="auto" w:fill="FFFFFF"/>
          <w:lang w:val="en-US" w:eastAsia="zh-CN" w:bidi="ar-SA"/>
        </w:rPr>
      </w:pPr>
      <w:r>
        <w:rPr>
          <w:rStyle w:val="19"/>
          <w:rFonts w:hint="eastAsia" w:ascii="宋体" w:hAnsi="宋体" w:eastAsia="宋体" w:cs="宋体"/>
          <w:b w:val="0"/>
          <w:color w:val="auto"/>
          <w:sz w:val="24"/>
          <w:szCs w:val="24"/>
          <w:highlight w:val="none"/>
          <w:shd w:val="clear" w:color="auto" w:fill="FFFFFF"/>
          <w:lang w:val="en-US" w:eastAsia="zh-CN" w:bidi="ar-SA"/>
        </w:rPr>
        <w:t>时间：</w:t>
      </w:r>
      <w:r>
        <w:rPr>
          <w:rStyle w:val="19"/>
          <w:rFonts w:hint="eastAsia" w:ascii="宋体" w:hAnsi="宋体" w:eastAsia="宋体" w:cs="宋体"/>
          <w:b w:val="0"/>
          <w:color w:val="auto"/>
          <w:sz w:val="24"/>
          <w:szCs w:val="24"/>
          <w:highlight w:val="none"/>
          <w:u w:val="single"/>
          <w:shd w:val="clear" w:color="auto" w:fill="FFFFFF"/>
          <w:lang w:val="en-US" w:eastAsia="zh-CN" w:bidi="ar-SA"/>
        </w:rPr>
        <w:t>202</w:t>
      </w:r>
      <w:r>
        <w:rPr>
          <w:rStyle w:val="19"/>
          <w:rFonts w:hint="eastAsia" w:ascii="宋体" w:hAnsi="宋体" w:cs="宋体"/>
          <w:b w:val="0"/>
          <w:color w:val="auto"/>
          <w:sz w:val="24"/>
          <w:szCs w:val="24"/>
          <w:highlight w:val="none"/>
          <w:u w:val="single"/>
          <w:shd w:val="clear" w:color="auto" w:fill="FFFFFF"/>
          <w:lang w:val="en-US" w:eastAsia="zh-CN" w:bidi="ar-SA"/>
        </w:rPr>
        <w:t>5</w:t>
      </w:r>
      <w:r>
        <w:rPr>
          <w:rStyle w:val="19"/>
          <w:rFonts w:hint="eastAsia" w:ascii="宋体" w:hAnsi="宋体" w:eastAsia="宋体" w:cs="宋体"/>
          <w:b w:val="0"/>
          <w:color w:val="auto"/>
          <w:sz w:val="24"/>
          <w:szCs w:val="24"/>
          <w:highlight w:val="none"/>
          <w:u w:val="single"/>
          <w:shd w:val="clear" w:color="auto" w:fill="FFFFFF"/>
          <w:lang w:val="en-US" w:eastAsia="zh-CN" w:bidi="ar-SA"/>
        </w:rPr>
        <w:t>年</w:t>
      </w:r>
      <w:r>
        <w:rPr>
          <w:rStyle w:val="19"/>
          <w:rFonts w:hint="eastAsia" w:ascii="宋体" w:hAnsi="宋体" w:cs="宋体"/>
          <w:b w:val="0"/>
          <w:color w:val="auto"/>
          <w:sz w:val="24"/>
          <w:szCs w:val="24"/>
          <w:highlight w:val="none"/>
          <w:u w:val="single"/>
          <w:shd w:val="clear" w:color="auto" w:fill="FFFFFF"/>
          <w:lang w:val="en-US" w:eastAsia="zh-CN" w:bidi="ar-SA"/>
        </w:rPr>
        <w:t>2</w:t>
      </w:r>
      <w:r>
        <w:rPr>
          <w:rStyle w:val="19"/>
          <w:rFonts w:hint="eastAsia" w:ascii="宋体" w:hAnsi="宋体" w:eastAsia="宋体" w:cs="宋体"/>
          <w:b w:val="0"/>
          <w:color w:val="auto"/>
          <w:sz w:val="24"/>
          <w:szCs w:val="24"/>
          <w:highlight w:val="none"/>
          <w:u w:val="single"/>
          <w:shd w:val="clear" w:color="auto" w:fill="FFFFFF"/>
          <w:lang w:val="en-US" w:eastAsia="zh-CN" w:bidi="ar-SA"/>
        </w:rPr>
        <w:t>月</w:t>
      </w:r>
      <w:r>
        <w:rPr>
          <w:rStyle w:val="19"/>
          <w:rFonts w:hint="eastAsia" w:ascii="宋体" w:hAnsi="宋体" w:cs="宋体"/>
          <w:b w:val="0"/>
          <w:color w:val="auto"/>
          <w:sz w:val="24"/>
          <w:szCs w:val="24"/>
          <w:highlight w:val="none"/>
          <w:u w:val="single"/>
          <w:shd w:val="clear" w:color="auto" w:fill="FFFFFF"/>
          <w:lang w:val="en-US" w:eastAsia="zh-CN" w:bidi="ar-SA"/>
        </w:rPr>
        <w:t>12</w:t>
      </w:r>
      <w:r>
        <w:rPr>
          <w:rStyle w:val="19"/>
          <w:rFonts w:hint="eastAsia" w:ascii="宋体" w:hAnsi="宋体" w:eastAsia="宋体" w:cs="宋体"/>
          <w:b w:val="0"/>
          <w:color w:val="auto"/>
          <w:sz w:val="24"/>
          <w:szCs w:val="24"/>
          <w:highlight w:val="none"/>
          <w:u w:val="single"/>
          <w:shd w:val="clear" w:color="auto" w:fill="FFFFFF"/>
          <w:lang w:val="en-US" w:eastAsia="zh-CN" w:bidi="ar-SA"/>
        </w:rPr>
        <w:t>日</w:t>
      </w:r>
      <w:r>
        <w:rPr>
          <w:rStyle w:val="19"/>
          <w:rFonts w:hint="eastAsia" w:ascii="宋体" w:hAnsi="宋体" w:eastAsia="宋体" w:cs="宋体"/>
          <w:b w:val="0"/>
          <w:color w:val="auto"/>
          <w:sz w:val="24"/>
          <w:szCs w:val="24"/>
          <w:highlight w:val="none"/>
          <w:shd w:val="clear" w:color="auto" w:fill="FFFFFF"/>
          <w:lang w:val="en-US" w:eastAsia="zh-CN" w:bidi="ar-SA"/>
        </w:rPr>
        <w:t>至</w:t>
      </w:r>
      <w:r>
        <w:rPr>
          <w:rFonts w:hint="eastAsia" w:ascii="宋体" w:hAnsi="宋体" w:cs="宋体"/>
          <w:b w:val="0"/>
          <w:bCs w:val="0"/>
          <w:i w:val="0"/>
          <w:iCs w:val="0"/>
          <w:color w:val="auto"/>
          <w:sz w:val="24"/>
          <w:szCs w:val="24"/>
          <w:highlight w:val="none"/>
          <w:u w:val="single"/>
          <w:shd w:val="clear" w:color="auto" w:fill="FFFFFF"/>
          <w:lang w:eastAsia="zh-CN"/>
        </w:rPr>
        <w:t>2025年3月4日14:30时</w:t>
      </w:r>
      <w:r>
        <w:rPr>
          <w:rStyle w:val="19"/>
          <w:rFonts w:hint="eastAsia" w:ascii="宋体" w:hAnsi="宋体" w:eastAsia="宋体" w:cs="宋体"/>
          <w:b w:val="0"/>
          <w:color w:val="auto"/>
          <w:sz w:val="24"/>
          <w:szCs w:val="24"/>
          <w:highlight w:val="none"/>
          <w:shd w:val="clear" w:color="auto" w:fill="FFFFFF"/>
          <w:lang w:val="en-US" w:eastAsia="zh-CN" w:bidi="ar-SA"/>
        </w:rPr>
        <w:t>（北京时间）</w:t>
      </w:r>
    </w:p>
    <w:p w14:paraId="6B117A75">
      <w:pPr>
        <w:pStyle w:val="13"/>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19"/>
          <w:rFonts w:hint="eastAsia" w:ascii="宋体" w:hAnsi="宋体" w:eastAsia="宋体" w:cs="宋体"/>
          <w:b w:val="0"/>
          <w:color w:val="auto"/>
          <w:sz w:val="24"/>
          <w:szCs w:val="24"/>
          <w:highlight w:val="none"/>
          <w:shd w:val="clear" w:color="auto" w:fill="FFFFFF"/>
        </w:rPr>
      </w:pPr>
      <w:r>
        <w:rPr>
          <w:rStyle w:val="19"/>
          <w:rFonts w:hint="eastAsia" w:ascii="宋体" w:hAnsi="宋体" w:eastAsia="宋体" w:cs="宋体"/>
          <w:b w:val="0"/>
          <w:color w:val="auto"/>
          <w:sz w:val="24"/>
          <w:szCs w:val="24"/>
          <w:highlight w:val="none"/>
          <w:shd w:val="clear" w:color="auto" w:fill="FFFFFF"/>
        </w:rPr>
        <w:t>地点：</w:t>
      </w:r>
      <w:r>
        <w:rPr>
          <w:rStyle w:val="19"/>
          <w:rFonts w:hint="eastAsia" w:eastAsia="宋体" w:cs="宋体"/>
          <w:b w:val="0"/>
          <w:color w:val="auto"/>
          <w:sz w:val="24"/>
          <w:szCs w:val="24"/>
          <w:highlight w:val="none"/>
          <w:shd w:val="clear" w:color="auto" w:fill="FFFFFF"/>
          <w:lang w:eastAsia="zh-CN"/>
        </w:rPr>
        <w:t>乐采云</w:t>
      </w:r>
      <w:r>
        <w:rPr>
          <w:rStyle w:val="19"/>
          <w:rFonts w:hint="eastAsia" w:ascii="宋体" w:hAnsi="宋体" w:eastAsia="宋体" w:cs="宋体"/>
          <w:b w:val="0"/>
          <w:color w:val="auto"/>
          <w:sz w:val="24"/>
          <w:szCs w:val="24"/>
          <w:highlight w:val="none"/>
          <w:shd w:val="clear" w:color="auto" w:fill="FFFFFF"/>
        </w:rPr>
        <w:t>平台线上获取</w:t>
      </w:r>
    </w:p>
    <w:p w14:paraId="0955BAF4">
      <w:pPr>
        <w:pStyle w:val="13"/>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19"/>
          <w:rFonts w:hint="eastAsia" w:ascii="宋体" w:hAnsi="宋体" w:eastAsia="宋体" w:cs="宋体"/>
          <w:b w:val="0"/>
          <w:color w:val="auto"/>
          <w:sz w:val="24"/>
          <w:szCs w:val="24"/>
          <w:highlight w:val="none"/>
          <w:shd w:val="clear" w:color="auto" w:fill="FFFFFF"/>
        </w:rPr>
      </w:pPr>
      <w:r>
        <w:rPr>
          <w:rStyle w:val="19"/>
          <w:rFonts w:hint="eastAsia" w:ascii="宋体" w:hAnsi="宋体" w:eastAsia="宋体" w:cs="宋体"/>
          <w:b w:val="0"/>
          <w:color w:val="auto"/>
          <w:sz w:val="24"/>
          <w:szCs w:val="24"/>
          <w:highlight w:val="none"/>
          <w:shd w:val="clear" w:color="auto" w:fill="FFFFFF"/>
        </w:rPr>
        <w:t>方式：潜在供应商登</w:t>
      </w:r>
      <w:r>
        <w:rPr>
          <w:rStyle w:val="19"/>
          <w:rFonts w:hint="eastAsia" w:ascii="宋体" w:hAnsi="宋体" w:eastAsia="宋体" w:cs="宋体"/>
          <w:b w:val="0"/>
          <w:color w:val="auto"/>
          <w:sz w:val="24"/>
          <w:szCs w:val="24"/>
          <w:highlight w:val="none"/>
          <w:shd w:val="clear" w:color="auto" w:fill="FFFFFF"/>
          <w:lang w:val="en-US" w:eastAsia="zh-CN"/>
        </w:rPr>
        <w:t>录</w:t>
      </w:r>
      <w:r>
        <w:rPr>
          <w:rStyle w:val="19"/>
          <w:rFonts w:hint="eastAsia" w:eastAsia="宋体" w:cs="宋体"/>
          <w:b w:val="0"/>
          <w:color w:val="auto"/>
          <w:sz w:val="24"/>
          <w:szCs w:val="24"/>
          <w:highlight w:val="none"/>
          <w:shd w:val="clear" w:color="auto" w:fill="FFFFFF"/>
          <w:lang w:eastAsia="zh-CN"/>
        </w:rPr>
        <w:t>乐采云</w:t>
      </w:r>
      <w:r>
        <w:rPr>
          <w:rStyle w:val="19"/>
          <w:rFonts w:hint="eastAsia" w:ascii="宋体" w:hAnsi="宋体" w:eastAsia="宋体" w:cs="宋体"/>
          <w:b w:val="0"/>
          <w:color w:val="auto"/>
          <w:sz w:val="24"/>
          <w:szCs w:val="24"/>
          <w:highlight w:val="none"/>
          <w:shd w:val="clear" w:color="auto" w:fill="FFFFFF"/>
        </w:rPr>
        <w:t>平台，在线申请获取征集文件。进入“项目采购”应用，在获取招标文件菜单中选择项目，申请获取征集文件（仅需浏览征集文件的供应商可点击“游客，浏览</w:t>
      </w:r>
      <w:r>
        <w:rPr>
          <w:rStyle w:val="19"/>
          <w:rFonts w:hint="eastAsia" w:eastAsia="宋体" w:cs="宋体"/>
          <w:b w:val="0"/>
          <w:color w:val="auto"/>
          <w:sz w:val="24"/>
          <w:szCs w:val="24"/>
          <w:highlight w:val="none"/>
          <w:shd w:val="clear" w:color="auto" w:fill="FFFFFF"/>
          <w:lang w:val="en-US" w:eastAsia="zh-CN"/>
        </w:rPr>
        <w:t>招标文件</w:t>
      </w:r>
      <w:r>
        <w:rPr>
          <w:rStyle w:val="19"/>
          <w:rFonts w:hint="eastAsia" w:ascii="宋体" w:hAnsi="宋体" w:eastAsia="宋体" w:cs="宋体"/>
          <w:b w:val="0"/>
          <w:color w:val="auto"/>
          <w:sz w:val="24"/>
          <w:szCs w:val="24"/>
          <w:highlight w:val="none"/>
          <w:shd w:val="clear" w:color="auto" w:fill="FFFFFF"/>
        </w:rPr>
        <w:t>”直接下载征集文件浏览）。</w:t>
      </w:r>
    </w:p>
    <w:p w14:paraId="3BB227DF">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bookmarkStart w:id="11" w:name="_Toc35393793"/>
      <w:bookmarkStart w:id="12" w:name="_Toc28359005"/>
      <w:bookmarkStart w:id="13" w:name="_Toc35393624"/>
      <w:bookmarkStart w:id="14" w:name="_Toc28359082"/>
      <w:r>
        <w:rPr>
          <w:rFonts w:hint="eastAsia" w:ascii="宋体" w:hAnsi="宋体" w:eastAsia="宋体" w:cs="宋体"/>
          <w:b/>
          <w:bCs w:val="0"/>
          <w:color w:val="auto"/>
          <w:kern w:val="0"/>
          <w:sz w:val="24"/>
          <w:szCs w:val="24"/>
          <w:highlight w:val="none"/>
          <w:lang w:val="en-US" w:eastAsia="zh-CN" w:bidi="ar-SA"/>
        </w:rPr>
        <w:t>四、</w:t>
      </w:r>
      <w:bookmarkEnd w:id="11"/>
      <w:bookmarkEnd w:id="12"/>
      <w:bookmarkEnd w:id="13"/>
      <w:bookmarkEnd w:id="14"/>
      <w:r>
        <w:rPr>
          <w:rFonts w:hint="eastAsia" w:ascii="宋体" w:hAnsi="宋体" w:eastAsia="宋体" w:cs="宋体"/>
          <w:b/>
          <w:bCs w:val="0"/>
          <w:color w:val="auto"/>
          <w:kern w:val="0"/>
          <w:sz w:val="24"/>
          <w:szCs w:val="24"/>
          <w:highlight w:val="none"/>
          <w:lang w:val="en-US" w:eastAsia="zh-CN" w:bidi="ar-SA"/>
        </w:rPr>
        <w:t>提交投标文件截止时间、开标时间和地点</w:t>
      </w:r>
    </w:p>
    <w:p w14:paraId="61E31EA4">
      <w:pPr>
        <w:pStyle w:val="13"/>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19"/>
          <w:rFonts w:hint="eastAsia" w:ascii="宋体" w:hAnsi="宋体" w:eastAsia="宋体" w:cs="宋体"/>
          <w:b w:val="0"/>
          <w:color w:val="auto"/>
          <w:sz w:val="24"/>
          <w:szCs w:val="24"/>
          <w:highlight w:val="none"/>
          <w:shd w:val="clear" w:color="auto" w:fill="FFFFFF"/>
        </w:rPr>
      </w:pPr>
      <w:bookmarkStart w:id="15" w:name="_Toc35393794"/>
      <w:bookmarkStart w:id="16" w:name="_Toc35393625"/>
      <w:bookmarkStart w:id="17" w:name="_Toc28359007"/>
      <w:bookmarkStart w:id="18" w:name="_Toc28359084"/>
      <w:r>
        <w:rPr>
          <w:rStyle w:val="19"/>
          <w:rFonts w:hint="eastAsia" w:ascii="宋体" w:hAnsi="宋体" w:eastAsia="宋体" w:cs="宋体"/>
          <w:b w:val="0"/>
          <w:color w:val="auto"/>
          <w:sz w:val="24"/>
          <w:szCs w:val="24"/>
          <w:highlight w:val="none"/>
          <w:shd w:val="clear" w:color="auto" w:fill="FFFFFF"/>
        </w:rPr>
        <w:t>提交</w:t>
      </w:r>
      <w:r>
        <w:rPr>
          <w:rStyle w:val="19"/>
          <w:rFonts w:hint="eastAsia" w:ascii="宋体" w:hAnsi="宋体" w:eastAsia="宋体" w:cs="宋体"/>
          <w:b w:val="0"/>
          <w:color w:val="auto"/>
          <w:sz w:val="24"/>
          <w:szCs w:val="24"/>
          <w:highlight w:val="none"/>
          <w:shd w:val="clear" w:color="auto" w:fill="FFFFFF"/>
          <w:lang w:eastAsia="zh-CN"/>
        </w:rPr>
        <w:t>响应文件</w:t>
      </w:r>
      <w:r>
        <w:rPr>
          <w:rStyle w:val="19"/>
          <w:rFonts w:hint="eastAsia" w:ascii="宋体" w:hAnsi="宋体" w:eastAsia="宋体" w:cs="宋体"/>
          <w:b w:val="0"/>
          <w:color w:val="auto"/>
          <w:sz w:val="24"/>
          <w:szCs w:val="24"/>
          <w:highlight w:val="none"/>
          <w:shd w:val="clear" w:color="auto" w:fill="FFFFFF"/>
        </w:rPr>
        <w:t>截止时间：</w:t>
      </w:r>
      <w:r>
        <w:rPr>
          <w:rFonts w:hint="eastAsia" w:eastAsia="宋体" w:cs="宋体"/>
          <w:b w:val="0"/>
          <w:bCs w:val="0"/>
          <w:i w:val="0"/>
          <w:iCs w:val="0"/>
          <w:color w:val="auto"/>
          <w:sz w:val="24"/>
          <w:szCs w:val="24"/>
          <w:highlight w:val="none"/>
          <w:u w:val="single"/>
          <w:shd w:val="clear" w:color="auto" w:fill="FFFFFF"/>
          <w:lang w:eastAsia="zh-CN"/>
        </w:rPr>
        <w:t>2025年3月4日14:30时</w:t>
      </w:r>
      <w:r>
        <w:rPr>
          <w:rStyle w:val="19"/>
          <w:rFonts w:hint="eastAsia" w:ascii="宋体" w:hAnsi="宋体" w:eastAsia="宋体" w:cs="宋体"/>
          <w:b w:val="0"/>
          <w:color w:val="auto"/>
          <w:sz w:val="24"/>
          <w:szCs w:val="24"/>
          <w:highlight w:val="none"/>
          <w:shd w:val="clear" w:color="auto" w:fill="FFFFFF"/>
        </w:rPr>
        <w:t>（北京时间）</w:t>
      </w:r>
    </w:p>
    <w:p w14:paraId="11947374">
      <w:pPr>
        <w:pStyle w:val="13"/>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rPr>
      </w:pPr>
      <w:r>
        <w:rPr>
          <w:rStyle w:val="19"/>
          <w:rFonts w:hint="eastAsia" w:ascii="宋体" w:hAnsi="宋体" w:eastAsia="宋体" w:cs="宋体"/>
          <w:b w:val="0"/>
          <w:color w:val="auto"/>
          <w:sz w:val="24"/>
          <w:szCs w:val="24"/>
          <w:highlight w:val="none"/>
          <w:shd w:val="clear" w:color="auto" w:fill="FFFFFF"/>
        </w:rPr>
        <w:t>投标地点（网址）：</w:t>
      </w:r>
      <w:r>
        <w:rPr>
          <w:rFonts w:hint="eastAsia" w:ascii="宋体" w:hAnsi="宋体" w:eastAsia="宋体" w:cs="宋体"/>
          <w:color w:val="auto"/>
          <w:sz w:val="24"/>
          <w:szCs w:val="24"/>
          <w:highlight w:val="none"/>
        </w:rPr>
        <w:t>投标人应于</w:t>
      </w:r>
      <w:r>
        <w:rPr>
          <w:rFonts w:hint="eastAsia" w:eastAsia="宋体" w:cs="宋体"/>
          <w:b w:val="0"/>
          <w:bCs w:val="0"/>
          <w:i w:val="0"/>
          <w:iCs w:val="0"/>
          <w:color w:val="auto"/>
          <w:sz w:val="24"/>
          <w:szCs w:val="24"/>
          <w:highlight w:val="none"/>
          <w:u w:val="single"/>
          <w:shd w:val="clear" w:color="auto" w:fill="FFFFFF"/>
          <w:lang w:eastAsia="zh-CN"/>
        </w:rPr>
        <w:t>2025年3月4日14:30时</w:t>
      </w:r>
      <w:r>
        <w:rPr>
          <w:rFonts w:hint="eastAsia" w:ascii="宋体" w:hAnsi="宋体" w:eastAsia="宋体" w:cs="宋体"/>
          <w:color w:val="auto"/>
          <w:sz w:val="24"/>
          <w:szCs w:val="24"/>
          <w:highlight w:val="none"/>
        </w:rPr>
        <w:t>整之前将电子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上传到“</w:t>
      </w:r>
      <w:r>
        <w:rPr>
          <w:rFonts w:hint="eastAsia" w:eastAsia="宋体" w:cs="宋体"/>
          <w:color w:val="auto"/>
          <w:sz w:val="24"/>
          <w:szCs w:val="24"/>
          <w:highlight w:val="none"/>
          <w:lang w:eastAsia="zh-CN"/>
        </w:rPr>
        <w:t>乐采云</w:t>
      </w:r>
      <w:r>
        <w:rPr>
          <w:rFonts w:hint="eastAsia" w:ascii="宋体" w:hAnsi="宋体" w:eastAsia="宋体" w:cs="宋体"/>
          <w:color w:val="auto"/>
          <w:sz w:val="24"/>
          <w:szCs w:val="24"/>
          <w:highlight w:val="none"/>
        </w:rPr>
        <w:t>”平台，逾期上传不予接收。</w:t>
      </w:r>
    </w:p>
    <w:p w14:paraId="2F05B4FD">
      <w:pPr>
        <w:pStyle w:val="13"/>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19"/>
          <w:rFonts w:hint="eastAsia" w:ascii="宋体" w:hAnsi="宋体" w:eastAsia="宋体" w:cs="宋体"/>
          <w:b w:val="0"/>
          <w:color w:val="auto"/>
          <w:sz w:val="24"/>
          <w:szCs w:val="24"/>
          <w:highlight w:val="none"/>
          <w:shd w:val="clear" w:color="auto" w:fill="FFFFFF"/>
        </w:rPr>
      </w:pPr>
      <w:r>
        <w:rPr>
          <w:rStyle w:val="19"/>
          <w:rFonts w:hint="eastAsia" w:ascii="宋体" w:hAnsi="宋体" w:eastAsia="宋体" w:cs="宋体"/>
          <w:b w:val="0"/>
          <w:color w:val="auto"/>
          <w:sz w:val="24"/>
          <w:szCs w:val="24"/>
          <w:highlight w:val="none"/>
          <w:shd w:val="clear" w:color="auto" w:fill="FFFFFF"/>
        </w:rPr>
        <w:t>开标时间：</w:t>
      </w:r>
      <w:r>
        <w:rPr>
          <w:rFonts w:hint="eastAsia" w:eastAsia="宋体" w:cs="宋体"/>
          <w:b w:val="0"/>
          <w:bCs w:val="0"/>
          <w:i w:val="0"/>
          <w:iCs w:val="0"/>
          <w:color w:val="auto"/>
          <w:sz w:val="24"/>
          <w:szCs w:val="24"/>
          <w:highlight w:val="none"/>
          <w:u w:val="single"/>
          <w:shd w:val="clear" w:color="auto" w:fill="FFFFFF"/>
          <w:lang w:eastAsia="zh-CN"/>
        </w:rPr>
        <w:t>2025年3月4日14:30时</w:t>
      </w:r>
      <w:r>
        <w:rPr>
          <w:rStyle w:val="19"/>
          <w:rFonts w:hint="eastAsia" w:ascii="宋体" w:hAnsi="宋体" w:eastAsia="宋体" w:cs="宋体"/>
          <w:b w:val="0"/>
          <w:color w:val="auto"/>
          <w:sz w:val="24"/>
          <w:szCs w:val="24"/>
          <w:highlight w:val="none"/>
          <w:shd w:val="clear" w:color="auto" w:fill="FFFFFF"/>
        </w:rPr>
        <w:t>（北京时间）</w:t>
      </w:r>
    </w:p>
    <w:p w14:paraId="779A6117">
      <w:pPr>
        <w:pStyle w:val="13"/>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19"/>
          <w:rFonts w:hint="eastAsia" w:ascii="宋体" w:hAnsi="宋体" w:eastAsia="宋体" w:cs="宋体"/>
          <w:b w:val="0"/>
          <w:color w:val="auto"/>
          <w:sz w:val="24"/>
          <w:szCs w:val="24"/>
          <w:highlight w:val="none"/>
          <w:shd w:val="clear" w:color="auto" w:fill="FFFFFF"/>
          <w:lang w:val="en-US"/>
        </w:rPr>
      </w:pPr>
      <w:r>
        <w:rPr>
          <w:rStyle w:val="19"/>
          <w:rFonts w:hint="eastAsia" w:ascii="宋体" w:hAnsi="宋体" w:eastAsia="宋体" w:cs="宋体"/>
          <w:b w:val="0"/>
          <w:color w:val="auto"/>
          <w:sz w:val="24"/>
          <w:szCs w:val="24"/>
          <w:highlight w:val="none"/>
          <w:shd w:val="clear" w:color="auto" w:fill="FFFFFF"/>
        </w:rPr>
        <w:t>开标地点：</w:t>
      </w:r>
      <w:r>
        <w:rPr>
          <w:rFonts w:hint="eastAsia" w:ascii="宋体" w:hAnsi="宋体" w:eastAsia="宋体" w:cs="宋体"/>
          <w:color w:val="auto"/>
          <w:sz w:val="24"/>
          <w:szCs w:val="24"/>
          <w:highlight w:val="none"/>
          <w:lang w:val="en-US" w:eastAsia="zh-CN"/>
        </w:rPr>
        <w:t>浙江博策工程项目管理有限公司（诸暨市暨南路21号乐家大厦2</w:t>
      </w:r>
      <w:r>
        <w:rPr>
          <w:rFonts w:hint="eastAsia" w:eastAsia="宋体" w:cs="宋体"/>
          <w:color w:val="auto"/>
          <w:sz w:val="24"/>
          <w:szCs w:val="24"/>
          <w:highlight w:val="none"/>
          <w:lang w:val="en-US" w:eastAsia="zh-CN"/>
        </w:rPr>
        <w:t>号楼东</w:t>
      </w:r>
      <w:r>
        <w:rPr>
          <w:rFonts w:hint="eastAsia" w:ascii="宋体" w:hAnsi="宋体" w:eastAsia="宋体" w:cs="宋体"/>
          <w:color w:val="auto"/>
          <w:sz w:val="24"/>
          <w:szCs w:val="24"/>
          <w:highlight w:val="none"/>
          <w:lang w:val="en-US" w:eastAsia="zh-CN"/>
        </w:rPr>
        <w:t>16F开标室）</w:t>
      </w:r>
      <w:r>
        <w:rPr>
          <w:rFonts w:hint="eastAsia" w:ascii="宋体" w:hAnsi="宋体" w:eastAsia="宋体" w:cs="宋体"/>
          <w:color w:val="auto"/>
          <w:sz w:val="24"/>
          <w:szCs w:val="24"/>
          <w:highlight w:val="none"/>
        </w:rPr>
        <w:t>。</w:t>
      </w:r>
    </w:p>
    <w:bookmarkEnd w:id="15"/>
    <w:bookmarkEnd w:id="16"/>
    <w:bookmarkEnd w:id="17"/>
    <w:bookmarkEnd w:id="18"/>
    <w:p w14:paraId="1E738A2E">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bookmarkStart w:id="19" w:name="_Toc35393626"/>
      <w:bookmarkStart w:id="20" w:name="_Toc35393795"/>
      <w:r>
        <w:rPr>
          <w:rFonts w:hint="eastAsia" w:ascii="宋体" w:hAnsi="宋体" w:eastAsia="宋体" w:cs="宋体"/>
          <w:b/>
          <w:bCs w:val="0"/>
          <w:color w:val="auto"/>
          <w:kern w:val="0"/>
          <w:sz w:val="24"/>
          <w:szCs w:val="24"/>
          <w:highlight w:val="none"/>
          <w:lang w:val="en-US" w:eastAsia="zh-CN" w:bidi="ar-SA"/>
        </w:rPr>
        <w:t>五、公告期限</w:t>
      </w:r>
    </w:p>
    <w:p w14:paraId="226C0027">
      <w:pPr>
        <w:pageBreakBefore w:val="0"/>
        <w:shd w:val="clear"/>
        <w:kinsoku/>
        <w:wordWrap/>
        <w:overflowPunct/>
        <w:topLinePunct w:val="0"/>
        <w:bidi w:val="0"/>
        <w:spacing w:line="360" w:lineRule="auto"/>
        <w:ind w:firstLine="480" w:firstLineChars="200"/>
        <w:textAlignment w:val="auto"/>
        <w:rPr>
          <w:rStyle w:val="19"/>
          <w:rFonts w:hint="eastAsia" w:ascii="宋体" w:hAnsi="宋体" w:eastAsia="宋体" w:cs="宋体"/>
          <w:b w:val="0"/>
          <w:color w:val="auto"/>
          <w:sz w:val="24"/>
          <w:szCs w:val="24"/>
          <w:highlight w:val="none"/>
          <w:shd w:val="clear" w:color="auto" w:fill="FFFFFF"/>
          <w:lang w:val="en-US" w:eastAsia="zh-CN" w:bidi="ar-SA"/>
        </w:rPr>
      </w:pPr>
      <w:r>
        <w:rPr>
          <w:rStyle w:val="19"/>
          <w:rFonts w:hint="eastAsia" w:ascii="宋体" w:hAnsi="宋体" w:eastAsia="宋体" w:cs="宋体"/>
          <w:b w:val="0"/>
          <w:color w:val="auto"/>
          <w:sz w:val="24"/>
          <w:szCs w:val="24"/>
          <w:highlight w:val="none"/>
          <w:shd w:val="clear" w:color="auto" w:fill="FFFFFF"/>
          <w:lang w:val="en-US" w:eastAsia="zh-CN" w:bidi="ar-SA"/>
        </w:rPr>
        <w:t>自本公告发布之日起5个工作日。</w:t>
      </w:r>
    </w:p>
    <w:p w14:paraId="518D37B3">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六、其他补充事宜</w:t>
      </w:r>
      <w:bookmarkEnd w:id="19"/>
      <w:bookmarkEnd w:id="20"/>
    </w:p>
    <w:p w14:paraId="1D3ABAE1">
      <w:pPr>
        <w:pageBreakBefore w:val="0"/>
        <w:shd w:val="clear"/>
        <w:kinsoku/>
        <w:wordWrap/>
        <w:overflowPunct/>
        <w:topLinePunct w:val="0"/>
        <w:autoSpaceDE/>
        <w:autoSpaceDN/>
        <w:bidi w:val="0"/>
        <w:adjustRightInd/>
        <w:spacing w:line="360" w:lineRule="auto"/>
        <w:ind w:firstLine="480" w:firstLineChars="200"/>
        <w:textAlignment w:val="auto"/>
        <w:rPr>
          <w:rStyle w:val="19"/>
          <w:rFonts w:hint="eastAsia" w:ascii="宋体" w:hAnsi="宋体" w:eastAsia="宋体" w:cs="宋体"/>
          <w:b w:val="0"/>
          <w:color w:val="auto"/>
          <w:sz w:val="24"/>
          <w:szCs w:val="24"/>
          <w:highlight w:val="none"/>
          <w:shd w:val="clear" w:color="auto" w:fill="FFFFFF"/>
        </w:rPr>
      </w:pPr>
      <w:r>
        <w:rPr>
          <w:rStyle w:val="19"/>
          <w:rFonts w:hint="eastAsia" w:ascii="宋体" w:hAnsi="宋体" w:eastAsia="宋体" w:cs="宋体"/>
          <w:b w:val="0"/>
          <w:color w:val="auto"/>
          <w:sz w:val="24"/>
          <w:szCs w:val="24"/>
          <w:highlight w:val="none"/>
          <w:shd w:val="clear" w:color="auto" w:fill="FFFFFF"/>
        </w:rPr>
        <w:t>1、投标人应在开标截止时间10日前以书面形式向采购代理机构提出质疑，逾期提出的，采购代理机构不予受理、答复。采购代理机构与采购人研究后，对认为有必要回答的问题，</w:t>
      </w:r>
      <w:r>
        <w:rPr>
          <w:rStyle w:val="19"/>
          <w:rFonts w:hint="eastAsia" w:ascii="宋体" w:hAnsi="宋体" w:eastAsia="宋体" w:cs="宋体"/>
          <w:b w:val="0"/>
          <w:color w:val="auto"/>
          <w:sz w:val="24"/>
          <w:szCs w:val="24"/>
          <w:highlight w:val="none"/>
          <w:shd w:val="clear" w:color="auto" w:fill="FFFFFF"/>
          <w:lang w:val="en-US" w:eastAsia="zh-CN"/>
        </w:rPr>
        <w:t>采购</w:t>
      </w:r>
      <w:r>
        <w:rPr>
          <w:rStyle w:val="19"/>
          <w:rFonts w:hint="eastAsia" w:ascii="宋体" w:hAnsi="宋体" w:eastAsia="宋体" w:cs="宋体"/>
          <w:b w:val="0"/>
          <w:color w:val="auto"/>
          <w:sz w:val="24"/>
          <w:szCs w:val="24"/>
          <w:highlight w:val="none"/>
          <w:shd w:val="clear" w:color="auto" w:fill="FFFFFF"/>
        </w:rPr>
        <w:t>人将在开标前将答疑内容以网上发布公告的形式通知所有投标人，投标人自行在网上查阅、下载答疑回复</w:t>
      </w:r>
      <w:r>
        <w:rPr>
          <w:rStyle w:val="19"/>
          <w:rFonts w:hint="eastAsia" w:ascii="宋体" w:hAnsi="宋体" w:cs="宋体"/>
          <w:b w:val="0"/>
          <w:color w:val="auto"/>
          <w:sz w:val="24"/>
          <w:szCs w:val="24"/>
          <w:highlight w:val="none"/>
          <w:shd w:val="clear" w:color="auto" w:fill="FFFFFF"/>
          <w:lang w:eastAsia="zh-CN"/>
        </w:rPr>
        <w:t>，</w:t>
      </w:r>
      <w:r>
        <w:rPr>
          <w:rStyle w:val="19"/>
          <w:rFonts w:hint="eastAsia" w:ascii="宋体" w:hAnsi="宋体" w:eastAsia="宋体" w:cs="宋体"/>
          <w:b w:val="0"/>
          <w:color w:val="auto"/>
          <w:sz w:val="24"/>
          <w:szCs w:val="24"/>
          <w:highlight w:val="none"/>
          <w:shd w:val="clear" w:color="auto" w:fill="FFFFFF"/>
        </w:rPr>
        <w:t>答疑内容是</w:t>
      </w:r>
      <w:r>
        <w:rPr>
          <w:rStyle w:val="19"/>
          <w:rFonts w:hint="eastAsia" w:ascii="宋体" w:hAnsi="宋体" w:cs="宋体"/>
          <w:b w:val="0"/>
          <w:color w:val="auto"/>
          <w:sz w:val="24"/>
          <w:szCs w:val="24"/>
          <w:highlight w:val="none"/>
          <w:shd w:val="clear" w:color="auto" w:fill="FFFFFF"/>
          <w:lang w:eastAsia="zh-CN"/>
        </w:rPr>
        <w:t>征集文件</w:t>
      </w:r>
      <w:r>
        <w:rPr>
          <w:rStyle w:val="19"/>
          <w:rFonts w:hint="eastAsia" w:ascii="宋体" w:hAnsi="宋体" w:eastAsia="宋体" w:cs="宋体"/>
          <w:b w:val="0"/>
          <w:color w:val="auto"/>
          <w:sz w:val="24"/>
          <w:szCs w:val="24"/>
          <w:highlight w:val="none"/>
          <w:shd w:val="clear" w:color="auto" w:fill="FFFFFF"/>
        </w:rPr>
        <w:t>的组成部分。</w:t>
      </w:r>
    </w:p>
    <w:p w14:paraId="3D1D1AE0">
      <w:pPr>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rPr>
      </w:pPr>
      <w:r>
        <w:rPr>
          <w:rStyle w:val="19"/>
          <w:rFonts w:hint="eastAsia" w:ascii="宋体" w:hAnsi="宋体" w:eastAsia="宋体" w:cs="宋体"/>
          <w:b w:val="0"/>
          <w:color w:val="auto"/>
          <w:sz w:val="24"/>
          <w:szCs w:val="24"/>
          <w:highlight w:val="none"/>
          <w:shd w:val="clear" w:color="auto" w:fill="FFFFFF"/>
        </w:rPr>
        <w:t>2、其他事项：</w:t>
      </w:r>
    </w:p>
    <w:p w14:paraId="77DD937C">
      <w:pPr>
        <w:pStyle w:val="8"/>
        <w:pageBreakBefore w:val="0"/>
        <w:shd w:val="clea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cs="宋体"/>
          <w:b w:val="0"/>
          <w:bCs/>
          <w:color w:val="auto"/>
          <w:sz w:val="24"/>
          <w:szCs w:val="24"/>
          <w:highlight w:val="none"/>
          <w:u w:val="none"/>
          <w:lang w:eastAsia="zh-CN"/>
        </w:rPr>
        <w:t>（</w:t>
      </w:r>
      <w:r>
        <w:rPr>
          <w:rFonts w:hint="eastAsia" w:ascii="宋体" w:hAnsi="宋体" w:cs="宋体"/>
          <w:b w:val="0"/>
          <w:bCs/>
          <w:color w:val="auto"/>
          <w:sz w:val="24"/>
          <w:szCs w:val="24"/>
          <w:highlight w:val="none"/>
          <w:u w:val="none"/>
          <w:lang w:val="en-US" w:eastAsia="zh-CN"/>
        </w:rPr>
        <w:t>1</w:t>
      </w:r>
      <w:r>
        <w:rPr>
          <w:rFonts w:hint="eastAsia" w:ascii="宋体" w:hAnsi="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rPr>
        <w:t>投标人应于</w:t>
      </w:r>
      <w:r>
        <w:rPr>
          <w:rFonts w:hint="eastAsia" w:ascii="宋体" w:hAnsi="宋体" w:eastAsia="宋体" w:cs="宋体"/>
          <w:b w:val="0"/>
          <w:bCs/>
          <w:color w:val="auto"/>
          <w:sz w:val="24"/>
          <w:szCs w:val="24"/>
          <w:highlight w:val="none"/>
          <w:u w:val="none"/>
          <w:lang w:val="en-US" w:eastAsia="zh-CN"/>
        </w:rPr>
        <w:t>开标时间</w:t>
      </w:r>
      <w:r>
        <w:rPr>
          <w:rFonts w:hint="eastAsia" w:ascii="宋体" w:hAnsi="宋体" w:eastAsia="宋体" w:cs="宋体"/>
          <w:b w:val="0"/>
          <w:bCs/>
          <w:color w:val="auto"/>
          <w:sz w:val="24"/>
          <w:szCs w:val="24"/>
          <w:highlight w:val="none"/>
          <w:u w:val="none"/>
        </w:rPr>
        <w:t>前按照电子投标要求将电子加密标书上传到“</w:t>
      </w:r>
      <w:r>
        <w:rPr>
          <w:rFonts w:hint="eastAsia" w:ascii="宋体" w:hAnsi="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”平台，逾期或未上传成功的将导致无法投标或投标无</w:t>
      </w:r>
      <w:r>
        <w:rPr>
          <w:rFonts w:hint="eastAsia" w:ascii="宋体" w:hAnsi="宋体" w:eastAsia="宋体" w:cs="宋体"/>
          <w:b w:val="0"/>
          <w:bCs/>
          <w:color w:val="auto"/>
          <w:kern w:val="0"/>
          <w:sz w:val="24"/>
          <w:szCs w:val="24"/>
          <w:highlight w:val="none"/>
          <w:u w:val="none"/>
        </w:rPr>
        <w:t>效。</w:t>
      </w:r>
      <w:r>
        <w:rPr>
          <w:rFonts w:hint="eastAsia" w:ascii="宋体" w:hAnsi="宋体" w:eastAsia="宋体" w:cs="宋体"/>
          <w:b w:val="0"/>
          <w:bCs/>
          <w:color w:val="auto"/>
          <w:sz w:val="24"/>
          <w:szCs w:val="24"/>
          <w:highlight w:val="none"/>
          <w:u w:val="none"/>
        </w:rPr>
        <w:t>备注：为确保采购项目顺利实施，避免因</w:t>
      </w:r>
      <w:r>
        <w:rPr>
          <w:rFonts w:hint="eastAsia" w:ascii="宋体" w:hAnsi="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上电子</w:t>
      </w:r>
      <w:r>
        <w:rPr>
          <w:rFonts w:hint="eastAsia" w:ascii="宋体" w:hAnsi="宋体" w:eastAsia="宋体" w:cs="宋体"/>
          <w:b w:val="0"/>
          <w:bCs/>
          <w:color w:val="auto"/>
          <w:sz w:val="24"/>
          <w:szCs w:val="24"/>
          <w:highlight w:val="none"/>
          <w:u w:val="none"/>
          <w:lang w:val="en-US" w:eastAsia="zh-CN"/>
        </w:rPr>
        <w:t>响应</w:t>
      </w:r>
      <w:r>
        <w:rPr>
          <w:rFonts w:hint="eastAsia" w:ascii="宋体" w:hAnsi="宋体" w:eastAsia="宋体" w:cs="宋体"/>
          <w:b w:val="0"/>
          <w:bCs/>
          <w:color w:val="auto"/>
          <w:sz w:val="24"/>
          <w:szCs w:val="24"/>
          <w:highlight w:val="none"/>
          <w:u w:val="none"/>
        </w:rPr>
        <w:t>文件解密失败导致投标方投标无效，投标方可在</w:t>
      </w:r>
      <w:r>
        <w:rPr>
          <w:rFonts w:hint="eastAsia" w:ascii="宋体" w:hAnsi="宋体" w:eastAsia="宋体" w:cs="宋体"/>
          <w:b w:val="0"/>
          <w:bCs/>
          <w:color w:val="auto"/>
          <w:sz w:val="24"/>
          <w:szCs w:val="24"/>
          <w:highlight w:val="none"/>
          <w:u w:val="none"/>
          <w:lang w:val="en-US" w:eastAsia="zh-CN"/>
        </w:rPr>
        <w:t>开标时间</w:t>
      </w:r>
      <w:r>
        <w:rPr>
          <w:rFonts w:hint="eastAsia" w:ascii="宋体" w:hAnsi="宋体" w:eastAsia="宋体" w:cs="宋体"/>
          <w:b w:val="0"/>
          <w:bCs/>
          <w:color w:val="auto"/>
          <w:sz w:val="24"/>
          <w:szCs w:val="24"/>
          <w:highlight w:val="none"/>
          <w:u w:val="none"/>
        </w:rPr>
        <w:t>前将在</w:t>
      </w:r>
      <w:r>
        <w:rPr>
          <w:rFonts w:hint="eastAsia" w:ascii="宋体" w:hAnsi="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平台上最后生成的具备电子签章的备份加密</w:t>
      </w:r>
      <w:r>
        <w:rPr>
          <w:rFonts w:hint="eastAsia" w:ascii="宋体" w:hAnsi="宋体" w:eastAsia="宋体" w:cs="宋体"/>
          <w:b w:val="0"/>
          <w:bCs/>
          <w:color w:val="auto"/>
          <w:sz w:val="24"/>
          <w:szCs w:val="24"/>
          <w:highlight w:val="none"/>
          <w:u w:val="none"/>
          <w:lang w:eastAsia="zh-CN"/>
        </w:rPr>
        <w:t>响应文件</w:t>
      </w:r>
      <w:r>
        <w:rPr>
          <w:rFonts w:hint="eastAsia" w:ascii="宋体" w:hAnsi="宋体" w:eastAsia="宋体" w:cs="宋体"/>
          <w:b w:val="0"/>
          <w:bCs/>
          <w:color w:val="auto"/>
          <w:sz w:val="24"/>
          <w:szCs w:val="24"/>
          <w:highlight w:val="none"/>
          <w:u w:val="none"/>
        </w:rPr>
        <w:t>（文件名后缀为备份文件四字的首字母）以电子邮件方式传送至</w:t>
      </w:r>
      <w:r>
        <w:rPr>
          <w:rFonts w:hint="eastAsia" w:ascii="宋体" w:hAnsi="宋体" w:cs="宋体"/>
          <w:b w:val="0"/>
          <w:bCs/>
          <w:color w:val="auto"/>
          <w:sz w:val="24"/>
          <w:szCs w:val="24"/>
          <w:highlight w:val="none"/>
          <w:u w:val="none"/>
          <w:lang w:val="en-US" w:eastAsia="zh-CN"/>
        </w:rPr>
        <w:t>浙江博策工程项目管理有限公司</w:t>
      </w:r>
      <w:r>
        <w:rPr>
          <w:rFonts w:hint="eastAsia" w:ascii="宋体" w:hAnsi="宋体" w:eastAsia="宋体" w:cs="宋体"/>
          <w:b w:val="0"/>
          <w:bCs/>
          <w:color w:val="auto"/>
          <w:sz w:val="24"/>
          <w:szCs w:val="24"/>
          <w:highlight w:val="none"/>
          <w:u w:val="none"/>
        </w:rPr>
        <w:t>邮箱zjboce@qq.com，传送的备份电子</w:t>
      </w:r>
      <w:r>
        <w:rPr>
          <w:rFonts w:hint="eastAsia" w:ascii="宋体" w:hAnsi="宋体" w:eastAsia="宋体" w:cs="宋体"/>
          <w:b w:val="0"/>
          <w:bCs/>
          <w:color w:val="auto"/>
          <w:sz w:val="24"/>
          <w:szCs w:val="24"/>
          <w:highlight w:val="none"/>
          <w:u w:val="none"/>
          <w:lang w:eastAsia="zh-CN"/>
        </w:rPr>
        <w:t>响应文件</w:t>
      </w:r>
      <w:r>
        <w:rPr>
          <w:rFonts w:hint="eastAsia" w:ascii="宋体" w:hAnsi="宋体" w:eastAsia="宋体" w:cs="宋体"/>
          <w:b w:val="0"/>
          <w:bCs/>
          <w:color w:val="auto"/>
          <w:sz w:val="24"/>
          <w:szCs w:val="24"/>
          <w:highlight w:val="none"/>
          <w:u w:val="none"/>
        </w:rPr>
        <w:t>需打包压缩并加密，加密密码由投标方自行保管，如</w:t>
      </w:r>
      <w:r>
        <w:rPr>
          <w:rFonts w:hint="eastAsia" w:ascii="宋体" w:hAnsi="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上电子</w:t>
      </w:r>
      <w:r>
        <w:rPr>
          <w:rFonts w:hint="eastAsia" w:ascii="宋体" w:hAnsi="宋体" w:eastAsia="宋体" w:cs="宋体"/>
          <w:b w:val="0"/>
          <w:bCs/>
          <w:color w:val="auto"/>
          <w:sz w:val="24"/>
          <w:szCs w:val="24"/>
          <w:highlight w:val="none"/>
          <w:u w:val="none"/>
          <w:lang w:eastAsia="zh-CN"/>
        </w:rPr>
        <w:t>响应文件</w:t>
      </w:r>
      <w:r>
        <w:rPr>
          <w:rFonts w:hint="eastAsia" w:ascii="宋体" w:hAnsi="宋体" w:eastAsia="宋体" w:cs="宋体"/>
          <w:b w:val="0"/>
          <w:bCs/>
          <w:color w:val="auto"/>
          <w:sz w:val="24"/>
          <w:szCs w:val="24"/>
          <w:highlight w:val="none"/>
          <w:u w:val="none"/>
        </w:rPr>
        <w:t>出现解密失败情况（开标</w:t>
      </w:r>
      <w:r>
        <w:rPr>
          <w:rFonts w:hint="eastAsia" w:ascii="宋体" w:hAnsi="宋体" w:eastAsia="宋体" w:cs="宋体"/>
          <w:b w:val="0"/>
          <w:bCs/>
          <w:color w:val="auto"/>
          <w:sz w:val="24"/>
          <w:szCs w:val="24"/>
          <w:highlight w:val="none"/>
          <w:u w:val="none"/>
          <w:lang w:val="en-US" w:eastAsia="zh-CN"/>
        </w:rPr>
        <w:t>后</w:t>
      </w:r>
      <w:r>
        <w:rPr>
          <w:rFonts w:hint="eastAsia" w:ascii="宋体" w:hAnsi="宋体" w:cs="宋体"/>
          <w:b w:val="0"/>
          <w:bCs/>
          <w:color w:val="auto"/>
          <w:sz w:val="24"/>
          <w:szCs w:val="24"/>
          <w:highlight w:val="none"/>
          <w:u w:val="none"/>
          <w:lang w:val="en-US" w:eastAsia="zh-CN"/>
        </w:rPr>
        <w:t>30分钟</w:t>
      </w:r>
      <w:r>
        <w:rPr>
          <w:rFonts w:hint="eastAsia" w:ascii="宋体" w:hAnsi="宋体" w:eastAsia="宋体" w:cs="宋体"/>
          <w:b w:val="0"/>
          <w:bCs/>
          <w:color w:val="auto"/>
          <w:sz w:val="24"/>
          <w:szCs w:val="24"/>
          <w:highlight w:val="none"/>
          <w:u w:val="none"/>
          <w:lang w:val="en-US" w:eastAsia="zh-CN"/>
        </w:rPr>
        <w:t>内</w:t>
      </w:r>
      <w:r>
        <w:rPr>
          <w:rFonts w:hint="eastAsia" w:ascii="宋体" w:hAnsi="宋体" w:eastAsia="宋体" w:cs="宋体"/>
          <w:b w:val="0"/>
          <w:bCs/>
          <w:color w:val="auto"/>
          <w:sz w:val="24"/>
          <w:szCs w:val="24"/>
          <w:highlight w:val="none"/>
          <w:u w:val="none"/>
        </w:rPr>
        <w:t>进行解密），投标方可按照自身意愿确认是否同意提供加密密码解密传送至</w:t>
      </w:r>
      <w:r>
        <w:rPr>
          <w:rFonts w:hint="eastAsia" w:ascii="宋体" w:hAnsi="宋体" w:cs="宋体"/>
          <w:b w:val="0"/>
          <w:bCs/>
          <w:color w:val="auto"/>
          <w:sz w:val="24"/>
          <w:szCs w:val="24"/>
          <w:highlight w:val="none"/>
          <w:u w:val="none"/>
          <w:lang w:eastAsia="zh-CN"/>
        </w:rPr>
        <w:t>浙江博策工程项目管理有限公司</w:t>
      </w:r>
      <w:r>
        <w:rPr>
          <w:rFonts w:hint="eastAsia" w:ascii="宋体" w:hAnsi="宋体" w:eastAsia="宋体" w:cs="宋体"/>
          <w:b w:val="0"/>
          <w:bCs/>
          <w:color w:val="auto"/>
          <w:sz w:val="24"/>
          <w:szCs w:val="24"/>
          <w:highlight w:val="none"/>
          <w:u w:val="none"/>
        </w:rPr>
        <w:t>邮箱的备份文件，并以备份文件作为替代电子</w:t>
      </w:r>
      <w:r>
        <w:rPr>
          <w:rFonts w:hint="eastAsia" w:ascii="宋体" w:hAnsi="宋体" w:eastAsia="宋体" w:cs="宋体"/>
          <w:b w:val="0"/>
          <w:bCs/>
          <w:color w:val="auto"/>
          <w:sz w:val="24"/>
          <w:szCs w:val="24"/>
          <w:highlight w:val="none"/>
          <w:u w:val="none"/>
          <w:lang w:eastAsia="zh-CN"/>
        </w:rPr>
        <w:t>响应文件</w:t>
      </w:r>
      <w:r>
        <w:rPr>
          <w:rFonts w:hint="eastAsia" w:ascii="宋体" w:hAnsi="宋体" w:eastAsia="宋体" w:cs="宋体"/>
          <w:b w:val="0"/>
          <w:bCs/>
          <w:color w:val="auto"/>
          <w:sz w:val="24"/>
          <w:szCs w:val="24"/>
          <w:highlight w:val="none"/>
          <w:u w:val="none"/>
        </w:rPr>
        <w:t>，如投标方未按照规定时间前</w:t>
      </w:r>
      <w:r>
        <w:rPr>
          <w:rFonts w:hint="eastAsia" w:ascii="宋体" w:hAnsi="宋体" w:eastAsia="宋体" w:cs="宋体"/>
          <w:b w:val="0"/>
          <w:bCs/>
          <w:color w:val="auto"/>
          <w:sz w:val="24"/>
          <w:szCs w:val="24"/>
          <w:highlight w:val="none"/>
          <w:u w:val="none"/>
          <w:lang w:eastAsia="zh-CN"/>
        </w:rPr>
        <w:t>按</w:t>
      </w:r>
      <w:r>
        <w:rPr>
          <w:rFonts w:hint="eastAsia" w:ascii="宋体" w:hAnsi="宋体" w:eastAsia="宋体" w:cs="宋体"/>
          <w:b w:val="0"/>
          <w:bCs/>
          <w:color w:val="auto"/>
          <w:sz w:val="24"/>
          <w:szCs w:val="24"/>
          <w:highlight w:val="none"/>
          <w:u w:val="none"/>
        </w:rPr>
        <w:t>要求提供有效备份文件，同时</w:t>
      </w:r>
      <w:r>
        <w:rPr>
          <w:rFonts w:hint="eastAsia" w:ascii="宋体" w:hAnsi="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w:t>
      </w:r>
      <w:r>
        <w:rPr>
          <w:rFonts w:hint="eastAsia" w:ascii="宋体" w:hAnsi="宋体" w:eastAsia="宋体" w:cs="宋体"/>
          <w:b w:val="0"/>
          <w:bCs/>
          <w:color w:val="auto"/>
          <w:sz w:val="24"/>
          <w:szCs w:val="24"/>
          <w:highlight w:val="none"/>
          <w:u w:val="none"/>
          <w:lang w:eastAsia="zh-CN"/>
        </w:rPr>
        <w:t>响应文件</w:t>
      </w:r>
      <w:r>
        <w:rPr>
          <w:rFonts w:hint="eastAsia" w:ascii="宋体" w:hAnsi="宋体" w:eastAsia="宋体" w:cs="宋体"/>
          <w:b w:val="0"/>
          <w:bCs/>
          <w:color w:val="auto"/>
          <w:sz w:val="24"/>
          <w:szCs w:val="24"/>
          <w:highlight w:val="none"/>
          <w:u w:val="none"/>
        </w:rPr>
        <w:t>解密失败的，将导致投标无效。</w:t>
      </w:r>
    </w:p>
    <w:p w14:paraId="33AD82E3">
      <w:pPr>
        <w:pStyle w:val="8"/>
        <w:pageBreakBefore w:val="0"/>
        <w:shd w:val="clea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cs="宋体"/>
          <w:b w:val="0"/>
          <w:bCs/>
          <w:color w:val="auto"/>
          <w:kern w:val="0"/>
          <w:sz w:val="24"/>
          <w:szCs w:val="24"/>
          <w:highlight w:val="none"/>
          <w:u w:val="none"/>
          <w:lang w:eastAsia="zh-CN"/>
        </w:rPr>
        <w:t>（</w:t>
      </w:r>
      <w:r>
        <w:rPr>
          <w:rFonts w:hint="eastAsia" w:ascii="宋体" w:hAnsi="宋体" w:cs="宋体"/>
          <w:b w:val="0"/>
          <w:bCs/>
          <w:color w:val="auto"/>
          <w:kern w:val="0"/>
          <w:sz w:val="24"/>
          <w:szCs w:val="24"/>
          <w:highlight w:val="none"/>
          <w:u w:val="none"/>
          <w:lang w:val="en-US" w:eastAsia="zh-CN"/>
        </w:rPr>
        <w:t>2</w:t>
      </w:r>
      <w:r>
        <w:rPr>
          <w:rFonts w:hint="eastAsia" w:ascii="宋体" w:hAnsi="宋体" w:cs="宋体"/>
          <w:b w:val="0"/>
          <w:bCs/>
          <w:color w:val="auto"/>
          <w:kern w:val="0"/>
          <w:sz w:val="24"/>
          <w:szCs w:val="24"/>
          <w:highlight w:val="none"/>
          <w:u w:val="none"/>
          <w:lang w:eastAsia="zh-CN"/>
        </w:rPr>
        <w:t>）</w:t>
      </w:r>
      <w:r>
        <w:rPr>
          <w:rFonts w:hint="eastAsia" w:ascii="宋体" w:hAnsi="宋体" w:eastAsia="宋体" w:cs="宋体"/>
          <w:b w:val="0"/>
          <w:bCs/>
          <w:color w:val="auto"/>
          <w:kern w:val="0"/>
          <w:sz w:val="24"/>
          <w:szCs w:val="24"/>
          <w:highlight w:val="none"/>
          <w:u w:val="none"/>
        </w:rPr>
        <w:t>投标方无需在开标当天到达开标现场对电子投标进行解密，可在公司办公场地在规定时间内对电子</w:t>
      </w:r>
      <w:r>
        <w:rPr>
          <w:rFonts w:hint="eastAsia" w:ascii="宋体" w:hAnsi="宋体" w:eastAsia="宋体" w:cs="宋体"/>
          <w:b w:val="0"/>
          <w:bCs/>
          <w:color w:val="auto"/>
          <w:kern w:val="0"/>
          <w:sz w:val="24"/>
          <w:szCs w:val="24"/>
          <w:highlight w:val="none"/>
          <w:u w:val="none"/>
          <w:lang w:eastAsia="zh-CN"/>
        </w:rPr>
        <w:t>响应文件</w:t>
      </w:r>
      <w:r>
        <w:rPr>
          <w:rFonts w:hint="eastAsia" w:ascii="宋体" w:hAnsi="宋体" w:eastAsia="宋体" w:cs="宋体"/>
          <w:b w:val="0"/>
          <w:bCs/>
          <w:color w:val="auto"/>
          <w:kern w:val="0"/>
          <w:sz w:val="24"/>
          <w:szCs w:val="24"/>
          <w:highlight w:val="none"/>
          <w:u w:val="none"/>
        </w:rPr>
        <w:t>进行解密。</w:t>
      </w:r>
      <w:r>
        <w:rPr>
          <w:rFonts w:hint="eastAsia" w:ascii="宋体" w:hAnsi="宋体" w:eastAsia="宋体" w:cs="宋体"/>
          <w:b w:val="0"/>
          <w:bCs/>
          <w:color w:val="auto"/>
          <w:sz w:val="24"/>
          <w:szCs w:val="24"/>
          <w:highlight w:val="none"/>
          <w:u w:val="none"/>
        </w:rPr>
        <w:t>开标时间后</w:t>
      </w:r>
      <w:r>
        <w:rPr>
          <w:rFonts w:hint="eastAsia" w:ascii="宋体" w:hAnsi="宋体" w:cs="宋体"/>
          <w:b w:val="0"/>
          <w:bCs/>
          <w:color w:val="auto"/>
          <w:sz w:val="24"/>
          <w:szCs w:val="24"/>
          <w:highlight w:val="none"/>
          <w:u w:val="none"/>
          <w:lang w:eastAsia="zh-CN"/>
        </w:rPr>
        <w:t>30分钟</w:t>
      </w:r>
      <w:r>
        <w:rPr>
          <w:rFonts w:hint="eastAsia" w:ascii="宋体" w:hAnsi="宋体" w:eastAsia="宋体" w:cs="宋体"/>
          <w:b w:val="0"/>
          <w:bCs/>
          <w:color w:val="auto"/>
          <w:sz w:val="24"/>
          <w:szCs w:val="24"/>
          <w:highlight w:val="none"/>
          <w:u w:val="none"/>
        </w:rPr>
        <w:t>内供应商可以登录“</w:t>
      </w:r>
      <w:r>
        <w:rPr>
          <w:rFonts w:hint="eastAsia" w:ascii="宋体" w:hAnsi="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”平台，用“项目采购</w:t>
      </w:r>
      <w:r>
        <w:rPr>
          <w:rFonts w:hint="eastAsia" w:ascii="宋体" w:hAnsi="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rPr>
        <w:t>开标评标”功能进行解密</w:t>
      </w:r>
      <w:r>
        <w:rPr>
          <w:rFonts w:hint="eastAsia" w:ascii="宋体" w:hAnsi="宋体" w:eastAsia="宋体" w:cs="宋体"/>
          <w:b w:val="0"/>
          <w:bCs/>
          <w:color w:val="auto"/>
          <w:sz w:val="24"/>
          <w:szCs w:val="24"/>
          <w:highlight w:val="none"/>
          <w:u w:val="none"/>
          <w:lang w:eastAsia="zh-CN"/>
        </w:rPr>
        <w:t>响应文件</w:t>
      </w:r>
      <w:r>
        <w:rPr>
          <w:rFonts w:hint="eastAsia" w:ascii="宋体" w:hAnsi="宋体" w:eastAsia="宋体" w:cs="宋体"/>
          <w:b w:val="0"/>
          <w:bCs/>
          <w:color w:val="auto"/>
          <w:sz w:val="24"/>
          <w:szCs w:val="24"/>
          <w:highlight w:val="none"/>
          <w:u w:val="none"/>
        </w:rPr>
        <w:t>。若供应商在规定时间内无法解密或解密失败，将导致投标无效或失败。投标人制作电子</w:t>
      </w:r>
      <w:r>
        <w:rPr>
          <w:rFonts w:hint="eastAsia" w:ascii="宋体" w:hAnsi="宋体" w:eastAsia="宋体" w:cs="宋体"/>
          <w:b w:val="0"/>
          <w:bCs/>
          <w:color w:val="auto"/>
          <w:sz w:val="24"/>
          <w:szCs w:val="24"/>
          <w:highlight w:val="none"/>
          <w:u w:val="none"/>
          <w:lang w:eastAsia="zh-CN"/>
        </w:rPr>
        <w:t>响应文件</w:t>
      </w:r>
      <w:r>
        <w:rPr>
          <w:rFonts w:hint="eastAsia" w:ascii="宋体" w:hAnsi="宋体" w:eastAsia="宋体" w:cs="宋体"/>
          <w:b w:val="0"/>
          <w:bCs/>
          <w:color w:val="auto"/>
          <w:sz w:val="24"/>
          <w:szCs w:val="24"/>
          <w:highlight w:val="none"/>
          <w:u w:val="none"/>
        </w:rPr>
        <w:t>和解密</w:t>
      </w:r>
      <w:r>
        <w:rPr>
          <w:rFonts w:hint="eastAsia" w:ascii="宋体" w:hAnsi="宋体" w:eastAsia="宋体" w:cs="宋体"/>
          <w:b w:val="0"/>
          <w:bCs/>
          <w:color w:val="auto"/>
          <w:sz w:val="24"/>
          <w:szCs w:val="24"/>
          <w:highlight w:val="none"/>
          <w:u w:val="none"/>
          <w:lang w:eastAsia="zh-CN"/>
        </w:rPr>
        <w:t>响应文件</w:t>
      </w:r>
      <w:r>
        <w:rPr>
          <w:rFonts w:hint="eastAsia" w:ascii="宋体" w:hAnsi="宋体" w:eastAsia="宋体" w:cs="宋体"/>
          <w:b w:val="0"/>
          <w:bCs/>
          <w:color w:val="auto"/>
          <w:sz w:val="24"/>
          <w:szCs w:val="24"/>
          <w:highlight w:val="none"/>
          <w:u w:val="none"/>
        </w:rPr>
        <w:t>的需为同一把CA。同时为保障项目开标的连贯性、减少电子投标的意外事件，制作电子投标人员与开标人员最好为同一人，预留同一手机号码。</w:t>
      </w:r>
    </w:p>
    <w:p w14:paraId="1952BB76">
      <w:pPr>
        <w:pageBreakBefore w:val="0"/>
        <w:shd w:val="clear"/>
        <w:kinsoku/>
        <w:wordWrap/>
        <w:overflowPunct/>
        <w:topLinePunct w:val="0"/>
        <w:bidi w:val="0"/>
        <w:snapToGrid w:val="0"/>
        <w:spacing w:line="360" w:lineRule="auto"/>
        <w:ind w:firstLine="420"/>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、业务咨询：</w:t>
      </w:r>
      <w:r>
        <w:rPr>
          <w:rFonts w:hint="eastAsia" w:ascii="宋体" w:hAnsi="宋体" w:eastAsia="宋体" w:cs="宋体"/>
          <w:b/>
          <w:color w:val="auto"/>
          <w:sz w:val="24"/>
          <w:szCs w:val="24"/>
          <w:highlight w:val="none"/>
          <w:lang w:val="en-US" w:eastAsia="zh-CN"/>
        </w:rPr>
        <w:t xml:space="preserve">  </w:t>
      </w:r>
    </w:p>
    <w:p w14:paraId="1159D56C">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40" w:firstLineChars="100"/>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1、采购人信息</w:t>
      </w:r>
    </w:p>
    <w:p w14:paraId="3A5CC552">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名 称：诸暨市建设集团有限公司</w:t>
      </w:r>
    </w:p>
    <w:p w14:paraId="7CB9135B">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jc w:val="left"/>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地 址：浙江省诸暨市暨阳街道新晖路32号</w:t>
      </w:r>
    </w:p>
    <w:p w14:paraId="730142F7">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项目联系人：邢栋梁</w:t>
      </w:r>
    </w:p>
    <w:p w14:paraId="6E5F3D38">
      <w:pPr>
        <w:keepNext w:val="0"/>
        <w:keepLines w:val="0"/>
        <w:pageBreakBefore w:val="0"/>
        <w:widowControl/>
        <w:kinsoku/>
        <w:wordWrap/>
        <w:overflowPunct/>
        <w:topLinePunct w:val="0"/>
        <w:autoSpaceDE/>
        <w:autoSpaceDN/>
        <w:bidi w:val="0"/>
        <w:adjustRightInd/>
        <w:spacing w:before="0" w:beforeAutospacing="0" w:after="0" w:afterAutospacing="0" w:line="360" w:lineRule="auto"/>
        <w:ind w:left="239" w:leftChars="114" w:firstLine="240" w:firstLineChars="100"/>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项目联系方式：18606755173</w:t>
      </w:r>
      <w:r>
        <w:rPr>
          <w:rFonts w:hint="eastAsia" w:ascii="宋体" w:hAnsi="宋体" w:cs="宋体"/>
          <w:b w:val="0"/>
          <w:bCs/>
          <w:color w:val="auto"/>
          <w:kern w:val="2"/>
          <w:sz w:val="24"/>
          <w:szCs w:val="24"/>
          <w:highlight w:val="none"/>
          <w:u w:val="none"/>
          <w:lang w:val="en-US" w:eastAsia="zh-CN" w:bidi="ar-SA"/>
        </w:rPr>
        <w:t>（工作电话）</w:t>
      </w:r>
    </w:p>
    <w:p w14:paraId="30D632FC">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240" w:firstLineChars="100"/>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2、采购代理机构信息</w:t>
      </w:r>
    </w:p>
    <w:p w14:paraId="14EFF486">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名称：浙江博策工程项目管理有限公司</w:t>
      </w:r>
    </w:p>
    <w:p w14:paraId="694A2EDC">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jc w:val="left"/>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地址：诸暨市暨南路21号乐家大厦2号楼东16～17F</w:t>
      </w:r>
    </w:p>
    <w:p w14:paraId="2324F136">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jc w:val="left"/>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代理机构联系人：宣晨阳</w:t>
      </w:r>
    </w:p>
    <w:p w14:paraId="02FEB529">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jc w:val="left"/>
        <w:textAlignment w:val="auto"/>
        <w:rPr>
          <w:rFonts w:hint="default"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联系电话：18258559388</w:t>
      </w:r>
      <w:r>
        <w:rPr>
          <w:rFonts w:hint="eastAsia" w:ascii="宋体" w:hAnsi="宋体" w:cs="宋体"/>
          <w:b w:val="0"/>
          <w:bCs/>
          <w:color w:val="auto"/>
          <w:kern w:val="2"/>
          <w:sz w:val="24"/>
          <w:szCs w:val="24"/>
          <w:highlight w:val="none"/>
          <w:u w:val="none"/>
          <w:lang w:val="en-US" w:eastAsia="zh-CN" w:bidi="ar-SA"/>
        </w:rPr>
        <w:t>（工作电话）</w:t>
      </w:r>
    </w:p>
    <w:p w14:paraId="7CE00F20">
      <w:pPr>
        <w:keepNext w:val="0"/>
        <w:keepLines w:val="0"/>
        <w:pageBreakBefore w:val="0"/>
        <w:numPr>
          <w:ilvl w:val="0"/>
          <w:numId w:val="0"/>
        </w:numPr>
        <w:shd w:val="clear"/>
        <w:kinsoku/>
        <w:wordWrap/>
        <w:overflowPunct/>
        <w:topLinePunct w:val="0"/>
        <w:bidi w:val="0"/>
        <w:snapToGrid w:val="0"/>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b w:val="0"/>
          <w:bCs/>
          <w:color w:val="auto"/>
          <w:kern w:val="2"/>
          <w:sz w:val="24"/>
          <w:szCs w:val="24"/>
          <w:highlight w:val="none"/>
          <w:u w:val="none"/>
          <w:lang w:val="en-US" w:eastAsia="zh-CN" w:bidi="ar-SA"/>
        </w:rPr>
        <w:t>联系邮箱：zjboce@qq.com</w:t>
      </w:r>
    </w:p>
    <w:p w14:paraId="46571D60">
      <w:pPr>
        <w:widowControl w:val="0"/>
        <w:autoSpaceDE w:val="0"/>
        <w:autoSpaceDN w:val="0"/>
        <w:adjustRightInd w:val="0"/>
        <w:spacing w:line="360" w:lineRule="auto"/>
        <w:ind w:firstLine="420"/>
        <w:jc w:val="both"/>
        <w:textAlignment w:val="baseline"/>
        <w:rPr>
          <w:rFonts w:hint="eastAsia" w:ascii="宋体" w:hAnsi="Times New Roman" w:eastAsia="宋体" w:cs="Times New Roman"/>
          <w:color w:val="auto"/>
          <w:kern w:val="2"/>
          <w:sz w:val="24"/>
          <w:szCs w:val="20"/>
          <w:highlight w:val="none"/>
          <w:lang w:val="zh-CN" w:eastAsia="zh-CN" w:bidi="ar-SA"/>
        </w:rPr>
      </w:pPr>
    </w:p>
    <w:p w14:paraId="1A7BE7DB">
      <w:pPr>
        <w:ind w:firstLine="440" w:firstLineChars="200"/>
        <w:rPr>
          <w:rFonts w:hint="eastAsia" w:ascii="宋体" w:hAnsi="宋体" w:eastAsia="宋体" w:cs="宋体"/>
          <w:b/>
          <w:bCs/>
          <w:i w:val="0"/>
          <w:iCs w:val="0"/>
          <w:color w:val="auto"/>
          <w:sz w:val="40"/>
          <w:szCs w:val="40"/>
          <w:highlight w:val="none"/>
        </w:rPr>
      </w:pPr>
      <w:r>
        <w:rPr>
          <w:rFonts w:hint="eastAsia" w:ascii="宋体" w:hAnsi="宋体" w:eastAsia="宋体" w:cs="宋体"/>
          <w:b w:val="0"/>
          <w:i w:val="0"/>
          <w:iCs w:val="0"/>
          <w:color w:val="auto"/>
          <w:sz w:val="22"/>
          <w:szCs w:val="22"/>
          <w:highlight w:val="none"/>
          <w:shd w:val="clear" w:color="auto" w:fill="FFFFFF"/>
        </w:rPr>
        <w:t>若对项目采购电子交易系统操作有疑问，可登录乐采云（https://www.lecaiyun.com/），点击右侧咨询小采，获取采小蜜智能服务管家帮助，或拨打服务热线95763获取热线服务帮助。CA问题联系电话（人工）：汇信CA 400-888-4636；天谷CA 400-087-8198。</w:t>
      </w:r>
    </w:p>
    <w:p w14:paraId="09EBE8C7">
      <w:pPr>
        <w:pageBreakBefore w:val="0"/>
        <w:kinsoku/>
        <w:wordWrap/>
        <w:overflowPunct/>
        <w:topLinePunct w:val="0"/>
        <w:bidi w:val="0"/>
        <w:spacing w:line="360" w:lineRule="auto"/>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bCs/>
          <w:color w:val="auto"/>
          <w:sz w:val="36"/>
          <w:szCs w:val="36"/>
          <w:highlight w:val="none"/>
        </w:rPr>
        <w:t>第二章   供应商须知</w:t>
      </w:r>
    </w:p>
    <w:p w14:paraId="7C903CC8">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前  附  表</w:t>
      </w:r>
    </w:p>
    <w:tbl>
      <w:tblPr>
        <w:tblStyle w:val="16"/>
        <w:tblW w:w="99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4"/>
        <w:gridCol w:w="1542"/>
        <w:gridCol w:w="7769"/>
      </w:tblGrid>
      <w:tr w14:paraId="60D99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543854FE">
            <w:pPr>
              <w:spacing w:line="240" w:lineRule="auto"/>
              <w:rPr>
                <w:rFonts w:hint="eastAsia" w:ascii="宋体" w:hAnsi="宋体" w:eastAsia="宋体" w:cs="宋体"/>
                <w:b/>
                <w:color w:val="auto"/>
                <w:kern w:val="2"/>
                <w:szCs w:val="24"/>
                <w:highlight w:val="none"/>
                <w:lang w:val="en-US" w:eastAsia="zh-CN"/>
              </w:rPr>
            </w:pPr>
            <w:r>
              <w:rPr>
                <w:rFonts w:hint="eastAsia"/>
                <w:color w:val="auto"/>
                <w:highlight w:val="none"/>
              </w:rPr>
              <w:br w:type="page"/>
            </w:r>
            <w:r>
              <w:rPr>
                <w:rFonts w:hint="eastAsia" w:ascii="宋体" w:hAnsi="宋体" w:eastAsia="宋体" w:cs="宋体"/>
                <w:b/>
                <w:color w:val="auto"/>
                <w:kern w:val="2"/>
                <w:szCs w:val="24"/>
                <w:highlight w:val="none"/>
                <w:lang w:val="en-US" w:eastAsia="zh-CN"/>
              </w:rPr>
              <w:t>序号</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002D24AE">
            <w:pPr>
              <w:pStyle w:val="8"/>
              <w:spacing w:line="240" w:lineRule="auto"/>
              <w:jc w:val="center"/>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内容</w:t>
            </w:r>
          </w:p>
        </w:tc>
        <w:tc>
          <w:tcPr>
            <w:tcW w:w="7769" w:type="dxa"/>
            <w:tcBorders>
              <w:top w:val="single" w:color="auto" w:sz="4" w:space="0"/>
              <w:left w:val="single" w:color="auto" w:sz="4" w:space="0"/>
              <w:bottom w:val="single" w:color="auto" w:sz="4" w:space="0"/>
              <w:right w:val="single" w:color="auto" w:sz="4" w:space="0"/>
            </w:tcBorders>
            <w:noWrap w:val="0"/>
            <w:vAlign w:val="center"/>
          </w:tcPr>
          <w:p w14:paraId="0C291FF2">
            <w:pPr>
              <w:pStyle w:val="8"/>
              <w:spacing w:line="240" w:lineRule="auto"/>
              <w:jc w:val="center"/>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说明与要求</w:t>
            </w:r>
          </w:p>
        </w:tc>
      </w:tr>
      <w:tr w14:paraId="417D3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1D67A0F0">
            <w:pPr>
              <w:pStyle w:val="8"/>
              <w:spacing w:line="240" w:lineRule="auto"/>
              <w:jc w:val="center"/>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8AB63B9">
            <w:pPr>
              <w:pStyle w:val="8"/>
              <w:spacing w:line="240" w:lineRule="auto"/>
              <w:jc w:val="center"/>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项目名称</w:t>
            </w:r>
          </w:p>
        </w:tc>
        <w:tc>
          <w:tcPr>
            <w:tcW w:w="7769" w:type="dxa"/>
            <w:tcBorders>
              <w:top w:val="single" w:color="auto" w:sz="4" w:space="0"/>
              <w:left w:val="single" w:color="auto" w:sz="4" w:space="0"/>
              <w:bottom w:val="single" w:color="auto" w:sz="4" w:space="0"/>
              <w:right w:val="single" w:color="auto" w:sz="4" w:space="0"/>
            </w:tcBorders>
            <w:noWrap w:val="0"/>
            <w:vAlign w:val="center"/>
          </w:tcPr>
          <w:p w14:paraId="755C19B3">
            <w:pPr>
              <w:autoSpaceDE/>
              <w:autoSpaceDN/>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诸暨市建设集团有限公司（含下属单位）2025年车辆保险供应商征集项目</w:t>
            </w:r>
          </w:p>
        </w:tc>
      </w:tr>
      <w:tr w14:paraId="3F3B3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6DBBA4E4">
            <w:pPr>
              <w:pStyle w:val="8"/>
              <w:spacing w:line="240" w:lineRule="auto"/>
              <w:jc w:val="center"/>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01125237">
            <w:pPr>
              <w:pStyle w:val="8"/>
              <w:spacing w:line="240" w:lineRule="auto"/>
              <w:jc w:val="center"/>
              <w:rPr>
                <w:rFonts w:hint="eastAsia" w:ascii="宋体" w:hAnsi="宋体" w:eastAsia="宋体" w:cs="宋体"/>
                <w:b/>
                <w:color w:val="auto"/>
                <w:kern w:val="2"/>
                <w:szCs w:val="24"/>
                <w:highlight w:val="none"/>
                <w:lang w:val="en-US" w:eastAsia="zh-CN"/>
              </w:rPr>
            </w:pPr>
            <w:r>
              <w:rPr>
                <w:rFonts w:hint="eastAsia" w:ascii="宋体" w:hAnsi="宋体" w:cs="宋体"/>
                <w:bCs/>
                <w:color w:val="auto"/>
                <w:sz w:val="24"/>
                <w:szCs w:val="24"/>
                <w:highlight w:val="none"/>
                <w:lang w:val="en-US" w:eastAsia="zh-CN"/>
              </w:rPr>
              <w:t>采购方式</w:t>
            </w:r>
          </w:p>
        </w:tc>
        <w:tc>
          <w:tcPr>
            <w:tcW w:w="7769" w:type="dxa"/>
            <w:tcBorders>
              <w:top w:val="single" w:color="auto" w:sz="4" w:space="0"/>
              <w:left w:val="single" w:color="auto" w:sz="4" w:space="0"/>
              <w:bottom w:val="single" w:color="auto" w:sz="4" w:space="0"/>
              <w:right w:val="single" w:color="auto" w:sz="4" w:space="0"/>
            </w:tcBorders>
            <w:noWrap w:val="0"/>
            <w:vAlign w:val="center"/>
          </w:tcPr>
          <w:p w14:paraId="4221FB7B">
            <w:pPr>
              <w:pStyle w:val="8"/>
              <w:spacing w:line="240" w:lineRule="auto"/>
              <w:ind w:right="-107" w:rightChars="-51"/>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公开</w:t>
            </w:r>
            <w:r>
              <w:rPr>
                <w:rFonts w:hint="eastAsia" w:ascii="宋体" w:hAnsi="宋体" w:cs="宋体"/>
                <w:bCs/>
                <w:color w:val="auto"/>
                <w:sz w:val="24"/>
                <w:szCs w:val="24"/>
                <w:highlight w:val="none"/>
                <w:lang w:val="en-US" w:eastAsia="zh-CN"/>
              </w:rPr>
              <w:t>征集入围</w:t>
            </w:r>
          </w:p>
        </w:tc>
      </w:tr>
      <w:tr w14:paraId="58E85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30C1AE0A">
            <w:pPr>
              <w:pStyle w:val="8"/>
              <w:spacing w:line="240" w:lineRule="auto"/>
              <w:jc w:val="center"/>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3</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372C450B">
            <w:pPr>
              <w:pStyle w:val="8"/>
              <w:spacing w:line="240" w:lineRule="auto"/>
              <w:jc w:val="center"/>
              <w:rPr>
                <w:rFonts w:hint="eastAsia" w:ascii="宋体" w:hAnsi="宋体" w:eastAsia="宋体" w:cs="宋体"/>
                <w:b/>
                <w:color w:val="auto"/>
                <w:kern w:val="2"/>
                <w:szCs w:val="24"/>
                <w:highlight w:val="none"/>
                <w:lang w:val="en-US" w:eastAsia="zh-CN"/>
              </w:rPr>
            </w:pPr>
            <w:r>
              <w:rPr>
                <w:rFonts w:hint="eastAsia" w:ascii="宋体" w:hAnsi="宋体" w:cs="宋体"/>
                <w:color w:val="auto"/>
                <w:kern w:val="2"/>
                <w:szCs w:val="24"/>
                <w:highlight w:val="none"/>
                <w:lang w:val="en-US" w:eastAsia="zh-CN"/>
              </w:rPr>
              <w:t>评标</w:t>
            </w:r>
            <w:r>
              <w:rPr>
                <w:rFonts w:hint="eastAsia" w:ascii="宋体" w:hAnsi="宋体" w:eastAsia="宋体" w:cs="宋体"/>
                <w:color w:val="auto"/>
                <w:kern w:val="2"/>
                <w:szCs w:val="24"/>
                <w:highlight w:val="none"/>
                <w:lang w:val="en-US" w:eastAsia="zh-CN"/>
              </w:rPr>
              <w:t>方法</w:t>
            </w:r>
          </w:p>
        </w:tc>
        <w:tc>
          <w:tcPr>
            <w:tcW w:w="7769" w:type="dxa"/>
            <w:tcBorders>
              <w:top w:val="single" w:color="auto" w:sz="4" w:space="0"/>
              <w:left w:val="single" w:color="auto" w:sz="4" w:space="0"/>
              <w:bottom w:val="single" w:color="auto" w:sz="4" w:space="0"/>
              <w:right w:val="single" w:color="auto" w:sz="4" w:space="0"/>
            </w:tcBorders>
            <w:noWrap w:val="0"/>
            <w:vAlign w:val="center"/>
          </w:tcPr>
          <w:p w14:paraId="725EC154">
            <w:pPr>
              <w:pStyle w:val="8"/>
              <w:spacing w:line="240" w:lineRule="auto"/>
              <w:ind w:right="-107" w:rightChars="-51"/>
              <w:rPr>
                <w:rFonts w:hint="eastAsia" w:ascii="宋体" w:hAnsi="宋体" w:eastAsia="宋体" w:cs="宋体"/>
                <w:color w:val="auto"/>
                <w:kern w:val="2"/>
                <w:szCs w:val="24"/>
                <w:highlight w:val="none"/>
                <w:lang w:val="en-US" w:eastAsia="zh-CN"/>
              </w:rPr>
            </w:pPr>
            <w:r>
              <w:rPr>
                <w:rFonts w:hint="eastAsia" w:ascii="宋体" w:hAnsi="宋体" w:eastAsia="宋体" w:cs="宋体"/>
                <w:bCs/>
                <w:color w:val="auto"/>
                <w:sz w:val="24"/>
                <w:szCs w:val="24"/>
                <w:highlight w:val="none"/>
                <w:lang w:val="en-US" w:eastAsia="zh-CN"/>
              </w:rPr>
              <w:t>质量优先法（综合评分法）</w:t>
            </w:r>
          </w:p>
        </w:tc>
      </w:tr>
      <w:tr w14:paraId="2E1DD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777CF465">
            <w:pPr>
              <w:pStyle w:val="8"/>
              <w:spacing w:line="240" w:lineRule="auto"/>
              <w:jc w:val="center"/>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4</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15E3E5C">
            <w:pPr>
              <w:pStyle w:val="8"/>
              <w:spacing w:line="240" w:lineRule="auto"/>
              <w:jc w:val="center"/>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最高限价</w:t>
            </w:r>
          </w:p>
        </w:tc>
        <w:tc>
          <w:tcPr>
            <w:tcW w:w="7769" w:type="dxa"/>
            <w:tcBorders>
              <w:top w:val="single" w:color="auto" w:sz="4" w:space="0"/>
              <w:left w:val="single" w:color="auto" w:sz="4" w:space="0"/>
              <w:bottom w:val="single" w:color="auto" w:sz="4" w:space="0"/>
              <w:right w:val="single" w:color="auto" w:sz="4" w:space="0"/>
            </w:tcBorders>
            <w:noWrap w:val="0"/>
            <w:vAlign w:val="center"/>
          </w:tcPr>
          <w:p w14:paraId="54DF17AB">
            <w:pPr>
              <w:widowControl/>
              <w:spacing w:line="240" w:lineRule="auto"/>
              <w:jc w:val="left"/>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详见采购需求</w:t>
            </w:r>
          </w:p>
        </w:tc>
      </w:tr>
      <w:tr w14:paraId="547E0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5E0922ED">
            <w:pPr>
              <w:pStyle w:val="8"/>
              <w:spacing w:line="240" w:lineRule="auto"/>
              <w:jc w:val="center"/>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5</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384F21A7">
            <w:pPr>
              <w:pStyle w:val="8"/>
              <w:spacing w:line="240" w:lineRule="auto"/>
              <w:jc w:val="center"/>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投标人（供应商）资格要求</w:t>
            </w:r>
          </w:p>
        </w:tc>
        <w:tc>
          <w:tcPr>
            <w:tcW w:w="7769" w:type="dxa"/>
            <w:tcBorders>
              <w:top w:val="single" w:color="auto" w:sz="4" w:space="0"/>
              <w:left w:val="single" w:color="auto" w:sz="4" w:space="0"/>
              <w:bottom w:val="single" w:color="auto" w:sz="4" w:space="0"/>
              <w:right w:val="single" w:color="auto" w:sz="4" w:space="0"/>
            </w:tcBorders>
            <w:noWrap w:val="0"/>
            <w:vAlign w:val="center"/>
          </w:tcPr>
          <w:p w14:paraId="78FCABA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right="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1、本项目的基本资格要求：</w:t>
            </w:r>
          </w:p>
          <w:p w14:paraId="65AF9AE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right="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（1）具有独立承担民事责任的能力；</w:t>
            </w:r>
          </w:p>
          <w:p w14:paraId="34F5AC9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right="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（2）具有良好的商业信誉和健全的财务会计制度；</w:t>
            </w:r>
          </w:p>
          <w:p w14:paraId="1439635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right="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（3）具有履行合同所必需的设备和专业技术能力；</w:t>
            </w:r>
          </w:p>
          <w:p w14:paraId="647A05B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right="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（4）具有依法缴纳税收和社会保障资金的良好记录；</w:t>
            </w:r>
          </w:p>
          <w:p w14:paraId="79DAC71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right="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（5）参加采购活动前三年内，在经营活动中没有重大违法记录；</w:t>
            </w:r>
          </w:p>
          <w:p w14:paraId="7910D88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right="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（6）法律、行政法规规定的其他条件；</w:t>
            </w:r>
          </w:p>
          <w:p w14:paraId="56D93F8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right="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（7）未被“信用中国”（www.creditchina.gov.cn）、中国政府采购网（www.ccgp.gov.cn）列入失信被执行人、重大税收违法案件当事人名单、政府采购严重违法失信行为记录名单；</w:t>
            </w:r>
          </w:p>
          <w:p w14:paraId="6CF9E0F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right="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2、本项目的特定资格要求：具有经营财产损失保险范围的经营保险业务许可证。</w:t>
            </w:r>
          </w:p>
        </w:tc>
      </w:tr>
      <w:tr w14:paraId="61F1C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5C6C111C">
            <w:pPr>
              <w:pStyle w:val="8"/>
              <w:spacing w:line="240" w:lineRule="auto"/>
              <w:jc w:val="center"/>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6</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465A5260">
            <w:pPr>
              <w:pStyle w:val="8"/>
              <w:spacing w:line="240" w:lineRule="auto"/>
              <w:jc w:val="center"/>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是否接受联合体投标</w:t>
            </w:r>
          </w:p>
        </w:tc>
        <w:tc>
          <w:tcPr>
            <w:tcW w:w="7769" w:type="dxa"/>
            <w:tcBorders>
              <w:top w:val="single" w:color="auto" w:sz="4" w:space="0"/>
              <w:left w:val="single" w:color="auto" w:sz="4" w:space="0"/>
              <w:bottom w:val="single" w:color="auto" w:sz="4" w:space="0"/>
              <w:right w:val="single" w:color="auto" w:sz="4" w:space="0"/>
            </w:tcBorders>
            <w:noWrap w:val="0"/>
            <w:vAlign w:val="center"/>
          </w:tcPr>
          <w:p w14:paraId="3187ED8A">
            <w:pPr>
              <w:pStyle w:val="8"/>
              <w:spacing w:line="240" w:lineRule="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fldChar w:fldCharType="begin"/>
            </w:r>
            <w:r>
              <w:rPr>
                <w:rFonts w:hint="eastAsia" w:ascii="宋体" w:hAnsi="宋体" w:eastAsia="宋体" w:cs="宋体"/>
                <w:color w:val="auto"/>
                <w:kern w:val="2"/>
                <w:szCs w:val="24"/>
                <w:highlight w:val="none"/>
                <w:lang w:val="en-US" w:eastAsia="zh-CN"/>
              </w:rPr>
              <w:instrText xml:space="preserve"> eq \o\ac(□,√)</w:instrText>
            </w:r>
            <w:r>
              <w:rPr>
                <w:rFonts w:hint="eastAsia" w:ascii="宋体" w:hAnsi="宋体" w:eastAsia="宋体" w:cs="宋体"/>
                <w:color w:val="auto"/>
                <w:kern w:val="2"/>
                <w:szCs w:val="24"/>
                <w:highlight w:val="none"/>
                <w:lang w:val="en-US" w:eastAsia="zh-CN"/>
              </w:rPr>
              <w:fldChar w:fldCharType="end"/>
            </w:r>
            <w:r>
              <w:rPr>
                <w:rFonts w:hint="eastAsia" w:ascii="宋体" w:hAnsi="宋体" w:eastAsia="宋体" w:cs="宋体"/>
                <w:color w:val="auto"/>
                <w:kern w:val="2"/>
                <w:szCs w:val="24"/>
                <w:highlight w:val="none"/>
                <w:lang w:val="en-US" w:eastAsia="zh-CN"/>
              </w:rPr>
              <w:t>不接受。</w:t>
            </w:r>
          </w:p>
        </w:tc>
      </w:tr>
      <w:tr w14:paraId="0924C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B724CC">
            <w:pPr>
              <w:pStyle w:val="8"/>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Cs w:val="24"/>
                <w:highlight w:val="none"/>
                <w:lang w:val="en-US" w:eastAsia="zh-CN"/>
              </w:rPr>
              <w:t>7</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3CDB5D">
            <w:pPr>
              <w:pStyle w:val="8"/>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color w:val="auto"/>
                <w:kern w:val="2"/>
                <w:szCs w:val="24"/>
                <w:highlight w:val="none"/>
                <w:lang w:val="en-US" w:eastAsia="zh-CN"/>
              </w:rPr>
              <w:t>入围</w:t>
            </w:r>
            <w:r>
              <w:rPr>
                <w:rFonts w:hint="eastAsia" w:ascii="宋体" w:hAnsi="宋体" w:eastAsia="宋体" w:cs="宋体"/>
                <w:color w:val="auto"/>
                <w:kern w:val="2"/>
                <w:szCs w:val="24"/>
                <w:highlight w:val="none"/>
                <w:lang w:val="en-US" w:eastAsia="zh-CN"/>
              </w:rPr>
              <w:t>方法</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FA00A2">
            <w:pPr>
              <w:spacing w:line="24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1、本项目第一阶段入围供应商的评审方法为</w:t>
            </w:r>
            <w:r>
              <w:rPr>
                <w:rFonts w:hint="eastAsia" w:ascii="宋体" w:hAnsi="宋体" w:eastAsia="宋体" w:cs="宋体"/>
                <w:b/>
                <w:bCs/>
                <w:color w:val="auto"/>
                <w:kern w:val="0"/>
                <w:sz w:val="24"/>
                <w:highlight w:val="none"/>
                <w:u w:val="single"/>
                <w:lang w:val="en-US" w:eastAsia="zh-CN"/>
              </w:rPr>
              <w:t>质量优先法</w:t>
            </w:r>
            <w:r>
              <w:rPr>
                <w:rFonts w:hint="eastAsia" w:ascii="宋体" w:hAnsi="宋体" w:eastAsia="宋体" w:cs="宋体"/>
                <w:b/>
                <w:bCs/>
                <w:color w:val="auto"/>
                <w:kern w:val="0"/>
                <w:sz w:val="24"/>
                <w:highlight w:val="none"/>
                <w:lang w:val="en-US" w:eastAsia="zh-CN"/>
              </w:rPr>
              <w:t>，确定第二阶段成交供应商的方式为</w:t>
            </w:r>
            <w:r>
              <w:rPr>
                <w:rFonts w:hint="eastAsia" w:ascii="宋体" w:hAnsi="宋体" w:eastAsia="宋体" w:cs="宋体"/>
                <w:b/>
                <w:bCs/>
                <w:color w:val="auto"/>
                <w:kern w:val="0"/>
                <w:sz w:val="24"/>
                <w:highlight w:val="none"/>
                <w:u w:val="single"/>
                <w:lang w:val="en-US" w:eastAsia="zh-CN"/>
              </w:rPr>
              <w:t>直接选定</w:t>
            </w:r>
            <w:r>
              <w:rPr>
                <w:rFonts w:hint="eastAsia" w:ascii="宋体" w:hAnsi="宋体" w:eastAsia="宋体" w:cs="宋体"/>
                <w:b/>
                <w:bCs/>
                <w:color w:val="auto"/>
                <w:kern w:val="0"/>
                <w:sz w:val="24"/>
                <w:highlight w:val="none"/>
                <w:lang w:val="en-US" w:eastAsia="zh-CN"/>
              </w:rPr>
              <w:t>或</w:t>
            </w:r>
            <w:r>
              <w:rPr>
                <w:rFonts w:hint="eastAsia" w:ascii="宋体" w:hAnsi="宋体" w:eastAsia="宋体" w:cs="宋体"/>
                <w:b/>
                <w:bCs/>
                <w:color w:val="auto"/>
                <w:kern w:val="0"/>
                <w:sz w:val="24"/>
                <w:highlight w:val="none"/>
                <w:u w:val="single"/>
                <w:lang w:val="en-US" w:eastAsia="zh-CN"/>
              </w:rPr>
              <w:t>二次竞价</w:t>
            </w:r>
            <w:r>
              <w:rPr>
                <w:rFonts w:hint="eastAsia" w:ascii="宋体" w:hAnsi="宋体" w:eastAsia="宋体" w:cs="宋体"/>
                <w:b/>
                <w:bCs/>
                <w:color w:val="auto"/>
                <w:kern w:val="0"/>
                <w:sz w:val="24"/>
                <w:highlight w:val="none"/>
                <w:lang w:val="en-US" w:eastAsia="zh-CN"/>
              </w:rPr>
              <w:t>或</w:t>
            </w:r>
            <w:r>
              <w:rPr>
                <w:rFonts w:hint="eastAsia" w:ascii="宋体" w:hAnsi="宋体" w:eastAsia="宋体" w:cs="宋体"/>
                <w:b/>
                <w:bCs/>
                <w:color w:val="auto"/>
                <w:kern w:val="0"/>
                <w:sz w:val="24"/>
                <w:highlight w:val="none"/>
                <w:u w:val="single"/>
                <w:lang w:val="en-US" w:eastAsia="zh-CN"/>
              </w:rPr>
              <w:t>随机抽签</w:t>
            </w:r>
            <w:r>
              <w:rPr>
                <w:rFonts w:hint="eastAsia" w:ascii="宋体" w:hAnsi="宋体" w:eastAsia="宋体" w:cs="宋体"/>
                <w:b/>
                <w:bCs/>
                <w:color w:val="auto"/>
                <w:kern w:val="0"/>
                <w:sz w:val="24"/>
                <w:highlight w:val="none"/>
                <w:lang w:val="en-US" w:eastAsia="zh-CN"/>
              </w:rPr>
              <w:t>。具体入围后按采购人要求为准。</w:t>
            </w:r>
            <w:r>
              <w:rPr>
                <w:rFonts w:hint="eastAsia" w:ascii="宋体" w:hAnsi="宋体" w:eastAsia="宋体" w:cs="宋体"/>
                <w:color w:val="auto"/>
                <w:kern w:val="0"/>
                <w:sz w:val="24"/>
                <w:highlight w:val="none"/>
                <w:lang w:val="en-US" w:eastAsia="zh-CN"/>
              </w:rPr>
              <w:t xml:space="preserve">质量优先法是指对满足采购需求且响应报价不超过最高限制单价的货物、服务进行质量综合评分，按照质量评分从高到低排序，根据征集文件规定的淘汰率或者入围供应商数量上限，确定入围供应商的评审方法。 </w:t>
            </w:r>
          </w:p>
          <w:p w14:paraId="68DA86FF">
            <w:pPr>
              <w:spacing w:line="240" w:lineRule="auto"/>
              <w:rPr>
                <w:rFonts w:hint="default"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b/>
                <w:bCs/>
                <w:color w:val="auto"/>
                <w:kern w:val="0"/>
                <w:sz w:val="24"/>
                <w:highlight w:val="none"/>
                <w:lang w:val="en-US" w:eastAsia="zh-CN"/>
              </w:rPr>
              <w:t>直接选定</w:t>
            </w:r>
            <w:r>
              <w:rPr>
                <w:rFonts w:hint="eastAsia" w:ascii="宋体" w:hAnsi="宋体" w:eastAsia="宋体" w:cs="宋体"/>
                <w:b w:val="0"/>
                <w:bCs w:val="0"/>
                <w:color w:val="auto"/>
                <w:kern w:val="0"/>
                <w:sz w:val="24"/>
                <w:highlight w:val="none"/>
                <w:lang w:val="en-US" w:eastAsia="zh-CN"/>
              </w:rPr>
              <w:t>方式是指政策性强、技术要求高、时间紧等项目，经签审同意后可直接选定第二阶段成交供应商。</w:t>
            </w:r>
            <w:r>
              <w:rPr>
                <w:rFonts w:hint="eastAsia" w:ascii="宋体" w:hAnsi="宋体" w:eastAsia="宋体" w:cs="宋体"/>
                <w:b/>
                <w:bCs/>
                <w:color w:val="auto"/>
                <w:kern w:val="0"/>
                <w:sz w:val="24"/>
                <w:highlight w:val="none"/>
                <w:lang w:val="en-US" w:eastAsia="zh-CN"/>
              </w:rPr>
              <w:t>二次竞价</w:t>
            </w:r>
            <w:r>
              <w:rPr>
                <w:rFonts w:hint="eastAsia" w:ascii="宋体" w:hAnsi="宋体" w:eastAsia="宋体" w:cs="宋体"/>
                <w:b w:val="0"/>
                <w:bCs w:val="0"/>
                <w:color w:val="auto"/>
                <w:kern w:val="0"/>
                <w:sz w:val="24"/>
                <w:highlight w:val="none"/>
                <w:lang w:val="en-US" w:eastAsia="zh-CN"/>
              </w:rPr>
              <w:t>方式是指由甲方或甲方各下属子公司事先确定需求标准，在第一阶段成交供应商承诺的折扣率基础上进行二次竞价。</w:t>
            </w:r>
            <w:r>
              <w:rPr>
                <w:rFonts w:hint="eastAsia" w:ascii="宋体" w:hAnsi="宋体" w:eastAsia="宋体" w:cs="宋体"/>
                <w:b/>
                <w:bCs/>
                <w:color w:val="auto"/>
                <w:kern w:val="0"/>
                <w:sz w:val="24"/>
                <w:highlight w:val="none"/>
                <w:lang w:val="en-US" w:eastAsia="zh-CN"/>
              </w:rPr>
              <w:t>随机抽签</w:t>
            </w:r>
            <w:r>
              <w:rPr>
                <w:rFonts w:hint="eastAsia" w:ascii="宋体" w:hAnsi="宋体" w:eastAsia="宋体" w:cs="宋体"/>
                <w:b w:val="0"/>
                <w:bCs w:val="0"/>
                <w:color w:val="auto"/>
                <w:kern w:val="0"/>
                <w:sz w:val="24"/>
                <w:highlight w:val="none"/>
                <w:lang w:val="en-US" w:eastAsia="zh-CN"/>
              </w:rPr>
              <w:t>方式是指由甲方或甲方各下属子公司事先确定需求标准，以抽签或摇号的方式随机产生第二阶段成交供应商。</w:t>
            </w:r>
          </w:p>
          <w:p w14:paraId="2A6F25E1">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3、评标委员会按评审后汇总得分由高到低顺序排列。汇总得分相同的，按第三章评分办法执行</w:t>
            </w:r>
            <w:r>
              <w:rPr>
                <w:rFonts w:hint="eastAsia" w:ascii="宋体" w:hAnsi="宋体" w:cs="宋体"/>
                <w:color w:val="auto"/>
                <w:kern w:val="0"/>
                <w:sz w:val="24"/>
                <w:highlight w:val="none"/>
                <w:lang w:val="en-US" w:eastAsia="zh-CN"/>
              </w:rPr>
              <w:t>。</w:t>
            </w:r>
          </w:p>
          <w:p w14:paraId="5B408941">
            <w:pPr>
              <w:pStyle w:val="8"/>
              <w:spacing w:line="240" w:lineRule="auto"/>
              <w:ind w:right="-107" w:rightChars="-5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val="en-US" w:eastAsia="zh-CN"/>
              </w:rPr>
              <w:t>4、</w:t>
            </w:r>
            <w:r>
              <w:rPr>
                <w:rFonts w:hint="eastAsia" w:ascii="宋体" w:hAnsi="宋体" w:eastAsia="宋体" w:cs="宋体"/>
                <w:b/>
                <w:bCs/>
                <w:color w:val="auto"/>
                <w:kern w:val="0"/>
                <w:sz w:val="24"/>
                <w:highlight w:val="none"/>
                <w:lang w:val="en-US" w:eastAsia="zh-CN"/>
              </w:rPr>
              <w:t>本项目给定了入围供应商的数量</w:t>
            </w:r>
            <w:r>
              <w:rPr>
                <w:rFonts w:hint="eastAsia" w:ascii="宋体" w:hAnsi="宋体" w:eastAsia="宋体" w:cs="宋体"/>
                <w:color w:val="auto"/>
                <w:kern w:val="0"/>
                <w:sz w:val="24"/>
                <w:highlight w:val="none"/>
                <w:lang w:val="en-US" w:eastAsia="zh-CN"/>
              </w:rPr>
              <w:t xml:space="preserve">，评标委员会按照征集文件中规定的各项因素进行综合评审后，以评标总得分高低的顺序依次确定入围服务供应商。 </w:t>
            </w:r>
          </w:p>
        </w:tc>
      </w:tr>
      <w:tr w14:paraId="0BDA3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55C48A">
            <w:pPr>
              <w:pStyle w:val="8"/>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Cs w:val="24"/>
                <w:highlight w:val="none"/>
                <w:lang w:val="en-US" w:eastAsia="zh-CN"/>
              </w:rPr>
              <w:t>8</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CBAAA2">
            <w:pPr>
              <w:pStyle w:val="8"/>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Cs w:val="24"/>
                <w:highlight w:val="none"/>
                <w:lang w:val="en-US" w:eastAsia="zh-CN"/>
              </w:rPr>
              <w:t>资格审查</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2AC108">
            <w:pPr>
              <w:snapToGrid w:val="0"/>
              <w:spacing w:line="24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highlight w:val="none"/>
              </w:rPr>
              <w:t>供应商资格采用资格后审方式，依据法律、法规和</w:t>
            </w:r>
            <w:r>
              <w:rPr>
                <w:rFonts w:hint="eastAsia" w:ascii="宋体" w:hAnsi="宋体" w:eastAsia="宋体" w:cs="宋体"/>
                <w:color w:val="auto"/>
                <w:sz w:val="24"/>
                <w:highlight w:val="none"/>
                <w:lang w:eastAsia="zh-CN"/>
              </w:rPr>
              <w:t>征集文件</w:t>
            </w:r>
            <w:r>
              <w:rPr>
                <w:rFonts w:hint="eastAsia" w:ascii="宋体" w:hAnsi="宋体" w:eastAsia="宋体" w:cs="宋体"/>
                <w:color w:val="auto"/>
                <w:sz w:val="24"/>
                <w:highlight w:val="none"/>
              </w:rPr>
              <w:t>规定，采购人或委托采购代理机构对投标人进行资格审查，以确定投标人是否具备投标资格。</w:t>
            </w:r>
          </w:p>
        </w:tc>
      </w:tr>
      <w:tr w14:paraId="3210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8F1E7E">
            <w:pPr>
              <w:pStyle w:val="8"/>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Cs w:val="24"/>
                <w:highlight w:val="none"/>
                <w:lang w:val="en-US" w:eastAsia="zh-CN"/>
              </w:rPr>
              <w:t>9</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515677">
            <w:pPr>
              <w:pStyle w:val="8"/>
              <w:spacing w:line="240" w:lineRule="auto"/>
              <w:jc w:val="center"/>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征集文件的</w:t>
            </w:r>
          </w:p>
          <w:p w14:paraId="1E7AD489">
            <w:pPr>
              <w:pStyle w:val="8"/>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kern w:val="2"/>
                <w:szCs w:val="24"/>
                <w:highlight w:val="none"/>
                <w:lang w:val="en-US" w:eastAsia="zh-CN"/>
              </w:rPr>
              <w:t>获取</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576D82">
            <w:pPr>
              <w:spacing w:line="24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详见征集公告</w:t>
            </w:r>
          </w:p>
        </w:tc>
      </w:tr>
      <w:tr w14:paraId="71263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right w:val="single" w:color="auto" w:sz="4" w:space="0"/>
            </w:tcBorders>
            <w:shd w:val="clear" w:color="auto" w:fill="auto"/>
            <w:noWrap w:val="0"/>
            <w:vAlign w:val="center"/>
          </w:tcPr>
          <w:p w14:paraId="7B4E2E7A">
            <w:pPr>
              <w:pStyle w:val="8"/>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Cs w:val="24"/>
                <w:highlight w:val="none"/>
                <w:lang w:val="en-US" w:eastAsia="zh-CN"/>
              </w:rPr>
              <w:t>10</w:t>
            </w:r>
          </w:p>
        </w:tc>
        <w:tc>
          <w:tcPr>
            <w:tcW w:w="1542" w:type="dxa"/>
            <w:tcBorders>
              <w:top w:val="single" w:color="auto" w:sz="4" w:space="0"/>
              <w:left w:val="single" w:color="auto" w:sz="4" w:space="0"/>
              <w:right w:val="single" w:color="auto" w:sz="4" w:space="0"/>
            </w:tcBorders>
            <w:shd w:val="clear" w:color="auto" w:fill="auto"/>
            <w:noWrap w:val="0"/>
            <w:vAlign w:val="center"/>
          </w:tcPr>
          <w:p w14:paraId="4A01E645">
            <w:pPr>
              <w:pStyle w:val="8"/>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Cs w:val="24"/>
                <w:highlight w:val="none"/>
                <w:lang w:val="en-US" w:eastAsia="zh-CN"/>
              </w:rPr>
              <w:t>投标</w:t>
            </w:r>
            <w:r>
              <w:rPr>
                <w:rFonts w:hint="eastAsia" w:ascii="宋体" w:hAnsi="宋体" w:eastAsia="宋体" w:cs="宋体"/>
                <w:color w:val="auto"/>
                <w:kern w:val="2"/>
                <w:szCs w:val="24"/>
                <w:highlight w:val="none"/>
                <w:lang w:val="en-US" w:eastAsia="zh-CN"/>
              </w:rPr>
              <w:t>保证金</w:t>
            </w:r>
          </w:p>
        </w:tc>
        <w:tc>
          <w:tcPr>
            <w:tcW w:w="7769" w:type="dxa"/>
            <w:tcBorders>
              <w:top w:val="single" w:color="auto" w:sz="4" w:space="0"/>
              <w:left w:val="single" w:color="auto" w:sz="4" w:space="0"/>
              <w:right w:val="single" w:color="auto" w:sz="4" w:space="0"/>
            </w:tcBorders>
            <w:shd w:val="clear" w:color="auto" w:fill="auto"/>
            <w:noWrap w:val="0"/>
            <w:vAlign w:val="center"/>
          </w:tcPr>
          <w:p w14:paraId="56352B22">
            <w:pPr>
              <w:snapToGrid w:val="0"/>
              <w:spacing w:line="24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highlight w:val="none"/>
                <w:lang w:val="en-US" w:eastAsia="zh-CN"/>
              </w:rPr>
              <w:t>本项目不收取</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lang w:val="en-US" w:eastAsia="zh-CN"/>
              </w:rPr>
              <w:t>保证金。</w:t>
            </w:r>
          </w:p>
        </w:tc>
      </w:tr>
      <w:tr w14:paraId="4FB25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D2AD20">
            <w:pPr>
              <w:pStyle w:val="8"/>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Cs w:val="24"/>
                <w:highlight w:val="none"/>
                <w:lang w:val="en-US" w:eastAsia="zh-CN"/>
              </w:rPr>
              <w:t>11</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5ED791">
            <w:pPr>
              <w:pStyle w:val="8"/>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Cs w:val="24"/>
                <w:highlight w:val="none"/>
                <w:lang w:val="en-US" w:eastAsia="zh-CN"/>
              </w:rPr>
              <w:t>资格文件</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5A6322">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（1）营业执照</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（加盖单位公章）；</w:t>
            </w:r>
          </w:p>
          <w:p w14:paraId="4C0A6435">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（2）法定代表人授权委托书（法定代表人</w:t>
            </w:r>
            <w:r>
              <w:rPr>
                <w:rFonts w:hint="eastAsia" w:ascii="宋体" w:hAnsi="宋体" w:eastAsia="宋体" w:cs="宋体"/>
                <w:color w:val="auto"/>
                <w:sz w:val="24"/>
                <w:szCs w:val="24"/>
                <w:highlight w:val="none"/>
                <w:lang w:val="en-US" w:eastAsia="zh-CN"/>
              </w:rPr>
              <w:t>亲自参加投标的仅需</w:t>
            </w:r>
            <w:r>
              <w:rPr>
                <w:rFonts w:hint="eastAsia" w:ascii="宋体" w:hAnsi="宋体" w:eastAsia="宋体" w:cs="宋体"/>
                <w:color w:val="auto"/>
                <w:sz w:val="24"/>
                <w:szCs w:val="24"/>
                <w:highlight w:val="none"/>
              </w:rPr>
              <w:t>提供身份证</w:t>
            </w:r>
            <w:r>
              <w:rPr>
                <w:rFonts w:hint="eastAsia" w:ascii="宋体" w:hAnsi="宋体" w:eastAsia="宋体" w:cs="宋体"/>
                <w:color w:val="auto"/>
                <w:sz w:val="24"/>
                <w:szCs w:val="24"/>
                <w:highlight w:val="none"/>
                <w:lang w:val="en-US" w:eastAsia="zh-CN"/>
              </w:rPr>
              <w:t>正反面扫描件并</w:t>
            </w:r>
            <w:r>
              <w:rPr>
                <w:rFonts w:hint="eastAsia" w:ascii="宋体" w:hAnsi="宋体" w:eastAsia="宋体" w:cs="宋体"/>
                <w:color w:val="auto"/>
                <w:sz w:val="24"/>
                <w:szCs w:val="24"/>
                <w:highlight w:val="none"/>
              </w:rPr>
              <w:t>加盖单位公章，格式见附件)；</w:t>
            </w:r>
          </w:p>
          <w:p w14:paraId="223E57BF">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（3）提供自招标公告发布之日起至投标截止日内任意时间的“信用中国”网站（www.creditchina.gov.cn）、中国政府采购网（www.ccgp.gov.cn）投标人信用查询网页截图（加盖单位公章）；</w:t>
            </w:r>
          </w:p>
          <w:p w14:paraId="0CEC4C33">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（4）近三个月</w:t>
            </w:r>
            <w:r>
              <w:rPr>
                <w:rFonts w:hint="eastAsia" w:ascii="宋体" w:hAnsi="宋体" w:eastAsia="宋体" w:cs="宋体"/>
                <w:color w:val="auto"/>
                <w:sz w:val="24"/>
                <w:szCs w:val="24"/>
                <w:highlight w:val="none"/>
                <w:lang w:val="en-US" w:eastAsia="zh-CN"/>
              </w:rPr>
              <w:t>由投标人为其授权委托人缴纳的社保证明材料</w:t>
            </w:r>
            <w:r>
              <w:rPr>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法定代表人投标的只需要提供身份证复印件（加盖单位公章）；</w:t>
            </w:r>
          </w:p>
          <w:p w14:paraId="45854849">
            <w:pPr>
              <w:snapToGrid w:val="0"/>
              <w:spacing w:line="240" w:lineRule="auto"/>
              <w:jc w:val="left"/>
              <w:rPr>
                <w:rFonts w:hint="default" w:eastAsia="宋体"/>
                <w:color w:val="auto"/>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本项目特定资格要求：提供</w:t>
            </w:r>
            <w:r>
              <w:rPr>
                <w:rFonts w:hint="eastAsia" w:ascii="宋体" w:hAnsi="宋体" w:eastAsia="宋体" w:cs="宋体"/>
                <w:color w:val="auto"/>
                <w:sz w:val="24"/>
                <w:szCs w:val="24"/>
                <w:highlight w:val="none"/>
                <w:lang w:val="en-US" w:eastAsia="zh-CN" w:bidi="ar-SA"/>
              </w:rPr>
              <w:t>具有经营财产损失保险范围的经营保险业务许可证扫描件。</w:t>
            </w:r>
          </w:p>
        </w:tc>
      </w:tr>
      <w:tr w14:paraId="10A46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0F2F0A">
            <w:pPr>
              <w:pStyle w:val="8"/>
              <w:spacing w:line="24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Cs w:val="24"/>
                <w:highlight w:val="none"/>
                <w:lang w:val="en-US" w:eastAsia="zh-CN"/>
              </w:rPr>
              <w:t>1</w:t>
            </w:r>
            <w:r>
              <w:rPr>
                <w:rFonts w:hint="eastAsia" w:ascii="宋体" w:hAnsi="宋体" w:cs="宋体"/>
                <w:b/>
                <w:color w:val="auto"/>
                <w:kern w:val="2"/>
                <w:szCs w:val="24"/>
                <w:highlight w:val="none"/>
                <w:lang w:val="en-US" w:eastAsia="zh-CN"/>
              </w:rPr>
              <w:t>2</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C8437D">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w:t>
            </w:r>
          </w:p>
          <w:p w14:paraId="247C214E">
            <w:pPr>
              <w:snapToGrid w:val="0"/>
              <w:spacing w:line="240"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4"/>
                <w:highlight w:val="none"/>
              </w:rPr>
              <w:t>文件</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508024">
            <w:pPr>
              <w:pStyle w:val="8"/>
              <w:keepNext w:val="0"/>
              <w:keepLines w:val="0"/>
              <w:pageBreakBefore w:val="0"/>
              <w:shd w:val="clear"/>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（1）投标函（格式见附件）；</w:t>
            </w:r>
          </w:p>
          <w:p w14:paraId="06203578">
            <w:pPr>
              <w:pStyle w:val="8"/>
              <w:keepNext w:val="0"/>
              <w:keepLines w:val="0"/>
              <w:pageBreakBefore w:val="0"/>
              <w:shd w:val="clear"/>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（2）投标人情况介绍；</w:t>
            </w:r>
          </w:p>
          <w:p w14:paraId="7428408A">
            <w:pPr>
              <w:pStyle w:val="8"/>
              <w:keepNext w:val="0"/>
              <w:keepLines w:val="0"/>
              <w:pageBreakBefore w:val="0"/>
              <w:shd w:val="clear"/>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）相关资质证明或文件（如有要求，加盖单位公章）；</w:t>
            </w:r>
          </w:p>
          <w:p w14:paraId="692C1EE9">
            <w:pPr>
              <w:pStyle w:val="8"/>
              <w:keepNext w:val="0"/>
              <w:keepLines w:val="0"/>
              <w:pageBreakBefore w:val="0"/>
              <w:shd w:val="clear"/>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）对本项目总体要求的理解（如有）；</w:t>
            </w:r>
          </w:p>
          <w:p w14:paraId="2FDBEB16">
            <w:pPr>
              <w:pStyle w:val="8"/>
              <w:keepNext w:val="0"/>
              <w:keepLines w:val="0"/>
              <w:pageBreakBefore w:val="0"/>
              <w:shd w:val="clear"/>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）技术偏离表（格式见附件）；</w:t>
            </w:r>
          </w:p>
          <w:p w14:paraId="4B330926">
            <w:pPr>
              <w:pStyle w:val="8"/>
              <w:keepNext w:val="0"/>
              <w:keepLines w:val="0"/>
              <w:pageBreakBefore w:val="0"/>
              <w:shd w:val="clear"/>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）投标人响应本项目评分标准的商务技术资料（按商务技术评分细则的顺序提供评分标准中相对应的商务技术资料）；</w:t>
            </w:r>
          </w:p>
          <w:p w14:paraId="684BF545">
            <w:pPr>
              <w:pStyle w:val="8"/>
              <w:keepNext w:val="0"/>
              <w:keepLines w:val="0"/>
              <w:pageBreakBefore w:val="0"/>
              <w:shd w:val="clear"/>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征集文件</w:t>
            </w:r>
            <w:r>
              <w:rPr>
                <w:rFonts w:hint="eastAsia" w:ascii="宋体" w:hAnsi="宋体" w:eastAsia="宋体" w:cs="宋体"/>
                <w:color w:val="auto"/>
                <w:sz w:val="24"/>
                <w:szCs w:val="24"/>
                <w:highlight w:val="none"/>
              </w:rPr>
              <w:t>标明的影响投标人资格的其他证明文件（如有）；</w:t>
            </w:r>
          </w:p>
          <w:p w14:paraId="3B0F34E6">
            <w:pPr>
              <w:pStyle w:val="8"/>
              <w:keepNext w:val="0"/>
              <w:keepLines w:val="0"/>
              <w:pageBreakBefore w:val="0"/>
              <w:shd w:val="clear"/>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征集文件</w:t>
            </w:r>
            <w:r>
              <w:rPr>
                <w:rFonts w:hint="eastAsia" w:ascii="宋体" w:hAnsi="宋体" w:eastAsia="宋体" w:cs="宋体"/>
                <w:color w:val="auto"/>
                <w:sz w:val="24"/>
                <w:szCs w:val="24"/>
                <w:highlight w:val="none"/>
              </w:rPr>
              <w:t>要求提供的或投标人需要说明的其他资料（如有）。</w:t>
            </w:r>
          </w:p>
          <w:p w14:paraId="6DE88A6A">
            <w:pPr>
              <w:pStyle w:val="8"/>
              <w:spacing w:line="240" w:lineRule="auto"/>
              <w:ind w:firstLine="482" w:firstLineChars="200"/>
              <w:rPr>
                <w:rFonts w:hint="eastAsia" w:ascii="Times New Roman" w:hAnsi="Times New Roman" w:eastAsia="宋体" w:cs="Times New Roman"/>
                <w:color w:val="auto"/>
                <w:kern w:val="2"/>
                <w:sz w:val="24"/>
                <w:szCs w:val="21"/>
                <w:highlight w:val="none"/>
                <w:lang w:val="en-US" w:eastAsia="zh-CN" w:bidi="ar-SA"/>
              </w:rPr>
            </w:pPr>
            <w:r>
              <w:rPr>
                <w:rFonts w:hint="eastAsia" w:ascii="宋体" w:hAnsi="宋体" w:eastAsia="宋体" w:cs="宋体"/>
                <w:b/>
                <w:bCs/>
                <w:color w:val="auto"/>
                <w:sz w:val="24"/>
                <w:szCs w:val="24"/>
                <w:highlight w:val="none"/>
              </w:rPr>
              <w:t>投标人在“商务技术文件”中应对</w:t>
            </w:r>
            <w:r>
              <w:rPr>
                <w:rFonts w:hint="eastAsia" w:ascii="宋体" w:hAnsi="宋体" w:eastAsia="宋体" w:cs="宋体"/>
                <w:b/>
                <w:bCs/>
                <w:color w:val="auto"/>
                <w:sz w:val="24"/>
                <w:szCs w:val="24"/>
                <w:highlight w:val="none"/>
                <w:lang w:eastAsia="zh-CN"/>
              </w:rPr>
              <w:t>征集文件</w:t>
            </w:r>
            <w:r>
              <w:rPr>
                <w:rFonts w:hint="eastAsia" w:ascii="宋体" w:hAnsi="宋体" w:eastAsia="宋体" w:cs="宋体"/>
                <w:b/>
                <w:bCs/>
                <w:color w:val="auto"/>
                <w:sz w:val="24"/>
                <w:szCs w:val="24"/>
                <w:highlight w:val="none"/>
              </w:rPr>
              <w:t>做实质性响应，不能在“商务技术文件”中实质性响应</w:t>
            </w:r>
            <w:r>
              <w:rPr>
                <w:rFonts w:hint="eastAsia" w:ascii="宋体" w:hAnsi="宋体" w:eastAsia="宋体" w:cs="宋体"/>
                <w:b/>
                <w:bCs/>
                <w:color w:val="auto"/>
                <w:sz w:val="24"/>
                <w:szCs w:val="24"/>
                <w:highlight w:val="none"/>
                <w:lang w:eastAsia="zh-CN"/>
              </w:rPr>
              <w:t>征集文件</w:t>
            </w:r>
            <w:r>
              <w:rPr>
                <w:rFonts w:hint="eastAsia" w:ascii="宋体" w:hAnsi="宋体" w:eastAsia="宋体" w:cs="宋体"/>
                <w:b/>
                <w:bCs/>
                <w:color w:val="auto"/>
                <w:sz w:val="24"/>
                <w:szCs w:val="24"/>
                <w:highlight w:val="none"/>
              </w:rPr>
              <w:t>要求的将作无效标处理。</w:t>
            </w:r>
          </w:p>
        </w:tc>
      </w:tr>
      <w:tr w14:paraId="0A96C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8BFC68">
            <w:pPr>
              <w:pStyle w:val="8"/>
              <w:spacing w:line="24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cs="宋体"/>
                <w:b/>
                <w:color w:val="auto"/>
                <w:kern w:val="2"/>
                <w:szCs w:val="24"/>
                <w:highlight w:val="none"/>
                <w:lang w:val="en-US" w:eastAsia="zh-CN"/>
              </w:rPr>
              <w:t>13</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C21A8E">
            <w:pPr>
              <w:pStyle w:val="8"/>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Cs w:val="24"/>
                <w:highlight w:val="none"/>
                <w:lang w:val="en-US" w:eastAsia="zh-CN"/>
              </w:rPr>
              <w:t>报价文件</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C0226A">
            <w:pPr>
              <w:tabs>
                <w:tab w:val="left" w:pos="3870"/>
                <w:tab w:val="left" w:pos="4085"/>
              </w:tabs>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）开标一览表（格式见附件）；</w:t>
            </w:r>
          </w:p>
          <w:p w14:paraId="37115D63">
            <w:pPr>
              <w:tabs>
                <w:tab w:val="left" w:pos="3870"/>
                <w:tab w:val="left" w:pos="4085"/>
              </w:tabs>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）投标承诺书（格式见附件）；</w:t>
            </w:r>
          </w:p>
          <w:p w14:paraId="041A036D">
            <w:pPr>
              <w:tabs>
                <w:tab w:val="left" w:pos="3870"/>
                <w:tab w:val="left" w:pos="4085"/>
              </w:tabs>
              <w:snapToGrid w:val="0"/>
              <w:spacing w:line="240" w:lineRule="auto"/>
              <w:jc w:val="left"/>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b/>
                <w:bCs/>
                <w:color w:val="auto"/>
                <w:sz w:val="24"/>
                <w:szCs w:val="24"/>
                <w:highlight w:val="none"/>
              </w:rPr>
              <w:t>注：开标一览表</w:t>
            </w:r>
            <w:r>
              <w:rPr>
                <w:rFonts w:hint="eastAsia" w:ascii="宋体" w:hAnsi="宋体" w:cs="宋体"/>
                <w:b/>
                <w:bCs/>
                <w:color w:val="auto"/>
                <w:sz w:val="24"/>
                <w:szCs w:val="24"/>
                <w:highlight w:val="none"/>
                <w:lang w:val="en-US" w:eastAsia="zh-CN"/>
              </w:rPr>
              <w:t>及投标承诺书</w:t>
            </w:r>
            <w:r>
              <w:rPr>
                <w:rFonts w:hint="eastAsia" w:ascii="宋体" w:hAnsi="宋体" w:eastAsia="宋体" w:cs="宋体"/>
                <w:b/>
                <w:bCs/>
                <w:color w:val="auto"/>
                <w:sz w:val="24"/>
                <w:szCs w:val="24"/>
                <w:highlight w:val="none"/>
              </w:rPr>
              <w:t>必须加盖单位公章</w:t>
            </w:r>
          </w:p>
        </w:tc>
      </w:tr>
      <w:tr w14:paraId="49903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EB6518">
            <w:pPr>
              <w:pStyle w:val="8"/>
              <w:spacing w:line="24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Cs w:val="24"/>
                <w:highlight w:val="none"/>
                <w:lang w:val="en-US" w:eastAsia="zh-CN"/>
              </w:rPr>
              <w:t>1</w:t>
            </w:r>
            <w:r>
              <w:rPr>
                <w:rFonts w:hint="eastAsia" w:ascii="宋体" w:hAnsi="宋体" w:cs="宋体"/>
                <w:b/>
                <w:color w:val="auto"/>
                <w:kern w:val="2"/>
                <w:szCs w:val="24"/>
                <w:highlight w:val="none"/>
                <w:lang w:val="en-US" w:eastAsia="zh-CN"/>
              </w:rPr>
              <w:t>4</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008608">
            <w:pPr>
              <w:pStyle w:val="8"/>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Cs w:val="24"/>
                <w:highlight w:val="none"/>
                <w:lang w:val="en-US" w:eastAsia="zh-CN"/>
              </w:rPr>
              <w:t>现场演示</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823ECF">
            <w:pPr>
              <w:tabs>
                <w:tab w:val="left" w:pos="3870"/>
                <w:tab w:val="left" w:pos="4085"/>
              </w:tabs>
              <w:snapToGrid w:val="0"/>
              <w:spacing w:line="240" w:lineRule="auto"/>
              <w:jc w:val="left"/>
              <w:rPr>
                <w:rFonts w:hint="eastAsia" w:ascii="宋体" w:hAnsi="宋体" w:eastAsia="宋体" w:cs="宋体"/>
                <w:b/>
                <w:color w:val="auto"/>
                <w:sz w:val="24"/>
                <w:szCs w:val="24"/>
                <w:highlight w:val="none"/>
                <w:lang w:val="en-US" w:eastAsia="zh-CN" w:bidi="ar-SA"/>
              </w:rPr>
            </w:pPr>
            <w:r>
              <w:rPr>
                <w:rFonts w:hint="eastAsia" w:ascii="宋体" w:hAnsi="宋体" w:eastAsia="宋体" w:cs="宋体"/>
                <w:color w:val="auto"/>
                <w:sz w:val="24"/>
                <w:szCs w:val="24"/>
                <w:highlight w:val="none"/>
              </w:rPr>
              <w:t>按征集文件相关要求执行</w:t>
            </w:r>
          </w:p>
        </w:tc>
      </w:tr>
      <w:tr w14:paraId="640C6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57A1D1">
            <w:pPr>
              <w:pStyle w:val="8"/>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Cs w:val="24"/>
                <w:highlight w:val="none"/>
                <w:lang w:val="en-US" w:eastAsia="zh-CN"/>
              </w:rPr>
              <w:t>1</w:t>
            </w:r>
            <w:r>
              <w:rPr>
                <w:rFonts w:hint="eastAsia" w:ascii="宋体" w:hAnsi="宋体" w:cs="宋体"/>
                <w:b/>
                <w:color w:val="auto"/>
                <w:kern w:val="2"/>
                <w:szCs w:val="24"/>
                <w:highlight w:val="none"/>
                <w:lang w:val="en-US" w:eastAsia="zh-CN"/>
              </w:rPr>
              <w:t>5</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1BD5C7">
            <w:pPr>
              <w:pStyle w:val="8"/>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Cs w:val="24"/>
                <w:highlight w:val="none"/>
                <w:lang w:val="en-US" w:eastAsia="zh-CN"/>
              </w:rPr>
              <w:t>样品</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F82101">
            <w:pPr>
              <w:spacing w:line="24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按征集文件相关要求执行</w:t>
            </w:r>
          </w:p>
        </w:tc>
      </w:tr>
      <w:tr w14:paraId="1B08E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6A7C1B">
            <w:pPr>
              <w:pStyle w:val="8"/>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Cs w:val="24"/>
                <w:highlight w:val="none"/>
                <w:lang w:val="en-US" w:eastAsia="zh-CN"/>
              </w:rPr>
              <w:t>1</w:t>
            </w:r>
            <w:r>
              <w:rPr>
                <w:rFonts w:hint="eastAsia" w:ascii="宋体" w:hAnsi="宋体" w:cs="宋体"/>
                <w:b/>
                <w:color w:val="auto"/>
                <w:kern w:val="2"/>
                <w:szCs w:val="24"/>
                <w:highlight w:val="none"/>
                <w:lang w:val="en-US" w:eastAsia="zh-CN"/>
              </w:rPr>
              <w:t>6</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30A627">
            <w:pPr>
              <w:pStyle w:val="8"/>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Cs w:val="24"/>
                <w:highlight w:val="none"/>
                <w:lang w:val="en-US" w:eastAsia="zh-CN"/>
              </w:rPr>
              <w:t>响应有效期</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2566B0">
            <w:pPr>
              <w:pStyle w:val="8"/>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Cs w:val="24"/>
                <w:highlight w:val="none"/>
                <w:lang w:val="en-US" w:eastAsia="zh-CN"/>
              </w:rPr>
              <w:t>自投标截止日起90天。如采购代理机构认为必要，可延长投标有效期。</w:t>
            </w:r>
          </w:p>
        </w:tc>
      </w:tr>
      <w:tr w14:paraId="39609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B2A771">
            <w:pPr>
              <w:pStyle w:val="8"/>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Cs w:val="24"/>
                <w:highlight w:val="none"/>
                <w:lang w:val="en-US" w:eastAsia="zh-CN"/>
              </w:rPr>
              <w:t>1</w:t>
            </w:r>
            <w:r>
              <w:rPr>
                <w:rFonts w:hint="eastAsia" w:ascii="宋体" w:hAnsi="宋体" w:cs="宋体"/>
                <w:b/>
                <w:color w:val="auto"/>
                <w:kern w:val="2"/>
                <w:szCs w:val="24"/>
                <w:highlight w:val="none"/>
                <w:lang w:val="en-US" w:eastAsia="zh-CN"/>
              </w:rPr>
              <w:t>7</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42BDC3">
            <w:pPr>
              <w:pStyle w:val="8"/>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Cs w:val="24"/>
                <w:highlight w:val="none"/>
                <w:lang w:val="en-US" w:eastAsia="zh-CN"/>
              </w:rPr>
              <w:t>签订框架协议时间</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0E6B18">
            <w:pPr>
              <w:pStyle w:val="8"/>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Cs w:val="24"/>
                <w:highlight w:val="none"/>
                <w:lang w:val="en-US" w:eastAsia="zh-CN"/>
              </w:rPr>
              <w:t>中标通知书发出后30日内</w:t>
            </w:r>
          </w:p>
        </w:tc>
      </w:tr>
      <w:tr w14:paraId="6CAE2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140F29">
            <w:pPr>
              <w:pStyle w:val="8"/>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Cs w:val="24"/>
                <w:highlight w:val="none"/>
                <w:lang w:val="en-US" w:eastAsia="zh-CN"/>
              </w:rPr>
              <w:t>1</w:t>
            </w:r>
            <w:r>
              <w:rPr>
                <w:rFonts w:hint="eastAsia" w:ascii="宋体" w:hAnsi="宋体" w:cs="宋体"/>
                <w:b/>
                <w:color w:val="auto"/>
                <w:kern w:val="2"/>
                <w:szCs w:val="24"/>
                <w:highlight w:val="none"/>
                <w:lang w:val="en-US" w:eastAsia="zh-CN"/>
              </w:rPr>
              <w:t>8</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829993">
            <w:pPr>
              <w:pStyle w:val="8"/>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Cs w:val="24"/>
                <w:highlight w:val="none"/>
                <w:lang w:val="en-US" w:eastAsia="zh-CN"/>
              </w:rPr>
              <w:t>转包与分包</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14275D">
            <w:pPr>
              <w:pStyle w:val="8"/>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Cs w:val="24"/>
                <w:highlight w:val="none"/>
                <w:lang w:val="en-US" w:eastAsia="zh-CN"/>
              </w:rPr>
              <w:t>本项目不允许转包和分包</w:t>
            </w:r>
          </w:p>
        </w:tc>
      </w:tr>
      <w:tr w14:paraId="0AC31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03463B">
            <w:pPr>
              <w:pStyle w:val="8"/>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Cs w:val="24"/>
                <w:highlight w:val="none"/>
                <w:lang w:val="en-US" w:eastAsia="zh-CN"/>
              </w:rPr>
              <w:t>19</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3694C9">
            <w:pPr>
              <w:pStyle w:val="8"/>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kern w:val="2"/>
                <w:szCs w:val="24"/>
                <w:highlight w:val="none"/>
                <w:lang w:val="en-US" w:eastAsia="zh-CN"/>
              </w:rPr>
              <w:t>履约保证金</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6700A9">
            <w:pPr>
              <w:pStyle w:val="9"/>
              <w:spacing w:line="240" w:lineRule="auto"/>
              <w:ind w:left="0" w:leftChars="0" w:firstLine="0" w:firstLineChars="0"/>
              <w:rPr>
                <w:rFonts w:hint="eastAsia" w:ascii="Times New Roman" w:hAnsi="Times New Roman" w:eastAsia="宋体" w:cs="Times New Roman"/>
                <w:color w:val="auto"/>
                <w:sz w:val="21"/>
                <w:szCs w:val="21"/>
                <w:highlight w:val="none"/>
                <w:lang w:val="en-US" w:eastAsia="zh-CN" w:bidi="ar-SA"/>
              </w:rPr>
            </w:pPr>
            <w:r>
              <w:rPr>
                <w:rFonts w:hint="eastAsia" w:ascii="宋体" w:hAnsi="宋体" w:cs="宋体"/>
                <w:color w:val="auto"/>
                <w:sz w:val="24"/>
                <w:szCs w:val="24"/>
                <w:highlight w:val="none"/>
              </w:rPr>
              <w:t>按征集文件相关要求执行</w:t>
            </w:r>
          </w:p>
        </w:tc>
      </w:tr>
      <w:tr w14:paraId="1946C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C5CFE0">
            <w:pPr>
              <w:pStyle w:val="8"/>
              <w:spacing w:line="24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Cs w:val="24"/>
                <w:highlight w:val="none"/>
                <w:lang w:val="en-US" w:eastAsia="zh-CN"/>
              </w:rPr>
              <w:t>20</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AA7537">
            <w:pPr>
              <w:pStyle w:val="8"/>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Cs w:val="24"/>
                <w:highlight w:val="none"/>
                <w:lang w:val="en-US" w:eastAsia="zh-CN"/>
              </w:rPr>
              <w:t>响应文件递交截止时间</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31612C">
            <w:pPr>
              <w:snapToGrid w:val="0"/>
              <w:spacing w:line="240" w:lineRule="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4"/>
                <w:highlight w:val="none"/>
                <w:lang w:eastAsia="zh-CN"/>
              </w:rPr>
              <w:t>详见征集公告</w:t>
            </w:r>
          </w:p>
        </w:tc>
      </w:tr>
      <w:tr w14:paraId="69069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741939">
            <w:pPr>
              <w:pStyle w:val="8"/>
              <w:spacing w:line="24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Cs w:val="24"/>
                <w:highlight w:val="none"/>
                <w:lang w:val="en-US" w:eastAsia="zh-CN"/>
              </w:rPr>
              <w:t>2</w:t>
            </w:r>
            <w:r>
              <w:rPr>
                <w:rFonts w:hint="eastAsia" w:ascii="宋体" w:hAnsi="宋体" w:cs="宋体"/>
                <w:b/>
                <w:color w:val="auto"/>
                <w:kern w:val="2"/>
                <w:szCs w:val="24"/>
                <w:highlight w:val="none"/>
                <w:lang w:val="en-US" w:eastAsia="zh-CN"/>
              </w:rPr>
              <w:t>1</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B84121">
            <w:pPr>
              <w:pStyle w:val="8"/>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Cs w:val="24"/>
                <w:highlight w:val="none"/>
                <w:lang w:val="en-US" w:eastAsia="zh-CN"/>
              </w:rPr>
              <w:t>响应文件递交地点</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E79458">
            <w:pPr>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乐采云平台（https://www.lecaiyun.com/）</w:t>
            </w:r>
          </w:p>
        </w:tc>
      </w:tr>
      <w:tr w14:paraId="2B27E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0ED5E8">
            <w:pPr>
              <w:pStyle w:val="8"/>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Cs w:val="24"/>
                <w:highlight w:val="none"/>
                <w:lang w:val="en-US" w:eastAsia="zh-CN"/>
              </w:rPr>
              <w:t>2</w:t>
            </w:r>
            <w:r>
              <w:rPr>
                <w:rFonts w:hint="eastAsia" w:ascii="宋体" w:hAnsi="宋体" w:cs="宋体"/>
                <w:b/>
                <w:color w:val="auto"/>
                <w:kern w:val="2"/>
                <w:szCs w:val="24"/>
                <w:highlight w:val="none"/>
                <w:lang w:val="en-US" w:eastAsia="zh-CN"/>
              </w:rPr>
              <w:t>2</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BA6A8E">
            <w:pPr>
              <w:pStyle w:val="8"/>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Cs w:val="24"/>
                <w:highlight w:val="none"/>
                <w:lang w:val="en-US" w:eastAsia="zh-CN"/>
              </w:rPr>
              <w:t>开标时间</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8E51BF">
            <w:pPr>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详见招标公告</w:t>
            </w:r>
          </w:p>
        </w:tc>
      </w:tr>
      <w:tr w14:paraId="74B68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E6B5A6">
            <w:pPr>
              <w:pStyle w:val="8"/>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w:t>
            </w:r>
            <w:r>
              <w:rPr>
                <w:rFonts w:hint="eastAsia" w:ascii="宋体" w:hAnsi="宋体" w:cs="宋体"/>
                <w:b/>
                <w:color w:val="auto"/>
                <w:kern w:val="2"/>
                <w:sz w:val="24"/>
                <w:szCs w:val="24"/>
                <w:highlight w:val="none"/>
                <w:lang w:val="en-US" w:eastAsia="zh-CN" w:bidi="ar-SA"/>
              </w:rPr>
              <w:t>3</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5F78E8">
            <w:pPr>
              <w:pStyle w:val="8"/>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Cs w:val="24"/>
                <w:highlight w:val="none"/>
                <w:lang w:val="en-US" w:eastAsia="zh-CN"/>
              </w:rPr>
              <w:t>开标地点</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050BAD">
            <w:pPr>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详见招标公告</w:t>
            </w:r>
          </w:p>
        </w:tc>
      </w:tr>
      <w:tr w14:paraId="69BDB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A11EA9">
            <w:pPr>
              <w:snapToGrid w:val="0"/>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24</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45873B">
            <w:pPr>
              <w:snapToGrid w:val="0"/>
              <w:spacing w:line="240"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4"/>
                <w:highlight w:val="none"/>
                <w:lang w:val="en-US" w:eastAsia="zh-CN"/>
              </w:rPr>
              <w:t>质疑与答疑时间</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7E9089">
            <w:pPr>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投标人应在开标截止时间10日前以书面形式向采购代理机构提出质疑，逾期提出的，采购代理机构不予受理、答复。</w:t>
            </w:r>
          </w:p>
        </w:tc>
      </w:tr>
      <w:tr w14:paraId="6C948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8D77FA">
            <w:pPr>
              <w:pStyle w:val="8"/>
              <w:spacing w:line="24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Cs w:val="24"/>
                <w:highlight w:val="none"/>
                <w:lang w:val="en-US" w:eastAsia="zh-CN"/>
              </w:rPr>
              <w:t>2</w:t>
            </w:r>
            <w:r>
              <w:rPr>
                <w:rFonts w:hint="eastAsia" w:ascii="宋体" w:hAnsi="宋体" w:cs="宋体"/>
                <w:b/>
                <w:color w:val="auto"/>
                <w:kern w:val="2"/>
                <w:szCs w:val="24"/>
                <w:highlight w:val="none"/>
                <w:lang w:val="en-US" w:eastAsia="zh-CN"/>
              </w:rPr>
              <w:t>5</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9FE217">
            <w:pPr>
              <w:pStyle w:val="8"/>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招标代理费</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C0CA9B">
            <w:pPr>
              <w:shd w:val="clear"/>
              <w:snapToGrid w:val="0"/>
              <w:spacing w:line="24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b w:val="0"/>
                <w:bCs w:val="0"/>
                <w:color w:val="auto"/>
                <w:sz w:val="24"/>
                <w:szCs w:val="24"/>
                <w:highlight w:val="none"/>
              </w:rPr>
              <w:t>本项目招标代理费由中标方支付，具体收费标准按诸国资办</w:t>
            </w:r>
            <w:r>
              <w:rPr>
                <w:rFonts w:hint="eastAsia" w:ascii="宋体" w:hAnsi="宋体" w:eastAsia="宋体" w:cs="宋体"/>
                <w:b w:val="0"/>
                <w:bCs w:val="0"/>
                <w:color w:val="auto"/>
                <w:sz w:val="24"/>
                <w:szCs w:val="24"/>
                <w:highlight w:val="none"/>
                <w:lang w:eastAsia="zh-CN"/>
              </w:rPr>
              <w:t>〔2021〕5号</w:t>
            </w:r>
            <w:r>
              <w:rPr>
                <w:rFonts w:hint="eastAsia" w:ascii="宋体" w:hAnsi="宋体" w:eastAsia="宋体" w:cs="宋体"/>
                <w:b w:val="0"/>
                <w:bCs w:val="0"/>
                <w:color w:val="auto"/>
                <w:sz w:val="24"/>
                <w:szCs w:val="24"/>
                <w:highlight w:val="none"/>
              </w:rPr>
              <w:t>关于印发《诸暨市国有企业货物和服务采购管理办法》的通知文件执行，收费基数为标的合同总金额。本项目约定</w:t>
            </w:r>
            <w:r>
              <w:rPr>
                <w:rFonts w:hint="eastAsia" w:ascii="宋体" w:hAnsi="宋体" w:eastAsia="宋体" w:cs="宋体"/>
                <w:b w:val="0"/>
                <w:bCs w:val="0"/>
                <w:color w:val="auto"/>
                <w:sz w:val="24"/>
                <w:szCs w:val="24"/>
                <w:highlight w:val="none"/>
                <w:lang w:val="en-US" w:eastAsia="zh-CN"/>
              </w:rPr>
              <w:t>招标代理费为壹万伍仟元</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由各入围供应商平摊支付，</w:t>
            </w:r>
            <w:r>
              <w:rPr>
                <w:rFonts w:hint="eastAsia" w:ascii="宋体" w:hAnsi="宋体" w:eastAsia="宋体" w:cs="宋体"/>
                <w:b w:val="0"/>
                <w:bCs w:val="0"/>
                <w:color w:val="auto"/>
                <w:sz w:val="24"/>
                <w:szCs w:val="24"/>
                <w:highlight w:val="none"/>
              </w:rPr>
              <w:t>以上费用在领取中标通知书前付清</w:t>
            </w:r>
            <w:r>
              <w:rPr>
                <w:rFonts w:hint="eastAsia" w:ascii="宋体" w:hAnsi="宋体" w:eastAsia="宋体" w:cs="宋体"/>
                <w:b w:val="0"/>
                <w:bCs w:val="0"/>
                <w:color w:val="auto"/>
                <w:sz w:val="24"/>
                <w:szCs w:val="24"/>
                <w:highlight w:val="none"/>
                <w:lang w:eastAsia="zh-CN"/>
              </w:rPr>
              <w:t>。</w:t>
            </w:r>
          </w:p>
        </w:tc>
      </w:tr>
      <w:tr w14:paraId="163B5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7F1F0B">
            <w:pPr>
              <w:pStyle w:val="8"/>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Cs w:val="24"/>
                <w:highlight w:val="none"/>
                <w:lang w:val="en-US" w:eastAsia="zh-CN"/>
              </w:rPr>
              <w:t>26</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C4D135">
            <w:pPr>
              <w:pStyle w:val="8"/>
              <w:keepNext w:val="0"/>
              <w:keepLines w:val="0"/>
              <w:pageBreakBefore w:val="0"/>
              <w:kinsoku/>
              <w:wordWrap/>
              <w:overflowPunct/>
              <w:topLinePunct w:val="0"/>
              <w:bidi w:val="0"/>
              <w:spacing w:line="24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color w:val="auto"/>
                <w:szCs w:val="24"/>
                <w:highlight w:val="none"/>
                <w:lang w:val="en-US" w:eastAsia="zh-CN"/>
              </w:rPr>
              <w:t>特别提醒</w:t>
            </w:r>
          </w:p>
        </w:tc>
        <w:tc>
          <w:tcPr>
            <w:tcW w:w="77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9423F2">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（1）各供应商参与本项目电子招投标活动前应注册成为</w:t>
            </w:r>
            <w:r>
              <w:rPr>
                <w:rFonts w:hint="eastAsia" w:ascii="宋体" w:hAnsi="宋体" w:cs="宋体"/>
                <w:b w:val="0"/>
                <w:bCs w:val="0"/>
                <w:color w:val="auto"/>
                <w:sz w:val="24"/>
                <w:szCs w:val="24"/>
                <w:highlight w:val="none"/>
                <w:lang w:eastAsia="zh-CN"/>
              </w:rPr>
              <w:t>乐采云</w:t>
            </w:r>
            <w:r>
              <w:rPr>
                <w:rFonts w:hint="eastAsia" w:ascii="宋体" w:hAnsi="宋体" w:eastAsia="宋体" w:cs="宋体"/>
                <w:b w:val="0"/>
                <w:bCs w:val="0"/>
                <w:color w:val="auto"/>
                <w:sz w:val="24"/>
                <w:szCs w:val="24"/>
                <w:highlight w:val="none"/>
              </w:rPr>
              <w:t>平台供应商，并完成CA数字证书办理。因未注册或未办理CA数字证书等原因造成无法投标或投标失败等后果由供应商自行承担。</w:t>
            </w:r>
          </w:p>
          <w:p w14:paraId="0D41D618">
            <w:pPr>
              <w:keepNext w:val="0"/>
              <w:keepLines w:val="0"/>
              <w:pageBreakBefore w:val="0"/>
              <w:kinsoku/>
              <w:wordWrap/>
              <w:overflowPunct/>
              <w:topLinePunct w:val="0"/>
              <w:bidi w:val="0"/>
              <w:spacing w:line="240" w:lineRule="auto"/>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val="0"/>
                <w:bCs w:val="0"/>
                <w:color w:val="auto"/>
                <w:sz w:val="24"/>
                <w:szCs w:val="24"/>
                <w:highlight w:val="none"/>
              </w:rPr>
              <w:t>（2）如本前附表规定与投标须知条款的内容有不一致的，以本前附表为准。</w:t>
            </w:r>
          </w:p>
        </w:tc>
      </w:tr>
    </w:tbl>
    <w:p w14:paraId="1296738A">
      <w:pPr>
        <w:pStyle w:val="3"/>
        <w:shd w:val="clear" w:color="auto" w:fill="auto"/>
        <w:spacing w:line="360" w:lineRule="exact"/>
        <w:jc w:val="center"/>
        <w:rPr>
          <w:rFonts w:hint="eastAsia" w:ascii="宋体" w:hAnsi="宋体" w:eastAsia="宋体" w:cs="宋体"/>
          <w:color w:val="auto"/>
          <w:sz w:val="28"/>
          <w:szCs w:val="28"/>
          <w:highlight w:val="none"/>
        </w:rPr>
      </w:pPr>
      <w:r>
        <w:rPr>
          <w:rFonts w:hint="eastAsia" w:ascii="Times New Roman" w:hAnsi="Times New Roman" w:eastAsia="宋体" w:cs="Times New Roman"/>
          <w:color w:val="auto"/>
          <w:highlight w:val="none"/>
          <w:lang w:val="en-US" w:eastAsia="zh-CN"/>
        </w:rPr>
        <w:br w:type="page"/>
      </w:r>
      <w:r>
        <w:rPr>
          <w:rFonts w:hint="eastAsia" w:ascii="宋体" w:hAnsi="宋体" w:eastAsia="宋体" w:cs="宋体"/>
          <w:color w:val="auto"/>
          <w:sz w:val="28"/>
          <w:szCs w:val="28"/>
          <w:highlight w:val="none"/>
        </w:rPr>
        <w:t>一、总   则</w:t>
      </w:r>
    </w:p>
    <w:p w14:paraId="707A6D38">
      <w:pPr>
        <w:shd w:val="clear" w:color="auto" w:fill="auto"/>
        <w:spacing w:line="36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highlight w:val="none"/>
        </w:rPr>
        <w:t>1.</w:t>
      </w:r>
      <w:r>
        <w:rPr>
          <w:rFonts w:hint="eastAsia" w:ascii="宋体" w:hAnsi="宋体" w:eastAsia="宋体" w:cs="宋体"/>
          <w:b/>
          <w:color w:val="auto"/>
          <w:sz w:val="24"/>
          <w:highlight w:val="none"/>
        </w:rPr>
        <w:t>适用范围</w:t>
      </w:r>
    </w:p>
    <w:p w14:paraId="4713CFFC">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征集</w:t>
      </w:r>
      <w:r>
        <w:rPr>
          <w:rFonts w:hint="eastAsia" w:ascii="宋体" w:hAnsi="宋体" w:eastAsia="宋体" w:cs="宋体"/>
          <w:color w:val="auto"/>
          <w:sz w:val="24"/>
          <w:highlight w:val="none"/>
        </w:rPr>
        <w:t>文件适用于本次所述项目的招标。</w:t>
      </w:r>
    </w:p>
    <w:p w14:paraId="7E5EF0DF">
      <w:pPr>
        <w:shd w:val="clear" w:color="auto" w:fill="auto"/>
        <w:snapToGrid w:val="0"/>
        <w:ind w:firstLine="472" w:firstLineChars="196"/>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600E79DC">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2.1“采购人”系指组织本次招标的采购单位。</w:t>
      </w:r>
    </w:p>
    <w:p w14:paraId="0C9B6082">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2.2“采购代理机构”系指</w:t>
      </w:r>
      <w:r>
        <w:rPr>
          <w:rFonts w:hint="eastAsia" w:ascii="宋体" w:hAnsi="宋体" w:eastAsia="宋体" w:cs="宋体"/>
          <w:color w:val="auto"/>
          <w:sz w:val="24"/>
          <w:highlight w:val="none"/>
          <w:lang w:eastAsia="zh-CN"/>
        </w:rPr>
        <w:t>浙江博策工程项目管理有限公司</w:t>
      </w:r>
      <w:r>
        <w:rPr>
          <w:rFonts w:hint="eastAsia" w:ascii="宋体" w:hAnsi="宋体" w:eastAsia="宋体" w:cs="宋体"/>
          <w:color w:val="auto"/>
          <w:sz w:val="24"/>
          <w:highlight w:val="none"/>
        </w:rPr>
        <w:t>。</w:t>
      </w:r>
    </w:p>
    <w:p w14:paraId="609A028A">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2.3“投标人”系指向采购人和采购代理机构提交投标文件的供应商。</w:t>
      </w:r>
    </w:p>
    <w:p w14:paraId="3B6D89F7">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2.4“货物”系指供方按</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规定，须向采购人提供的一切设备、保险、税 金、备品备件、工具、手册</w:t>
      </w:r>
      <w:r>
        <w:rPr>
          <w:rFonts w:hint="eastAsia" w:ascii="宋体" w:hAnsi="宋体" w:eastAsia="宋体" w:cs="宋体"/>
          <w:color w:val="auto"/>
          <w:sz w:val="24"/>
          <w:highlight w:val="none"/>
          <w:lang w:eastAsia="zh-CN"/>
        </w:rPr>
        <w:t>及其他有关</w:t>
      </w:r>
      <w:r>
        <w:rPr>
          <w:rFonts w:hint="eastAsia" w:ascii="宋体" w:hAnsi="宋体" w:eastAsia="宋体" w:cs="宋体"/>
          <w:color w:val="auto"/>
          <w:sz w:val="24"/>
          <w:highlight w:val="none"/>
        </w:rPr>
        <w:t>技术资料和材料。</w:t>
      </w:r>
    </w:p>
    <w:p w14:paraId="137C2CEE">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2.5“服务”系指</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规定投标人须承担的安装、调试、技术协助、校准、培训、技术指导以及其他类似的义务。</w:t>
      </w:r>
    </w:p>
    <w:p w14:paraId="75C15558">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2.6“项目”系指投标人按</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规定向采购人提供的货物和服务。</w:t>
      </w:r>
    </w:p>
    <w:p w14:paraId="4D764BE1">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2.7“书面形式”包括信函、传真、电报等。</w:t>
      </w:r>
    </w:p>
    <w:p w14:paraId="39283E95">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2.8本</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所述设备品牌、型号是结合实际现有情况的推荐性参考方案，投标方也可根据</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lang w:eastAsia="zh-CN"/>
        </w:rPr>
        <w:t>要</w:t>
      </w:r>
      <w:r>
        <w:rPr>
          <w:rFonts w:hint="eastAsia" w:ascii="宋体" w:hAnsi="宋体" w:eastAsia="宋体" w:cs="宋体"/>
          <w:color w:val="auto"/>
          <w:sz w:val="24"/>
          <w:highlight w:val="none"/>
        </w:rPr>
        <w:t>求参考性能相当或高于、服务条款相等或高于、符合招标方实际业务需求其他同档次优质品牌的产品，进行方案优化。所投产品不在参考品牌范围内的，是否符合</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要求由评标委员会在投标文件评审时集体讨论决定。</w:t>
      </w:r>
    </w:p>
    <w:p w14:paraId="77EA9561">
      <w:pPr>
        <w:shd w:val="clear" w:color="auto" w:fill="auto"/>
        <w:snapToGrid w:val="0"/>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3.采购方式</w:t>
      </w:r>
    </w:p>
    <w:p w14:paraId="24A95B28">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本次采购采用公开征集入围方式进行。</w:t>
      </w:r>
    </w:p>
    <w:p w14:paraId="7395A438">
      <w:pPr>
        <w:shd w:val="clear" w:color="auto" w:fill="auto"/>
        <w:snapToGrid w:val="0"/>
        <w:ind w:firstLine="472" w:firstLineChars="196"/>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4.投标人及投标委托有关说明</w:t>
      </w:r>
    </w:p>
    <w:p w14:paraId="2E0533DA">
      <w:pPr>
        <w:shd w:val="clear" w:color="auto" w:fill="auto"/>
        <w:snapToGrid w:val="0"/>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4.1授权代表须为投标人正式员工，按要求提供投标人的授权代表及法定代表人和被授权人身份证复印件加盖投标人公章。法人代表只需提供身份证复印件。</w:t>
      </w:r>
    </w:p>
    <w:p w14:paraId="10FE36DA">
      <w:pPr>
        <w:shd w:val="clear" w:color="auto" w:fill="auto"/>
        <w:snapToGrid w:val="0"/>
        <w:ind w:firstLine="472" w:firstLineChars="196"/>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5.投标费用</w:t>
      </w:r>
    </w:p>
    <w:p w14:paraId="23E9A3CB">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投标人应自行承担获得</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和编制、提交投标文件所涉及的一切费用。不论投标结果如何，投标人均应自行承担所有与投标有关的全部费用。对中标人收取采购代理服务费。</w:t>
      </w:r>
    </w:p>
    <w:p w14:paraId="7110177D">
      <w:pPr>
        <w:shd w:val="clear" w:color="auto" w:fill="auto"/>
        <w:snapToGrid w:val="0"/>
        <w:ind w:firstLine="472" w:firstLineChars="196"/>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6.特别说明：</w:t>
      </w:r>
    </w:p>
    <w:p w14:paraId="039A3751">
      <w:pPr>
        <w:pStyle w:val="8"/>
        <w:shd w:val="clear" w:color="auto" w:fill="auto"/>
        <w:snapToGrid w:val="0"/>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6.1投标人应仔细阅读</w:t>
      </w:r>
      <w:r>
        <w:rPr>
          <w:rFonts w:hint="eastAsia" w:ascii="宋体" w:hAnsi="宋体" w:cs="宋体"/>
          <w:color w:val="auto"/>
          <w:highlight w:val="none"/>
          <w:lang w:eastAsia="zh-CN"/>
        </w:rPr>
        <w:t>征集文件</w:t>
      </w:r>
      <w:r>
        <w:rPr>
          <w:rFonts w:hint="eastAsia" w:ascii="宋体" w:hAnsi="宋体" w:eastAsia="宋体" w:cs="宋体"/>
          <w:color w:val="auto"/>
          <w:highlight w:val="none"/>
        </w:rPr>
        <w:t>的所有内容，按照</w:t>
      </w:r>
      <w:r>
        <w:rPr>
          <w:rFonts w:hint="eastAsia" w:ascii="宋体" w:hAnsi="宋体" w:cs="宋体"/>
          <w:color w:val="auto"/>
          <w:highlight w:val="none"/>
          <w:lang w:eastAsia="zh-CN"/>
        </w:rPr>
        <w:t>征集文件</w:t>
      </w:r>
      <w:r>
        <w:rPr>
          <w:rFonts w:hint="eastAsia" w:ascii="宋体" w:hAnsi="宋体" w:eastAsia="宋体" w:cs="宋体"/>
          <w:color w:val="auto"/>
          <w:highlight w:val="none"/>
        </w:rPr>
        <w:t>的要求提交投标文件，并对所提供的全部资料的真实性承担法律责任。</w:t>
      </w:r>
    </w:p>
    <w:p w14:paraId="77D03C60">
      <w:pPr>
        <w:pStyle w:val="8"/>
        <w:shd w:val="clear" w:color="auto" w:fill="auto"/>
        <w:snapToGrid w:val="0"/>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6.2投标人在投标活动中提供任何虚假材料</w:t>
      </w:r>
      <w:r>
        <w:rPr>
          <w:rFonts w:hint="eastAsia" w:ascii="宋体" w:hAnsi="宋体" w:cs="宋体"/>
          <w:color w:val="auto"/>
          <w:highlight w:val="none"/>
          <w:lang w:eastAsia="zh-CN"/>
        </w:rPr>
        <w:t>，</w:t>
      </w:r>
      <w:r>
        <w:rPr>
          <w:rFonts w:hint="eastAsia" w:ascii="宋体" w:hAnsi="宋体" w:eastAsia="宋体" w:cs="宋体"/>
          <w:color w:val="auto"/>
          <w:highlight w:val="none"/>
        </w:rPr>
        <w:t>其投标无效，并报监管部门查处；中标后发现的</w:t>
      </w:r>
      <w:r>
        <w:rPr>
          <w:rFonts w:hint="eastAsia" w:ascii="宋体" w:hAnsi="宋体" w:cs="宋体"/>
          <w:color w:val="auto"/>
          <w:highlight w:val="none"/>
          <w:lang w:eastAsia="zh-CN"/>
        </w:rPr>
        <w:t>，</w:t>
      </w:r>
      <w:r>
        <w:rPr>
          <w:rFonts w:hint="eastAsia" w:ascii="宋体" w:hAnsi="宋体" w:eastAsia="宋体" w:cs="宋体"/>
          <w:color w:val="auto"/>
          <w:highlight w:val="none"/>
        </w:rPr>
        <w:t>中标人须依照《中华人民共和国消费者权益保护法》第49条之规定双倍赔偿采购人，且民事赔偿并不免除违法投标人的行政与刑事责任。</w:t>
      </w:r>
    </w:p>
    <w:p w14:paraId="2F6B16C0">
      <w:pPr>
        <w:pStyle w:val="8"/>
        <w:shd w:val="clear" w:color="auto" w:fill="auto"/>
        <w:snapToGrid w:val="0"/>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716A4EC7">
      <w:pPr>
        <w:pStyle w:val="8"/>
        <w:shd w:val="clear" w:color="auto" w:fill="auto"/>
        <w:snapToGrid w:val="0"/>
        <w:ind w:left="2" w:leftChars="1"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6.4供应商在采购项目投标过程中应诚实守信，不弄虚作假，不隐瞒真实情况，不围标串标，不恶意质疑投诉。如违反上述要求，经核实后，供应商的投标将作废，将该供应商列入不良记录名单并在网上曝光，同时提请采购监督管理部门给予一定年限内禁止参加采购活动的处罚或其他处罚。</w:t>
      </w:r>
    </w:p>
    <w:p w14:paraId="42381D3F">
      <w:pPr>
        <w:pStyle w:val="8"/>
        <w:shd w:val="clear" w:color="auto" w:fill="auto"/>
        <w:snapToGrid w:val="0"/>
        <w:ind w:left="2" w:leftChars="1"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6.5本项目涉及采购货物必须是全新、未使用过的原装合格正品（包括零部件），如安装或配置了软件的，须为正版软件。</w:t>
      </w:r>
    </w:p>
    <w:p w14:paraId="4007D294">
      <w:pPr>
        <w:pStyle w:val="8"/>
        <w:shd w:val="clear" w:color="auto" w:fill="auto"/>
        <w:snapToGrid w:val="0"/>
        <w:ind w:left="2" w:leftChars="1"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6.6国产的货物及其有关服务必须符合中华人民共和国的设计和制造生产标准或行业标准。</w:t>
      </w:r>
      <w:r>
        <w:rPr>
          <w:rFonts w:hint="eastAsia" w:ascii="宋体" w:hAnsi="宋体" w:eastAsia="宋体" w:cs="宋体"/>
          <w:color w:val="auto"/>
          <w:highlight w:val="none"/>
          <w:lang w:eastAsia="zh-CN"/>
        </w:rPr>
        <w:t>征集公告</w:t>
      </w:r>
      <w:r>
        <w:rPr>
          <w:rFonts w:hint="eastAsia" w:ascii="宋体" w:hAnsi="宋体" w:eastAsia="宋体" w:cs="宋体"/>
          <w:color w:val="auto"/>
          <w:highlight w:val="none"/>
        </w:rPr>
        <w:t>有其他要求的，亦应符合其要求。</w:t>
      </w:r>
    </w:p>
    <w:p w14:paraId="6CC925DD">
      <w:pPr>
        <w:pStyle w:val="8"/>
        <w:shd w:val="clear" w:color="auto" w:fill="auto"/>
        <w:snapToGrid w:val="0"/>
        <w:ind w:left="2" w:leftChars="1"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6.7进口货物及其有关服务必须符合原产地和/或中华人民共和国的设计和制造生产标准或行业标准。进口的货物必须具有合法的进口手续和途径，并通过中华人民共和国商检部门检验。</w:t>
      </w:r>
      <w:r>
        <w:rPr>
          <w:rFonts w:hint="eastAsia" w:ascii="宋体" w:hAnsi="宋体" w:eastAsia="宋体" w:cs="宋体"/>
          <w:color w:val="auto"/>
          <w:highlight w:val="none"/>
          <w:lang w:eastAsia="zh-CN"/>
        </w:rPr>
        <w:t>征集公告</w:t>
      </w:r>
      <w:r>
        <w:rPr>
          <w:rFonts w:hint="eastAsia" w:ascii="宋体" w:hAnsi="宋体" w:eastAsia="宋体" w:cs="宋体"/>
          <w:color w:val="auto"/>
          <w:highlight w:val="none"/>
        </w:rPr>
        <w:t>有其他要求的，亦应符合其要求。</w:t>
      </w:r>
    </w:p>
    <w:p w14:paraId="05D59C78">
      <w:pPr>
        <w:shd w:val="clear" w:color="auto" w:fill="auto"/>
        <w:snapToGrid w:val="0"/>
        <w:ind w:firstLine="472" w:firstLineChars="196"/>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7.质疑和投诉</w:t>
      </w:r>
    </w:p>
    <w:p w14:paraId="16C453E5">
      <w:pPr>
        <w:pStyle w:val="8"/>
        <w:shd w:val="clear" w:color="auto" w:fill="auto"/>
        <w:snapToGrid w:val="0"/>
        <w:ind w:left="1" w:firstLine="480" w:firstLineChars="200"/>
        <w:rPr>
          <w:rFonts w:hint="eastAsia" w:ascii="宋体" w:hAnsi="宋体" w:eastAsia="宋体" w:cs="宋体"/>
          <w:color w:val="auto"/>
          <w:highlight w:val="none"/>
        </w:rPr>
      </w:pPr>
      <w:r>
        <w:rPr>
          <w:rFonts w:hint="eastAsia" w:ascii="宋体" w:hAnsi="宋体" w:eastAsia="宋体" w:cs="宋体"/>
          <w:bCs/>
          <w:color w:val="auto"/>
          <w:highlight w:val="none"/>
        </w:rPr>
        <w:t>7.1投标人认为</w:t>
      </w:r>
      <w:r>
        <w:rPr>
          <w:rFonts w:hint="eastAsia" w:ascii="宋体" w:hAnsi="宋体" w:cs="宋体"/>
          <w:bCs/>
          <w:color w:val="auto"/>
          <w:highlight w:val="none"/>
          <w:lang w:eastAsia="zh-CN"/>
        </w:rPr>
        <w:t>征集文件</w:t>
      </w:r>
      <w:r>
        <w:rPr>
          <w:rFonts w:hint="eastAsia" w:ascii="宋体" w:hAnsi="宋体" w:eastAsia="宋体" w:cs="宋体"/>
          <w:bCs/>
          <w:color w:val="auto"/>
          <w:highlight w:val="none"/>
        </w:rPr>
        <w:t>、招标过程和中标结果使自己的合法权益受到损害的，应当在</w:t>
      </w:r>
      <w:r>
        <w:rPr>
          <w:rFonts w:hint="eastAsia" w:ascii="宋体" w:hAnsi="宋体" w:eastAsia="宋体" w:cs="宋体"/>
          <w:bCs/>
          <w:color w:val="auto"/>
          <w:highlight w:val="none"/>
          <w:lang w:val="en-US" w:eastAsia="zh-CN"/>
        </w:rPr>
        <w:t>开标截止时间10天前</w:t>
      </w:r>
      <w:r>
        <w:rPr>
          <w:rFonts w:hint="eastAsia" w:ascii="宋体" w:hAnsi="宋体" w:eastAsia="宋体" w:cs="宋体"/>
          <w:color w:val="auto"/>
          <w:highlight w:val="none"/>
        </w:rPr>
        <w:t>，以书面形式向采购人、采购代理机构提出质疑。投标人对采购人的质疑答复不满意或者采购人未在规定时间内作出答复的，可以在答复期满后十五个工作日内向同级采购监管部门投诉。逾期提出的，采购代理机构不予受理、答复。</w:t>
      </w:r>
    </w:p>
    <w:p w14:paraId="0F4E8EB7">
      <w:pPr>
        <w:pStyle w:val="8"/>
        <w:shd w:val="clear" w:color="auto" w:fill="auto"/>
        <w:snapToGrid w:val="0"/>
        <w:ind w:left="1" w:firstLine="480" w:firstLineChars="200"/>
        <w:rPr>
          <w:rFonts w:hint="eastAsia" w:ascii="宋体" w:hAnsi="宋体" w:eastAsia="宋体" w:cs="宋体"/>
          <w:color w:val="auto"/>
          <w:highlight w:val="none"/>
        </w:rPr>
      </w:pPr>
      <w:r>
        <w:rPr>
          <w:rFonts w:hint="eastAsia" w:ascii="宋体" w:hAnsi="宋体" w:eastAsia="宋体" w:cs="宋体"/>
          <w:bCs/>
          <w:color w:val="auto"/>
          <w:highlight w:val="none"/>
        </w:rPr>
        <w:t>7.2质疑、投诉应当采用书面形式，质疑书、投诉书均应明确阐述</w:t>
      </w:r>
      <w:r>
        <w:rPr>
          <w:rFonts w:hint="eastAsia" w:ascii="宋体" w:hAnsi="宋体" w:cs="宋体"/>
          <w:bCs/>
          <w:color w:val="auto"/>
          <w:highlight w:val="none"/>
          <w:lang w:eastAsia="zh-CN"/>
        </w:rPr>
        <w:t>征集文件</w:t>
      </w:r>
      <w:r>
        <w:rPr>
          <w:rFonts w:hint="eastAsia" w:ascii="宋体" w:hAnsi="宋体" w:eastAsia="宋体" w:cs="宋体"/>
          <w:bCs/>
          <w:color w:val="auto"/>
          <w:highlight w:val="none"/>
        </w:rPr>
        <w:t>、招标过程和中标结果中使自己合法权益受到损害的实质性内容，提供相关事实、依据和证据及</w:t>
      </w:r>
      <w:r>
        <w:rPr>
          <w:rFonts w:hint="eastAsia" w:ascii="宋体" w:hAnsi="宋体" w:eastAsia="宋体" w:cs="宋体"/>
          <w:color w:val="auto"/>
          <w:highlight w:val="none"/>
        </w:rPr>
        <w:t>其来源或线索，便于有关单位调查、答复和处理。</w:t>
      </w:r>
    </w:p>
    <w:p w14:paraId="1BC959F3">
      <w:pPr>
        <w:pStyle w:val="8"/>
        <w:shd w:val="clear" w:color="auto" w:fill="auto"/>
        <w:snapToGrid w:val="0"/>
        <w:ind w:left="1"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7.3</w:t>
      </w:r>
      <w:r>
        <w:rPr>
          <w:rFonts w:hint="eastAsia" w:ascii="宋体" w:hAnsi="宋体" w:eastAsia="宋体" w:cs="宋体"/>
          <w:color w:val="auto"/>
          <w:szCs w:val="24"/>
          <w:highlight w:val="none"/>
        </w:rPr>
        <w:t>采购代理机构与采购人研究后，对认为有必要</w:t>
      </w:r>
      <w:r>
        <w:rPr>
          <w:rFonts w:hint="eastAsia" w:ascii="宋体" w:hAnsi="宋体" w:eastAsia="宋体" w:cs="宋体"/>
          <w:color w:val="auto"/>
          <w:szCs w:val="24"/>
          <w:highlight w:val="none"/>
          <w:lang w:val="en-US" w:eastAsia="zh-CN"/>
        </w:rPr>
        <w:t>补充</w:t>
      </w:r>
      <w:r>
        <w:rPr>
          <w:rFonts w:hint="eastAsia" w:ascii="宋体" w:hAnsi="宋体" w:eastAsia="宋体" w:cs="宋体"/>
          <w:color w:val="auto"/>
          <w:szCs w:val="24"/>
          <w:highlight w:val="none"/>
        </w:rPr>
        <w:t>的问题，采购人和采购代理机构将补充（更正）以网上发布公告的形式通知所有投标人，补充（更正）是</w:t>
      </w:r>
      <w:r>
        <w:rPr>
          <w:rFonts w:hint="eastAsia" w:ascii="宋体" w:hAnsi="宋体" w:cs="宋体"/>
          <w:color w:val="auto"/>
          <w:szCs w:val="24"/>
          <w:highlight w:val="none"/>
          <w:lang w:eastAsia="zh-CN"/>
        </w:rPr>
        <w:t>征集文件</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组成部分</w:t>
      </w:r>
      <w:r>
        <w:rPr>
          <w:rFonts w:hint="eastAsia" w:ascii="宋体" w:hAnsi="宋体" w:eastAsia="宋体" w:cs="宋体"/>
          <w:color w:val="auto"/>
          <w:szCs w:val="24"/>
          <w:highlight w:val="none"/>
        </w:rPr>
        <w:t>。</w:t>
      </w:r>
    </w:p>
    <w:p w14:paraId="1C2641E7">
      <w:pPr>
        <w:pStyle w:val="8"/>
        <w:shd w:val="clear" w:color="auto" w:fill="auto"/>
        <w:snapToGrid w:val="0"/>
        <w:ind w:left="1"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7.4</w:t>
      </w:r>
      <w:r>
        <w:rPr>
          <w:rFonts w:hint="eastAsia" w:ascii="宋体" w:hAnsi="宋体" w:eastAsia="宋体" w:cs="宋体"/>
          <w:b/>
          <w:color w:val="auto"/>
          <w:highlight w:val="none"/>
          <w:u w:val="single"/>
        </w:rPr>
        <w:t>质疑供应商在收到该更正（补充）公告后应于1日内，以书面或传真形式（签署意见并加盖公章）向采购代理机构回函给予确认。过期未回复的，视为默认接受。</w:t>
      </w:r>
    </w:p>
    <w:p w14:paraId="4D0A5C7F">
      <w:pPr>
        <w:pStyle w:val="3"/>
        <w:shd w:val="clear" w:color="auto" w:fill="auto"/>
        <w:spacing w:line="360" w:lineRule="exact"/>
        <w:jc w:val="center"/>
        <w:rPr>
          <w:rFonts w:hint="eastAsia" w:ascii="宋体" w:hAnsi="宋体" w:eastAsia="宋体" w:cs="宋体"/>
          <w:color w:val="auto"/>
          <w:sz w:val="28"/>
          <w:szCs w:val="28"/>
          <w:highlight w:val="none"/>
          <w:lang w:eastAsia="zh-CN"/>
        </w:rPr>
      </w:pPr>
      <w:bookmarkStart w:id="21" w:name="_Toc125344504"/>
      <w:r>
        <w:rPr>
          <w:rFonts w:hint="eastAsia" w:ascii="宋体" w:hAnsi="宋体" w:eastAsia="宋体" w:cs="宋体"/>
          <w:color w:val="auto"/>
          <w:sz w:val="28"/>
          <w:szCs w:val="28"/>
          <w:highlight w:val="none"/>
        </w:rPr>
        <w:t>二、</w:t>
      </w:r>
      <w:bookmarkEnd w:id="21"/>
      <w:r>
        <w:rPr>
          <w:rFonts w:hint="eastAsia" w:ascii="宋体" w:hAnsi="宋体" w:eastAsia="宋体" w:cs="宋体"/>
          <w:color w:val="auto"/>
          <w:sz w:val="28"/>
          <w:szCs w:val="28"/>
          <w:highlight w:val="none"/>
          <w:lang w:eastAsia="zh-CN"/>
        </w:rPr>
        <w:t>征集文件</w:t>
      </w:r>
    </w:p>
    <w:p w14:paraId="29D8A522">
      <w:pPr>
        <w:shd w:val="clear" w:color="auto" w:fill="auto"/>
        <w:snapToGrid w:val="0"/>
        <w:ind w:firstLine="354" w:firstLineChars="14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w:t>
      </w:r>
      <w:r>
        <w:rPr>
          <w:rFonts w:hint="eastAsia" w:ascii="宋体" w:hAnsi="宋体" w:cs="宋体"/>
          <w:b/>
          <w:color w:val="auto"/>
          <w:sz w:val="24"/>
          <w:highlight w:val="none"/>
          <w:lang w:eastAsia="zh-CN"/>
        </w:rPr>
        <w:t>征集文件</w:t>
      </w:r>
      <w:r>
        <w:rPr>
          <w:rFonts w:hint="eastAsia" w:ascii="宋体" w:hAnsi="宋体" w:eastAsia="宋体" w:cs="宋体"/>
          <w:b/>
          <w:color w:val="auto"/>
          <w:sz w:val="24"/>
          <w:highlight w:val="none"/>
        </w:rPr>
        <w:t>的构成。</w:t>
      </w:r>
    </w:p>
    <w:p w14:paraId="1DD91175">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由以下</w:t>
      </w:r>
      <w:r>
        <w:rPr>
          <w:rFonts w:hint="eastAsia" w:ascii="宋体" w:hAnsi="宋体" w:eastAsia="宋体" w:cs="宋体"/>
          <w:color w:val="auto"/>
          <w:sz w:val="24"/>
          <w:highlight w:val="none"/>
          <w:lang w:eastAsia="zh-CN"/>
        </w:rPr>
        <w:t>部分</w:t>
      </w:r>
      <w:r>
        <w:rPr>
          <w:rFonts w:hint="eastAsia" w:ascii="宋体" w:hAnsi="宋体" w:eastAsia="宋体" w:cs="宋体"/>
          <w:color w:val="auto"/>
          <w:sz w:val="24"/>
          <w:highlight w:val="none"/>
        </w:rPr>
        <w:t>组成：</w:t>
      </w:r>
    </w:p>
    <w:p w14:paraId="5FC3C4D8">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8.1</w:t>
      </w:r>
      <w:r>
        <w:rPr>
          <w:rFonts w:hint="eastAsia" w:ascii="宋体" w:hAnsi="宋体" w:eastAsia="宋体" w:cs="宋体"/>
          <w:color w:val="auto"/>
          <w:sz w:val="24"/>
          <w:highlight w:val="none"/>
          <w:lang w:eastAsia="zh-CN"/>
        </w:rPr>
        <w:t>征集公告</w:t>
      </w:r>
      <w:r>
        <w:rPr>
          <w:rFonts w:hint="eastAsia" w:ascii="宋体" w:hAnsi="宋体" w:eastAsia="宋体" w:cs="宋体"/>
          <w:color w:val="auto"/>
          <w:sz w:val="24"/>
          <w:highlight w:val="none"/>
        </w:rPr>
        <w:t>；</w:t>
      </w:r>
    </w:p>
    <w:p w14:paraId="74EAC2ED">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8.2投标须知；</w:t>
      </w:r>
    </w:p>
    <w:p w14:paraId="5010C978">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8.3评标办法；</w:t>
      </w:r>
    </w:p>
    <w:p w14:paraId="3E16EB48">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8.4采购需求；</w:t>
      </w:r>
    </w:p>
    <w:p w14:paraId="4887CC80">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8.5</w:t>
      </w:r>
      <w:r>
        <w:rPr>
          <w:rFonts w:hint="eastAsia" w:ascii="宋体" w:hAnsi="宋体" w:eastAsia="宋体" w:cs="宋体"/>
          <w:color w:val="auto"/>
          <w:sz w:val="24"/>
          <w:highlight w:val="none"/>
        </w:rPr>
        <w:t>采购合同</w:t>
      </w:r>
    </w:p>
    <w:p w14:paraId="7A099BAE">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应提交的有关格式范例；</w:t>
      </w:r>
    </w:p>
    <w:p w14:paraId="5B37DC3A">
      <w:pPr>
        <w:shd w:val="clear" w:color="auto" w:fill="auto"/>
        <w:snapToGrid w:val="0"/>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本项目</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的澄清、答复、修改、补充的内容。</w:t>
      </w:r>
    </w:p>
    <w:p w14:paraId="0913C8DD">
      <w:pPr>
        <w:shd w:val="clear" w:color="auto" w:fill="auto"/>
        <w:snapToGrid w:val="0"/>
        <w:ind w:firstLine="472" w:firstLineChars="196"/>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9.投标人的风险</w:t>
      </w:r>
    </w:p>
    <w:p w14:paraId="1BB0821F">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9.1投标人应仔细阅读</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的所有内容，并按照</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的要求提交投标文件。投标人没有按照</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要求提供全部资料，或者投标人没有对</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在各方面作出实质性响应是投标人的风险，并可能导致其投标被拒绝。</w:t>
      </w:r>
    </w:p>
    <w:p w14:paraId="269392B0">
      <w:pPr>
        <w:shd w:val="clear" w:color="auto" w:fill="auto"/>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9.2任何人或任何组织向投标人提交的任何书面或口头资料，未经采购代理机构在网上发布或书面通知，均作无效处理，不得作为</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的组成部分。采购代理机构对投标人由此而做出的推论、理解和结论概不负责。</w:t>
      </w:r>
    </w:p>
    <w:p w14:paraId="15AC6C75">
      <w:pPr>
        <w:shd w:val="clear" w:color="auto" w:fill="auto"/>
        <w:snapToGrid w:val="0"/>
        <w:ind w:firstLine="472" w:firstLineChars="196"/>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w:t>
      </w:r>
      <w:r>
        <w:rPr>
          <w:rFonts w:hint="eastAsia" w:ascii="宋体" w:hAnsi="宋体" w:cs="宋体"/>
          <w:b/>
          <w:color w:val="auto"/>
          <w:sz w:val="24"/>
          <w:highlight w:val="none"/>
          <w:lang w:eastAsia="zh-CN"/>
        </w:rPr>
        <w:t>征集文件</w:t>
      </w:r>
      <w:r>
        <w:rPr>
          <w:rFonts w:hint="eastAsia" w:ascii="宋体" w:hAnsi="宋体" w:eastAsia="宋体" w:cs="宋体"/>
          <w:b/>
          <w:color w:val="auto"/>
          <w:sz w:val="24"/>
          <w:highlight w:val="none"/>
        </w:rPr>
        <w:t xml:space="preserve">的澄清与修改 </w:t>
      </w:r>
    </w:p>
    <w:p w14:paraId="44E683AD">
      <w:pPr>
        <w:pStyle w:val="8"/>
        <w:shd w:val="clear" w:color="auto" w:fill="auto"/>
        <w:snapToGrid w:val="0"/>
        <w:ind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10.1</w:t>
      </w:r>
      <w:r>
        <w:rPr>
          <w:rFonts w:hint="eastAsia" w:ascii="宋体" w:hAnsi="宋体" w:eastAsia="宋体" w:cs="宋体"/>
          <w:bCs/>
          <w:color w:val="auto"/>
          <w:highlight w:val="none"/>
        </w:rPr>
        <w:t>投标人下载</w:t>
      </w:r>
      <w:r>
        <w:rPr>
          <w:rFonts w:hint="eastAsia" w:ascii="宋体" w:hAnsi="宋体" w:cs="宋体"/>
          <w:bCs/>
          <w:color w:val="auto"/>
          <w:highlight w:val="none"/>
          <w:lang w:eastAsia="zh-CN"/>
        </w:rPr>
        <w:t>征集文件</w:t>
      </w:r>
      <w:r>
        <w:rPr>
          <w:rFonts w:hint="eastAsia" w:ascii="宋体" w:hAnsi="宋体" w:eastAsia="宋体" w:cs="宋体"/>
          <w:bCs/>
          <w:color w:val="auto"/>
          <w:highlight w:val="none"/>
        </w:rPr>
        <w:t>后，应认真阅读本</w:t>
      </w:r>
      <w:r>
        <w:rPr>
          <w:rFonts w:hint="eastAsia" w:ascii="宋体" w:hAnsi="宋体" w:cs="宋体"/>
          <w:bCs/>
          <w:color w:val="auto"/>
          <w:highlight w:val="none"/>
          <w:lang w:eastAsia="zh-CN"/>
        </w:rPr>
        <w:t>征集文件</w:t>
      </w:r>
      <w:r>
        <w:rPr>
          <w:rFonts w:hint="eastAsia" w:ascii="宋体" w:hAnsi="宋体" w:eastAsia="宋体" w:cs="宋体"/>
          <w:bCs/>
          <w:color w:val="auto"/>
          <w:highlight w:val="none"/>
        </w:rPr>
        <w:t>的所有内容，发现其中有误或有不合理要求的，投标人必须按前附表规定的时间前以书面形式要求采购人澄清</w:t>
      </w:r>
      <w:r>
        <w:rPr>
          <w:rFonts w:hint="eastAsia" w:ascii="宋体" w:hAnsi="宋体" w:eastAsia="宋体" w:cs="宋体"/>
          <w:color w:val="auto"/>
          <w:highlight w:val="none"/>
        </w:rPr>
        <w:t>。逾期提出的，采购人将不予受理。</w:t>
      </w:r>
      <w:r>
        <w:rPr>
          <w:rFonts w:hint="eastAsia" w:ascii="宋体" w:hAnsi="宋体" w:eastAsia="宋体" w:cs="宋体"/>
          <w:color w:val="auto"/>
          <w:szCs w:val="24"/>
          <w:highlight w:val="none"/>
        </w:rPr>
        <w:t>采购代理机构与采购人研究后，对认为有必要回答的问题，采购人将补充（更正内容）以网上发布公告的形式通知所有投标人，补充（更正）内容是</w:t>
      </w:r>
      <w:r>
        <w:rPr>
          <w:rFonts w:hint="eastAsia" w:ascii="宋体" w:hAnsi="宋体" w:cs="宋体"/>
          <w:color w:val="auto"/>
          <w:szCs w:val="24"/>
          <w:highlight w:val="none"/>
          <w:lang w:eastAsia="zh-CN"/>
        </w:rPr>
        <w:t>征集文件</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组成部分</w:t>
      </w:r>
      <w:r>
        <w:rPr>
          <w:rFonts w:hint="eastAsia" w:ascii="宋体" w:hAnsi="宋体" w:eastAsia="宋体" w:cs="宋体"/>
          <w:color w:val="auto"/>
          <w:szCs w:val="24"/>
          <w:highlight w:val="none"/>
        </w:rPr>
        <w:t>。投标人可以通过诸暨市公共资源交易网自行下载，以确认已阅知该澄清或修改内容，否则，由此导致的风险由投标人自行承担，采购人不承担任何责任。</w:t>
      </w:r>
    </w:p>
    <w:p w14:paraId="32B2659A">
      <w:pPr>
        <w:pStyle w:val="8"/>
        <w:shd w:val="clear" w:color="auto" w:fill="auto"/>
        <w:snapToGrid w:val="0"/>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w:t>
      </w:r>
      <w:r>
        <w:rPr>
          <w:rFonts w:hint="eastAsia" w:ascii="宋体" w:hAnsi="宋体" w:cs="宋体"/>
          <w:color w:val="auto"/>
          <w:highlight w:val="none"/>
          <w:lang w:eastAsia="zh-CN"/>
        </w:rPr>
        <w:t>征集文件</w:t>
      </w:r>
      <w:r>
        <w:rPr>
          <w:rFonts w:hint="eastAsia" w:ascii="宋体" w:hAnsi="宋体" w:eastAsia="宋体" w:cs="宋体"/>
          <w:color w:val="auto"/>
          <w:highlight w:val="none"/>
        </w:rPr>
        <w:t>澄清、答复、修改、补充的内容为</w:t>
      </w:r>
      <w:r>
        <w:rPr>
          <w:rFonts w:hint="eastAsia" w:ascii="宋体" w:hAnsi="宋体" w:cs="宋体"/>
          <w:color w:val="auto"/>
          <w:highlight w:val="none"/>
          <w:lang w:eastAsia="zh-CN"/>
        </w:rPr>
        <w:t>征集文件</w:t>
      </w:r>
      <w:r>
        <w:rPr>
          <w:rFonts w:hint="eastAsia" w:ascii="宋体" w:hAnsi="宋体" w:eastAsia="宋体" w:cs="宋体"/>
          <w:color w:val="auto"/>
          <w:highlight w:val="none"/>
        </w:rPr>
        <w:t>的组成部分。当</w:t>
      </w:r>
      <w:r>
        <w:rPr>
          <w:rFonts w:hint="eastAsia" w:ascii="宋体" w:hAnsi="宋体" w:cs="宋体"/>
          <w:color w:val="auto"/>
          <w:highlight w:val="none"/>
          <w:lang w:eastAsia="zh-CN"/>
        </w:rPr>
        <w:t>征集文件</w:t>
      </w:r>
      <w:r>
        <w:rPr>
          <w:rFonts w:hint="eastAsia" w:ascii="宋体" w:hAnsi="宋体" w:eastAsia="宋体" w:cs="宋体"/>
          <w:color w:val="auto"/>
          <w:highlight w:val="none"/>
        </w:rPr>
        <w:t>与</w:t>
      </w:r>
      <w:r>
        <w:rPr>
          <w:rFonts w:hint="eastAsia" w:ascii="宋体" w:hAnsi="宋体" w:cs="宋体"/>
          <w:color w:val="auto"/>
          <w:highlight w:val="none"/>
          <w:lang w:eastAsia="zh-CN"/>
        </w:rPr>
        <w:t>征集文件</w:t>
      </w:r>
      <w:r>
        <w:rPr>
          <w:rFonts w:hint="eastAsia" w:ascii="宋体" w:hAnsi="宋体" w:eastAsia="宋体" w:cs="宋体"/>
          <w:color w:val="auto"/>
          <w:highlight w:val="none"/>
        </w:rPr>
        <w:t>的答复、澄清、修改、补充公告就同一内容的表述不一致时，以最后发出的文件或公告或通知为准。</w:t>
      </w:r>
    </w:p>
    <w:p w14:paraId="01F65A6B">
      <w:pPr>
        <w:pStyle w:val="8"/>
        <w:shd w:val="clear" w:color="auto" w:fill="auto"/>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10.3在投标截止时间前，采购人有权修改</w:t>
      </w:r>
      <w:r>
        <w:rPr>
          <w:rFonts w:hint="eastAsia" w:ascii="宋体" w:hAnsi="宋体" w:cs="宋体"/>
          <w:color w:val="auto"/>
          <w:highlight w:val="none"/>
          <w:lang w:eastAsia="zh-CN"/>
        </w:rPr>
        <w:t>征集文件</w:t>
      </w:r>
      <w:r>
        <w:rPr>
          <w:rFonts w:hint="eastAsia" w:ascii="宋体" w:hAnsi="宋体" w:eastAsia="宋体" w:cs="宋体"/>
          <w:color w:val="auto"/>
          <w:highlight w:val="none"/>
        </w:rPr>
        <w:t>，并以网站发布补充公告的形式通知所有投标人，通知中没有注明更改投标截止时间的视为截止时间不变。修改的文件作为</w:t>
      </w:r>
      <w:r>
        <w:rPr>
          <w:rFonts w:hint="eastAsia" w:ascii="宋体" w:hAnsi="宋体" w:cs="宋体"/>
          <w:color w:val="auto"/>
          <w:highlight w:val="none"/>
          <w:lang w:eastAsia="zh-CN"/>
        </w:rPr>
        <w:t>征集文件</w:t>
      </w:r>
      <w:r>
        <w:rPr>
          <w:rFonts w:hint="eastAsia" w:ascii="宋体" w:hAnsi="宋体" w:eastAsia="宋体" w:cs="宋体"/>
          <w:color w:val="auto"/>
          <w:highlight w:val="none"/>
        </w:rPr>
        <w:t>的补充和组成部分，对所有投标人均有约束力。</w:t>
      </w:r>
    </w:p>
    <w:p w14:paraId="28ECB00A">
      <w:pPr>
        <w:pStyle w:val="8"/>
        <w:shd w:val="clear" w:color="auto" w:fill="auto"/>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10.4为使投标人在编制投标文件时，把补充公告内容进行研究，采购代理机构可以酌情推迟递交投标文件的截止时间。</w:t>
      </w:r>
    </w:p>
    <w:p w14:paraId="67118A60">
      <w:pPr>
        <w:pStyle w:val="8"/>
        <w:shd w:val="clear" w:color="auto" w:fill="auto"/>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10.5投标人一旦参与本次招标活动，即被视为接受了本</w:t>
      </w:r>
      <w:r>
        <w:rPr>
          <w:rFonts w:hint="eastAsia" w:ascii="宋体" w:hAnsi="宋体" w:cs="宋体"/>
          <w:color w:val="auto"/>
          <w:highlight w:val="none"/>
          <w:lang w:eastAsia="zh-CN"/>
        </w:rPr>
        <w:t>征集文件</w:t>
      </w:r>
      <w:r>
        <w:rPr>
          <w:rFonts w:hint="eastAsia" w:ascii="宋体" w:hAnsi="宋体" w:eastAsia="宋体" w:cs="宋体"/>
          <w:color w:val="auto"/>
          <w:highlight w:val="none"/>
        </w:rPr>
        <w:t>的所有内容，如有任何异议，均须在答疑截止时间前提出。</w:t>
      </w:r>
    </w:p>
    <w:p w14:paraId="602BAABA">
      <w:pPr>
        <w:pStyle w:val="3"/>
        <w:shd w:val="clear" w:color="auto" w:fill="auto"/>
        <w:spacing w:line="360" w:lineRule="exact"/>
        <w:jc w:val="center"/>
        <w:rPr>
          <w:rFonts w:hint="eastAsia" w:ascii="宋体" w:hAnsi="宋体" w:eastAsia="宋体" w:cs="宋体"/>
          <w:color w:val="auto"/>
          <w:sz w:val="28"/>
          <w:szCs w:val="28"/>
          <w:highlight w:val="none"/>
        </w:rPr>
      </w:pPr>
      <w:bookmarkStart w:id="22" w:name="_Toc125344505"/>
      <w:r>
        <w:rPr>
          <w:rFonts w:hint="eastAsia" w:ascii="宋体" w:hAnsi="宋体" w:eastAsia="宋体" w:cs="宋体"/>
          <w:color w:val="auto"/>
          <w:sz w:val="28"/>
          <w:szCs w:val="28"/>
          <w:highlight w:val="none"/>
        </w:rPr>
        <w:t>三、投标文件编制</w:t>
      </w:r>
      <w:bookmarkEnd w:id="22"/>
      <w:r>
        <w:rPr>
          <w:rFonts w:hint="eastAsia" w:ascii="宋体" w:hAnsi="宋体" w:eastAsia="宋体" w:cs="宋体"/>
          <w:color w:val="auto"/>
          <w:sz w:val="28"/>
          <w:szCs w:val="28"/>
          <w:highlight w:val="none"/>
        </w:rPr>
        <w:t>和提交</w:t>
      </w:r>
    </w:p>
    <w:p w14:paraId="49170911">
      <w:pPr>
        <w:shd w:val="clear" w:color="auto" w:fill="auto"/>
        <w:snapToGrid w:val="0"/>
        <w:ind w:firstLine="354" w:firstLineChars="147"/>
        <w:jc w:val="lef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11.投标文件的组成</w:t>
      </w:r>
    </w:p>
    <w:p w14:paraId="396C7885">
      <w:pPr>
        <w:shd w:val="clear" w:color="auto" w:fill="auto"/>
        <w:snapToGrid w:val="0"/>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投标文件由资格文件、商务技术文件、报价文件三部分组成。详见前附表。</w:t>
      </w:r>
    </w:p>
    <w:p w14:paraId="38109301">
      <w:pPr>
        <w:shd w:val="clear" w:color="auto" w:fill="auto"/>
        <w:snapToGrid w:val="0"/>
        <w:ind w:firstLine="354" w:firstLineChars="147"/>
        <w:jc w:val="lef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12.投标文件的语言及计量</w:t>
      </w:r>
    </w:p>
    <w:p w14:paraId="04D677E0">
      <w:pPr>
        <w:pStyle w:val="8"/>
        <w:shd w:val="clear" w:color="auto" w:fill="auto"/>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w:t>
      </w:r>
      <w:r>
        <w:rPr>
          <w:rFonts w:hint="eastAsia" w:ascii="宋体" w:hAnsi="宋体" w:eastAsia="宋体" w:cs="宋体"/>
          <w:color w:val="auto"/>
          <w:highlight w:val="none"/>
          <w:lang w:eastAsia="zh-CN"/>
        </w:rPr>
        <w:t>为其他</w:t>
      </w:r>
      <w:r>
        <w:rPr>
          <w:rFonts w:hint="eastAsia" w:ascii="宋体" w:hAnsi="宋体" w:eastAsia="宋体" w:cs="宋体"/>
          <w:color w:val="auto"/>
          <w:highlight w:val="none"/>
        </w:rPr>
        <w:t>语言，但必须附中文译文。翻译的中文资料与外文资料如果出现差异时，以中文为准，但翻译错误的除外。</w:t>
      </w:r>
    </w:p>
    <w:p w14:paraId="59BD305E">
      <w:pPr>
        <w:pStyle w:val="8"/>
        <w:shd w:val="clear" w:color="auto" w:fill="auto"/>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12.2投标计量单位，</w:t>
      </w:r>
      <w:r>
        <w:rPr>
          <w:rFonts w:hint="eastAsia" w:ascii="宋体" w:hAnsi="宋体" w:cs="宋体"/>
          <w:color w:val="auto"/>
          <w:highlight w:val="none"/>
          <w:lang w:eastAsia="zh-CN"/>
        </w:rPr>
        <w:t>征集文件</w:t>
      </w:r>
      <w:r>
        <w:rPr>
          <w:rFonts w:hint="eastAsia" w:ascii="宋体" w:hAnsi="宋体" w:eastAsia="宋体" w:cs="宋体"/>
          <w:color w:val="auto"/>
          <w:highlight w:val="none"/>
        </w:rPr>
        <w:t>已有明确规定的，使用</w:t>
      </w:r>
      <w:r>
        <w:rPr>
          <w:rFonts w:hint="eastAsia" w:ascii="宋体" w:hAnsi="宋体" w:cs="宋体"/>
          <w:color w:val="auto"/>
          <w:highlight w:val="none"/>
          <w:lang w:eastAsia="zh-CN"/>
        </w:rPr>
        <w:t>征集文件</w:t>
      </w:r>
      <w:r>
        <w:rPr>
          <w:rFonts w:hint="eastAsia" w:ascii="宋体" w:hAnsi="宋体" w:eastAsia="宋体" w:cs="宋体"/>
          <w:color w:val="auto"/>
          <w:highlight w:val="none"/>
        </w:rPr>
        <w:t>规定的计量单位；</w:t>
      </w:r>
      <w:r>
        <w:rPr>
          <w:rFonts w:hint="eastAsia" w:ascii="宋体" w:hAnsi="宋体" w:cs="宋体"/>
          <w:color w:val="auto"/>
          <w:highlight w:val="none"/>
          <w:lang w:eastAsia="zh-CN"/>
        </w:rPr>
        <w:t>征集文件</w:t>
      </w:r>
      <w:r>
        <w:rPr>
          <w:rFonts w:hint="eastAsia" w:ascii="宋体" w:hAnsi="宋体" w:eastAsia="宋体" w:cs="宋体"/>
          <w:color w:val="auto"/>
          <w:highlight w:val="none"/>
        </w:rPr>
        <w:t>没有规定的，应采用中华人民共和国法定计量单位（货币单位：人民币元），否则视同未响应。</w:t>
      </w:r>
    </w:p>
    <w:p w14:paraId="3895A1CB">
      <w:pPr>
        <w:shd w:val="clear" w:color="auto" w:fill="auto"/>
        <w:snapToGrid w:val="0"/>
        <w:ind w:firstLine="354" w:firstLineChars="147"/>
        <w:jc w:val="lef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13.投标报价</w:t>
      </w:r>
    </w:p>
    <w:p w14:paraId="7675A987">
      <w:pPr>
        <w:pStyle w:val="8"/>
        <w:shd w:val="clear" w:color="auto" w:fill="auto"/>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13.1投标报价应按</w:t>
      </w:r>
      <w:r>
        <w:rPr>
          <w:rFonts w:hint="eastAsia" w:ascii="宋体" w:hAnsi="宋体" w:cs="宋体"/>
          <w:color w:val="auto"/>
          <w:highlight w:val="none"/>
          <w:lang w:eastAsia="zh-CN"/>
        </w:rPr>
        <w:t>征集文件</w:t>
      </w:r>
      <w:r>
        <w:rPr>
          <w:rFonts w:hint="eastAsia" w:ascii="宋体" w:hAnsi="宋体" w:eastAsia="宋体" w:cs="宋体"/>
          <w:color w:val="auto"/>
          <w:highlight w:val="none"/>
        </w:rPr>
        <w:t>中相关附表格式填写。本项目的投标应以人民币计。</w:t>
      </w:r>
    </w:p>
    <w:p w14:paraId="001DD32A">
      <w:pPr>
        <w:pStyle w:val="8"/>
        <w:shd w:val="clear" w:color="auto" w:fill="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13.2投标报价应包括货款、标准附件、备品备件、专用工具、包装、运输、装卸、保险、税金、货到就位以及安装、调试、培训、保修等一切税金和费用。投标报价（包括单价、总价等）均保留到小数点后两位（如：100.88元）。投标人必须报有合理单价，其将作为设备增减的主要依据。如有漏项，视同已包含在</w:t>
      </w:r>
      <w:r>
        <w:rPr>
          <w:rFonts w:hint="eastAsia" w:ascii="宋体" w:hAnsi="宋体" w:eastAsia="宋体" w:cs="宋体"/>
          <w:color w:val="auto"/>
          <w:highlight w:val="none"/>
          <w:lang w:eastAsia="zh-CN"/>
        </w:rPr>
        <w:t>其他项目中</w:t>
      </w:r>
      <w:r>
        <w:rPr>
          <w:rFonts w:hint="eastAsia" w:ascii="宋体" w:hAnsi="宋体" w:eastAsia="宋体" w:cs="宋体"/>
          <w:color w:val="auto"/>
          <w:highlight w:val="none"/>
        </w:rPr>
        <w:t>，合同总价和单价不做调整。</w:t>
      </w:r>
    </w:p>
    <w:p w14:paraId="40F2310E">
      <w:pPr>
        <w:pStyle w:val="8"/>
        <w:shd w:val="clear" w:color="auto" w:fill="auto"/>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13.3投标文件只允许有一个报价，有选择的或有条件的报价将不予接受。</w:t>
      </w:r>
    </w:p>
    <w:p w14:paraId="30843480">
      <w:pPr>
        <w:pStyle w:val="8"/>
        <w:shd w:val="clear" w:color="auto" w:fill="auto"/>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13.4</w:t>
      </w:r>
      <w:r>
        <w:rPr>
          <w:rFonts w:hint="eastAsia" w:ascii="宋体" w:hAnsi="宋体" w:cs="宋体"/>
          <w:color w:val="auto"/>
          <w:highlight w:val="none"/>
          <w:lang w:eastAsia="zh-CN"/>
        </w:rPr>
        <w:t>征集文件</w:t>
      </w:r>
      <w:r>
        <w:rPr>
          <w:rFonts w:hint="eastAsia" w:ascii="宋体" w:hAnsi="宋体" w:eastAsia="宋体" w:cs="宋体"/>
          <w:color w:val="auto"/>
          <w:highlight w:val="none"/>
        </w:rPr>
        <w:t>未列明，而投标人认为必需的费用也需列入报价。</w:t>
      </w:r>
    </w:p>
    <w:p w14:paraId="59CE7B07">
      <w:pPr>
        <w:pStyle w:val="8"/>
        <w:shd w:val="clear" w:color="auto" w:fill="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13.5</w:t>
      </w:r>
      <w:r>
        <w:rPr>
          <w:rFonts w:hint="eastAsia" w:ascii="宋体" w:hAnsi="宋体" w:eastAsia="宋体" w:cs="宋体"/>
          <w:color w:val="auto"/>
          <w:szCs w:val="24"/>
          <w:highlight w:val="none"/>
        </w:rPr>
        <w:t>中标后，中标人所填写的单价在合同实施期间不因市场变化因素而变动，投标人在计算报价时应考虑一定的风险系数。</w:t>
      </w:r>
    </w:p>
    <w:p w14:paraId="767D7669">
      <w:pPr>
        <w:pStyle w:val="8"/>
        <w:shd w:val="clear" w:color="auto" w:fill="auto"/>
        <w:snapToGrid w:val="0"/>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13.6投标人若有方案和报价未被唱标，应在开标时及时声明或提请采购代理机构宣读，否则是投标人自己的风险，采购代理机构对此不承担任何责任。</w:t>
      </w:r>
    </w:p>
    <w:p w14:paraId="24D9A9B7">
      <w:pPr>
        <w:pStyle w:val="4"/>
        <w:widowControl w:val="0"/>
        <w:shd w:val="clear" w:color="auto" w:fill="auto"/>
        <w:tabs>
          <w:tab w:val="left" w:pos="720"/>
          <w:tab w:val="clear" w:pos="360"/>
        </w:tabs>
        <w:snapToGrid w:val="0"/>
        <w:spacing w:afterLines="0"/>
        <w:ind w:left="0" w:firstLine="310" w:firstLineChars="147"/>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14.投标文件的有效期</w:t>
      </w:r>
    </w:p>
    <w:p w14:paraId="4F389908">
      <w:pPr>
        <w:pStyle w:val="8"/>
        <w:shd w:val="clear" w:color="auto" w:fill="auto"/>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14.1</w:t>
      </w:r>
      <w:r>
        <w:rPr>
          <w:rFonts w:hint="eastAsia" w:ascii="宋体" w:hAnsi="宋体" w:eastAsia="宋体" w:cs="宋体"/>
          <w:color w:val="auto"/>
          <w:szCs w:val="21"/>
          <w:highlight w:val="none"/>
        </w:rPr>
        <w:t>投标有效期为从投标截止之日算起的日历天数，</w:t>
      </w:r>
      <w:r>
        <w:rPr>
          <w:rFonts w:hint="eastAsia" w:ascii="宋体" w:hAnsi="宋体" w:eastAsia="宋体" w:cs="宋体"/>
          <w:color w:val="auto"/>
          <w:highlight w:val="none"/>
        </w:rPr>
        <w:t>自投标截止日起90天投标书应保持有效。如采购人认为必要，可延长投标有效期。有效期短于这个规定期限的投标将被拒绝。</w:t>
      </w:r>
    </w:p>
    <w:p w14:paraId="5F54288D">
      <w:pPr>
        <w:pStyle w:val="8"/>
        <w:shd w:val="clear" w:color="auto" w:fill="auto"/>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14.2在特殊情况下，采购人可与投标人协商延长投标书的有效期，这种要求和答复均以书面形式进行。</w:t>
      </w:r>
    </w:p>
    <w:p w14:paraId="7B30BC57">
      <w:pPr>
        <w:pStyle w:val="8"/>
        <w:shd w:val="clear" w:color="auto" w:fill="auto"/>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14.3投标人可拒绝接受延期要求，但其投标在原投标有效期满后不再有效。同意延长有效期的投标人不能修改投标文件。 </w:t>
      </w:r>
    </w:p>
    <w:p w14:paraId="67F8F4B9">
      <w:pPr>
        <w:pStyle w:val="8"/>
        <w:shd w:val="clear" w:color="auto" w:fill="auto"/>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14.4中标人的投标文件自开标之日起至合同履行完毕止均应保持有效。</w:t>
      </w:r>
    </w:p>
    <w:p w14:paraId="6C1A615C">
      <w:pPr>
        <w:shd w:val="clear" w:color="auto" w:fill="auto"/>
        <w:snapToGrid w:val="0"/>
        <w:ind w:firstLine="354" w:firstLineChars="147"/>
        <w:jc w:val="lef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15.投标保证金</w:t>
      </w:r>
    </w:p>
    <w:p w14:paraId="4D3D6532">
      <w:pPr>
        <w:shd w:val="clear" w:color="auto" w:fill="auto"/>
        <w:snapToGrid w:val="0"/>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15.1本项目</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投标保证金。</w:t>
      </w:r>
    </w:p>
    <w:p w14:paraId="2BB9941C">
      <w:pPr>
        <w:shd w:val="clear" w:color="auto" w:fill="auto"/>
        <w:snapToGrid w:val="0"/>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15.2如投标人有下列情形</w:t>
      </w:r>
      <w:r>
        <w:rPr>
          <w:rFonts w:hint="eastAsia" w:ascii="宋体" w:hAnsi="宋体" w:eastAsia="宋体" w:cs="宋体"/>
          <w:color w:val="auto"/>
          <w:sz w:val="24"/>
          <w:highlight w:val="none"/>
        </w:rPr>
        <w:t>之一的，应当按照本项目采购预算价2%的标准承担因此给采购单位造成的损失的赔偿责任及相应的法律责任：</w:t>
      </w:r>
    </w:p>
    <w:p w14:paraId="4C8E71BD">
      <w:pPr>
        <w:shd w:val="clear" w:color="auto" w:fill="auto"/>
        <w:snapToGrid w:val="0"/>
        <w:ind w:firstLine="480" w:firstLineChars="200"/>
        <w:jc w:val="left"/>
        <w:outlineLvl w:val="0"/>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15.3.1投标人在投标有效期内撤回投标</w:t>
      </w:r>
      <w:r>
        <w:rPr>
          <w:rFonts w:hint="eastAsia" w:ascii="宋体" w:hAnsi="宋体" w:eastAsia="宋体" w:cs="宋体"/>
          <w:bCs/>
          <w:color w:val="auto"/>
          <w:sz w:val="24"/>
          <w:szCs w:val="24"/>
          <w:highlight w:val="none"/>
        </w:rPr>
        <w:t>文件的；</w:t>
      </w:r>
    </w:p>
    <w:p w14:paraId="6E3C0DB2">
      <w:pPr>
        <w:shd w:val="clear" w:color="auto" w:fill="auto"/>
        <w:snapToGrid w:val="0"/>
        <w:ind w:firstLine="470" w:firstLineChars="19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15.3.2投标人在投标过程中弄虚作假，提供虚假材料的；</w:t>
      </w:r>
    </w:p>
    <w:p w14:paraId="1DAC3EFB">
      <w:pPr>
        <w:shd w:val="clear" w:color="auto" w:fill="auto"/>
        <w:snapToGrid w:val="0"/>
        <w:ind w:firstLine="470" w:firstLineChars="196"/>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15.3.3中标人无正当理由在规定的时间内不与采购人签订合同的；</w:t>
      </w:r>
    </w:p>
    <w:p w14:paraId="230D732A">
      <w:pPr>
        <w:shd w:val="clear" w:color="auto" w:fill="auto"/>
        <w:snapToGrid w:val="0"/>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15.3.4</w:t>
      </w:r>
      <w:r>
        <w:rPr>
          <w:rFonts w:hint="eastAsia" w:ascii="宋体" w:hAnsi="宋体" w:eastAsia="宋体" w:cs="宋体"/>
          <w:color w:val="auto"/>
          <w:sz w:val="24"/>
          <w:szCs w:val="24"/>
          <w:highlight w:val="none"/>
        </w:rPr>
        <w:t>将中标项目转让给他人或者在投标文件中未说明且未经采购人同意，将中标项目分包给他人的；</w:t>
      </w:r>
    </w:p>
    <w:p w14:paraId="5E4DFA7F">
      <w:pPr>
        <w:shd w:val="clear" w:color="auto" w:fill="auto"/>
        <w:snapToGrid w:val="0"/>
        <w:ind w:firstLine="470" w:firstLineChars="196"/>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15.3</w:t>
      </w:r>
      <w:r>
        <w:rPr>
          <w:rFonts w:hint="eastAsia" w:ascii="宋体" w:hAnsi="宋体" w:eastAsia="宋体" w:cs="宋体"/>
          <w:color w:val="auto"/>
          <w:sz w:val="24"/>
          <w:szCs w:val="24"/>
          <w:highlight w:val="none"/>
        </w:rPr>
        <w:t>.5其他严重扰乱招投标程序的；</w:t>
      </w:r>
    </w:p>
    <w:p w14:paraId="7E1997D5">
      <w:pPr>
        <w:shd w:val="clear" w:color="auto" w:fill="auto"/>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15.3.6向有关人员行贿或者采取其他不正当手段谋取中标的；</w:t>
      </w:r>
    </w:p>
    <w:p w14:paraId="50D00ACA">
      <w:pPr>
        <w:shd w:val="clear" w:color="auto" w:fill="auto"/>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15.3.7中标人无正当理由放弃中标的；</w:t>
      </w:r>
    </w:p>
    <w:p w14:paraId="68F6A832">
      <w:pPr>
        <w:shd w:val="clear" w:color="auto" w:fill="auto"/>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15.3.8投标人质疑投诉提供虚假情况；</w:t>
      </w:r>
    </w:p>
    <w:p w14:paraId="67D98710">
      <w:pPr>
        <w:shd w:val="clear" w:color="auto" w:fill="auto"/>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15.3.9存在</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的其他</w:t>
      </w:r>
      <w:r>
        <w:rPr>
          <w:rFonts w:hint="eastAsia" w:ascii="宋体" w:hAnsi="宋体" w:eastAsia="宋体" w:cs="宋体"/>
          <w:color w:val="auto"/>
          <w:sz w:val="24"/>
          <w:szCs w:val="24"/>
          <w:highlight w:val="none"/>
        </w:rPr>
        <w:t>损害采购人或采购单位利益或社会公共利益的情形的。</w:t>
      </w:r>
    </w:p>
    <w:p w14:paraId="34FC2CE9">
      <w:pPr>
        <w:shd w:val="clear" w:color="auto" w:fill="auto"/>
        <w:snapToGrid w:val="0"/>
        <w:ind w:firstLine="472" w:firstLineChars="196"/>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16.投标文件的制作</w:t>
      </w:r>
    </w:p>
    <w:p w14:paraId="3301C91B">
      <w:pPr>
        <w:shd w:val="clear" w:color="auto" w:fill="auto"/>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16.1投标人应按</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前附表规定的内容编制投标文件。</w:t>
      </w:r>
    </w:p>
    <w:p w14:paraId="1E722832">
      <w:pPr>
        <w:shd w:val="clear" w:color="auto" w:fill="auto"/>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16.2投标人应按本</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规定的格式和顺序编制投标文件并标注页码，投标文件内容不完整、编排混乱导致投标文件被误读、漏读或者查找不到相关内容的，是投标人的责任。</w:t>
      </w:r>
    </w:p>
    <w:p w14:paraId="24022EBD">
      <w:pPr>
        <w:shd w:val="clear" w:color="auto" w:fill="auto"/>
        <w:snapToGrid w:val="0"/>
        <w:ind w:firstLine="480" w:firstLineChars="200"/>
        <w:jc w:val="left"/>
        <w:rPr>
          <w:rFonts w:hint="eastAsia" w:ascii="宋体" w:hAnsi="宋体" w:eastAsia="宋体" w:cs="宋体"/>
          <w:b/>
          <w:color w:val="auto"/>
          <w:highlight w:val="none"/>
          <w:u w:val="single"/>
        </w:rPr>
      </w:pPr>
      <w:r>
        <w:rPr>
          <w:rFonts w:hint="eastAsia" w:ascii="宋体" w:hAnsi="宋体" w:eastAsia="宋体" w:cs="宋体"/>
          <w:color w:val="auto"/>
          <w:sz w:val="24"/>
          <w:szCs w:val="24"/>
          <w:highlight w:val="none"/>
        </w:rPr>
        <w:t>16.3投标文件须由投标人在规定位置盖章并由法定代表人或法定代表授权人签署，投标人应写全称。</w:t>
      </w:r>
      <w:r>
        <w:rPr>
          <w:rFonts w:hint="eastAsia" w:ascii="宋体" w:hAnsi="宋体" w:eastAsia="宋体" w:cs="宋体"/>
          <w:b/>
          <w:color w:val="auto"/>
          <w:sz w:val="24"/>
          <w:szCs w:val="24"/>
          <w:highlight w:val="none"/>
        </w:rPr>
        <w:t>电子投标文件中所有加盖公章均采用CA签章。</w:t>
      </w:r>
    </w:p>
    <w:p w14:paraId="5D0A6654">
      <w:pPr>
        <w:shd w:val="clear" w:color="auto" w:fill="auto"/>
        <w:snapToGrid w:val="0"/>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16.4投标文件不得涂改，若有修改错漏处，须加盖单位公章。投标文件因表达不清所引起的后果由投标人负责。</w:t>
      </w:r>
    </w:p>
    <w:p w14:paraId="7389016A">
      <w:pPr>
        <w:shd w:val="clear" w:color="auto" w:fill="auto"/>
        <w:snapToGrid w:val="0"/>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16.5投标人应认真阅读</w:t>
      </w:r>
      <w:r>
        <w:rPr>
          <w:rFonts w:hint="eastAsia" w:ascii="宋体" w:hAnsi="宋体" w:cs="宋体"/>
          <w:b/>
          <w:color w:val="auto"/>
          <w:sz w:val="24"/>
          <w:szCs w:val="24"/>
          <w:highlight w:val="none"/>
          <w:lang w:eastAsia="zh-CN"/>
        </w:rPr>
        <w:t>征集文件</w:t>
      </w:r>
      <w:r>
        <w:rPr>
          <w:rFonts w:hint="eastAsia" w:ascii="宋体" w:hAnsi="宋体" w:eastAsia="宋体" w:cs="宋体"/>
          <w:b/>
          <w:color w:val="auto"/>
          <w:sz w:val="24"/>
          <w:szCs w:val="24"/>
          <w:highlight w:val="none"/>
        </w:rPr>
        <w:t>中所有的内容。如果投标人编制的投标文件实质上不响应</w:t>
      </w:r>
      <w:r>
        <w:rPr>
          <w:rFonts w:hint="eastAsia" w:ascii="宋体" w:hAnsi="宋体" w:cs="宋体"/>
          <w:b/>
          <w:color w:val="auto"/>
          <w:sz w:val="24"/>
          <w:szCs w:val="24"/>
          <w:highlight w:val="none"/>
          <w:lang w:eastAsia="zh-CN"/>
        </w:rPr>
        <w:t>征集文件</w:t>
      </w:r>
      <w:r>
        <w:rPr>
          <w:rFonts w:hint="eastAsia" w:ascii="宋体" w:hAnsi="宋体" w:eastAsia="宋体" w:cs="宋体"/>
          <w:b/>
          <w:color w:val="auto"/>
          <w:sz w:val="24"/>
          <w:szCs w:val="24"/>
          <w:highlight w:val="none"/>
        </w:rPr>
        <w:t>的要求，其投标文件将作无效标处理。</w:t>
      </w:r>
    </w:p>
    <w:p w14:paraId="33F8AF83">
      <w:pPr>
        <w:shd w:val="clear" w:color="auto" w:fill="auto"/>
        <w:snapToGrid w:val="0"/>
        <w:ind w:firstLine="354" w:firstLineChars="147"/>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17.投标文件的递交、修改和撤回</w:t>
      </w:r>
    </w:p>
    <w:p w14:paraId="5682852E">
      <w:pPr>
        <w:pStyle w:val="5"/>
        <w:shd w:val="clear" w:color="auto" w:fill="auto"/>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17.1投标人应将投标文件的资格文件、商务技术文件、报价文件分开制作。</w:t>
      </w:r>
      <w:r>
        <w:rPr>
          <w:rFonts w:hint="eastAsia" w:ascii="宋体" w:hAnsi="宋体" w:eastAsia="宋体" w:cs="宋体"/>
          <w:b/>
          <w:color w:val="auto"/>
          <w:sz w:val="24"/>
          <w:szCs w:val="24"/>
          <w:highlight w:val="none"/>
        </w:rPr>
        <w:t>如投标文件商务技术标内容含有报价的内容，将被视作无效标处理。</w:t>
      </w:r>
    </w:p>
    <w:p w14:paraId="157EF508">
      <w:pPr>
        <w:pStyle w:val="5"/>
        <w:shd w:val="clear" w:color="auto" w:fill="auto"/>
        <w:snapToGrid w:val="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17.2投标人应在开标前在“</w:t>
      </w:r>
      <w:r>
        <w:rPr>
          <w:rFonts w:hint="eastAsia" w:ascii="宋体" w:hAnsi="宋体" w:cs="宋体"/>
          <w:b/>
          <w:color w:val="auto"/>
          <w:sz w:val="24"/>
          <w:szCs w:val="24"/>
          <w:highlight w:val="none"/>
          <w:lang w:eastAsia="zh-CN"/>
        </w:rPr>
        <w:t>乐采云</w:t>
      </w:r>
      <w:r>
        <w:rPr>
          <w:rFonts w:hint="eastAsia" w:ascii="宋体" w:hAnsi="宋体" w:eastAsia="宋体" w:cs="宋体"/>
          <w:b/>
          <w:color w:val="auto"/>
          <w:sz w:val="24"/>
          <w:szCs w:val="24"/>
          <w:highlight w:val="none"/>
        </w:rPr>
        <w:t>”上自行加密上传电子投标文件，逾期上传或未按要求上传的投标文件将予以拒收。</w:t>
      </w:r>
    </w:p>
    <w:p w14:paraId="10FEF88D">
      <w:pPr>
        <w:pStyle w:val="5"/>
        <w:shd w:val="clear" w:color="auto" w:fill="auto"/>
        <w:snapToGrid w:val="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17.3</w:t>
      </w:r>
      <w:r>
        <w:rPr>
          <w:rFonts w:hint="eastAsia" w:ascii="宋体" w:hAnsi="宋体" w:eastAsia="宋体" w:cs="宋体"/>
          <w:color w:val="auto"/>
          <w:sz w:val="24"/>
          <w:szCs w:val="24"/>
          <w:highlight w:val="none"/>
        </w:rPr>
        <w:t>投标人在投标截止时间之前，可以对已提交的投标文件进行修改或撤回，补充、修改的内容为投标文件的组成部分。</w:t>
      </w:r>
    </w:p>
    <w:p w14:paraId="1E4ADCD1">
      <w:pPr>
        <w:pStyle w:val="5"/>
        <w:shd w:val="clear" w:color="auto" w:fill="auto"/>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17.4投标截止时间后，投标人不得撤回、修改投标文件。</w:t>
      </w:r>
    </w:p>
    <w:p w14:paraId="253048D2">
      <w:pPr>
        <w:pStyle w:val="5"/>
        <w:shd w:val="clear" w:color="auto" w:fill="auto"/>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17.5不论投标人中标与否，投标人文件均不得撤回其投标。</w:t>
      </w:r>
    </w:p>
    <w:p w14:paraId="76078764">
      <w:pPr>
        <w:pStyle w:val="5"/>
        <w:shd w:val="clear" w:color="auto" w:fill="auto"/>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17.6未按时解密视为投标文件撤回。</w:t>
      </w:r>
    </w:p>
    <w:p w14:paraId="1010AB7C">
      <w:pPr>
        <w:shd w:val="clear" w:color="auto" w:fill="auto"/>
        <w:snapToGrid w:val="0"/>
        <w:ind w:firstLine="354" w:firstLineChars="147"/>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18.投标无效的情形</w:t>
      </w:r>
    </w:p>
    <w:p w14:paraId="4ABC3E80">
      <w:pPr>
        <w:shd w:val="clear" w:color="auto" w:fill="auto"/>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实质上没有响应</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要求的投标将被视为无效投标。投标人不得通过修正或</w:t>
      </w:r>
      <w:r>
        <w:rPr>
          <w:rFonts w:hint="eastAsia" w:ascii="宋体" w:hAnsi="宋体" w:eastAsia="宋体" w:cs="宋体"/>
          <w:color w:val="auto"/>
          <w:sz w:val="24"/>
          <w:szCs w:val="24"/>
          <w:highlight w:val="none"/>
          <w:lang w:eastAsia="zh-CN"/>
        </w:rPr>
        <w:t>撤销</w:t>
      </w:r>
      <w:r>
        <w:rPr>
          <w:rFonts w:hint="eastAsia" w:ascii="宋体" w:hAnsi="宋体" w:eastAsia="宋体" w:cs="宋体"/>
          <w:color w:val="auto"/>
          <w:sz w:val="24"/>
          <w:szCs w:val="24"/>
          <w:highlight w:val="none"/>
        </w:rPr>
        <w:t>不合要求的偏离或保留从而使其投标成为实质上响应的投标，但经评标委员会认定属于投标人疏忽所造成的差错，应当允许其在评标结束之前进行修改或者补正。限时内不补正或经补正后仍不符合</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要求的，应认定其投标无效。投标人修改、补正投标文件后，不影响评标委员会对其投标文件所作的评价和评分结果。</w:t>
      </w:r>
    </w:p>
    <w:p w14:paraId="75231091">
      <w:pPr>
        <w:pStyle w:val="7"/>
        <w:shd w:val="clear" w:color="auto" w:fill="auto"/>
        <w:snapToGrid w:val="0"/>
        <w:spacing w:after="0"/>
        <w:ind w:left="0" w:leftChars="0"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18.1在符合性审查和资格性审查时，如发现下列情形之一的，投标文件将被视为无效投标：</w:t>
      </w:r>
    </w:p>
    <w:p w14:paraId="7DB75AD3">
      <w:pPr>
        <w:shd w:val="clear" w:color="auto" w:fill="auto"/>
        <w:snapToGrid w:val="0"/>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18.1.1资格证明文件不全的，或者不符合</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标明的资格要求的；</w:t>
      </w:r>
    </w:p>
    <w:p w14:paraId="592F0308">
      <w:pPr>
        <w:shd w:val="clear" w:color="auto" w:fill="auto"/>
        <w:snapToGrid w:val="0"/>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18.1.2未按照</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规定要求盖章；</w:t>
      </w:r>
    </w:p>
    <w:p w14:paraId="42A53FF8">
      <w:pPr>
        <w:shd w:val="clear" w:color="auto" w:fill="auto"/>
        <w:snapToGrid w:val="0"/>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18.1.3投标文件项目不齐全或者内容虚假的；</w:t>
      </w:r>
    </w:p>
    <w:p w14:paraId="17B39EC1">
      <w:pPr>
        <w:shd w:val="clear" w:color="auto" w:fill="auto"/>
        <w:snapToGrid w:val="0"/>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18.1.4投标文件的实质性内容未使用中文表述、意思表述不明确、前后矛盾或者使用计量单位不符合</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要求的；</w:t>
      </w:r>
    </w:p>
    <w:p w14:paraId="2ACC228D">
      <w:pPr>
        <w:shd w:val="clear" w:color="auto" w:fill="auto"/>
        <w:snapToGrid w:val="0"/>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18.1.5投标有效期、交货时间、质保期、售后服务承诺等条款不能满足</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要求的；</w:t>
      </w:r>
    </w:p>
    <w:p w14:paraId="787C88E0">
      <w:pPr>
        <w:shd w:val="clear" w:color="auto" w:fill="auto"/>
        <w:snapToGrid w:val="0"/>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18.1.6投标文件的商务技术标内容含有报价的内容；</w:t>
      </w:r>
    </w:p>
    <w:p w14:paraId="44C6D976">
      <w:pPr>
        <w:shd w:val="clear" w:color="auto" w:fill="auto"/>
        <w:snapToGrid w:val="0"/>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18.1.7投标文件含有采购人不能接受的附加条件的；</w:t>
      </w:r>
    </w:p>
    <w:p w14:paraId="490FF1B7">
      <w:pPr>
        <w:shd w:val="clear" w:color="auto" w:fill="auto"/>
        <w:snapToGrid w:val="0"/>
        <w:ind w:left="420" w:firstLine="48" w:firstLineChars="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18.1.8不符合</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或未实质性响应</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要求或者投标文件有采购人不能接受的附加条件的。</w:t>
      </w:r>
    </w:p>
    <w:p w14:paraId="351703BB">
      <w:pPr>
        <w:pStyle w:val="7"/>
        <w:shd w:val="clear" w:color="auto" w:fill="auto"/>
        <w:snapToGrid w:val="0"/>
        <w:spacing w:after="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18.2在商务技术评审时，如发现下列情形之一的，投标文件将被视为无效：</w:t>
      </w:r>
    </w:p>
    <w:p w14:paraId="5E9CD001">
      <w:pPr>
        <w:shd w:val="clear" w:color="auto" w:fill="auto"/>
        <w:snapToGrid w:val="0"/>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18.2.1未提供或未如实提供投标货物的技术参数，或者投标文件标明的响应或偏离与事实不符或虚假投标的；</w:t>
      </w:r>
    </w:p>
    <w:p w14:paraId="43B36DFC">
      <w:pPr>
        <w:shd w:val="clear" w:color="auto" w:fill="auto"/>
        <w:snapToGrid w:val="0"/>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18.2.2明显不符合</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要求的规格型号、质量标准，或者与</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中标“★”的技术指标、主要功能项目发生实质性偏离的；</w:t>
      </w:r>
    </w:p>
    <w:p w14:paraId="1140A201">
      <w:pPr>
        <w:shd w:val="clear" w:color="auto" w:fill="auto"/>
        <w:snapToGrid w:val="0"/>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18.2.3允许偏离的技术、性能指标或者辅助功能项目发生负偏离达20项（含）以上的；</w:t>
      </w:r>
    </w:p>
    <w:p w14:paraId="0591F30A">
      <w:pPr>
        <w:shd w:val="clear" w:color="auto" w:fill="auto"/>
        <w:snapToGrid w:val="0"/>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18.2.4投标技术方案不明确，存在一个或一个以上备选（替代）投标方案的；</w:t>
      </w:r>
    </w:p>
    <w:p w14:paraId="063868AB">
      <w:pPr>
        <w:shd w:val="clear" w:color="auto" w:fill="auto"/>
        <w:snapToGrid w:val="0"/>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18.2.5</w:t>
      </w:r>
      <w:r>
        <w:rPr>
          <w:rFonts w:hint="eastAsia" w:ascii="宋体" w:hAnsi="宋体" w:eastAsia="宋体" w:cs="宋体"/>
          <w:b/>
          <w:color w:val="auto"/>
          <w:sz w:val="24"/>
          <w:szCs w:val="24"/>
          <w:highlight w:val="none"/>
        </w:rPr>
        <w:t>发现有二份及二份以上投标文件的相互之间有特别相同或相似之处，且经询标澄清投标人无令人信服的理由和可靠证据证明其合理性的，经评标委员会半数以上成员确认有串通投标嫌疑的，其投标文件按无</w:t>
      </w:r>
      <w:r>
        <w:rPr>
          <w:rFonts w:hint="eastAsia" w:ascii="宋体" w:hAnsi="宋体" w:eastAsia="宋体" w:cs="宋体"/>
          <w:b/>
          <w:color w:val="auto"/>
          <w:sz w:val="24"/>
          <w:szCs w:val="24"/>
          <w:highlight w:val="none"/>
          <w:lang w:eastAsia="zh-CN"/>
        </w:rPr>
        <w:t>效投</w:t>
      </w:r>
      <w:r>
        <w:rPr>
          <w:rFonts w:hint="eastAsia" w:ascii="宋体" w:hAnsi="宋体" w:eastAsia="宋体" w:cs="宋体"/>
          <w:b/>
          <w:color w:val="auto"/>
          <w:sz w:val="24"/>
          <w:szCs w:val="24"/>
          <w:highlight w:val="none"/>
        </w:rPr>
        <w:t>标处理，予以废除，不再对其进行评审，也不影响招标工作继续评标。</w:t>
      </w:r>
    </w:p>
    <w:p w14:paraId="0E676970">
      <w:pPr>
        <w:pStyle w:val="7"/>
        <w:shd w:val="clear" w:color="auto" w:fill="auto"/>
        <w:snapToGrid w:val="0"/>
        <w:spacing w:after="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18.3在报价评审时，如发现下列情形之一的，投标文件将被视为无效：</w:t>
      </w:r>
    </w:p>
    <w:p w14:paraId="57AA9567">
      <w:pPr>
        <w:shd w:val="clear" w:color="auto" w:fill="auto"/>
        <w:snapToGrid w:val="0"/>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标明的币种报价的；</w:t>
      </w:r>
    </w:p>
    <w:p w14:paraId="2156C88B">
      <w:pPr>
        <w:shd w:val="clear" w:color="auto" w:fill="auto"/>
        <w:snapToGrid w:val="0"/>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（2）投标报价超过</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中规定的最高限价的；</w:t>
      </w:r>
    </w:p>
    <w:p w14:paraId="153D7F55">
      <w:pPr>
        <w:shd w:val="clear" w:color="auto" w:fill="auto"/>
        <w:snapToGrid w:val="0"/>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（3）评标委员会认为投标人的报价明显低于其他通过符合性审查投标人的报价，有可能影响产品质量或者不能诚信履约，且投标人不能证明其报价合理性的；</w:t>
      </w:r>
    </w:p>
    <w:p w14:paraId="4B3A1FF7">
      <w:pPr>
        <w:shd w:val="clear" w:color="auto" w:fill="auto"/>
        <w:snapToGrid w:val="0"/>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（4）投标人不接受报价文件中修正后的报价的；</w:t>
      </w:r>
    </w:p>
    <w:p w14:paraId="1091EF1B">
      <w:pPr>
        <w:shd w:val="clear" w:color="auto" w:fill="auto"/>
        <w:snapToGrid w:val="0"/>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（5）投标报价具有选择性。</w:t>
      </w:r>
    </w:p>
    <w:p w14:paraId="3E497E08">
      <w:pPr>
        <w:pStyle w:val="7"/>
        <w:shd w:val="clear" w:color="auto" w:fill="auto"/>
        <w:snapToGrid w:val="0"/>
        <w:spacing w:after="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18.4符合</w:t>
      </w:r>
      <w:r>
        <w:rPr>
          <w:rFonts w:hint="eastAsia" w:ascii="宋体" w:hAnsi="宋体" w:cs="宋体"/>
          <w:b/>
          <w:bCs/>
          <w:color w:val="auto"/>
          <w:sz w:val="24"/>
          <w:szCs w:val="24"/>
          <w:highlight w:val="none"/>
          <w:lang w:eastAsia="zh-CN"/>
        </w:rPr>
        <w:t>征集文件</w:t>
      </w:r>
      <w:r>
        <w:rPr>
          <w:rFonts w:hint="eastAsia" w:ascii="宋体" w:hAnsi="宋体" w:eastAsia="宋体" w:cs="宋体"/>
          <w:b/>
          <w:bCs/>
          <w:color w:val="auto"/>
          <w:sz w:val="24"/>
          <w:szCs w:val="24"/>
          <w:highlight w:val="none"/>
        </w:rPr>
        <w:t>明确规定的其他无效投标条款的。</w:t>
      </w:r>
    </w:p>
    <w:p w14:paraId="13D13456">
      <w:pPr>
        <w:pStyle w:val="3"/>
        <w:shd w:val="clear" w:color="auto" w:fill="auto"/>
        <w:spacing w:line="360" w:lineRule="exact"/>
        <w:jc w:val="center"/>
        <w:rPr>
          <w:rFonts w:hint="eastAsia" w:ascii="宋体" w:hAnsi="宋体" w:eastAsia="宋体" w:cs="宋体"/>
          <w:color w:val="auto"/>
          <w:sz w:val="28"/>
          <w:szCs w:val="28"/>
          <w:highlight w:val="none"/>
        </w:rPr>
      </w:pPr>
      <w:bookmarkStart w:id="23" w:name="_Toc125344507"/>
      <w:r>
        <w:rPr>
          <w:rFonts w:hint="eastAsia" w:ascii="宋体" w:hAnsi="宋体" w:eastAsia="宋体" w:cs="宋体"/>
          <w:color w:val="auto"/>
          <w:sz w:val="28"/>
          <w:szCs w:val="28"/>
          <w:highlight w:val="none"/>
        </w:rPr>
        <w:t>四、开  标</w:t>
      </w:r>
      <w:bookmarkEnd w:id="23"/>
    </w:p>
    <w:p w14:paraId="48C23813">
      <w:pPr>
        <w:shd w:val="clear" w:color="auto" w:fill="auto"/>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19.</w:t>
      </w:r>
      <w:r>
        <w:rPr>
          <w:rFonts w:hint="eastAsia" w:ascii="宋体" w:hAnsi="宋体" w:eastAsia="宋体" w:cs="宋体"/>
          <w:b/>
          <w:color w:val="auto"/>
          <w:sz w:val="24"/>
          <w:highlight w:val="none"/>
        </w:rPr>
        <w:t>开标</w:t>
      </w:r>
    </w:p>
    <w:p w14:paraId="37A29046">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19.1采购代理机构将在前附表规定的时间、地点进行开标。无关人员不得进入开标现场。</w:t>
      </w:r>
    </w:p>
    <w:p w14:paraId="4CF1D3FC">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19.2本项目实行电子开评标，投标人无需前往开评标现场，只需在规定时间内在“</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 xml:space="preserve">”平台上上传电子投标文件。 </w:t>
      </w:r>
    </w:p>
    <w:p w14:paraId="3A125AD0">
      <w:pPr>
        <w:shd w:val="clear" w:color="auto" w:fill="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20.开标程序</w:t>
      </w:r>
    </w:p>
    <w:p w14:paraId="206C2142">
      <w:pPr>
        <w:shd w:val="clear" w:color="auto" w:fill="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20.1投标截止时间后的30分钟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6A2C6446">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20.2评标委员会对投标人的资格和商务技术响应文件进行评审；</w:t>
      </w:r>
    </w:p>
    <w:p w14:paraId="631472A1">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20.3对商务技术标有效的投标单位的投标报价在“</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”平台上予以公开；</w:t>
      </w:r>
    </w:p>
    <w:p w14:paraId="2EFBF599">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20.4评标委员会对商务技术标有效的投标单位进行投标报价评审，确定投标报价评审有效投标单位；</w:t>
      </w:r>
    </w:p>
    <w:p w14:paraId="42A21C66">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20.5对投标报价评审后有效的投标单位计算投标报价；</w:t>
      </w:r>
    </w:p>
    <w:p w14:paraId="301A1DD4">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20.6确定预中标人。</w:t>
      </w:r>
    </w:p>
    <w:p w14:paraId="7155918D">
      <w:pPr>
        <w:shd w:val="clear" w:color="auto" w:fill="auto"/>
        <w:ind w:firstLine="482" w:firstLineChars="200"/>
        <w:rPr>
          <w:rFonts w:hint="eastAsia" w:ascii="宋体" w:hAnsi="宋体" w:eastAsia="宋体" w:cs="宋体"/>
          <w:b/>
          <w:color w:val="auto"/>
          <w:sz w:val="24"/>
          <w:highlight w:val="none"/>
        </w:rPr>
      </w:pPr>
      <w:bookmarkStart w:id="24" w:name="_Toc125344508"/>
      <w:r>
        <w:rPr>
          <w:rFonts w:hint="eastAsia" w:ascii="宋体" w:hAnsi="宋体" w:eastAsia="宋体" w:cs="宋体"/>
          <w:b/>
          <w:color w:val="auto"/>
          <w:sz w:val="24"/>
          <w:highlight w:val="none"/>
        </w:rPr>
        <w:t>特别说明：</w:t>
      </w:r>
    </w:p>
    <w:p w14:paraId="1A6CF543">
      <w:pPr>
        <w:shd w:val="clear" w:color="auto" w:fill="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eastAsia="zh-CN"/>
        </w:rPr>
        <w:t>乐采云</w:t>
      </w:r>
      <w:r>
        <w:rPr>
          <w:rFonts w:hint="eastAsia" w:ascii="宋体" w:hAnsi="宋体" w:eastAsia="宋体" w:cs="宋体"/>
          <w:b/>
          <w:color w:val="auto"/>
          <w:sz w:val="24"/>
          <w:highlight w:val="none"/>
        </w:rPr>
        <w:t>公司如对电子化开标及评审程序有调整的，按调整后的程序操作。</w:t>
      </w:r>
    </w:p>
    <w:p w14:paraId="12A816A0">
      <w:pPr>
        <w:shd w:val="clear" w:color="auto" w:fill="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2、如中标单位投标文件和</w:t>
      </w:r>
      <w:r>
        <w:rPr>
          <w:rFonts w:hint="eastAsia" w:ascii="宋体" w:hAnsi="宋体" w:cs="宋体"/>
          <w:b/>
          <w:color w:val="auto"/>
          <w:sz w:val="24"/>
          <w:highlight w:val="none"/>
          <w:lang w:eastAsia="zh-CN"/>
        </w:rPr>
        <w:t>征集文件</w:t>
      </w:r>
      <w:r>
        <w:rPr>
          <w:rFonts w:hint="eastAsia" w:ascii="宋体" w:hAnsi="宋体" w:eastAsia="宋体" w:cs="宋体"/>
          <w:b/>
          <w:color w:val="auto"/>
          <w:sz w:val="24"/>
          <w:highlight w:val="none"/>
        </w:rPr>
        <w:t>要求不一致，且评审过程中未发现的，履约应按有利于采购人的要求执行。</w:t>
      </w:r>
    </w:p>
    <w:p w14:paraId="25B2C9F9">
      <w:pPr>
        <w:shd w:val="clear" w:color="auto" w:fill="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3、采购过程中出现以下情形，导致电子交易平台无法正常运行，或者无法保证电子交易的公平、公正和安全时，采购组织机构可中止电子交易活动：</w:t>
      </w:r>
    </w:p>
    <w:p w14:paraId="3E54BE12">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（一）电子交易平台发生故障而无法登录访问的； </w:t>
      </w:r>
    </w:p>
    <w:p w14:paraId="6E57CA6E">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（二）电子交易平台应用或数据库出现错误，不能进行正常操作的；</w:t>
      </w:r>
    </w:p>
    <w:p w14:paraId="382F0958">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（三）电子交易平台发现严重安全漏洞，有潜在泄密危险的；</w:t>
      </w:r>
    </w:p>
    <w:p w14:paraId="405F60F4">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（四）病毒发作导致不能进行正常操作的； </w:t>
      </w:r>
    </w:p>
    <w:p w14:paraId="0AD50D3A">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（五）其他无法保证电子交易的公平、公正和安全的情况。</w:t>
      </w:r>
    </w:p>
    <w:p w14:paraId="4F9D6152">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出现前款规定情形，不影响采购公平、公正性的，采购组织机构可以待上述情形消除后继续组织电子交易活动；影响或可能影响采购公平、公正性的，应当重新采购。</w:t>
      </w:r>
    </w:p>
    <w:p w14:paraId="615CB329">
      <w:pPr>
        <w:pStyle w:val="3"/>
        <w:shd w:val="clear" w:color="auto" w:fill="auto"/>
        <w:spacing w:line="3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五、评　标</w:t>
      </w:r>
      <w:bookmarkEnd w:id="24"/>
    </w:p>
    <w:p w14:paraId="2628BAFB">
      <w:pPr>
        <w:shd w:val="clear" w:color="auto" w:fill="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 组建评标委员会</w:t>
      </w:r>
    </w:p>
    <w:p w14:paraId="446048B9">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评标委员会按照有关规定组建。</w:t>
      </w:r>
    </w:p>
    <w:p w14:paraId="1BD92ACE">
      <w:pPr>
        <w:shd w:val="clear" w:color="auto" w:fill="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22.评标原则</w:t>
      </w:r>
    </w:p>
    <w:p w14:paraId="2418BB88">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22.1评标委员会必须公平、公正、客观，不带任何倾向性和启发性；</w:t>
      </w:r>
    </w:p>
    <w:p w14:paraId="2C8CE9B1">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22.2不得向外界透露任何与评标有关的内容；</w:t>
      </w:r>
    </w:p>
    <w:p w14:paraId="087D7E71">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22.3任何单位和个人不得干扰、影响评标的正常进行；</w:t>
      </w:r>
    </w:p>
    <w:p w14:paraId="04FB068E">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22.4评标委员会及有关工作人员不得私下与投标人接触。</w:t>
      </w:r>
    </w:p>
    <w:p w14:paraId="49A83BC5">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22.5评审专家因回避、临时缺席或健康原因等特殊情况不能继续参加评审工作的，应按规定更换评审专家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被更换的评审人员之前所作出的评审意见不再予以采纳，由更换后的评审人员重新进行评审。无法及时更换专家的，要立即停止评审工作、封存评审资料，并告知投标人择期重新评审的时间和地点。</w:t>
      </w:r>
    </w:p>
    <w:p w14:paraId="38D91FA7">
      <w:pPr>
        <w:shd w:val="clear" w:color="auto" w:fill="auto"/>
        <w:snapToGrid w:val="0"/>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22.6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cs="宋体"/>
          <w:b/>
          <w:color w:val="auto"/>
          <w:sz w:val="24"/>
          <w:highlight w:val="none"/>
          <w:lang w:eastAsia="zh-CN"/>
        </w:rPr>
        <w:t>征集文件</w:t>
      </w:r>
      <w:r>
        <w:rPr>
          <w:rFonts w:hint="eastAsia" w:ascii="宋体" w:hAnsi="宋体" w:eastAsia="宋体" w:cs="宋体"/>
          <w:b/>
          <w:color w:val="auto"/>
          <w:sz w:val="24"/>
          <w:highlight w:val="none"/>
        </w:rPr>
        <w:t>规定的方式确定一个投标人获得中标人推荐资格，</w:t>
      </w:r>
      <w:r>
        <w:rPr>
          <w:rFonts w:hint="eastAsia" w:ascii="宋体" w:hAnsi="宋体" w:cs="宋体"/>
          <w:b/>
          <w:color w:val="auto"/>
          <w:sz w:val="24"/>
          <w:highlight w:val="none"/>
          <w:lang w:eastAsia="zh-CN"/>
        </w:rPr>
        <w:t>征集文件</w:t>
      </w:r>
      <w:r>
        <w:rPr>
          <w:rFonts w:hint="eastAsia" w:ascii="宋体" w:hAnsi="宋体" w:eastAsia="宋体" w:cs="宋体"/>
          <w:b/>
          <w:color w:val="auto"/>
          <w:sz w:val="24"/>
          <w:highlight w:val="none"/>
        </w:rPr>
        <w:t>未规定的采取随机抽取方式确定，其他同品牌投标人不作为中标候选人。</w:t>
      </w:r>
    </w:p>
    <w:p w14:paraId="2E4E8F54">
      <w:pPr>
        <w:shd w:val="clear" w:color="auto" w:fill="auto"/>
        <w:snapToGrid w:val="0"/>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非单一产品采购项目，采购人应当根据采购项目技术构成、产品价格比重等合理确定核心产品，并在</w:t>
      </w:r>
      <w:r>
        <w:rPr>
          <w:rFonts w:hint="eastAsia" w:ascii="宋体" w:hAnsi="宋体" w:cs="宋体"/>
          <w:b/>
          <w:color w:val="auto"/>
          <w:sz w:val="24"/>
          <w:highlight w:val="none"/>
          <w:lang w:eastAsia="zh-CN"/>
        </w:rPr>
        <w:t>征集文件</w:t>
      </w:r>
      <w:r>
        <w:rPr>
          <w:rFonts w:hint="eastAsia" w:ascii="宋体" w:hAnsi="宋体" w:eastAsia="宋体" w:cs="宋体"/>
          <w:b/>
          <w:color w:val="auto"/>
          <w:sz w:val="24"/>
          <w:highlight w:val="none"/>
        </w:rPr>
        <w:t>中载明。多家投标人提供的核心产品品牌相同的，按前款规定处理。</w:t>
      </w:r>
    </w:p>
    <w:p w14:paraId="26B90744">
      <w:pPr>
        <w:shd w:val="clear" w:color="auto" w:fill="auto"/>
        <w:snapToGrid w:val="0"/>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22.7</w:t>
      </w:r>
      <w:r>
        <w:rPr>
          <w:rFonts w:hint="eastAsia" w:ascii="宋体" w:hAnsi="宋体" w:eastAsia="宋体" w:cs="宋体"/>
          <w:color w:val="auto"/>
          <w:sz w:val="24"/>
          <w:highlight w:val="none"/>
        </w:rPr>
        <w:t>以联合体形式参加采购活动的，联合体各方不得再单独参加或者与其他供应商另外组成联合体参加同一合同项下的采购活动。</w:t>
      </w:r>
    </w:p>
    <w:p w14:paraId="48A31D65">
      <w:pPr>
        <w:shd w:val="clear" w:color="auto" w:fill="auto"/>
        <w:snapToGrid w:val="0"/>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22.8除单一来源采购以外，为采购项目提供整体设计、规范编制或者项目管理、监理、检测等服务的供应商，不得参加本采购项目。</w:t>
      </w:r>
    </w:p>
    <w:p w14:paraId="2FD4D5B1">
      <w:pPr>
        <w:shd w:val="clear" w:color="auto" w:fill="auto"/>
        <w:snapToGrid w:val="0"/>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22.9单位负责人为同一人或者存在直接控股、管理关系的不同供应商，不得参加同一合同项下的采购活动。</w:t>
      </w:r>
    </w:p>
    <w:p w14:paraId="6306023B">
      <w:pPr>
        <w:pStyle w:val="8"/>
        <w:shd w:val="clear" w:color="auto" w:fill="auto"/>
        <w:snapToGrid w:val="0"/>
        <w:ind w:left="2" w:leftChars="1"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22.10本项目涉及提供的有关资质证书，若原有资质证书处于年审期间，投标人提供年审证明的可按原资质投标；若投标人正在申报上一级别资质，在未获批准之前，仍按原级别资质投标。</w:t>
      </w:r>
    </w:p>
    <w:p w14:paraId="497CD9C5">
      <w:pPr>
        <w:shd w:val="clear" w:color="auto" w:fill="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23.评标程序</w:t>
      </w:r>
    </w:p>
    <w:p w14:paraId="33674433">
      <w:pPr>
        <w:shd w:val="clear" w:color="auto" w:fill="auto"/>
        <w:snapToGrid w:val="0"/>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23.1资格审查</w:t>
      </w:r>
    </w:p>
    <w:p w14:paraId="26C33953">
      <w:pPr>
        <w:shd w:val="clear" w:color="auto" w:fill="auto"/>
        <w:snapToGrid w:val="0"/>
        <w:ind w:firstLine="470" w:firstLineChars="196"/>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依据</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和</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规定，采购人或采购人委托的代理机构对投标人进行资格审查，以确定投标人是否具备投标资格。</w:t>
      </w:r>
    </w:p>
    <w:p w14:paraId="283FA9B1">
      <w:pPr>
        <w:shd w:val="clear" w:color="auto" w:fill="auto"/>
        <w:snapToGrid w:val="0"/>
        <w:ind w:firstLine="472" w:firstLineChars="196"/>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23.2形式审查</w:t>
      </w:r>
    </w:p>
    <w:p w14:paraId="11B6BBED">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评标委员会对投标人的</w:t>
      </w:r>
      <w:r>
        <w:rPr>
          <w:rFonts w:hint="eastAsia" w:ascii="宋体" w:hAnsi="宋体" w:eastAsia="宋体" w:cs="宋体"/>
          <w:color w:val="auto"/>
          <w:sz w:val="24"/>
          <w:highlight w:val="none"/>
        </w:rPr>
        <w:t>投标文件的完整性、合法性等进行审查。</w:t>
      </w:r>
    </w:p>
    <w:p w14:paraId="40ED71C5">
      <w:pPr>
        <w:shd w:val="clear" w:color="auto" w:fill="auto"/>
        <w:snapToGrid w:val="0"/>
        <w:ind w:firstLine="472" w:firstLineChars="196"/>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23.3实质审查与比较</w:t>
      </w:r>
    </w:p>
    <w:p w14:paraId="690C1D60">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23.3.1评标时，评标委员会将以</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为基本依据，首先评定每份投标文件是否在实质上响应了</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的要求。所谓实质上响应，是指投标文件应与</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的所有实质性条款、条件和要求相符，无显著差异或保留，或者对合同中约定的采购人的权利和投标人的义务方面造成重大的限制，纠正这些显著差异或保留将会对其他实质上响应</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要求的投标文件的投标人的竞争地位产生不公平的影响。</w:t>
      </w:r>
    </w:p>
    <w:p w14:paraId="6FA5D226">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23.3.2评标委员会将根据投标人的投标文件进行审查、核对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如有疑问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将对投标人进行询标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投标人要向评标委员会澄清有关问题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并最终以“</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”在线询标或其他有效</w:t>
      </w:r>
      <w:r>
        <w:rPr>
          <w:rFonts w:hint="eastAsia" w:ascii="宋体" w:hAnsi="宋体" w:eastAsia="宋体" w:cs="宋体"/>
          <w:color w:val="auto"/>
          <w:sz w:val="24"/>
          <w:highlight w:val="none"/>
          <w:lang w:eastAsia="zh-CN"/>
        </w:rPr>
        <w:t>形式进行</w:t>
      </w:r>
      <w:r>
        <w:rPr>
          <w:rFonts w:hint="eastAsia" w:ascii="宋体" w:hAnsi="宋体" w:eastAsia="宋体" w:cs="宋体"/>
          <w:color w:val="auto"/>
          <w:sz w:val="24"/>
          <w:highlight w:val="none"/>
        </w:rPr>
        <w:t>答复。投标人代表拒绝澄清或者澄清的内容改变了投标文件的实质性内容的，评标委员会有权对该投标文件作出不利于投标人的评判。</w:t>
      </w:r>
    </w:p>
    <w:p w14:paraId="2B203C5F">
      <w:pPr>
        <w:pStyle w:val="12"/>
        <w:shd w:val="clear" w:color="auto" w:fill="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23.3.3投标人应详细说明投标技术方案中产品的具体参数，不得照搬照抄</w:t>
      </w:r>
      <w:r>
        <w:rPr>
          <w:rFonts w:hint="eastAsia" w:ascii="宋体" w:hAnsi="宋体" w:cs="宋体"/>
          <w:b/>
          <w:color w:val="auto"/>
          <w:sz w:val="24"/>
          <w:highlight w:val="none"/>
          <w:lang w:eastAsia="zh-CN"/>
        </w:rPr>
        <w:t>征集文件</w:t>
      </w:r>
      <w:r>
        <w:rPr>
          <w:rFonts w:hint="eastAsia" w:ascii="宋体" w:hAnsi="宋体" w:eastAsia="宋体" w:cs="宋体"/>
          <w:b/>
          <w:color w:val="auto"/>
          <w:sz w:val="24"/>
          <w:highlight w:val="none"/>
        </w:rPr>
        <w:t>的技术要求。否则，评标委员会有权认定为投标技术方案不合格响应，其相关分数予以扣减或作无效标处理。</w:t>
      </w:r>
    </w:p>
    <w:p w14:paraId="6B672848">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23.3.4如果投标文件实质不响应</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的各项要求，评标委员会将予以拒绝，并且不允许投标人通过修改或撤销其不符合要求的差异或保留，使之成为具有响应性的投标。</w:t>
      </w:r>
    </w:p>
    <w:p w14:paraId="558DC776">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23.3.5各投标人的商务技术得分为所有评委的有效评分的算术平均数。</w:t>
      </w:r>
    </w:p>
    <w:p w14:paraId="103C90D4">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23.3.6评标委员会完成评标后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评委对各部分得分汇总</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计算出本项目最终得分。评标委员会按评标原则推荐中标候选人，同时起草评标报告。</w:t>
      </w:r>
    </w:p>
    <w:p w14:paraId="285FD5FC">
      <w:pPr>
        <w:pStyle w:val="12"/>
        <w:shd w:val="clear" w:color="auto" w:fill="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23.3.7评标委员会对明显不合理的投标报价，有权要求投标人在规定时间内提交说明，投标人不能提供的或提供的材料不能说明问题的，评标委员会可以判定其投标无效。</w:t>
      </w:r>
    </w:p>
    <w:p w14:paraId="69999A01">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23.3.8评审人员对有关</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01552B7A">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23.3.9评标委员会发现</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存在歧义、重大缺陷导致评标工作无法进行，或者</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内容违反国家有关强制性规定的，应当停止评标工作，与采购人或者采购代理机构沟通并作书面记录。采购人或者采购代理机构确认后，应当修改</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，重新组织采购活动。</w:t>
      </w:r>
    </w:p>
    <w:p w14:paraId="15C78CA0">
      <w:pPr>
        <w:shd w:val="clear" w:color="auto" w:fill="auto"/>
        <w:ind w:firstLine="479" w:firstLineChars="19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24.</w:t>
      </w:r>
      <w:r>
        <w:rPr>
          <w:rFonts w:hint="eastAsia" w:ascii="宋体" w:hAnsi="宋体" w:eastAsia="宋体" w:cs="宋体"/>
          <w:color w:val="auto"/>
          <w:sz w:val="24"/>
          <w:szCs w:val="24"/>
          <w:highlight w:val="none"/>
        </w:rPr>
        <w:t>如投标人或采购人有下列情形之一的，应按串通投标行为认定，禁止其一至三年内进入本市招投标市场，情节严重的移送有关部门依法处理。</w:t>
      </w:r>
    </w:p>
    <w:p w14:paraId="15C7048B">
      <w:pPr>
        <w:shd w:val="clear" w:color="auto" w:fill="auto"/>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24.1不同投标人的投标文件由同一单位或人员编制； </w:t>
      </w:r>
    </w:p>
    <w:p w14:paraId="789FB380">
      <w:pPr>
        <w:shd w:val="clear" w:color="auto" w:fill="auto"/>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24.2不同投标人委托同一单位或个人办理投标事宜；</w:t>
      </w:r>
    </w:p>
    <w:p w14:paraId="68FB5DFD">
      <w:pPr>
        <w:shd w:val="clear" w:color="auto" w:fill="auto"/>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24.3不同投标人的投标文件载明的项目管理或联系人员为同一人；</w:t>
      </w:r>
    </w:p>
    <w:p w14:paraId="127395EC">
      <w:pPr>
        <w:shd w:val="clear" w:color="auto" w:fill="auto"/>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24.4不同投标人的投标文件异常一致或者投标报价呈规律性差异； </w:t>
      </w:r>
    </w:p>
    <w:p w14:paraId="4A5477D3">
      <w:pPr>
        <w:shd w:val="clear" w:color="auto" w:fill="auto"/>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24.5不同投标人的投标文件遗留其他投标人不属于本投标人参加采购必需的信息资料的；</w:t>
      </w:r>
    </w:p>
    <w:p w14:paraId="0EA40194">
      <w:pPr>
        <w:shd w:val="clear" w:color="auto" w:fill="auto"/>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24.6不同投标人的授权代表为同一单位的工作人员的；   </w:t>
      </w:r>
    </w:p>
    <w:p w14:paraId="5F7DD049">
      <w:pPr>
        <w:shd w:val="clear" w:color="auto" w:fill="auto"/>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24.7采购响应截止时间后，采购人协助投标人撤换或更改投标文件的；</w:t>
      </w:r>
    </w:p>
    <w:p w14:paraId="56519469">
      <w:pPr>
        <w:shd w:val="clear" w:color="auto" w:fill="auto"/>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24.8采购人泄露有意向参加采购的投标人名称、数量等应当保密的事项的；</w:t>
      </w:r>
    </w:p>
    <w:p w14:paraId="2F662638">
      <w:pPr>
        <w:shd w:val="clear" w:color="auto" w:fill="auto"/>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24.9不同投标人之间私下达成书面或口头协议，指定一家投标人中标或轮流中标的；</w:t>
      </w:r>
    </w:p>
    <w:p w14:paraId="7A38012D">
      <w:pPr>
        <w:shd w:val="clear" w:color="auto" w:fill="auto"/>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24.10属于同一集团、协会、商会等组织成员的投标人按照该组织要求协同的投标；</w:t>
      </w:r>
    </w:p>
    <w:p w14:paraId="7AB044F6">
      <w:pPr>
        <w:shd w:val="clear" w:color="auto" w:fill="auto"/>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24.11投标人之间为谋取中标或者排斥特定投标人而采取的其他联合行动；</w:t>
      </w:r>
    </w:p>
    <w:p w14:paraId="1D9C0F5B">
      <w:pPr>
        <w:shd w:val="clear" w:color="auto" w:fill="auto"/>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24.12不同投标人与同一投标人联合投标的；</w:t>
      </w:r>
    </w:p>
    <w:p w14:paraId="730BCBAC">
      <w:pPr>
        <w:shd w:val="clear" w:color="auto" w:fill="auto"/>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24.13采购人（或采购代理机构）明示或者暗示投标人压低或者抬高投标报价；</w:t>
      </w:r>
    </w:p>
    <w:p w14:paraId="04563612">
      <w:pPr>
        <w:shd w:val="clear" w:color="auto" w:fill="auto"/>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24.14采购人（或采购代理机构）明示或者暗示投标人为特定投标人中标提供方便；</w:t>
      </w:r>
    </w:p>
    <w:p w14:paraId="65F100A2">
      <w:pPr>
        <w:shd w:val="clear" w:color="auto" w:fill="auto"/>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24.15采购人（或采购代理机构）与投标人为谋求特定投标人中标而采取的其他串通行为；</w:t>
      </w:r>
    </w:p>
    <w:p w14:paraId="6D45EC10">
      <w:pPr>
        <w:shd w:val="clear" w:color="auto" w:fill="auto"/>
        <w:snapToGrid w:val="0"/>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24.16</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或规章规定的其他串通行为。</w:t>
      </w:r>
    </w:p>
    <w:p w14:paraId="5312B6DF">
      <w:pPr>
        <w:shd w:val="clear" w:color="auto" w:fill="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25.投标文件的澄清</w:t>
      </w:r>
    </w:p>
    <w:p w14:paraId="33F22D33">
      <w:pPr>
        <w:shd w:val="clear" w:color="auto" w:fill="auto"/>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对投标文件中含义不明确、同类问题表述不一致或者有明显文字错误的内容，评标委员会可以在“</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”平台在线询标或其他有效形式要求投标人对同一份投标文件含义不明确或同类问题表述不一致的内容（</w:t>
      </w:r>
      <w:r>
        <w:rPr>
          <w:rFonts w:hint="eastAsia" w:ascii="宋体" w:hAnsi="宋体" w:cs="宋体"/>
          <w:color w:val="auto"/>
          <w:sz w:val="24"/>
          <w:highlight w:val="none"/>
          <w:lang w:eastAsia="zh-CN"/>
        </w:rPr>
        <w:t>征集文件其他</w:t>
      </w:r>
      <w:r>
        <w:rPr>
          <w:rFonts w:hint="eastAsia" w:ascii="宋体" w:hAnsi="宋体" w:eastAsia="宋体" w:cs="宋体"/>
          <w:color w:val="auto"/>
          <w:sz w:val="24"/>
          <w:highlight w:val="none"/>
        </w:rPr>
        <w:t>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14:paraId="492F2829">
      <w:pPr>
        <w:pStyle w:val="8"/>
        <w:shd w:val="clear" w:color="auto" w:fill="auto"/>
        <w:snapToGrid w:val="0"/>
        <w:ind w:left="720" w:leftChars="228" w:hanging="241" w:hangingChars="100"/>
        <w:rPr>
          <w:rFonts w:hint="eastAsia" w:ascii="宋体" w:hAnsi="宋体" w:eastAsia="宋体" w:cs="宋体"/>
          <w:b/>
          <w:color w:val="auto"/>
          <w:highlight w:val="none"/>
        </w:rPr>
      </w:pPr>
      <w:r>
        <w:rPr>
          <w:rFonts w:hint="eastAsia" w:ascii="宋体" w:hAnsi="宋体" w:eastAsia="宋体" w:cs="宋体"/>
          <w:b/>
          <w:color w:val="auto"/>
          <w:highlight w:val="none"/>
        </w:rPr>
        <w:t>26.错误修正</w:t>
      </w:r>
    </w:p>
    <w:p w14:paraId="1150E171">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投标文件报价出现前后不一致的，按照下列规定修正：</w:t>
      </w:r>
    </w:p>
    <w:p w14:paraId="6D618865">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26.1投标文件中开标一览表（报价表）内容与投标文件中相应内容不一致的，以开标一览表（报价表）为准。</w:t>
      </w:r>
    </w:p>
    <w:p w14:paraId="4C65D95D">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26.2大写金额和小写金额不一致的，以大写金额为准。</w:t>
      </w:r>
    </w:p>
    <w:p w14:paraId="4F7A5DBF">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26.3单价金额小数点或者百分比有明显错位的，以开标一览表的总价为准，并修改单价。</w:t>
      </w:r>
    </w:p>
    <w:p w14:paraId="2E65B57A">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26.4总价金额与按单价汇总金额不一致的，以单价金额计算结果为准。</w:t>
      </w:r>
    </w:p>
    <w:p w14:paraId="4771CB3B">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同时出现两种以上不一致的，按照上述规定的顺序修正。</w:t>
      </w:r>
    </w:p>
    <w:p w14:paraId="60987D21">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按上述修正错误的原则及方法调整或修正投标文件的投标报价，投标人同意并加盖公章确认，调整后的投标报价对投标人具有约束作用。如果投标人不接受修正后的报价，则其投标将作为无效投标处理。</w:t>
      </w:r>
    </w:p>
    <w:p w14:paraId="155C9DAA">
      <w:pPr>
        <w:pStyle w:val="12"/>
        <w:shd w:val="clear" w:color="auto" w:fill="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27.评标办法。</w:t>
      </w:r>
    </w:p>
    <w:p w14:paraId="13AA973D">
      <w:pPr>
        <w:pStyle w:val="12"/>
        <w:shd w:val="clear" w:color="auto" w:fill="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具体评标内容及评分标准等详见《第三章：评标办法及评分标准》。</w:t>
      </w:r>
    </w:p>
    <w:p w14:paraId="07BA1B75">
      <w:pPr>
        <w:shd w:val="clear" w:color="auto" w:fill="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w:t>
      </w:r>
      <w:r>
        <w:rPr>
          <w:rFonts w:hint="eastAsia" w:ascii="宋体" w:hAnsi="宋体" w:eastAsia="宋体" w:cs="宋体"/>
          <w:b/>
          <w:bCs/>
          <w:color w:val="auto"/>
          <w:sz w:val="24"/>
          <w:highlight w:val="none"/>
        </w:rPr>
        <w:t>评标过程的保密</w:t>
      </w:r>
    </w:p>
    <w:p w14:paraId="2CDCC772">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28.1开标后，直到宣布授予中标人合同为止，凡属于审查、澄清、评价和比较投标文件的有关资料和授予合同的信息，采购人、评标委员会成员都不应向投标人或与该过程无关的其他人员泄露。</w:t>
      </w:r>
    </w:p>
    <w:p w14:paraId="2B081890">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28.2任何单位和个人都不得干扰、影响评标活动的正常进行。投标人在评标过程中所进行的试图影响评标结果的一切不符合法律或招标规定的活动，都可能导致其被取消投标资格，并由其承担相应的法律责任。</w:t>
      </w:r>
    </w:p>
    <w:p w14:paraId="3C71CE93">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28.3中标人确定后，采购人不对未中标人就评标过程以及未能中标原因作出任何解释。未中标人不得向评标委员会或其他有关人员索问评标过程的情况和材料。</w:t>
      </w:r>
    </w:p>
    <w:p w14:paraId="2E884A29">
      <w:pPr>
        <w:pStyle w:val="3"/>
        <w:shd w:val="clear" w:color="auto" w:fill="auto"/>
        <w:spacing w:line="360" w:lineRule="exact"/>
        <w:jc w:val="center"/>
        <w:rPr>
          <w:rFonts w:hint="eastAsia" w:ascii="宋体" w:hAnsi="宋体" w:eastAsia="宋体" w:cs="宋体"/>
          <w:color w:val="auto"/>
          <w:sz w:val="28"/>
          <w:szCs w:val="28"/>
          <w:highlight w:val="none"/>
        </w:rPr>
      </w:pPr>
      <w:bookmarkStart w:id="25" w:name="_Toc125344509"/>
      <w:r>
        <w:rPr>
          <w:rFonts w:hint="eastAsia" w:ascii="宋体" w:hAnsi="宋体" w:eastAsia="宋体" w:cs="宋体"/>
          <w:color w:val="auto"/>
          <w:sz w:val="28"/>
          <w:szCs w:val="28"/>
          <w:highlight w:val="none"/>
        </w:rPr>
        <w:t>六、</w:t>
      </w:r>
      <w:bookmarkEnd w:id="25"/>
      <w:r>
        <w:rPr>
          <w:rFonts w:hint="eastAsia" w:ascii="宋体" w:hAnsi="宋体" w:eastAsia="宋体" w:cs="宋体"/>
          <w:color w:val="auto"/>
          <w:sz w:val="28"/>
          <w:szCs w:val="28"/>
          <w:highlight w:val="none"/>
        </w:rPr>
        <w:t>定标</w:t>
      </w:r>
    </w:p>
    <w:p w14:paraId="4CDD1A32">
      <w:pPr>
        <w:pStyle w:val="12"/>
        <w:shd w:val="clear" w:color="auto" w:fill="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29.确定中标人。本项目由采购人确定中标人。</w:t>
      </w:r>
    </w:p>
    <w:p w14:paraId="00ABB9B8">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29.1采购人应当自收到评标报告之日起</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内，在评标报告确定的中标候选人名单中按顺序确定中标人。采购人在收到评标报告5个工作日内未按评标报告推荐的中标候选人顺序确定中标人，又不能说明合法理由的，视同按评标报告推荐的顺序确定</w:t>
      </w:r>
      <w:r>
        <w:rPr>
          <w:rFonts w:hint="eastAsia" w:ascii="宋体" w:hAnsi="宋体" w:eastAsia="宋体" w:cs="宋体"/>
          <w:color w:val="auto"/>
          <w:sz w:val="24"/>
          <w:highlight w:val="none"/>
          <w:lang w:val="en-US" w:eastAsia="zh-CN"/>
        </w:rPr>
        <w:t>规定</w:t>
      </w:r>
      <w:r>
        <w:rPr>
          <w:rFonts w:hint="eastAsia" w:ascii="宋体" w:hAnsi="宋体" w:eastAsia="宋体" w:cs="宋体"/>
          <w:color w:val="auto"/>
          <w:sz w:val="24"/>
          <w:highlight w:val="none"/>
        </w:rPr>
        <w:t>排名</w:t>
      </w:r>
      <w:r>
        <w:rPr>
          <w:rFonts w:hint="eastAsia" w:ascii="宋体" w:hAnsi="宋体" w:eastAsia="宋体" w:cs="宋体"/>
          <w:color w:val="auto"/>
          <w:sz w:val="24"/>
          <w:highlight w:val="none"/>
          <w:lang w:val="en-US" w:eastAsia="zh-CN"/>
        </w:rPr>
        <w:t>数量</w:t>
      </w:r>
      <w:r>
        <w:rPr>
          <w:rFonts w:hint="eastAsia" w:ascii="宋体" w:hAnsi="宋体" w:eastAsia="宋体" w:cs="宋体"/>
          <w:color w:val="auto"/>
          <w:sz w:val="24"/>
          <w:highlight w:val="none"/>
        </w:rPr>
        <w:t>的中标候选人为中标人。</w:t>
      </w:r>
    </w:p>
    <w:p w14:paraId="33E32820">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中标候选人无正当理由放弃中标成交或被取消中标资格的，除其投标保证金不予退还外，同时上报诸暨市公共资源交易管理委员会办公室，诸暨市公共资源交易管理委员会办公室将按《诸暨市招投标市场不良行为记录暂行规定》等有关</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、制度进行处理。</w:t>
      </w:r>
      <w:r>
        <w:rPr>
          <w:rFonts w:hint="eastAsia" w:ascii="宋体" w:hAnsi="宋体" w:eastAsia="宋体" w:cs="宋体"/>
          <w:b/>
          <w:color w:val="auto"/>
          <w:sz w:val="24"/>
          <w:highlight w:val="none"/>
        </w:rPr>
        <w:t>此标的将另行组织采购</w:t>
      </w:r>
      <w:r>
        <w:rPr>
          <w:rFonts w:hint="eastAsia" w:ascii="宋体" w:hAnsi="宋体" w:eastAsia="宋体" w:cs="宋体"/>
          <w:color w:val="auto"/>
          <w:sz w:val="24"/>
          <w:highlight w:val="none"/>
        </w:rPr>
        <w:t>。</w:t>
      </w:r>
    </w:p>
    <w:p w14:paraId="1C14B8FB">
      <w:pPr>
        <w:pStyle w:val="12"/>
        <w:shd w:val="clear" w:color="auto" w:fill="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30.中标通知与中标结果公告</w:t>
      </w:r>
    </w:p>
    <w:p w14:paraId="61AE853D">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30.1中标公示期满后，无异议的，采购人确认中标结果，</w:t>
      </w:r>
      <w:r>
        <w:rPr>
          <w:rFonts w:hint="eastAsia" w:ascii="宋体" w:hAnsi="宋体" w:eastAsia="宋体" w:cs="宋体"/>
          <w:color w:val="auto"/>
          <w:sz w:val="24"/>
          <w:highlight w:val="none"/>
          <w:lang w:eastAsia="zh-CN"/>
        </w:rPr>
        <w:t>浙江博策工程项目管理有限公司</w:t>
      </w:r>
      <w:r>
        <w:rPr>
          <w:rFonts w:hint="eastAsia" w:ascii="宋体" w:hAnsi="宋体" w:eastAsia="宋体" w:cs="宋体"/>
          <w:color w:val="auto"/>
          <w:sz w:val="24"/>
          <w:highlight w:val="none"/>
        </w:rPr>
        <w:t>核发《中标通知书》。《中标通知书》一经发出即发生法律效力。</w:t>
      </w:r>
    </w:p>
    <w:p w14:paraId="786A5816">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30.2中标结果将于公示期满后在相关网站以中标公告形式发布，中标人须在中标公告发布后到</w:t>
      </w:r>
      <w:r>
        <w:rPr>
          <w:rFonts w:hint="eastAsia" w:ascii="宋体" w:hAnsi="宋体" w:eastAsia="宋体" w:cs="宋体"/>
          <w:color w:val="auto"/>
          <w:sz w:val="24"/>
          <w:highlight w:val="none"/>
          <w:lang w:eastAsia="zh-CN"/>
        </w:rPr>
        <w:t>浙江博策工程项目管理有限公司</w:t>
      </w:r>
      <w:r>
        <w:rPr>
          <w:rFonts w:hint="eastAsia" w:ascii="宋体" w:hAnsi="宋体" w:eastAsia="宋体" w:cs="宋体"/>
          <w:color w:val="auto"/>
          <w:sz w:val="24"/>
          <w:highlight w:val="none"/>
        </w:rPr>
        <w:t>领取书面通知。</w:t>
      </w:r>
    </w:p>
    <w:p w14:paraId="32D8EDB2">
      <w:pPr>
        <w:shd w:val="clear" w:color="auto" w:fill="auto"/>
        <w:snapToGrid w:val="0"/>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中标无效情形</w:t>
      </w:r>
    </w:p>
    <w:p w14:paraId="69105BA6">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中标人存在下列情形之一的，中标无效：</w:t>
      </w:r>
    </w:p>
    <w:p w14:paraId="3C62E88B">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31.1提供虚假材料谋取中标的；</w:t>
      </w:r>
    </w:p>
    <w:p w14:paraId="7A99CF04">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31.2采取不正当手段诋毁、排挤其他投标人的；</w:t>
      </w:r>
    </w:p>
    <w:p w14:paraId="2F43630F">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31.3与采购人、其他投标人恶意串通的；</w:t>
      </w:r>
    </w:p>
    <w:p w14:paraId="55BD3A2E">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31.4向采购人、采购代理机构行贿或者提供其他不正当利益的；</w:t>
      </w:r>
    </w:p>
    <w:p w14:paraId="41B13A08">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31.5在招标过程中与采购人进行协商谈判；不按照</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和投标文件订立合同或者与采购人另行背离合同实质性内容的协议的；</w:t>
      </w:r>
    </w:p>
    <w:p w14:paraId="0ADAB9A8">
      <w:pPr>
        <w:pStyle w:val="12"/>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31.6拖延、拒签合同的；</w:t>
      </w:r>
    </w:p>
    <w:p w14:paraId="3B3FC818">
      <w:pPr>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31.7存在</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eastAsia="zh-CN"/>
        </w:rPr>
        <w:t>的其他</w:t>
      </w:r>
      <w:r>
        <w:rPr>
          <w:rFonts w:hint="eastAsia" w:ascii="宋体" w:hAnsi="宋体" w:eastAsia="宋体" w:cs="宋体"/>
          <w:color w:val="auto"/>
          <w:sz w:val="24"/>
          <w:highlight w:val="none"/>
        </w:rPr>
        <w:t>损害采购人或采购单位利益或社会公共利益的情形的</w:t>
      </w:r>
      <w:r>
        <w:rPr>
          <w:rFonts w:hint="eastAsia" w:ascii="宋体" w:hAnsi="宋体" w:eastAsia="宋体" w:cs="宋体"/>
          <w:color w:val="auto"/>
          <w:sz w:val="24"/>
          <w:szCs w:val="24"/>
          <w:highlight w:val="none"/>
        </w:rPr>
        <w:t>。</w:t>
      </w:r>
    </w:p>
    <w:p w14:paraId="7467F590">
      <w:pPr>
        <w:shd w:val="clear" w:color="auto" w:fill="auto"/>
        <w:snapToGrid w:val="0"/>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32.重新招标</w:t>
      </w:r>
    </w:p>
    <w:p w14:paraId="184BBA73">
      <w:pPr>
        <w:shd w:val="clear" w:color="auto" w:fill="auto"/>
        <w:snapToGrid w:val="0"/>
        <w:ind w:firstLine="470" w:firstLineChars="196"/>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投标截止时间及评审期间，出现有效供应商不足</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家的，本项目流标，重新组织采购。</w:t>
      </w:r>
    </w:p>
    <w:p w14:paraId="6023D48F">
      <w:pPr>
        <w:pStyle w:val="3"/>
        <w:shd w:val="clear" w:color="auto" w:fill="auto"/>
        <w:spacing w:line="3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七、授予合同</w:t>
      </w:r>
    </w:p>
    <w:p w14:paraId="2632C436">
      <w:pPr>
        <w:shd w:val="clear" w:color="auto" w:fill="auto"/>
        <w:snapToGrid w:val="0"/>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33.签订合同</w:t>
      </w:r>
    </w:p>
    <w:p w14:paraId="78CE6EEE">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33.1中标人须在领取《中标通知书》后30天内，根据《中华人民共和国民法典》等有关规定，依据</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和投标文件的有关条款上门与相关采购人单位（即采购人）签订合同。</w:t>
      </w:r>
    </w:p>
    <w:p w14:paraId="557BC312">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、投标文件和《中标通知书》作为合同签订的依据和主要附件。合同签订时中标人须提供相应的</w:t>
      </w:r>
      <w:r>
        <w:rPr>
          <w:rFonts w:hint="eastAsia" w:ascii="宋体" w:hAnsi="宋体" w:eastAsia="宋体" w:cs="宋体"/>
          <w:bCs/>
          <w:color w:val="auto"/>
          <w:sz w:val="24"/>
          <w:highlight w:val="none"/>
        </w:rPr>
        <w:t>《中标通知书》复印件和售后服务承诺</w:t>
      </w:r>
      <w:r>
        <w:rPr>
          <w:rFonts w:hint="eastAsia" w:ascii="宋体" w:hAnsi="宋体" w:eastAsia="宋体" w:cs="宋体"/>
          <w:color w:val="auto"/>
          <w:sz w:val="24"/>
          <w:highlight w:val="none"/>
        </w:rPr>
        <w:t>给</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单位，以方便验收货物（或工程）。</w:t>
      </w:r>
    </w:p>
    <w:p w14:paraId="09FEF3AA">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33.3 </w:t>
      </w:r>
      <w:r>
        <w:rPr>
          <w:rFonts w:hint="eastAsia" w:ascii="宋体" w:hAnsi="宋体" w:eastAsia="宋体" w:cs="宋体"/>
          <w:color w:val="auto"/>
          <w:sz w:val="24"/>
          <w:szCs w:val="24"/>
          <w:highlight w:val="none"/>
        </w:rPr>
        <w:t>本合同一式</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份，甲乙双方各执</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val="en-US" w:eastAsia="zh-CN"/>
        </w:rPr>
        <w:t>甲方招标中心和</w:t>
      </w: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lang w:val="en-US" w:eastAsia="zh-CN"/>
        </w:rPr>
        <w:t>各</w:t>
      </w:r>
      <w:r>
        <w:rPr>
          <w:rFonts w:hint="eastAsia" w:ascii="宋体" w:hAnsi="宋体" w:eastAsia="宋体" w:cs="宋体"/>
          <w:color w:val="auto"/>
          <w:sz w:val="24"/>
          <w:szCs w:val="24"/>
          <w:highlight w:val="none"/>
        </w:rPr>
        <w:t>备案一份。</w:t>
      </w:r>
    </w:p>
    <w:p w14:paraId="0D53AED8">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33.4中标人和采购人单位不得擅自变更、中止或者终止合同，不得另外订立背离合同实质性内容</w:t>
      </w:r>
      <w:r>
        <w:rPr>
          <w:rFonts w:hint="eastAsia" w:ascii="宋体" w:hAnsi="宋体" w:eastAsia="宋体" w:cs="宋体"/>
          <w:color w:val="auto"/>
          <w:sz w:val="24"/>
          <w:highlight w:val="none"/>
          <w:lang w:eastAsia="zh-CN"/>
        </w:rPr>
        <w:t>的其他</w:t>
      </w:r>
      <w:r>
        <w:rPr>
          <w:rFonts w:hint="eastAsia" w:ascii="宋体" w:hAnsi="宋体" w:eastAsia="宋体" w:cs="宋体"/>
          <w:color w:val="auto"/>
          <w:sz w:val="24"/>
          <w:highlight w:val="none"/>
        </w:rPr>
        <w:t>协议。</w:t>
      </w:r>
    </w:p>
    <w:p w14:paraId="71B639A1">
      <w:pPr>
        <w:shd w:val="clear" w:color="auto" w:fill="auto"/>
        <w:snapToGrid w:val="0"/>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34.履约保证金</w:t>
      </w:r>
    </w:p>
    <w:p w14:paraId="46602E62">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34.1中标人在签订采购合同前，应按</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要求向采购人提交履约保证金，履约保证金作为中标人在履行合同</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服务承诺的保证。</w:t>
      </w:r>
    </w:p>
    <w:p w14:paraId="40C5AEE7">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34.2中标人应当以支票、汇票、本票等非现金形式提交。中标人在履行完合同约定事项后，采购人应及时退还履约保证金。履约保证金不计息。</w:t>
      </w:r>
    </w:p>
    <w:p w14:paraId="5C2E1852">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34.3签订合同后，如中标人不按双方合同约定履约，则没收其全部履约保证金，履约保证金不足以赔偿损失的，按实际损失赔偿。</w:t>
      </w:r>
    </w:p>
    <w:p w14:paraId="4D73ABAD">
      <w:pPr>
        <w:shd w:val="clear" w:color="auto" w:fill="auto"/>
        <w:snapToGrid w:val="0"/>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35.合同备案</w:t>
      </w:r>
    </w:p>
    <w:p w14:paraId="5464B03D">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采购人应当自采购合同签订之日起七个工作日内，按照有关规定将采购合同进行备案。</w:t>
      </w:r>
    </w:p>
    <w:p w14:paraId="1B5555DB">
      <w:pPr>
        <w:pStyle w:val="3"/>
        <w:shd w:val="clear" w:color="auto" w:fill="auto"/>
        <w:spacing w:before="0" w:after="0" w:line="240" w:lineRule="auto"/>
        <w:ind w:firstLine="562" w:firstLineChars="200"/>
        <w:jc w:val="center"/>
        <w:rPr>
          <w:rFonts w:hint="eastAsia" w:ascii="宋体" w:hAnsi="宋体" w:eastAsia="宋体" w:cs="宋体"/>
          <w:color w:val="auto"/>
          <w:sz w:val="28"/>
          <w:szCs w:val="28"/>
          <w:highlight w:val="none"/>
        </w:rPr>
      </w:pPr>
      <w:bookmarkStart w:id="26" w:name="_Toc352165696"/>
      <w:bookmarkStart w:id="27" w:name="_Toc339459646"/>
      <w:bookmarkStart w:id="28" w:name="_Toc125344511"/>
      <w:r>
        <w:rPr>
          <w:rFonts w:hint="eastAsia" w:ascii="宋体" w:hAnsi="宋体" w:eastAsia="宋体" w:cs="宋体"/>
          <w:color w:val="auto"/>
          <w:sz w:val="28"/>
          <w:szCs w:val="28"/>
          <w:highlight w:val="none"/>
        </w:rPr>
        <w:t>八、质疑和投诉</w:t>
      </w:r>
    </w:p>
    <w:p w14:paraId="16008254">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36.1开标过程中，投标人对开标有异议的，应当在“</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”平台上及时提出，评审委员应对异常情况制作相关记录。</w:t>
      </w:r>
    </w:p>
    <w:p w14:paraId="3F461D13">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36.2开评标结束后，投标人或者其他利害关系人对依法必须进行招标的项目的评标结果有异议的，应在采购结果公告期限结束之日（公告发布之日起至第2日）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14:paraId="75C1F770">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36.3质疑投诉的相关规定</w:t>
      </w:r>
    </w:p>
    <w:p w14:paraId="7B4B7663">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（一）质疑投诉递交的资料需为书面材料。质疑投诉书面材料需法人代表人（或负责人）或授权代表签字并加盖公章。</w:t>
      </w:r>
    </w:p>
    <w:p w14:paraId="6846360F">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（二）质疑投诉属于以下情况之一的，将不予受理：</w:t>
      </w:r>
    </w:p>
    <w:p w14:paraId="25DE4003">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(1)质疑投诉人不是所投诉项目的参与者，或者与质疑投诉项目无任何利害关系。</w:t>
      </w:r>
    </w:p>
    <w:p w14:paraId="0D28028F">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(2)质疑投诉事项不具体，且未提供有效线索，难以查证。</w:t>
      </w:r>
    </w:p>
    <w:p w14:paraId="30CC0640">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(3)未提供书面质疑或者质疑未加盖公章的；投诉人为法人或者其他组织，其投诉书未经法定代表人或者主要负责人签字并加盖公章的。</w:t>
      </w:r>
    </w:p>
    <w:p w14:paraId="242E6FA4">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(4)已超过</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规定质疑投诉提出期限的事项。</w:t>
      </w:r>
    </w:p>
    <w:p w14:paraId="623D4788">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(5)投诉事项已作出处理决定，并且投诉人没有提出新的证据</w:t>
      </w:r>
    </w:p>
    <w:p w14:paraId="0EC87DFF">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(6)质疑投诉的事项已经进入行政复议或者行政诉讼程序的；投诉事项应先提出质疑而没有提出质疑的。</w:t>
      </w:r>
    </w:p>
    <w:p w14:paraId="27C3EFDA">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(7)不符合采购相关法律法规等有关规定的投诉。</w:t>
      </w:r>
    </w:p>
    <w:p w14:paraId="324FB697">
      <w:pPr>
        <w:pStyle w:val="3"/>
        <w:shd w:val="clear" w:color="auto" w:fill="auto"/>
        <w:spacing w:before="0" w:after="0" w:line="240" w:lineRule="auto"/>
        <w:ind w:firstLine="562"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w:t>
      </w:r>
      <w:r>
        <w:rPr>
          <w:rFonts w:hint="eastAsia" w:ascii="宋体" w:hAnsi="宋体" w:eastAsia="宋体" w:cs="宋体"/>
          <w:color w:val="auto"/>
          <w:sz w:val="28"/>
          <w:szCs w:val="28"/>
          <w:highlight w:val="none"/>
          <w:lang w:eastAsia="zh-CN"/>
        </w:rPr>
        <w:t>不良行为</w:t>
      </w:r>
      <w:r>
        <w:rPr>
          <w:rFonts w:hint="eastAsia" w:ascii="宋体" w:hAnsi="宋体" w:eastAsia="宋体" w:cs="宋体"/>
          <w:color w:val="auto"/>
          <w:sz w:val="28"/>
          <w:szCs w:val="28"/>
          <w:highlight w:val="none"/>
        </w:rPr>
        <w:t>记录</w:t>
      </w:r>
      <w:bookmarkEnd w:id="26"/>
      <w:bookmarkEnd w:id="27"/>
    </w:p>
    <w:p w14:paraId="521C05CB">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投标人在采购活动中出现下列违规行为的将记入诸暨市建设集团有限公司采购不良行为记录，并在记录时限内暂停其诸暨市建设集团有限公司</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采购交易资格。</w:t>
      </w:r>
      <w:r>
        <w:rPr>
          <w:rFonts w:hint="eastAsia" w:ascii="宋体" w:hAnsi="宋体" w:cs="宋体"/>
          <w:color w:val="auto"/>
          <w:sz w:val="24"/>
          <w:highlight w:val="none"/>
          <w:lang w:val="en-US" w:eastAsia="zh-CN"/>
        </w:rPr>
        <w:t>且</w:t>
      </w:r>
      <w:r>
        <w:rPr>
          <w:rFonts w:hint="eastAsia" w:ascii="宋体" w:hAnsi="宋体" w:eastAsia="宋体" w:cs="宋体"/>
          <w:color w:val="auto"/>
          <w:sz w:val="24"/>
          <w:highlight w:val="none"/>
        </w:rPr>
        <w:t>采购人将依据集团发布的《诸暨市建设集团有限公司第三方服务机构管理及考核办法》和《诸暨市建设集团有限公司“黑名单”管理办法》（诸建发〔2024〕15号）等文件对入围单位的服务质量进行日常考核和管理。</w:t>
      </w:r>
    </w:p>
    <w:tbl>
      <w:tblPr>
        <w:tblStyle w:val="1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7257"/>
        <w:gridCol w:w="1257"/>
      </w:tblGrid>
      <w:tr w14:paraId="1370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04" w:type="dxa"/>
            <w:noWrap w:val="0"/>
            <w:vAlign w:val="center"/>
          </w:tcPr>
          <w:p w14:paraId="68AB01D7">
            <w:pPr>
              <w:shd w:val="clear" w:color="auto" w:fill="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7257" w:type="dxa"/>
            <w:noWrap w:val="0"/>
            <w:vAlign w:val="center"/>
          </w:tcPr>
          <w:p w14:paraId="108F6F43">
            <w:pPr>
              <w:shd w:val="clear" w:color="auto" w:fill="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不良行为</w:t>
            </w:r>
          </w:p>
        </w:tc>
        <w:tc>
          <w:tcPr>
            <w:tcW w:w="1257" w:type="dxa"/>
            <w:noWrap w:val="0"/>
            <w:vAlign w:val="center"/>
          </w:tcPr>
          <w:p w14:paraId="4D36E693">
            <w:pPr>
              <w:shd w:val="clear" w:color="auto" w:fill="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记录时限</w:t>
            </w:r>
          </w:p>
        </w:tc>
      </w:tr>
      <w:tr w14:paraId="31AE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7D889DA1">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257" w:type="dxa"/>
            <w:noWrap w:val="0"/>
            <w:vAlign w:val="center"/>
          </w:tcPr>
          <w:p w14:paraId="357D6F58">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在招标采购过程中，与采购人进行协商谈判的</w:t>
            </w:r>
          </w:p>
        </w:tc>
        <w:tc>
          <w:tcPr>
            <w:tcW w:w="1257" w:type="dxa"/>
            <w:noWrap w:val="0"/>
            <w:vAlign w:val="center"/>
          </w:tcPr>
          <w:p w14:paraId="4493A6A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6个月</w:t>
            </w:r>
          </w:p>
        </w:tc>
      </w:tr>
      <w:tr w14:paraId="34B0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6F6A4D77">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257" w:type="dxa"/>
            <w:noWrap w:val="0"/>
            <w:vAlign w:val="center"/>
          </w:tcPr>
          <w:p w14:paraId="20911FDC">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投标有效期内撤回其投标文件的</w:t>
            </w:r>
          </w:p>
        </w:tc>
        <w:tc>
          <w:tcPr>
            <w:tcW w:w="1257" w:type="dxa"/>
            <w:noWrap w:val="0"/>
            <w:vAlign w:val="center"/>
          </w:tcPr>
          <w:p w14:paraId="3F26E5C2">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6个月</w:t>
            </w:r>
          </w:p>
        </w:tc>
      </w:tr>
      <w:tr w14:paraId="168F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1E2D519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7257" w:type="dxa"/>
            <w:noWrap w:val="0"/>
            <w:vAlign w:val="center"/>
          </w:tcPr>
          <w:p w14:paraId="38063DCD">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拒绝有关部门监督检查的</w:t>
            </w:r>
          </w:p>
        </w:tc>
        <w:tc>
          <w:tcPr>
            <w:tcW w:w="1257" w:type="dxa"/>
            <w:noWrap w:val="0"/>
            <w:vAlign w:val="center"/>
          </w:tcPr>
          <w:p w14:paraId="6265015C">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6个月</w:t>
            </w:r>
          </w:p>
        </w:tc>
      </w:tr>
      <w:tr w14:paraId="76A5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09855B32">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7257" w:type="dxa"/>
            <w:noWrap w:val="0"/>
            <w:vAlign w:val="center"/>
          </w:tcPr>
          <w:p w14:paraId="198FC45A">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不积极配合采购人做好标的验收工作的</w:t>
            </w:r>
          </w:p>
        </w:tc>
        <w:tc>
          <w:tcPr>
            <w:tcW w:w="1257" w:type="dxa"/>
            <w:noWrap w:val="0"/>
            <w:vAlign w:val="center"/>
          </w:tcPr>
          <w:p w14:paraId="6AA9ABE7">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6个月</w:t>
            </w:r>
          </w:p>
        </w:tc>
      </w:tr>
      <w:tr w14:paraId="4909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50517546">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7257" w:type="dxa"/>
            <w:noWrap w:val="0"/>
            <w:vAlign w:val="center"/>
          </w:tcPr>
          <w:p w14:paraId="345B231B">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在有关部门的监督检查或考核中被通报批评或处以警告及以上处罚的</w:t>
            </w:r>
          </w:p>
        </w:tc>
        <w:tc>
          <w:tcPr>
            <w:tcW w:w="1257" w:type="dxa"/>
            <w:noWrap w:val="0"/>
            <w:vAlign w:val="center"/>
          </w:tcPr>
          <w:p w14:paraId="2C5897D4">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6个月</w:t>
            </w:r>
          </w:p>
        </w:tc>
      </w:tr>
      <w:tr w14:paraId="7B13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134E84C2">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7257" w:type="dxa"/>
            <w:noWrap w:val="0"/>
            <w:vAlign w:val="center"/>
          </w:tcPr>
          <w:p w14:paraId="3F5ACAD1">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不遵守投标会场纪律，无理取闹，扰乱交易秩序的</w:t>
            </w:r>
          </w:p>
        </w:tc>
        <w:tc>
          <w:tcPr>
            <w:tcW w:w="1257" w:type="dxa"/>
            <w:noWrap w:val="0"/>
            <w:vAlign w:val="center"/>
          </w:tcPr>
          <w:p w14:paraId="750A0210">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1年</w:t>
            </w:r>
          </w:p>
        </w:tc>
      </w:tr>
      <w:tr w14:paraId="6C27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11279D06">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7257" w:type="dxa"/>
            <w:noWrap w:val="0"/>
            <w:vAlign w:val="center"/>
          </w:tcPr>
          <w:p w14:paraId="53E0A0A0">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中标后无正当理由放弃中标，或在规定时间内不与采购人签订采购合同，或在签订合同时提出附加条件或更改合同实质性内容，或拒不提交所要求的履约保证金的</w:t>
            </w:r>
          </w:p>
        </w:tc>
        <w:tc>
          <w:tcPr>
            <w:tcW w:w="1257" w:type="dxa"/>
            <w:noWrap w:val="0"/>
            <w:vAlign w:val="center"/>
          </w:tcPr>
          <w:p w14:paraId="48AC1773">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1年</w:t>
            </w:r>
          </w:p>
        </w:tc>
      </w:tr>
      <w:tr w14:paraId="5E49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15654395">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7257" w:type="dxa"/>
            <w:noWrap w:val="0"/>
            <w:vAlign w:val="center"/>
          </w:tcPr>
          <w:p w14:paraId="605B2A73">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虚假投诉、恶意投诉和不按程序、规定时间进行质疑投诉而影响采购工作正常进行或造成不良影响的</w:t>
            </w:r>
          </w:p>
        </w:tc>
        <w:tc>
          <w:tcPr>
            <w:tcW w:w="1257" w:type="dxa"/>
            <w:noWrap w:val="0"/>
            <w:vAlign w:val="center"/>
          </w:tcPr>
          <w:p w14:paraId="2337FAF0">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1年</w:t>
            </w:r>
          </w:p>
        </w:tc>
      </w:tr>
      <w:tr w14:paraId="74A5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08D38429">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7257" w:type="dxa"/>
            <w:noWrap w:val="0"/>
            <w:vAlign w:val="center"/>
          </w:tcPr>
          <w:p w14:paraId="33F8339D">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不按照与采购人订立的合同履行义务（包括提供标的、售后服务、技术支持等），严重违反合同规定和廉政合同要求的</w:t>
            </w:r>
          </w:p>
        </w:tc>
        <w:tc>
          <w:tcPr>
            <w:tcW w:w="1257" w:type="dxa"/>
            <w:noWrap w:val="0"/>
            <w:vAlign w:val="center"/>
          </w:tcPr>
          <w:p w14:paraId="6A6303F6">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1年</w:t>
            </w:r>
          </w:p>
        </w:tc>
      </w:tr>
      <w:tr w14:paraId="4E96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1D009E3B">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7257" w:type="dxa"/>
            <w:noWrap w:val="0"/>
            <w:vAlign w:val="center"/>
          </w:tcPr>
          <w:p w14:paraId="334C390B">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项目负责人不到位，或擅自变换项目负责人，或不认真履行职责造成采购人损失的</w:t>
            </w:r>
          </w:p>
        </w:tc>
        <w:tc>
          <w:tcPr>
            <w:tcW w:w="1257" w:type="dxa"/>
            <w:noWrap w:val="0"/>
            <w:vAlign w:val="center"/>
          </w:tcPr>
          <w:p w14:paraId="6608D176">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1年</w:t>
            </w:r>
          </w:p>
        </w:tc>
      </w:tr>
      <w:tr w14:paraId="68B3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080F2E5F">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7257" w:type="dxa"/>
            <w:noWrap w:val="0"/>
            <w:vAlign w:val="center"/>
          </w:tcPr>
          <w:p w14:paraId="4E726883">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发生经营状况重大变化以及重要担保、重大合同纠纷或诉讼、信用等级和资质变化等可能影响履约能力的重大事项，未及时向市公共资源交易中心提供书面报告，因而造成采购人损失的</w:t>
            </w:r>
          </w:p>
        </w:tc>
        <w:tc>
          <w:tcPr>
            <w:tcW w:w="1257" w:type="dxa"/>
            <w:noWrap w:val="0"/>
            <w:vAlign w:val="center"/>
          </w:tcPr>
          <w:p w14:paraId="79F3C09C">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1年</w:t>
            </w:r>
          </w:p>
        </w:tc>
      </w:tr>
      <w:tr w14:paraId="54A4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56F7B673">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7257" w:type="dxa"/>
            <w:noWrap w:val="0"/>
            <w:vAlign w:val="center"/>
          </w:tcPr>
          <w:p w14:paraId="68267E7C">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与采购人、其他供应商或者采购代理机构相互串通的</w:t>
            </w:r>
          </w:p>
        </w:tc>
        <w:tc>
          <w:tcPr>
            <w:tcW w:w="1257" w:type="dxa"/>
            <w:noWrap w:val="0"/>
            <w:vAlign w:val="center"/>
          </w:tcPr>
          <w:p w14:paraId="6658BF78">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2年</w:t>
            </w:r>
          </w:p>
        </w:tc>
      </w:tr>
      <w:tr w14:paraId="2FE4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71A0FEA3">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7257" w:type="dxa"/>
            <w:noWrap w:val="0"/>
            <w:vAlign w:val="center"/>
          </w:tcPr>
          <w:p w14:paraId="1DF3181A">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采取不正当手段排挤其他供应商，进行不公平竞争的</w:t>
            </w:r>
          </w:p>
        </w:tc>
        <w:tc>
          <w:tcPr>
            <w:tcW w:w="1257" w:type="dxa"/>
            <w:noWrap w:val="0"/>
            <w:vAlign w:val="center"/>
          </w:tcPr>
          <w:p w14:paraId="77DD5B0D">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2年</w:t>
            </w:r>
          </w:p>
        </w:tc>
      </w:tr>
      <w:tr w14:paraId="67B4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243C7D0B">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7257" w:type="dxa"/>
            <w:noWrap w:val="0"/>
            <w:vAlign w:val="center"/>
          </w:tcPr>
          <w:p w14:paraId="332F4A0B">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中标后与采购人另行订立背离合同实质内容的协议的</w:t>
            </w:r>
          </w:p>
        </w:tc>
        <w:tc>
          <w:tcPr>
            <w:tcW w:w="1257" w:type="dxa"/>
            <w:noWrap w:val="0"/>
            <w:vAlign w:val="center"/>
          </w:tcPr>
          <w:p w14:paraId="720F651C">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2年</w:t>
            </w:r>
          </w:p>
        </w:tc>
      </w:tr>
      <w:tr w14:paraId="7F7F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687133C7">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7257" w:type="dxa"/>
            <w:noWrap w:val="0"/>
            <w:vAlign w:val="center"/>
          </w:tcPr>
          <w:p w14:paraId="5917D1D5">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事先有承诺，而事后违反承诺内容的</w:t>
            </w:r>
          </w:p>
        </w:tc>
        <w:tc>
          <w:tcPr>
            <w:tcW w:w="1257" w:type="dxa"/>
            <w:noWrap w:val="0"/>
            <w:vAlign w:val="center"/>
          </w:tcPr>
          <w:p w14:paraId="5D5DD11A">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2年</w:t>
            </w:r>
          </w:p>
        </w:tc>
      </w:tr>
      <w:tr w14:paraId="64EA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4EECC4FD">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7257" w:type="dxa"/>
            <w:noWrap w:val="0"/>
            <w:vAlign w:val="center"/>
          </w:tcPr>
          <w:p w14:paraId="13FBC0A8">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将中标项目转包或违反规定进行分包的</w:t>
            </w:r>
          </w:p>
        </w:tc>
        <w:tc>
          <w:tcPr>
            <w:tcW w:w="1257" w:type="dxa"/>
            <w:noWrap w:val="0"/>
            <w:vAlign w:val="center"/>
          </w:tcPr>
          <w:p w14:paraId="6FF24428">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2年</w:t>
            </w:r>
          </w:p>
        </w:tc>
      </w:tr>
      <w:tr w14:paraId="6D09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05CE9CE8">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7257" w:type="dxa"/>
            <w:noWrap w:val="0"/>
            <w:vAlign w:val="center"/>
          </w:tcPr>
          <w:p w14:paraId="60A195D2">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提供虚假资料参加投标的</w:t>
            </w:r>
          </w:p>
        </w:tc>
        <w:tc>
          <w:tcPr>
            <w:tcW w:w="1257" w:type="dxa"/>
            <w:noWrap w:val="0"/>
            <w:vAlign w:val="center"/>
          </w:tcPr>
          <w:p w14:paraId="13808994">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w:t>
            </w:r>
          </w:p>
        </w:tc>
      </w:tr>
      <w:tr w14:paraId="65D8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5075182C">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7257" w:type="dxa"/>
            <w:noWrap w:val="0"/>
            <w:vAlign w:val="center"/>
          </w:tcPr>
          <w:p w14:paraId="6863A1D3">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以他人名义投标或允许他人以自己名义投标，或者以其他方式弄虚作假的</w:t>
            </w:r>
          </w:p>
        </w:tc>
        <w:tc>
          <w:tcPr>
            <w:tcW w:w="1257" w:type="dxa"/>
            <w:noWrap w:val="0"/>
            <w:vAlign w:val="center"/>
          </w:tcPr>
          <w:p w14:paraId="7B85C443">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w:t>
            </w:r>
          </w:p>
        </w:tc>
      </w:tr>
      <w:tr w14:paraId="6113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04" w:type="dxa"/>
            <w:noWrap w:val="0"/>
            <w:vAlign w:val="center"/>
          </w:tcPr>
          <w:p w14:paraId="1BE806B7">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7257" w:type="dxa"/>
            <w:noWrap w:val="0"/>
            <w:vAlign w:val="center"/>
          </w:tcPr>
          <w:p w14:paraId="2F8D46F4">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未按照采购合同约定及时提供全部货物的，或无故拖延工期的</w:t>
            </w:r>
          </w:p>
        </w:tc>
        <w:tc>
          <w:tcPr>
            <w:tcW w:w="1257" w:type="dxa"/>
            <w:noWrap w:val="0"/>
            <w:vAlign w:val="center"/>
          </w:tcPr>
          <w:p w14:paraId="01380BA4">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w:t>
            </w:r>
          </w:p>
        </w:tc>
      </w:tr>
      <w:tr w14:paraId="1EDE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4" w:type="dxa"/>
            <w:noWrap w:val="0"/>
            <w:vAlign w:val="center"/>
          </w:tcPr>
          <w:p w14:paraId="34F21BAE">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7257" w:type="dxa"/>
            <w:noWrap w:val="0"/>
            <w:vAlign w:val="center"/>
          </w:tcPr>
          <w:p w14:paraId="32FD4907">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无故不提供中标要求的型号、配置等产品的，或有拆换、调换、截留产品零部件和备品备件的行为的</w:t>
            </w:r>
          </w:p>
        </w:tc>
        <w:tc>
          <w:tcPr>
            <w:tcW w:w="1257" w:type="dxa"/>
            <w:noWrap w:val="0"/>
            <w:vAlign w:val="center"/>
          </w:tcPr>
          <w:p w14:paraId="2D75543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w:t>
            </w:r>
          </w:p>
        </w:tc>
      </w:tr>
      <w:tr w14:paraId="3523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74A40633">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7257" w:type="dxa"/>
            <w:noWrap w:val="0"/>
            <w:vAlign w:val="center"/>
          </w:tcPr>
          <w:p w14:paraId="4E0CA24D">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为获取自身利益，向采购人及其他有利害关系的单位或个人提供不正当利益的</w:t>
            </w:r>
          </w:p>
        </w:tc>
        <w:tc>
          <w:tcPr>
            <w:tcW w:w="1257" w:type="dxa"/>
            <w:noWrap w:val="0"/>
            <w:vAlign w:val="center"/>
          </w:tcPr>
          <w:p w14:paraId="701B7C2B">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w:t>
            </w:r>
          </w:p>
        </w:tc>
      </w:tr>
      <w:tr w14:paraId="7433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45CE6811">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7257" w:type="dxa"/>
            <w:noWrap w:val="0"/>
            <w:vAlign w:val="center"/>
          </w:tcPr>
          <w:p w14:paraId="066E8D42">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提供假冒伪劣产品或走私物品的</w:t>
            </w:r>
          </w:p>
        </w:tc>
        <w:tc>
          <w:tcPr>
            <w:tcW w:w="1257" w:type="dxa"/>
            <w:noWrap w:val="0"/>
            <w:vAlign w:val="center"/>
          </w:tcPr>
          <w:p w14:paraId="7F2EB52B">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5年</w:t>
            </w:r>
          </w:p>
        </w:tc>
      </w:tr>
      <w:tr w14:paraId="258F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6B8D6833">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p>
        </w:tc>
        <w:tc>
          <w:tcPr>
            <w:tcW w:w="7257" w:type="dxa"/>
            <w:noWrap w:val="0"/>
            <w:vAlign w:val="center"/>
          </w:tcPr>
          <w:p w14:paraId="763E8861">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擅自变更、中止、终止或解除采购合同的</w:t>
            </w:r>
          </w:p>
        </w:tc>
        <w:tc>
          <w:tcPr>
            <w:tcW w:w="1257" w:type="dxa"/>
            <w:noWrap w:val="0"/>
            <w:vAlign w:val="center"/>
          </w:tcPr>
          <w:p w14:paraId="338E5E3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5年</w:t>
            </w:r>
          </w:p>
        </w:tc>
      </w:tr>
      <w:tr w14:paraId="5FC6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41B9A315">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7257" w:type="dxa"/>
            <w:noWrap w:val="0"/>
            <w:vAlign w:val="center"/>
          </w:tcPr>
          <w:p w14:paraId="706EA300">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向有关人员行贿或者提供不正当利益谋取中标的</w:t>
            </w:r>
          </w:p>
        </w:tc>
        <w:tc>
          <w:tcPr>
            <w:tcW w:w="1257" w:type="dxa"/>
            <w:noWrap w:val="0"/>
            <w:vAlign w:val="center"/>
          </w:tcPr>
          <w:p w14:paraId="4107410D">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5年</w:t>
            </w:r>
          </w:p>
        </w:tc>
      </w:tr>
      <w:tr w14:paraId="5124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7A379FCA">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7257" w:type="dxa"/>
            <w:noWrap w:val="0"/>
            <w:vAlign w:val="center"/>
          </w:tcPr>
          <w:p w14:paraId="4AFD30B6">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在采购活动期间，对管理机构、采购人、其他投标人、评标专家、中介机构等采购相关机构和人员，采取诋毁、诽谤、胁迫、暴力等不正当手段的</w:t>
            </w:r>
          </w:p>
        </w:tc>
        <w:tc>
          <w:tcPr>
            <w:tcW w:w="1257" w:type="dxa"/>
            <w:noWrap w:val="0"/>
            <w:vAlign w:val="center"/>
          </w:tcPr>
          <w:p w14:paraId="2EFC367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5年</w:t>
            </w:r>
          </w:p>
        </w:tc>
      </w:tr>
      <w:tr w14:paraId="6205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4" w:type="dxa"/>
            <w:noWrap w:val="0"/>
            <w:vAlign w:val="center"/>
          </w:tcPr>
          <w:p w14:paraId="0B5347A7">
            <w:pPr>
              <w:shd w:val="clear" w:color="auto" w:fill="auto"/>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c>
          <w:tcPr>
            <w:tcW w:w="7257" w:type="dxa"/>
            <w:noWrap w:val="0"/>
            <w:vAlign w:val="center"/>
          </w:tcPr>
          <w:p w14:paraId="42E410F5">
            <w:pPr>
              <w:shd w:val="clear" w:color="auto" w:fill="auto"/>
              <w:autoSpaceDE/>
              <w:autoSpaceDN/>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采购单位招投标中心</w:t>
            </w:r>
            <w:r>
              <w:rPr>
                <w:rFonts w:hint="eastAsia" w:ascii="宋体" w:hAnsi="宋体" w:eastAsia="宋体" w:cs="宋体"/>
                <w:color w:val="auto"/>
                <w:sz w:val="24"/>
                <w:highlight w:val="none"/>
              </w:rPr>
              <w:t>认定的其他违反采购管理的行为</w:t>
            </w:r>
          </w:p>
        </w:tc>
        <w:tc>
          <w:tcPr>
            <w:tcW w:w="1257" w:type="dxa"/>
            <w:noWrap w:val="0"/>
            <w:vAlign w:val="center"/>
          </w:tcPr>
          <w:p w14:paraId="0E16A896">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酌情处理</w:t>
            </w:r>
          </w:p>
        </w:tc>
      </w:tr>
    </w:tbl>
    <w:p w14:paraId="4BE99420">
      <w:pPr>
        <w:pStyle w:val="3"/>
        <w:shd w:val="clear" w:color="auto" w:fill="auto"/>
        <w:spacing w:before="0" w:after="0"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十、解释</w:t>
      </w:r>
      <w:bookmarkEnd w:id="28"/>
    </w:p>
    <w:p w14:paraId="05E993B3">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37.本次招标活动接受采购人招投标监管部门监督。</w:t>
      </w:r>
    </w:p>
    <w:p w14:paraId="07535650">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38.本</w:t>
      </w:r>
      <w:r>
        <w:rPr>
          <w:rFonts w:hint="eastAsia" w:ascii="宋体" w:hAnsi="宋体" w:cs="宋体"/>
          <w:color w:val="auto"/>
          <w:sz w:val="24"/>
          <w:highlight w:val="none"/>
          <w:lang w:eastAsia="zh-CN"/>
        </w:rPr>
        <w:t>征集文件</w:t>
      </w:r>
      <w:r>
        <w:rPr>
          <w:rFonts w:hint="eastAsia" w:ascii="宋体" w:hAnsi="宋体" w:eastAsia="宋体" w:cs="宋体"/>
          <w:color w:val="auto"/>
          <w:sz w:val="24"/>
          <w:highlight w:val="none"/>
        </w:rPr>
        <w:t>的解释权属于采购人和</w:t>
      </w:r>
      <w:r>
        <w:rPr>
          <w:rFonts w:hint="eastAsia" w:ascii="宋体" w:hAnsi="宋体" w:eastAsia="宋体" w:cs="宋体"/>
          <w:color w:val="auto"/>
          <w:sz w:val="24"/>
          <w:szCs w:val="24"/>
          <w:highlight w:val="none"/>
          <w:lang w:eastAsia="zh-CN"/>
        </w:rPr>
        <w:t>浙江博策工程项目管理有限公司</w:t>
      </w:r>
      <w:r>
        <w:rPr>
          <w:rFonts w:hint="eastAsia" w:ascii="宋体" w:hAnsi="宋体" w:eastAsia="宋体" w:cs="宋体"/>
          <w:color w:val="auto"/>
          <w:sz w:val="24"/>
          <w:highlight w:val="none"/>
        </w:rPr>
        <w:t>。</w:t>
      </w:r>
    </w:p>
    <w:p w14:paraId="300AEC48">
      <w:pPr>
        <w:rPr>
          <w:rFonts w:hint="eastAsia" w:ascii="Times New Roman" w:hAnsi="Times New Roman" w:eastAsia="宋体" w:cs="Times New Roman"/>
          <w:color w:val="auto"/>
          <w:highlight w:val="none"/>
          <w:lang w:val="en-US" w:eastAsia="zh-CN"/>
        </w:rPr>
      </w:pPr>
    </w:p>
    <w:p w14:paraId="3BCDB16B">
      <w:pP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br w:type="page"/>
      </w:r>
    </w:p>
    <w:p w14:paraId="761789EB">
      <w:pPr>
        <w:pStyle w:val="2"/>
        <w:pageBreakBefore w:val="0"/>
        <w:kinsoku/>
        <w:wordWrap/>
        <w:overflowPunct/>
        <w:topLinePunct w:val="0"/>
        <w:bidi w:val="0"/>
        <w:spacing w:before="0" w:beforeLines="0" w:after="0" w:afterLines="0" w:line="360" w:lineRule="auto"/>
        <w:jc w:val="center"/>
        <w:textAlignment w:val="auto"/>
        <w:rPr>
          <w:rFonts w:hint="eastAsia" w:ascii="宋体" w:hAnsi="宋体"/>
          <w:color w:val="auto"/>
          <w:sz w:val="36"/>
          <w:szCs w:val="36"/>
          <w:highlight w:val="none"/>
        </w:rPr>
      </w:pPr>
      <w:r>
        <w:rPr>
          <w:rFonts w:hint="eastAsia" w:ascii="宋体" w:hAnsi="宋体"/>
          <w:color w:val="auto"/>
          <w:sz w:val="36"/>
          <w:szCs w:val="36"/>
          <w:highlight w:val="none"/>
        </w:rPr>
        <w:t>第三章   评标办法及评分标准</w:t>
      </w:r>
    </w:p>
    <w:p w14:paraId="2EDEB7B0">
      <w:pPr>
        <w:pageBreakBefore w:val="0"/>
        <w:kinsoku/>
        <w:wordWrap/>
        <w:overflowPunct/>
        <w:topLinePunct w:val="0"/>
        <w:bidi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1、采用</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综合评分法</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。即在符合</w:t>
      </w:r>
      <w:r>
        <w:rPr>
          <w:rFonts w:hint="eastAsia" w:ascii="宋体" w:hAnsi="宋体"/>
          <w:color w:val="auto"/>
          <w:sz w:val="24"/>
          <w:highlight w:val="none"/>
          <w:lang w:eastAsia="zh-CN"/>
        </w:rPr>
        <w:t>采购文件</w:t>
      </w:r>
      <w:r>
        <w:rPr>
          <w:rFonts w:hint="eastAsia" w:ascii="宋体" w:hAnsi="宋体"/>
          <w:color w:val="auto"/>
          <w:sz w:val="24"/>
          <w:highlight w:val="none"/>
        </w:rPr>
        <w:t>要求的前提下，择定</w:t>
      </w:r>
      <w:r>
        <w:rPr>
          <w:rFonts w:hint="eastAsia" w:ascii="宋体" w:hAnsi="宋体"/>
          <w:color w:val="auto"/>
          <w:sz w:val="24"/>
          <w:highlight w:val="none"/>
          <w:lang w:val="en-US" w:eastAsia="zh-CN"/>
        </w:rPr>
        <w:t>总得分最高的前3名为本项目入围单位</w:t>
      </w:r>
      <w:r>
        <w:rPr>
          <w:rFonts w:hint="eastAsia" w:ascii="宋体" w:hAnsi="宋体"/>
          <w:color w:val="auto"/>
          <w:sz w:val="24"/>
          <w:highlight w:val="none"/>
        </w:rPr>
        <w:t>。</w:t>
      </w:r>
    </w:p>
    <w:p w14:paraId="39D92B30">
      <w:pPr>
        <w:pageBreakBefore w:val="0"/>
        <w:kinsoku/>
        <w:wordWrap/>
        <w:overflowPunct/>
        <w:topLinePunct w:val="0"/>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2、合格投标人的评标得分为各项目汇总得分，中标候选资格按评标得分由高到低顺序排列，得分相同的，按投标报价由低到高顺序排列；得分且投标报价相同的，按技术指标由高到低顺序排列。排名</w:t>
      </w:r>
      <w:r>
        <w:rPr>
          <w:rFonts w:hint="eastAsia" w:ascii="宋体" w:hAnsi="宋体"/>
          <w:color w:val="auto"/>
          <w:sz w:val="24"/>
          <w:highlight w:val="none"/>
          <w:lang w:val="en-US" w:eastAsia="zh-CN"/>
        </w:rPr>
        <w:t>前3名</w:t>
      </w:r>
      <w:r>
        <w:rPr>
          <w:rFonts w:hint="eastAsia" w:ascii="宋体" w:hAnsi="宋体"/>
          <w:color w:val="auto"/>
          <w:sz w:val="24"/>
          <w:highlight w:val="none"/>
        </w:rPr>
        <w:t>的投标人为</w:t>
      </w:r>
      <w:r>
        <w:rPr>
          <w:rFonts w:hint="eastAsia" w:ascii="宋体" w:hAnsi="宋体"/>
          <w:color w:val="auto"/>
          <w:sz w:val="24"/>
          <w:highlight w:val="none"/>
          <w:lang w:val="en-US" w:eastAsia="zh-CN"/>
        </w:rPr>
        <w:t>入围</w:t>
      </w:r>
      <w:r>
        <w:rPr>
          <w:rFonts w:hint="eastAsia" w:ascii="宋体" w:hAnsi="宋体"/>
          <w:color w:val="auto"/>
          <w:sz w:val="24"/>
          <w:highlight w:val="none"/>
        </w:rPr>
        <w:t>中标候选人。</w:t>
      </w:r>
      <w:r>
        <w:rPr>
          <w:rFonts w:hint="eastAsia" w:ascii="宋体" w:hAnsi="宋体"/>
          <w:bCs/>
          <w:color w:val="auto"/>
          <w:sz w:val="24"/>
          <w:highlight w:val="none"/>
        </w:rPr>
        <w:t>评分过程中采用四舍五入</w:t>
      </w:r>
      <w:r>
        <w:rPr>
          <w:rFonts w:hint="eastAsia" w:ascii="宋体" w:hAnsi="宋体"/>
          <w:color w:val="auto"/>
          <w:sz w:val="24"/>
          <w:highlight w:val="none"/>
        </w:rPr>
        <w:t>法，并保留小数2位。</w:t>
      </w:r>
    </w:p>
    <w:p w14:paraId="77FC7857">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3、评分办法</w:t>
      </w:r>
    </w:p>
    <w:p w14:paraId="0C2E799C">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（1）满分为100分。总得分=</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得分+</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技术得分；</w:t>
      </w:r>
    </w:p>
    <w:p w14:paraId="63AB8C65">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技术得分=</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技术评分，</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技术评分=所有评委的有效评分的算术平均数；</w:t>
      </w:r>
    </w:p>
    <w:p w14:paraId="60606023">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得分=（评标基准价/投标报价）*价格权值*100，评标基准价=有效投标人的最低投标报价，</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价格权值=</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p>
    <w:tbl>
      <w:tblPr>
        <w:tblStyle w:val="1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6860"/>
        <w:gridCol w:w="1391"/>
      </w:tblGrid>
      <w:tr w14:paraId="2627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8" w:type="dxa"/>
            <w:noWrap w:val="0"/>
            <w:vAlign w:val="center"/>
          </w:tcPr>
          <w:p w14:paraId="178F7A79">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序号</w:t>
            </w:r>
          </w:p>
        </w:tc>
        <w:tc>
          <w:tcPr>
            <w:tcW w:w="6860" w:type="dxa"/>
            <w:noWrap w:val="0"/>
            <w:vAlign w:val="center"/>
          </w:tcPr>
          <w:p w14:paraId="1FB25281">
            <w:pPr>
              <w:pageBreakBefore w:val="0"/>
              <w:kinsoku/>
              <w:wordWrap/>
              <w:overflowPunct/>
              <w:topLinePunct w:val="0"/>
              <w:bidi w:val="0"/>
              <w:spacing w:line="360" w:lineRule="auto"/>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报价评分项</w:t>
            </w:r>
          </w:p>
        </w:tc>
        <w:tc>
          <w:tcPr>
            <w:tcW w:w="1391" w:type="dxa"/>
            <w:noWrap w:val="0"/>
            <w:vAlign w:val="center"/>
          </w:tcPr>
          <w:p w14:paraId="5563502A">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rPr>
              <w:t>价格权值</w:t>
            </w:r>
          </w:p>
        </w:tc>
      </w:tr>
      <w:tr w14:paraId="6B22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8" w:type="dxa"/>
            <w:noWrap w:val="0"/>
            <w:vAlign w:val="center"/>
          </w:tcPr>
          <w:p w14:paraId="521AC6DA">
            <w:pPr>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6860" w:type="dxa"/>
            <w:noWrap w:val="0"/>
            <w:vAlign w:val="center"/>
          </w:tcPr>
          <w:p w14:paraId="2B30F420">
            <w:pPr>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油车</w:t>
            </w:r>
            <w:r>
              <w:rPr>
                <w:rFonts w:hint="eastAsia" w:ascii="宋体" w:hAnsi="宋体" w:eastAsia="宋体" w:cs="宋体"/>
                <w:bCs/>
                <w:strike w:val="0"/>
                <w:dstrike w:val="0"/>
                <w:color w:val="auto"/>
                <w:sz w:val="24"/>
                <w:highlight w:val="none"/>
                <w:lang w:val="en-US" w:eastAsia="zh-CN"/>
              </w:rPr>
              <w:t>商业险费率调整系数（费率折扣）</w:t>
            </w:r>
          </w:p>
        </w:tc>
        <w:tc>
          <w:tcPr>
            <w:tcW w:w="1391" w:type="dxa"/>
            <w:noWrap w:val="0"/>
            <w:vAlign w:val="center"/>
          </w:tcPr>
          <w:p w14:paraId="041D7D5B">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r w14:paraId="2167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8" w:type="dxa"/>
            <w:noWrap w:val="0"/>
            <w:vAlign w:val="center"/>
          </w:tcPr>
          <w:p w14:paraId="7D796E65">
            <w:pPr>
              <w:pageBreakBefore w:val="0"/>
              <w:kinsoku/>
              <w:wordWrap/>
              <w:overflowPunct/>
              <w:topLinePunct w:val="0"/>
              <w:bidi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6860" w:type="dxa"/>
            <w:noWrap w:val="0"/>
            <w:vAlign w:val="center"/>
          </w:tcPr>
          <w:p w14:paraId="37CE0A22">
            <w:pPr>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bCs/>
                <w:strike w:val="0"/>
                <w:dstrike w:val="0"/>
                <w:color w:val="auto"/>
                <w:sz w:val="24"/>
                <w:highlight w:val="none"/>
                <w:lang w:val="en-US" w:eastAsia="zh-CN"/>
              </w:rPr>
            </w:pPr>
            <w:r>
              <w:rPr>
                <w:rFonts w:hint="eastAsia" w:ascii="宋体" w:hAnsi="宋体" w:eastAsia="宋体" w:cs="宋体"/>
                <w:bCs/>
                <w:strike w:val="0"/>
                <w:dstrike w:val="0"/>
                <w:color w:val="auto"/>
                <w:sz w:val="24"/>
                <w:highlight w:val="none"/>
                <w:lang w:val="en-US" w:eastAsia="zh-CN"/>
              </w:rPr>
              <w:t>新能源车商业险费率调整系数（费率折扣）</w:t>
            </w:r>
          </w:p>
        </w:tc>
        <w:tc>
          <w:tcPr>
            <w:tcW w:w="1391" w:type="dxa"/>
            <w:noWrap w:val="0"/>
            <w:vAlign w:val="center"/>
          </w:tcPr>
          <w:p w14:paraId="18B0FB2D">
            <w:pPr>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r w14:paraId="65B0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9499" w:type="dxa"/>
            <w:gridSpan w:val="3"/>
            <w:noWrap w:val="0"/>
            <w:vAlign w:val="center"/>
          </w:tcPr>
          <w:p w14:paraId="7B3609B2">
            <w:pPr>
              <w:pageBreakBefore w:val="0"/>
              <w:kinsoku/>
              <w:wordWrap/>
              <w:overflowPunct/>
              <w:topLinePunct w:val="0"/>
              <w:autoSpaceDE/>
              <w:autoSpaceDN/>
              <w:bidi w:val="0"/>
              <w:adjustRightIn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bCs/>
                <w:strike w:val="0"/>
                <w:dstrike w:val="0"/>
                <w:color w:val="auto"/>
                <w:sz w:val="24"/>
                <w:highlight w:val="none"/>
                <w:lang w:val="en-US" w:eastAsia="zh-CN"/>
              </w:rPr>
              <w:t>报价方式采用：商业险费率调整系数（费率折扣）</w:t>
            </w:r>
            <w:r>
              <w:rPr>
                <w:rFonts w:hint="eastAsia" w:ascii="宋体" w:hAnsi="宋体" w:cs="宋体"/>
                <w:bCs/>
                <w:strike w:val="0"/>
                <w:dstrike w:val="0"/>
                <w:color w:val="auto"/>
                <w:sz w:val="24"/>
                <w:highlight w:val="none"/>
                <w:lang w:val="en-US" w:eastAsia="zh-CN"/>
              </w:rPr>
              <w:t>；</w:t>
            </w:r>
            <w:r>
              <w:rPr>
                <w:rFonts w:hint="eastAsia" w:ascii="宋体" w:hAnsi="宋体" w:eastAsia="宋体" w:cs="宋体"/>
                <w:bCs/>
                <w:strike w:val="0"/>
                <w:dstrike w:val="0"/>
                <w:color w:val="auto"/>
                <w:sz w:val="24"/>
                <w:highlight w:val="none"/>
                <w:lang w:val="en-US" w:eastAsia="zh-CN"/>
              </w:rPr>
              <w:t>供应商所提供的公开报价应符合中国保监会《关于进一步加强机动车辆保险监督管理有关问题的通知》（保监发〔2006〕19号）、《关于进一步加强机动车辆保险监督管理有关问题的补充通知》</w:t>
            </w:r>
            <w:r>
              <w:rPr>
                <w:rFonts w:hint="eastAsia" w:ascii="宋体" w:hAnsi="宋体"/>
                <w:b w:val="0"/>
                <w:bCs w:val="0"/>
                <w:color w:val="auto"/>
                <w:sz w:val="24"/>
                <w:highlight w:val="none"/>
              </w:rPr>
              <w:t>（保监发〔2008〕70号）</w:t>
            </w:r>
            <w:r>
              <w:rPr>
                <w:rFonts w:hint="eastAsia" w:ascii="宋体" w:hAnsi="宋体" w:eastAsia="宋体" w:cs="宋体"/>
                <w:bCs/>
                <w:strike w:val="0"/>
                <w:dstrike w:val="0"/>
                <w:color w:val="auto"/>
                <w:sz w:val="24"/>
                <w:highlight w:val="none"/>
                <w:lang w:val="en-US" w:eastAsia="zh-CN"/>
              </w:rPr>
              <w:t>、《浙江省商业车险条款费率管理制度改革工作实施方案》等有关规定，</w:t>
            </w:r>
            <w:r>
              <w:rPr>
                <w:rFonts w:hint="eastAsia" w:ascii="宋体" w:hAnsi="宋体" w:cs="宋体"/>
                <w:bCs/>
                <w:strike w:val="0"/>
                <w:dstrike w:val="0"/>
                <w:color w:val="auto"/>
                <w:sz w:val="24"/>
                <w:highlight w:val="none"/>
                <w:lang w:val="en-US" w:eastAsia="zh-CN"/>
              </w:rPr>
              <w:t>如</w:t>
            </w:r>
            <w:r>
              <w:rPr>
                <w:rFonts w:hint="eastAsia" w:ascii="宋体" w:hAnsi="宋体" w:eastAsia="宋体" w:cs="宋体"/>
                <w:bCs/>
                <w:strike w:val="0"/>
                <w:dstrike w:val="0"/>
                <w:color w:val="auto"/>
                <w:sz w:val="24"/>
                <w:highlight w:val="none"/>
                <w:lang w:val="en-US" w:eastAsia="zh-CN"/>
              </w:rPr>
              <w:t>有新政策出台</w:t>
            </w:r>
            <w:r>
              <w:rPr>
                <w:rFonts w:hint="eastAsia" w:ascii="宋体" w:hAnsi="宋体" w:cs="宋体"/>
                <w:bCs/>
                <w:strike w:val="0"/>
                <w:dstrike w:val="0"/>
                <w:color w:val="auto"/>
                <w:sz w:val="24"/>
                <w:highlight w:val="none"/>
                <w:lang w:val="en-US" w:eastAsia="zh-CN"/>
              </w:rPr>
              <w:t>的</w:t>
            </w:r>
            <w:r>
              <w:rPr>
                <w:rFonts w:hint="eastAsia" w:ascii="宋体" w:hAnsi="宋体" w:eastAsia="宋体" w:cs="宋体"/>
                <w:bCs/>
                <w:strike w:val="0"/>
                <w:dstrike w:val="0"/>
                <w:color w:val="auto"/>
                <w:sz w:val="24"/>
                <w:highlight w:val="none"/>
                <w:lang w:val="en-US" w:eastAsia="zh-CN"/>
              </w:rPr>
              <w:t>（如保险费率降低、理赔条款放开、交通违法浮动系数采用</w:t>
            </w:r>
            <w:r>
              <w:rPr>
                <w:rFonts w:hint="eastAsia" w:ascii="宋体" w:hAnsi="宋体" w:cs="宋体"/>
                <w:bCs/>
                <w:strike w:val="0"/>
                <w:dstrike w:val="0"/>
                <w:color w:val="auto"/>
                <w:sz w:val="24"/>
                <w:highlight w:val="none"/>
                <w:lang w:val="en-US" w:eastAsia="zh-CN"/>
              </w:rPr>
              <w:t>等</w:t>
            </w:r>
            <w:r>
              <w:rPr>
                <w:rFonts w:hint="eastAsia" w:ascii="宋体" w:hAnsi="宋体" w:eastAsia="宋体" w:cs="宋体"/>
                <w:bCs/>
                <w:strike w:val="0"/>
                <w:dstrike w:val="0"/>
                <w:color w:val="auto"/>
                <w:sz w:val="24"/>
                <w:highlight w:val="none"/>
                <w:lang w:val="en-US" w:eastAsia="zh-CN"/>
              </w:rPr>
              <w:t>），</w:t>
            </w:r>
            <w:r>
              <w:rPr>
                <w:rFonts w:hint="eastAsia" w:ascii="宋体" w:hAnsi="宋体" w:cs="宋体"/>
                <w:bCs/>
                <w:strike w:val="0"/>
                <w:dstrike w:val="0"/>
                <w:color w:val="auto"/>
                <w:sz w:val="24"/>
                <w:highlight w:val="none"/>
                <w:lang w:val="en-US" w:eastAsia="zh-CN"/>
              </w:rPr>
              <w:t>则中标人应参照最</w:t>
            </w:r>
            <w:r>
              <w:rPr>
                <w:rFonts w:hint="eastAsia" w:ascii="宋体" w:hAnsi="宋体" w:eastAsia="宋体" w:cs="宋体"/>
                <w:bCs/>
                <w:strike w:val="0"/>
                <w:dstrike w:val="0"/>
                <w:color w:val="auto"/>
                <w:sz w:val="24"/>
                <w:highlight w:val="none"/>
                <w:lang w:val="en-US" w:eastAsia="zh-CN"/>
              </w:rPr>
              <w:t>新政策</w:t>
            </w:r>
            <w:r>
              <w:rPr>
                <w:rFonts w:hint="eastAsia" w:ascii="宋体" w:hAnsi="宋体" w:cs="宋体"/>
                <w:bCs/>
                <w:strike w:val="0"/>
                <w:dstrike w:val="0"/>
                <w:color w:val="auto"/>
                <w:sz w:val="24"/>
                <w:highlight w:val="none"/>
                <w:lang w:val="en-US" w:eastAsia="zh-CN"/>
              </w:rPr>
              <w:t>，按最有利于采购人的</w:t>
            </w:r>
            <w:r>
              <w:rPr>
                <w:rFonts w:hint="eastAsia" w:ascii="宋体" w:hAnsi="宋体" w:eastAsia="宋体" w:cs="宋体"/>
                <w:bCs/>
                <w:strike w:val="0"/>
                <w:dstrike w:val="0"/>
                <w:color w:val="auto"/>
                <w:sz w:val="24"/>
                <w:highlight w:val="none"/>
                <w:lang w:val="en-US" w:eastAsia="zh-CN"/>
              </w:rPr>
              <w:t>服务</w:t>
            </w:r>
            <w:r>
              <w:rPr>
                <w:rFonts w:hint="eastAsia" w:ascii="宋体" w:hAnsi="宋体" w:cs="宋体"/>
                <w:bCs/>
                <w:strike w:val="0"/>
                <w:dstrike w:val="0"/>
                <w:color w:val="auto"/>
                <w:sz w:val="24"/>
                <w:highlight w:val="none"/>
                <w:lang w:val="en-US" w:eastAsia="zh-CN"/>
              </w:rPr>
              <w:t>要求</w:t>
            </w:r>
            <w:r>
              <w:rPr>
                <w:rFonts w:hint="eastAsia" w:ascii="宋体" w:hAnsi="宋体" w:eastAsia="宋体" w:cs="宋体"/>
                <w:bCs/>
                <w:strike w:val="0"/>
                <w:dstrike w:val="0"/>
                <w:color w:val="auto"/>
                <w:sz w:val="24"/>
                <w:highlight w:val="none"/>
                <w:lang w:val="en-US" w:eastAsia="zh-CN"/>
              </w:rPr>
              <w:t>执行</w:t>
            </w:r>
            <w:r>
              <w:rPr>
                <w:rFonts w:hint="eastAsia" w:ascii="宋体" w:hAnsi="宋体" w:cs="宋体"/>
                <w:bCs/>
                <w:strike w:val="0"/>
                <w:dstrike w:val="0"/>
                <w:color w:val="auto"/>
                <w:sz w:val="24"/>
                <w:highlight w:val="none"/>
                <w:lang w:val="en-US" w:eastAsia="zh-CN"/>
              </w:rPr>
              <w:t>，中标人应</w:t>
            </w:r>
            <w:r>
              <w:rPr>
                <w:rFonts w:hint="eastAsia" w:ascii="宋体" w:hAnsi="宋体" w:eastAsia="宋体" w:cs="宋体"/>
                <w:bCs/>
                <w:strike w:val="0"/>
                <w:dstrike w:val="0"/>
                <w:color w:val="auto"/>
                <w:sz w:val="24"/>
                <w:highlight w:val="none"/>
                <w:lang w:val="en-US" w:eastAsia="zh-CN"/>
              </w:rPr>
              <w:t>在国家政策允许的范围内给予采购人所有车辆保险最大的优惠。</w:t>
            </w:r>
          </w:p>
        </w:tc>
      </w:tr>
    </w:tbl>
    <w:p w14:paraId="4CC45984">
      <w:pPr>
        <w:rPr>
          <w:rFonts w:hint="eastAsia" w:ascii="宋体" w:hAnsi="宋体" w:eastAsia="宋体" w:cs="宋体"/>
          <w:color w:val="auto"/>
          <w:sz w:val="24"/>
          <w:szCs w:val="24"/>
          <w:highlight w:val="none"/>
        </w:rPr>
      </w:pPr>
    </w:p>
    <w:p w14:paraId="72AABC3C">
      <w:pPr>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技术评分细则（</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bl>
      <w:tblPr>
        <w:tblStyle w:val="16"/>
        <w:tblW w:w="94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8"/>
        <w:gridCol w:w="862"/>
        <w:gridCol w:w="7427"/>
        <w:gridCol w:w="660"/>
      </w:tblGrid>
      <w:tr w14:paraId="4F50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8" w:type="dxa"/>
            <w:tcBorders>
              <w:top w:val="single" w:color="000000" w:sz="4" w:space="0"/>
              <w:left w:val="single" w:color="000000" w:sz="4" w:space="0"/>
              <w:bottom w:val="single" w:color="auto" w:sz="4" w:space="0"/>
              <w:right w:val="single" w:color="000000" w:sz="4" w:space="0"/>
            </w:tcBorders>
            <w:noWrap w:val="0"/>
            <w:vAlign w:val="center"/>
          </w:tcPr>
          <w:p w14:paraId="42F52513">
            <w:pPr>
              <w:pageBreakBefore w:val="0"/>
              <w:widowControl/>
              <w:kinsoku/>
              <w:wordWrap/>
              <w:overflowPunct/>
              <w:topLinePunct w:val="0"/>
              <w:bidi w:val="0"/>
              <w:snapToGrid w:val="0"/>
              <w:spacing w:line="360" w:lineRule="auto"/>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序号</w:t>
            </w:r>
          </w:p>
        </w:tc>
        <w:tc>
          <w:tcPr>
            <w:tcW w:w="862" w:type="dxa"/>
            <w:tcBorders>
              <w:top w:val="single" w:color="000000" w:sz="4" w:space="0"/>
              <w:left w:val="single" w:color="000000" w:sz="4" w:space="0"/>
              <w:bottom w:val="single" w:color="auto" w:sz="4" w:space="0"/>
              <w:right w:val="single" w:color="000000" w:sz="4" w:space="0"/>
            </w:tcBorders>
            <w:noWrap w:val="0"/>
            <w:vAlign w:val="center"/>
          </w:tcPr>
          <w:p w14:paraId="3DEE4A6F">
            <w:pPr>
              <w:pageBreakBefore w:val="0"/>
              <w:widowControl/>
              <w:kinsoku/>
              <w:wordWrap/>
              <w:overflowPunct/>
              <w:topLinePunct w:val="0"/>
              <w:bidi w:val="0"/>
              <w:snapToGrid w:val="0"/>
              <w:spacing w:line="360" w:lineRule="auto"/>
              <w:jc w:val="center"/>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评分</w:t>
            </w:r>
            <w:r>
              <w:rPr>
                <w:rFonts w:hint="eastAsia" w:ascii="宋体" w:hAnsi="宋体" w:eastAsia="宋体" w:cs="宋体"/>
                <w:b/>
                <w:bCs/>
                <w:color w:val="auto"/>
                <w:sz w:val="24"/>
                <w:highlight w:val="none"/>
                <w:lang w:val="en-US" w:eastAsia="zh-CN"/>
              </w:rPr>
              <w:t>项目</w:t>
            </w:r>
          </w:p>
        </w:tc>
        <w:tc>
          <w:tcPr>
            <w:tcW w:w="7427" w:type="dxa"/>
            <w:tcBorders>
              <w:top w:val="single" w:color="000000" w:sz="4" w:space="0"/>
              <w:left w:val="nil"/>
              <w:bottom w:val="single" w:color="000000" w:sz="4" w:space="0"/>
              <w:right w:val="single" w:color="000000" w:sz="4" w:space="0"/>
            </w:tcBorders>
            <w:noWrap w:val="0"/>
            <w:vAlign w:val="center"/>
          </w:tcPr>
          <w:p w14:paraId="5DF2809F">
            <w:pPr>
              <w:pageBreakBefore w:val="0"/>
              <w:widowControl/>
              <w:kinsoku/>
              <w:wordWrap/>
              <w:overflowPunct/>
              <w:topLinePunct w:val="0"/>
              <w:bidi w:val="0"/>
              <w:snapToGrid w:val="0"/>
              <w:spacing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评分标准</w:t>
            </w:r>
          </w:p>
        </w:tc>
        <w:tc>
          <w:tcPr>
            <w:tcW w:w="660" w:type="dxa"/>
            <w:tcBorders>
              <w:top w:val="single" w:color="000000" w:sz="4" w:space="0"/>
              <w:left w:val="nil"/>
              <w:bottom w:val="single" w:color="000000" w:sz="4" w:space="0"/>
              <w:right w:val="single" w:color="000000" w:sz="4" w:space="0"/>
            </w:tcBorders>
            <w:noWrap w:val="0"/>
            <w:vAlign w:val="center"/>
          </w:tcPr>
          <w:p w14:paraId="4C040BA4">
            <w:pPr>
              <w:pageBreakBefore w:val="0"/>
              <w:widowControl/>
              <w:kinsoku/>
              <w:wordWrap/>
              <w:overflowPunct/>
              <w:topLinePunct w:val="0"/>
              <w:bidi w:val="0"/>
              <w:snapToGrid w:val="0"/>
              <w:spacing w:line="360" w:lineRule="auto"/>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分值</w:t>
            </w:r>
          </w:p>
        </w:tc>
      </w:tr>
      <w:tr w14:paraId="2B549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518" w:type="dxa"/>
            <w:tcBorders>
              <w:top w:val="single" w:color="000000" w:sz="4" w:space="0"/>
              <w:left w:val="single" w:color="000000" w:sz="4" w:space="0"/>
              <w:bottom w:val="single" w:color="auto" w:sz="4" w:space="0"/>
              <w:right w:val="single" w:color="000000" w:sz="4" w:space="0"/>
            </w:tcBorders>
            <w:noWrap w:val="0"/>
            <w:vAlign w:val="center"/>
          </w:tcPr>
          <w:p w14:paraId="128E30D9">
            <w:pPr>
              <w:pageBreakBefore w:val="0"/>
              <w:widowControl/>
              <w:kinsoku/>
              <w:wordWrap/>
              <w:overflowPunct/>
              <w:topLinePunct w:val="0"/>
              <w:bidi w:val="0"/>
              <w:snapToGrid w:val="0"/>
              <w:spacing w:line="360" w:lineRule="auto"/>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w:t>
            </w:r>
          </w:p>
        </w:tc>
        <w:tc>
          <w:tcPr>
            <w:tcW w:w="862" w:type="dxa"/>
            <w:tcBorders>
              <w:top w:val="single" w:color="000000" w:sz="4" w:space="0"/>
              <w:left w:val="single" w:color="000000" w:sz="4" w:space="0"/>
              <w:bottom w:val="single" w:color="auto" w:sz="4" w:space="0"/>
              <w:right w:val="single" w:color="000000" w:sz="4" w:space="0"/>
            </w:tcBorders>
            <w:noWrap w:val="0"/>
            <w:vAlign w:val="center"/>
          </w:tcPr>
          <w:p w14:paraId="6AC42BA0">
            <w:pPr>
              <w:pageBreakBefore w:val="0"/>
              <w:widowControl/>
              <w:kinsoku/>
              <w:wordWrap/>
              <w:overflowPunct/>
              <w:topLinePunct w:val="0"/>
              <w:bidi w:val="0"/>
              <w:snapToGrid w:val="0"/>
              <w:spacing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项目经验</w:t>
            </w:r>
          </w:p>
        </w:tc>
        <w:tc>
          <w:tcPr>
            <w:tcW w:w="7427" w:type="dxa"/>
            <w:tcBorders>
              <w:top w:val="single" w:color="000000" w:sz="4" w:space="0"/>
              <w:left w:val="nil"/>
              <w:bottom w:val="single" w:color="000000" w:sz="4" w:space="0"/>
              <w:right w:val="single" w:color="000000" w:sz="4" w:space="0"/>
            </w:tcBorders>
            <w:noWrap w:val="0"/>
            <w:vAlign w:val="top"/>
          </w:tcPr>
          <w:p w14:paraId="6F5F6B7F">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strike w:val="0"/>
                <w:dstrike w:val="0"/>
                <w:color w:val="auto"/>
                <w:sz w:val="24"/>
                <w:highlight w:val="none"/>
                <w:lang w:val="en-US" w:eastAsia="zh-CN"/>
              </w:rPr>
            </w:pPr>
            <w:r>
              <w:rPr>
                <w:rFonts w:hint="eastAsia" w:ascii="宋体" w:hAnsi="宋体" w:eastAsia="宋体" w:cs="宋体"/>
                <w:bCs/>
                <w:strike w:val="0"/>
                <w:dstrike w:val="0"/>
                <w:color w:val="auto"/>
                <w:sz w:val="24"/>
                <w:highlight w:val="none"/>
                <w:lang w:val="en-US" w:eastAsia="zh-CN"/>
              </w:rPr>
              <w:t>投标人自2022年1月1日以来具有同类项目经验的，每提供一项得1分，本项最高得5分。</w:t>
            </w:r>
          </w:p>
          <w:p w14:paraId="75504C60">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val="0"/>
                <w:strike w:val="0"/>
                <w:dstrike w:val="0"/>
                <w:color w:val="auto"/>
                <w:sz w:val="24"/>
                <w:highlight w:val="none"/>
                <w:lang w:val="en-US" w:eastAsia="zh-CN"/>
              </w:rPr>
              <w:t>（投标时提供需提供中标通知书</w:t>
            </w:r>
            <w:r>
              <w:rPr>
                <w:rFonts w:hint="eastAsia" w:ascii="宋体" w:hAnsi="宋体" w:cs="宋体"/>
                <w:b/>
                <w:bCs w:val="0"/>
                <w:strike w:val="0"/>
                <w:dstrike w:val="0"/>
                <w:color w:val="auto"/>
                <w:sz w:val="24"/>
                <w:highlight w:val="none"/>
                <w:lang w:val="en-US" w:eastAsia="zh-CN"/>
              </w:rPr>
              <w:t>、</w:t>
            </w:r>
            <w:r>
              <w:rPr>
                <w:rFonts w:hint="eastAsia" w:ascii="宋体" w:hAnsi="宋体" w:eastAsia="宋体" w:cs="宋体"/>
                <w:b/>
                <w:bCs w:val="0"/>
                <w:strike w:val="0"/>
                <w:dstrike w:val="0"/>
                <w:color w:val="auto"/>
                <w:sz w:val="24"/>
                <w:highlight w:val="none"/>
                <w:lang w:val="en-US" w:eastAsia="zh-CN"/>
              </w:rPr>
              <w:t>合同、保险协议、保险单复印件等相关证明资料扫描件并加盖投标人公章，不提供或不能证明的不得分）</w:t>
            </w:r>
          </w:p>
        </w:tc>
        <w:tc>
          <w:tcPr>
            <w:tcW w:w="660" w:type="dxa"/>
            <w:tcBorders>
              <w:top w:val="single" w:color="000000" w:sz="4" w:space="0"/>
              <w:left w:val="nil"/>
              <w:bottom w:val="single" w:color="000000" w:sz="4" w:space="0"/>
              <w:right w:val="single" w:color="000000" w:sz="4" w:space="0"/>
            </w:tcBorders>
            <w:noWrap w:val="0"/>
            <w:vAlign w:val="center"/>
          </w:tcPr>
          <w:p w14:paraId="0BD4EDB1">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trike w:val="0"/>
                <w:dstrike w:val="0"/>
                <w:color w:val="auto"/>
                <w:sz w:val="24"/>
                <w:highlight w:val="none"/>
                <w:lang w:val="en-US" w:eastAsia="zh-CN"/>
              </w:rPr>
            </w:pPr>
            <w:r>
              <w:rPr>
                <w:rFonts w:hint="eastAsia" w:ascii="宋体" w:hAnsi="宋体" w:eastAsia="宋体" w:cs="宋体"/>
                <w:b/>
                <w:bCs/>
                <w:strike w:val="0"/>
                <w:dstrike w:val="0"/>
                <w:color w:val="auto"/>
                <w:sz w:val="24"/>
                <w:highlight w:val="none"/>
                <w:lang w:val="en-US" w:eastAsia="zh-CN"/>
              </w:rPr>
              <w:t>5</w:t>
            </w:r>
          </w:p>
        </w:tc>
      </w:tr>
      <w:tr w14:paraId="239A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8" w:type="dxa"/>
            <w:vMerge w:val="restart"/>
            <w:tcBorders>
              <w:top w:val="single" w:color="auto" w:sz="4" w:space="0"/>
              <w:left w:val="single" w:color="auto" w:sz="4" w:space="0"/>
              <w:right w:val="single" w:color="auto" w:sz="4" w:space="0"/>
            </w:tcBorders>
            <w:noWrap w:val="0"/>
            <w:vAlign w:val="center"/>
          </w:tcPr>
          <w:p w14:paraId="3578A01A">
            <w:pPr>
              <w:pageBreakBefore w:val="0"/>
              <w:widowControl/>
              <w:kinsoku/>
              <w:wordWrap/>
              <w:overflowPunct/>
              <w:topLinePunct w:val="0"/>
              <w:bidi w:val="0"/>
              <w:snapToGrid w:val="0"/>
              <w:spacing w:line="360" w:lineRule="auto"/>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w:t>
            </w:r>
          </w:p>
        </w:tc>
        <w:tc>
          <w:tcPr>
            <w:tcW w:w="862" w:type="dxa"/>
            <w:vMerge w:val="restart"/>
            <w:tcBorders>
              <w:top w:val="single" w:color="auto" w:sz="4" w:space="0"/>
              <w:left w:val="single" w:color="auto" w:sz="4" w:space="0"/>
              <w:bottom w:val="single" w:color="auto" w:sz="4" w:space="0"/>
              <w:right w:val="single" w:color="auto" w:sz="4" w:space="0"/>
            </w:tcBorders>
            <w:noWrap w:val="0"/>
            <w:vAlign w:val="center"/>
          </w:tcPr>
          <w:p w14:paraId="7626D968">
            <w:pPr>
              <w:pageBreakBefore w:val="0"/>
              <w:widowControl/>
              <w:kinsoku/>
              <w:wordWrap/>
              <w:overflowPunct/>
              <w:topLinePunct w:val="0"/>
              <w:bidi w:val="0"/>
              <w:snapToGrid w:val="0"/>
              <w:spacing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投标人</w:t>
            </w:r>
            <w:r>
              <w:rPr>
                <w:rFonts w:hint="eastAsia" w:ascii="宋体" w:hAnsi="宋体" w:eastAsia="宋体" w:cs="宋体"/>
                <w:b/>
                <w:bCs/>
                <w:color w:val="auto"/>
                <w:sz w:val="24"/>
                <w:highlight w:val="none"/>
              </w:rPr>
              <w:t>资信</w:t>
            </w:r>
          </w:p>
        </w:tc>
        <w:tc>
          <w:tcPr>
            <w:tcW w:w="7427" w:type="dxa"/>
            <w:tcBorders>
              <w:top w:val="single" w:color="000000" w:sz="4" w:space="0"/>
              <w:left w:val="single" w:color="auto" w:sz="4" w:space="0"/>
              <w:bottom w:val="single" w:color="000000" w:sz="4" w:space="0"/>
              <w:right w:val="single" w:color="000000" w:sz="4" w:space="0"/>
            </w:tcBorders>
            <w:noWrap w:val="0"/>
            <w:vAlign w:val="center"/>
          </w:tcPr>
          <w:p w14:paraId="62BCD5F9">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1.总体实力</w:t>
            </w:r>
          </w:p>
          <w:p w14:paraId="5FEA4884">
            <w:pPr>
              <w:keepNext w:val="0"/>
              <w:keepLines w:val="0"/>
              <w:pageBreakBefore w:val="0"/>
              <w:widowControl/>
              <w:tabs>
                <w:tab w:val="left" w:pos="574"/>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strike w:val="0"/>
                <w:dstrike w:val="0"/>
                <w:color w:val="auto"/>
                <w:sz w:val="24"/>
                <w:highlight w:val="none"/>
                <w:lang w:val="en-US" w:eastAsia="zh-CN"/>
              </w:rPr>
            </w:pPr>
            <w:r>
              <w:rPr>
                <w:rFonts w:hint="eastAsia" w:ascii="宋体" w:hAnsi="宋体" w:eastAsia="宋体" w:cs="宋体"/>
                <w:bCs/>
                <w:strike w:val="0"/>
                <w:dstrike w:val="0"/>
                <w:color w:val="auto"/>
                <w:sz w:val="24"/>
                <w:highlight w:val="none"/>
                <w:lang w:val="en-US" w:eastAsia="zh-CN"/>
              </w:rPr>
              <w:t>根据投标人2023年整体业务保费规模情况进行打分，排名第一的得5分，排名第二的得4分，排名第三的得3分，第三名以下得2分。</w:t>
            </w:r>
          </w:p>
          <w:p w14:paraId="344E3E9C">
            <w:pPr>
              <w:keepNext w:val="0"/>
              <w:keepLines w:val="0"/>
              <w:pageBreakBefore w:val="0"/>
              <w:widowControl/>
              <w:tabs>
                <w:tab w:val="left" w:pos="574"/>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val="0"/>
                <w:strike w:val="0"/>
                <w:dstrike w:val="0"/>
                <w:color w:val="auto"/>
                <w:sz w:val="24"/>
                <w:highlight w:val="none"/>
                <w:lang w:val="en-US" w:eastAsia="zh-CN"/>
              </w:rPr>
              <w:t>（以绍兴市保险行业协会官网公布的诸暨市全市保险业务统计表数据为依据，投标人须提供网站截图并加盖投标人公章，不提供不得分）</w:t>
            </w:r>
          </w:p>
        </w:tc>
        <w:tc>
          <w:tcPr>
            <w:tcW w:w="660" w:type="dxa"/>
            <w:tcBorders>
              <w:top w:val="single" w:color="000000" w:sz="4" w:space="0"/>
              <w:left w:val="single" w:color="auto" w:sz="4" w:space="0"/>
              <w:bottom w:val="single" w:color="000000" w:sz="4" w:space="0"/>
              <w:right w:val="single" w:color="000000" w:sz="4" w:space="0"/>
            </w:tcBorders>
            <w:noWrap w:val="0"/>
            <w:vAlign w:val="center"/>
          </w:tcPr>
          <w:p w14:paraId="2F164CC8">
            <w:pPr>
              <w:keepNext w:val="0"/>
              <w:keepLines w:val="0"/>
              <w:pageBreakBefore w:val="0"/>
              <w:widowControl/>
              <w:tabs>
                <w:tab w:val="left" w:pos="574"/>
              </w:tabs>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trike w:val="0"/>
                <w:dstrike w:val="0"/>
                <w:color w:val="auto"/>
                <w:sz w:val="24"/>
                <w:highlight w:val="none"/>
                <w:lang w:val="en-US" w:eastAsia="zh-CN"/>
              </w:rPr>
            </w:pPr>
            <w:r>
              <w:rPr>
                <w:rFonts w:hint="eastAsia" w:ascii="宋体" w:hAnsi="宋体" w:eastAsia="宋体" w:cs="宋体"/>
                <w:b/>
                <w:bCs/>
                <w:strike w:val="0"/>
                <w:dstrike w:val="0"/>
                <w:color w:val="auto"/>
                <w:sz w:val="24"/>
                <w:highlight w:val="none"/>
                <w:lang w:val="en-US" w:eastAsia="zh-CN"/>
              </w:rPr>
              <w:t>5</w:t>
            </w:r>
          </w:p>
        </w:tc>
      </w:tr>
      <w:tr w14:paraId="77766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8" w:type="dxa"/>
            <w:vMerge w:val="continue"/>
            <w:tcBorders>
              <w:left w:val="single" w:color="auto" w:sz="4" w:space="0"/>
              <w:right w:val="single" w:color="auto" w:sz="4" w:space="0"/>
            </w:tcBorders>
            <w:noWrap w:val="0"/>
            <w:vAlign w:val="center"/>
          </w:tcPr>
          <w:p w14:paraId="3469804D">
            <w:pPr>
              <w:pageBreakBefore w:val="0"/>
              <w:widowControl/>
              <w:kinsoku/>
              <w:wordWrap/>
              <w:overflowPunct/>
              <w:topLinePunct w:val="0"/>
              <w:bidi w:val="0"/>
              <w:snapToGrid w:val="0"/>
              <w:spacing w:line="360" w:lineRule="auto"/>
              <w:jc w:val="center"/>
              <w:textAlignment w:val="auto"/>
              <w:rPr>
                <w:rFonts w:hint="eastAsia" w:ascii="宋体" w:hAnsi="宋体" w:eastAsia="宋体" w:cs="宋体"/>
                <w:b/>
                <w:bCs/>
                <w:color w:val="auto"/>
                <w:sz w:val="24"/>
                <w:highlight w:val="none"/>
              </w:rPr>
            </w:pPr>
          </w:p>
        </w:tc>
        <w:tc>
          <w:tcPr>
            <w:tcW w:w="862" w:type="dxa"/>
            <w:vMerge w:val="continue"/>
            <w:tcBorders>
              <w:top w:val="single" w:color="auto" w:sz="4" w:space="0"/>
              <w:left w:val="single" w:color="auto" w:sz="4" w:space="0"/>
              <w:bottom w:val="single" w:color="auto" w:sz="4" w:space="0"/>
              <w:right w:val="single" w:color="auto" w:sz="4" w:space="0"/>
            </w:tcBorders>
            <w:noWrap w:val="0"/>
            <w:vAlign w:val="center"/>
          </w:tcPr>
          <w:p w14:paraId="1B5B03FE">
            <w:pPr>
              <w:pageBreakBefore w:val="0"/>
              <w:widowControl/>
              <w:kinsoku/>
              <w:wordWrap/>
              <w:overflowPunct/>
              <w:topLinePunct w:val="0"/>
              <w:bidi w:val="0"/>
              <w:snapToGrid w:val="0"/>
              <w:spacing w:line="360" w:lineRule="auto"/>
              <w:jc w:val="center"/>
              <w:textAlignment w:val="auto"/>
              <w:rPr>
                <w:rFonts w:hint="eastAsia" w:ascii="宋体" w:hAnsi="宋体" w:eastAsia="宋体" w:cs="宋体"/>
                <w:b/>
                <w:bCs/>
                <w:color w:val="auto"/>
                <w:sz w:val="24"/>
                <w:highlight w:val="none"/>
              </w:rPr>
            </w:pPr>
          </w:p>
        </w:tc>
        <w:tc>
          <w:tcPr>
            <w:tcW w:w="7427" w:type="dxa"/>
            <w:tcBorders>
              <w:top w:val="single" w:color="000000" w:sz="4" w:space="0"/>
              <w:left w:val="single" w:color="auto" w:sz="4" w:space="0"/>
              <w:bottom w:val="single" w:color="000000" w:sz="4" w:space="0"/>
              <w:right w:val="single" w:color="000000" w:sz="4" w:space="0"/>
            </w:tcBorders>
            <w:noWrap w:val="0"/>
            <w:vAlign w:val="center"/>
          </w:tcPr>
          <w:p w14:paraId="084F11F1">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2.偿付能力充足率</w:t>
            </w:r>
          </w:p>
          <w:p w14:paraId="71F24ADA">
            <w:pPr>
              <w:keepNext w:val="0"/>
              <w:keepLines w:val="0"/>
              <w:pageBreakBefore w:val="0"/>
              <w:widowControl/>
              <w:tabs>
                <w:tab w:val="left" w:pos="574"/>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投标人所属总公司综合偿付能力充足率：偿付能力充足率在200%以上的得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分；偿付能力充足率在150%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200%之间，得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分；偿付能力充足率在100%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150%之间，得1分；偿付能力充足率在100%以下，不得分。</w:t>
            </w:r>
          </w:p>
          <w:p w14:paraId="20F637C6">
            <w:pPr>
              <w:keepNext w:val="0"/>
              <w:keepLines w:val="0"/>
              <w:pageBreakBefore w:val="0"/>
              <w:widowControl/>
              <w:tabs>
                <w:tab w:val="left" w:pos="574"/>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投标人须提供所属总公司2023年由会计师事务所出具的审计报告扫描件并加盖投标人公章，不提供不得分</w:t>
            </w:r>
            <w:r>
              <w:rPr>
                <w:rFonts w:hint="eastAsia" w:ascii="宋体" w:hAnsi="宋体" w:eastAsia="宋体" w:cs="宋体"/>
                <w:b/>
                <w:bCs/>
                <w:color w:val="auto"/>
                <w:sz w:val="24"/>
                <w:highlight w:val="none"/>
                <w:lang w:eastAsia="zh-CN"/>
              </w:rPr>
              <w:t>）</w:t>
            </w:r>
          </w:p>
        </w:tc>
        <w:tc>
          <w:tcPr>
            <w:tcW w:w="660" w:type="dxa"/>
            <w:tcBorders>
              <w:top w:val="single" w:color="000000" w:sz="4" w:space="0"/>
              <w:left w:val="single" w:color="auto" w:sz="4" w:space="0"/>
              <w:bottom w:val="single" w:color="000000" w:sz="4" w:space="0"/>
              <w:right w:val="single" w:color="000000" w:sz="4" w:space="0"/>
            </w:tcBorders>
            <w:noWrap w:val="0"/>
            <w:vAlign w:val="center"/>
          </w:tcPr>
          <w:p w14:paraId="0FFBF9EC">
            <w:pPr>
              <w:keepNext w:val="0"/>
              <w:keepLines w:val="0"/>
              <w:pageBreakBefore w:val="0"/>
              <w:widowControl/>
              <w:tabs>
                <w:tab w:val="left" w:pos="574"/>
              </w:tabs>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w:t>
            </w:r>
          </w:p>
        </w:tc>
      </w:tr>
      <w:tr w14:paraId="1252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8" w:type="dxa"/>
            <w:vMerge w:val="continue"/>
            <w:tcBorders>
              <w:left w:val="single" w:color="auto" w:sz="4" w:space="0"/>
              <w:bottom w:val="single" w:color="auto" w:sz="4" w:space="0"/>
              <w:right w:val="single" w:color="auto" w:sz="4" w:space="0"/>
            </w:tcBorders>
            <w:noWrap w:val="0"/>
            <w:vAlign w:val="center"/>
          </w:tcPr>
          <w:p w14:paraId="2E12C7F7">
            <w:pPr>
              <w:pageBreakBefore w:val="0"/>
              <w:widowControl/>
              <w:kinsoku/>
              <w:wordWrap/>
              <w:overflowPunct/>
              <w:topLinePunct w:val="0"/>
              <w:bidi w:val="0"/>
              <w:snapToGrid w:val="0"/>
              <w:spacing w:line="360" w:lineRule="auto"/>
              <w:jc w:val="center"/>
              <w:textAlignment w:val="auto"/>
              <w:rPr>
                <w:rFonts w:hint="eastAsia" w:ascii="宋体" w:hAnsi="宋体" w:eastAsia="宋体" w:cs="宋体"/>
                <w:b/>
                <w:bCs/>
                <w:color w:val="auto"/>
                <w:sz w:val="24"/>
                <w:highlight w:val="none"/>
              </w:rPr>
            </w:pPr>
          </w:p>
        </w:tc>
        <w:tc>
          <w:tcPr>
            <w:tcW w:w="862" w:type="dxa"/>
            <w:vMerge w:val="continue"/>
            <w:tcBorders>
              <w:top w:val="single" w:color="auto" w:sz="4" w:space="0"/>
              <w:left w:val="single" w:color="auto" w:sz="4" w:space="0"/>
              <w:bottom w:val="single" w:color="auto" w:sz="4" w:space="0"/>
              <w:right w:val="single" w:color="auto" w:sz="4" w:space="0"/>
            </w:tcBorders>
            <w:noWrap w:val="0"/>
            <w:vAlign w:val="center"/>
          </w:tcPr>
          <w:p w14:paraId="49445407">
            <w:pPr>
              <w:pageBreakBefore w:val="0"/>
              <w:widowControl/>
              <w:kinsoku/>
              <w:wordWrap/>
              <w:overflowPunct/>
              <w:topLinePunct w:val="0"/>
              <w:bidi w:val="0"/>
              <w:snapToGrid w:val="0"/>
              <w:spacing w:line="360" w:lineRule="auto"/>
              <w:jc w:val="center"/>
              <w:textAlignment w:val="auto"/>
              <w:rPr>
                <w:rFonts w:hint="eastAsia" w:ascii="宋体" w:hAnsi="宋体" w:eastAsia="宋体" w:cs="宋体"/>
                <w:b/>
                <w:bCs/>
                <w:color w:val="auto"/>
                <w:sz w:val="24"/>
                <w:highlight w:val="none"/>
              </w:rPr>
            </w:pPr>
          </w:p>
        </w:tc>
        <w:tc>
          <w:tcPr>
            <w:tcW w:w="7427" w:type="dxa"/>
            <w:tcBorders>
              <w:top w:val="single" w:color="000000" w:sz="4" w:space="0"/>
              <w:left w:val="single" w:color="auto" w:sz="4" w:space="0"/>
              <w:bottom w:val="single" w:color="000000" w:sz="4" w:space="0"/>
              <w:right w:val="single" w:color="000000" w:sz="4" w:space="0"/>
            </w:tcBorders>
            <w:noWrap w:val="0"/>
            <w:vAlign w:val="center"/>
          </w:tcPr>
          <w:p w14:paraId="2FDC80DC">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企业信誉</w:t>
            </w:r>
          </w:p>
          <w:p w14:paraId="005D3FC1">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投标人自2020年以来未被国家金融监督管理总局及下属分支机构纳入行政处罚信息公开表的，得2分。</w:t>
            </w:r>
          </w:p>
          <w:p w14:paraId="561BE5A2">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（投标时提供相关承诺（格式资料），未提供或提供的内容不符不得分。如有虚假应标，则作无效标处理，并按招标文件有关规定对该投标人进行处罚）</w:t>
            </w:r>
          </w:p>
        </w:tc>
        <w:tc>
          <w:tcPr>
            <w:tcW w:w="660" w:type="dxa"/>
            <w:tcBorders>
              <w:top w:val="single" w:color="000000" w:sz="4" w:space="0"/>
              <w:left w:val="single" w:color="auto" w:sz="4" w:space="0"/>
              <w:bottom w:val="single" w:color="000000" w:sz="4" w:space="0"/>
              <w:right w:val="single" w:color="000000" w:sz="4" w:space="0"/>
            </w:tcBorders>
            <w:noWrap w:val="0"/>
            <w:vAlign w:val="center"/>
          </w:tcPr>
          <w:p w14:paraId="5A5A4C04">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w:t>
            </w:r>
          </w:p>
        </w:tc>
      </w:tr>
      <w:tr w14:paraId="2E6FC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8" w:type="dxa"/>
            <w:vMerge w:val="restart"/>
            <w:tcBorders>
              <w:top w:val="single" w:color="auto" w:sz="4" w:space="0"/>
              <w:left w:val="single" w:color="000000" w:sz="4" w:space="0"/>
              <w:right w:val="single" w:color="000000" w:sz="4" w:space="0"/>
            </w:tcBorders>
            <w:noWrap w:val="0"/>
            <w:vAlign w:val="center"/>
          </w:tcPr>
          <w:p w14:paraId="20C17080">
            <w:pPr>
              <w:pageBreakBefore w:val="0"/>
              <w:widowControl/>
              <w:kinsoku/>
              <w:wordWrap/>
              <w:overflowPunct/>
              <w:topLinePunct w:val="0"/>
              <w:bidi w:val="0"/>
              <w:snapToGrid w:val="0"/>
              <w:spacing w:line="360" w:lineRule="auto"/>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w:t>
            </w:r>
          </w:p>
        </w:tc>
        <w:tc>
          <w:tcPr>
            <w:tcW w:w="862" w:type="dxa"/>
            <w:vMerge w:val="restart"/>
            <w:tcBorders>
              <w:top w:val="single" w:color="auto" w:sz="4" w:space="0"/>
              <w:left w:val="single" w:color="000000" w:sz="4" w:space="0"/>
              <w:right w:val="single" w:color="000000" w:sz="4" w:space="0"/>
            </w:tcBorders>
            <w:noWrap w:val="0"/>
            <w:vAlign w:val="center"/>
          </w:tcPr>
          <w:p w14:paraId="32E7A124">
            <w:pPr>
              <w:pageBreakBefore w:val="0"/>
              <w:widowControl/>
              <w:kinsoku/>
              <w:wordWrap/>
              <w:overflowPunct/>
              <w:topLinePunct w:val="0"/>
              <w:bidi w:val="0"/>
              <w:snapToGrid w:val="0"/>
              <w:spacing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服务能力</w:t>
            </w:r>
          </w:p>
        </w:tc>
        <w:tc>
          <w:tcPr>
            <w:tcW w:w="7427" w:type="dxa"/>
            <w:tcBorders>
              <w:top w:val="single" w:color="000000" w:sz="4" w:space="0"/>
              <w:left w:val="nil"/>
              <w:bottom w:val="single" w:color="000000" w:sz="4" w:space="0"/>
              <w:right w:val="single" w:color="000000" w:sz="4" w:space="0"/>
            </w:tcBorders>
            <w:noWrap w:val="0"/>
            <w:vAlign w:val="top"/>
          </w:tcPr>
          <w:p w14:paraId="28BF7829">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1.服务渠道</w:t>
            </w:r>
          </w:p>
          <w:p w14:paraId="010CFC0B">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根据投标人提供的服务渠道进行综合对比打分（如是否具备</w:t>
            </w:r>
            <w:r>
              <w:rPr>
                <w:rFonts w:hint="eastAsia" w:ascii="宋体" w:hAnsi="宋体" w:eastAsia="宋体" w:cs="宋体"/>
                <w:color w:val="auto"/>
                <w:sz w:val="24"/>
                <w:highlight w:val="none"/>
              </w:rPr>
              <w:t>网络、电话、短信、网点及专员等多样化服务渠道</w:t>
            </w:r>
            <w:r>
              <w:rPr>
                <w:rFonts w:hint="eastAsia" w:ascii="宋体" w:hAnsi="宋体" w:eastAsia="宋体" w:cs="宋体"/>
                <w:color w:val="auto"/>
                <w:sz w:val="24"/>
                <w:highlight w:val="none"/>
                <w:lang w:val="en-US" w:eastAsia="zh-CN"/>
              </w:rPr>
              <w:t>），本项最高得2分。</w:t>
            </w:r>
          </w:p>
          <w:p w14:paraId="02EC83C0">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（投标时提供相关证明材料并加盖投标人公章。）</w:t>
            </w:r>
            <w:r>
              <w:rPr>
                <w:rFonts w:hint="eastAsia" w:ascii="宋体" w:hAnsi="宋体" w:eastAsia="宋体" w:cs="宋体"/>
                <w:color w:val="auto"/>
                <w:sz w:val="24"/>
                <w:highlight w:val="none"/>
              </w:rPr>
              <w:t xml:space="preserve"> </w:t>
            </w:r>
          </w:p>
        </w:tc>
        <w:tc>
          <w:tcPr>
            <w:tcW w:w="660" w:type="dxa"/>
            <w:tcBorders>
              <w:top w:val="single" w:color="000000" w:sz="4" w:space="0"/>
              <w:left w:val="nil"/>
              <w:bottom w:val="single" w:color="000000" w:sz="4" w:space="0"/>
              <w:right w:val="single" w:color="000000" w:sz="4" w:space="0"/>
            </w:tcBorders>
            <w:noWrap w:val="0"/>
            <w:vAlign w:val="center"/>
          </w:tcPr>
          <w:p w14:paraId="4F7B5B84">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w:t>
            </w:r>
          </w:p>
        </w:tc>
      </w:tr>
      <w:tr w14:paraId="1B8A4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8" w:type="dxa"/>
            <w:vMerge w:val="continue"/>
            <w:tcBorders>
              <w:left w:val="single" w:color="000000" w:sz="4" w:space="0"/>
              <w:right w:val="single" w:color="000000" w:sz="4" w:space="0"/>
            </w:tcBorders>
            <w:noWrap w:val="0"/>
            <w:vAlign w:val="center"/>
          </w:tcPr>
          <w:p w14:paraId="08AC6B34">
            <w:pPr>
              <w:pageBreakBefore w:val="0"/>
              <w:widowControl/>
              <w:kinsoku/>
              <w:wordWrap/>
              <w:overflowPunct/>
              <w:topLinePunct w:val="0"/>
              <w:bidi w:val="0"/>
              <w:spacing w:line="360" w:lineRule="auto"/>
              <w:jc w:val="left"/>
              <w:textAlignment w:val="auto"/>
              <w:rPr>
                <w:rFonts w:hint="eastAsia" w:ascii="宋体" w:hAnsi="宋体" w:eastAsia="宋体" w:cs="宋体"/>
                <w:b/>
                <w:bCs/>
                <w:color w:val="auto"/>
                <w:sz w:val="24"/>
                <w:highlight w:val="none"/>
              </w:rPr>
            </w:pPr>
          </w:p>
        </w:tc>
        <w:tc>
          <w:tcPr>
            <w:tcW w:w="862" w:type="dxa"/>
            <w:vMerge w:val="continue"/>
            <w:tcBorders>
              <w:left w:val="single" w:color="000000" w:sz="4" w:space="0"/>
              <w:right w:val="single" w:color="000000" w:sz="4" w:space="0"/>
            </w:tcBorders>
            <w:noWrap w:val="0"/>
            <w:vAlign w:val="center"/>
          </w:tcPr>
          <w:p w14:paraId="32419629">
            <w:pPr>
              <w:pageBreakBefore w:val="0"/>
              <w:widowControl/>
              <w:kinsoku/>
              <w:wordWrap/>
              <w:overflowPunct/>
              <w:topLinePunct w:val="0"/>
              <w:bidi w:val="0"/>
              <w:spacing w:line="360" w:lineRule="auto"/>
              <w:jc w:val="left"/>
              <w:textAlignment w:val="auto"/>
              <w:rPr>
                <w:rFonts w:hint="eastAsia" w:ascii="宋体" w:hAnsi="宋体" w:eastAsia="宋体" w:cs="宋体"/>
                <w:b/>
                <w:bCs/>
                <w:color w:val="auto"/>
                <w:sz w:val="24"/>
                <w:highlight w:val="none"/>
              </w:rPr>
            </w:pPr>
          </w:p>
        </w:tc>
        <w:tc>
          <w:tcPr>
            <w:tcW w:w="7427" w:type="dxa"/>
            <w:tcBorders>
              <w:top w:val="single" w:color="000000" w:sz="4" w:space="0"/>
              <w:left w:val="nil"/>
              <w:bottom w:val="single" w:color="000000" w:sz="4" w:space="0"/>
              <w:right w:val="single" w:color="000000" w:sz="4" w:space="0"/>
            </w:tcBorders>
            <w:noWrap w:val="0"/>
            <w:vAlign w:val="top"/>
          </w:tcPr>
          <w:p w14:paraId="4CE7D387">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2.服务能力</w:t>
            </w:r>
          </w:p>
          <w:p w14:paraId="6FB1DB15">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①根据投标人服务响应速度、响应时间及</w:t>
            </w:r>
            <w:r>
              <w:rPr>
                <w:rFonts w:hint="eastAsia" w:ascii="宋体" w:hAnsi="宋体" w:eastAsia="宋体" w:cs="宋体"/>
                <w:b w:val="0"/>
                <w:bCs w:val="0"/>
                <w:color w:val="auto"/>
                <w:sz w:val="24"/>
                <w:highlight w:val="none"/>
                <w:lang w:val="en-US" w:eastAsia="zh-CN"/>
              </w:rPr>
              <w:t>采购人获取服务的便捷性等情况进行综合对比打分</w:t>
            </w:r>
            <w:r>
              <w:rPr>
                <w:rFonts w:hint="eastAsia" w:ascii="宋体" w:hAnsi="宋体" w:eastAsia="宋体" w:cs="宋体"/>
                <w:color w:val="auto"/>
                <w:sz w:val="24"/>
                <w:highlight w:val="none"/>
                <w:lang w:val="en-US" w:eastAsia="zh-CN"/>
              </w:rPr>
              <w:t xml:space="preserve">，本项最高得3分； </w:t>
            </w:r>
          </w:p>
          <w:p w14:paraId="70FE5CAD">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②根据投标人为本项目配备的保险</w:t>
            </w:r>
            <w:r>
              <w:rPr>
                <w:rFonts w:hint="eastAsia" w:ascii="宋体" w:hAnsi="宋体" w:eastAsia="宋体" w:cs="宋体"/>
                <w:color w:val="auto"/>
                <w:sz w:val="24"/>
                <w:highlight w:val="none"/>
              </w:rPr>
              <w:t>服务团队</w:t>
            </w:r>
            <w:r>
              <w:rPr>
                <w:rFonts w:hint="eastAsia" w:ascii="宋体" w:hAnsi="宋体" w:eastAsia="宋体" w:cs="宋体"/>
                <w:color w:val="auto"/>
                <w:sz w:val="24"/>
                <w:highlight w:val="none"/>
                <w:lang w:val="en-US" w:eastAsia="zh-CN"/>
              </w:rPr>
              <w:t>人员力量进行打分；</w:t>
            </w:r>
            <w:r>
              <w:rPr>
                <w:rFonts w:hint="eastAsia" w:ascii="宋体" w:hAnsi="宋体" w:cs="宋体"/>
                <w:color w:val="auto"/>
                <w:sz w:val="24"/>
                <w:highlight w:val="none"/>
                <w:lang w:val="en-US" w:eastAsia="zh-CN"/>
              </w:rPr>
              <w:t>其中项目负责人具有5年及以上车辆保险行业从业经验的，得2分；拟派团队成员具有3年及以上车辆保险行业从业经验的，每提供1人得0.5分。本项最高得4分。</w:t>
            </w:r>
          </w:p>
          <w:p w14:paraId="241AC7D3">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（投标时</w:t>
            </w:r>
            <w:r>
              <w:rPr>
                <w:rFonts w:hint="eastAsia" w:ascii="宋体" w:hAnsi="宋体" w:eastAsia="宋体" w:cs="宋体"/>
                <w:b/>
                <w:bCs/>
                <w:color w:val="auto"/>
                <w:sz w:val="24"/>
                <w:highlight w:val="none"/>
              </w:rPr>
              <w:t>提供</w:t>
            </w:r>
            <w:r>
              <w:rPr>
                <w:rFonts w:hint="eastAsia" w:ascii="宋体" w:hAnsi="宋体" w:cs="宋体"/>
                <w:b/>
                <w:bCs/>
                <w:color w:val="auto"/>
                <w:sz w:val="24"/>
                <w:highlight w:val="none"/>
                <w:lang w:val="en-US" w:eastAsia="zh-CN"/>
              </w:rPr>
              <w:t>团队人员清单（格式自拟），人员相关从业履历证明材料，并提供投标人（或下属分/子公司）为其缴纳的</w:t>
            </w:r>
            <w:r>
              <w:rPr>
                <w:rFonts w:hint="eastAsia" w:ascii="宋体" w:hAnsi="宋体" w:eastAsia="宋体" w:cs="宋体"/>
                <w:b/>
                <w:bCs/>
                <w:color w:val="auto"/>
                <w:sz w:val="24"/>
                <w:highlight w:val="none"/>
              </w:rPr>
              <w:t>近3个月的社保证明</w:t>
            </w:r>
            <w:r>
              <w:rPr>
                <w:rFonts w:hint="eastAsia" w:ascii="宋体" w:hAnsi="宋体" w:eastAsia="宋体" w:cs="宋体"/>
                <w:b/>
                <w:bCs/>
                <w:color w:val="auto"/>
                <w:sz w:val="24"/>
                <w:highlight w:val="none"/>
                <w:lang w:val="en-US" w:eastAsia="zh-CN"/>
              </w:rPr>
              <w:t>材料</w:t>
            </w:r>
            <w:r>
              <w:rPr>
                <w:rFonts w:hint="eastAsia" w:ascii="宋体" w:hAnsi="宋体" w:cs="宋体"/>
                <w:b/>
                <w:bCs/>
                <w:color w:val="auto"/>
                <w:sz w:val="24"/>
                <w:highlight w:val="none"/>
                <w:lang w:val="en-US" w:eastAsia="zh-CN"/>
              </w:rPr>
              <w:t>并</w:t>
            </w:r>
            <w:r>
              <w:rPr>
                <w:rFonts w:hint="eastAsia" w:ascii="宋体" w:hAnsi="宋体" w:eastAsia="宋体" w:cs="宋体"/>
                <w:b/>
                <w:bCs/>
                <w:color w:val="auto"/>
                <w:sz w:val="24"/>
                <w:highlight w:val="none"/>
                <w:lang w:val="en-US" w:eastAsia="zh-CN"/>
              </w:rPr>
              <w:t>加盖投标人公章</w:t>
            </w:r>
            <w:r>
              <w:rPr>
                <w:rFonts w:hint="eastAsia" w:ascii="宋体" w:hAnsi="宋体" w:eastAsia="宋体" w:cs="宋体"/>
                <w:b/>
                <w:bCs/>
                <w:color w:val="auto"/>
                <w:sz w:val="24"/>
                <w:highlight w:val="none"/>
              </w:rPr>
              <w:t>，不提供不得分</w:t>
            </w:r>
            <w:r>
              <w:rPr>
                <w:rFonts w:hint="eastAsia" w:ascii="宋体" w:hAnsi="宋体" w:cs="宋体"/>
                <w:b/>
                <w:bCs/>
                <w:color w:val="auto"/>
                <w:sz w:val="24"/>
                <w:highlight w:val="none"/>
                <w:lang w:eastAsia="zh-CN"/>
              </w:rPr>
              <w:t>）</w:t>
            </w:r>
          </w:p>
          <w:p w14:paraId="32D4E6CC">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③投标人为本项目</w:t>
            </w:r>
            <w:r>
              <w:rPr>
                <w:rFonts w:hint="eastAsia" w:ascii="宋体" w:hAnsi="宋体" w:eastAsia="宋体" w:cs="宋体"/>
                <w:color w:val="auto"/>
                <w:sz w:val="24"/>
                <w:highlight w:val="none"/>
              </w:rPr>
              <w:t>配备</w:t>
            </w:r>
            <w:r>
              <w:rPr>
                <w:rFonts w:hint="eastAsia" w:ascii="宋体" w:hAnsi="宋体" w:eastAsia="宋体" w:cs="宋体"/>
                <w:color w:val="auto"/>
                <w:sz w:val="24"/>
                <w:highlight w:val="none"/>
                <w:lang w:val="en-US" w:eastAsia="zh-CN"/>
              </w:rPr>
              <w:t>2辆及以上专用</w:t>
            </w:r>
            <w:r>
              <w:rPr>
                <w:rFonts w:hint="eastAsia" w:ascii="宋体" w:hAnsi="宋体" w:eastAsia="宋体" w:cs="宋体"/>
                <w:color w:val="auto"/>
                <w:sz w:val="24"/>
                <w:highlight w:val="none"/>
              </w:rPr>
              <w:t>理赔服务车辆</w:t>
            </w:r>
            <w:r>
              <w:rPr>
                <w:rFonts w:hint="eastAsia" w:ascii="宋体" w:hAnsi="宋体" w:eastAsia="宋体" w:cs="宋体"/>
                <w:color w:val="auto"/>
                <w:sz w:val="24"/>
                <w:highlight w:val="none"/>
                <w:lang w:val="en-US" w:eastAsia="zh-CN"/>
              </w:rPr>
              <w:t>的，得2分；</w:t>
            </w:r>
          </w:p>
          <w:p w14:paraId="19243486">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val="en-US" w:eastAsia="zh-CN"/>
              </w:rPr>
              <w:t>（投标人自有车辆需提供车辆有效行驶证、机动车登记证、车辆照片；租赁车辆的须出具有效租赁合同（租期需覆盖本项目服务期）及有效行驶证、机动车登记证、车辆照片等证明材料）</w:t>
            </w:r>
          </w:p>
        </w:tc>
        <w:tc>
          <w:tcPr>
            <w:tcW w:w="660" w:type="dxa"/>
            <w:tcBorders>
              <w:top w:val="single" w:color="000000" w:sz="4" w:space="0"/>
              <w:left w:val="nil"/>
              <w:bottom w:val="single" w:color="000000" w:sz="4" w:space="0"/>
              <w:right w:val="single" w:color="000000" w:sz="4" w:space="0"/>
            </w:tcBorders>
            <w:noWrap w:val="0"/>
            <w:vAlign w:val="center"/>
          </w:tcPr>
          <w:p w14:paraId="18A0C55C">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9</w:t>
            </w:r>
          </w:p>
        </w:tc>
      </w:tr>
      <w:tr w14:paraId="7C2E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8" w:type="dxa"/>
            <w:vMerge w:val="continue"/>
            <w:tcBorders>
              <w:left w:val="single" w:color="000000" w:sz="4" w:space="0"/>
              <w:right w:val="single" w:color="000000" w:sz="4" w:space="0"/>
            </w:tcBorders>
            <w:noWrap w:val="0"/>
            <w:vAlign w:val="center"/>
          </w:tcPr>
          <w:p w14:paraId="36BD860A">
            <w:pPr>
              <w:pageBreakBefore w:val="0"/>
              <w:widowControl/>
              <w:kinsoku/>
              <w:wordWrap/>
              <w:overflowPunct/>
              <w:topLinePunct w:val="0"/>
              <w:bidi w:val="0"/>
              <w:spacing w:line="360" w:lineRule="auto"/>
              <w:jc w:val="left"/>
              <w:textAlignment w:val="auto"/>
              <w:rPr>
                <w:rFonts w:hint="eastAsia" w:ascii="宋体" w:hAnsi="宋体" w:eastAsia="宋体" w:cs="宋体"/>
                <w:b/>
                <w:bCs/>
                <w:color w:val="auto"/>
                <w:sz w:val="24"/>
                <w:highlight w:val="none"/>
              </w:rPr>
            </w:pPr>
          </w:p>
        </w:tc>
        <w:tc>
          <w:tcPr>
            <w:tcW w:w="862" w:type="dxa"/>
            <w:vMerge w:val="continue"/>
            <w:tcBorders>
              <w:left w:val="single" w:color="000000" w:sz="4" w:space="0"/>
              <w:right w:val="single" w:color="000000" w:sz="4" w:space="0"/>
            </w:tcBorders>
            <w:noWrap w:val="0"/>
            <w:vAlign w:val="center"/>
          </w:tcPr>
          <w:p w14:paraId="0737C73D">
            <w:pPr>
              <w:pageBreakBefore w:val="0"/>
              <w:widowControl/>
              <w:kinsoku/>
              <w:wordWrap/>
              <w:overflowPunct/>
              <w:topLinePunct w:val="0"/>
              <w:bidi w:val="0"/>
              <w:spacing w:line="360" w:lineRule="auto"/>
              <w:jc w:val="left"/>
              <w:textAlignment w:val="auto"/>
              <w:rPr>
                <w:rFonts w:hint="eastAsia" w:ascii="宋体" w:hAnsi="宋体" w:eastAsia="宋体" w:cs="宋体"/>
                <w:b/>
                <w:bCs/>
                <w:color w:val="auto"/>
                <w:sz w:val="24"/>
                <w:highlight w:val="none"/>
              </w:rPr>
            </w:pPr>
          </w:p>
        </w:tc>
        <w:tc>
          <w:tcPr>
            <w:tcW w:w="7427" w:type="dxa"/>
            <w:tcBorders>
              <w:top w:val="single" w:color="000000" w:sz="4" w:space="0"/>
              <w:left w:val="nil"/>
              <w:bottom w:val="single" w:color="000000" w:sz="4" w:space="0"/>
              <w:right w:val="single" w:color="000000" w:sz="4" w:space="0"/>
            </w:tcBorders>
            <w:noWrap w:val="0"/>
            <w:vAlign w:val="top"/>
          </w:tcPr>
          <w:p w14:paraId="30AF4D62">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3.理赔服务方案</w:t>
            </w:r>
          </w:p>
          <w:p w14:paraId="25C8B5EF">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①评委根据投标人</w:t>
            </w:r>
            <w:r>
              <w:rPr>
                <w:rFonts w:hint="eastAsia" w:ascii="宋体" w:hAnsi="宋体" w:eastAsia="宋体" w:cs="宋体"/>
                <w:color w:val="auto"/>
                <w:sz w:val="24"/>
                <w:highlight w:val="none"/>
              </w:rPr>
              <w:t>针对本项目</w:t>
            </w:r>
            <w:r>
              <w:rPr>
                <w:rFonts w:hint="eastAsia" w:ascii="宋体" w:hAnsi="宋体" w:eastAsia="宋体" w:cs="宋体"/>
                <w:color w:val="auto"/>
                <w:sz w:val="24"/>
                <w:highlight w:val="none"/>
                <w:lang w:val="en-US" w:eastAsia="zh-CN"/>
              </w:rPr>
              <w:t>制定</w:t>
            </w:r>
            <w:r>
              <w:rPr>
                <w:rFonts w:hint="eastAsia" w:ascii="宋体" w:hAnsi="宋体" w:eastAsia="宋体" w:cs="宋体"/>
                <w:color w:val="auto"/>
                <w:sz w:val="24"/>
                <w:highlight w:val="none"/>
              </w:rPr>
              <w:t>的整体理赔服务方案以及理赔服务计划、理赔服务流程</w:t>
            </w:r>
            <w:r>
              <w:rPr>
                <w:rFonts w:hint="eastAsia" w:ascii="宋体" w:hAnsi="宋体" w:eastAsia="宋体" w:cs="宋体"/>
                <w:color w:val="auto"/>
                <w:sz w:val="24"/>
                <w:highlight w:val="none"/>
                <w:lang w:val="en-US" w:eastAsia="zh-CN"/>
              </w:rPr>
              <w:t>的合理性、可行性、完整性等进行综合对比打分</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本项</w:t>
            </w:r>
            <w:r>
              <w:rPr>
                <w:rFonts w:hint="eastAsia" w:ascii="宋体" w:hAnsi="宋体" w:eastAsia="宋体" w:cs="宋体"/>
                <w:color w:val="auto"/>
                <w:sz w:val="24"/>
                <w:highlight w:val="none"/>
                <w:lang w:val="en-US" w:eastAsia="zh-CN"/>
              </w:rPr>
              <w:t>最高得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24BB6F8B">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②评委根据投标人针对本项目设置</w:t>
            </w:r>
            <w:r>
              <w:rPr>
                <w:rFonts w:hint="eastAsia" w:ascii="宋体" w:hAnsi="宋体" w:eastAsia="宋体" w:cs="宋体"/>
                <w:color w:val="auto"/>
                <w:sz w:val="24"/>
                <w:highlight w:val="none"/>
              </w:rPr>
              <w:t>专门的小额案件处理方案（小额案件指2万元以下案件）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根据方案的合理性</w:t>
            </w:r>
            <w:r>
              <w:rPr>
                <w:rFonts w:hint="eastAsia" w:ascii="宋体" w:hAnsi="宋体" w:cs="宋体"/>
                <w:color w:val="auto"/>
                <w:sz w:val="24"/>
                <w:highlight w:val="none"/>
                <w:lang w:val="en-US" w:eastAsia="zh-CN"/>
              </w:rPr>
              <w:t>、完善性</w:t>
            </w:r>
            <w:r>
              <w:rPr>
                <w:rFonts w:hint="eastAsia" w:ascii="宋体" w:hAnsi="宋体" w:eastAsia="宋体" w:cs="宋体"/>
                <w:color w:val="auto"/>
                <w:sz w:val="24"/>
                <w:highlight w:val="none"/>
                <w:lang w:val="en-US" w:eastAsia="zh-CN"/>
              </w:rPr>
              <w:t>进行综合对比打分</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本项</w:t>
            </w:r>
            <w:r>
              <w:rPr>
                <w:rFonts w:hint="eastAsia" w:ascii="宋体" w:hAnsi="宋体" w:eastAsia="宋体" w:cs="宋体"/>
                <w:color w:val="auto"/>
                <w:sz w:val="24"/>
                <w:highlight w:val="none"/>
                <w:lang w:val="en-US" w:eastAsia="zh-CN"/>
              </w:rPr>
              <w:t>最高得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2A8A020B">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③评委根据投标人针对本项目</w:t>
            </w:r>
            <w:r>
              <w:rPr>
                <w:rFonts w:hint="eastAsia" w:ascii="宋体" w:hAnsi="宋体" w:eastAsia="宋体" w:cs="宋体"/>
                <w:color w:val="auto"/>
                <w:sz w:val="24"/>
                <w:highlight w:val="none"/>
              </w:rPr>
              <w:t>制定合理有效的</w:t>
            </w:r>
            <w:r>
              <w:rPr>
                <w:rFonts w:hint="eastAsia" w:ascii="宋体" w:hAnsi="宋体" w:cs="宋体"/>
                <w:color w:val="auto"/>
                <w:sz w:val="24"/>
                <w:highlight w:val="none"/>
                <w:lang w:val="en-US" w:eastAsia="zh-CN"/>
              </w:rPr>
              <w:t>内部人员</w:t>
            </w:r>
            <w:r>
              <w:rPr>
                <w:rFonts w:hint="eastAsia" w:ascii="宋体" w:hAnsi="宋体" w:eastAsia="宋体" w:cs="宋体"/>
                <w:color w:val="auto"/>
                <w:sz w:val="24"/>
                <w:highlight w:val="none"/>
              </w:rPr>
              <w:t>考核机制</w:t>
            </w:r>
            <w:r>
              <w:rPr>
                <w:rFonts w:hint="eastAsia" w:ascii="宋体" w:hAnsi="宋体" w:eastAsia="宋体" w:cs="宋体"/>
                <w:color w:val="auto"/>
                <w:sz w:val="24"/>
                <w:highlight w:val="none"/>
                <w:lang w:val="en-US" w:eastAsia="zh-CN"/>
              </w:rPr>
              <w:t>情况进行综合对比打分</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本项</w:t>
            </w:r>
            <w:r>
              <w:rPr>
                <w:rFonts w:hint="eastAsia" w:ascii="宋体" w:hAnsi="宋体" w:eastAsia="宋体" w:cs="宋体"/>
                <w:color w:val="auto"/>
                <w:sz w:val="24"/>
                <w:highlight w:val="none"/>
                <w:lang w:val="en-US" w:eastAsia="zh-CN"/>
              </w:rPr>
              <w:t>最高得3分。</w:t>
            </w:r>
          </w:p>
          <w:p w14:paraId="3D5621C6">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④评委根据投标人针对本项目</w:t>
            </w:r>
            <w:r>
              <w:rPr>
                <w:rFonts w:hint="eastAsia" w:ascii="宋体" w:hAnsi="宋体" w:cs="宋体"/>
                <w:color w:val="auto"/>
                <w:sz w:val="24"/>
                <w:highlight w:val="none"/>
                <w:lang w:val="en-US" w:eastAsia="zh-CN"/>
              </w:rPr>
              <w:t>制定的应急响应方案，</w:t>
            </w:r>
            <w:r>
              <w:rPr>
                <w:rFonts w:hint="eastAsia" w:ascii="宋体" w:hAnsi="宋体" w:eastAsia="宋体" w:cs="宋体"/>
                <w:color w:val="auto"/>
                <w:sz w:val="24"/>
                <w:highlight w:val="none"/>
              </w:rPr>
              <w:t>应</w:t>
            </w:r>
            <w:r>
              <w:rPr>
                <w:rFonts w:hint="eastAsia" w:ascii="宋体" w:hAnsi="宋体" w:cs="宋体"/>
                <w:color w:val="auto"/>
                <w:sz w:val="24"/>
                <w:highlight w:val="none"/>
                <w:lang w:val="en-US" w:eastAsia="zh-CN"/>
              </w:rPr>
              <w:t>对</w:t>
            </w:r>
            <w:r>
              <w:rPr>
                <w:rFonts w:hint="eastAsia" w:ascii="宋体" w:hAnsi="宋体" w:eastAsia="宋体" w:cs="宋体"/>
                <w:color w:val="auto"/>
                <w:sz w:val="24"/>
                <w:highlight w:val="none"/>
              </w:rPr>
              <w:t>突发事故的处置能力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措施</w:t>
            </w:r>
            <w:r>
              <w:rPr>
                <w:rFonts w:hint="eastAsia" w:ascii="宋体" w:hAnsi="宋体" w:eastAsia="宋体" w:cs="宋体"/>
                <w:color w:val="auto"/>
                <w:sz w:val="24"/>
                <w:highlight w:val="none"/>
                <w:lang w:val="en-US" w:eastAsia="zh-CN"/>
              </w:rPr>
              <w:t>等</w:t>
            </w:r>
            <w:r>
              <w:rPr>
                <w:rFonts w:hint="eastAsia" w:ascii="宋体" w:hAnsi="宋体" w:cs="宋体"/>
                <w:color w:val="auto"/>
                <w:sz w:val="24"/>
                <w:highlight w:val="none"/>
                <w:lang w:val="en-US" w:eastAsia="zh-CN"/>
              </w:rPr>
              <w:t>方面</w:t>
            </w:r>
            <w:r>
              <w:rPr>
                <w:rFonts w:hint="eastAsia" w:ascii="宋体" w:hAnsi="宋体" w:eastAsia="宋体" w:cs="宋体"/>
                <w:color w:val="auto"/>
                <w:sz w:val="24"/>
                <w:highlight w:val="none"/>
                <w:lang w:val="en-US" w:eastAsia="zh-CN"/>
              </w:rPr>
              <w:t>进行综合对比打分</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本项</w:t>
            </w:r>
            <w:r>
              <w:rPr>
                <w:rFonts w:hint="eastAsia" w:ascii="宋体" w:hAnsi="宋体" w:eastAsia="宋体" w:cs="宋体"/>
                <w:color w:val="auto"/>
                <w:sz w:val="24"/>
                <w:highlight w:val="none"/>
                <w:lang w:val="en-US" w:eastAsia="zh-CN"/>
              </w:rPr>
              <w:t>最高得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4C2E081F">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⑤</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eastAsia="zh-CN"/>
              </w:rPr>
              <w:t>能够提供与</w:t>
            </w:r>
            <w:r>
              <w:rPr>
                <w:rFonts w:hint="eastAsia" w:ascii="宋体" w:hAnsi="宋体" w:cs="宋体"/>
                <w:color w:val="auto"/>
                <w:sz w:val="24"/>
                <w:highlight w:val="none"/>
                <w:lang w:val="en-US" w:eastAsia="zh-CN"/>
              </w:rPr>
              <w:t>项目实施地</w:t>
            </w:r>
            <w:r>
              <w:rPr>
                <w:rFonts w:hint="eastAsia" w:ascii="宋体" w:hAnsi="宋体" w:eastAsia="宋体" w:cs="宋体"/>
                <w:b/>
                <w:bCs/>
                <w:i w:val="0"/>
                <w:iCs w:val="0"/>
                <w:color w:val="auto"/>
                <w:sz w:val="24"/>
                <w:highlight w:val="none"/>
                <w:lang w:eastAsia="zh-CN"/>
              </w:rPr>
              <w:t>市人民医院、市中心医院、市中医医院</w:t>
            </w:r>
            <w:r>
              <w:rPr>
                <w:rFonts w:hint="eastAsia" w:ascii="宋体" w:hAnsi="宋体" w:eastAsia="宋体" w:cs="宋体"/>
                <w:color w:val="auto"/>
                <w:sz w:val="24"/>
                <w:highlight w:val="none"/>
                <w:lang w:eastAsia="zh-CN"/>
              </w:rPr>
              <w:t>签订绿色通道协议相关证明的，每提供一家得</w:t>
            </w:r>
            <w:r>
              <w:rPr>
                <w:rFonts w:hint="eastAsia" w:ascii="宋体" w:hAnsi="宋体" w:eastAsia="宋体" w:cs="宋体"/>
                <w:color w:val="auto"/>
                <w:sz w:val="24"/>
                <w:highlight w:val="none"/>
                <w:lang w:val="en-US" w:eastAsia="zh-CN"/>
              </w:rPr>
              <w:t>3分，最高得9分；</w:t>
            </w:r>
            <w:r>
              <w:rPr>
                <w:rFonts w:hint="eastAsia" w:ascii="宋体" w:hAnsi="宋体" w:eastAsia="宋体" w:cs="宋体"/>
                <w:b/>
                <w:bCs/>
                <w:color w:val="auto"/>
                <w:sz w:val="24"/>
                <w:highlight w:val="none"/>
                <w:lang w:val="en-US" w:eastAsia="zh-CN"/>
              </w:rPr>
              <w:t>（投标时提供相关证明材料复印件加盖投标人公章）</w:t>
            </w:r>
          </w:p>
        </w:tc>
        <w:tc>
          <w:tcPr>
            <w:tcW w:w="660" w:type="dxa"/>
            <w:tcBorders>
              <w:top w:val="single" w:color="000000" w:sz="4" w:space="0"/>
              <w:left w:val="nil"/>
              <w:bottom w:val="single" w:color="000000" w:sz="4" w:space="0"/>
              <w:right w:val="single" w:color="000000" w:sz="4" w:space="0"/>
            </w:tcBorders>
            <w:noWrap w:val="0"/>
            <w:vAlign w:val="center"/>
          </w:tcPr>
          <w:p w14:paraId="271F5DC6">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24</w:t>
            </w:r>
          </w:p>
        </w:tc>
      </w:tr>
      <w:tr w14:paraId="1C7DE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8" w:type="dxa"/>
            <w:vMerge w:val="continue"/>
            <w:tcBorders>
              <w:left w:val="single" w:color="000000" w:sz="4" w:space="0"/>
              <w:right w:val="single" w:color="000000" w:sz="4" w:space="0"/>
            </w:tcBorders>
            <w:noWrap w:val="0"/>
            <w:vAlign w:val="center"/>
          </w:tcPr>
          <w:p w14:paraId="3815522A">
            <w:pPr>
              <w:pageBreakBefore w:val="0"/>
              <w:widowControl/>
              <w:kinsoku/>
              <w:wordWrap/>
              <w:overflowPunct/>
              <w:topLinePunct w:val="0"/>
              <w:bidi w:val="0"/>
              <w:spacing w:line="360" w:lineRule="auto"/>
              <w:jc w:val="left"/>
              <w:textAlignment w:val="auto"/>
              <w:rPr>
                <w:rFonts w:hint="eastAsia" w:ascii="宋体" w:hAnsi="宋体" w:eastAsia="宋体" w:cs="宋体"/>
                <w:b/>
                <w:bCs/>
                <w:color w:val="auto"/>
                <w:sz w:val="24"/>
                <w:highlight w:val="none"/>
              </w:rPr>
            </w:pPr>
          </w:p>
        </w:tc>
        <w:tc>
          <w:tcPr>
            <w:tcW w:w="862" w:type="dxa"/>
            <w:vMerge w:val="continue"/>
            <w:tcBorders>
              <w:left w:val="single" w:color="000000" w:sz="4" w:space="0"/>
              <w:right w:val="single" w:color="000000" w:sz="4" w:space="0"/>
            </w:tcBorders>
            <w:noWrap w:val="0"/>
            <w:vAlign w:val="center"/>
          </w:tcPr>
          <w:p w14:paraId="2BF731A2">
            <w:pPr>
              <w:pageBreakBefore w:val="0"/>
              <w:widowControl/>
              <w:kinsoku/>
              <w:wordWrap/>
              <w:overflowPunct/>
              <w:topLinePunct w:val="0"/>
              <w:bidi w:val="0"/>
              <w:spacing w:line="360" w:lineRule="auto"/>
              <w:jc w:val="left"/>
              <w:textAlignment w:val="auto"/>
              <w:rPr>
                <w:rFonts w:hint="eastAsia" w:ascii="宋体" w:hAnsi="宋体" w:eastAsia="宋体" w:cs="宋体"/>
                <w:b/>
                <w:bCs/>
                <w:color w:val="auto"/>
                <w:sz w:val="24"/>
                <w:highlight w:val="none"/>
              </w:rPr>
            </w:pPr>
          </w:p>
        </w:tc>
        <w:tc>
          <w:tcPr>
            <w:tcW w:w="7427" w:type="dxa"/>
            <w:tcBorders>
              <w:top w:val="single" w:color="000000" w:sz="4" w:space="0"/>
              <w:left w:val="nil"/>
              <w:bottom w:val="single" w:color="000000" w:sz="4" w:space="0"/>
              <w:right w:val="single" w:color="000000" w:sz="4" w:space="0"/>
            </w:tcBorders>
            <w:noWrap w:val="0"/>
            <w:vAlign w:val="top"/>
          </w:tcPr>
          <w:p w14:paraId="7359FFA4">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4.保险培训方案</w:t>
            </w:r>
          </w:p>
          <w:p w14:paraId="6F4240C2">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评委根据投标人针对本项目的</w:t>
            </w:r>
            <w:r>
              <w:rPr>
                <w:rFonts w:hint="eastAsia" w:ascii="宋体" w:hAnsi="宋体" w:eastAsia="宋体" w:cs="宋体"/>
                <w:color w:val="auto"/>
                <w:sz w:val="24"/>
                <w:highlight w:val="none"/>
              </w:rPr>
              <w:t>培训次数、内容的配套性和针对性、授课专家等综合评估方案的优劣程度</w:t>
            </w:r>
            <w:r>
              <w:rPr>
                <w:rFonts w:hint="eastAsia" w:ascii="宋体" w:hAnsi="宋体" w:eastAsia="宋体" w:cs="宋体"/>
                <w:color w:val="auto"/>
                <w:sz w:val="24"/>
                <w:highlight w:val="none"/>
                <w:lang w:val="en-US" w:eastAsia="zh-CN"/>
              </w:rPr>
              <w:t>进行综合对比打分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本项最高得3分。</w:t>
            </w:r>
          </w:p>
        </w:tc>
        <w:tc>
          <w:tcPr>
            <w:tcW w:w="660" w:type="dxa"/>
            <w:tcBorders>
              <w:top w:val="single" w:color="000000" w:sz="4" w:space="0"/>
              <w:left w:val="nil"/>
              <w:bottom w:val="single" w:color="000000" w:sz="4" w:space="0"/>
              <w:right w:val="single" w:color="000000" w:sz="4" w:space="0"/>
            </w:tcBorders>
            <w:noWrap w:val="0"/>
            <w:vAlign w:val="center"/>
          </w:tcPr>
          <w:p w14:paraId="65DFB214">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w:t>
            </w:r>
          </w:p>
        </w:tc>
      </w:tr>
      <w:tr w14:paraId="11D7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8" w:type="dxa"/>
            <w:vMerge w:val="continue"/>
            <w:tcBorders>
              <w:left w:val="single" w:color="000000" w:sz="4" w:space="0"/>
              <w:right w:val="single" w:color="000000" w:sz="4" w:space="0"/>
            </w:tcBorders>
            <w:noWrap w:val="0"/>
            <w:vAlign w:val="center"/>
          </w:tcPr>
          <w:p w14:paraId="208FC754">
            <w:pPr>
              <w:pageBreakBefore w:val="0"/>
              <w:widowControl/>
              <w:kinsoku/>
              <w:wordWrap/>
              <w:overflowPunct/>
              <w:topLinePunct w:val="0"/>
              <w:bidi w:val="0"/>
              <w:spacing w:line="360" w:lineRule="auto"/>
              <w:jc w:val="left"/>
              <w:textAlignment w:val="auto"/>
              <w:rPr>
                <w:rFonts w:hint="eastAsia" w:ascii="宋体" w:hAnsi="宋体" w:eastAsia="宋体" w:cs="宋体"/>
                <w:b/>
                <w:bCs/>
                <w:color w:val="auto"/>
                <w:sz w:val="24"/>
                <w:highlight w:val="none"/>
              </w:rPr>
            </w:pPr>
          </w:p>
        </w:tc>
        <w:tc>
          <w:tcPr>
            <w:tcW w:w="862" w:type="dxa"/>
            <w:vMerge w:val="continue"/>
            <w:tcBorders>
              <w:left w:val="single" w:color="000000" w:sz="4" w:space="0"/>
              <w:right w:val="single" w:color="000000" w:sz="4" w:space="0"/>
            </w:tcBorders>
            <w:noWrap w:val="0"/>
            <w:vAlign w:val="center"/>
          </w:tcPr>
          <w:p w14:paraId="6DDAC018">
            <w:pPr>
              <w:pageBreakBefore w:val="0"/>
              <w:widowControl/>
              <w:kinsoku/>
              <w:wordWrap/>
              <w:overflowPunct/>
              <w:topLinePunct w:val="0"/>
              <w:bidi w:val="0"/>
              <w:spacing w:line="360" w:lineRule="auto"/>
              <w:jc w:val="left"/>
              <w:textAlignment w:val="auto"/>
              <w:rPr>
                <w:rFonts w:hint="eastAsia" w:ascii="宋体" w:hAnsi="宋体" w:eastAsia="宋体" w:cs="宋体"/>
                <w:b/>
                <w:bCs/>
                <w:color w:val="auto"/>
                <w:sz w:val="24"/>
                <w:highlight w:val="none"/>
              </w:rPr>
            </w:pPr>
          </w:p>
        </w:tc>
        <w:tc>
          <w:tcPr>
            <w:tcW w:w="7427" w:type="dxa"/>
            <w:tcBorders>
              <w:top w:val="single" w:color="000000" w:sz="4" w:space="0"/>
              <w:left w:val="nil"/>
              <w:bottom w:val="single" w:color="000000" w:sz="4" w:space="0"/>
              <w:right w:val="single" w:color="000000" w:sz="4" w:space="0"/>
            </w:tcBorders>
            <w:noWrap w:val="0"/>
            <w:vAlign w:val="top"/>
          </w:tcPr>
          <w:p w14:paraId="77E4C1EA">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5.对本项目风险认知和风险预防建议的合理性、科学性</w:t>
            </w:r>
          </w:p>
          <w:p w14:paraId="3BDBCBC2">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①评委根据投标人针对本项目提供的</w:t>
            </w:r>
            <w:r>
              <w:rPr>
                <w:rFonts w:hint="eastAsia" w:ascii="宋体" w:hAnsi="宋体" w:eastAsia="宋体" w:cs="宋体"/>
                <w:color w:val="auto"/>
                <w:sz w:val="24"/>
                <w:highlight w:val="none"/>
              </w:rPr>
              <w:t>风险</w:t>
            </w:r>
            <w:r>
              <w:rPr>
                <w:rFonts w:hint="eastAsia" w:ascii="宋体" w:hAnsi="宋体" w:eastAsia="宋体" w:cs="宋体"/>
                <w:color w:val="auto"/>
                <w:sz w:val="24"/>
                <w:highlight w:val="none"/>
                <w:lang w:eastAsia="zh-CN"/>
              </w:rPr>
              <w:t>认知</w:t>
            </w:r>
            <w:r>
              <w:rPr>
                <w:rFonts w:hint="eastAsia" w:ascii="宋体" w:hAnsi="宋体" w:eastAsia="宋体" w:cs="宋体"/>
                <w:color w:val="auto"/>
                <w:sz w:val="24"/>
                <w:highlight w:val="none"/>
              </w:rPr>
              <w:t>程度</w:t>
            </w:r>
            <w:r>
              <w:rPr>
                <w:rFonts w:hint="eastAsia" w:ascii="宋体" w:hAnsi="宋体" w:eastAsia="宋体" w:cs="宋体"/>
                <w:color w:val="auto"/>
                <w:sz w:val="24"/>
                <w:highlight w:val="none"/>
                <w:lang w:val="en-US" w:eastAsia="zh-CN"/>
              </w:rPr>
              <w:t>的深刻性、完整性进行综合对比打分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本项最高得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187FD81C">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②评委根据投标人针对本项目提供的</w:t>
            </w:r>
            <w:r>
              <w:rPr>
                <w:rFonts w:hint="eastAsia" w:ascii="宋体" w:hAnsi="宋体" w:eastAsia="宋体" w:cs="宋体"/>
                <w:color w:val="auto"/>
                <w:sz w:val="24"/>
                <w:highlight w:val="none"/>
              </w:rPr>
              <w:t>风险预防建议</w:t>
            </w:r>
            <w:r>
              <w:rPr>
                <w:rFonts w:hint="eastAsia" w:ascii="宋体" w:hAnsi="宋体" w:eastAsia="宋体" w:cs="宋体"/>
                <w:color w:val="auto"/>
                <w:sz w:val="24"/>
                <w:highlight w:val="none"/>
                <w:lang w:val="en-US" w:eastAsia="zh-CN"/>
              </w:rPr>
              <w:t>的完整性、可行性进行综合对比打分</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本项</w:t>
            </w:r>
            <w:r>
              <w:rPr>
                <w:rFonts w:hint="eastAsia" w:ascii="宋体" w:hAnsi="宋体" w:eastAsia="宋体" w:cs="宋体"/>
                <w:color w:val="auto"/>
                <w:sz w:val="24"/>
                <w:highlight w:val="none"/>
                <w:lang w:val="en-US" w:eastAsia="zh-CN"/>
              </w:rPr>
              <w:t>最高得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tc>
        <w:tc>
          <w:tcPr>
            <w:tcW w:w="660" w:type="dxa"/>
            <w:tcBorders>
              <w:top w:val="single" w:color="000000" w:sz="4" w:space="0"/>
              <w:left w:val="nil"/>
              <w:bottom w:val="single" w:color="000000" w:sz="4" w:space="0"/>
              <w:right w:val="single" w:color="000000" w:sz="4" w:space="0"/>
            </w:tcBorders>
            <w:noWrap w:val="0"/>
            <w:vAlign w:val="center"/>
          </w:tcPr>
          <w:p w14:paraId="69B3D41F">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w:t>
            </w:r>
          </w:p>
        </w:tc>
      </w:tr>
      <w:tr w14:paraId="4B037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8" w:type="dxa"/>
            <w:vMerge w:val="continue"/>
            <w:tcBorders>
              <w:left w:val="single" w:color="000000" w:sz="4" w:space="0"/>
              <w:right w:val="single" w:color="000000" w:sz="4" w:space="0"/>
            </w:tcBorders>
            <w:noWrap w:val="0"/>
            <w:vAlign w:val="center"/>
          </w:tcPr>
          <w:p w14:paraId="4B03EF29">
            <w:pPr>
              <w:pageBreakBefore w:val="0"/>
              <w:widowControl/>
              <w:kinsoku/>
              <w:wordWrap/>
              <w:overflowPunct/>
              <w:topLinePunct w:val="0"/>
              <w:bidi w:val="0"/>
              <w:spacing w:line="360" w:lineRule="auto"/>
              <w:jc w:val="left"/>
              <w:textAlignment w:val="auto"/>
              <w:rPr>
                <w:rFonts w:hint="eastAsia" w:ascii="宋体" w:hAnsi="宋体" w:eastAsia="宋体" w:cs="宋体"/>
                <w:b/>
                <w:bCs/>
                <w:color w:val="auto"/>
                <w:sz w:val="24"/>
                <w:highlight w:val="none"/>
              </w:rPr>
            </w:pPr>
          </w:p>
        </w:tc>
        <w:tc>
          <w:tcPr>
            <w:tcW w:w="862" w:type="dxa"/>
            <w:vMerge w:val="continue"/>
            <w:tcBorders>
              <w:left w:val="single" w:color="000000" w:sz="4" w:space="0"/>
              <w:right w:val="single" w:color="000000" w:sz="4" w:space="0"/>
            </w:tcBorders>
            <w:noWrap w:val="0"/>
            <w:vAlign w:val="center"/>
          </w:tcPr>
          <w:p w14:paraId="5EE0ADBA">
            <w:pPr>
              <w:pageBreakBefore w:val="0"/>
              <w:widowControl/>
              <w:kinsoku/>
              <w:wordWrap/>
              <w:overflowPunct/>
              <w:topLinePunct w:val="0"/>
              <w:bidi w:val="0"/>
              <w:spacing w:line="360" w:lineRule="auto"/>
              <w:jc w:val="left"/>
              <w:textAlignment w:val="auto"/>
              <w:rPr>
                <w:rFonts w:hint="eastAsia" w:ascii="宋体" w:hAnsi="宋体" w:eastAsia="宋体" w:cs="宋体"/>
                <w:b/>
                <w:bCs/>
                <w:color w:val="auto"/>
                <w:sz w:val="24"/>
                <w:highlight w:val="none"/>
              </w:rPr>
            </w:pPr>
          </w:p>
        </w:tc>
        <w:tc>
          <w:tcPr>
            <w:tcW w:w="7427" w:type="dxa"/>
            <w:tcBorders>
              <w:top w:val="single" w:color="000000" w:sz="4" w:space="0"/>
              <w:left w:val="nil"/>
              <w:bottom w:val="single" w:color="000000" w:sz="4" w:space="0"/>
              <w:right w:val="single" w:color="000000" w:sz="4" w:space="0"/>
            </w:tcBorders>
            <w:noWrap w:val="0"/>
            <w:vAlign w:val="top"/>
          </w:tcPr>
          <w:p w14:paraId="430E4755">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6.整体服务方案的合理性、便捷性，是否提供增值服务方案</w:t>
            </w:r>
          </w:p>
          <w:p w14:paraId="3366119F">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①评委根据投标人针对本项目提供的</w:t>
            </w:r>
            <w:r>
              <w:rPr>
                <w:rFonts w:hint="eastAsia" w:ascii="宋体" w:hAnsi="宋体" w:eastAsia="宋体" w:cs="宋体"/>
                <w:color w:val="auto"/>
                <w:sz w:val="24"/>
                <w:highlight w:val="none"/>
              </w:rPr>
              <w:t>整体服务方案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整体服务响应措施的可行性、完整性进行综合对比打分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本项最高得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433FC273">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②</w:t>
            </w:r>
            <w:r>
              <w:rPr>
                <w:rFonts w:hint="eastAsia" w:ascii="宋体" w:hAnsi="宋体" w:eastAsia="宋体" w:cs="宋体"/>
                <w:color w:val="auto"/>
                <w:sz w:val="24"/>
                <w:highlight w:val="none"/>
                <w:lang w:val="en-US" w:eastAsia="zh-CN"/>
              </w:rPr>
              <w:t>根据投标人承诺提供防御台风、冰雪、暴雨等恶劣天气时或疫情防控期间，应急救援物资的数量、质量、品种及实用性等情况打分，本项最高得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分，不提供本项不得分。</w:t>
            </w:r>
          </w:p>
          <w:p w14:paraId="0C839890">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③</w:t>
            </w:r>
            <w:r>
              <w:rPr>
                <w:rFonts w:hint="eastAsia" w:ascii="宋体" w:hAnsi="宋体" w:eastAsia="宋体" w:cs="宋体"/>
                <w:color w:val="auto"/>
                <w:sz w:val="24"/>
                <w:highlight w:val="none"/>
                <w:lang w:val="en-US" w:eastAsia="zh-CN"/>
              </w:rPr>
              <w:t>投标人能够承诺单项合同服务期限内单个车辆（不限车型）提供不少于1次免费拖车服务的得1分，投标时提供承诺函（格式自拟），不承诺或承诺内容不符不得分。</w:t>
            </w:r>
          </w:p>
          <w:p w14:paraId="4FA55CD2">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④根据投标人提供的其他增值服务承诺和服务方案进行综合对比打分（包括但不限于为采购单位提供组织应急演练、安全教育培训及相关公益活动服务），投标人提供的增值服务方案详细，针对性强的得（4，5]分，服务方案较详细，针对性较强的得（2，4]分，服务方案简略，针对性不强的得（0，2]分，不提供不得分。</w:t>
            </w:r>
            <w:r>
              <w:rPr>
                <w:rFonts w:hint="eastAsia" w:ascii="宋体" w:hAnsi="宋体" w:eastAsia="宋体" w:cs="宋体"/>
                <w:color w:val="auto"/>
                <w:sz w:val="24"/>
                <w:highlight w:val="none"/>
                <w:lang w:val="en-US" w:eastAsia="zh-CN"/>
              </w:rPr>
              <w:t>投标时提供承诺函（格式自拟），不承诺或承诺内容不符不得分。本项最高得5分。</w:t>
            </w:r>
          </w:p>
        </w:tc>
        <w:tc>
          <w:tcPr>
            <w:tcW w:w="660" w:type="dxa"/>
            <w:tcBorders>
              <w:top w:val="single" w:color="000000" w:sz="4" w:space="0"/>
              <w:left w:val="nil"/>
              <w:bottom w:val="single" w:color="000000" w:sz="4" w:space="0"/>
              <w:right w:val="single" w:color="000000" w:sz="4" w:space="0"/>
            </w:tcBorders>
            <w:noWrap w:val="0"/>
            <w:vAlign w:val="center"/>
          </w:tcPr>
          <w:p w14:paraId="7A541EE8">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11</w:t>
            </w:r>
          </w:p>
        </w:tc>
      </w:tr>
      <w:tr w14:paraId="7D1F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8" w:type="dxa"/>
            <w:vMerge w:val="continue"/>
            <w:tcBorders>
              <w:left w:val="single" w:color="000000" w:sz="4" w:space="0"/>
              <w:bottom w:val="single" w:color="auto" w:sz="4" w:space="0"/>
              <w:right w:val="single" w:color="000000" w:sz="4" w:space="0"/>
            </w:tcBorders>
            <w:noWrap w:val="0"/>
            <w:vAlign w:val="center"/>
          </w:tcPr>
          <w:p w14:paraId="47750FA9">
            <w:pPr>
              <w:pageBreakBefore w:val="0"/>
              <w:widowControl/>
              <w:kinsoku/>
              <w:wordWrap/>
              <w:overflowPunct/>
              <w:topLinePunct w:val="0"/>
              <w:bidi w:val="0"/>
              <w:spacing w:line="360" w:lineRule="auto"/>
              <w:jc w:val="left"/>
              <w:textAlignment w:val="auto"/>
              <w:rPr>
                <w:rFonts w:hint="eastAsia" w:ascii="宋体" w:hAnsi="宋体" w:eastAsia="宋体" w:cs="宋体"/>
                <w:b/>
                <w:bCs/>
                <w:color w:val="auto"/>
                <w:sz w:val="24"/>
                <w:highlight w:val="none"/>
              </w:rPr>
            </w:pPr>
          </w:p>
        </w:tc>
        <w:tc>
          <w:tcPr>
            <w:tcW w:w="862" w:type="dxa"/>
            <w:vMerge w:val="continue"/>
            <w:tcBorders>
              <w:left w:val="single" w:color="000000" w:sz="4" w:space="0"/>
              <w:bottom w:val="single" w:color="auto" w:sz="4" w:space="0"/>
              <w:right w:val="single" w:color="000000" w:sz="4" w:space="0"/>
            </w:tcBorders>
            <w:noWrap w:val="0"/>
            <w:vAlign w:val="center"/>
          </w:tcPr>
          <w:p w14:paraId="375563CB">
            <w:pPr>
              <w:pageBreakBefore w:val="0"/>
              <w:widowControl/>
              <w:kinsoku/>
              <w:wordWrap/>
              <w:overflowPunct/>
              <w:topLinePunct w:val="0"/>
              <w:bidi w:val="0"/>
              <w:spacing w:line="360" w:lineRule="auto"/>
              <w:jc w:val="left"/>
              <w:textAlignment w:val="auto"/>
              <w:rPr>
                <w:rFonts w:hint="eastAsia" w:ascii="宋体" w:hAnsi="宋体" w:eastAsia="宋体" w:cs="宋体"/>
                <w:b/>
                <w:bCs/>
                <w:color w:val="auto"/>
                <w:sz w:val="24"/>
                <w:highlight w:val="none"/>
              </w:rPr>
            </w:pPr>
          </w:p>
        </w:tc>
        <w:tc>
          <w:tcPr>
            <w:tcW w:w="7427" w:type="dxa"/>
            <w:tcBorders>
              <w:top w:val="single" w:color="000000" w:sz="4" w:space="0"/>
              <w:left w:val="nil"/>
              <w:bottom w:val="single" w:color="000000" w:sz="4" w:space="0"/>
              <w:right w:val="single" w:color="000000" w:sz="4" w:space="0"/>
            </w:tcBorders>
            <w:noWrap w:val="0"/>
            <w:vAlign w:val="top"/>
          </w:tcPr>
          <w:p w14:paraId="66BBDD49">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7、人伤垫付</w:t>
            </w:r>
          </w:p>
          <w:p w14:paraId="7647ECDC">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after="0" w:afterLines="0"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1"/>
                <w:highlight w:val="none"/>
                <w:lang w:val="en-US" w:eastAsia="zh-CN" w:bidi="ar-SA"/>
              </w:rPr>
              <w:t>评委根据投标人对交通事故中交强险范围内的人伤垫付时效性，能够承诺2小时内完成人伤垫付工作得2分，能够承诺4小时内完成人伤垫付工作得1分，超出4小时的不得分。（投标时提供承诺函加盖投标人公章，不提供或承诺内容不符不得分。承诺格式自拟）</w:t>
            </w:r>
          </w:p>
        </w:tc>
        <w:tc>
          <w:tcPr>
            <w:tcW w:w="660" w:type="dxa"/>
            <w:tcBorders>
              <w:top w:val="single" w:color="000000" w:sz="4" w:space="0"/>
              <w:left w:val="nil"/>
              <w:bottom w:val="single" w:color="000000" w:sz="4" w:space="0"/>
              <w:right w:val="single" w:color="000000" w:sz="4" w:space="0"/>
            </w:tcBorders>
            <w:noWrap w:val="0"/>
            <w:vAlign w:val="center"/>
          </w:tcPr>
          <w:p w14:paraId="2BDB89DA">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after="0" w:afterLines="0" w:line="360" w:lineRule="auto"/>
              <w:ind w:left="0" w:leftChars="0" w:firstLine="0" w:firstLineChars="0"/>
              <w:jc w:val="center"/>
              <w:textAlignment w:val="auto"/>
              <w:rPr>
                <w:rFonts w:hint="eastAsia" w:ascii="宋体" w:hAnsi="宋体" w:eastAsia="宋体" w:cs="宋体"/>
                <w:b/>
                <w:bCs/>
                <w:color w:val="auto"/>
                <w:sz w:val="24"/>
                <w:szCs w:val="21"/>
                <w:highlight w:val="none"/>
                <w:lang w:val="en-US" w:eastAsia="zh-CN" w:bidi="ar-SA"/>
              </w:rPr>
            </w:pPr>
            <w:r>
              <w:rPr>
                <w:rFonts w:hint="eastAsia" w:ascii="宋体" w:hAnsi="宋体" w:eastAsia="宋体" w:cs="宋体"/>
                <w:b/>
                <w:bCs/>
                <w:color w:val="auto"/>
                <w:sz w:val="24"/>
                <w:szCs w:val="21"/>
                <w:highlight w:val="none"/>
                <w:lang w:val="en-US" w:eastAsia="zh-CN" w:bidi="ar-SA"/>
              </w:rPr>
              <w:t>2</w:t>
            </w:r>
          </w:p>
        </w:tc>
      </w:tr>
    </w:tbl>
    <w:p w14:paraId="3232E797">
      <w:pPr>
        <w:pageBreakBefore w:val="0"/>
        <w:kinsoku/>
        <w:wordWrap/>
        <w:overflowPunct/>
        <w:topLinePunct w:val="0"/>
        <w:bidi w:val="0"/>
        <w:spacing w:line="360" w:lineRule="auto"/>
        <w:ind w:firstLine="482" w:firstLineChars="200"/>
        <w:textAlignment w:val="auto"/>
        <w:rPr>
          <w:rFonts w:hint="eastAsia" w:ascii="宋体" w:hAnsi="宋体" w:eastAsia="宋体" w:cs="宋体"/>
          <w:b/>
          <w:color w:val="auto"/>
          <w:kern w:val="1"/>
          <w:sz w:val="24"/>
          <w:highlight w:val="none"/>
          <w:u w:val="singl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w:t>
      </w:r>
      <w:r>
        <w:rPr>
          <w:rFonts w:hint="eastAsia" w:ascii="宋体" w:hAnsi="宋体" w:eastAsia="宋体" w:cs="宋体"/>
          <w:b/>
          <w:color w:val="auto"/>
          <w:kern w:val="1"/>
          <w:sz w:val="24"/>
          <w:highlight w:val="none"/>
          <w:u w:val="single"/>
        </w:rPr>
        <w:t>特别说明</w:t>
      </w:r>
    </w:p>
    <w:p w14:paraId="10FFE7B7">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iCs/>
          <w:color w:val="auto"/>
          <w:kern w:val="0"/>
          <w:sz w:val="24"/>
          <w:szCs w:val="24"/>
          <w:highlight w:val="none"/>
          <w:u w:val="single"/>
        </w:rPr>
      </w:pPr>
      <w:r>
        <w:rPr>
          <w:rFonts w:hint="eastAsia" w:ascii="宋体" w:hAnsi="宋体" w:eastAsia="宋体" w:cs="宋体"/>
          <w:b w:val="0"/>
          <w:bCs/>
          <w:color w:val="auto"/>
          <w:kern w:val="1"/>
          <w:sz w:val="24"/>
          <w:highlight w:val="none"/>
          <w:u w:val="single"/>
        </w:rPr>
        <w:t>①</w:t>
      </w:r>
      <w:r>
        <w:rPr>
          <w:rFonts w:hint="eastAsia" w:ascii="宋体" w:hAnsi="宋体" w:eastAsia="宋体" w:cs="宋体"/>
          <w:b w:val="0"/>
          <w:bCs/>
          <w:color w:val="auto"/>
          <w:sz w:val="24"/>
          <w:szCs w:val="24"/>
          <w:highlight w:val="none"/>
          <w:u w:val="single"/>
          <w:lang w:val="en-US" w:eastAsia="zh-CN"/>
        </w:rPr>
        <w:t>评标委员会根据排序从后往前按比例淘汰单位（淘汰比例为进入排序单位数量的20%，且至少淘汰一家供应商，向上取整数），淘汰后剩余单位多于3家，按照排序先后选择3家单位入围。征集供应商数量：最多3家。如参加投标单位家数大于3家时，取前3名入围；如参加投标单位家数为3家时，取前2名入围；如参加投标单位家数为3家以下时，则重新组织招标。</w:t>
      </w:r>
    </w:p>
    <w:p w14:paraId="5C5A6725">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color w:val="auto"/>
          <w:kern w:val="1"/>
          <w:sz w:val="24"/>
          <w:highlight w:val="none"/>
          <w:u w:val="single"/>
          <w:lang w:val="en-US" w:eastAsia="zh-CN"/>
        </w:rPr>
      </w:pPr>
      <w:r>
        <w:rPr>
          <w:rFonts w:hint="eastAsia" w:ascii="宋体" w:hAnsi="宋体" w:eastAsia="宋体" w:cs="宋体"/>
          <w:b w:val="0"/>
          <w:bCs/>
          <w:color w:val="auto"/>
          <w:kern w:val="1"/>
          <w:sz w:val="24"/>
          <w:highlight w:val="none"/>
          <w:u w:val="single"/>
          <w:lang w:val="en-US" w:eastAsia="zh-CN"/>
        </w:rPr>
        <w:t>②根据各标的最终入围单位和结果，确定第一阶段征集入围单位。第二阶段成交供应商的方式为</w:t>
      </w:r>
      <w:r>
        <w:rPr>
          <w:rFonts w:hint="eastAsia" w:ascii="宋体" w:hAnsi="宋体" w:eastAsia="宋体" w:cs="宋体"/>
          <w:b/>
          <w:bCs w:val="0"/>
          <w:color w:val="auto"/>
          <w:kern w:val="1"/>
          <w:sz w:val="24"/>
          <w:highlight w:val="none"/>
          <w:u w:val="single"/>
          <w:lang w:val="en-US" w:eastAsia="zh-CN"/>
        </w:rPr>
        <w:t>直接选定</w:t>
      </w:r>
      <w:r>
        <w:rPr>
          <w:rFonts w:hint="eastAsia" w:ascii="宋体" w:hAnsi="宋体" w:eastAsia="宋体" w:cs="宋体"/>
          <w:b w:val="0"/>
          <w:bCs/>
          <w:color w:val="auto"/>
          <w:kern w:val="1"/>
          <w:sz w:val="24"/>
          <w:highlight w:val="none"/>
          <w:u w:val="single"/>
          <w:lang w:val="en-US" w:eastAsia="zh-CN"/>
        </w:rPr>
        <w:t>或</w:t>
      </w:r>
      <w:r>
        <w:rPr>
          <w:rFonts w:hint="eastAsia" w:ascii="宋体" w:hAnsi="宋体" w:eastAsia="宋体" w:cs="宋体"/>
          <w:b/>
          <w:bCs w:val="0"/>
          <w:color w:val="auto"/>
          <w:kern w:val="1"/>
          <w:sz w:val="24"/>
          <w:highlight w:val="none"/>
          <w:u w:val="single"/>
          <w:lang w:val="en-US" w:eastAsia="zh-CN"/>
        </w:rPr>
        <w:t>二次竞价</w:t>
      </w:r>
      <w:r>
        <w:rPr>
          <w:rFonts w:hint="eastAsia" w:ascii="宋体" w:hAnsi="宋体" w:eastAsia="宋体" w:cs="宋体"/>
          <w:b w:val="0"/>
          <w:bCs/>
          <w:color w:val="auto"/>
          <w:kern w:val="1"/>
          <w:sz w:val="24"/>
          <w:highlight w:val="none"/>
          <w:u w:val="single"/>
          <w:lang w:val="en-US" w:eastAsia="zh-CN"/>
        </w:rPr>
        <w:t>或</w:t>
      </w:r>
      <w:r>
        <w:rPr>
          <w:rFonts w:hint="eastAsia" w:ascii="宋体" w:hAnsi="宋体" w:eastAsia="宋体" w:cs="宋体"/>
          <w:b/>
          <w:bCs w:val="0"/>
          <w:color w:val="auto"/>
          <w:kern w:val="1"/>
          <w:sz w:val="24"/>
          <w:highlight w:val="none"/>
          <w:u w:val="single"/>
          <w:lang w:val="en-US" w:eastAsia="zh-CN"/>
        </w:rPr>
        <w:t>随机抽签</w:t>
      </w:r>
      <w:r>
        <w:rPr>
          <w:rFonts w:hint="eastAsia" w:ascii="宋体" w:hAnsi="宋体" w:eastAsia="宋体" w:cs="宋体"/>
          <w:b w:val="0"/>
          <w:bCs/>
          <w:color w:val="auto"/>
          <w:kern w:val="1"/>
          <w:sz w:val="24"/>
          <w:highlight w:val="none"/>
          <w:u w:val="single"/>
          <w:lang w:val="en-US" w:eastAsia="zh-CN"/>
        </w:rPr>
        <w:t>，具体入围后按采购人要求为准，中标人须无条件响应，不得以任何理由选择性提供服务。</w:t>
      </w:r>
    </w:p>
    <w:p w14:paraId="693B73A2">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③如中标入围供应商放弃中标或者因不可抗力提出不能履行合同的，或在本项目投标中有弄虚作假行为而在实质上不响应征集文件或影响评标结果的，或按征集文件其他条款规定不能中标的，取消其入围资格。</w:t>
      </w:r>
      <w:r>
        <w:rPr>
          <w:rFonts w:hint="eastAsia" w:ascii="宋体" w:hAnsi="宋体" w:eastAsia="宋体" w:cs="宋体"/>
          <w:b w:val="0"/>
          <w:bCs/>
          <w:color w:val="auto"/>
          <w:sz w:val="24"/>
          <w:szCs w:val="24"/>
          <w:highlight w:val="none"/>
          <w:u w:val="single"/>
          <w:lang w:val="en-US" w:eastAsia="zh-CN"/>
        </w:rPr>
        <w:br w:type="page"/>
      </w:r>
    </w:p>
    <w:p w14:paraId="375FE446">
      <w:pPr>
        <w:pStyle w:val="2"/>
        <w:keepNext/>
        <w:keepLines/>
        <w:pageBreakBefore w:val="0"/>
        <w:widowControl w:val="0"/>
        <w:numPr>
          <w:ilvl w:val="0"/>
          <w:numId w:val="0"/>
        </w:numPr>
        <w:kinsoku/>
        <w:wordWrap/>
        <w:overflowPunct/>
        <w:topLinePunct w:val="0"/>
        <w:autoSpaceDE w:val="0"/>
        <w:autoSpaceDN w:val="0"/>
        <w:bidi w:val="0"/>
        <w:adjustRightInd w:val="0"/>
        <w:snapToGrid/>
        <w:spacing w:before="0" w:beforeLines="0" w:after="0" w:afterLines="0" w:line="360" w:lineRule="auto"/>
        <w:jc w:val="center"/>
        <w:textAlignment w:val="auto"/>
        <w:rPr>
          <w:rFonts w:hint="eastAsia" w:ascii="宋体" w:hAnsi="宋体" w:cs="宋体"/>
          <w:b/>
          <w:bCs/>
          <w:color w:val="auto"/>
          <w:sz w:val="24"/>
          <w:szCs w:val="24"/>
          <w:highlight w:val="none"/>
        </w:rPr>
      </w:pPr>
      <w:r>
        <w:rPr>
          <w:rFonts w:hint="eastAsia" w:ascii="宋体" w:hAnsi="宋体" w:eastAsia="宋体" w:cs="Times New Roman"/>
          <w:b/>
          <w:color w:val="auto"/>
          <w:kern w:val="44"/>
          <w:sz w:val="36"/>
          <w:szCs w:val="36"/>
          <w:highlight w:val="none"/>
          <w:lang w:val="en-US" w:eastAsia="zh-CN" w:bidi="ar-SA"/>
        </w:rPr>
        <w:t>第四章</w:t>
      </w:r>
      <w:r>
        <w:rPr>
          <w:rFonts w:hint="eastAsia" w:ascii="宋体" w:hAnsi="宋体"/>
          <w:color w:val="auto"/>
          <w:sz w:val="36"/>
          <w:szCs w:val="36"/>
          <w:highlight w:val="none"/>
        </w:rPr>
        <w:t xml:space="preserve">  采购需求</w:t>
      </w:r>
    </w:p>
    <w:p w14:paraId="5B562BAE">
      <w:pPr>
        <w:pageBreakBefore w:val="0"/>
        <w:widowControl w:val="0"/>
        <w:kinsoku/>
        <w:wordWrap/>
        <w:overflowPunct/>
        <w:topLinePunct w:val="0"/>
        <w:autoSpaceDE w:val="0"/>
        <w:autoSpaceDN w:val="0"/>
        <w:bidi w:val="0"/>
        <w:adjustRightInd w:val="0"/>
        <w:spacing w:line="360" w:lineRule="auto"/>
        <w:jc w:val="left"/>
        <w:rPr>
          <w:rFonts w:hint="eastAsia" w:ascii="宋体" w:hAnsi="宋体" w:cs="宋体"/>
          <w:b/>
          <w:bCs/>
          <w:color w:val="auto"/>
          <w:sz w:val="24"/>
          <w:highlight w:val="none"/>
        </w:rPr>
      </w:pPr>
      <w:bookmarkStart w:id="29" w:name="_Toc47814510"/>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项目内容</w:t>
      </w:r>
    </w:p>
    <w:p w14:paraId="2627A207">
      <w:pPr>
        <w:pStyle w:val="22"/>
        <w:pageBreakBefore w:val="0"/>
        <w:widowControl w:val="0"/>
        <w:kinsoku/>
        <w:wordWrap/>
        <w:overflowPunct/>
        <w:topLinePunct w:val="0"/>
        <w:autoSpaceDE w:val="0"/>
        <w:autoSpaceDN w:val="0"/>
        <w:bidi w:val="0"/>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诸暨市建设集团有限公司（含下属单位）2025年车辆保险供应商征集项目</w:t>
      </w:r>
      <w:r>
        <w:rPr>
          <w:rFonts w:hint="default"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本项目采购内容</w:t>
      </w:r>
      <w:r>
        <w:rPr>
          <w:rFonts w:hint="default" w:ascii="宋体" w:hAnsi="宋体" w:eastAsia="宋体" w:cs="宋体"/>
          <w:color w:val="auto"/>
          <w:sz w:val="24"/>
          <w:highlight w:val="none"/>
          <w:lang w:val="en-US" w:eastAsia="zh-CN"/>
        </w:rPr>
        <w:t>包括但不限于为机动车、非机动车、非道路机械作业车等车辆提供交通事故责任强制保险、车辆损失保险、车辆第三者责任保险、座位险、承运人责任险、不计免赔险、自燃险等附加险种。具体保险内容及保额</w:t>
      </w:r>
      <w:r>
        <w:rPr>
          <w:rFonts w:hint="eastAsia" w:ascii="宋体" w:hAnsi="宋体" w:cs="宋体"/>
          <w:color w:val="auto"/>
          <w:sz w:val="24"/>
          <w:highlight w:val="none"/>
          <w:lang w:val="en-US" w:eastAsia="zh-CN"/>
        </w:rPr>
        <w:t>以</w:t>
      </w:r>
      <w:r>
        <w:rPr>
          <w:rFonts w:hint="default" w:ascii="宋体" w:hAnsi="宋体" w:eastAsia="宋体" w:cs="宋体"/>
          <w:color w:val="auto"/>
          <w:sz w:val="24"/>
          <w:highlight w:val="none"/>
          <w:lang w:val="en-US" w:eastAsia="zh-CN"/>
        </w:rPr>
        <w:t>采购人实际要求为准。执行国家“机动车交通事故责任强制保险”的有关优惠规定。</w:t>
      </w:r>
    </w:p>
    <w:p w14:paraId="1164B82B">
      <w:pPr>
        <w:pageBreakBefore w:val="0"/>
        <w:widowControl w:val="0"/>
        <w:kinsoku/>
        <w:wordWrap/>
        <w:overflowPunct/>
        <w:topLinePunct w:val="0"/>
        <w:autoSpaceDE w:val="0"/>
        <w:autoSpaceDN w:val="0"/>
        <w:bidi w:val="0"/>
        <w:adjustRightInd w:val="0"/>
        <w:spacing w:line="360" w:lineRule="auto"/>
        <w:jc w:val="left"/>
        <w:rPr>
          <w:rFonts w:hint="eastAsia" w:ascii="宋体" w:hAnsi="宋体" w:cs="宋体"/>
          <w:b/>
          <w:bCs/>
          <w:color w:val="auto"/>
          <w:sz w:val="24"/>
          <w:highlight w:val="none"/>
        </w:rPr>
      </w:pPr>
      <w:r>
        <w:rPr>
          <w:rFonts w:hint="eastAsia" w:ascii="宋体" w:hAnsi="宋体" w:eastAsia="宋体" w:cs="宋体"/>
          <w:b/>
          <w:bCs/>
          <w:color w:val="auto"/>
          <w:sz w:val="24"/>
          <w:highlight w:val="none"/>
        </w:rPr>
        <w:t>（二）</w:t>
      </w:r>
      <w:bookmarkEnd w:id="29"/>
      <w:r>
        <w:rPr>
          <w:rFonts w:hint="eastAsia" w:ascii="宋体" w:hAnsi="宋体" w:cs="宋体"/>
          <w:b/>
          <w:bCs/>
          <w:color w:val="auto"/>
          <w:sz w:val="24"/>
          <w:highlight w:val="none"/>
        </w:rPr>
        <w:t>服务要求</w:t>
      </w:r>
    </w:p>
    <w:p w14:paraId="548F1484">
      <w:pPr>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承保服务</w:t>
      </w:r>
    </w:p>
    <w:p w14:paraId="4381075D">
      <w:pPr>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设置针对本项目的优质资深的承保端服务小组，能够实现长期高效、稳定服务。</w:t>
      </w:r>
    </w:p>
    <w:p w14:paraId="58495656">
      <w:pPr>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标人应对即将到期的车辆提前进行续保联系，上门办理保险手续，并及时送达保单。因中标人未书面提醒或按期送保上门，导致脱保、漏保并造成采购人因事故未能获得保险理赔等损失的，中标人应予以全额赔偿。</w:t>
      </w:r>
    </w:p>
    <w:p w14:paraId="22930145">
      <w:pPr>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2、增值服务</w:t>
      </w:r>
    </w:p>
    <w:p w14:paraId="5A50D92D">
      <w:pPr>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投标人针对本项目提供的增值服务内容或优惠承诺内容，中标后必须如实履行。否则采购人将按虚假应标处理，对此造成的一切责任和后果由中标人承担。</w:t>
      </w:r>
    </w:p>
    <w:p w14:paraId="61FD3865">
      <w:pPr>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3、日常管理要求</w:t>
      </w:r>
    </w:p>
    <w:p w14:paraId="1AFF4754">
      <w:pPr>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采购人将依据集团发布的《诸暨市建设集团有限公司第三方服务机构管理及考核办法》和《诸暨市建设集团有限公司“黑名单”管理办法》（诸建发〔2024〕15号）等文件对入围单位的服务质量进行日常考核和管理，中标人须无条件响应。</w:t>
      </w:r>
    </w:p>
    <w:p w14:paraId="3547EE5C">
      <w:pPr>
        <w:pageBreakBefore w:val="0"/>
        <w:widowControl w:val="0"/>
        <w:numPr>
          <w:ilvl w:val="0"/>
          <w:numId w:val="0"/>
        </w:numPr>
        <w:kinsoku/>
        <w:wordWrap/>
        <w:overflowPunct/>
        <w:topLinePunct w:val="0"/>
        <w:autoSpaceDE w:val="0"/>
        <w:autoSpaceDN w:val="0"/>
        <w:bidi w:val="0"/>
        <w:adjustRightInd w:val="0"/>
        <w:spacing w:line="360" w:lineRule="auto"/>
        <w:jc w:val="left"/>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理赔要求</w:t>
      </w:r>
    </w:p>
    <w:p w14:paraId="398C031D">
      <w:pPr>
        <w:pageBreakBefore w:val="0"/>
        <w:widowControl w:val="0"/>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针对本项目成立专门的理赔服务小组，分管领导亲自负责（应有具体成员名单，包括姓名、职务、职称、工作职责、联系方式等）。</w:t>
      </w:r>
    </w:p>
    <w:p w14:paraId="6E995DFC">
      <w:pPr>
        <w:pageBreakBefore w:val="0"/>
        <w:widowControl w:val="0"/>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设有24小时报案、理赔服务电话</w:t>
      </w:r>
      <w:r>
        <w:rPr>
          <w:rFonts w:hint="eastAsia" w:ascii="宋体" w:hAnsi="宋体" w:cs="宋体"/>
          <w:color w:val="auto"/>
          <w:sz w:val="24"/>
          <w:highlight w:val="none"/>
          <w:lang w:eastAsia="zh-CN"/>
        </w:rPr>
        <w:t>，</w:t>
      </w:r>
      <w:r>
        <w:rPr>
          <w:rFonts w:hint="eastAsia" w:ascii="宋体" w:hAnsi="宋体" w:cs="宋体"/>
          <w:color w:val="auto"/>
          <w:sz w:val="24"/>
          <w:highlight w:val="none"/>
        </w:rPr>
        <w:t>并设专人受理索赔接待、报案。有充足的现场勘查人员和车辆。</w:t>
      </w:r>
    </w:p>
    <w:p w14:paraId="388DB675">
      <w:pPr>
        <w:pageBreakBefore w:val="0"/>
        <w:widowControl w:val="0"/>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定点保险公司在接到投保人的出险报案后，市区范围内的理赔人员应于0.5小时以内，市郊1小时内赶到现场。超过该时限，视为保险公司已到达现场，事故车可自行移位，以被保险人留存的现场资料及处理事故的相关材料为依据进行全额赔付。</w:t>
      </w:r>
    </w:p>
    <w:p w14:paraId="2F1B6D26">
      <w:pPr>
        <w:pageBreakBefore w:val="0"/>
        <w:widowControl w:val="0"/>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投保车辆出险后，中标人须根据投保人的要求提供全程上门服务：包括到全国各地帮助理赔及参与交警及法院调解处理，相关费用由中标方负责。</w:t>
      </w:r>
    </w:p>
    <w:p w14:paraId="23706298">
      <w:pPr>
        <w:pageBreakBefore w:val="0"/>
        <w:widowControl w:val="0"/>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保车辆出险后，依据交警部门事故责任认定书5天内垫付预计赔款的50％以上；重大的保险责任事故，一时无法确定损失的，在被保险人的要求下，可根据有关证明资料确定最低数额预先支付50％的保险赔款，待最终确定赔偿金额后，支付相应差额。</w:t>
      </w:r>
    </w:p>
    <w:p w14:paraId="194B41F1">
      <w:pPr>
        <w:pageBreakBefore w:val="0"/>
        <w:widowControl w:val="0"/>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投保车辆发生交通事故后，如被保险人遇特殊情况，而现场理赔人员无权做出最终答复时，中标保险公司项目经理、理赔主管等人员须及时到达事故现场进行处理，</w:t>
      </w:r>
      <w:r>
        <w:rPr>
          <w:rFonts w:hint="eastAsia" w:ascii="宋体" w:hAnsi="宋体" w:cs="宋体"/>
          <w:color w:val="auto"/>
          <w:sz w:val="24"/>
          <w:highlight w:val="none"/>
          <w:lang w:eastAsia="zh-CN"/>
        </w:rPr>
        <w:t>作出</w:t>
      </w:r>
      <w:r>
        <w:rPr>
          <w:rFonts w:hint="eastAsia" w:ascii="宋体" w:hAnsi="宋体" w:cs="宋体"/>
          <w:color w:val="auto"/>
          <w:sz w:val="24"/>
          <w:highlight w:val="none"/>
        </w:rPr>
        <w:t>答复，以保证事故尽快完结。</w:t>
      </w:r>
    </w:p>
    <w:p w14:paraId="33099123">
      <w:pPr>
        <w:pageBreakBefore w:val="0"/>
        <w:widowControl w:val="0"/>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投保车辆发生事故后，公安部门为保障道路交通畅通等原因造成事故无现场，中标保险公司应按公安部门留存的现场资料责任内全额赔付。</w:t>
      </w:r>
    </w:p>
    <w:p w14:paraId="1556AF15">
      <w:pPr>
        <w:pageBreakBefore w:val="0"/>
        <w:widowControl w:val="0"/>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被保险人车辆出险未造成人员伤亡的，车辆损失按照交警部门出具的认定书由保险公司在其保险责任范围内进行全额理赔。无论拆检、定损皆可在被保险人自行选择的具备合格资质的修理厂（含4S店）内进行，无需通过保险公司指定的拆检中心、修理厂。</w:t>
      </w:r>
    </w:p>
    <w:p w14:paraId="363F67F4">
      <w:pPr>
        <w:pageBreakBefore w:val="0"/>
        <w:widowControl w:val="0"/>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对于非道路交通事故，如停车场内等发生的保险事故，造成车辆或其他物品的损失由</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出具事故证明，造成人员伤亡的由公安部门出具事故证明，保险公司应予认可并按保险责任予以赔付。</w:t>
      </w:r>
    </w:p>
    <w:p w14:paraId="51557BC7">
      <w:pPr>
        <w:pageBreakBefore w:val="0"/>
        <w:widowControl w:val="0"/>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当保险车辆发生单方保险事故或</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车辆发生互碰事故时，不需现场查勘及交警证明，由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安全部门出具事故证明，承保保险公司依据现场照片资料及修理发票</w:t>
      </w:r>
      <w:r>
        <w:rPr>
          <w:rFonts w:hint="eastAsia" w:ascii="宋体" w:hAnsi="宋体" w:cs="宋体"/>
          <w:color w:val="auto"/>
          <w:sz w:val="24"/>
          <w:highlight w:val="none"/>
          <w:lang w:eastAsia="zh-CN"/>
        </w:rPr>
        <w:t>对所有事故车辆</w:t>
      </w:r>
      <w:r>
        <w:rPr>
          <w:rFonts w:hint="eastAsia" w:ascii="宋体" w:hAnsi="宋体" w:cs="宋体"/>
          <w:color w:val="auto"/>
          <w:sz w:val="24"/>
          <w:highlight w:val="none"/>
        </w:rPr>
        <w:t>进行全额理赔。</w:t>
      </w:r>
    </w:p>
    <w:p w14:paraId="09E33802">
      <w:pPr>
        <w:pageBreakBefore w:val="0"/>
        <w:widowControl w:val="0"/>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为进一步减少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发生责任事故的经济损失，顺畅理赔，保险公司应对</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的所有人伤案件予以三方调解处理服务，并按调解结果进行及时理赔。</w:t>
      </w:r>
    </w:p>
    <w:p w14:paraId="08BAF29F">
      <w:pPr>
        <w:pageBreakBefore w:val="0"/>
        <w:widowControl w:val="0"/>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投保车辆发生责任事故，在特殊情况下需按无责认定或减轻责任，投保方在事故发生时提前</w:t>
      </w:r>
      <w:r>
        <w:rPr>
          <w:rFonts w:hint="eastAsia" w:ascii="宋体" w:hAnsi="宋体" w:cs="宋体"/>
          <w:color w:val="auto"/>
          <w:sz w:val="24"/>
          <w:highlight w:val="none"/>
          <w:lang w:eastAsia="zh-CN"/>
        </w:rPr>
        <w:t>介入</w:t>
      </w:r>
      <w:r>
        <w:rPr>
          <w:rFonts w:hint="eastAsia" w:ascii="宋体" w:hAnsi="宋体" w:cs="宋体"/>
          <w:color w:val="auto"/>
          <w:sz w:val="24"/>
          <w:highlight w:val="none"/>
        </w:rPr>
        <w:t>参与事故的全过程处理。双方客观协定实际事故责任，并在赔偿协议上共同签字，保险公司应按实际责任和赔偿额理赔。</w:t>
      </w:r>
    </w:p>
    <w:p w14:paraId="7DF23BF6">
      <w:pPr>
        <w:pageBreakBefore w:val="0"/>
        <w:widowControl w:val="0"/>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采购车辆出险未造成人员伤亡的，车辆损失按照交警部门出具的认定书由中标人在其保险责任范围内进行全额理赔。无论拆检、定损皆可在采购人自行选择的具备合格资质的修理厂（含4S店）内进行，无需通过中标人指定的拆检中心、修理厂。</w:t>
      </w:r>
    </w:p>
    <w:p w14:paraId="78AB2E58">
      <w:pPr>
        <w:pageBreakBefore w:val="0"/>
        <w:widowControl w:val="0"/>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中标人不得限制采购人理赔次数。</w:t>
      </w:r>
    </w:p>
    <w:p w14:paraId="619E2FD8">
      <w:pPr>
        <w:pageBreakBefore w:val="0"/>
        <w:widowControl w:val="0"/>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制定合理高效的赔款支付服务承诺，在保险责任明确、损失金额明确，保险双方达成协议，资料齐全后，在以下时限内履行上门赔付：1万元以下的赔款一个工作日内；1万元（含）以上5万元以下的赔款3个工作日内；5万元（含）以上10万元以下的赔款5个工作日内；10万元（含）以上的赔款7个工作日内；同时建立大灾预付赔款制度。</w:t>
      </w:r>
    </w:p>
    <w:p w14:paraId="36900DC2">
      <w:pPr>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其他</w:t>
      </w:r>
      <w:r>
        <w:rPr>
          <w:rFonts w:hint="eastAsia" w:ascii="宋体" w:hAnsi="宋体" w:cs="宋体"/>
          <w:color w:val="auto"/>
          <w:sz w:val="24"/>
          <w:highlight w:val="none"/>
          <w:lang w:val="en-US" w:eastAsia="zh-CN"/>
        </w:rPr>
        <w:t>要求</w:t>
      </w:r>
    </w:p>
    <w:p w14:paraId="5856945C">
      <w:pPr>
        <w:pageBreakBefore w:val="0"/>
        <w:widowControl w:val="0"/>
        <w:numPr>
          <w:ilvl w:val="0"/>
          <w:numId w:val="0"/>
        </w:numPr>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中标人协助采购人做好对投保经办人的廉政工作，不得以任何形式向投保方提供回扣。</w:t>
      </w:r>
    </w:p>
    <w:p w14:paraId="4DEE3516">
      <w:pPr>
        <w:pageBreakBefore w:val="0"/>
        <w:widowControl w:val="0"/>
        <w:numPr>
          <w:ilvl w:val="0"/>
          <w:numId w:val="0"/>
        </w:numPr>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中标人应对投保车辆建立用户档案、包括不限于每月向采购人报送《车辆保险情况统计表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车辆出险理赔情况统计表》，并承诺统计填报数据</w:t>
      </w:r>
      <w:r>
        <w:rPr>
          <w:rFonts w:hint="eastAsia" w:ascii="宋体" w:hAnsi="宋体" w:cs="宋体"/>
          <w:color w:val="auto"/>
          <w:sz w:val="24"/>
          <w:highlight w:val="none"/>
          <w:lang w:eastAsia="zh-CN"/>
        </w:rPr>
        <w:t>额的</w:t>
      </w:r>
      <w:r>
        <w:rPr>
          <w:rFonts w:hint="eastAsia" w:ascii="宋体" w:hAnsi="宋体" w:eastAsia="宋体" w:cs="宋体"/>
          <w:color w:val="auto"/>
          <w:sz w:val="24"/>
          <w:highlight w:val="none"/>
        </w:rPr>
        <w:t>正确性、完整性。</w:t>
      </w:r>
    </w:p>
    <w:p w14:paraId="2A34F6EE">
      <w:pPr>
        <w:pageBreakBefore w:val="0"/>
        <w:widowControl w:val="0"/>
        <w:numPr>
          <w:ilvl w:val="0"/>
          <w:numId w:val="0"/>
        </w:numPr>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中标人应对采购人提供出险索赔程序、相关保险知识等方面的培训服务。</w:t>
      </w:r>
    </w:p>
    <w:p w14:paraId="37889AE3">
      <w:pPr>
        <w:pageBreakBefore w:val="0"/>
        <w:widowControl w:val="0"/>
        <w:numPr>
          <w:ilvl w:val="0"/>
          <w:numId w:val="0"/>
        </w:numPr>
        <w:shd w:val="clear" w:color="auto" w:fill="FFFFFF"/>
        <w:kinsoku/>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采购人新增投保车辆按中标费率及条件承保。</w:t>
      </w:r>
    </w:p>
    <w:p w14:paraId="38906C39">
      <w:pPr>
        <w:pStyle w:val="26"/>
        <w:pageBreakBefore w:val="0"/>
        <w:widowControl w:val="0"/>
        <w:kinsoku/>
        <w:wordWrap/>
        <w:overflowPunct/>
        <w:topLinePunct w:val="0"/>
        <w:autoSpaceDE w:val="0"/>
        <w:autoSpaceDN w:val="0"/>
        <w:bidi w:val="0"/>
        <w:adjustRightInd w:val="0"/>
        <w:spacing w:after="0" w:line="360" w:lineRule="auto"/>
        <w:ind w:left="0" w:leftChars="0"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如期间遇保险费政策性调整</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需要调整合同费率折扣时</w:t>
      </w:r>
      <w:r>
        <w:rPr>
          <w:rFonts w:hint="eastAsia" w:ascii="宋体" w:hAnsi="宋体"/>
          <w:b w:val="0"/>
          <w:bCs w:val="0"/>
          <w:color w:val="auto"/>
          <w:sz w:val="24"/>
          <w:highlight w:val="none"/>
        </w:rPr>
        <w:t>，保险公司</w:t>
      </w:r>
      <w:r>
        <w:rPr>
          <w:rFonts w:hint="eastAsia" w:ascii="宋体" w:hAnsi="宋体"/>
          <w:b w:val="0"/>
          <w:bCs w:val="0"/>
          <w:color w:val="auto"/>
          <w:sz w:val="24"/>
          <w:highlight w:val="none"/>
          <w:lang w:val="en-US" w:eastAsia="zh-CN"/>
        </w:rPr>
        <w:t>应</w:t>
      </w:r>
      <w:r>
        <w:rPr>
          <w:rFonts w:hint="eastAsia" w:ascii="宋体" w:hAnsi="宋体"/>
          <w:b w:val="0"/>
          <w:bCs w:val="0"/>
          <w:color w:val="auto"/>
          <w:sz w:val="24"/>
          <w:highlight w:val="none"/>
        </w:rPr>
        <w:t>给予</w:t>
      </w:r>
      <w:r>
        <w:rPr>
          <w:rFonts w:hint="eastAsia" w:ascii="宋体" w:hAnsi="宋体"/>
          <w:b w:val="0"/>
          <w:bCs w:val="0"/>
          <w:color w:val="auto"/>
          <w:sz w:val="24"/>
          <w:highlight w:val="none"/>
          <w:lang w:val="en-US" w:eastAsia="zh-CN"/>
        </w:rPr>
        <w:t>有利于采购人的</w:t>
      </w:r>
      <w:r>
        <w:rPr>
          <w:rFonts w:hint="eastAsia" w:ascii="宋体" w:hAnsi="宋体"/>
          <w:b w:val="0"/>
          <w:bCs w:val="0"/>
          <w:color w:val="auto"/>
          <w:sz w:val="24"/>
          <w:highlight w:val="none"/>
        </w:rPr>
        <w:t>最大优惠幅度，具体由双方协商，协商不成的，采购人有权提前终止保险合同</w:t>
      </w:r>
      <w:r>
        <w:rPr>
          <w:rFonts w:hint="eastAsia" w:ascii="宋体" w:hAnsi="宋体"/>
          <w:b w:val="0"/>
          <w:bCs w:val="0"/>
          <w:color w:val="auto"/>
          <w:sz w:val="24"/>
          <w:highlight w:val="none"/>
          <w:lang w:val="en-US" w:eastAsia="zh-CN"/>
        </w:rPr>
        <w:t>且不承担任何违约责任</w:t>
      </w:r>
      <w:r>
        <w:rPr>
          <w:rFonts w:hint="eastAsia" w:ascii="宋体" w:hAnsi="宋体"/>
          <w:b w:val="0"/>
          <w:bCs w:val="0"/>
          <w:color w:val="auto"/>
          <w:sz w:val="24"/>
          <w:highlight w:val="none"/>
        </w:rPr>
        <w:t>。</w:t>
      </w:r>
    </w:p>
    <w:p w14:paraId="29D7643A">
      <w:pPr>
        <w:pStyle w:val="26"/>
        <w:pageBreakBefore w:val="0"/>
        <w:widowControl w:val="0"/>
        <w:kinsoku/>
        <w:wordWrap/>
        <w:overflowPunct/>
        <w:topLinePunct w:val="0"/>
        <w:autoSpaceDE w:val="0"/>
        <w:autoSpaceDN w:val="0"/>
        <w:bidi w:val="0"/>
        <w:adjustRightInd w:val="0"/>
        <w:spacing w:after="0" w:line="360" w:lineRule="auto"/>
        <w:ind w:left="0" w:leftChars="0" w:firstLine="480" w:firstLineChars="200"/>
        <w:rPr>
          <w:rFonts w:hint="eastAsia"/>
          <w:b w:val="0"/>
          <w:bCs w:val="0"/>
          <w:color w:val="auto"/>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中标人所提供的公开报价应符合中国保监会《关于进一步加强机动车辆保险监督管理有关问题的通知》（保监发〔2006〕19号）和《关于进一步加强机动车辆保险监督管理有关问题的补充通知》（保监发〔2008〕70号）</w:t>
      </w:r>
      <w:r>
        <w:rPr>
          <w:rFonts w:hint="eastAsia" w:ascii="宋体" w:hAnsi="宋体"/>
          <w:b w:val="0"/>
          <w:bCs w:val="0"/>
          <w:color w:val="auto"/>
          <w:sz w:val="24"/>
          <w:highlight w:val="none"/>
          <w:lang w:val="en-US" w:eastAsia="zh-CN"/>
        </w:rPr>
        <w:t>等政策</w:t>
      </w:r>
      <w:r>
        <w:rPr>
          <w:rFonts w:hint="eastAsia" w:ascii="宋体" w:hAnsi="宋体"/>
          <w:b w:val="0"/>
          <w:bCs w:val="0"/>
          <w:color w:val="auto"/>
          <w:sz w:val="24"/>
          <w:highlight w:val="none"/>
        </w:rPr>
        <w:t>的有关规定，在国家政策允许的范围内给予本司车辆保险最大的优惠。如</w:t>
      </w:r>
      <w:r>
        <w:rPr>
          <w:rFonts w:hint="eastAsia" w:ascii="宋体" w:hAnsi="宋体"/>
          <w:b w:val="0"/>
          <w:bCs w:val="0"/>
          <w:color w:val="auto"/>
          <w:sz w:val="24"/>
          <w:highlight w:val="none"/>
          <w:lang w:val="en-US" w:eastAsia="zh-CN"/>
        </w:rPr>
        <w:t>投标人报价超出</w:t>
      </w:r>
      <w:r>
        <w:rPr>
          <w:rFonts w:hint="eastAsia" w:ascii="宋体" w:hAnsi="宋体"/>
          <w:b w:val="0"/>
          <w:bCs w:val="0"/>
          <w:color w:val="auto"/>
          <w:sz w:val="24"/>
          <w:highlight w:val="none"/>
        </w:rPr>
        <w:t>国家</w:t>
      </w:r>
      <w:r>
        <w:rPr>
          <w:rFonts w:hint="eastAsia" w:ascii="宋体" w:hAnsi="宋体"/>
          <w:b w:val="0"/>
          <w:bCs w:val="0"/>
          <w:color w:val="auto"/>
          <w:sz w:val="24"/>
          <w:highlight w:val="none"/>
          <w:lang w:val="en-US" w:eastAsia="zh-CN"/>
        </w:rPr>
        <w:t>及行业</w:t>
      </w:r>
      <w:r>
        <w:rPr>
          <w:rFonts w:hint="eastAsia" w:ascii="宋体" w:hAnsi="宋体"/>
          <w:b w:val="0"/>
          <w:bCs w:val="0"/>
          <w:color w:val="auto"/>
          <w:sz w:val="24"/>
          <w:highlight w:val="none"/>
        </w:rPr>
        <w:t>政策允许范围内，</w:t>
      </w:r>
      <w:r>
        <w:rPr>
          <w:rFonts w:hint="eastAsia" w:ascii="宋体" w:hAnsi="宋体"/>
          <w:b w:val="0"/>
          <w:bCs w:val="0"/>
          <w:color w:val="auto"/>
          <w:sz w:val="24"/>
          <w:highlight w:val="none"/>
          <w:lang w:val="en-US" w:eastAsia="zh-CN"/>
        </w:rPr>
        <w:t>作无效标处理</w:t>
      </w:r>
      <w:r>
        <w:rPr>
          <w:rFonts w:hint="eastAsia" w:ascii="宋体" w:hAnsi="宋体"/>
          <w:b w:val="0"/>
          <w:bCs w:val="0"/>
          <w:color w:val="auto"/>
          <w:sz w:val="24"/>
          <w:highlight w:val="none"/>
        </w:rPr>
        <w:t>。</w:t>
      </w:r>
    </w:p>
    <w:p w14:paraId="7F59B8B2">
      <w:pPr>
        <w:pStyle w:val="2"/>
        <w:pageBreakBefore w:val="0"/>
        <w:widowControl w:val="0"/>
        <w:kinsoku/>
        <w:wordWrap/>
        <w:overflowPunct/>
        <w:topLinePunct w:val="0"/>
        <w:autoSpaceDE w:val="0"/>
        <w:autoSpaceDN w:val="0"/>
        <w:bidi w:val="0"/>
        <w:adjustRightInd w:val="0"/>
        <w:snapToGrid w:val="0"/>
        <w:spacing w:before="0" w:beforeLines="0" w:after="0" w:afterLines="0" w:line="360" w:lineRule="auto"/>
        <w:rPr>
          <w:rFonts w:hint="eastAsia" w:ascii="宋体" w:hAnsi="宋体" w:cs="宋体"/>
          <w:bCs/>
          <w:color w:val="auto"/>
          <w:kern w:val="2"/>
          <w:sz w:val="24"/>
          <w:highlight w:val="none"/>
        </w:rPr>
      </w:pPr>
      <w:r>
        <w:rPr>
          <w:rFonts w:hint="eastAsia" w:ascii="宋体" w:hAnsi="宋体" w:cs="宋体"/>
          <w:bCs/>
          <w:color w:val="auto"/>
          <w:kern w:val="2"/>
          <w:sz w:val="24"/>
          <w:highlight w:val="none"/>
        </w:rPr>
        <w:t>（四）特别约定</w:t>
      </w:r>
    </w:p>
    <w:p w14:paraId="1EFDC608">
      <w:pPr>
        <w:pageBreakBefore w:val="0"/>
        <w:widowControl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rPr>
        <w:t>1、</w:t>
      </w:r>
      <w:r>
        <w:rPr>
          <w:rFonts w:hint="eastAsia" w:ascii="宋体" w:hAnsi="宋体" w:eastAsia="宋体" w:cs="宋体"/>
          <w:b w:val="0"/>
          <w:bCs w:val="0"/>
          <w:color w:val="auto"/>
          <w:sz w:val="24"/>
          <w:highlight w:val="none"/>
        </w:rPr>
        <w:t>承运人险按核载数</w:t>
      </w:r>
      <w:r>
        <w:rPr>
          <w:rFonts w:hint="eastAsia" w:ascii="宋体" w:hAnsi="宋体" w:eastAsia="宋体" w:cs="宋体"/>
          <w:b w:val="0"/>
          <w:bCs w:val="0"/>
          <w:color w:val="auto"/>
          <w:sz w:val="24"/>
          <w:highlight w:val="none"/>
          <w:lang w:val="en-US" w:eastAsia="zh-CN"/>
        </w:rPr>
        <w:t>投保和</w:t>
      </w:r>
      <w:r>
        <w:rPr>
          <w:rFonts w:hint="eastAsia" w:ascii="宋体" w:hAnsi="宋体" w:eastAsia="宋体" w:cs="宋体"/>
          <w:b w:val="0"/>
          <w:bCs w:val="0"/>
          <w:color w:val="auto"/>
          <w:sz w:val="24"/>
          <w:highlight w:val="none"/>
        </w:rPr>
        <w:t>理赔，不设分项限额；</w:t>
      </w:r>
    </w:p>
    <w:p w14:paraId="68CF4E9E">
      <w:pPr>
        <w:pageBreakBefore w:val="0"/>
        <w:widowControl w:val="0"/>
        <w:shd w:val="clear" w:color="auto" w:fill="FFFFFF"/>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rPr>
        <w:t>2、</w:t>
      </w:r>
      <w:r>
        <w:rPr>
          <w:rFonts w:hint="eastAsia" w:ascii="宋体" w:hAnsi="宋体" w:eastAsia="宋体" w:cs="宋体"/>
          <w:b w:val="0"/>
          <w:bCs w:val="0"/>
          <w:color w:val="auto"/>
          <w:sz w:val="24"/>
          <w:highlight w:val="none"/>
        </w:rPr>
        <w:t>人身伤害赔偿按</w:t>
      </w:r>
      <w:r>
        <w:rPr>
          <w:rFonts w:hint="eastAsia" w:ascii="宋体" w:hAnsi="宋体" w:eastAsia="宋体" w:cs="宋体"/>
          <w:b w:val="0"/>
          <w:bCs w:val="0"/>
          <w:color w:val="auto"/>
          <w:sz w:val="24"/>
          <w:highlight w:val="none"/>
          <w:lang w:val="en-US" w:eastAsia="zh-CN"/>
        </w:rPr>
        <w:t>相关法律法规及司法解释的规定执行</w:t>
      </w:r>
      <w:r>
        <w:rPr>
          <w:rFonts w:hint="eastAsia" w:ascii="宋体" w:hAnsi="宋体" w:eastAsia="宋体" w:cs="宋体"/>
          <w:b w:val="0"/>
          <w:bCs w:val="0"/>
          <w:color w:val="auto"/>
          <w:sz w:val="24"/>
          <w:highlight w:val="none"/>
        </w:rPr>
        <w:t>，以一审法庭审理终结时的上一年度当地标准赔付</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对于人伤案件中法律判决</w:t>
      </w:r>
      <w:r>
        <w:rPr>
          <w:rFonts w:hint="eastAsia" w:ascii="宋体" w:hAnsi="宋体" w:eastAsia="宋体" w:cs="宋体"/>
          <w:b w:val="0"/>
          <w:bCs w:val="0"/>
          <w:color w:val="auto"/>
          <w:sz w:val="24"/>
          <w:highlight w:val="none"/>
          <w:lang w:val="en-US" w:eastAsia="zh-CN"/>
        </w:rPr>
        <w:t>/调解</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协议中</w:t>
      </w:r>
      <w:r>
        <w:rPr>
          <w:rFonts w:hint="eastAsia" w:ascii="宋体" w:hAnsi="宋体" w:eastAsia="宋体" w:cs="宋体"/>
          <w:b w:val="0"/>
          <w:bCs w:val="0"/>
          <w:color w:val="auto"/>
          <w:sz w:val="24"/>
          <w:highlight w:val="none"/>
        </w:rPr>
        <w:t>的</w:t>
      </w:r>
      <w:r>
        <w:rPr>
          <w:rFonts w:hint="eastAsia" w:ascii="宋体" w:hAnsi="宋体" w:eastAsia="宋体" w:cs="宋体"/>
          <w:b w:val="0"/>
          <w:bCs w:val="0"/>
          <w:color w:val="auto"/>
          <w:sz w:val="24"/>
          <w:highlight w:val="none"/>
          <w:lang w:val="en-US" w:eastAsia="zh-CN"/>
        </w:rPr>
        <w:t>医疗费、</w:t>
      </w:r>
      <w:r>
        <w:rPr>
          <w:rFonts w:hint="eastAsia" w:ascii="宋体" w:hAnsi="宋体" w:eastAsia="宋体" w:cs="宋体"/>
          <w:b w:val="0"/>
          <w:bCs w:val="0"/>
          <w:color w:val="auto"/>
          <w:sz w:val="24"/>
          <w:highlight w:val="none"/>
        </w:rPr>
        <w:t>误工费、护理费、</w:t>
      </w:r>
      <w:r>
        <w:rPr>
          <w:rFonts w:hint="eastAsia" w:ascii="宋体" w:hAnsi="宋体" w:eastAsia="宋体" w:cs="宋体"/>
          <w:b w:val="0"/>
          <w:bCs w:val="0"/>
          <w:color w:val="auto"/>
          <w:sz w:val="24"/>
          <w:highlight w:val="none"/>
          <w:lang w:eastAsia="zh-CN"/>
        </w:rPr>
        <w:t>伤残</w:t>
      </w:r>
      <w:r>
        <w:rPr>
          <w:rFonts w:hint="eastAsia" w:ascii="宋体" w:hAnsi="宋体" w:eastAsia="宋体" w:cs="宋体"/>
          <w:b w:val="0"/>
          <w:bCs w:val="0"/>
          <w:color w:val="auto"/>
          <w:sz w:val="24"/>
          <w:highlight w:val="none"/>
          <w:lang w:val="en-US" w:eastAsia="zh-CN"/>
        </w:rPr>
        <w:t>/死亡赔偿金、丧葬费、伤残</w:t>
      </w:r>
      <w:r>
        <w:rPr>
          <w:rFonts w:hint="eastAsia" w:ascii="宋体" w:hAnsi="宋体" w:eastAsia="宋体" w:cs="宋体"/>
          <w:b w:val="0"/>
          <w:bCs w:val="0"/>
          <w:color w:val="auto"/>
          <w:sz w:val="24"/>
          <w:highlight w:val="none"/>
          <w:lang w:eastAsia="zh-CN"/>
        </w:rPr>
        <w:t>鉴定费、</w:t>
      </w:r>
      <w:r>
        <w:rPr>
          <w:rFonts w:hint="eastAsia" w:ascii="宋体" w:hAnsi="宋体" w:eastAsia="宋体" w:cs="宋体"/>
          <w:b w:val="0"/>
          <w:bCs w:val="0"/>
          <w:color w:val="auto"/>
          <w:sz w:val="24"/>
          <w:highlight w:val="none"/>
        </w:rPr>
        <w:t>诉讼费、营养费、精神抚慰金</w:t>
      </w:r>
      <w:r>
        <w:rPr>
          <w:rFonts w:hint="eastAsia" w:ascii="宋体" w:hAnsi="宋体" w:eastAsia="宋体" w:cs="宋体"/>
          <w:b w:val="0"/>
          <w:bCs w:val="0"/>
          <w:color w:val="auto"/>
          <w:sz w:val="24"/>
          <w:highlight w:val="none"/>
          <w:lang w:eastAsia="zh-CN"/>
        </w:rPr>
        <w:t>、评估费、施救费</w:t>
      </w:r>
      <w:r>
        <w:rPr>
          <w:rFonts w:hint="eastAsia" w:ascii="宋体" w:hAnsi="宋体" w:eastAsia="宋体" w:cs="宋体"/>
          <w:b w:val="0"/>
          <w:bCs w:val="0"/>
          <w:color w:val="auto"/>
          <w:sz w:val="24"/>
          <w:highlight w:val="none"/>
        </w:rPr>
        <w:t>等等，乙方予以赔付。属第三者商业险的扣除责任免赔率后赔付，客伤的全额赔付。对于丙类用药（除医治非事故伤害用药外），保险公司应赔付不低于90%；</w:t>
      </w:r>
    </w:p>
    <w:p w14:paraId="36AFD2EB">
      <w:pPr>
        <w:pageBreakBefore w:val="0"/>
        <w:widowControl w:val="0"/>
        <w:shd w:val="clear" w:color="auto" w:fill="FFFFFF"/>
        <w:kinsoku/>
        <w:wordWrap/>
        <w:overflowPunct/>
        <w:topLinePunct w:val="0"/>
        <w:autoSpaceDE w:val="0"/>
        <w:autoSpaceDN w:val="0"/>
        <w:bidi w:val="0"/>
        <w:adjustRightInd w:val="0"/>
        <w:snapToGrid w:val="0"/>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3、产生2万元（含）以下费用的须进行快速理赔，且所有正规治疗费用凭有效票据全额理赔。</w:t>
      </w:r>
    </w:p>
    <w:p w14:paraId="5999A0B9">
      <w:pPr>
        <w:pageBreakBefore w:val="0"/>
        <w:widowControl w:val="0"/>
        <w:shd w:val="clear" w:color="auto" w:fill="FFFFFF"/>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★4、</w:t>
      </w:r>
      <w:r>
        <w:rPr>
          <w:rFonts w:hint="eastAsia" w:ascii="宋体" w:hAnsi="宋体" w:eastAsia="宋体" w:cs="宋体"/>
          <w:b w:val="0"/>
          <w:bCs w:val="0"/>
          <w:color w:val="auto"/>
          <w:sz w:val="24"/>
          <w:highlight w:val="none"/>
          <w:lang w:val="en-US" w:eastAsia="zh-CN"/>
        </w:rPr>
        <w:t>人伤费用垫付：人伤事故中，伤员进行救治时，经采购人现场确认后，保险公司应按规定先行垫付医疗费用（或开通医院绿色通道的形式）。</w:t>
      </w:r>
    </w:p>
    <w:p w14:paraId="72B22C4D">
      <w:pPr>
        <w:pageBreakBefore w:val="0"/>
        <w:widowControl w:val="0"/>
        <w:kinsoku/>
        <w:wordWrap/>
        <w:overflowPunct/>
        <w:topLinePunct w:val="0"/>
        <w:autoSpaceDE w:val="0"/>
        <w:autoSpaceDN w:val="0"/>
        <w:bidi w:val="0"/>
        <w:adjustRightInd w:val="0"/>
        <w:spacing w:line="360" w:lineRule="auto"/>
        <w:ind w:firstLine="480" w:firstLineChars="200"/>
        <w:jc w:val="left"/>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5、加强廉政建设，经查实发现有受贿、行贿的现象，取消投保资格，相关人员按情节轻重作出相应处分或处罚；触犯刑律的，依法追究法律责任。</w:t>
      </w:r>
    </w:p>
    <w:p w14:paraId="29B39F79">
      <w:pPr>
        <w:pageBreakBefore w:val="0"/>
        <w:widowControl w:val="0"/>
        <w:kinsoku/>
        <w:wordWrap/>
        <w:overflowPunct/>
        <w:topLinePunct w:val="0"/>
        <w:autoSpaceDE w:val="0"/>
        <w:autoSpaceDN w:val="0"/>
        <w:bidi w:val="0"/>
        <w:adjustRightInd w:val="0"/>
        <w:spacing w:line="360" w:lineRule="auto"/>
        <w:ind w:firstLine="480" w:firstLineChars="200"/>
        <w:jc w:val="left"/>
        <w:rPr>
          <w:rFonts w:hint="default"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val="en-US" w:eastAsia="zh-CN"/>
        </w:rPr>
        <w:t>6、新购车辆保费计费基础按中标人中标折扣系数执行。</w:t>
      </w:r>
    </w:p>
    <w:p w14:paraId="7424A1B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本项目保险业务由采购人按合同规定分配，采购人不保证各入围供应商的业务量，中标人不得以业务风险程度及工作量大小为理由调整收费或拒绝提供服务，否则视为中标人违约，采购人有权扣除全部履约保证金并单方面终止合同，全部责任与损失均由中标人承担。</w:t>
      </w:r>
    </w:p>
    <w:p w14:paraId="39411500">
      <w:pPr>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注：①若经发现未按上述约定事项实施，则每发现一次扣除伍仟元履约保证金（已约定金额的除外），扣完为止。</w:t>
      </w:r>
    </w:p>
    <w:p w14:paraId="0B8D2417">
      <w:pPr>
        <w:pageBreakBefore w:val="0"/>
        <w:widowControl w:val="0"/>
        <w:kinsoku/>
        <w:wordWrap/>
        <w:overflowPunct/>
        <w:topLinePunct w:val="0"/>
        <w:autoSpaceDE w:val="0"/>
        <w:autoSpaceDN w:val="0"/>
        <w:bidi w:val="0"/>
        <w:adjustRightIn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②以上“★”项为实质性响应条款，未实质性响应或不满足则作无效投标处理。</w:t>
      </w:r>
    </w:p>
    <w:p w14:paraId="5F35232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lang w:eastAsia="zh-CN"/>
        </w:rPr>
        <w:t>）履约保证金</w:t>
      </w:r>
      <w:r>
        <w:rPr>
          <w:rFonts w:hint="eastAsia" w:ascii="宋体" w:hAnsi="宋体" w:cs="宋体"/>
          <w:b/>
          <w:bCs/>
          <w:color w:val="auto"/>
          <w:sz w:val="24"/>
          <w:highlight w:val="none"/>
          <w:lang w:val="en-US" w:eastAsia="zh-CN"/>
        </w:rPr>
        <w:t>及</w:t>
      </w:r>
      <w:r>
        <w:rPr>
          <w:rFonts w:hint="eastAsia" w:ascii="宋体" w:hAnsi="宋体" w:cs="宋体"/>
          <w:b/>
          <w:bCs/>
          <w:color w:val="auto"/>
          <w:sz w:val="24"/>
          <w:highlight w:val="none"/>
        </w:rPr>
        <w:t>付款方式</w:t>
      </w:r>
    </w:p>
    <w:p w14:paraId="1F9309A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left"/>
        <w:textAlignment w:val="auto"/>
        <w:rPr>
          <w:rFonts w:hint="eastAsia" w:ascii="宋体" w:hAnsi="宋体" w:cs="Arial"/>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cs="宋体"/>
          <w:b/>
          <w:bCs/>
          <w:color w:val="auto"/>
          <w:sz w:val="24"/>
          <w:highlight w:val="none"/>
          <w:lang w:eastAsia="zh-CN"/>
        </w:rPr>
        <w:t>履约保证金：</w:t>
      </w:r>
      <w:r>
        <w:rPr>
          <w:rFonts w:hint="eastAsia" w:ascii="宋体" w:hAnsi="宋体" w:eastAsia="宋体" w:cs="Arial"/>
          <w:color w:val="auto"/>
          <w:sz w:val="24"/>
          <w:highlight w:val="none"/>
          <w:lang w:val="en-US" w:eastAsia="zh-CN"/>
        </w:rPr>
        <w:t>项目实施前，入围单位须向采购单位缴纳贰拾万元</w:t>
      </w:r>
      <w:r>
        <w:rPr>
          <w:rFonts w:hint="eastAsia" w:ascii="宋体" w:hAnsi="宋体" w:eastAsia="宋体" w:cs="宋体"/>
          <w:b w:val="0"/>
          <w:bCs w:val="0"/>
          <w:color w:val="auto"/>
          <w:sz w:val="24"/>
          <w:szCs w:val="21"/>
          <w:highlight w:val="none"/>
          <w:lang w:val="en-US" w:eastAsia="zh-CN" w:bidi="ar-SA"/>
        </w:rPr>
        <w:t>（¥200000）</w:t>
      </w:r>
      <w:r>
        <w:rPr>
          <w:rFonts w:hint="eastAsia" w:ascii="宋体" w:hAnsi="宋体" w:eastAsia="宋体" w:cs="Arial"/>
          <w:color w:val="auto"/>
          <w:sz w:val="24"/>
          <w:highlight w:val="none"/>
          <w:lang w:val="en-US" w:eastAsia="zh-CN"/>
        </w:rPr>
        <w:t>的履约保证金，履约保证金在所有投标车辆保险期限到期后无息退回。</w:t>
      </w:r>
    </w:p>
    <w:p w14:paraId="050A99F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Arial"/>
          <w:color w:val="auto"/>
          <w:sz w:val="24"/>
          <w:highlight w:val="none"/>
          <w:lang w:val="en-US" w:eastAsia="zh-CN"/>
        </w:rPr>
      </w:pPr>
      <w:r>
        <w:rPr>
          <w:rFonts w:hint="eastAsia" w:ascii="宋体" w:hAnsi="宋体" w:cs="Arial"/>
          <w:b/>
          <w:bCs/>
          <w:color w:val="auto"/>
          <w:sz w:val="24"/>
          <w:highlight w:val="none"/>
          <w:lang w:eastAsia="zh-CN"/>
        </w:rPr>
        <w:t>2、付款方式：</w:t>
      </w:r>
      <w:r>
        <w:rPr>
          <w:rFonts w:hint="eastAsia" w:ascii="宋体" w:hAnsi="宋体" w:cs="Arial"/>
          <w:color w:val="auto"/>
          <w:sz w:val="24"/>
          <w:highlight w:val="none"/>
          <w:lang w:val="en-US" w:eastAsia="zh-CN"/>
        </w:rPr>
        <w:t>本项目不设预付款，保险费用按实际投标车辆批数分批由实际使用方</w:t>
      </w:r>
      <w:r>
        <w:rPr>
          <w:rFonts w:hint="eastAsia" w:ascii="宋体" w:hAnsi="宋体" w:eastAsia="宋体" w:cs="宋体"/>
          <w:b w:val="0"/>
          <w:bCs w:val="0"/>
          <w:color w:val="auto"/>
          <w:sz w:val="24"/>
          <w:szCs w:val="21"/>
          <w:highlight w:val="none"/>
          <w:lang w:val="en-US" w:eastAsia="zh-CN" w:bidi="ar-SA"/>
        </w:rPr>
        <w:t>（诸暨市建设集团有限公司（含下属单位））</w:t>
      </w:r>
      <w:r>
        <w:rPr>
          <w:rFonts w:hint="eastAsia" w:ascii="宋体" w:hAnsi="宋体" w:cs="Arial"/>
          <w:color w:val="auto"/>
          <w:sz w:val="24"/>
          <w:highlight w:val="none"/>
          <w:lang w:val="en-US" w:eastAsia="zh-CN"/>
        </w:rPr>
        <w:t>支付投保费用。</w:t>
      </w:r>
    </w:p>
    <w:p w14:paraId="75796CD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（六）最高限价</w:t>
      </w:r>
    </w:p>
    <w:p w14:paraId="0F4DE22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cs="Arial"/>
          <w:color w:val="auto"/>
          <w:sz w:val="24"/>
          <w:highlight w:val="none"/>
          <w:lang w:val="en-US" w:eastAsia="zh-CN"/>
        </w:rPr>
      </w:pPr>
      <w:r>
        <w:rPr>
          <w:rFonts w:hint="eastAsia" w:ascii="宋体" w:hAnsi="宋体" w:cs="Arial"/>
          <w:color w:val="auto"/>
          <w:sz w:val="24"/>
          <w:highlight w:val="none"/>
          <w:lang w:val="en-US" w:eastAsia="zh-CN"/>
        </w:rPr>
        <w:t>本次采购最高限价</w:t>
      </w:r>
      <w:r>
        <w:rPr>
          <w:rFonts w:hint="eastAsia" w:ascii="宋体" w:hAnsi="宋体" w:eastAsia="宋体" w:cs="宋体"/>
          <w:bCs/>
          <w:strike w:val="0"/>
          <w:dstrike w:val="0"/>
          <w:color w:val="auto"/>
          <w:sz w:val="24"/>
          <w:highlight w:val="none"/>
          <w:lang w:val="en-US" w:eastAsia="zh-CN"/>
        </w:rPr>
        <w:t>（费率折扣）</w:t>
      </w:r>
      <w:r>
        <w:rPr>
          <w:rFonts w:hint="eastAsia" w:ascii="宋体" w:hAnsi="宋体" w:cs="宋体"/>
          <w:bCs/>
          <w:strike w:val="0"/>
          <w:dstrike w:val="0"/>
          <w:color w:val="auto"/>
          <w:sz w:val="24"/>
          <w:highlight w:val="none"/>
          <w:lang w:val="en-US" w:eastAsia="zh-CN"/>
        </w:rPr>
        <w:t>为0.8，</w:t>
      </w:r>
      <w:r>
        <w:rPr>
          <w:rFonts w:hint="eastAsia" w:ascii="宋体" w:hAnsi="宋体" w:eastAsia="宋体" w:cs="宋体"/>
          <w:b w:val="0"/>
          <w:bCs/>
          <w:color w:val="auto"/>
          <w:sz w:val="24"/>
          <w:szCs w:val="24"/>
          <w:highlight w:val="none"/>
        </w:rPr>
        <w:t>任何超过最高限价的报价</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包括油车或新能源车的</w:t>
      </w:r>
      <w:r>
        <w:rPr>
          <w:rFonts w:hint="eastAsia" w:ascii="宋体" w:hAnsi="宋体" w:eastAsia="宋体" w:cs="宋体"/>
          <w:bCs/>
          <w:strike w:val="0"/>
          <w:dstrike w:val="0"/>
          <w:color w:val="auto"/>
          <w:sz w:val="24"/>
          <w:highlight w:val="none"/>
          <w:lang w:val="en-US" w:eastAsia="zh-CN"/>
        </w:rPr>
        <w:t>商业险费率调整系数（费率折扣）</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或</w:t>
      </w:r>
      <w:r>
        <w:rPr>
          <w:rFonts w:hint="eastAsia" w:ascii="宋体" w:hAnsi="宋体"/>
          <w:b w:val="0"/>
          <w:bCs w:val="0"/>
          <w:color w:val="auto"/>
          <w:sz w:val="24"/>
          <w:highlight w:val="none"/>
          <w:lang w:val="en-US" w:eastAsia="zh-CN"/>
        </w:rPr>
        <w:t>超出</w:t>
      </w:r>
      <w:r>
        <w:rPr>
          <w:rFonts w:hint="eastAsia" w:ascii="宋体" w:hAnsi="宋体"/>
          <w:b w:val="0"/>
          <w:bCs w:val="0"/>
          <w:color w:val="auto"/>
          <w:sz w:val="24"/>
          <w:highlight w:val="none"/>
        </w:rPr>
        <w:t>国家</w:t>
      </w:r>
      <w:r>
        <w:rPr>
          <w:rFonts w:hint="eastAsia" w:ascii="宋体" w:hAnsi="宋体"/>
          <w:b w:val="0"/>
          <w:bCs w:val="0"/>
          <w:color w:val="auto"/>
          <w:sz w:val="24"/>
          <w:highlight w:val="none"/>
          <w:lang w:val="en-US" w:eastAsia="zh-CN"/>
        </w:rPr>
        <w:t>及行业</w:t>
      </w:r>
      <w:r>
        <w:rPr>
          <w:rFonts w:hint="eastAsia" w:ascii="宋体" w:hAnsi="宋体"/>
          <w:b w:val="0"/>
          <w:bCs w:val="0"/>
          <w:color w:val="auto"/>
          <w:sz w:val="24"/>
          <w:highlight w:val="none"/>
        </w:rPr>
        <w:t>政策允许范围内</w:t>
      </w:r>
      <w:r>
        <w:rPr>
          <w:rFonts w:hint="eastAsia" w:ascii="宋体" w:hAnsi="宋体"/>
          <w:b w:val="0"/>
          <w:bCs w:val="0"/>
          <w:color w:val="auto"/>
          <w:sz w:val="24"/>
          <w:highlight w:val="none"/>
          <w:lang w:val="en-US" w:eastAsia="zh-CN"/>
        </w:rPr>
        <w:t>报价</w:t>
      </w:r>
      <w:r>
        <w:rPr>
          <w:rFonts w:hint="eastAsia" w:ascii="宋体" w:hAnsi="宋体" w:eastAsia="宋体" w:cs="宋体"/>
          <w:b w:val="0"/>
          <w:bCs/>
          <w:color w:val="auto"/>
          <w:sz w:val="24"/>
          <w:szCs w:val="24"/>
          <w:highlight w:val="none"/>
        </w:rPr>
        <w:t>将被认定为无效报价，报价包含了与本项目实施有关的一切费用。</w:t>
      </w:r>
    </w:p>
    <w:p w14:paraId="097B6C3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eastAsia="宋体"/>
          <w:color w:val="auto"/>
          <w:highlight w:val="none"/>
          <w:lang w:val="en-US" w:eastAsia="zh-CN"/>
        </w:rPr>
      </w:pPr>
      <w:r>
        <w:rPr>
          <w:rFonts w:hint="eastAsia" w:eastAsia="宋体"/>
          <w:color w:val="auto"/>
          <w:highlight w:val="none"/>
          <w:lang w:val="en-US" w:eastAsia="zh-CN"/>
        </w:rPr>
        <w:br w:type="page"/>
      </w:r>
      <w:bookmarkStart w:id="30" w:name="_GoBack"/>
      <w:bookmarkEnd w:id="30"/>
    </w:p>
    <w:p w14:paraId="289CBC3A">
      <w:pPr>
        <w:shd w:val="clear"/>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 xml:space="preserve">第五章  </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合同</w:t>
      </w:r>
    </w:p>
    <w:p w14:paraId="0C414DD3">
      <w:pPr>
        <w:shd w:val="clear"/>
        <w:spacing w:before="156" w:beforeLines="50" w:after="156"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此为</w:t>
      </w:r>
      <w:r>
        <w:rPr>
          <w:rFonts w:hint="eastAsia" w:ascii="宋体" w:hAnsi="宋体" w:cs="宋体"/>
          <w:color w:val="auto"/>
          <w:sz w:val="24"/>
          <w:szCs w:val="24"/>
          <w:highlight w:val="none"/>
          <w:lang w:val="en-US" w:eastAsia="zh-CN"/>
        </w:rPr>
        <w:t>参考</w:t>
      </w:r>
      <w:r>
        <w:rPr>
          <w:rFonts w:hint="eastAsia" w:ascii="宋体" w:hAnsi="宋体" w:eastAsia="宋体" w:cs="宋体"/>
          <w:color w:val="auto"/>
          <w:sz w:val="24"/>
          <w:szCs w:val="24"/>
          <w:highlight w:val="none"/>
        </w:rPr>
        <w:t>范本，最终以双方认可版本为准）</w:t>
      </w:r>
    </w:p>
    <w:p w14:paraId="072C9993">
      <w:pPr>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rPr>
      </w:pPr>
    </w:p>
    <w:p w14:paraId="45922C5D">
      <w:pPr>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rPr>
      </w:pPr>
    </w:p>
    <w:p w14:paraId="213B7280">
      <w:pPr>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2440EE17">
      <w:pPr>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8"/>
          <w:szCs w:val="28"/>
          <w:highlight w:val="none"/>
        </w:rPr>
      </w:pPr>
    </w:p>
    <w:p w14:paraId="77054E45">
      <w:pPr>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8"/>
          <w:szCs w:val="28"/>
          <w:highlight w:val="none"/>
        </w:rPr>
      </w:pPr>
    </w:p>
    <w:p w14:paraId="3D4E8F12">
      <w:pPr>
        <w:pStyle w:val="28"/>
        <w:pageBreakBefore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lang w:val="en-US" w:eastAsia="zh-CN"/>
        </w:rPr>
        <w:t xml:space="preserve">采 购 </w:t>
      </w:r>
      <w:r>
        <w:rPr>
          <w:rFonts w:hint="eastAsia" w:ascii="宋体" w:hAnsi="宋体" w:eastAsia="宋体" w:cs="宋体"/>
          <w:b/>
          <w:color w:val="auto"/>
          <w:sz w:val="40"/>
          <w:szCs w:val="40"/>
          <w:highlight w:val="none"/>
        </w:rPr>
        <w:t>合</w:t>
      </w:r>
      <w:r>
        <w:rPr>
          <w:rFonts w:hint="eastAsia" w:ascii="宋体" w:hAnsi="宋体" w:eastAsia="宋体" w:cs="宋体"/>
          <w:b/>
          <w:color w:val="auto"/>
          <w:sz w:val="40"/>
          <w:szCs w:val="40"/>
          <w:highlight w:val="none"/>
          <w:lang w:val="en-US" w:eastAsia="zh-CN"/>
        </w:rPr>
        <w:t xml:space="preserve"> </w:t>
      </w:r>
      <w:r>
        <w:rPr>
          <w:rFonts w:hint="eastAsia" w:ascii="宋体" w:hAnsi="宋体" w:eastAsia="宋体" w:cs="宋体"/>
          <w:b/>
          <w:color w:val="auto"/>
          <w:sz w:val="40"/>
          <w:szCs w:val="40"/>
          <w:highlight w:val="none"/>
        </w:rPr>
        <w:t>同</w:t>
      </w:r>
      <w:r>
        <w:rPr>
          <w:rFonts w:hint="eastAsia" w:ascii="宋体" w:hAnsi="宋体" w:eastAsia="宋体" w:cs="宋体"/>
          <w:b/>
          <w:color w:val="auto"/>
          <w:sz w:val="40"/>
          <w:szCs w:val="40"/>
          <w:highlight w:val="none"/>
          <w:lang w:val="en-US" w:eastAsia="zh-CN"/>
        </w:rPr>
        <w:t xml:space="preserve"> </w:t>
      </w:r>
      <w:r>
        <w:rPr>
          <w:rFonts w:hint="eastAsia" w:ascii="宋体" w:hAnsi="宋体" w:eastAsia="宋体" w:cs="宋体"/>
          <w:b/>
          <w:color w:val="auto"/>
          <w:sz w:val="40"/>
          <w:szCs w:val="40"/>
          <w:highlight w:val="none"/>
        </w:rPr>
        <w:t>书</w:t>
      </w:r>
    </w:p>
    <w:p w14:paraId="75F8173F">
      <w:pPr>
        <w:pStyle w:val="28"/>
        <w:pageBreakBefore w:val="0"/>
        <w:kinsoku/>
        <w:wordWrap/>
        <w:overflowPunct/>
        <w:topLinePunct w:val="0"/>
        <w:bidi w:val="0"/>
        <w:snapToGrid/>
        <w:spacing w:after="0" w:line="360" w:lineRule="auto"/>
        <w:textAlignment w:val="auto"/>
        <w:rPr>
          <w:rFonts w:hint="eastAsia" w:ascii="宋体" w:hAnsi="宋体" w:eastAsia="宋体" w:cs="宋体"/>
          <w:color w:val="auto"/>
          <w:sz w:val="28"/>
          <w:szCs w:val="28"/>
          <w:highlight w:val="none"/>
        </w:rPr>
      </w:pPr>
    </w:p>
    <w:p w14:paraId="711522DD">
      <w:pPr>
        <w:spacing w:line="360" w:lineRule="auto"/>
        <w:rPr>
          <w:rFonts w:hint="eastAsia" w:ascii="宋体" w:hAnsi="宋体" w:eastAsia="宋体" w:cs="宋体"/>
          <w:color w:val="auto"/>
          <w:highlight w:val="none"/>
        </w:rPr>
      </w:pPr>
    </w:p>
    <w:p w14:paraId="11C6DB8A">
      <w:pPr>
        <w:pageBreakBefore w:val="0"/>
        <w:kinsoku/>
        <w:wordWrap/>
        <w:overflowPunct/>
        <w:topLinePunct w:val="0"/>
        <w:bidi w:val="0"/>
        <w:snapToGrid/>
        <w:spacing w:line="360" w:lineRule="auto"/>
        <w:textAlignment w:val="auto"/>
        <w:rPr>
          <w:rFonts w:hint="eastAsia" w:ascii="宋体" w:hAnsi="宋体" w:eastAsia="宋体" w:cs="宋体"/>
          <w:color w:val="auto"/>
          <w:sz w:val="28"/>
          <w:szCs w:val="28"/>
          <w:highlight w:val="none"/>
        </w:rPr>
      </w:pPr>
    </w:p>
    <w:p w14:paraId="58108D05">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项目名称：</w:t>
      </w:r>
      <w:r>
        <w:rPr>
          <w:rFonts w:hint="eastAsia" w:ascii="宋体" w:hAnsi="宋体" w:eastAsia="宋体" w:cs="宋体"/>
          <w:color w:val="auto"/>
          <w:sz w:val="28"/>
          <w:szCs w:val="28"/>
          <w:highlight w:val="none"/>
          <w:u w:val="single"/>
        </w:rPr>
        <w:t xml:space="preserve">                                   </w:t>
      </w:r>
    </w:p>
    <w:p w14:paraId="6A318D63">
      <w:pPr>
        <w:pStyle w:val="29"/>
        <w:pageBreakBefore w:val="0"/>
        <w:kinsoku/>
        <w:wordWrap/>
        <w:overflowPunct/>
        <w:topLinePunct w:val="0"/>
        <w:bidi w:val="0"/>
        <w:snapToGrid/>
        <w:spacing w:line="360" w:lineRule="auto"/>
        <w:textAlignment w:val="auto"/>
        <w:rPr>
          <w:rFonts w:hint="eastAsia" w:ascii="宋体" w:hAnsi="宋体" w:eastAsia="宋体" w:cs="宋体"/>
          <w:color w:val="auto"/>
          <w:sz w:val="28"/>
          <w:szCs w:val="28"/>
          <w:highlight w:val="none"/>
        </w:rPr>
      </w:pPr>
    </w:p>
    <w:p w14:paraId="0E8C280F">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rPr>
        <w:t>甲</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方：</w:t>
      </w:r>
      <w:r>
        <w:rPr>
          <w:rFonts w:hint="eastAsia" w:ascii="宋体" w:hAnsi="宋体" w:eastAsia="宋体" w:cs="宋体"/>
          <w:color w:val="auto"/>
          <w:sz w:val="28"/>
          <w:szCs w:val="28"/>
          <w:highlight w:val="none"/>
          <w:u w:val="single"/>
        </w:rPr>
        <w:t xml:space="preserve">                                   </w:t>
      </w:r>
    </w:p>
    <w:p w14:paraId="6E483842">
      <w:pPr>
        <w:pageBreakBefore w:val="0"/>
        <w:kinsoku/>
        <w:wordWrap/>
        <w:overflowPunct/>
        <w:topLinePunct w:val="0"/>
        <w:bidi w:val="0"/>
        <w:snapToGrid/>
        <w:spacing w:line="360" w:lineRule="auto"/>
        <w:ind w:firstLine="840" w:firstLineChars="300"/>
        <w:textAlignment w:val="auto"/>
        <w:rPr>
          <w:rFonts w:hint="eastAsia" w:ascii="宋体" w:hAnsi="宋体" w:eastAsia="宋体" w:cs="宋体"/>
          <w:color w:val="auto"/>
          <w:sz w:val="28"/>
          <w:szCs w:val="28"/>
          <w:highlight w:val="none"/>
        </w:rPr>
      </w:pPr>
    </w:p>
    <w:p w14:paraId="41172E55">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rPr>
        <w:t>乙</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方：</w:t>
      </w:r>
      <w:r>
        <w:rPr>
          <w:rFonts w:hint="eastAsia" w:ascii="宋体" w:hAnsi="宋体" w:eastAsia="宋体" w:cs="宋体"/>
          <w:color w:val="auto"/>
          <w:sz w:val="28"/>
          <w:szCs w:val="28"/>
          <w:highlight w:val="none"/>
          <w:u w:val="single"/>
        </w:rPr>
        <w:t xml:space="preserve">                                   </w:t>
      </w:r>
    </w:p>
    <w:p w14:paraId="51731EC4">
      <w:pPr>
        <w:pageBreakBefore w:val="0"/>
        <w:kinsoku/>
        <w:wordWrap/>
        <w:overflowPunct/>
        <w:topLinePunct w:val="0"/>
        <w:bidi w:val="0"/>
        <w:snapToGrid/>
        <w:spacing w:line="360" w:lineRule="auto"/>
        <w:ind w:firstLine="840" w:firstLineChars="300"/>
        <w:textAlignment w:val="auto"/>
        <w:rPr>
          <w:rFonts w:hint="eastAsia" w:ascii="宋体" w:hAnsi="宋体" w:eastAsia="宋体" w:cs="宋体"/>
          <w:color w:val="auto"/>
          <w:sz w:val="28"/>
          <w:szCs w:val="28"/>
          <w:highlight w:val="none"/>
        </w:rPr>
      </w:pPr>
    </w:p>
    <w:p w14:paraId="55EB997F">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rPr>
        <w:t>签</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订</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地：</w:t>
      </w:r>
      <w:r>
        <w:rPr>
          <w:rFonts w:hint="eastAsia" w:ascii="宋体" w:hAnsi="宋体" w:eastAsia="宋体" w:cs="宋体"/>
          <w:color w:val="auto"/>
          <w:sz w:val="28"/>
          <w:szCs w:val="28"/>
          <w:highlight w:val="none"/>
          <w:u w:val="single"/>
        </w:rPr>
        <w:t xml:space="preserve">                                   </w:t>
      </w:r>
    </w:p>
    <w:p w14:paraId="01076DF5">
      <w:pPr>
        <w:pageBreakBefore w:val="0"/>
        <w:kinsoku/>
        <w:wordWrap/>
        <w:overflowPunct/>
        <w:topLinePunct w:val="0"/>
        <w:bidi w:val="0"/>
        <w:snapToGrid/>
        <w:spacing w:line="360" w:lineRule="auto"/>
        <w:ind w:firstLine="840" w:firstLineChars="300"/>
        <w:textAlignment w:val="auto"/>
        <w:rPr>
          <w:rFonts w:hint="eastAsia" w:ascii="宋体" w:hAnsi="宋体" w:eastAsia="宋体" w:cs="宋体"/>
          <w:color w:val="auto"/>
          <w:sz w:val="28"/>
          <w:szCs w:val="28"/>
          <w:highlight w:val="none"/>
        </w:rPr>
      </w:pPr>
    </w:p>
    <w:p w14:paraId="72C76698">
      <w:pPr>
        <w:pageBreakBefore w:val="0"/>
        <w:kinsoku/>
        <w:wordWrap/>
        <w:overflowPunct/>
        <w:topLinePunct w:val="0"/>
        <w:bidi w:val="0"/>
        <w:snapToGrid/>
        <w:spacing w:line="360" w:lineRule="auto"/>
        <w:ind w:firstLine="843" w:firstLineChars="300"/>
        <w:textAlignment w:val="auto"/>
        <w:rPr>
          <w:rFonts w:hint="default" w:ascii="宋体" w:hAnsi="宋体" w:eastAsia="宋体" w:cs="宋体"/>
          <w:color w:val="auto"/>
          <w:kern w:val="0"/>
          <w:sz w:val="28"/>
          <w:szCs w:val="28"/>
          <w:highlight w:val="none"/>
          <w:lang w:val="en-US" w:eastAsia="zh-CN"/>
        </w:rPr>
        <w:sectPr>
          <w:headerReference r:id="rId6" w:type="default"/>
          <w:footerReference r:id="rId7" w:type="default"/>
          <w:pgSz w:w="11907" w:h="16840"/>
          <w:pgMar w:top="1236" w:right="1236" w:bottom="1236" w:left="1236" w:header="737" w:footer="851" w:gutter="0"/>
          <w:pgNumType w:fmt="decimal" w:start="1"/>
          <w:cols w:space="720" w:num="1"/>
        </w:sectPr>
      </w:pPr>
      <w:r>
        <w:rPr>
          <w:rFonts w:hint="eastAsia" w:ascii="宋体" w:hAnsi="宋体" w:eastAsia="宋体" w:cs="宋体"/>
          <w:b/>
          <w:bCs/>
          <w:color w:val="auto"/>
          <w:sz w:val="28"/>
          <w:szCs w:val="28"/>
          <w:highlight w:val="none"/>
        </w:rPr>
        <w:t>签订日期：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日</w:t>
      </w:r>
    </w:p>
    <w:p w14:paraId="431125FA">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中华人民共和国政府采购法》等有关规定，以及</w:t>
      </w:r>
      <w:r>
        <w:rPr>
          <w:rFonts w:hint="eastAsia" w:ascii="宋体" w:hAnsi="宋体" w:eastAsia="宋体" w:cs="宋体"/>
          <w:color w:val="auto"/>
          <w:sz w:val="24"/>
          <w:szCs w:val="24"/>
          <w:highlight w:val="none"/>
          <w:lang w:eastAsia="zh-CN"/>
        </w:rPr>
        <w:t>浙江博策工程项目管理有限公司</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val="en-US" w:eastAsia="zh-CN"/>
        </w:rPr>
        <w:t>浙</w:t>
      </w:r>
      <w:r>
        <w:rPr>
          <w:rFonts w:hint="eastAsia" w:ascii="宋体" w:hAnsi="宋体" w:eastAsia="宋体" w:cs="宋体"/>
          <w:color w:val="auto"/>
          <w:sz w:val="24"/>
          <w:szCs w:val="24"/>
          <w:highlight w:val="none"/>
          <w:lang w:eastAsia="zh-CN"/>
        </w:rPr>
        <w:t>博策</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号）招标文件相关要求，经法定程序采购，双方同意签订以下合同条款，以便双方共同遵守、履行合同。</w:t>
      </w:r>
    </w:p>
    <w:p w14:paraId="201CFD33">
      <w:pPr>
        <w:keepNext w:val="0"/>
        <w:keepLines w:val="0"/>
        <w:pageBreakBefore w:val="0"/>
        <w:widowControl w:val="0"/>
        <w:shd w:val="clear"/>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一、采购项目</w:t>
      </w:r>
    </w:p>
    <w:tbl>
      <w:tblPr>
        <w:tblStyle w:val="17"/>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5654"/>
        <w:gridCol w:w="2025"/>
      </w:tblGrid>
      <w:tr w14:paraId="08E9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4" w:type="dxa"/>
            <w:noWrap w:val="0"/>
            <w:vAlign w:val="center"/>
          </w:tcPr>
          <w:p w14:paraId="773EDC85">
            <w:pPr>
              <w:keepNext w:val="0"/>
              <w:keepLines w:val="0"/>
              <w:pageBreakBefore w:val="0"/>
              <w:widowControl w:val="0"/>
              <w:shd w:val="clear"/>
              <w:kinsoku/>
              <w:wordWrap/>
              <w:overflowPunct/>
              <w:topLinePunct w:val="0"/>
              <w:bidi w:val="0"/>
              <w:snapToGrid/>
              <w:spacing w:line="360" w:lineRule="auto"/>
              <w:textAlignment w:val="auto"/>
              <w:rPr>
                <w:rFonts w:hint="default" w:ascii="宋体" w:hAnsi="宋体" w:eastAsia="宋体" w:cs="宋体"/>
                <w:b w:val="0"/>
                <w:bCs w:val="0"/>
                <w:color w:val="auto"/>
                <w:sz w:val="24"/>
                <w:highlight w:val="none"/>
                <w:vertAlign w:val="baseli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highlight w:val="none"/>
                <w:vertAlign w:val="baseline"/>
                <w:lang w:val="en-US" w:eastAsia="zh-CN"/>
              </w:rPr>
              <w:t>序号</w:t>
            </w:r>
          </w:p>
        </w:tc>
        <w:tc>
          <w:tcPr>
            <w:tcW w:w="5654" w:type="dxa"/>
            <w:noWrap w:val="0"/>
            <w:vAlign w:val="center"/>
          </w:tcPr>
          <w:p w14:paraId="19D76420">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采购内容</w:t>
            </w:r>
          </w:p>
        </w:tc>
        <w:tc>
          <w:tcPr>
            <w:tcW w:w="2025" w:type="dxa"/>
            <w:noWrap w:val="0"/>
            <w:vAlign w:val="center"/>
          </w:tcPr>
          <w:p w14:paraId="0A81B10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费率折扣</w:t>
            </w:r>
          </w:p>
        </w:tc>
      </w:tr>
      <w:tr w14:paraId="013C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4" w:type="dxa"/>
            <w:noWrap w:val="0"/>
            <w:vAlign w:val="center"/>
          </w:tcPr>
          <w:p w14:paraId="68570A69">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highlight w:val="none"/>
                <w:vertAlign w:val="baseline"/>
                <w:lang w:val="en-US" w:eastAsia="zh-CN"/>
              </w:rPr>
            </w:pPr>
            <w:r>
              <w:rPr>
                <w:rFonts w:hint="eastAsia" w:ascii="宋体" w:hAnsi="宋体" w:eastAsia="宋体" w:cs="宋体"/>
                <w:b w:val="0"/>
                <w:bCs w:val="0"/>
                <w:color w:val="auto"/>
                <w:sz w:val="24"/>
                <w:highlight w:val="none"/>
                <w:vertAlign w:val="baseline"/>
                <w:lang w:val="en-US" w:eastAsia="zh-CN"/>
              </w:rPr>
              <w:t>1</w:t>
            </w:r>
          </w:p>
        </w:tc>
        <w:tc>
          <w:tcPr>
            <w:tcW w:w="5654" w:type="dxa"/>
            <w:noWrap w:val="0"/>
            <w:vAlign w:val="center"/>
          </w:tcPr>
          <w:p w14:paraId="7D0C452D">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highlight w:val="none"/>
                <w:vertAlign w:val="baseline"/>
                <w:lang w:val="en-US" w:eastAsia="zh-CN"/>
              </w:rPr>
            </w:pPr>
          </w:p>
        </w:tc>
        <w:tc>
          <w:tcPr>
            <w:tcW w:w="2025" w:type="dxa"/>
            <w:noWrap w:val="0"/>
            <w:vAlign w:val="center"/>
          </w:tcPr>
          <w:p w14:paraId="5B033793">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4"/>
                <w:highlight w:val="none"/>
                <w:vertAlign w:val="baseline"/>
                <w:lang w:val="en-US" w:eastAsia="zh-CN"/>
              </w:rPr>
            </w:pPr>
          </w:p>
        </w:tc>
      </w:tr>
    </w:tbl>
    <w:p w14:paraId="72FB3E7B">
      <w:pPr>
        <w:keepNext w:val="0"/>
        <w:keepLines w:val="0"/>
        <w:pageBreakBefore w:val="0"/>
        <w:widowControl w:val="0"/>
        <w:shd w:val="clear"/>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采购内容</w:t>
      </w:r>
    </w:p>
    <w:p w14:paraId="7CE845B6">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72AEB733">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6E7AE992">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14:paraId="5692F131">
      <w:pPr>
        <w:keepNext w:val="0"/>
        <w:keepLines w:val="0"/>
        <w:pageBreakBefore w:val="0"/>
        <w:widowControl w:val="0"/>
        <w:shd w:val="clear"/>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三、产品（或服务）要求</w:t>
      </w:r>
    </w:p>
    <w:p w14:paraId="593B3427">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7903C705">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55BA138C">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14:paraId="5483DC1A">
      <w:pPr>
        <w:keepNext w:val="0"/>
        <w:keepLines w:val="0"/>
        <w:pageBreakBefore w:val="0"/>
        <w:widowControl w:val="0"/>
        <w:shd w:val="clear"/>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四、项目验收</w:t>
      </w:r>
    </w:p>
    <w:p w14:paraId="50D42DCE">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2655BD9B">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0E2B0A7E">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14:paraId="431BC142">
      <w:pPr>
        <w:keepNext w:val="0"/>
        <w:keepLines w:val="0"/>
        <w:pageBreakBefore w:val="0"/>
        <w:widowControl w:val="0"/>
        <w:shd w:val="clear"/>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五、付款方式</w:t>
      </w:r>
    </w:p>
    <w:p w14:paraId="309F8817">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660D18D3">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304C1F4D">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14:paraId="4BFA3A45">
      <w:pPr>
        <w:keepNext w:val="0"/>
        <w:keepLines w:val="0"/>
        <w:pageBreakBefore w:val="0"/>
        <w:widowControl w:val="0"/>
        <w:shd w:val="clear"/>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六、履约保证金</w:t>
      </w:r>
    </w:p>
    <w:p w14:paraId="154D0BE1">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59457C93">
      <w:pPr>
        <w:keepNext w:val="0"/>
        <w:keepLines w:val="0"/>
        <w:pageBreakBefore w:val="0"/>
        <w:widowControl w:val="0"/>
        <w:shd w:val="clear"/>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七、产品数量变更</w:t>
      </w:r>
    </w:p>
    <w:p w14:paraId="70FB0D21">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w:t>
      </w:r>
    </w:p>
    <w:p w14:paraId="6467802C">
      <w:pPr>
        <w:keepNext w:val="0"/>
        <w:keepLines w:val="0"/>
        <w:pageBreakBefore w:val="0"/>
        <w:widowControl w:val="0"/>
        <w:shd w:val="clear"/>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八、售后服务</w:t>
      </w:r>
    </w:p>
    <w:p w14:paraId="400E0C98">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具体售后服务条款参照招标文件及乙方投标文件中的售后服务承诺。</w:t>
      </w:r>
    </w:p>
    <w:p w14:paraId="08B10959">
      <w:pPr>
        <w:keepNext w:val="0"/>
        <w:keepLines w:val="0"/>
        <w:pageBreakBefore w:val="0"/>
        <w:widowControl w:val="0"/>
        <w:shd w:val="clear"/>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九、违约责任</w:t>
      </w:r>
    </w:p>
    <w:p w14:paraId="49A27635">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1、甲方无正当理由拒收产品（或服务），由甲方向乙方偿付合同总价的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%违约金。</w:t>
      </w:r>
    </w:p>
    <w:p w14:paraId="12D14B6B">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2、甲方未能在合同规定期限内验收完毕的，每超过一天，付合同价的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%的违约金给乙方。</w:t>
      </w:r>
    </w:p>
    <w:p w14:paraId="577300D5">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3、乙方不能交付产品（或服务），乙方向甲方支付合同款总价5%的违约金。</w:t>
      </w:r>
    </w:p>
    <w:p w14:paraId="1AA2E440">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4、乙方逾期交付产品（或服务）的，每逾期1天，乙方向甲方偿付逾期部分产品（或服务）货款的0.5%的滞纳金，如乙方逾期15天，甲方有权解除合同，解除合同的通知自到达乙方时生效。</w:t>
      </w:r>
    </w:p>
    <w:p w14:paraId="708563C6">
      <w:pPr>
        <w:keepNext w:val="0"/>
        <w:keepLines w:val="0"/>
        <w:pageBreakBefore w:val="0"/>
        <w:widowControl w:val="0"/>
        <w:shd w:val="clear"/>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十、其他约定事项</w:t>
      </w:r>
    </w:p>
    <w:p w14:paraId="796533B7">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4A6CF7B9">
      <w:pPr>
        <w:keepNext w:val="0"/>
        <w:keepLines w:val="0"/>
        <w:pageBreakBefore w:val="0"/>
        <w:widowControl w:val="0"/>
        <w:shd w:val="clear"/>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十一、解决合同纠纷方式</w:t>
      </w:r>
    </w:p>
    <w:p w14:paraId="09A9DCC7">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其它未尽事宜或履行时发生争议，由双方本着诚实信用的原则协商解决，协商不成功可选择向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诸暨市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5F0BE85D">
      <w:pPr>
        <w:keepNext w:val="0"/>
        <w:keepLines w:val="0"/>
        <w:pageBreakBefore w:val="0"/>
        <w:widowControl w:val="0"/>
        <w:shd w:val="clear"/>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十二、其它</w:t>
      </w:r>
    </w:p>
    <w:p w14:paraId="0B971262">
      <w:pPr>
        <w:keepNext w:val="0"/>
        <w:keepLines w:val="0"/>
        <w:pageBreakBefore w:val="0"/>
        <w:widowControl w:val="0"/>
        <w:shd w:val="clear"/>
        <w:kinsoku/>
        <w:wordWrap/>
        <w:overflowPunct/>
        <w:topLinePunct w:val="0"/>
        <w:bidi w:val="0"/>
        <w:snapToGrid/>
        <w:spacing w:line="360" w:lineRule="auto"/>
        <w:ind w:lef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1、本项目的招标文件、投标文件、中标通知书作为合同的附件，具有同等法律效力。</w:t>
      </w:r>
    </w:p>
    <w:p w14:paraId="7664AF3C">
      <w:pPr>
        <w:keepNext w:val="0"/>
        <w:keepLines w:val="0"/>
        <w:pageBreakBefore w:val="0"/>
        <w:widowControl w:val="0"/>
        <w:shd w:val="clear"/>
        <w:kinsoku/>
        <w:wordWrap/>
        <w:overflowPunct/>
        <w:topLinePunct w:val="0"/>
        <w:bidi w:val="0"/>
        <w:snapToGrid/>
        <w:spacing w:line="360" w:lineRule="auto"/>
        <w:ind w:lef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2、本合同自签订之日起生效。</w:t>
      </w:r>
    </w:p>
    <w:p w14:paraId="601D2FE5">
      <w:pPr>
        <w:keepNext w:val="0"/>
        <w:keepLines w:val="0"/>
        <w:pageBreakBefore w:val="0"/>
        <w:widowControl w:val="0"/>
        <w:shd w:val="clear"/>
        <w:kinsoku/>
        <w:wordWrap/>
        <w:overflowPunct/>
        <w:topLinePunct w:val="0"/>
        <w:autoSpaceDE w:val="0"/>
        <w:autoSpaceDN w:val="0"/>
        <w:bidi w:val="0"/>
        <w:adjustRightInd w:val="0"/>
        <w:snapToGrid/>
        <w:spacing w:after="160" w:line="360" w:lineRule="auto"/>
        <w:ind w:lef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份，甲乙双方各执</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val="en-US" w:eastAsia="zh-CN"/>
        </w:rPr>
        <w:t>甲方招标中心和</w:t>
      </w: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lang w:val="en-US" w:eastAsia="zh-CN"/>
        </w:rPr>
        <w:t>各</w:t>
      </w:r>
      <w:r>
        <w:rPr>
          <w:rFonts w:hint="eastAsia" w:ascii="宋体" w:hAnsi="宋体" w:eastAsia="宋体" w:cs="宋体"/>
          <w:color w:val="auto"/>
          <w:sz w:val="24"/>
          <w:szCs w:val="24"/>
          <w:highlight w:val="none"/>
        </w:rPr>
        <w:t>备案一份。</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1"/>
        <w:gridCol w:w="4648"/>
      </w:tblGrid>
      <w:tr w14:paraId="495E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371" w:type="dxa"/>
            <w:noWrap w:val="0"/>
            <w:vAlign w:val="center"/>
          </w:tcPr>
          <w:p w14:paraId="536BE9CC">
            <w:pPr>
              <w:keepNext w:val="0"/>
              <w:keepLines w:val="0"/>
              <w:pageBreakBefore w:val="0"/>
              <w:widowControl w:val="0"/>
              <w:shd w:val="clear"/>
              <w:kinsoku/>
              <w:wordWrap/>
              <w:overflowPunct/>
              <w:topLinePunct w:val="0"/>
              <w:bidi w:val="0"/>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甲方</w:t>
            </w:r>
          </w:p>
        </w:tc>
        <w:tc>
          <w:tcPr>
            <w:tcW w:w="4648" w:type="dxa"/>
            <w:noWrap w:val="0"/>
            <w:vAlign w:val="center"/>
          </w:tcPr>
          <w:p w14:paraId="577B9BD3">
            <w:pPr>
              <w:keepNext w:val="0"/>
              <w:keepLines w:val="0"/>
              <w:pageBreakBefore w:val="0"/>
              <w:widowControl w:val="0"/>
              <w:shd w:val="clear"/>
              <w:kinsoku/>
              <w:wordWrap/>
              <w:overflowPunct/>
              <w:topLinePunct w:val="0"/>
              <w:bidi w:val="0"/>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乙方</w:t>
            </w:r>
          </w:p>
        </w:tc>
      </w:tr>
      <w:tr w14:paraId="29B2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71" w:type="dxa"/>
            <w:noWrap w:val="0"/>
            <w:vAlign w:val="top"/>
          </w:tcPr>
          <w:p w14:paraId="4C923C6F">
            <w:pPr>
              <w:keepNext w:val="0"/>
              <w:keepLines w:val="0"/>
              <w:pageBreakBefore w:val="0"/>
              <w:widowControl w:val="0"/>
              <w:shd w:val="clear"/>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6DB9F7D1">
            <w:pPr>
              <w:keepNext w:val="0"/>
              <w:keepLines w:val="0"/>
              <w:pageBreakBefore w:val="0"/>
              <w:widowControl w:val="0"/>
              <w:shd w:val="clear"/>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p w14:paraId="4BC8BE6B">
            <w:pPr>
              <w:keepNext w:val="0"/>
              <w:keepLines w:val="0"/>
              <w:pageBreakBefore w:val="0"/>
              <w:widowControl w:val="0"/>
              <w:shd w:val="clear"/>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312AC1A6">
            <w:pPr>
              <w:keepNext w:val="0"/>
              <w:keepLines w:val="0"/>
              <w:pageBreakBefore w:val="0"/>
              <w:widowControl w:val="0"/>
              <w:shd w:val="clear"/>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p w14:paraId="15F6F669">
            <w:pPr>
              <w:keepNext w:val="0"/>
              <w:keepLines w:val="0"/>
              <w:pageBreakBefore w:val="0"/>
              <w:widowControl w:val="0"/>
              <w:shd w:val="clear"/>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52837637">
            <w:pPr>
              <w:keepNext w:val="0"/>
              <w:keepLines w:val="0"/>
              <w:pageBreakBefore w:val="0"/>
              <w:widowControl w:val="0"/>
              <w:shd w:val="clear"/>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4648" w:type="dxa"/>
            <w:noWrap w:val="0"/>
            <w:vAlign w:val="top"/>
          </w:tcPr>
          <w:p w14:paraId="0094E667">
            <w:pPr>
              <w:keepNext w:val="0"/>
              <w:keepLines w:val="0"/>
              <w:pageBreakBefore w:val="0"/>
              <w:widowControl w:val="0"/>
              <w:shd w:val="clear"/>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1FF66AA6">
            <w:pPr>
              <w:keepNext w:val="0"/>
              <w:keepLines w:val="0"/>
              <w:pageBreakBefore w:val="0"/>
              <w:widowControl w:val="0"/>
              <w:shd w:val="clear"/>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p w14:paraId="16BB5F5F">
            <w:pPr>
              <w:keepNext w:val="0"/>
              <w:keepLines w:val="0"/>
              <w:pageBreakBefore w:val="0"/>
              <w:widowControl w:val="0"/>
              <w:shd w:val="clear"/>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65E5C7F7">
            <w:pPr>
              <w:keepNext w:val="0"/>
              <w:keepLines w:val="0"/>
              <w:pageBreakBefore w:val="0"/>
              <w:widowControl w:val="0"/>
              <w:shd w:val="clear"/>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p w14:paraId="0347E9EF">
            <w:pPr>
              <w:keepNext w:val="0"/>
              <w:keepLines w:val="0"/>
              <w:pageBreakBefore w:val="0"/>
              <w:widowControl w:val="0"/>
              <w:shd w:val="clear"/>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0CF47958">
            <w:pPr>
              <w:keepNext w:val="0"/>
              <w:keepLines w:val="0"/>
              <w:pageBreakBefore w:val="0"/>
              <w:widowControl w:val="0"/>
              <w:shd w:val="clear"/>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53468E7D">
            <w:pPr>
              <w:keepNext w:val="0"/>
              <w:keepLines w:val="0"/>
              <w:pageBreakBefore w:val="0"/>
              <w:widowControl w:val="0"/>
              <w:shd w:val="clear"/>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16EEAA52">
            <w:pPr>
              <w:keepNext w:val="0"/>
              <w:keepLines w:val="0"/>
              <w:pageBreakBefore w:val="0"/>
              <w:widowControl w:val="0"/>
              <w:shd w:val="clear"/>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r>
    </w:tbl>
    <w:p w14:paraId="2C8460C1">
      <w:pPr>
        <w:spacing w:line="360" w:lineRule="auto"/>
        <w:rPr>
          <w:rFonts w:hint="eastAsia" w:ascii="Times New Roman" w:hAnsi="Times New Roman" w:eastAsia="宋体" w:cs="宋体"/>
          <w:b/>
          <w:bCs/>
          <w:color w:val="auto"/>
          <w:sz w:val="36"/>
          <w:szCs w:val="36"/>
          <w:highlight w:val="none"/>
        </w:rPr>
      </w:pPr>
      <w:r>
        <w:rPr>
          <w:rFonts w:hint="eastAsia" w:ascii="Times New Roman" w:hAnsi="Times New Roman" w:eastAsia="宋体" w:cs="宋体"/>
          <w:b/>
          <w:bCs/>
          <w:color w:val="auto"/>
          <w:sz w:val="36"/>
          <w:szCs w:val="36"/>
          <w:highlight w:val="none"/>
        </w:rPr>
        <w:br w:type="page"/>
      </w:r>
    </w:p>
    <w:p w14:paraId="1DAC9CDE">
      <w:pPr>
        <w:pStyle w:val="8"/>
        <w:adjustRightInd w:val="0"/>
        <w:snapToGrid w:val="0"/>
        <w:spacing w:beforeLines="0" w:afterLines="0" w:line="360" w:lineRule="auto"/>
        <w:jc w:val="center"/>
        <w:outlineLvl w:val="0"/>
        <w:rPr>
          <w:rFonts w:hAnsi="宋体"/>
          <w:b/>
          <w:color w:val="auto"/>
          <w:sz w:val="36"/>
          <w:szCs w:val="36"/>
          <w:highlight w:val="none"/>
        </w:rPr>
      </w:pPr>
      <w:r>
        <w:rPr>
          <w:rFonts w:hint="eastAsia" w:ascii="宋体" w:hAnsi="宋体" w:eastAsia="宋体" w:cs="宋体"/>
          <w:b/>
          <w:bCs/>
          <w:color w:val="auto"/>
          <w:kern w:val="0"/>
          <w:sz w:val="36"/>
          <w:szCs w:val="36"/>
          <w:highlight w:val="none"/>
          <w:lang w:val="en-US" w:eastAsia="zh-CN" w:bidi="ar-SA"/>
        </w:rPr>
        <w:t>第六章 应提交的有关格式范例</w:t>
      </w:r>
    </w:p>
    <w:p w14:paraId="6FB040D8">
      <w:pPr>
        <w:widowControl/>
        <w:tabs>
          <w:tab w:val="left" w:pos="450"/>
          <w:tab w:val="left" w:pos="2520"/>
          <w:tab w:val="left" w:pos="8280"/>
        </w:tabs>
        <w:spacing w:line="360" w:lineRule="auto"/>
        <w:ind w:firstLine="48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一、封面格式</w:t>
      </w:r>
    </w:p>
    <w:p w14:paraId="1F395ECA">
      <w:pPr>
        <w:pStyle w:val="30"/>
        <w:rPr>
          <w:rFonts w:hint="eastAsia" w:ascii="宋体" w:hAnsi="宋体" w:eastAsia="宋体" w:cs="宋体"/>
          <w:color w:val="auto"/>
          <w:sz w:val="32"/>
          <w:szCs w:val="32"/>
          <w:highlight w:val="none"/>
        </w:rPr>
      </w:pPr>
    </w:p>
    <w:p w14:paraId="6D74D18E">
      <w:pPr>
        <w:pStyle w:val="30"/>
        <w:rPr>
          <w:rFonts w:hint="eastAsia"/>
          <w:color w:val="auto"/>
          <w:highlight w:val="none"/>
        </w:rPr>
      </w:pPr>
    </w:p>
    <w:p w14:paraId="73E5972E">
      <w:pPr>
        <w:snapToGrid w:val="0"/>
        <w:spacing w:line="240" w:lineRule="auto"/>
        <w:jc w:val="center"/>
        <w:textAlignment w:val="bottom"/>
        <w:rPr>
          <w:rFonts w:hint="eastAsia" w:ascii="Times New Roman" w:hAnsi="Times New Roman" w:eastAsia="宋体" w:cs="宋体"/>
          <w:b/>
          <w:bCs/>
          <w:color w:val="auto"/>
          <w:sz w:val="44"/>
          <w:szCs w:val="44"/>
          <w:highlight w:val="none"/>
        </w:rPr>
      </w:pPr>
      <w:r>
        <w:rPr>
          <w:rFonts w:hint="eastAsia" w:ascii="Times New Roman" w:hAnsi="Times New Roman" w:eastAsia="宋体" w:cs="宋体"/>
          <w:b/>
          <w:bCs/>
          <w:color w:val="auto"/>
          <w:sz w:val="44"/>
          <w:szCs w:val="44"/>
          <w:highlight w:val="none"/>
        </w:rPr>
        <w:t>资格文件</w:t>
      </w:r>
      <w:r>
        <w:rPr>
          <w:rFonts w:hint="eastAsia" w:ascii="Times New Roman" w:hAnsi="Times New Roman" w:eastAsia="宋体" w:cs="宋体"/>
          <w:b/>
          <w:bCs/>
          <w:color w:val="auto"/>
          <w:sz w:val="44"/>
          <w:szCs w:val="44"/>
          <w:highlight w:val="none"/>
          <w:lang w:val="en-US" w:eastAsia="zh-CN"/>
        </w:rPr>
        <w:t>/</w:t>
      </w:r>
      <w:r>
        <w:rPr>
          <w:rFonts w:hint="eastAsia" w:ascii="Times New Roman" w:hAnsi="Times New Roman" w:eastAsia="宋体" w:cs="宋体"/>
          <w:b/>
          <w:bCs/>
          <w:color w:val="auto"/>
          <w:sz w:val="44"/>
          <w:szCs w:val="44"/>
          <w:highlight w:val="none"/>
        </w:rPr>
        <w:t>商务技术文件</w:t>
      </w:r>
      <w:r>
        <w:rPr>
          <w:rFonts w:hint="eastAsia" w:ascii="Times New Roman" w:hAnsi="Times New Roman" w:eastAsia="宋体" w:cs="宋体"/>
          <w:b/>
          <w:bCs/>
          <w:color w:val="auto"/>
          <w:sz w:val="44"/>
          <w:szCs w:val="44"/>
          <w:highlight w:val="none"/>
          <w:lang w:val="en-US" w:eastAsia="zh-CN"/>
        </w:rPr>
        <w:t>/</w:t>
      </w:r>
      <w:r>
        <w:rPr>
          <w:rFonts w:hint="eastAsia" w:ascii="Times New Roman" w:hAnsi="Times New Roman" w:eastAsia="宋体" w:cs="宋体"/>
          <w:b/>
          <w:bCs/>
          <w:color w:val="auto"/>
          <w:sz w:val="44"/>
          <w:szCs w:val="44"/>
          <w:highlight w:val="none"/>
        </w:rPr>
        <w:t>报价文件</w:t>
      </w:r>
    </w:p>
    <w:p w14:paraId="19D5A30E">
      <w:pPr>
        <w:pStyle w:val="30"/>
        <w:rPr>
          <w:rFonts w:hint="eastAsia" w:ascii="宋体" w:hAnsi="宋体" w:eastAsia="宋体" w:cs="宋体"/>
          <w:color w:val="auto"/>
          <w:spacing w:val="8"/>
          <w:highlight w:val="none"/>
          <w14:textOutline w14:w="5793" w14:cap="sq" w14:cmpd="sng">
            <w14:solidFill>
              <w14:srgbClr w14:val="000000"/>
            </w14:solidFill>
            <w14:prstDash w14:val="solid"/>
            <w14:bevel/>
          </w14:textOutline>
        </w:rPr>
      </w:pPr>
    </w:p>
    <w:p w14:paraId="438E704E">
      <w:pPr>
        <w:rPr>
          <w:rFonts w:hint="eastAsia"/>
          <w:color w:val="auto"/>
          <w:highlight w:val="none"/>
        </w:rPr>
      </w:pPr>
    </w:p>
    <w:p w14:paraId="170145FC">
      <w:pPr>
        <w:widowControl/>
        <w:tabs>
          <w:tab w:val="left" w:pos="275"/>
          <w:tab w:val="left" w:pos="8280"/>
        </w:tabs>
        <w:spacing w:line="36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0FE8EEDC">
      <w:pPr>
        <w:widowControl/>
        <w:tabs>
          <w:tab w:val="left" w:pos="275"/>
          <w:tab w:val="left" w:pos="8280"/>
        </w:tabs>
        <w:spacing w:line="360" w:lineRule="auto"/>
        <w:ind w:firstLine="321" w:firstLineChars="100"/>
        <w:jc w:val="left"/>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u w:val="single"/>
        </w:rPr>
        <w:t xml:space="preserve">                                      </w:t>
      </w:r>
    </w:p>
    <w:p w14:paraId="7D9E2794">
      <w:pPr>
        <w:widowControl/>
        <w:tabs>
          <w:tab w:val="left" w:pos="275"/>
          <w:tab w:val="left" w:pos="8280"/>
        </w:tabs>
        <w:spacing w:line="360" w:lineRule="auto"/>
        <w:ind w:firstLine="472" w:firstLineChars="147"/>
        <w:jc w:val="left"/>
        <w:rPr>
          <w:rFonts w:hint="eastAsia" w:ascii="宋体" w:hAnsi="宋体" w:eastAsia="宋体" w:cs="宋体"/>
          <w:b/>
          <w:color w:val="auto"/>
          <w:sz w:val="32"/>
          <w:szCs w:val="32"/>
          <w:highlight w:val="none"/>
        </w:rPr>
      </w:pPr>
    </w:p>
    <w:p w14:paraId="6BC39724">
      <w:pPr>
        <w:widowControl/>
        <w:tabs>
          <w:tab w:val="left" w:pos="275"/>
          <w:tab w:val="left" w:pos="8280"/>
        </w:tabs>
        <w:spacing w:line="360" w:lineRule="auto"/>
        <w:ind w:firstLine="321" w:firstLineChars="100"/>
        <w:jc w:val="left"/>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 xml:space="preserve">   </w:t>
      </w:r>
    </w:p>
    <w:p w14:paraId="70C8B5B1">
      <w:pPr>
        <w:widowControl/>
        <w:tabs>
          <w:tab w:val="left" w:pos="765"/>
          <w:tab w:val="left" w:pos="8280"/>
        </w:tabs>
        <w:spacing w:line="36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14FC79FD">
      <w:pPr>
        <w:widowControl/>
        <w:tabs>
          <w:tab w:val="left" w:pos="765"/>
          <w:tab w:val="left" w:pos="8280"/>
        </w:tabs>
        <w:spacing w:line="360" w:lineRule="auto"/>
        <w:ind w:firstLine="321" w:firstLineChars="100"/>
        <w:jc w:val="left"/>
        <w:rPr>
          <w:rFonts w:hint="eastAsia" w:ascii="宋体" w:hAnsi="宋体" w:eastAsia="宋体" w:cs="宋体"/>
          <w:b/>
          <w:color w:val="auto"/>
          <w:sz w:val="36"/>
          <w:szCs w:val="36"/>
          <w:highlight w:val="none"/>
          <w:u w:val="single"/>
        </w:rPr>
      </w:pPr>
      <w:r>
        <w:rPr>
          <w:rFonts w:hint="eastAsia" w:ascii="宋体" w:hAnsi="宋体" w:eastAsia="宋体" w:cs="宋体"/>
          <w:b/>
          <w:color w:val="auto"/>
          <w:sz w:val="32"/>
          <w:szCs w:val="32"/>
          <w:highlight w:val="none"/>
        </w:rPr>
        <w:t>投</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标</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u w:val="single"/>
        </w:rPr>
        <w:t xml:space="preserve">              （盖公章）              </w:t>
      </w:r>
    </w:p>
    <w:p w14:paraId="1A7D40E9">
      <w:pPr>
        <w:widowControl/>
        <w:tabs>
          <w:tab w:val="left" w:pos="8280"/>
        </w:tabs>
        <w:spacing w:line="360" w:lineRule="auto"/>
        <w:ind w:firstLine="480"/>
        <w:jc w:val="center"/>
        <w:rPr>
          <w:rFonts w:hint="eastAsia" w:ascii="宋体" w:hAnsi="宋体" w:eastAsia="宋体" w:cs="宋体"/>
          <w:b/>
          <w:color w:val="auto"/>
          <w:sz w:val="32"/>
          <w:szCs w:val="32"/>
          <w:highlight w:val="none"/>
        </w:rPr>
      </w:pPr>
    </w:p>
    <w:p w14:paraId="72E22F87">
      <w:pPr>
        <w:widowControl/>
        <w:tabs>
          <w:tab w:val="left" w:pos="350"/>
          <w:tab w:val="left" w:pos="8280"/>
        </w:tabs>
        <w:spacing w:line="360" w:lineRule="auto"/>
        <w:ind w:firstLine="321" w:firstLineChars="1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日</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 xml:space="preserve">期：      </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日</w:t>
      </w:r>
    </w:p>
    <w:p w14:paraId="25B93730">
      <w:pPr>
        <w:rPr>
          <w:rFonts w:hint="default" w:ascii="宋体" w:hAnsi="宋体" w:eastAsia="宋体" w:cs="宋体"/>
          <w:color w:val="auto"/>
          <w:sz w:val="28"/>
          <w:szCs w:val="28"/>
          <w:highlight w:val="none"/>
          <w:u w:val="none"/>
          <w:lang w:val="en-US" w:eastAsia="zh-CN"/>
        </w:rPr>
      </w:pPr>
      <w:r>
        <w:rPr>
          <w:rFonts w:hint="default" w:ascii="宋体" w:hAnsi="宋体" w:eastAsia="宋体" w:cs="宋体"/>
          <w:color w:val="auto"/>
          <w:sz w:val="28"/>
          <w:szCs w:val="28"/>
          <w:highlight w:val="none"/>
          <w:u w:val="none"/>
          <w:lang w:val="en-US" w:eastAsia="zh-CN"/>
        </w:rPr>
        <w:br w:type="page"/>
      </w:r>
    </w:p>
    <w:p w14:paraId="06B37014">
      <w:pPr>
        <w:pStyle w:val="3"/>
        <w:spacing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lang w:val="en-US" w:eastAsia="zh-CN"/>
        </w:rPr>
        <w:t>二</w:t>
      </w:r>
      <w:r>
        <w:rPr>
          <w:rFonts w:hint="eastAsia" w:ascii="宋体" w:hAnsi="宋体" w:eastAsia="宋体" w:cs="宋体"/>
          <w:b w:val="0"/>
          <w:color w:val="auto"/>
          <w:highlight w:val="none"/>
        </w:rPr>
        <w:t>、</w:t>
      </w:r>
      <w:r>
        <w:rPr>
          <w:rFonts w:hint="eastAsia" w:ascii="宋体" w:hAnsi="宋体" w:eastAsia="宋体" w:cs="宋体"/>
          <w:b w:val="0"/>
          <w:color w:val="auto"/>
          <w:highlight w:val="none"/>
          <w:lang w:val="en-US" w:eastAsia="zh-CN"/>
        </w:rPr>
        <w:t>投标</w:t>
      </w:r>
      <w:r>
        <w:rPr>
          <w:rFonts w:hint="eastAsia" w:ascii="宋体" w:hAnsi="宋体" w:eastAsia="宋体" w:cs="宋体"/>
          <w:b w:val="0"/>
          <w:color w:val="auto"/>
          <w:highlight w:val="none"/>
        </w:rPr>
        <w:t>函（格式）</w:t>
      </w:r>
    </w:p>
    <w:p w14:paraId="4A6D3D39">
      <w:pPr>
        <w:spacing w:line="660" w:lineRule="exac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致：</w:t>
      </w:r>
      <w:r>
        <w:rPr>
          <w:rFonts w:hint="eastAsia" w:ascii="宋体" w:hAnsi="宋体" w:eastAsia="宋体" w:cs="宋体"/>
          <w:color w:val="auto"/>
          <w:spacing w:val="8"/>
          <w:sz w:val="24"/>
          <w:szCs w:val="24"/>
          <w:highlight w:val="none"/>
          <w:lang w:eastAsia="zh-CN"/>
        </w:rPr>
        <w:t>浙江博策工程项目管理有限公司</w:t>
      </w:r>
    </w:p>
    <w:p w14:paraId="5F3D29A3">
      <w:pPr>
        <w:spacing w:line="360" w:lineRule="auto"/>
        <w:ind w:firstLine="384" w:firstLineChars="15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根据贵方</w:t>
      </w:r>
      <w:r>
        <w:rPr>
          <w:rFonts w:hint="eastAsia" w:ascii="宋体" w:hAnsi="宋体" w:eastAsia="宋体" w:cs="宋体"/>
          <w:color w:val="auto"/>
          <w:spacing w:val="8"/>
          <w:sz w:val="24"/>
          <w:szCs w:val="24"/>
          <w:highlight w:val="none"/>
          <w:u w:val="single"/>
        </w:rPr>
        <w:t xml:space="preserve">                           项目的</w:t>
      </w:r>
      <w:r>
        <w:rPr>
          <w:rFonts w:hint="eastAsia" w:ascii="宋体" w:hAnsi="宋体" w:eastAsia="宋体" w:cs="宋体"/>
          <w:color w:val="auto"/>
          <w:spacing w:val="8"/>
          <w:sz w:val="24"/>
          <w:szCs w:val="24"/>
          <w:highlight w:val="none"/>
          <w:lang w:val="en-US" w:eastAsia="zh-CN"/>
        </w:rPr>
        <w:t>征集</w:t>
      </w:r>
      <w:r>
        <w:rPr>
          <w:rFonts w:hint="eastAsia" w:ascii="宋体" w:hAnsi="宋体" w:eastAsia="宋体" w:cs="宋体"/>
          <w:color w:val="auto"/>
          <w:spacing w:val="8"/>
          <w:sz w:val="24"/>
          <w:szCs w:val="24"/>
          <w:highlight w:val="none"/>
        </w:rPr>
        <w:t>文件（编号：</w:t>
      </w:r>
      <w:r>
        <w:rPr>
          <w:rFonts w:hint="eastAsia" w:ascii="宋体" w:hAnsi="宋体" w:eastAsia="宋体" w:cs="宋体"/>
          <w:color w:val="auto"/>
          <w:spacing w:val="8"/>
          <w:sz w:val="24"/>
          <w:szCs w:val="24"/>
          <w:highlight w:val="none"/>
          <w:lang w:val="en-US" w:eastAsia="zh-CN"/>
        </w:rPr>
        <w:t>浙</w:t>
      </w:r>
      <w:r>
        <w:rPr>
          <w:rFonts w:hint="eastAsia" w:ascii="宋体" w:hAnsi="宋体" w:eastAsia="宋体" w:cs="宋体"/>
          <w:color w:val="auto"/>
          <w:spacing w:val="8"/>
          <w:sz w:val="24"/>
          <w:szCs w:val="24"/>
          <w:highlight w:val="none"/>
          <w:lang w:eastAsia="zh-CN"/>
        </w:rPr>
        <w:t>博策</w:t>
      </w:r>
      <w:r>
        <w:rPr>
          <w:rFonts w:hint="eastAsia" w:ascii="宋体" w:hAnsi="宋体" w:eastAsia="宋体" w:cs="宋体"/>
          <w:color w:val="auto"/>
          <w:spacing w:val="8"/>
          <w:sz w:val="24"/>
          <w:szCs w:val="24"/>
          <w:highlight w:val="none"/>
        </w:rPr>
        <w:t xml:space="preserve"> </w:t>
      </w:r>
      <w:r>
        <w:rPr>
          <w:rFonts w:hint="eastAsia" w:ascii="宋体" w:hAnsi="宋体" w:cs="宋体"/>
          <w:color w:val="auto"/>
          <w:spacing w:val="8"/>
          <w:sz w:val="24"/>
          <w:szCs w:val="24"/>
          <w:highlight w:val="none"/>
          <w:lang w:eastAsia="zh-CN"/>
        </w:rPr>
        <w:t>2025</w:t>
      </w:r>
      <w:r>
        <w:rPr>
          <w:rFonts w:hint="eastAsia" w:ascii="宋体" w:hAnsi="宋体" w:eastAsia="宋体" w:cs="宋体"/>
          <w:color w:val="auto"/>
          <w:spacing w:val="8"/>
          <w:sz w:val="24"/>
          <w:szCs w:val="24"/>
          <w:highlight w:val="none"/>
        </w:rPr>
        <w:t xml:space="preserve">-**-**）有关要求， </w:t>
      </w:r>
      <w:r>
        <w:rPr>
          <w:rFonts w:hint="eastAsia" w:ascii="宋体" w:hAnsi="宋体" w:eastAsia="宋体" w:cs="宋体"/>
          <w:color w:val="auto"/>
          <w:spacing w:val="8"/>
          <w:sz w:val="24"/>
          <w:szCs w:val="24"/>
          <w:highlight w:val="none"/>
          <w:u w:val="single"/>
        </w:rPr>
        <w:t xml:space="preserve">   　　（投标人全称）       </w:t>
      </w:r>
      <w:r>
        <w:rPr>
          <w:rFonts w:hint="eastAsia" w:ascii="宋体" w:hAnsi="宋体" w:eastAsia="宋体" w:cs="宋体"/>
          <w:color w:val="auto"/>
          <w:spacing w:val="8"/>
          <w:sz w:val="24"/>
          <w:szCs w:val="24"/>
          <w:highlight w:val="none"/>
        </w:rPr>
        <w:t>授权</w:t>
      </w:r>
      <w:r>
        <w:rPr>
          <w:rFonts w:hint="eastAsia" w:ascii="宋体" w:hAnsi="宋体" w:eastAsia="宋体" w:cs="宋体"/>
          <w:color w:val="auto"/>
          <w:spacing w:val="8"/>
          <w:sz w:val="24"/>
          <w:szCs w:val="24"/>
          <w:highlight w:val="none"/>
          <w:u w:val="single"/>
        </w:rPr>
        <w:t xml:space="preserve">     （委托代理人姓名）   </w:t>
      </w:r>
      <w:r>
        <w:rPr>
          <w:rFonts w:hint="eastAsia" w:ascii="宋体" w:hAnsi="宋体" w:eastAsia="宋体" w:cs="宋体"/>
          <w:color w:val="auto"/>
          <w:sz w:val="24"/>
          <w:szCs w:val="24"/>
          <w:highlight w:val="none"/>
        </w:rPr>
        <w:t>为全权代表，参加贵方组织的招标采购活动，并进行投标。为此：</w:t>
      </w:r>
    </w:p>
    <w:p w14:paraId="75BEA087">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1、我方已详细研读了全部</w:t>
      </w:r>
      <w:r>
        <w:rPr>
          <w:rFonts w:hint="eastAsia" w:ascii="宋体" w:hAnsi="宋体" w:eastAsia="宋体" w:cs="宋体"/>
          <w:color w:val="auto"/>
          <w:sz w:val="24"/>
          <w:szCs w:val="24"/>
          <w:highlight w:val="none"/>
          <w:lang w:val="en-US" w:eastAsia="zh-CN"/>
        </w:rPr>
        <w:t>征集</w:t>
      </w:r>
      <w:r>
        <w:rPr>
          <w:rFonts w:hint="eastAsia" w:ascii="宋体" w:hAnsi="宋体" w:eastAsia="宋体" w:cs="宋体"/>
          <w:color w:val="auto"/>
          <w:sz w:val="24"/>
          <w:szCs w:val="24"/>
          <w:highlight w:val="none"/>
        </w:rPr>
        <w:t>文件，包括修改文件（如有的话）以及全部参考资料和有关附件等，</w:t>
      </w:r>
      <w:r>
        <w:rPr>
          <w:rFonts w:hint="eastAsia" w:ascii="宋体" w:hAnsi="宋体" w:eastAsia="宋体" w:cs="宋体"/>
          <w:bCs/>
          <w:color w:val="auto"/>
          <w:sz w:val="24"/>
          <w:szCs w:val="24"/>
          <w:highlight w:val="none"/>
        </w:rPr>
        <w:t>完全理解并接受</w:t>
      </w:r>
      <w:r>
        <w:rPr>
          <w:rFonts w:hint="eastAsia" w:ascii="宋体" w:hAnsi="宋体" w:eastAsia="宋体" w:cs="宋体"/>
          <w:bCs/>
          <w:color w:val="auto"/>
          <w:sz w:val="24"/>
          <w:szCs w:val="24"/>
          <w:highlight w:val="none"/>
          <w:lang w:val="en-US" w:eastAsia="zh-CN"/>
        </w:rPr>
        <w:t>征集</w:t>
      </w:r>
      <w:r>
        <w:rPr>
          <w:rFonts w:hint="eastAsia" w:ascii="宋体" w:hAnsi="宋体" w:eastAsia="宋体" w:cs="宋体"/>
          <w:bCs/>
          <w:color w:val="auto"/>
          <w:sz w:val="24"/>
          <w:szCs w:val="24"/>
          <w:highlight w:val="none"/>
        </w:rPr>
        <w:t>文件的各项规定和要求，对</w:t>
      </w:r>
      <w:r>
        <w:rPr>
          <w:rFonts w:hint="eastAsia" w:ascii="宋体" w:hAnsi="宋体" w:eastAsia="宋体" w:cs="宋体"/>
          <w:bCs/>
          <w:color w:val="auto"/>
          <w:sz w:val="24"/>
          <w:szCs w:val="24"/>
          <w:highlight w:val="none"/>
          <w:lang w:val="en-US" w:eastAsia="zh-CN"/>
        </w:rPr>
        <w:t>征集</w:t>
      </w:r>
      <w:r>
        <w:rPr>
          <w:rFonts w:hint="eastAsia" w:ascii="宋体" w:hAnsi="宋体" w:eastAsia="宋体" w:cs="宋体"/>
          <w:bCs/>
          <w:color w:val="auto"/>
          <w:sz w:val="24"/>
          <w:szCs w:val="24"/>
          <w:highlight w:val="none"/>
        </w:rPr>
        <w:t>文件的合理性、合法性不再有异议。</w:t>
      </w:r>
    </w:p>
    <w:p w14:paraId="60063CF5">
      <w:pPr>
        <w:tabs>
          <w:tab w:val="left" w:pos="9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2、我方承诺本</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文件在开标之日起至</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有效期满均具有约束力，并严格遵守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文件中的承诺。</w:t>
      </w:r>
    </w:p>
    <w:p w14:paraId="4EA0EB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3、我方承诺已经具备</w:t>
      </w:r>
      <w:r>
        <w:rPr>
          <w:rFonts w:hint="eastAsia" w:ascii="宋体" w:hAnsi="宋体" w:eastAsia="宋体" w:cs="宋体"/>
          <w:color w:val="auto"/>
          <w:sz w:val="24"/>
          <w:szCs w:val="24"/>
          <w:highlight w:val="none"/>
          <w:lang w:val="en-US" w:eastAsia="zh-CN"/>
        </w:rPr>
        <w:t>征集</w:t>
      </w:r>
      <w:r>
        <w:rPr>
          <w:rFonts w:hint="eastAsia" w:ascii="宋体" w:hAnsi="宋体" w:eastAsia="宋体" w:cs="宋体"/>
          <w:color w:val="auto"/>
          <w:sz w:val="24"/>
          <w:szCs w:val="24"/>
          <w:highlight w:val="none"/>
        </w:rPr>
        <w:t>文件中规定的参加本项目的供应商资格条件。</w:t>
      </w:r>
    </w:p>
    <w:p w14:paraId="1B58B05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4、我方严格按照</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的规定报价，并提供</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规定的全部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5A60B0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5、如我方中标，</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将作为本项目合同的组成部分，直到合同履行完毕均保持有效，我方将按</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及采购</w:t>
      </w:r>
      <w:r>
        <w:rPr>
          <w:rFonts w:hint="eastAsia" w:ascii="宋体" w:hAnsi="宋体" w:cs="宋体"/>
          <w:color w:val="auto"/>
          <w:sz w:val="24"/>
          <w:szCs w:val="24"/>
          <w:highlight w:val="none"/>
          <w:lang w:eastAsia="zh-CN"/>
        </w:rPr>
        <w:t>法律法规</w:t>
      </w:r>
      <w:r>
        <w:rPr>
          <w:rFonts w:hint="eastAsia" w:ascii="宋体" w:hAnsi="宋体" w:eastAsia="宋体" w:cs="宋体"/>
          <w:color w:val="auto"/>
          <w:sz w:val="24"/>
          <w:szCs w:val="24"/>
          <w:highlight w:val="none"/>
        </w:rPr>
        <w:t>的规定履行合同责任和义务。</w:t>
      </w:r>
    </w:p>
    <w:p w14:paraId="4DD79C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6、我方完全理解贵方不一定接受最低价的投标。</w:t>
      </w:r>
    </w:p>
    <w:p w14:paraId="046E0D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7、我方同意向贵方提供任何与该项投标有关的一切数据或资料。若贵方需要，我方愿意提供我方</w:t>
      </w:r>
      <w:r>
        <w:rPr>
          <w:rFonts w:hint="eastAsia" w:ascii="宋体" w:hAnsi="宋体" w:cs="宋体"/>
          <w:color w:val="auto"/>
          <w:sz w:val="24"/>
          <w:szCs w:val="24"/>
          <w:highlight w:val="none"/>
          <w:lang w:eastAsia="zh-CN"/>
        </w:rPr>
        <w:t>做出</w:t>
      </w:r>
      <w:r>
        <w:rPr>
          <w:rFonts w:hint="eastAsia" w:ascii="宋体" w:hAnsi="宋体" w:eastAsia="宋体" w:cs="宋体"/>
          <w:color w:val="auto"/>
          <w:sz w:val="24"/>
          <w:szCs w:val="24"/>
          <w:highlight w:val="none"/>
        </w:rPr>
        <w:t>的一切承诺的证明材料。</w:t>
      </w:r>
    </w:p>
    <w:p w14:paraId="331F4A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8、与本次投标有关的一切正式往来通讯，请寄：</w:t>
      </w:r>
    </w:p>
    <w:p w14:paraId="3AF54549">
      <w:pPr>
        <w:spacing w:line="360" w:lineRule="auto"/>
        <w:ind w:firstLine="4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3A7D072F">
      <w:pPr>
        <w:spacing w:line="360" w:lineRule="auto"/>
        <w:ind w:firstLine="4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00F2A866">
      <w:pPr>
        <w:spacing w:line="360" w:lineRule="auto"/>
        <w:ind w:firstLine="425"/>
        <w:rPr>
          <w:rFonts w:hint="eastAsia" w:ascii="宋体" w:hAnsi="宋体" w:eastAsia="宋体" w:cs="宋体"/>
          <w:color w:val="auto"/>
          <w:sz w:val="24"/>
          <w:szCs w:val="24"/>
          <w:highlight w:val="none"/>
        </w:rPr>
      </w:pPr>
    </w:p>
    <w:p w14:paraId="2CEFA075">
      <w:pPr>
        <w:spacing w:line="360" w:lineRule="auto"/>
        <w:ind w:firstLine="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w:t>
      </w:r>
      <w:r>
        <w:rPr>
          <w:rFonts w:hint="eastAsia" w:ascii="宋体" w:hAnsi="宋体" w:eastAsia="宋体" w:cs="宋体"/>
          <w:color w:val="auto"/>
          <w:sz w:val="24"/>
          <w:szCs w:val="24"/>
          <w:highlight w:val="none"/>
          <w:u w:val="single"/>
        </w:rPr>
        <w:t xml:space="preserve">            （盖公章）              </w:t>
      </w:r>
    </w:p>
    <w:p w14:paraId="3FC402E7">
      <w:pPr>
        <w:spacing w:line="360" w:lineRule="auto"/>
        <w:ind w:firstLine="425"/>
        <w:rPr>
          <w:rFonts w:hint="eastAsia" w:ascii="宋体" w:hAnsi="宋体" w:eastAsia="宋体" w:cs="宋体"/>
          <w:color w:val="auto"/>
          <w:sz w:val="24"/>
          <w:szCs w:val="24"/>
          <w:highlight w:val="none"/>
          <w:u w:val="single"/>
        </w:rPr>
      </w:pPr>
    </w:p>
    <w:p w14:paraId="1B5B2D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0A731A8">
      <w:pPr>
        <w:pStyle w:val="3"/>
        <w:spacing w:line="500" w:lineRule="exact"/>
        <w:jc w:val="both"/>
        <w:rPr>
          <w:rFonts w:hint="eastAsia" w:ascii="宋体" w:hAnsi="宋体" w:eastAsia="宋体" w:cs="宋体"/>
          <w:b w:val="0"/>
          <w:color w:val="auto"/>
          <w:highlight w:val="none"/>
        </w:rPr>
      </w:pPr>
    </w:p>
    <w:p w14:paraId="69D6504C">
      <w:pPr>
        <w:rPr>
          <w:color w:val="auto"/>
          <w:highlight w:val="none"/>
        </w:rPr>
      </w:pPr>
      <w:r>
        <w:rPr>
          <w:color w:val="auto"/>
          <w:highlight w:val="none"/>
        </w:rPr>
        <w:br w:type="page"/>
      </w:r>
    </w:p>
    <w:p w14:paraId="758CED35">
      <w:pPr>
        <w:pStyle w:val="3"/>
        <w:spacing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lang w:val="en-US" w:eastAsia="zh-CN"/>
        </w:rPr>
        <w:t>三</w:t>
      </w:r>
      <w:r>
        <w:rPr>
          <w:rFonts w:hint="eastAsia" w:ascii="宋体" w:hAnsi="宋体" w:eastAsia="宋体" w:cs="宋体"/>
          <w:b w:val="0"/>
          <w:color w:val="auto"/>
          <w:highlight w:val="none"/>
        </w:rPr>
        <w:t>、授权委托书（格式）</w:t>
      </w:r>
    </w:p>
    <w:p w14:paraId="76ADF6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pacing w:val="8"/>
          <w:sz w:val="24"/>
          <w:szCs w:val="24"/>
          <w:highlight w:val="none"/>
          <w:lang w:eastAsia="zh-CN"/>
        </w:rPr>
        <w:t>浙江博策工程项目管理有限公司</w:t>
      </w:r>
    </w:p>
    <w:p w14:paraId="5625BB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姓名</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（职务：     身份证号码</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投标人名称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的法定代表人，现授权委托本单位在职职工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姓名</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（职务：    身份证号码：     ）</w:t>
      </w:r>
      <w:r>
        <w:rPr>
          <w:rFonts w:hint="eastAsia" w:ascii="宋体" w:hAnsi="宋体" w:eastAsia="宋体" w:cs="宋体"/>
          <w:color w:val="auto"/>
          <w:sz w:val="24"/>
          <w:szCs w:val="24"/>
          <w:highlight w:val="none"/>
        </w:rPr>
        <w:t>以我方的名义参加贵中心组织的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招标项目</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的投标活动，并代表我方全权办理针对上述项目的投标、开标、评标、签约等具体事务和签署相关文件。</w:t>
      </w:r>
    </w:p>
    <w:p w14:paraId="34DCD8A6">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我方对被授权人的签名事项负全部责任。</w:t>
      </w:r>
    </w:p>
    <w:p w14:paraId="2E413111">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1D1CEC57">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42C8A52E">
      <w:pPr>
        <w:spacing w:line="360" w:lineRule="auto"/>
        <w:rPr>
          <w:rFonts w:hint="eastAsia" w:ascii="宋体" w:hAnsi="宋体" w:eastAsia="宋体" w:cs="宋体"/>
          <w:color w:val="auto"/>
          <w:sz w:val="24"/>
          <w:szCs w:val="24"/>
          <w:highlight w:val="none"/>
        </w:rPr>
      </w:pPr>
    </w:p>
    <w:p w14:paraId="4D3942F0">
      <w:pPr>
        <w:spacing w:line="360" w:lineRule="auto"/>
        <w:rPr>
          <w:rFonts w:hint="eastAsia" w:ascii="宋体" w:hAnsi="宋体" w:eastAsia="宋体" w:cs="宋体"/>
          <w:color w:val="auto"/>
          <w:sz w:val="24"/>
          <w:szCs w:val="24"/>
          <w:highlight w:val="none"/>
        </w:rPr>
      </w:pPr>
    </w:p>
    <w:p w14:paraId="6E0527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附：1、社保机构出具的投标人为授权委托人缴纳的近三个月社保证明。未按要求提供社保证明的不视为投标人的授权代表。</w:t>
      </w:r>
    </w:p>
    <w:p w14:paraId="2A258B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2、法定代表人和被授权人身份证复印件。</w:t>
      </w:r>
    </w:p>
    <w:p w14:paraId="735784AE">
      <w:pPr>
        <w:spacing w:line="360" w:lineRule="auto"/>
        <w:ind w:firstLine="4440" w:firstLineChars="1850"/>
        <w:rPr>
          <w:rFonts w:hint="eastAsia" w:ascii="宋体" w:hAnsi="宋体" w:eastAsia="宋体" w:cs="宋体"/>
          <w:color w:val="auto"/>
          <w:sz w:val="24"/>
          <w:szCs w:val="24"/>
          <w:highlight w:val="none"/>
        </w:rPr>
      </w:pPr>
    </w:p>
    <w:p w14:paraId="25FD82AF">
      <w:pPr>
        <w:spacing w:line="360" w:lineRule="auto"/>
        <w:ind w:firstLine="4440" w:firstLineChars="18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（盖公章）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7EEAF45">
      <w:pPr>
        <w:spacing w:line="360" w:lineRule="auto"/>
        <w:rPr>
          <w:rFonts w:hint="eastAsia" w:ascii="宋体" w:hAnsi="宋体" w:eastAsia="宋体" w:cs="宋体"/>
          <w:color w:val="auto"/>
          <w:sz w:val="24"/>
          <w:szCs w:val="24"/>
          <w:highlight w:val="none"/>
        </w:rPr>
      </w:pPr>
    </w:p>
    <w:p w14:paraId="4EB2FE8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368D9BF">
      <w:pPr>
        <w:pStyle w:val="3"/>
        <w:spacing w:line="500" w:lineRule="exact"/>
        <w:rPr>
          <w:rFonts w:hint="eastAsia" w:ascii="宋体" w:hAnsi="宋体" w:eastAsia="宋体" w:cs="宋体"/>
          <w:b w:val="0"/>
          <w:color w:val="auto"/>
          <w:highlight w:val="none"/>
        </w:rPr>
      </w:pPr>
    </w:p>
    <w:p w14:paraId="542C618B">
      <w:pPr>
        <w:rPr>
          <w:color w:val="auto"/>
          <w:highlight w:val="none"/>
        </w:rPr>
      </w:pPr>
      <w:r>
        <w:rPr>
          <w:color w:val="auto"/>
          <w:highlight w:val="none"/>
        </w:rPr>
        <w:br w:type="page"/>
      </w:r>
    </w:p>
    <w:p w14:paraId="64FD1B81">
      <w:pPr>
        <w:pStyle w:val="3"/>
        <w:spacing w:before="0" w:after="0" w:line="240" w:lineRule="auto"/>
        <w:jc w:val="center"/>
        <w:rPr>
          <w:rFonts w:ascii="宋体" w:hAnsi="宋体" w:eastAsia="宋体" w:cs="宋体"/>
          <w:color w:val="auto"/>
          <w:sz w:val="28"/>
          <w:highlight w:val="none"/>
        </w:rPr>
      </w:pPr>
      <w:r>
        <w:rPr>
          <w:rFonts w:hint="eastAsia" w:ascii="宋体" w:hAnsi="宋体" w:eastAsia="宋体" w:cs="宋体"/>
          <w:b w:val="0"/>
          <w:color w:val="auto"/>
          <w:highlight w:val="none"/>
        </w:rPr>
        <w:t>四、开标一览表（格式）</w:t>
      </w:r>
    </w:p>
    <w:p w14:paraId="3E1E89A3">
      <w:pPr>
        <w:spacing w:line="360" w:lineRule="auto"/>
        <w:rPr>
          <w:rFonts w:ascii="宋体" w:hAnsi="宋体" w:cs="宋体"/>
          <w:color w:val="auto"/>
          <w:sz w:val="28"/>
          <w:szCs w:val="28"/>
          <w:highlight w:val="none"/>
        </w:rPr>
      </w:pPr>
    </w:p>
    <w:p w14:paraId="07E11139">
      <w:pPr>
        <w:spacing w:line="360" w:lineRule="auto"/>
        <w:ind w:left="1400" w:hanging="1400" w:hangingChars="5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14:paraId="1E09B6E5">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项目编号：浙博策 </w:t>
      </w:r>
      <w:r>
        <w:rPr>
          <w:rFonts w:hint="eastAsia" w:ascii="宋体" w:hAnsi="宋体" w:eastAsia="宋体" w:cs="宋体"/>
          <w:color w:val="auto"/>
          <w:sz w:val="28"/>
          <w:szCs w:val="28"/>
          <w:highlight w:val="none"/>
          <w:lang w:eastAsia="zh-CN"/>
        </w:rPr>
        <w:t>2025</w:t>
      </w:r>
      <w:r>
        <w:rPr>
          <w:rFonts w:hint="eastAsia" w:ascii="宋体" w:hAnsi="宋体" w:eastAsia="宋体" w:cs="宋体"/>
          <w:color w:val="auto"/>
          <w:sz w:val="28"/>
          <w:szCs w:val="28"/>
          <w:highlight w:val="none"/>
        </w:rPr>
        <w:t xml:space="preserve">-**-**         </w:t>
      </w:r>
    </w:p>
    <w:tbl>
      <w:tblPr>
        <w:tblStyle w:val="16"/>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4977"/>
        <w:gridCol w:w="2319"/>
        <w:gridCol w:w="1590"/>
      </w:tblGrid>
      <w:tr w14:paraId="1547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74" w:type="dxa"/>
            <w:noWrap w:val="0"/>
            <w:vAlign w:val="center"/>
          </w:tcPr>
          <w:p w14:paraId="25EFC74C">
            <w:pPr>
              <w:snapToGrid w:val="0"/>
              <w:spacing w:before="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 号</w:t>
            </w:r>
          </w:p>
        </w:tc>
        <w:tc>
          <w:tcPr>
            <w:tcW w:w="4977" w:type="dxa"/>
            <w:noWrap w:val="0"/>
            <w:vAlign w:val="center"/>
          </w:tcPr>
          <w:p w14:paraId="0546C03C">
            <w:pPr>
              <w:snapToGrid w:val="0"/>
              <w:spacing w:before="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2319" w:type="dxa"/>
            <w:noWrap w:val="0"/>
            <w:vAlign w:val="center"/>
          </w:tcPr>
          <w:p w14:paraId="4765EC9E">
            <w:pPr>
              <w:snapToGrid w:val="0"/>
              <w:spacing w:before="50" w:after="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费率调整系数</w:t>
            </w:r>
          </w:p>
          <w:p w14:paraId="0D7B42EF">
            <w:pPr>
              <w:snapToGrid w:val="0"/>
              <w:spacing w:before="50" w:after="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（费率折扣）</w:t>
            </w:r>
          </w:p>
        </w:tc>
        <w:tc>
          <w:tcPr>
            <w:tcW w:w="1590" w:type="dxa"/>
            <w:noWrap w:val="0"/>
            <w:vAlign w:val="center"/>
          </w:tcPr>
          <w:p w14:paraId="05533815">
            <w:pPr>
              <w:snapToGrid w:val="0"/>
              <w:spacing w:before="50" w:after="50" w:line="360" w:lineRule="auto"/>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价格权值</w:t>
            </w:r>
          </w:p>
        </w:tc>
      </w:tr>
      <w:tr w14:paraId="0D3B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74" w:type="dxa"/>
            <w:noWrap w:val="0"/>
            <w:vAlign w:val="center"/>
          </w:tcPr>
          <w:p w14:paraId="5218F8AE">
            <w:pPr>
              <w:snapToGrid w:val="0"/>
              <w:spacing w:before="50" w:after="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p>
        </w:tc>
        <w:tc>
          <w:tcPr>
            <w:tcW w:w="4977" w:type="dxa"/>
            <w:noWrap w:val="0"/>
            <w:vAlign w:val="center"/>
          </w:tcPr>
          <w:p w14:paraId="760A1655">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4"/>
                <w:szCs w:val="24"/>
                <w:highlight w:val="none"/>
                <w:lang w:val="en-US" w:eastAsia="zh-CN"/>
              </w:rPr>
              <w:t>油车</w:t>
            </w:r>
            <w:r>
              <w:rPr>
                <w:rFonts w:hint="eastAsia" w:ascii="宋体" w:hAnsi="宋体" w:eastAsia="宋体" w:cs="宋体"/>
                <w:bCs/>
                <w:strike w:val="0"/>
                <w:dstrike w:val="0"/>
                <w:color w:val="auto"/>
                <w:sz w:val="24"/>
                <w:highlight w:val="none"/>
                <w:lang w:val="en-US" w:eastAsia="zh-CN"/>
              </w:rPr>
              <w:t>商业险费率调整系数（费率折扣）</w:t>
            </w:r>
          </w:p>
        </w:tc>
        <w:tc>
          <w:tcPr>
            <w:tcW w:w="2319" w:type="dxa"/>
            <w:noWrap w:val="0"/>
            <w:vAlign w:val="center"/>
          </w:tcPr>
          <w:p w14:paraId="6A7926A1">
            <w:pPr>
              <w:snapToGrid w:val="0"/>
              <w:spacing w:before="50" w:after="50" w:line="360" w:lineRule="auto"/>
              <w:ind w:firstLine="562" w:firstLineChars="200"/>
              <w:jc w:val="both"/>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u w:val="single"/>
                <w:lang w:val="en-US" w:eastAsia="zh-CN"/>
              </w:rPr>
              <w:t xml:space="preserve">   .   </w:t>
            </w:r>
          </w:p>
        </w:tc>
        <w:tc>
          <w:tcPr>
            <w:tcW w:w="1590" w:type="dxa"/>
            <w:noWrap w:val="0"/>
            <w:vAlign w:val="center"/>
          </w:tcPr>
          <w:p w14:paraId="554D3745">
            <w:pPr>
              <w:snapToGrid w:val="0"/>
              <w:spacing w:before="50" w:after="50" w:line="360" w:lineRule="auto"/>
              <w:jc w:val="center"/>
              <w:rPr>
                <w:rFonts w:hint="default" w:ascii="宋体" w:hAnsi="宋体" w:eastAsia="宋体" w:cs="宋体"/>
                <w:b w:val="0"/>
                <w:bCs/>
                <w:color w:val="auto"/>
                <w:sz w:val="28"/>
                <w:szCs w:val="28"/>
                <w:highlight w:val="none"/>
                <w:u w:val="none"/>
                <w:lang w:val="en-US" w:eastAsia="zh-CN"/>
              </w:rPr>
            </w:pPr>
            <w:r>
              <w:rPr>
                <w:rFonts w:hint="eastAsia" w:ascii="宋体" w:hAnsi="宋体" w:eastAsia="宋体" w:cs="宋体"/>
                <w:b w:val="0"/>
                <w:bCs/>
                <w:color w:val="auto"/>
                <w:sz w:val="28"/>
                <w:szCs w:val="28"/>
                <w:highlight w:val="none"/>
                <w:u w:val="none"/>
                <w:lang w:val="en-US" w:eastAsia="zh-CN"/>
              </w:rPr>
              <w:t>15%</w:t>
            </w:r>
          </w:p>
        </w:tc>
      </w:tr>
      <w:tr w14:paraId="4AAC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74" w:type="dxa"/>
            <w:noWrap w:val="0"/>
            <w:vAlign w:val="center"/>
          </w:tcPr>
          <w:p w14:paraId="71434910">
            <w:pPr>
              <w:snapToGrid w:val="0"/>
              <w:spacing w:before="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w:t>
            </w:r>
          </w:p>
        </w:tc>
        <w:tc>
          <w:tcPr>
            <w:tcW w:w="4977" w:type="dxa"/>
            <w:noWrap w:val="0"/>
            <w:vAlign w:val="center"/>
          </w:tcPr>
          <w:p w14:paraId="3D01F73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Cs/>
                <w:strike w:val="0"/>
                <w:dstrike w:val="0"/>
                <w:color w:val="auto"/>
                <w:sz w:val="24"/>
                <w:highlight w:val="none"/>
                <w:lang w:val="en-US" w:eastAsia="zh-CN"/>
              </w:rPr>
              <w:t>新能源车商业险费率调整系数（费率折扣）</w:t>
            </w:r>
          </w:p>
        </w:tc>
        <w:tc>
          <w:tcPr>
            <w:tcW w:w="2319" w:type="dxa"/>
            <w:noWrap w:val="0"/>
            <w:vAlign w:val="center"/>
          </w:tcPr>
          <w:p w14:paraId="1678D504">
            <w:pPr>
              <w:snapToGrid w:val="0"/>
              <w:spacing w:before="50" w:after="50" w:line="360" w:lineRule="auto"/>
              <w:ind w:firstLine="562" w:firstLineChars="200"/>
              <w:jc w:val="both"/>
              <w:rPr>
                <w:rFonts w:hint="eastAsia" w:ascii="宋体" w:hAnsi="宋体" w:eastAsia="宋体" w:cs="宋体"/>
                <w:b/>
                <w:color w:val="auto"/>
                <w:sz w:val="28"/>
                <w:szCs w:val="28"/>
                <w:highlight w:val="none"/>
                <w:u w:val="single"/>
                <w:lang w:val="en-US" w:eastAsia="zh-CN"/>
              </w:rPr>
            </w:pPr>
            <w:r>
              <w:rPr>
                <w:rFonts w:hint="eastAsia" w:ascii="宋体" w:hAnsi="宋体" w:eastAsia="宋体" w:cs="宋体"/>
                <w:b/>
                <w:color w:val="auto"/>
                <w:sz w:val="28"/>
                <w:szCs w:val="28"/>
                <w:highlight w:val="none"/>
                <w:u w:val="single"/>
                <w:lang w:val="en-US" w:eastAsia="zh-CN"/>
              </w:rPr>
              <w:t xml:space="preserve">   .   </w:t>
            </w:r>
          </w:p>
        </w:tc>
        <w:tc>
          <w:tcPr>
            <w:tcW w:w="1590" w:type="dxa"/>
            <w:noWrap w:val="0"/>
            <w:vAlign w:val="center"/>
          </w:tcPr>
          <w:p w14:paraId="479358A5">
            <w:pPr>
              <w:snapToGrid w:val="0"/>
              <w:spacing w:before="50" w:after="50" w:line="360" w:lineRule="auto"/>
              <w:jc w:val="center"/>
              <w:rPr>
                <w:rFonts w:hint="eastAsia" w:ascii="宋体" w:hAnsi="宋体" w:eastAsia="宋体" w:cs="宋体"/>
                <w:b w:val="0"/>
                <w:bCs/>
                <w:color w:val="auto"/>
                <w:sz w:val="28"/>
                <w:szCs w:val="28"/>
                <w:highlight w:val="none"/>
                <w:u w:val="none"/>
                <w:lang w:val="en-US" w:eastAsia="zh-CN"/>
              </w:rPr>
            </w:pPr>
            <w:r>
              <w:rPr>
                <w:rFonts w:hint="eastAsia" w:ascii="宋体" w:hAnsi="宋体" w:eastAsia="宋体" w:cs="宋体"/>
                <w:b w:val="0"/>
                <w:bCs/>
                <w:color w:val="auto"/>
                <w:sz w:val="28"/>
                <w:szCs w:val="28"/>
                <w:highlight w:val="none"/>
                <w:u w:val="none"/>
                <w:lang w:val="en-US" w:eastAsia="zh-CN"/>
              </w:rPr>
              <w:t>15%</w:t>
            </w:r>
          </w:p>
        </w:tc>
      </w:tr>
      <w:tr w14:paraId="61D4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760" w:type="dxa"/>
            <w:gridSpan w:val="4"/>
            <w:noWrap w:val="0"/>
            <w:vAlign w:val="center"/>
          </w:tcPr>
          <w:p w14:paraId="3D1E8561">
            <w:pPr>
              <w:snapToGrid w:val="0"/>
              <w:spacing w:before="50" w:after="50" w:line="360" w:lineRule="auto"/>
              <w:ind w:firstLine="3360" w:firstLineChars="1200"/>
              <w:jc w:val="both"/>
              <w:rPr>
                <w:rFonts w:hint="eastAsia" w:ascii="宋体" w:hAnsi="宋体" w:eastAsia="宋体" w:cs="宋体"/>
                <w:b w:val="0"/>
                <w:bCs/>
                <w:color w:val="auto"/>
                <w:sz w:val="28"/>
                <w:szCs w:val="28"/>
                <w:highlight w:val="none"/>
                <w:u w:val="none"/>
                <w:lang w:val="en-US" w:eastAsia="zh-CN"/>
              </w:rPr>
            </w:pPr>
            <w:r>
              <w:rPr>
                <w:rFonts w:hint="eastAsia" w:ascii="宋体" w:hAnsi="宋体" w:eastAsia="宋体" w:cs="宋体"/>
                <w:b w:val="0"/>
                <w:bCs/>
                <w:color w:val="auto"/>
                <w:sz w:val="28"/>
                <w:szCs w:val="28"/>
                <w:highlight w:val="none"/>
                <w:u w:val="none"/>
                <w:lang w:val="en-US" w:eastAsia="zh-CN"/>
              </w:rPr>
              <w:t>合并费率折扣：</w:t>
            </w:r>
            <w:r>
              <w:rPr>
                <w:rFonts w:hint="eastAsia" w:ascii="宋体" w:hAnsi="宋体" w:eastAsia="宋体" w:cs="宋体"/>
                <w:b/>
                <w:color w:val="auto"/>
                <w:sz w:val="28"/>
                <w:szCs w:val="28"/>
                <w:highlight w:val="none"/>
                <w:u w:val="single"/>
                <w:lang w:val="en-US" w:eastAsia="zh-CN"/>
              </w:rPr>
              <w:t xml:space="preserve">    .    </w:t>
            </w:r>
          </w:p>
        </w:tc>
      </w:tr>
    </w:tbl>
    <w:p w14:paraId="68F219F5">
      <w:pPr>
        <w:spacing w:line="360" w:lineRule="auto"/>
        <w:ind w:firstLine="560" w:firstLineChars="200"/>
        <w:rPr>
          <w:rFonts w:hint="eastAsia" w:ascii="宋体" w:hAnsi="宋体" w:eastAsia="宋体" w:cs="宋体"/>
          <w:color w:val="auto"/>
          <w:sz w:val="28"/>
          <w:szCs w:val="28"/>
          <w:highlight w:val="none"/>
        </w:rPr>
      </w:pPr>
    </w:p>
    <w:p w14:paraId="0D58DAA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b w:val="0"/>
          <w:bCs/>
          <w:color w:val="auto"/>
          <w:sz w:val="24"/>
          <w:szCs w:val="24"/>
          <w:highlight w:val="none"/>
          <w:u w:val="none"/>
          <w:lang w:val="en-US" w:eastAsia="zh-CN"/>
        </w:rPr>
        <w:t>合并费率折扣＝</w:t>
      </w:r>
      <w:r>
        <w:rPr>
          <w:rFonts w:hint="eastAsia" w:ascii="宋体" w:hAnsi="宋体" w:eastAsia="宋体" w:cs="宋体"/>
          <w:color w:val="auto"/>
          <w:sz w:val="24"/>
          <w:szCs w:val="24"/>
          <w:highlight w:val="none"/>
          <w:lang w:val="en-US" w:eastAsia="zh-CN"/>
        </w:rPr>
        <w:t>油车商业险费率调整系数（费率折扣）×0.5＋新能源车商业险费率调整系数（费率折扣）×0.5，；例：某投标人提供的油车商业险费率调整系数（费率折扣）为0.6，新能源车商业险费率调整系数（费率折扣）为0.7，则</w:t>
      </w:r>
      <w:r>
        <w:rPr>
          <w:rFonts w:hint="eastAsia" w:ascii="宋体" w:hAnsi="宋体" w:eastAsia="宋体" w:cs="宋体"/>
          <w:b w:val="0"/>
          <w:bCs/>
          <w:color w:val="auto"/>
          <w:sz w:val="24"/>
          <w:szCs w:val="24"/>
          <w:highlight w:val="none"/>
          <w:u w:val="none"/>
          <w:lang w:val="en-US" w:eastAsia="zh-CN"/>
        </w:rPr>
        <w:t>合并费率折扣＝0.6×0.5+0.7×0.5＝0.65，合并费率折扣仅作为投标时计算报价分使用，实际按各分项费率折扣执行。</w:t>
      </w:r>
    </w:p>
    <w:p w14:paraId="2695FF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报价允许保留到小数点后两位，任何有选择性地报价将</w:t>
      </w:r>
      <w:r>
        <w:rPr>
          <w:rFonts w:hint="eastAsia" w:ascii="宋体" w:hAnsi="宋体" w:eastAsia="宋体" w:cs="宋体"/>
          <w:color w:val="auto"/>
          <w:sz w:val="24"/>
          <w:szCs w:val="24"/>
          <w:highlight w:val="none"/>
        </w:rPr>
        <w:t>作无效标处理。</w:t>
      </w:r>
    </w:p>
    <w:p w14:paraId="3C23467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包括服务所需的各种费用等完成采购项目所需的所有费用的总和，应为履行合同的最终价格，其市场风险由投标人承担。</w:t>
      </w:r>
    </w:p>
    <w:p w14:paraId="391AD94C">
      <w:pPr>
        <w:pStyle w:val="6"/>
        <w:spacing w:before="91" w:line="360" w:lineRule="auto"/>
        <w:rPr>
          <w:rFonts w:hint="eastAsia" w:ascii="宋体" w:hAnsi="宋体" w:eastAsia="宋体" w:cs="宋体"/>
          <w:color w:val="auto"/>
          <w:spacing w:val="1"/>
          <w:sz w:val="28"/>
          <w:szCs w:val="28"/>
          <w:highlight w:val="none"/>
        </w:rPr>
      </w:pPr>
    </w:p>
    <w:p w14:paraId="037F99AD">
      <w:pPr>
        <w:pStyle w:val="6"/>
        <w:spacing w:before="91" w:line="360" w:lineRule="auto"/>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投标人</w:t>
      </w:r>
      <w:r>
        <w:rPr>
          <w:rFonts w:hint="eastAsia" w:ascii="宋体" w:hAnsi="宋体" w:eastAsia="宋体" w:cs="宋体"/>
          <w:color w:val="auto"/>
          <w:spacing w:val="-13"/>
          <w:sz w:val="28"/>
          <w:szCs w:val="28"/>
          <w:highlight w:val="none"/>
        </w:rPr>
        <w:t>：</w:t>
      </w:r>
      <w:r>
        <w:rPr>
          <w:rFonts w:hint="eastAsia" w:ascii="宋体" w:hAnsi="宋体" w:eastAsia="宋体" w:cs="宋体"/>
          <w:color w:val="auto"/>
          <w:spacing w:val="15"/>
          <w:sz w:val="28"/>
          <w:szCs w:val="28"/>
          <w:highlight w:val="none"/>
          <w:u w:val="single" w:color="auto"/>
        </w:rPr>
        <w:t xml:space="preserve">         </w:t>
      </w:r>
      <w:r>
        <w:rPr>
          <w:rFonts w:hint="eastAsia" w:ascii="宋体" w:hAnsi="宋体" w:eastAsia="宋体" w:cs="宋体"/>
          <w:color w:val="auto"/>
          <w:spacing w:val="-13"/>
          <w:sz w:val="28"/>
          <w:szCs w:val="28"/>
          <w:highlight w:val="none"/>
          <w:u w:val="single" w:color="auto"/>
        </w:rPr>
        <w:t>（盖公章）</w:t>
      </w:r>
      <w:r>
        <w:rPr>
          <w:rFonts w:hint="eastAsia" w:ascii="宋体" w:hAnsi="宋体" w:eastAsia="宋体" w:cs="宋体"/>
          <w:color w:val="auto"/>
          <w:spacing w:val="1"/>
          <w:sz w:val="28"/>
          <w:szCs w:val="28"/>
          <w:highlight w:val="none"/>
          <w:u w:val="single" w:color="auto"/>
        </w:rPr>
        <w:t xml:space="preserve">            </w:t>
      </w:r>
    </w:p>
    <w:p w14:paraId="44F25287">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7A99880">
      <w:pPr>
        <w:rPr>
          <w:rFonts w:hint="eastAsia" w:ascii="宋体" w:hAnsi="宋体" w:eastAsia="宋体" w:cs="宋体"/>
          <w:color w:val="auto"/>
          <w:sz w:val="28"/>
          <w:szCs w:val="28"/>
          <w:highlight w:val="none"/>
        </w:rPr>
      </w:pPr>
    </w:p>
    <w:p w14:paraId="76965B72">
      <w:pPr>
        <w:spacing w:line="223" w:lineRule="auto"/>
        <w:rPr>
          <w:color w:val="auto"/>
          <w:sz w:val="28"/>
          <w:szCs w:val="28"/>
          <w:highlight w:val="none"/>
        </w:rPr>
        <w:sectPr>
          <w:headerReference r:id="rId8" w:type="default"/>
          <w:footerReference r:id="rId9" w:type="default"/>
          <w:pgSz w:w="11906" w:h="16839"/>
          <w:pgMar w:top="1236" w:right="1236" w:bottom="1236" w:left="1236" w:header="850" w:footer="907" w:gutter="0"/>
          <w:pgNumType w:fmt="decimal"/>
          <w:cols w:space="720" w:num="1"/>
        </w:sectPr>
      </w:pPr>
    </w:p>
    <w:p w14:paraId="206DC2E7">
      <w:pPr>
        <w:pStyle w:val="3"/>
        <w:spacing w:before="0" w:after="0" w:line="24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t>五、投标承诺书（格式）</w:t>
      </w:r>
    </w:p>
    <w:p w14:paraId="39028810">
      <w:pPr>
        <w:spacing w:line="340" w:lineRule="exact"/>
        <w:ind w:firstLine="420" w:firstLineChars="200"/>
        <w:rPr>
          <w:rFonts w:ascii="宋体" w:hAnsi="宋体" w:cs="宋体"/>
          <w:color w:val="auto"/>
          <w:highlight w:val="none"/>
        </w:rPr>
      </w:pPr>
    </w:p>
    <w:p w14:paraId="06567464">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我公司已详细阅读了</w:t>
      </w:r>
      <w:r>
        <w:rPr>
          <w:rFonts w:hint="eastAsia" w:ascii="宋体" w:hAnsi="宋体" w:cs="宋体"/>
          <w:color w:val="auto"/>
          <w:highlight w:val="none"/>
          <w:u w:val="single"/>
        </w:rPr>
        <w:t xml:space="preserve">                     </w:t>
      </w:r>
      <w:r>
        <w:rPr>
          <w:rFonts w:hint="eastAsia" w:ascii="宋体" w:hAnsi="宋体" w:cs="宋体"/>
          <w:color w:val="auto"/>
          <w:highlight w:val="none"/>
        </w:rPr>
        <w:t xml:space="preserve">项目（项目编号：浙博策 </w:t>
      </w:r>
      <w:r>
        <w:rPr>
          <w:rFonts w:hint="eastAsia" w:ascii="宋体" w:hAnsi="宋体" w:cs="宋体"/>
          <w:color w:val="auto"/>
          <w:highlight w:val="none"/>
          <w:u w:val="single"/>
        </w:rPr>
        <w:t xml:space="preserve">       </w:t>
      </w:r>
      <w:r>
        <w:rPr>
          <w:rFonts w:hint="eastAsia" w:ascii="宋体" w:hAnsi="宋体" w:cs="宋体"/>
          <w:color w:val="auto"/>
          <w:highlight w:val="none"/>
        </w:rPr>
        <w:t>）采购文件，现参加该项目入围供应商征集活动，并就有关事项作出如下承诺：</w:t>
      </w:r>
    </w:p>
    <w:p w14:paraId="1C394FE0">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一、我公司在该项目招投标及合同履约过程中，不会出现以下行为，否则我公司愿意接受该行为被记录为不良行为，并在不良行为记录时限内放弃在</w:t>
      </w:r>
      <w:r>
        <w:rPr>
          <w:rFonts w:hint="eastAsia" w:ascii="宋体" w:hAnsi="宋体" w:cs="宋体"/>
          <w:color w:val="auto"/>
          <w:highlight w:val="none"/>
          <w:lang w:val="en-US" w:eastAsia="zh-CN"/>
        </w:rPr>
        <w:t>本项目采购单位</w:t>
      </w:r>
      <w:r>
        <w:rPr>
          <w:rFonts w:hint="eastAsia" w:ascii="宋体" w:hAnsi="宋体" w:cs="宋体"/>
          <w:color w:val="auto"/>
          <w:highlight w:val="none"/>
        </w:rPr>
        <w:t>投标的资格。</w:t>
      </w:r>
    </w:p>
    <w:p w14:paraId="4373E24B">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（1）在采购过程中，与采购人进行协商询价的；</w:t>
      </w:r>
    </w:p>
    <w:p w14:paraId="21E7252C">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投标</w:t>
      </w:r>
      <w:r>
        <w:rPr>
          <w:rFonts w:hint="eastAsia" w:ascii="宋体" w:hAnsi="宋体" w:cs="宋体"/>
          <w:color w:val="auto"/>
          <w:highlight w:val="none"/>
        </w:rPr>
        <w:t>有效期内撤回其响应文件的；</w:t>
      </w:r>
    </w:p>
    <w:p w14:paraId="0C5A7EF6">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（3）拒绝有关部门监督检查或提供虚假情况的；</w:t>
      </w:r>
    </w:p>
    <w:p w14:paraId="721983BA">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（4）不积极配合采购单位做好标的验收工作的；</w:t>
      </w:r>
    </w:p>
    <w:p w14:paraId="57E31AE0">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（5）在有关部门的监督检查或考核中被通报批评或处以警告及以上处罚的；</w:t>
      </w:r>
    </w:p>
    <w:p w14:paraId="0D6F6279">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（6）不遵守投标会场纪律，无理取闹，扰乱</w:t>
      </w:r>
      <w:r>
        <w:rPr>
          <w:rFonts w:hint="eastAsia" w:ascii="宋体" w:hAnsi="宋体" w:cs="宋体"/>
          <w:color w:val="auto"/>
          <w:highlight w:val="none"/>
          <w:lang w:val="en-US" w:eastAsia="zh-CN"/>
        </w:rPr>
        <w:t>招投标</w:t>
      </w:r>
      <w:r>
        <w:rPr>
          <w:rFonts w:hint="eastAsia" w:ascii="宋体" w:hAnsi="宋体" w:cs="宋体"/>
          <w:color w:val="auto"/>
          <w:highlight w:val="none"/>
        </w:rPr>
        <w:t>秩序的；</w:t>
      </w:r>
    </w:p>
    <w:p w14:paraId="026CFDAE">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（7）中标后无正当理由放弃中标，或在规定时间内不与采购人签订采购合同，或在签订合同时提出附加条件或更改合同实质性内容，或拒不提交所要求的履约保证金的；</w:t>
      </w:r>
    </w:p>
    <w:p w14:paraId="1652FC43">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（8）不按照与采购人订立的合同履行义务（包括提供标的、售后服务、技术支持等），严重违反合同规定和廉政合同要求的；</w:t>
      </w:r>
    </w:p>
    <w:p w14:paraId="7D5CD92F">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（9）项目负责人不到位，或擅自变换项目负责人，或不认真履行职责造成采购人损失的；</w:t>
      </w:r>
    </w:p>
    <w:p w14:paraId="009674F8">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（10）发生经营状况重大变化以及重要担保、重大合同纠纷或诉讼、信用等级和资质变化等可能影响履约能力的重大事项，未及时向市公共资源交易中心提供书面报告，因而造成采购人损失的；</w:t>
      </w:r>
    </w:p>
    <w:p w14:paraId="5B5DBF0B">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（11）与采购人、其他供应商或者采购代理机构相互串通的；</w:t>
      </w:r>
    </w:p>
    <w:p w14:paraId="20DE57F9">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（12）采取不正当手段排挤其他供应商，进行不公平竞争的；</w:t>
      </w:r>
    </w:p>
    <w:p w14:paraId="64FDE9DD">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（13）中标后与采购人另行订立背离合同实质内容的协议的；</w:t>
      </w:r>
    </w:p>
    <w:p w14:paraId="3B7547BB">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（14）事先有承诺，而事后违反承诺内容的；</w:t>
      </w:r>
    </w:p>
    <w:p w14:paraId="2C8039E1">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（15）将中标项目转包或违反规定进行分包的；</w:t>
      </w:r>
    </w:p>
    <w:p w14:paraId="2D3AA771">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（16）以他人名义投标或允许他人以自己名义投标，或者以其他方式弄虚作假的；</w:t>
      </w:r>
    </w:p>
    <w:p w14:paraId="5E51F3A3">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（17）未按照采购合同约定及时提供全部货物的，或无故拖延工期的；</w:t>
      </w:r>
    </w:p>
    <w:p w14:paraId="1D6AD613">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（18）无故不提供中标要求的型号、配置等产品的，或有拆换、调换、截留产品零部件和备品备件的行为的；</w:t>
      </w:r>
    </w:p>
    <w:p w14:paraId="3BF10289">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（19）为获取自身利益，向采购人及其他有利害关系的单位或个人提供不正当利益的；</w:t>
      </w:r>
    </w:p>
    <w:p w14:paraId="0A46EC2A">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（20）投标人、采购相关利益人、自然人不按程序、规定时间进行质疑投诉；虚假质疑投诉；非正规渠道质疑投诉（信访、网络炒作等）；并对采购工作造成不利影响的；</w:t>
      </w:r>
    </w:p>
    <w:p w14:paraId="29FBA38C">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（21）投标人、采购相关利益人、自然人利用质疑投诉、非正规渠道质疑投诉达到自身目的，并对采购工作造成不利影响的；</w:t>
      </w:r>
    </w:p>
    <w:p w14:paraId="6E5ED1D5">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（22）提供假冒伪劣产品或走私物品的；</w:t>
      </w:r>
    </w:p>
    <w:p w14:paraId="46B66245">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（23）擅自变更、中止、终止或解除采购合同的；</w:t>
      </w:r>
    </w:p>
    <w:p w14:paraId="1A37B3CC">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（24）向有关人员行贿或者提供不正当利益谋取中标的；</w:t>
      </w:r>
    </w:p>
    <w:p w14:paraId="5B948B85">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（25）在采购活动期间，对管理机构、采购人、其他采购响应人、评标专家、中介机构等采购相关机构和人员，采取诋毁、诽谤、胁迫、暴力等不正当手段的；</w:t>
      </w:r>
    </w:p>
    <w:p w14:paraId="4224C9A4">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（26）</w:t>
      </w:r>
      <w:r>
        <w:rPr>
          <w:rFonts w:hint="eastAsia" w:ascii="宋体" w:hAnsi="宋体" w:cs="宋体"/>
          <w:color w:val="auto"/>
          <w:highlight w:val="none"/>
          <w:lang w:val="en-US" w:eastAsia="zh-CN"/>
        </w:rPr>
        <w:t>采购单位招投标中心</w:t>
      </w:r>
      <w:r>
        <w:rPr>
          <w:rFonts w:hint="eastAsia" w:ascii="宋体" w:hAnsi="宋体" w:cs="宋体"/>
          <w:color w:val="auto"/>
          <w:highlight w:val="none"/>
        </w:rPr>
        <w:t>认定的其他违反采购管理的行为</w:t>
      </w:r>
    </w:p>
    <w:p w14:paraId="1B3CD758">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出现（1）</w:t>
      </w:r>
      <w:r>
        <w:rPr>
          <w:rFonts w:hint="eastAsia" w:ascii="宋体" w:hAnsi="宋体" w:cs="宋体"/>
          <w:color w:val="auto"/>
          <w:highlight w:val="none"/>
          <w:lang w:eastAsia="zh-CN"/>
        </w:rPr>
        <w:t>～</w:t>
      </w:r>
      <w:r>
        <w:rPr>
          <w:rFonts w:hint="eastAsia" w:ascii="宋体" w:hAnsi="宋体" w:cs="宋体"/>
          <w:color w:val="auto"/>
          <w:highlight w:val="none"/>
        </w:rPr>
        <w:t>（5）行为之一，记录时限为6个月；出现（6）</w:t>
      </w:r>
      <w:r>
        <w:rPr>
          <w:rFonts w:hint="eastAsia" w:ascii="宋体" w:hAnsi="宋体" w:cs="宋体"/>
          <w:color w:val="auto"/>
          <w:highlight w:val="none"/>
          <w:lang w:eastAsia="zh-CN"/>
        </w:rPr>
        <w:t>～</w:t>
      </w:r>
      <w:r>
        <w:rPr>
          <w:rFonts w:hint="eastAsia" w:ascii="宋体" w:hAnsi="宋体" w:cs="宋体"/>
          <w:color w:val="auto"/>
          <w:highlight w:val="none"/>
        </w:rPr>
        <w:t>（10）行为之一，记录时限为1年；出现（11）</w:t>
      </w:r>
      <w:r>
        <w:rPr>
          <w:rFonts w:hint="eastAsia" w:ascii="宋体" w:hAnsi="宋体" w:cs="宋体"/>
          <w:color w:val="auto"/>
          <w:highlight w:val="none"/>
          <w:lang w:eastAsia="zh-CN"/>
        </w:rPr>
        <w:t>～</w:t>
      </w:r>
      <w:r>
        <w:rPr>
          <w:rFonts w:hint="eastAsia" w:ascii="宋体" w:hAnsi="宋体" w:cs="宋体"/>
          <w:color w:val="auto"/>
          <w:highlight w:val="none"/>
        </w:rPr>
        <w:t>（15）行为之一，记录时限为2年；出现（16）</w:t>
      </w:r>
      <w:r>
        <w:rPr>
          <w:rFonts w:hint="eastAsia" w:ascii="宋体" w:hAnsi="宋体" w:cs="宋体"/>
          <w:color w:val="auto"/>
          <w:highlight w:val="none"/>
          <w:lang w:eastAsia="zh-CN"/>
        </w:rPr>
        <w:t>～</w:t>
      </w:r>
      <w:r>
        <w:rPr>
          <w:rFonts w:hint="eastAsia" w:ascii="宋体" w:hAnsi="宋体" w:cs="宋体"/>
          <w:color w:val="auto"/>
          <w:highlight w:val="none"/>
        </w:rPr>
        <w:t>（21）行为之一，记录时限为3年；出现（22）</w:t>
      </w:r>
      <w:r>
        <w:rPr>
          <w:rFonts w:hint="eastAsia" w:ascii="宋体" w:hAnsi="宋体" w:cs="宋体"/>
          <w:color w:val="auto"/>
          <w:highlight w:val="none"/>
          <w:lang w:eastAsia="zh-CN"/>
        </w:rPr>
        <w:t>～</w:t>
      </w:r>
      <w:r>
        <w:rPr>
          <w:rFonts w:hint="eastAsia" w:ascii="宋体" w:hAnsi="宋体" w:cs="宋体"/>
          <w:color w:val="auto"/>
          <w:highlight w:val="none"/>
        </w:rPr>
        <w:t>（25）行为之一，记录时限为5年；出现（26）行为，酌情处理。时限以被记录为不良行为之日起算，在记录时限内再次被</w:t>
      </w:r>
      <w:r>
        <w:rPr>
          <w:rFonts w:hint="eastAsia" w:ascii="宋体" w:hAnsi="宋体" w:cs="宋体"/>
          <w:color w:val="auto"/>
          <w:highlight w:val="none"/>
          <w:lang w:eastAsia="zh-CN"/>
        </w:rPr>
        <w:t>记</w:t>
      </w:r>
      <w:r>
        <w:rPr>
          <w:rFonts w:hint="eastAsia" w:ascii="宋体" w:hAnsi="宋体" w:cs="宋体"/>
          <w:color w:val="auto"/>
          <w:highlight w:val="none"/>
        </w:rPr>
        <w:t>为不良行为的，记录时限应从上次记录时限截止日起算。</w:t>
      </w:r>
    </w:p>
    <w:p w14:paraId="3D363F16">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愿意接受相关部门依据采购法第77条第1款</w:t>
      </w:r>
      <w:r>
        <w:rPr>
          <w:rFonts w:hint="eastAsia" w:ascii="宋体" w:hAnsi="宋体" w:cs="宋体"/>
          <w:color w:val="auto"/>
          <w:highlight w:val="none"/>
          <w:lang w:eastAsia="zh-CN"/>
        </w:rPr>
        <w:t>作出</w:t>
      </w:r>
      <w:r>
        <w:rPr>
          <w:rFonts w:hint="eastAsia" w:ascii="宋体" w:hAnsi="宋体" w:cs="宋体"/>
          <w:color w:val="auto"/>
          <w:highlight w:val="none"/>
        </w:rPr>
        <w:t>的处罚决定。</w:t>
      </w:r>
    </w:p>
    <w:p w14:paraId="40A636F8">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三、我公司及其他利害关系人如对该项目的中标公示有异议，将在采购文件规定的公示期限内提出符合以下条件的有效质疑，否则我公司愿意接受相关部门不予受理的决定。</w:t>
      </w:r>
    </w:p>
    <w:p w14:paraId="7D6851D2">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1、质疑人须为采购响应人和其他利害关系人；</w:t>
      </w:r>
    </w:p>
    <w:p w14:paraId="74DD1071">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2、投诉时，应当递交质疑书，质疑书应当包括下列内容：</w:t>
      </w:r>
    </w:p>
    <w:p w14:paraId="0EBDFCD9">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（1）质疑人的名称、地址及有效联系方式；</w:t>
      </w:r>
    </w:p>
    <w:p w14:paraId="624C4C91">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（2）被质疑人的名称、地址及联系方式；</w:t>
      </w:r>
    </w:p>
    <w:p w14:paraId="10E05142">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（3）质疑事项的基本事实；</w:t>
      </w:r>
    </w:p>
    <w:p w14:paraId="1027A203">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（4）相关请求及主张；</w:t>
      </w:r>
    </w:p>
    <w:p w14:paraId="079488D6">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（5）有效线索和相关证明材料；</w:t>
      </w:r>
    </w:p>
    <w:p w14:paraId="495E5B07">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（6）质疑人是法人的，质疑书必须由其法定代表人或者授权代表签字并加盖公章；其他组织或者个人质疑的，质疑书必须由其主要负责人或者质疑人本人签字，并附有效身份证明复印件。</w:t>
      </w:r>
    </w:p>
    <w:p w14:paraId="3AF6E95C">
      <w:pPr>
        <w:spacing w:line="340" w:lineRule="exact"/>
        <w:ind w:firstLine="723" w:firstLineChars="400"/>
        <w:rPr>
          <w:rFonts w:ascii="宋体" w:hAnsi="宋体" w:cs="宋体"/>
          <w:b/>
          <w:color w:val="auto"/>
          <w:sz w:val="18"/>
          <w:szCs w:val="18"/>
          <w:highlight w:val="none"/>
        </w:rPr>
      </w:pPr>
    </w:p>
    <w:p w14:paraId="38189520">
      <w:pPr>
        <w:spacing w:line="340" w:lineRule="exact"/>
        <w:ind w:firstLine="840" w:firstLineChars="400"/>
        <w:rPr>
          <w:rFonts w:ascii="宋体" w:hAnsi="宋体" w:cs="宋体"/>
          <w:color w:val="auto"/>
          <w:highlight w:val="none"/>
        </w:rPr>
      </w:pPr>
    </w:p>
    <w:p w14:paraId="52DB89A5">
      <w:pPr>
        <w:spacing w:line="340" w:lineRule="exact"/>
        <w:ind w:firstLine="840" w:firstLineChars="400"/>
        <w:rPr>
          <w:rFonts w:ascii="宋体" w:hAnsi="宋体" w:cs="宋体"/>
          <w:color w:val="auto"/>
          <w:highlight w:val="none"/>
        </w:rPr>
      </w:pPr>
    </w:p>
    <w:p w14:paraId="79007FE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（盖公章）                 </w:t>
      </w:r>
    </w:p>
    <w:p w14:paraId="26D02D94">
      <w:pPr>
        <w:spacing w:line="360" w:lineRule="auto"/>
        <w:ind w:firstLine="425"/>
        <w:rPr>
          <w:rFonts w:ascii="宋体" w:hAnsi="宋体" w:cs="宋体"/>
          <w:color w:val="auto"/>
          <w:sz w:val="24"/>
          <w:szCs w:val="24"/>
          <w:highlight w:val="none"/>
        </w:rPr>
      </w:pPr>
    </w:p>
    <w:p w14:paraId="33F3D8AF">
      <w:pPr>
        <w:spacing w:line="360" w:lineRule="auto"/>
        <w:ind w:firstLine="425"/>
        <w:rPr>
          <w:rFonts w:ascii="宋体" w:hAnsi="宋体" w:cs="宋体"/>
          <w:color w:val="auto"/>
          <w:sz w:val="24"/>
          <w:szCs w:val="24"/>
          <w:highlight w:val="none"/>
          <w:u w:val="single"/>
        </w:rPr>
      </w:pPr>
    </w:p>
    <w:p w14:paraId="31EA370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BDBE143">
      <w:pPr>
        <w:rPr>
          <w:rFonts w:ascii="宋体" w:hAnsi="宋体" w:cs="宋体"/>
          <w:color w:val="auto"/>
          <w:highlight w:val="none"/>
        </w:rPr>
      </w:pPr>
    </w:p>
    <w:p w14:paraId="0DCA1F8B">
      <w:pPr>
        <w:rPr>
          <w:rFonts w:ascii="宋体" w:hAnsi="宋体" w:cs="宋体"/>
          <w:color w:val="auto"/>
          <w:highlight w:val="none"/>
        </w:rPr>
      </w:pPr>
    </w:p>
    <w:p w14:paraId="5D1C2C43">
      <w:pPr>
        <w:rPr>
          <w:color w:val="auto"/>
          <w:highlight w:val="none"/>
        </w:rPr>
      </w:pPr>
      <w:r>
        <w:rPr>
          <w:color w:val="auto"/>
          <w:highlight w:val="none"/>
        </w:rPr>
        <w:br w:type="page"/>
      </w:r>
    </w:p>
    <w:p w14:paraId="740B68DF">
      <w:pPr>
        <w:pStyle w:val="3"/>
        <w:numPr>
          <w:ilvl w:val="0"/>
          <w:numId w:val="0"/>
        </w:numPr>
        <w:spacing w:before="0" w:after="0" w:line="240" w:lineRule="auto"/>
        <w:jc w:val="center"/>
        <w:rPr>
          <w:rFonts w:hint="eastAsia" w:ascii="宋体" w:hAnsi="宋体" w:eastAsia="宋体" w:cs="宋体"/>
          <w:b w:val="0"/>
          <w:color w:val="auto"/>
          <w:highlight w:val="none"/>
          <w:shd w:val="clear" w:color="auto" w:fill="auto"/>
        </w:rPr>
      </w:pPr>
      <w:r>
        <w:rPr>
          <w:rFonts w:hint="eastAsia" w:ascii="宋体" w:hAnsi="宋体" w:eastAsia="宋体" w:cs="宋体"/>
          <w:b w:val="0"/>
          <w:bCs/>
          <w:color w:val="auto"/>
          <w:kern w:val="2"/>
          <w:sz w:val="32"/>
          <w:szCs w:val="32"/>
          <w:highlight w:val="none"/>
          <w:shd w:val="clear" w:fill="auto"/>
          <w:lang w:val="en-US" w:eastAsia="zh-CN" w:bidi="ar-SA"/>
        </w:rPr>
        <w:t>六、</w:t>
      </w:r>
      <w:r>
        <w:rPr>
          <w:rFonts w:hint="eastAsia" w:ascii="宋体" w:hAnsi="宋体" w:eastAsia="宋体" w:cs="宋体"/>
          <w:b w:val="0"/>
          <w:color w:val="auto"/>
          <w:highlight w:val="none"/>
          <w:shd w:val="clear" w:color="auto" w:fill="auto"/>
        </w:rPr>
        <w:t>技 术 偏 离 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2583"/>
        <w:gridCol w:w="2385"/>
        <w:gridCol w:w="2385"/>
      </w:tblGrid>
      <w:tr w14:paraId="0CF9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185" w:type="dxa"/>
            <w:vAlign w:val="center"/>
          </w:tcPr>
          <w:p w14:paraId="3F57C603">
            <w:pPr>
              <w:pStyle w:val="8"/>
              <w:spacing w:line="400" w:lineRule="atLeast"/>
              <w:jc w:val="center"/>
              <w:rPr>
                <w:rFonts w:ascii="宋体" w:hAnsi="宋体" w:cs="宋体"/>
                <w:color w:val="auto"/>
                <w:szCs w:val="24"/>
                <w:highlight w:val="none"/>
              </w:rPr>
            </w:pPr>
            <w:r>
              <w:rPr>
                <w:rFonts w:hint="eastAsia" w:ascii="宋体" w:hAnsi="宋体" w:cs="宋体"/>
                <w:color w:val="auto"/>
                <w:szCs w:val="24"/>
                <w:highlight w:val="none"/>
              </w:rPr>
              <w:t>内容</w:t>
            </w:r>
          </w:p>
        </w:tc>
        <w:tc>
          <w:tcPr>
            <w:tcW w:w="2583" w:type="dxa"/>
            <w:vAlign w:val="center"/>
          </w:tcPr>
          <w:p w14:paraId="4340DD97">
            <w:pPr>
              <w:pStyle w:val="8"/>
              <w:spacing w:line="400" w:lineRule="atLeast"/>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征集文件</w:t>
            </w:r>
          </w:p>
          <w:p w14:paraId="4D38BA9F">
            <w:pPr>
              <w:pStyle w:val="8"/>
              <w:spacing w:line="400" w:lineRule="atLeast"/>
              <w:jc w:val="center"/>
              <w:rPr>
                <w:rFonts w:ascii="宋体" w:hAnsi="宋体" w:cs="宋体"/>
                <w:color w:val="auto"/>
                <w:szCs w:val="24"/>
                <w:highlight w:val="none"/>
              </w:rPr>
            </w:pPr>
            <w:r>
              <w:rPr>
                <w:rFonts w:hint="eastAsia" w:ascii="宋体" w:hAnsi="宋体" w:cs="宋体"/>
                <w:color w:val="auto"/>
                <w:szCs w:val="24"/>
                <w:highlight w:val="none"/>
              </w:rPr>
              <w:t>规范要求</w:t>
            </w:r>
          </w:p>
        </w:tc>
        <w:tc>
          <w:tcPr>
            <w:tcW w:w="2385" w:type="dxa"/>
            <w:vAlign w:val="center"/>
          </w:tcPr>
          <w:p w14:paraId="4AA017D0">
            <w:pPr>
              <w:pStyle w:val="8"/>
              <w:spacing w:line="400" w:lineRule="atLeast"/>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响应文件</w:t>
            </w:r>
          </w:p>
          <w:p w14:paraId="12DD933F">
            <w:pPr>
              <w:pStyle w:val="8"/>
              <w:spacing w:line="400" w:lineRule="atLeast"/>
              <w:jc w:val="center"/>
              <w:rPr>
                <w:rFonts w:ascii="宋体" w:hAnsi="宋体" w:cs="宋体"/>
                <w:color w:val="auto"/>
                <w:szCs w:val="24"/>
                <w:highlight w:val="none"/>
              </w:rPr>
            </w:pPr>
            <w:r>
              <w:rPr>
                <w:rFonts w:hint="eastAsia" w:ascii="宋体" w:hAnsi="宋体" w:cs="宋体"/>
                <w:color w:val="auto"/>
                <w:szCs w:val="24"/>
                <w:highlight w:val="none"/>
              </w:rPr>
              <w:t>对应规范</w:t>
            </w:r>
          </w:p>
        </w:tc>
        <w:tc>
          <w:tcPr>
            <w:tcW w:w="2385" w:type="dxa"/>
            <w:vAlign w:val="center"/>
          </w:tcPr>
          <w:p w14:paraId="3796C723">
            <w:pPr>
              <w:pStyle w:val="8"/>
              <w:spacing w:line="400" w:lineRule="atLeast"/>
              <w:jc w:val="center"/>
              <w:rPr>
                <w:rFonts w:ascii="宋体" w:hAnsi="宋体" w:cs="宋体"/>
                <w:color w:val="auto"/>
                <w:szCs w:val="24"/>
                <w:highlight w:val="none"/>
              </w:rPr>
            </w:pPr>
            <w:r>
              <w:rPr>
                <w:rFonts w:hint="eastAsia" w:ascii="宋体" w:hAnsi="宋体" w:cs="宋体"/>
                <w:color w:val="auto"/>
                <w:szCs w:val="24"/>
                <w:highlight w:val="none"/>
              </w:rPr>
              <w:t xml:space="preserve"> 偏离情况</w:t>
            </w:r>
          </w:p>
        </w:tc>
      </w:tr>
      <w:tr w14:paraId="48ED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11EAA86D">
            <w:pPr>
              <w:pStyle w:val="8"/>
              <w:spacing w:line="400" w:lineRule="atLeast"/>
              <w:jc w:val="center"/>
              <w:rPr>
                <w:rFonts w:ascii="宋体" w:hAnsi="宋体" w:cs="宋体"/>
                <w:color w:val="auto"/>
                <w:szCs w:val="24"/>
                <w:highlight w:val="none"/>
              </w:rPr>
            </w:pPr>
          </w:p>
        </w:tc>
        <w:tc>
          <w:tcPr>
            <w:tcW w:w="2583" w:type="dxa"/>
            <w:vAlign w:val="center"/>
          </w:tcPr>
          <w:p w14:paraId="518FC6C3">
            <w:pPr>
              <w:pStyle w:val="8"/>
              <w:spacing w:line="400" w:lineRule="atLeast"/>
              <w:jc w:val="center"/>
              <w:rPr>
                <w:rFonts w:ascii="宋体" w:hAnsi="宋体" w:cs="宋体"/>
                <w:color w:val="auto"/>
                <w:szCs w:val="24"/>
                <w:highlight w:val="none"/>
              </w:rPr>
            </w:pPr>
          </w:p>
        </w:tc>
        <w:tc>
          <w:tcPr>
            <w:tcW w:w="2385" w:type="dxa"/>
            <w:vAlign w:val="center"/>
          </w:tcPr>
          <w:p w14:paraId="36B5162C">
            <w:pPr>
              <w:pStyle w:val="8"/>
              <w:spacing w:line="400" w:lineRule="atLeast"/>
              <w:jc w:val="center"/>
              <w:rPr>
                <w:rFonts w:ascii="宋体" w:hAnsi="宋体" w:cs="宋体"/>
                <w:color w:val="auto"/>
                <w:szCs w:val="24"/>
                <w:highlight w:val="none"/>
              </w:rPr>
            </w:pPr>
          </w:p>
        </w:tc>
        <w:tc>
          <w:tcPr>
            <w:tcW w:w="2385" w:type="dxa"/>
            <w:vAlign w:val="center"/>
          </w:tcPr>
          <w:p w14:paraId="10B6D755">
            <w:pPr>
              <w:pStyle w:val="8"/>
              <w:spacing w:line="400" w:lineRule="atLeast"/>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无偏离</w:t>
            </w:r>
          </w:p>
        </w:tc>
      </w:tr>
      <w:tr w14:paraId="64EC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509C48C7">
            <w:pPr>
              <w:pStyle w:val="8"/>
              <w:spacing w:line="400" w:lineRule="atLeast"/>
              <w:jc w:val="center"/>
              <w:rPr>
                <w:rFonts w:ascii="宋体" w:hAnsi="宋体" w:cs="宋体"/>
                <w:color w:val="auto"/>
                <w:szCs w:val="24"/>
                <w:highlight w:val="none"/>
              </w:rPr>
            </w:pPr>
          </w:p>
        </w:tc>
        <w:tc>
          <w:tcPr>
            <w:tcW w:w="2583" w:type="dxa"/>
            <w:vAlign w:val="center"/>
          </w:tcPr>
          <w:p w14:paraId="12712110">
            <w:pPr>
              <w:pStyle w:val="8"/>
              <w:spacing w:line="400" w:lineRule="atLeast"/>
              <w:jc w:val="center"/>
              <w:rPr>
                <w:rFonts w:ascii="宋体" w:hAnsi="宋体" w:cs="宋体"/>
                <w:color w:val="auto"/>
                <w:szCs w:val="24"/>
                <w:highlight w:val="none"/>
              </w:rPr>
            </w:pPr>
          </w:p>
        </w:tc>
        <w:tc>
          <w:tcPr>
            <w:tcW w:w="2385" w:type="dxa"/>
            <w:vAlign w:val="center"/>
          </w:tcPr>
          <w:p w14:paraId="0CC89AC2">
            <w:pPr>
              <w:pStyle w:val="8"/>
              <w:spacing w:line="400" w:lineRule="atLeast"/>
              <w:jc w:val="center"/>
              <w:rPr>
                <w:rFonts w:ascii="宋体" w:hAnsi="宋体" w:cs="宋体"/>
                <w:color w:val="auto"/>
                <w:szCs w:val="24"/>
                <w:highlight w:val="none"/>
              </w:rPr>
            </w:pPr>
          </w:p>
        </w:tc>
        <w:tc>
          <w:tcPr>
            <w:tcW w:w="2385" w:type="dxa"/>
            <w:vAlign w:val="center"/>
          </w:tcPr>
          <w:p w14:paraId="49D33B4F">
            <w:pPr>
              <w:pStyle w:val="8"/>
              <w:spacing w:line="400" w:lineRule="atLeast"/>
              <w:jc w:val="center"/>
              <w:rPr>
                <w:rFonts w:ascii="宋体" w:hAnsi="宋体" w:cs="宋体"/>
                <w:color w:val="auto"/>
                <w:szCs w:val="24"/>
                <w:highlight w:val="none"/>
              </w:rPr>
            </w:pPr>
          </w:p>
        </w:tc>
      </w:tr>
      <w:tr w14:paraId="21D2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6C9E4857">
            <w:pPr>
              <w:pStyle w:val="8"/>
              <w:spacing w:line="400" w:lineRule="atLeast"/>
              <w:jc w:val="center"/>
              <w:rPr>
                <w:rFonts w:ascii="宋体" w:hAnsi="宋体" w:cs="宋体"/>
                <w:color w:val="auto"/>
                <w:szCs w:val="24"/>
                <w:highlight w:val="none"/>
              </w:rPr>
            </w:pPr>
          </w:p>
        </w:tc>
        <w:tc>
          <w:tcPr>
            <w:tcW w:w="2583" w:type="dxa"/>
            <w:vAlign w:val="center"/>
          </w:tcPr>
          <w:p w14:paraId="2A399240">
            <w:pPr>
              <w:pStyle w:val="8"/>
              <w:spacing w:line="400" w:lineRule="atLeast"/>
              <w:jc w:val="center"/>
              <w:rPr>
                <w:rFonts w:ascii="宋体" w:hAnsi="宋体" w:cs="宋体"/>
                <w:color w:val="auto"/>
                <w:szCs w:val="24"/>
                <w:highlight w:val="none"/>
              </w:rPr>
            </w:pPr>
          </w:p>
        </w:tc>
        <w:tc>
          <w:tcPr>
            <w:tcW w:w="2385" w:type="dxa"/>
            <w:vAlign w:val="center"/>
          </w:tcPr>
          <w:p w14:paraId="23AA5805">
            <w:pPr>
              <w:pStyle w:val="8"/>
              <w:spacing w:line="400" w:lineRule="atLeast"/>
              <w:jc w:val="center"/>
              <w:rPr>
                <w:rFonts w:ascii="宋体" w:hAnsi="宋体" w:cs="宋体"/>
                <w:color w:val="auto"/>
                <w:szCs w:val="24"/>
                <w:highlight w:val="none"/>
              </w:rPr>
            </w:pPr>
          </w:p>
        </w:tc>
        <w:tc>
          <w:tcPr>
            <w:tcW w:w="2385" w:type="dxa"/>
            <w:vAlign w:val="center"/>
          </w:tcPr>
          <w:p w14:paraId="5C84FB5A">
            <w:pPr>
              <w:pStyle w:val="8"/>
              <w:spacing w:line="400" w:lineRule="atLeast"/>
              <w:jc w:val="center"/>
              <w:rPr>
                <w:rFonts w:ascii="宋体" w:hAnsi="宋体" w:cs="宋体"/>
                <w:color w:val="auto"/>
                <w:szCs w:val="24"/>
                <w:highlight w:val="none"/>
              </w:rPr>
            </w:pPr>
          </w:p>
        </w:tc>
      </w:tr>
      <w:tr w14:paraId="5A37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437BB5FB">
            <w:pPr>
              <w:pStyle w:val="8"/>
              <w:spacing w:line="400" w:lineRule="atLeast"/>
              <w:jc w:val="center"/>
              <w:rPr>
                <w:rFonts w:ascii="宋体" w:hAnsi="宋体" w:cs="宋体"/>
                <w:color w:val="auto"/>
                <w:szCs w:val="24"/>
                <w:highlight w:val="none"/>
              </w:rPr>
            </w:pPr>
          </w:p>
        </w:tc>
        <w:tc>
          <w:tcPr>
            <w:tcW w:w="2583" w:type="dxa"/>
            <w:vAlign w:val="center"/>
          </w:tcPr>
          <w:p w14:paraId="671A812D">
            <w:pPr>
              <w:pStyle w:val="8"/>
              <w:spacing w:line="400" w:lineRule="atLeast"/>
              <w:jc w:val="center"/>
              <w:rPr>
                <w:rFonts w:ascii="宋体" w:hAnsi="宋体" w:cs="宋体"/>
                <w:color w:val="auto"/>
                <w:szCs w:val="24"/>
                <w:highlight w:val="none"/>
              </w:rPr>
            </w:pPr>
          </w:p>
        </w:tc>
        <w:tc>
          <w:tcPr>
            <w:tcW w:w="2385" w:type="dxa"/>
            <w:vAlign w:val="center"/>
          </w:tcPr>
          <w:p w14:paraId="041C933D">
            <w:pPr>
              <w:pStyle w:val="8"/>
              <w:spacing w:line="400" w:lineRule="atLeast"/>
              <w:jc w:val="center"/>
              <w:rPr>
                <w:rFonts w:ascii="宋体" w:hAnsi="宋体" w:cs="宋体"/>
                <w:color w:val="auto"/>
                <w:szCs w:val="24"/>
                <w:highlight w:val="none"/>
              </w:rPr>
            </w:pPr>
          </w:p>
        </w:tc>
        <w:tc>
          <w:tcPr>
            <w:tcW w:w="2385" w:type="dxa"/>
            <w:vAlign w:val="center"/>
          </w:tcPr>
          <w:p w14:paraId="5A2F9417">
            <w:pPr>
              <w:pStyle w:val="8"/>
              <w:spacing w:line="400" w:lineRule="atLeast"/>
              <w:jc w:val="center"/>
              <w:rPr>
                <w:rFonts w:ascii="宋体" w:hAnsi="宋体" w:cs="宋体"/>
                <w:color w:val="auto"/>
                <w:szCs w:val="24"/>
                <w:highlight w:val="none"/>
              </w:rPr>
            </w:pPr>
          </w:p>
        </w:tc>
      </w:tr>
      <w:tr w14:paraId="4A33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36F52910">
            <w:pPr>
              <w:pStyle w:val="8"/>
              <w:spacing w:line="400" w:lineRule="atLeast"/>
              <w:jc w:val="center"/>
              <w:rPr>
                <w:rFonts w:ascii="宋体" w:hAnsi="宋体" w:cs="宋体"/>
                <w:color w:val="auto"/>
                <w:szCs w:val="24"/>
                <w:highlight w:val="none"/>
              </w:rPr>
            </w:pPr>
          </w:p>
        </w:tc>
        <w:tc>
          <w:tcPr>
            <w:tcW w:w="2583" w:type="dxa"/>
            <w:vAlign w:val="center"/>
          </w:tcPr>
          <w:p w14:paraId="3854E518">
            <w:pPr>
              <w:pStyle w:val="8"/>
              <w:spacing w:line="400" w:lineRule="atLeast"/>
              <w:jc w:val="center"/>
              <w:rPr>
                <w:rFonts w:ascii="宋体" w:hAnsi="宋体" w:cs="宋体"/>
                <w:color w:val="auto"/>
                <w:szCs w:val="24"/>
                <w:highlight w:val="none"/>
              </w:rPr>
            </w:pPr>
          </w:p>
        </w:tc>
        <w:tc>
          <w:tcPr>
            <w:tcW w:w="2385" w:type="dxa"/>
            <w:vAlign w:val="center"/>
          </w:tcPr>
          <w:p w14:paraId="0CA798E2">
            <w:pPr>
              <w:pStyle w:val="8"/>
              <w:spacing w:line="400" w:lineRule="atLeast"/>
              <w:jc w:val="center"/>
              <w:rPr>
                <w:rFonts w:ascii="宋体" w:hAnsi="宋体" w:cs="宋体"/>
                <w:color w:val="auto"/>
                <w:szCs w:val="24"/>
                <w:highlight w:val="none"/>
              </w:rPr>
            </w:pPr>
          </w:p>
        </w:tc>
        <w:tc>
          <w:tcPr>
            <w:tcW w:w="2385" w:type="dxa"/>
            <w:vAlign w:val="center"/>
          </w:tcPr>
          <w:p w14:paraId="15F90C7C">
            <w:pPr>
              <w:pStyle w:val="8"/>
              <w:spacing w:line="400" w:lineRule="atLeast"/>
              <w:jc w:val="center"/>
              <w:rPr>
                <w:rFonts w:ascii="宋体" w:hAnsi="宋体" w:cs="宋体"/>
                <w:color w:val="auto"/>
                <w:szCs w:val="24"/>
                <w:highlight w:val="none"/>
              </w:rPr>
            </w:pPr>
          </w:p>
        </w:tc>
      </w:tr>
      <w:tr w14:paraId="0287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614C68DB">
            <w:pPr>
              <w:pStyle w:val="8"/>
              <w:spacing w:line="400" w:lineRule="atLeast"/>
              <w:jc w:val="center"/>
              <w:rPr>
                <w:rFonts w:ascii="宋体" w:hAnsi="宋体" w:cs="宋体"/>
                <w:color w:val="auto"/>
                <w:szCs w:val="24"/>
                <w:highlight w:val="none"/>
              </w:rPr>
            </w:pPr>
          </w:p>
        </w:tc>
        <w:tc>
          <w:tcPr>
            <w:tcW w:w="2583" w:type="dxa"/>
            <w:vAlign w:val="center"/>
          </w:tcPr>
          <w:p w14:paraId="51B028B3">
            <w:pPr>
              <w:pStyle w:val="8"/>
              <w:spacing w:line="400" w:lineRule="atLeast"/>
              <w:jc w:val="center"/>
              <w:rPr>
                <w:rFonts w:ascii="宋体" w:hAnsi="宋体" w:cs="宋体"/>
                <w:color w:val="auto"/>
                <w:szCs w:val="24"/>
                <w:highlight w:val="none"/>
              </w:rPr>
            </w:pPr>
          </w:p>
        </w:tc>
        <w:tc>
          <w:tcPr>
            <w:tcW w:w="2385" w:type="dxa"/>
            <w:vAlign w:val="center"/>
          </w:tcPr>
          <w:p w14:paraId="441E18C6">
            <w:pPr>
              <w:pStyle w:val="8"/>
              <w:spacing w:line="400" w:lineRule="atLeast"/>
              <w:jc w:val="center"/>
              <w:rPr>
                <w:rFonts w:ascii="宋体" w:hAnsi="宋体" w:cs="宋体"/>
                <w:color w:val="auto"/>
                <w:szCs w:val="24"/>
                <w:highlight w:val="none"/>
              </w:rPr>
            </w:pPr>
          </w:p>
        </w:tc>
        <w:tc>
          <w:tcPr>
            <w:tcW w:w="2385" w:type="dxa"/>
            <w:vAlign w:val="center"/>
          </w:tcPr>
          <w:p w14:paraId="65B9C6E9">
            <w:pPr>
              <w:pStyle w:val="8"/>
              <w:spacing w:line="400" w:lineRule="atLeast"/>
              <w:jc w:val="center"/>
              <w:rPr>
                <w:rFonts w:ascii="宋体" w:hAnsi="宋体" w:cs="宋体"/>
                <w:color w:val="auto"/>
                <w:szCs w:val="24"/>
                <w:highlight w:val="none"/>
              </w:rPr>
            </w:pPr>
          </w:p>
        </w:tc>
      </w:tr>
      <w:tr w14:paraId="07F8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7F011BF3">
            <w:pPr>
              <w:pStyle w:val="8"/>
              <w:spacing w:line="400" w:lineRule="atLeast"/>
              <w:jc w:val="center"/>
              <w:rPr>
                <w:rFonts w:ascii="宋体" w:hAnsi="宋体" w:cs="宋体"/>
                <w:color w:val="auto"/>
                <w:szCs w:val="24"/>
                <w:highlight w:val="none"/>
              </w:rPr>
            </w:pPr>
          </w:p>
        </w:tc>
        <w:tc>
          <w:tcPr>
            <w:tcW w:w="2583" w:type="dxa"/>
            <w:vAlign w:val="center"/>
          </w:tcPr>
          <w:p w14:paraId="17CF1C71">
            <w:pPr>
              <w:pStyle w:val="8"/>
              <w:spacing w:line="400" w:lineRule="atLeast"/>
              <w:jc w:val="center"/>
              <w:rPr>
                <w:rFonts w:ascii="宋体" w:hAnsi="宋体" w:cs="宋体"/>
                <w:color w:val="auto"/>
                <w:szCs w:val="24"/>
                <w:highlight w:val="none"/>
              </w:rPr>
            </w:pPr>
          </w:p>
        </w:tc>
        <w:tc>
          <w:tcPr>
            <w:tcW w:w="2385" w:type="dxa"/>
            <w:vAlign w:val="center"/>
          </w:tcPr>
          <w:p w14:paraId="4E93A38D">
            <w:pPr>
              <w:pStyle w:val="8"/>
              <w:spacing w:line="400" w:lineRule="atLeast"/>
              <w:jc w:val="center"/>
              <w:rPr>
                <w:rFonts w:ascii="宋体" w:hAnsi="宋体" w:cs="宋体"/>
                <w:color w:val="auto"/>
                <w:szCs w:val="24"/>
                <w:highlight w:val="none"/>
              </w:rPr>
            </w:pPr>
          </w:p>
        </w:tc>
        <w:tc>
          <w:tcPr>
            <w:tcW w:w="2385" w:type="dxa"/>
            <w:vAlign w:val="center"/>
          </w:tcPr>
          <w:p w14:paraId="034985C8">
            <w:pPr>
              <w:pStyle w:val="8"/>
              <w:spacing w:line="400" w:lineRule="atLeast"/>
              <w:jc w:val="center"/>
              <w:rPr>
                <w:rFonts w:ascii="宋体" w:hAnsi="宋体" w:cs="宋体"/>
                <w:color w:val="auto"/>
                <w:szCs w:val="24"/>
                <w:highlight w:val="none"/>
              </w:rPr>
            </w:pPr>
          </w:p>
        </w:tc>
      </w:tr>
      <w:tr w14:paraId="0495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5F8FDDF8">
            <w:pPr>
              <w:pStyle w:val="8"/>
              <w:spacing w:line="400" w:lineRule="atLeast"/>
              <w:jc w:val="center"/>
              <w:rPr>
                <w:rFonts w:ascii="宋体" w:hAnsi="宋体" w:cs="宋体"/>
                <w:color w:val="auto"/>
                <w:szCs w:val="24"/>
                <w:highlight w:val="none"/>
              </w:rPr>
            </w:pPr>
          </w:p>
        </w:tc>
        <w:tc>
          <w:tcPr>
            <w:tcW w:w="2583" w:type="dxa"/>
            <w:vAlign w:val="center"/>
          </w:tcPr>
          <w:p w14:paraId="39342A58">
            <w:pPr>
              <w:pStyle w:val="8"/>
              <w:spacing w:line="400" w:lineRule="atLeast"/>
              <w:jc w:val="center"/>
              <w:rPr>
                <w:rFonts w:ascii="宋体" w:hAnsi="宋体" w:cs="宋体"/>
                <w:color w:val="auto"/>
                <w:szCs w:val="24"/>
                <w:highlight w:val="none"/>
              </w:rPr>
            </w:pPr>
          </w:p>
        </w:tc>
        <w:tc>
          <w:tcPr>
            <w:tcW w:w="2385" w:type="dxa"/>
            <w:vAlign w:val="center"/>
          </w:tcPr>
          <w:p w14:paraId="57083A15">
            <w:pPr>
              <w:pStyle w:val="8"/>
              <w:spacing w:line="400" w:lineRule="atLeast"/>
              <w:jc w:val="center"/>
              <w:rPr>
                <w:rFonts w:ascii="宋体" w:hAnsi="宋体" w:cs="宋体"/>
                <w:color w:val="auto"/>
                <w:szCs w:val="24"/>
                <w:highlight w:val="none"/>
              </w:rPr>
            </w:pPr>
          </w:p>
        </w:tc>
        <w:tc>
          <w:tcPr>
            <w:tcW w:w="2385" w:type="dxa"/>
            <w:vAlign w:val="center"/>
          </w:tcPr>
          <w:p w14:paraId="7BDC0CB5">
            <w:pPr>
              <w:pStyle w:val="8"/>
              <w:spacing w:line="400" w:lineRule="atLeast"/>
              <w:jc w:val="center"/>
              <w:rPr>
                <w:rFonts w:ascii="宋体" w:hAnsi="宋体" w:cs="宋体"/>
                <w:color w:val="auto"/>
                <w:szCs w:val="24"/>
                <w:highlight w:val="none"/>
              </w:rPr>
            </w:pPr>
          </w:p>
        </w:tc>
      </w:tr>
      <w:tr w14:paraId="3727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6D7DDEE7">
            <w:pPr>
              <w:pStyle w:val="8"/>
              <w:spacing w:line="400" w:lineRule="atLeast"/>
              <w:jc w:val="center"/>
              <w:rPr>
                <w:rFonts w:ascii="宋体" w:hAnsi="宋体" w:cs="宋体"/>
                <w:color w:val="auto"/>
                <w:szCs w:val="24"/>
                <w:highlight w:val="none"/>
              </w:rPr>
            </w:pPr>
          </w:p>
        </w:tc>
        <w:tc>
          <w:tcPr>
            <w:tcW w:w="2583" w:type="dxa"/>
            <w:vAlign w:val="center"/>
          </w:tcPr>
          <w:p w14:paraId="05977DB3">
            <w:pPr>
              <w:pStyle w:val="8"/>
              <w:spacing w:line="400" w:lineRule="atLeast"/>
              <w:jc w:val="center"/>
              <w:rPr>
                <w:rFonts w:ascii="宋体" w:hAnsi="宋体" w:cs="宋体"/>
                <w:color w:val="auto"/>
                <w:szCs w:val="24"/>
                <w:highlight w:val="none"/>
              </w:rPr>
            </w:pPr>
          </w:p>
        </w:tc>
        <w:tc>
          <w:tcPr>
            <w:tcW w:w="2385" w:type="dxa"/>
            <w:vAlign w:val="center"/>
          </w:tcPr>
          <w:p w14:paraId="124D51B7">
            <w:pPr>
              <w:pStyle w:val="8"/>
              <w:spacing w:line="400" w:lineRule="atLeast"/>
              <w:jc w:val="center"/>
              <w:rPr>
                <w:rFonts w:ascii="宋体" w:hAnsi="宋体" w:cs="宋体"/>
                <w:color w:val="auto"/>
                <w:szCs w:val="24"/>
                <w:highlight w:val="none"/>
              </w:rPr>
            </w:pPr>
          </w:p>
        </w:tc>
        <w:tc>
          <w:tcPr>
            <w:tcW w:w="2385" w:type="dxa"/>
            <w:vAlign w:val="center"/>
          </w:tcPr>
          <w:p w14:paraId="3D776AC8">
            <w:pPr>
              <w:pStyle w:val="8"/>
              <w:spacing w:line="400" w:lineRule="atLeast"/>
              <w:jc w:val="center"/>
              <w:rPr>
                <w:rFonts w:ascii="宋体" w:hAnsi="宋体" w:cs="宋体"/>
                <w:color w:val="auto"/>
                <w:szCs w:val="24"/>
                <w:highlight w:val="none"/>
              </w:rPr>
            </w:pPr>
          </w:p>
        </w:tc>
      </w:tr>
      <w:tr w14:paraId="5056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71D3EEE5">
            <w:pPr>
              <w:pStyle w:val="8"/>
              <w:spacing w:line="400" w:lineRule="atLeast"/>
              <w:jc w:val="center"/>
              <w:rPr>
                <w:rFonts w:ascii="宋体" w:hAnsi="宋体" w:cs="宋体"/>
                <w:color w:val="auto"/>
                <w:szCs w:val="24"/>
                <w:highlight w:val="none"/>
              </w:rPr>
            </w:pPr>
          </w:p>
        </w:tc>
        <w:tc>
          <w:tcPr>
            <w:tcW w:w="2583" w:type="dxa"/>
            <w:vAlign w:val="center"/>
          </w:tcPr>
          <w:p w14:paraId="05A805C7">
            <w:pPr>
              <w:pStyle w:val="8"/>
              <w:spacing w:line="400" w:lineRule="atLeast"/>
              <w:jc w:val="center"/>
              <w:rPr>
                <w:rFonts w:ascii="宋体" w:hAnsi="宋体" w:cs="宋体"/>
                <w:color w:val="auto"/>
                <w:szCs w:val="24"/>
                <w:highlight w:val="none"/>
              </w:rPr>
            </w:pPr>
          </w:p>
        </w:tc>
        <w:tc>
          <w:tcPr>
            <w:tcW w:w="2385" w:type="dxa"/>
            <w:vAlign w:val="center"/>
          </w:tcPr>
          <w:p w14:paraId="702C1C4C">
            <w:pPr>
              <w:pStyle w:val="8"/>
              <w:spacing w:line="400" w:lineRule="atLeast"/>
              <w:jc w:val="center"/>
              <w:rPr>
                <w:rFonts w:ascii="宋体" w:hAnsi="宋体" w:cs="宋体"/>
                <w:color w:val="auto"/>
                <w:szCs w:val="24"/>
                <w:highlight w:val="none"/>
              </w:rPr>
            </w:pPr>
          </w:p>
        </w:tc>
        <w:tc>
          <w:tcPr>
            <w:tcW w:w="2385" w:type="dxa"/>
            <w:vAlign w:val="center"/>
          </w:tcPr>
          <w:p w14:paraId="4CCAE92E">
            <w:pPr>
              <w:pStyle w:val="8"/>
              <w:spacing w:line="400" w:lineRule="atLeast"/>
              <w:jc w:val="center"/>
              <w:rPr>
                <w:rFonts w:ascii="宋体" w:hAnsi="宋体" w:cs="宋体"/>
                <w:color w:val="auto"/>
                <w:szCs w:val="24"/>
                <w:highlight w:val="none"/>
              </w:rPr>
            </w:pPr>
          </w:p>
        </w:tc>
      </w:tr>
      <w:tr w14:paraId="27C1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17210126">
            <w:pPr>
              <w:pStyle w:val="8"/>
              <w:spacing w:line="400" w:lineRule="atLeast"/>
              <w:jc w:val="center"/>
              <w:rPr>
                <w:rFonts w:ascii="宋体" w:hAnsi="宋体" w:cs="宋体"/>
                <w:color w:val="auto"/>
                <w:szCs w:val="24"/>
                <w:highlight w:val="none"/>
              </w:rPr>
            </w:pPr>
          </w:p>
        </w:tc>
        <w:tc>
          <w:tcPr>
            <w:tcW w:w="2583" w:type="dxa"/>
            <w:vAlign w:val="center"/>
          </w:tcPr>
          <w:p w14:paraId="50401257">
            <w:pPr>
              <w:pStyle w:val="8"/>
              <w:spacing w:line="400" w:lineRule="atLeast"/>
              <w:jc w:val="center"/>
              <w:rPr>
                <w:rFonts w:ascii="宋体" w:hAnsi="宋体" w:cs="宋体"/>
                <w:color w:val="auto"/>
                <w:szCs w:val="24"/>
                <w:highlight w:val="none"/>
              </w:rPr>
            </w:pPr>
          </w:p>
        </w:tc>
        <w:tc>
          <w:tcPr>
            <w:tcW w:w="2385" w:type="dxa"/>
            <w:vAlign w:val="center"/>
          </w:tcPr>
          <w:p w14:paraId="547D59A0">
            <w:pPr>
              <w:pStyle w:val="8"/>
              <w:spacing w:line="400" w:lineRule="atLeast"/>
              <w:jc w:val="center"/>
              <w:rPr>
                <w:rFonts w:ascii="宋体" w:hAnsi="宋体" w:cs="宋体"/>
                <w:color w:val="auto"/>
                <w:szCs w:val="24"/>
                <w:highlight w:val="none"/>
              </w:rPr>
            </w:pPr>
          </w:p>
        </w:tc>
        <w:tc>
          <w:tcPr>
            <w:tcW w:w="2385" w:type="dxa"/>
            <w:vAlign w:val="center"/>
          </w:tcPr>
          <w:p w14:paraId="6CF7DE21">
            <w:pPr>
              <w:pStyle w:val="8"/>
              <w:spacing w:line="400" w:lineRule="atLeast"/>
              <w:jc w:val="center"/>
              <w:rPr>
                <w:rFonts w:ascii="宋体" w:hAnsi="宋体" w:cs="宋体"/>
                <w:color w:val="auto"/>
                <w:szCs w:val="24"/>
                <w:highlight w:val="none"/>
              </w:rPr>
            </w:pPr>
          </w:p>
        </w:tc>
      </w:tr>
      <w:tr w14:paraId="2CA0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19E46E29">
            <w:pPr>
              <w:pStyle w:val="8"/>
              <w:spacing w:line="400" w:lineRule="atLeast"/>
              <w:jc w:val="center"/>
              <w:rPr>
                <w:rFonts w:ascii="宋体" w:hAnsi="宋体" w:cs="宋体"/>
                <w:color w:val="auto"/>
                <w:szCs w:val="24"/>
                <w:highlight w:val="none"/>
              </w:rPr>
            </w:pPr>
          </w:p>
        </w:tc>
        <w:tc>
          <w:tcPr>
            <w:tcW w:w="2583" w:type="dxa"/>
            <w:vAlign w:val="center"/>
          </w:tcPr>
          <w:p w14:paraId="13488FE7">
            <w:pPr>
              <w:pStyle w:val="8"/>
              <w:spacing w:line="400" w:lineRule="atLeast"/>
              <w:jc w:val="center"/>
              <w:rPr>
                <w:rFonts w:ascii="宋体" w:hAnsi="宋体" w:cs="宋体"/>
                <w:color w:val="auto"/>
                <w:szCs w:val="24"/>
                <w:highlight w:val="none"/>
              </w:rPr>
            </w:pPr>
          </w:p>
        </w:tc>
        <w:tc>
          <w:tcPr>
            <w:tcW w:w="2385" w:type="dxa"/>
            <w:vAlign w:val="center"/>
          </w:tcPr>
          <w:p w14:paraId="708D0453">
            <w:pPr>
              <w:pStyle w:val="8"/>
              <w:spacing w:line="400" w:lineRule="atLeast"/>
              <w:jc w:val="center"/>
              <w:rPr>
                <w:rFonts w:ascii="宋体" w:hAnsi="宋体" w:cs="宋体"/>
                <w:color w:val="auto"/>
                <w:szCs w:val="24"/>
                <w:highlight w:val="none"/>
              </w:rPr>
            </w:pPr>
          </w:p>
        </w:tc>
        <w:tc>
          <w:tcPr>
            <w:tcW w:w="2385" w:type="dxa"/>
            <w:vAlign w:val="center"/>
          </w:tcPr>
          <w:p w14:paraId="2FB6969B">
            <w:pPr>
              <w:pStyle w:val="8"/>
              <w:spacing w:line="400" w:lineRule="atLeast"/>
              <w:jc w:val="center"/>
              <w:rPr>
                <w:rFonts w:ascii="宋体" w:hAnsi="宋体" w:cs="宋体"/>
                <w:color w:val="auto"/>
                <w:szCs w:val="24"/>
                <w:highlight w:val="none"/>
              </w:rPr>
            </w:pPr>
          </w:p>
        </w:tc>
      </w:tr>
      <w:tr w14:paraId="2701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85" w:type="dxa"/>
            <w:vAlign w:val="center"/>
          </w:tcPr>
          <w:p w14:paraId="09FB0036">
            <w:pPr>
              <w:pStyle w:val="8"/>
              <w:spacing w:line="400" w:lineRule="atLeast"/>
              <w:jc w:val="center"/>
              <w:rPr>
                <w:rFonts w:ascii="宋体" w:hAnsi="宋体" w:cs="宋体"/>
                <w:color w:val="auto"/>
                <w:szCs w:val="24"/>
                <w:highlight w:val="none"/>
              </w:rPr>
            </w:pPr>
          </w:p>
        </w:tc>
        <w:tc>
          <w:tcPr>
            <w:tcW w:w="2583" w:type="dxa"/>
            <w:vAlign w:val="center"/>
          </w:tcPr>
          <w:p w14:paraId="2E05D2DB">
            <w:pPr>
              <w:pStyle w:val="8"/>
              <w:spacing w:line="400" w:lineRule="atLeast"/>
              <w:jc w:val="center"/>
              <w:rPr>
                <w:rFonts w:ascii="宋体" w:hAnsi="宋体" w:cs="宋体"/>
                <w:color w:val="auto"/>
                <w:szCs w:val="24"/>
                <w:highlight w:val="none"/>
              </w:rPr>
            </w:pPr>
          </w:p>
        </w:tc>
        <w:tc>
          <w:tcPr>
            <w:tcW w:w="2385" w:type="dxa"/>
            <w:vAlign w:val="center"/>
          </w:tcPr>
          <w:p w14:paraId="34FAAFA8">
            <w:pPr>
              <w:pStyle w:val="8"/>
              <w:spacing w:line="400" w:lineRule="atLeast"/>
              <w:jc w:val="center"/>
              <w:rPr>
                <w:rFonts w:ascii="宋体" w:hAnsi="宋体" w:cs="宋体"/>
                <w:color w:val="auto"/>
                <w:szCs w:val="24"/>
                <w:highlight w:val="none"/>
              </w:rPr>
            </w:pPr>
          </w:p>
        </w:tc>
        <w:tc>
          <w:tcPr>
            <w:tcW w:w="2385" w:type="dxa"/>
            <w:vAlign w:val="center"/>
          </w:tcPr>
          <w:p w14:paraId="243891E1">
            <w:pPr>
              <w:pStyle w:val="8"/>
              <w:spacing w:line="400" w:lineRule="atLeast"/>
              <w:jc w:val="center"/>
              <w:rPr>
                <w:rFonts w:ascii="宋体" w:hAnsi="宋体" w:cs="宋体"/>
                <w:color w:val="auto"/>
                <w:szCs w:val="24"/>
                <w:highlight w:val="none"/>
              </w:rPr>
            </w:pPr>
          </w:p>
        </w:tc>
      </w:tr>
    </w:tbl>
    <w:p w14:paraId="086914D3">
      <w:pPr>
        <w:pStyle w:val="8"/>
        <w:shd w:val="clear"/>
        <w:spacing w:line="400" w:lineRule="atLeast"/>
        <w:rPr>
          <w:rFonts w:ascii="宋体" w:hAnsi="宋体" w:cs="宋体"/>
          <w:color w:val="auto"/>
          <w:szCs w:val="24"/>
          <w:highlight w:val="none"/>
        </w:rPr>
      </w:pPr>
      <w:r>
        <w:rPr>
          <w:rFonts w:hint="eastAsia" w:ascii="宋体" w:hAnsi="宋体" w:cs="宋体"/>
          <w:color w:val="auto"/>
          <w:szCs w:val="24"/>
          <w:highlight w:val="none"/>
        </w:rPr>
        <w:t>注：</w:t>
      </w:r>
    </w:p>
    <w:p w14:paraId="11180EC8">
      <w:pPr>
        <w:pStyle w:val="8"/>
        <w:shd w:val="clear"/>
        <w:spacing w:line="400" w:lineRule="atLeast"/>
        <w:rPr>
          <w:rFonts w:ascii="宋体" w:hAnsi="宋体" w:cs="宋体"/>
          <w:color w:val="auto"/>
          <w:szCs w:val="24"/>
          <w:highlight w:val="none"/>
        </w:rPr>
      </w:pPr>
      <w:r>
        <w:rPr>
          <w:rFonts w:hint="eastAsia" w:ascii="宋体" w:hAnsi="宋体" w:cs="宋体"/>
          <w:color w:val="auto"/>
          <w:szCs w:val="24"/>
          <w:highlight w:val="none"/>
        </w:rPr>
        <w:t>1、此表须与</w:t>
      </w:r>
      <w:r>
        <w:rPr>
          <w:rFonts w:hint="eastAsia" w:ascii="宋体" w:hAnsi="宋体" w:cs="宋体"/>
          <w:color w:val="auto"/>
          <w:szCs w:val="24"/>
          <w:highlight w:val="none"/>
          <w:lang w:eastAsia="zh-CN"/>
        </w:rPr>
        <w:t>征集文件</w:t>
      </w:r>
      <w:r>
        <w:rPr>
          <w:rFonts w:hint="eastAsia" w:ascii="宋体" w:hAnsi="宋体" w:cs="宋体"/>
          <w:color w:val="auto"/>
          <w:szCs w:val="24"/>
          <w:highlight w:val="none"/>
        </w:rPr>
        <w:t>“采购需求”相应标项内的所有技术规格（含技术、功能、配置、附加必备条件、售后服务、安装、验收、付款方式等）相比较且一一对应真实逐条填列，并在“偏离情况”栏注明“正偏离</w:t>
      </w:r>
      <w:r>
        <w:rPr>
          <w:rFonts w:hint="eastAsia" w:ascii="宋体" w:hAnsi="宋体" w:cs="宋体"/>
          <w:color w:val="auto"/>
          <w:szCs w:val="24"/>
          <w:highlight w:val="none"/>
          <w:lang w:eastAsia="zh-CN"/>
        </w:rPr>
        <w:t>”“</w:t>
      </w:r>
      <w:r>
        <w:rPr>
          <w:rFonts w:hint="eastAsia" w:ascii="宋体" w:hAnsi="宋体" w:cs="宋体"/>
          <w:color w:val="auto"/>
          <w:szCs w:val="24"/>
          <w:highlight w:val="none"/>
        </w:rPr>
        <w:t>负偏离”或“无偏离”。</w:t>
      </w:r>
    </w:p>
    <w:p w14:paraId="404E58B3">
      <w:pPr>
        <w:pStyle w:val="8"/>
        <w:shd w:val="clear"/>
        <w:spacing w:line="400" w:lineRule="atLeast"/>
        <w:rPr>
          <w:rFonts w:ascii="宋体" w:hAnsi="宋体" w:cs="宋体"/>
          <w:color w:val="auto"/>
          <w:szCs w:val="24"/>
          <w:highlight w:val="none"/>
        </w:rPr>
      </w:pPr>
      <w:r>
        <w:rPr>
          <w:rFonts w:hint="eastAsia" w:ascii="宋体" w:hAnsi="宋体" w:cs="宋体"/>
          <w:color w:val="auto"/>
          <w:szCs w:val="24"/>
          <w:highlight w:val="none"/>
        </w:rPr>
        <w:t>2、投标人递交的技术规格书中必须真实逐条列明，否则由投标人自行承担相关风险。</w:t>
      </w:r>
    </w:p>
    <w:p w14:paraId="4919BE82">
      <w:pPr>
        <w:pStyle w:val="8"/>
        <w:shd w:val="clear"/>
        <w:spacing w:line="400" w:lineRule="atLeast"/>
        <w:rPr>
          <w:rFonts w:ascii="宋体" w:hAnsi="宋体" w:cs="宋体"/>
          <w:color w:val="auto"/>
          <w:szCs w:val="24"/>
          <w:highlight w:val="none"/>
        </w:rPr>
      </w:pPr>
      <w:r>
        <w:rPr>
          <w:rFonts w:hint="eastAsia" w:ascii="宋体" w:hAnsi="宋体" w:cs="宋体"/>
          <w:color w:val="auto"/>
          <w:szCs w:val="24"/>
          <w:highlight w:val="none"/>
        </w:rPr>
        <w:t>3、此表在不改变格式的情况下可自行制作</w:t>
      </w:r>
      <w:r>
        <w:rPr>
          <w:rFonts w:hint="eastAsia" w:ascii="宋体" w:hAnsi="宋体" w:cs="宋体"/>
          <w:color w:val="auto"/>
          <w:szCs w:val="24"/>
          <w:highlight w:val="none"/>
          <w:lang w:eastAsia="zh-CN"/>
        </w:rPr>
        <w:t>，</w:t>
      </w:r>
      <w:r>
        <w:rPr>
          <w:rFonts w:hint="eastAsia" w:ascii="宋体" w:hAnsi="宋体" w:cs="宋体"/>
          <w:color w:val="auto"/>
          <w:szCs w:val="24"/>
          <w:highlight w:val="none"/>
        </w:rPr>
        <w:t>此表</w:t>
      </w:r>
      <w:r>
        <w:rPr>
          <w:rFonts w:hint="eastAsia" w:ascii="宋体" w:hAnsi="宋体" w:cs="宋体"/>
          <w:color w:val="auto"/>
          <w:szCs w:val="24"/>
          <w:highlight w:val="none"/>
          <w:lang w:val="en-US" w:eastAsia="zh-CN"/>
        </w:rPr>
        <w:t>应</w:t>
      </w:r>
      <w:r>
        <w:rPr>
          <w:rFonts w:hint="eastAsia" w:ascii="宋体" w:hAnsi="宋体" w:cs="宋体"/>
          <w:color w:val="auto"/>
          <w:szCs w:val="24"/>
          <w:highlight w:val="none"/>
        </w:rPr>
        <w:t>置于此标书中。</w:t>
      </w:r>
    </w:p>
    <w:p w14:paraId="3F137E2F">
      <w:pPr>
        <w:pStyle w:val="8"/>
        <w:shd w:val="clear"/>
        <w:spacing w:line="400" w:lineRule="atLeast"/>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4、投标人承诺：除以上列出的偏离外，响应征集文件全部要求。</w:t>
      </w:r>
    </w:p>
    <w:p w14:paraId="04B6A149">
      <w:pPr>
        <w:rPr>
          <w:rFonts w:ascii="宋体" w:hAnsi="宋体" w:cs="宋体"/>
          <w:color w:val="auto"/>
          <w:sz w:val="28"/>
          <w:highlight w:val="none"/>
        </w:rPr>
      </w:pPr>
    </w:p>
    <w:p w14:paraId="4487F6E7">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（盖公章）              </w:t>
      </w:r>
    </w:p>
    <w:p w14:paraId="4D4D602E">
      <w:pPr>
        <w:spacing w:line="360" w:lineRule="auto"/>
        <w:ind w:firstLine="425"/>
        <w:rPr>
          <w:rFonts w:ascii="宋体" w:hAnsi="宋体" w:cs="宋体"/>
          <w:color w:val="auto"/>
          <w:sz w:val="24"/>
          <w:szCs w:val="24"/>
          <w:highlight w:val="none"/>
          <w:u w:val="single"/>
        </w:rPr>
      </w:pPr>
    </w:p>
    <w:p w14:paraId="2B0A5C08">
      <w:pPr>
        <w:spacing w:line="360" w:lineRule="auto"/>
        <w:rPr>
          <w:rFonts w:ascii="宋体" w:hAnsi="宋体" w:cs="宋体"/>
          <w:color w:val="auto"/>
          <w:highlight w:val="none"/>
        </w:rPr>
      </w:pP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06D3E5F">
      <w:pPr>
        <w:rPr>
          <w:color w:val="auto"/>
          <w:highlight w:val="none"/>
        </w:rPr>
      </w:pPr>
    </w:p>
    <w:p w14:paraId="72E5D8AD">
      <w:pPr>
        <w:pStyle w:val="32"/>
        <w:rPr>
          <w:rFonts w:hint="default" w:ascii="宋体" w:hAnsi="宋体" w:eastAsia="宋体" w:cs="宋体"/>
          <w:color w:val="auto"/>
          <w:sz w:val="28"/>
          <w:szCs w:val="28"/>
          <w:highlight w:val="none"/>
          <w:u w:val="none"/>
          <w:lang w:val="en-US" w:eastAsia="zh-CN"/>
        </w:rPr>
      </w:pPr>
    </w:p>
    <w:p w14:paraId="0230652D">
      <w:pPr>
        <w:pStyle w:val="22"/>
        <w:rPr>
          <w:rFonts w:hint="eastAsia"/>
          <w:color w:val="auto"/>
          <w:highlight w:val="none"/>
          <w:lang w:val="en-US" w:eastAsia="zh-CN"/>
        </w:rPr>
      </w:pPr>
    </w:p>
    <w:sectPr>
      <w:pgSz w:w="11906" w:h="16838"/>
      <w:pgMar w:top="1236" w:right="1236" w:bottom="1236" w:left="123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0E670">
    <w:pPr>
      <w:pStyle w:val="10"/>
      <w:framePr w:wrap="around" w:vAnchor="text" w:hAnchor="margin" w:xAlign="center" w:y="1"/>
      <w:rPr>
        <w:rStyle w:val="20"/>
      </w:rPr>
    </w:pPr>
    <w:r>
      <w:fldChar w:fldCharType="begin"/>
    </w:r>
    <w:r>
      <w:rPr>
        <w:rStyle w:val="20"/>
        <w:sz w:val="21"/>
        <w:szCs w:val="21"/>
      </w:rPr>
      <w:instrText xml:space="preserve">PAGE  </w:instrText>
    </w:r>
    <w:r>
      <w:fldChar w:fldCharType="separate"/>
    </w:r>
    <w:r>
      <w:fldChar w:fldCharType="end"/>
    </w:r>
  </w:p>
  <w:p w14:paraId="5129BAF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4EC5A">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0040D">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70040D">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9E2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90B3C">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590B3C">
                    <w:pPr>
                      <w:pStyle w:val="10"/>
                    </w:pPr>
                    <w:r>
                      <w:fldChar w:fldCharType="begin"/>
                    </w:r>
                    <w:r>
                      <w:instrText xml:space="preserve"> PAGE  \* MERGEFORMAT </w:instrText>
                    </w:r>
                    <w:r>
                      <w:fldChar w:fldCharType="separate"/>
                    </w:r>
                    <w:r>
                      <w:t>27</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A207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13A207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CCBA8">
    <w:pPr>
      <w:pStyle w:val="11"/>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ind w:firstLine="720" w:firstLineChars="400"/>
      <w:jc w:val="left"/>
      <w:textAlignment w:val="auto"/>
    </w:pPr>
    <w:r>
      <w:rPr>
        <w:rFonts w:hint="eastAsia"/>
        <w:color w:val="auto"/>
        <w:lang w:val="en-US" w:eastAsia="zh-CN"/>
      </w:rPr>
      <w:drawing>
        <wp:anchor distT="0" distB="0" distL="114300" distR="114300" simplePos="0" relativeHeight="251663360" behindDoc="0" locked="0" layoutInCell="1" allowOverlap="1">
          <wp:simplePos x="0" y="0"/>
          <wp:positionH relativeFrom="column">
            <wp:posOffset>68580</wp:posOffset>
          </wp:positionH>
          <wp:positionV relativeFrom="paragraph">
            <wp:posOffset>-92710</wp:posOffset>
          </wp:positionV>
          <wp:extent cx="299720" cy="299720"/>
          <wp:effectExtent l="0" t="0" r="5080" b="4445"/>
          <wp:wrapNone/>
          <wp:docPr id="8"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浙江博策工程项目管理有限公司                                                          征集文件</w:t>
    </w:r>
  </w:p>
  <w:p w14:paraId="709284A1">
    <w:pPr>
      <w:pStyle w:val="11"/>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9BCD5">
    <w:pPr>
      <w:pStyle w:val="11"/>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ind w:firstLine="720" w:firstLineChars="400"/>
      <w:jc w:val="left"/>
      <w:textAlignment w:val="auto"/>
      <w:rPr>
        <w:rFonts w:hint="eastAsia"/>
        <w:lang w:eastAsia="zh-CN"/>
      </w:rPr>
    </w:pPr>
    <w:r>
      <w:rPr>
        <w:rFonts w:hint="eastAsia"/>
        <w:color w:val="auto"/>
        <w:lang w:val="en-US" w:eastAsia="zh-CN"/>
      </w:rPr>
      <w:drawing>
        <wp:anchor distT="0" distB="0" distL="114300" distR="114300" simplePos="0" relativeHeight="251662336" behindDoc="0" locked="0" layoutInCell="1" allowOverlap="1">
          <wp:simplePos x="0" y="0"/>
          <wp:positionH relativeFrom="column">
            <wp:posOffset>68580</wp:posOffset>
          </wp:positionH>
          <wp:positionV relativeFrom="paragraph">
            <wp:posOffset>-92710</wp:posOffset>
          </wp:positionV>
          <wp:extent cx="299720" cy="299720"/>
          <wp:effectExtent l="0" t="0" r="5080" b="4445"/>
          <wp:wrapNone/>
          <wp:docPr id="4"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浙江博策工程项目管理有限公司                                                          征集文件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1127A">
    <w:pPr>
      <w:pStyle w:val="11"/>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ind w:firstLine="720" w:firstLineChars="400"/>
      <w:jc w:val="left"/>
      <w:textAlignment w:val="auto"/>
    </w:pPr>
    <w:r>
      <w:rPr>
        <w:rFonts w:hint="eastAsia"/>
        <w:color w:val="auto"/>
        <w:lang w:val="en-US" w:eastAsia="zh-CN"/>
      </w:rPr>
      <w:drawing>
        <wp:anchor distT="0" distB="0" distL="114300" distR="114300" simplePos="0" relativeHeight="251661312" behindDoc="0" locked="0" layoutInCell="1" allowOverlap="1">
          <wp:simplePos x="0" y="0"/>
          <wp:positionH relativeFrom="column">
            <wp:posOffset>68580</wp:posOffset>
          </wp:positionH>
          <wp:positionV relativeFrom="paragraph">
            <wp:posOffset>-92710</wp:posOffset>
          </wp:positionV>
          <wp:extent cx="299720" cy="299720"/>
          <wp:effectExtent l="0" t="0" r="5080" b="4445"/>
          <wp:wrapNone/>
          <wp:docPr id="5"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浙江博策工程项目管理有限公司                                                          征集文件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BBDCA">
    <w:pPr>
      <w:pStyle w:val="11"/>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jc w:val="center"/>
      <w:textAlignment w:val="auto"/>
    </w:pPr>
    <w:r>
      <w:rPr>
        <w:rFonts w:hint="eastAsia"/>
        <w:color w:val="auto"/>
        <w:lang w:val="en-US" w:eastAsia="zh-CN"/>
      </w:rPr>
      <w:drawing>
        <wp:anchor distT="0" distB="0" distL="114300" distR="114300" simplePos="0" relativeHeight="251659264" behindDoc="0" locked="0" layoutInCell="1" allowOverlap="1">
          <wp:simplePos x="0" y="0"/>
          <wp:positionH relativeFrom="column">
            <wp:posOffset>26035</wp:posOffset>
          </wp:positionH>
          <wp:positionV relativeFrom="paragraph">
            <wp:posOffset>-93345</wp:posOffset>
          </wp:positionV>
          <wp:extent cx="299720" cy="299720"/>
          <wp:effectExtent l="0" t="0" r="5080" b="4445"/>
          <wp:wrapNone/>
          <wp:docPr id="32"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 xml:space="preserve">      浙江博策工程项目管理有限公司                                                            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9AB0B1"/>
    <w:multiLevelType w:val="singleLevel"/>
    <w:tmpl w:val="319AB0B1"/>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TdmNTQwMjNiN2VlMTFlZGQ0MWVmOTZmNTRhYjgifQ=="/>
  </w:docVars>
  <w:rsids>
    <w:rsidRoot w:val="628134F7"/>
    <w:rsid w:val="00721CB1"/>
    <w:rsid w:val="01780DDA"/>
    <w:rsid w:val="038D16A3"/>
    <w:rsid w:val="05B83F85"/>
    <w:rsid w:val="0BBD396A"/>
    <w:rsid w:val="17822618"/>
    <w:rsid w:val="1D0C7C22"/>
    <w:rsid w:val="213E6204"/>
    <w:rsid w:val="27BF34B0"/>
    <w:rsid w:val="28E17F99"/>
    <w:rsid w:val="336A4124"/>
    <w:rsid w:val="38AA12E6"/>
    <w:rsid w:val="4276590A"/>
    <w:rsid w:val="494218B7"/>
    <w:rsid w:val="628134F7"/>
    <w:rsid w:val="673226C3"/>
    <w:rsid w:val="6D84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eastAsia="宋体"/>
      <w:b/>
      <w:color w:val="000000"/>
      <w:kern w:val="44"/>
      <w:sz w:val="44"/>
      <w:szCs w:val="21"/>
      <w:lang w:val="en-US" w:eastAsia="zh-CN" w:bidi="ar-SA"/>
    </w:rPr>
  </w:style>
  <w:style w:type="paragraph" w:styleId="3">
    <w:name w:val="heading 2"/>
    <w:basedOn w:val="1"/>
    <w:next w:val="1"/>
    <w:qFormat/>
    <w:uiPriority w:val="0"/>
    <w:pPr>
      <w:keepNext/>
      <w:keepLines/>
      <w:autoSpaceDE/>
      <w:autoSpaceDN/>
      <w:adjustRightInd/>
      <w:spacing w:before="260" w:beforeLines="0" w:after="260" w:afterLines="0" w:line="415" w:lineRule="auto"/>
      <w:outlineLvl w:val="1"/>
    </w:pPr>
    <w:rPr>
      <w:rFonts w:ascii="Arial" w:hAnsi="Arial" w:eastAsia="黑体"/>
      <w:b/>
      <w:bCs/>
      <w:color w:val="auto"/>
      <w:kern w:val="2"/>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next w:val="1"/>
    <w:unhideWhenUsed/>
    <w:qFormat/>
    <w:uiPriority w:val="99"/>
    <w:pPr>
      <w:ind w:firstLine="420"/>
    </w:pPr>
    <w:rPr>
      <w:szCs w:val="20"/>
    </w:rPr>
  </w:style>
  <w:style w:type="paragraph" w:styleId="6">
    <w:name w:val="Body Text"/>
    <w:basedOn w:val="1"/>
    <w:next w:val="1"/>
    <w:qFormat/>
    <w:uiPriority w:val="0"/>
    <w:pPr>
      <w:spacing w:after="120" w:afterLines="0"/>
    </w:pPr>
  </w:style>
  <w:style w:type="paragraph" w:styleId="7">
    <w:name w:val="Body Text Indent"/>
    <w:basedOn w:val="1"/>
    <w:next w:val="1"/>
    <w:qFormat/>
    <w:uiPriority w:val="0"/>
    <w:pPr>
      <w:spacing w:after="120" w:afterLines="0"/>
      <w:ind w:left="420" w:leftChars="200"/>
    </w:pPr>
  </w:style>
  <w:style w:type="paragraph" w:styleId="8">
    <w:name w:val="Plain Text"/>
    <w:basedOn w:val="1"/>
    <w:next w:val="9"/>
    <w:qFormat/>
    <w:uiPriority w:val="0"/>
    <w:pPr>
      <w:autoSpaceDE/>
      <w:autoSpaceDN/>
      <w:adjustRightInd/>
    </w:pPr>
    <w:rPr>
      <w:rFonts w:eastAsia="宋体"/>
      <w:kern w:val="2"/>
      <w:sz w:val="24"/>
      <w:lang w:val="en-US" w:eastAsia="zh-CN" w:bidi="ar-SA"/>
    </w:rPr>
  </w:style>
  <w:style w:type="paragraph" w:styleId="9">
    <w:name w:val="index 7"/>
    <w:basedOn w:val="1"/>
    <w:next w:val="1"/>
    <w:qFormat/>
    <w:uiPriority w:val="0"/>
    <w:pPr>
      <w:ind w:left="1200" w:leftChars="1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Indent 3"/>
    <w:basedOn w:val="1"/>
    <w:qFormat/>
    <w:uiPriority w:val="0"/>
    <w:pPr>
      <w:autoSpaceDE/>
      <w:autoSpaceDN/>
      <w:adjustRightInd/>
      <w:ind w:firstLine="435"/>
    </w:pPr>
    <w:rPr>
      <w:color w:val="auto"/>
      <w:sz w:val="20"/>
      <w:szCs w:val="24"/>
    </w:rPr>
  </w:style>
  <w:style w:type="paragraph" w:styleId="13">
    <w:name w:val="Normal (Web)"/>
    <w:basedOn w:val="1"/>
    <w:qFormat/>
    <w:uiPriority w:val="0"/>
    <w:pPr>
      <w:widowControl/>
      <w:autoSpaceDE/>
      <w:autoSpaceDN/>
      <w:adjustRightInd/>
      <w:spacing w:before="100" w:beforeAutospacing="1" w:after="100" w:afterAutospacing="1"/>
      <w:jc w:val="left"/>
    </w:pPr>
    <w:rPr>
      <w:rFonts w:ascii="宋体" w:hAnsi="宋体" w:eastAsia="Times New Roman" w:cs="Times New Roman"/>
      <w:color w:val="000000"/>
      <w:sz w:val="24"/>
      <w:szCs w:val="24"/>
      <w:lang w:val="en-US" w:eastAsia="zh-CN" w:bidi="ar-SA"/>
    </w:rPr>
  </w:style>
  <w:style w:type="paragraph" w:styleId="14">
    <w:name w:val="Body Text First Indent"/>
    <w:basedOn w:val="6"/>
    <w:next w:val="1"/>
    <w:qFormat/>
    <w:uiPriority w:val="0"/>
    <w:pPr>
      <w:spacing w:line="312" w:lineRule="auto"/>
      <w:ind w:firstLine="420"/>
    </w:pPr>
    <w:rPr>
      <w:szCs w:val="24"/>
    </w:rPr>
  </w:style>
  <w:style w:type="paragraph" w:styleId="15">
    <w:name w:val="Body Text First Indent 2"/>
    <w:basedOn w:val="7"/>
    <w:qFormat/>
    <w:uiPriority w:val="0"/>
    <w:pPr>
      <w:widowControl w:val="0"/>
      <w:autoSpaceDE/>
      <w:autoSpaceDN/>
      <w:adjustRightInd/>
      <w:spacing w:after="120" w:afterLines="0" w:line="360" w:lineRule="auto"/>
      <w:ind w:left="420" w:leftChars="200" w:firstLine="420" w:firstLineChars="200"/>
      <w:jc w:val="both"/>
    </w:pPr>
    <w:rPr>
      <w:rFonts w:ascii="Calibri" w:hAnsi="Calibri" w:eastAsia="宋体" w:cs="Times New Roman"/>
      <w:color w:val="auto"/>
      <w:kern w:val="2"/>
      <w:sz w:val="24"/>
      <w:szCs w:val="22"/>
      <w:lang w:val="en-US"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style>
  <w:style w:type="character" w:styleId="20">
    <w:name w:val="page number"/>
    <w:qFormat/>
    <w:uiPriority w:val="0"/>
  </w:style>
  <w:style w:type="character" w:styleId="21">
    <w:name w:val="Hyperlink"/>
    <w:qFormat/>
    <w:uiPriority w:val="0"/>
    <w:rPr>
      <w:color w:val="0000FF"/>
      <w:u w:val="single"/>
    </w:rPr>
  </w:style>
  <w:style w:type="paragraph" w:customStyle="1" w:styleId="22">
    <w:name w:val="表格文字"/>
    <w:basedOn w:val="1"/>
    <w:next w:val="6"/>
    <w:qFormat/>
    <w:uiPriority w:val="0"/>
    <w:pPr>
      <w:adjustRightInd w:val="0"/>
      <w:spacing w:line="420" w:lineRule="atLeast"/>
      <w:textAlignment w:val="baseline"/>
    </w:pPr>
    <w:rPr>
      <w:szCs w:val="24"/>
    </w:rPr>
  </w:style>
  <w:style w:type="paragraph" w:customStyle="1" w:styleId="23">
    <w:name w:val="List Paragraph"/>
    <w:basedOn w:val="1"/>
    <w:qFormat/>
    <w:uiPriority w:val="0"/>
    <w:pPr>
      <w:autoSpaceDE/>
      <w:autoSpaceDN/>
      <w:adjustRightInd/>
      <w:ind w:firstLine="420" w:firstLineChars="200"/>
    </w:pPr>
    <w:rPr>
      <w:rFonts w:ascii="Calibri" w:hAnsi="Calibri"/>
      <w:color w:val="auto"/>
      <w:sz w:val="20"/>
      <w:szCs w:val="22"/>
    </w:rPr>
  </w:style>
  <w:style w:type="paragraph" w:customStyle="1" w:styleId="24">
    <w:name w:val="Body Text First Indent 2"/>
    <w:basedOn w:val="25"/>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25">
    <w:name w:val="Body Text Indent"/>
    <w:basedOn w:val="1"/>
    <w:next w:val="1"/>
    <w:qFormat/>
    <w:uiPriority w:val="0"/>
    <w:pPr>
      <w:spacing w:after="120" w:afterLines="0"/>
      <w:ind w:left="420" w:leftChars="200"/>
    </w:pPr>
    <w:rPr>
      <w:color w:val="000000"/>
      <w:sz w:val="21"/>
      <w:szCs w:val="21"/>
    </w:rPr>
  </w:style>
  <w:style w:type="paragraph" w:customStyle="1" w:styleId="26">
    <w:name w:val="Body Text First Indent 21"/>
    <w:basedOn w:val="27"/>
    <w:qFormat/>
    <w:uiPriority w:val="0"/>
    <w:pPr>
      <w:ind w:firstLine="420"/>
    </w:pPr>
    <w:rPr>
      <w:rFonts w:cs="宋体"/>
    </w:rPr>
  </w:style>
  <w:style w:type="paragraph" w:customStyle="1" w:styleId="27">
    <w:name w:val="Body Text Indent1"/>
    <w:basedOn w:val="1"/>
    <w:next w:val="1"/>
    <w:qFormat/>
    <w:uiPriority w:val="0"/>
    <w:pPr>
      <w:spacing w:after="120"/>
      <w:ind w:left="420" w:leftChars="200"/>
    </w:pPr>
  </w:style>
  <w:style w:type="paragraph" w:customStyle="1" w:styleId="28">
    <w:name w:val="正文缩进1"/>
    <w:basedOn w:val="1"/>
    <w:next w:val="7"/>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2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0">
    <w:name w:val="BodyText1I"/>
    <w:basedOn w:val="31"/>
    <w:next w:val="1"/>
    <w:autoRedefine/>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31">
    <w:name w:val="BodyText"/>
    <w:basedOn w:val="1"/>
    <w:next w:val="30"/>
    <w:autoRedefine/>
    <w:qFormat/>
    <w:uiPriority w:val="0"/>
    <w:pPr>
      <w:spacing w:line="360" w:lineRule="auto"/>
      <w:jc w:val="both"/>
      <w:textAlignment w:val="baseline"/>
    </w:pPr>
    <w:rPr>
      <w:rFonts w:ascii="宋体" w:hAnsi="Arial" w:eastAsia="宋体"/>
      <w:kern w:val="2"/>
      <w:sz w:val="24"/>
      <w:szCs w:val="21"/>
      <w:lang w:val="zh-CN" w:eastAsia="zh-CN" w:bidi="ar-SA"/>
    </w:rPr>
  </w:style>
  <w:style w:type="paragraph" w:customStyle="1" w:styleId="32">
    <w:name w:val="z正文"/>
    <w:basedOn w:val="8"/>
    <w:autoRedefine/>
    <w:qFormat/>
    <w:uiPriority w:val="0"/>
    <w:pPr>
      <w:tabs>
        <w:tab w:val="left" w:pos="525"/>
      </w:tabs>
      <w:snapToGrid w:val="0"/>
      <w:spacing w:line="360" w:lineRule="auto"/>
    </w:pPr>
    <w:rPr>
      <w:rFonts w:hAnsi="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20704</Words>
  <Characters>21792</Characters>
  <Lines>0</Lines>
  <Paragraphs>0</Paragraphs>
  <TotalTime>6</TotalTime>
  <ScaleCrop>false</ScaleCrop>
  <LinksUpToDate>false</LinksUpToDate>
  <CharactersWithSpaces>21866</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2025-02-07T09:52:00Z</dcterms:created>
  <dc:creator>宣晨阳</dc:creator>
  <cp:lastModifiedBy>宣晨阳</cp:lastModifiedBy>
  <dcterms:modified xsi:type="dcterms:W3CDTF">2025-02-12T08:30:20Z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104CEF2F31FD4355A81E3C924B3D51D4_11</vt:lpwstr>
  </property>
  <property fmtid="{D5CDD505-2E9C-101B-9397-08002B2CF9AE}" pid="4" name="KSOTemplateDocerSaveRecord">
    <vt:lpwstr>eyJoZGlkIjoiNzRlZGEyNzEwM2FhN2YyNDZmYTY0Y2ZlNDM0ZjcwNWMiLCJ1c2VySWQiOiIxMDI2MjgyNTQ1In0=</vt:lpwstr>
  </property>
</Properties>
</file>