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1D3AA">
      <w:pPr>
        <w:pStyle w:val="23"/>
        <w:spacing w:line="360" w:lineRule="auto"/>
        <w:jc w:val="center"/>
        <w:rPr>
          <w:rFonts w:hint="eastAsia" w:ascii="宋体" w:hAnsi="宋体" w:eastAsia="宋体" w:cs="宋体"/>
          <w:b/>
          <w:color w:val="auto"/>
          <w:sz w:val="40"/>
          <w:szCs w:val="40"/>
          <w:highlight w:val="none"/>
          <w:lang w:eastAsia="zh-CN"/>
        </w:rPr>
      </w:pPr>
    </w:p>
    <w:p w14:paraId="36F85060">
      <w:pPr>
        <w:pStyle w:val="23"/>
        <w:spacing w:line="480" w:lineRule="auto"/>
        <w:jc w:val="center"/>
        <w:rPr>
          <w:rFonts w:hint="eastAsia" w:ascii="宋体" w:hAnsi="宋体" w:eastAsia="宋体" w:cs="宋体"/>
          <w:b/>
          <w:bCs/>
          <w:color w:val="auto"/>
          <w:sz w:val="60"/>
          <w:szCs w:val="60"/>
          <w:highlight w:val="none"/>
          <w:lang w:val="en-US" w:eastAsia="zh-CN" w:bidi="ar-SA"/>
        </w:rPr>
      </w:pPr>
      <w:r>
        <w:rPr>
          <w:rFonts w:hint="eastAsia" w:ascii="宋体" w:hAnsi="宋体" w:eastAsia="宋体" w:cs="宋体"/>
          <w:b/>
          <w:bCs/>
          <w:color w:val="auto"/>
          <w:sz w:val="60"/>
          <w:szCs w:val="60"/>
          <w:highlight w:val="none"/>
          <w:lang w:val="en-US" w:eastAsia="zh-CN" w:bidi="ar-SA"/>
        </w:rPr>
        <w:t>2024年诸暨市公安局存储服务器、应用服务器采购项目</w:t>
      </w:r>
    </w:p>
    <w:p w14:paraId="2F7A814B">
      <w:pPr>
        <w:pStyle w:val="23"/>
        <w:spacing w:line="480" w:lineRule="auto"/>
        <w:jc w:val="center"/>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（项目编号：</w:t>
      </w:r>
      <w:r>
        <w:rPr>
          <w:rFonts w:hint="eastAsia" w:ascii="宋体" w:hAnsi="宋体" w:eastAsia="宋体" w:cs="宋体"/>
          <w:b/>
          <w:bCs/>
          <w:color w:val="auto"/>
          <w:sz w:val="30"/>
          <w:szCs w:val="30"/>
          <w:highlight w:val="none"/>
          <w:lang w:val="en-US" w:eastAsia="zh-CN"/>
        </w:rPr>
        <w:t>浙博策2024</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lang w:val="en-US" w:eastAsia="zh-CN"/>
        </w:rPr>
        <w:t>12</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lang w:val="en-US" w:eastAsia="zh-CN"/>
        </w:rPr>
        <w:t>05</w:t>
      </w:r>
      <w:r>
        <w:rPr>
          <w:rFonts w:hint="eastAsia" w:ascii="宋体" w:hAnsi="宋体" w:eastAsia="宋体" w:cs="宋体"/>
          <w:b/>
          <w:color w:val="auto"/>
          <w:sz w:val="30"/>
          <w:szCs w:val="30"/>
          <w:highlight w:val="none"/>
        </w:rPr>
        <w:t>）</w:t>
      </w:r>
    </w:p>
    <w:p w14:paraId="71895B07">
      <w:pPr>
        <w:keepNext w:val="0"/>
        <w:keepLines w:val="0"/>
        <w:pageBreakBefore w:val="0"/>
        <w:widowControl w:val="0"/>
        <w:kinsoku/>
        <w:wordWrap/>
        <w:overflowPunct/>
        <w:topLinePunct w:val="0"/>
        <w:autoSpaceDE w:val="0"/>
        <w:autoSpaceDN w:val="0"/>
        <w:bidi w:val="0"/>
        <w:adjustRightInd w:val="0"/>
        <w:snapToGrid/>
        <w:spacing w:before="313" w:beforeLines="100" w:after="469" w:afterLines="150" w:line="72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招</w:t>
      </w:r>
    </w:p>
    <w:p w14:paraId="4F9610D2">
      <w:pPr>
        <w:keepNext w:val="0"/>
        <w:keepLines w:val="0"/>
        <w:pageBreakBefore w:val="0"/>
        <w:widowControl w:val="0"/>
        <w:kinsoku/>
        <w:wordWrap/>
        <w:overflowPunct/>
        <w:topLinePunct w:val="0"/>
        <w:autoSpaceDE w:val="0"/>
        <w:autoSpaceDN w:val="0"/>
        <w:bidi w:val="0"/>
        <w:adjustRightInd w:val="0"/>
        <w:snapToGrid/>
        <w:spacing w:before="313" w:beforeLines="100" w:after="469" w:afterLines="150" w:line="72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标</w:t>
      </w:r>
    </w:p>
    <w:p w14:paraId="4D817AA7">
      <w:pPr>
        <w:keepNext w:val="0"/>
        <w:keepLines w:val="0"/>
        <w:pageBreakBefore w:val="0"/>
        <w:widowControl w:val="0"/>
        <w:kinsoku/>
        <w:wordWrap/>
        <w:overflowPunct/>
        <w:topLinePunct w:val="0"/>
        <w:autoSpaceDE w:val="0"/>
        <w:autoSpaceDN w:val="0"/>
        <w:bidi w:val="0"/>
        <w:adjustRightInd w:val="0"/>
        <w:snapToGrid/>
        <w:spacing w:before="313" w:beforeLines="100" w:after="469" w:afterLines="150" w:line="72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文</w:t>
      </w:r>
    </w:p>
    <w:p w14:paraId="30AEB004">
      <w:pPr>
        <w:keepNext w:val="0"/>
        <w:keepLines w:val="0"/>
        <w:pageBreakBefore w:val="0"/>
        <w:widowControl w:val="0"/>
        <w:kinsoku/>
        <w:wordWrap/>
        <w:overflowPunct/>
        <w:topLinePunct w:val="0"/>
        <w:autoSpaceDE/>
        <w:autoSpaceDN/>
        <w:bidi w:val="0"/>
        <w:adjustRightInd w:val="0"/>
        <w:snapToGrid/>
        <w:spacing w:before="313" w:beforeLines="100" w:after="469" w:afterLines="150" w:line="72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件</w:t>
      </w:r>
    </w:p>
    <w:p w14:paraId="0CC4C3E5">
      <w:pPr>
        <w:keepNext w:val="0"/>
        <w:keepLines w:val="0"/>
        <w:pageBreakBefore w:val="0"/>
        <w:widowControl w:val="0"/>
        <w:kinsoku/>
        <w:wordWrap/>
        <w:overflowPunct/>
        <w:topLinePunct w:val="0"/>
        <w:autoSpaceDE/>
        <w:autoSpaceDN/>
        <w:bidi w:val="0"/>
        <w:adjustRightInd w:val="0"/>
        <w:snapToGrid/>
        <w:spacing w:before="430" w:beforeLines="150" w:after="287" w:afterLines="100" w:line="360" w:lineRule="auto"/>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val="en-US" w:eastAsia="zh-CN"/>
        </w:rPr>
        <w:t>电子招投标</w:t>
      </w:r>
      <w:r>
        <w:rPr>
          <w:rFonts w:hint="eastAsia" w:ascii="宋体" w:hAnsi="宋体" w:eastAsia="宋体" w:cs="宋体"/>
          <w:b/>
          <w:bCs/>
          <w:color w:val="auto"/>
          <w:sz w:val="30"/>
          <w:szCs w:val="30"/>
          <w:highlight w:val="none"/>
        </w:rPr>
        <w:t>）</w:t>
      </w:r>
    </w:p>
    <w:p w14:paraId="6B24F4D1">
      <w:pPr>
        <w:pStyle w:val="10"/>
        <w:snapToGrid w:val="0"/>
        <w:spacing w:before="120" w:after="120" w:line="360" w:lineRule="auto"/>
        <w:jc w:val="center"/>
        <w:rPr>
          <w:rFonts w:hint="eastAsia" w:ascii="宋体" w:hAnsi="宋体" w:eastAsia="宋体" w:cs="宋体"/>
          <w:b/>
          <w:bCs/>
          <w:color w:val="auto"/>
          <w:w w:val="95"/>
          <w:sz w:val="32"/>
          <w:szCs w:val="32"/>
          <w:highlight w:val="none"/>
          <w:lang w:val="en-US" w:eastAsia="zh-CN"/>
        </w:rPr>
      </w:pPr>
      <w:r>
        <w:rPr>
          <w:rFonts w:hint="eastAsia" w:ascii="宋体" w:hAnsi="宋体" w:eastAsia="宋体" w:cs="宋体"/>
          <w:b/>
          <w:bCs/>
          <w:color w:val="auto"/>
          <w:w w:val="95"/>
          <w:sz w:val="32"/>
          <w:szCs w:val="32"/>
          <w:highlight w:val="none"/>
        </w:rPr>
        <w:t>采购单位：</w:t>
      </w:r>
      <w:r>
        <w:rPr>
          <w:rFonts w:hint="eastAsia" w:ascii="宋体" w:hAnsi="宋体" w:eastAsia="宋体" w:cs="宋体"/>
          <w:b/>
          <w:bCs/>
          <w:color w:val="auto"/>
          <w:w w:val="95"/>
          <w:sz w:val="32"/>
          <w:szCs w:val="32"/>
          <w:highlight w:val="none"/>
          <w:lang w:val="en-US" w:eastAsia="zh-CN"/>
        </w:rPr>
        <w:t>诸暨广电信息技术有限公司</w:t>
      </w:r>
    </w:p>
    <w:p w14:paraId="42C6FF17">
      <w:pPr>
        <w:pStyle w:val="10"/>
        <w:snapToGrid w:val="0"/>
        <w:spacing w:before="120" w:after="120" w:line="360" w:lineRule="auto"/>
        <w:jc w:val="center"/>
        <w:rPr>
          <w:rFonts w:hint="eastAsia" w:ascii="宋体" w:hAnsi="宋体" w:eastAsia="宋体" w:cs="宋体"/>
          <w:b/>
          <w:bCs/>
          <w:color w:val="auto"/>
          <w:w w:val="95"/>
          <w:sz w:val="32"/>
          <w:szCs w:val="32"/>
          <w:highlight w:val="none"/>
          <w:lang w:eastAsia="zh-CN"/>
        </w:rPr>
      </w:pPr>
      <w:r>
        <w:rPr>
          <w:rFonts w:hint="eastAsia" w:ascii="宋体" w:hAnsi="宋体" w:eastAsia="宋体" w:cs="宋体"/>
          <w:b/>
          <w:bCs/>
          <w:color w:val="auto"/>
          <w:w w:val="95"/>
          <w:sz w:val="32"/>
          <w:szCs w:val="32"/>
          <w:highlight w:val="none"/>
        </w:rPr>
        <w:t>采购代理机构：</w:t>
      </w:r>
      <w:r>
        <w:rPr>
          <w:rFonts w:hint="eastAsia" w:ascii="宋体" w:hAnsi="宋体" w:eastAsia="宋体" w:cs="宋体"/>
          <w:b/>
          <w:bCs/>
          <w:color w:val="auto"/>
          <w:w w:val="95"/>
          <w:sz w:val="32"/>
          <w:szCs w:val="32"/>
          <w:highlight w:val="none"/>
          <w:lang w:eastAsia="zh-CN"/>
        </w:rPr>
        <w:t>浙江博策工程项目管理有限公司</w:t>
      </w:r>
    </w:p>
    <w:p w14:paraId="6A163A87">
      <w:pPr>
        <w:jc w:val="center"/>
        <w:rPr>
          <w:rFonts w:hint="eastAsia" w:ascii="宋体" w:hAnsi="宋体" w:eastAsia="宋体" w:cs="宋体"/>
          <w:b/>
          <w:color w:val="auto"/>
          <w:sz w:val="44"/>
          <w:szCs w:val="44"/>
          <w:highlight w:val="none"/>
          <w:lang w:eastAsia="zh-CN"/>
        </w:rPr>
      </w:pPr>
      <w:r>
        <w:rPr>
          <w:rFonts w:hint="eastAsia" w:ascii="宋体" w:hAnsi="宋体" w:eastAsia="宋体" w:cs="宋体"/>
          <w:b/>
          <w:bCs/>
          <w:color w:val="auto"/>
          <w:w w:val="95"/>
          <w:sz w:val="32"/>
          <w:szCs w:val="32"/>
          <w:highlight w:val="none"/>
          <w:lang w:eastAsia="zh-CN"/>
        </w:rPr>
        <w:t>二〇二</w:t>
      </w:r>
      <w:r>
        <w:rPr>
          <w:rFonts w:hint="eastAsia" w:ascii="宋体" w:hAnsi="宋体" w:cs="宋体"/>
          <w:b/>
          <w:bCs/>
          <w:color w:val="auto"/>
          <w:w w:val="95"/>
          <w:sz w:val="32"/>
          <w:szCs w:val="32"/>
          <w:highlight w:val="none"/>
          <w:lang w:val="en-US" w:eastAsia="zh-CN"/>
        </w:rPr>
        <w:t>五</w:t>
      </w:r>
      <w:r>
        <w:rPr>
          <w:rFonts w:hint="eastAsia" w:ascii="宋体" w:hAnsi="宋体" w:eastAsia="宋体" w:cs="宋体"/>
          <w:b/>
          <w:bCs/>
          <w:color w:val="auto"/>
          <w:w w:val="95"/>
          <w:sz w:val="32"/>
          <w:szCs w:val="32"/>
          <w:highlight w:val="none"/>
          <w:lang w:eastAsia="zh-CN"/>
        </w:rPr>
        <w:t>年</w:t>
      </w:r>
      <w:r>
        <w:rPr>
          <w:rFonts w:hint="eastAsia" w:ascii="宋体" w:hAnsi="宋体" w:cs="宋体"/>
          <w:b/>
          <w:bCs/>
          <w:color w:val="auto"/>
          <w:w w:val="95"/>
          <w:sz w:val="32"/>
          <w:szCs w:val="32"/>
          <w:highlight w:val="none"/>
          <w:lang w:val="en-US" w:eastAsia="zh-CN"/>
        </w:rPr>
        <w:t>一</w:t>
      </w:r>
      <w:r>
        <w:rPr>
          <w:rFonts w:hint="eastAsia" w:ascii="宋体" w:hAnsi="宋体" w:eastAsia="宋体" w:cs="宋体"/>
          <w:b/>
          <w:bCs/>
          <w:color w:val="auto"/>
          <w:w w:val="95"/>
          <w:sz w:val="32"/>
          <w:szCs w:val="32"/>
          <w:highlight w:val="none"/>
          <w:lang w:eastAsia="zh-CN"/>
        </w:rPr>
        <w:t>月</w:t>
      </w:r>
    </w:p>
    <w:p w14:paraId="4D5AD7C3">
      <w:pPr>
        <w:jc w:val="center"/>
        <w:rPr>
          <w:rFonts w:hint="eastAsia" w:ascii="宋体" w:hAnsi="宋体" w:eastAsia="宋体" w:cs="宋体"/>
          <w:b/>
          <w:color w:val="auto"/>
          <w:sz w:val="44"/>
          <w:szCs w:val="44"/>
          <w:highlight w:val="none"/>
        </w:rPr>
        <w:sectPr>
          <w:headerReference r:id="rId4" w:type="first"/>
          <w:headerReference r:id="rId3" w:type="default"/>
          <w:footerReference r:id="rId5" w:type="even"/>
          <w:pgSz w:w="11906" w:h="16838"/>
          <w:pgMar w:top="1134" w:right="1417" w:bottom="1134" w:left="1417" w:header="851" w:footer="992" w:gutter="0"/>
          <w:pgNumType w:start="1"/>
          <w:cols w:space="0" w:num="1"/>
          <w:rtlGutter w:val="0"/>
          <w:docGrid w:type="linesAndChars" w:linePitch="312" w:charSpace="0"/>
        </w:sectPr>
      </w:pPr>
    </w:p>
    <w:p w14:paraId="0323E6F6">
      <w:pPr>
        <w:rPr>
          <w:rFonts w:hint="eastAsia" w:ascii="宋体" w:hAnsi="宋体" w:eastAsia="宋体" w:cs="宋体"/>
          <w:color w:val="auto"/>
          <w:highlight w:val="none"/>
        </w:rPr>
      </w:pPr>
    </w:p>
    <w:p w14:paraId="28A4CD54">
      <w:pPr>
        <w:jc w:val="center"/>
        <w:rPr>
          <w:rFonts w:hint="eastAsia" w:ascii="宋体" w:hAnsi="宋体" w:eastAsia="宋体" w:cs="宋体"/>
          <w:b/>
          <w:color w:val="auto"/>
          <w:sz w:val="44"/>
          <w:szCs w:val="44"/>
          <w:highlight w:val="none"/>
        </w:rPr>
      </w:pPr>
    </w:p>
    <w:p w14:paraId="4F0E5497">
      <w:pPr>
        <w:jc w:val="center"/>
        <w:rPr>
          <w:rFonts w:hint="eastAsia" w:ascii="宋体" w:hAnsi="宋体" w:eastAsia="宋体" w:cs="宋体"/>
          <w:b/>
          <w:color w:val="auto"/>
          <w:sz w:val="44"/>
          <w:szCs w:val="44"/>
          <w:highlight w:val="none"/>
        </w:rPr>
      </w:pPr>
    </w:p>
    <w:p w14:paraId="1E7C1672">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录</w:t>
      </w:r>
    </w:p>
    <w:p w14:paraId="2CB0D4EE">
      <w:pPr>
        <w:jc w:val="center"/>
        <w:rPr>
          <w:rFonts w:hint="eastAsia" w:ascii="宋体" w:hAnsi="宋体" w:eastAsia="宋体" w:cs="宋体"/>
          <w:b/>
          <w:color w:val="auto"/>
          <w:sz w:val="44"/>
          <w:szCs w:val="44"/>
          <w:highlight w:val="none"/>
        </w:rPr>
      </w:pPr>
    </w:p>
    <w:p w14:paraId="434D5171">
      <w:pPr>
        <w:jc w:val="center"/>
        <w:rPr>
          <w:rFonts w:hint="eastAsia" w:ascii="宋体" w:hAnsi="宋体" w:eastAsia="宋体" w:cs="宋体"/>
          <w:color w:val="auto"/>
          <w:highlight w:val="none"/>
        </w:rPr>
      </w:pPr>
    </w:p>
    <w:p w14:paraId="6F106571">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  招标公告</w:t>
      </w:r>
    </w:p>
    <w:p w14:paraId="5A114614">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  投标须知</w:t>
      </w:r>
    </w:p>
    <w:p w14:paraId="6F5FCED3">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070C8392">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val="en-US" w:eastAsia="zh-CN"/>
        </w:rPr>
        <w:t>采购</w:t>
      </w:r>
      <w:r>
        <w:rPr>
          <w:rFonts w:hint="eastAsia" w:ascii="宋体" w:hAnsi="宋体" w:eastAsia="宋体" w:cs="宋体"/>
          <w:b/>
          <w:color w:val="auto"/>
          <w:sz w:val="36"/>
          <w:szCs w:val="36"/>
          <w:highlight w:val="none"/>
        </w:rPr>
        <w:t>需求</w:t>
      </w:r>
      <w:bookmarkStart w:id="46" w:name="_GoBack"/>
      <w:bookmarkEnd w:id="46"/>
    </w:p>
    <w:p w14:paraId="2BA2FD25">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采购合同（参考格式）</w:t>
      </w:r>
    </w:p>
    <w:p w14:paraId="59C9C4BD">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应提交的有关格式范例</w:t>
      </w:r>
    </w:p>
    <w:p w14:paraId="60D2521B">
      <w:pPr>
        <w:snapToGrid w:val="0"/>
        <w:spacing w:line="480" w:lineRule="auto"/>
        <w:ind w:firstLine="1807" w:firstLineChars="500"/>
        <w:jc w:val="left"/>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24"/>
          <w:highlight w:val="none"/>
        </w:rPr>
        <w:t>请各位投标人详细阅读各项条款</w:t>
      </w:r>
    </w:p>
    <w:p w14:paraId="1E6423D1">
      <w:pPr>
        <w:pStyle w:val="2"/>
        <w:spacing w:before="0" w:after="0" w:line="240" w:lineRule="auto"/>
        <w:jc w:val="center"/>
        <w:rPr>
          <w:rFonts w:hint="eastAsia" w:ascii="宋体" w:hAnsi="宋体" w:eastAsia="宋体" w:cs="宋体"/>
          <w:color w:val="auto"/>
          <w:sz w:val="36"/>
          <w:szCs w:val="36"/>
          <w:highlight w:val="none"/>
        </w:rPr>
        <w:sectPr>
          <w:pgSz w:w="11906" w:h="16838"/>
          <w:pgMar w:top="1134" w:right="1417" w:bottom="1134" w:left="1417" w:header="851" w:footer="992" w:gutter="0"/>
          <w:cols w:space="425" w:num="1"/>
          <w:docGrid w:type="lines" w:linePitch="312" w:charSpace="0"/>
        </w:sectPr>
      </w:pPr>
    </w:p>
    <w:p w14:paraId="6641EC02">
      <w:pPr>
        <w:keepNext w:val="0"/>
        <w:keepLines w:val="0"/>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第一章  招标公告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5333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9650" w:type="dxa"/>
            <w:noWrap w:val="0"/>
            <w:vAlign w:val="top"/>
          </w:tcPr>
          <w:p w14:paraId="4178D3AE">
            <w:pPr>
              <w:pStyle w:val="16"/>
              <w:keepNext w:val="0"/>
              <w:keepLines w:val="0"/>
              <w:pageBreakBefore w:val="0"/>
              <w:widowControl/>
              <w:suppressLineNumbers w:val="0"/>
              <w:shd w:val="clear"/>
              <w:kinsoku/>
              <w:overflowPunct/>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shd w:val="clear" w:color="auto" w:fill="FFFFFF"/>
              </w:rPr>
              <w:t>项目概况</w:t>
            </w:r>
          </w:p>
          <w:p w14:paraId="0CD8B271">
            <w:pPr>
              <w:pStyle w:val="16"/>
              <w:keepNext w:val="0"/>
              <w:keepLines w:val="0"/>
              <w:pageBreakBefore w:val="0"/>
              <w:widowControl/>
              <w:suppressLineNumbers w:val="0"/>
              <w:shd w:val="clear"/>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i w:val="0"/>
                <w:iCs w:val="0"/>
                <w:color w:val="auto"/>
                <w:sz w:val="24"/>
                <w:szCs w:val="24"/>
                <w:highlight w:val="none"/>
                <w:vertAlign w:val="baseline"/>
              </w:rPr>
            </w:pPr>
            <w:r>
              <w:rPr>
                <w:rFonts w:hint="eastAsia" w:ascii="宋体" w:hAnsi="宋体" w:eastAsia="宋体" w:cs="宋体"/>
                <w:b w:val="0"/>
                <w:bCs w:val="0"/>
                <w:i w:val="0"/>
                <w:iCs w:val="0"/>
                <w:color w:val="auto"/>
                <w:sz w:val="24"/>
                <w:szCs w:val="24"/>
                <w:highlight w:val="none"/>
                <w:u w:val="single"/>
                <w:shd w:val="clear" w:color="auto" w:fill="FFFFFF"/>
                <w:lang w:eastAsia="zh-CN"/>
              </w:rPr>
              <w:t>2024年诸暨市公安局存储服务器、应用服务器采购项目</w:t>
            </w:r>
            <w:r>
              <w:rPr>
                <w:rFonts w:hint="eastAsia" w:ascii="宋体" w:hAnsi="宋体" w:eastAsia="宋体" w:cs="宋体"/>
                <w:b w:val="0"/>
                <w:bCs w:val="0"/>
                <w:i w:val="0"/>
                <w:iCs w:val="0"/>
                <w:color w:val="auto"/>
                <w:sz w:val="24"/>
                <w:szCs w:val="24"/>
                <w:highlight w:val="none"/>
                <w:u w:val="single"/>
                <w:shd w:val="clear" w:color="auto" w:fill="FFFFFF"/>
                <w:lang w:val="en-US" w:eastAsia="zh-CN"/>
              </w:rPr>
              <w:t xml:space="preserve"> </w:t>
            </w:r>
            <w:r>
              <w:rPr>
                <w:rFonts w:hint="eastAsia" w:ascii="宋体" w:hAnsi="宋体" w:eastAsia="宋体" w:cs="宋体"/>
                <w:b w:val="0"/>
                <w:bCs w:val="0"/>
                <w:i w:val="0"/>
                <w:iCs w:val="0"/>
                <w:color w:val="auto"/>
                <w:sz w:val="24"/>
                <w:szCs w:val="24"/>
                <w:highlight w:val="none"/>
                <w:shd w:val="clear" w:color="auto" w:fill="FFFFFF"/>
              </w:rPr>
              <w:t>招标项目的潜在投标人应</w:t>
            </w:r>
            <w:r>
              <w:rPr>
                <w:rFonts w:hint="eastAsia" w:ascii="宋体" w:hAnsi="宋体" w:eastAsia="宋体" w:cs="宋体"/>
                <w:b w:val="0"/>
                <w:bCs w:val="0"/>
                <w:i w:val="0"/>
                <w:iCs w:val="0"/>
                <w:color w:val="auto"/>
                <w:sz w:val="24"/>
                <w:szCs w:val="24"/>
                <w:highlight w:val="none"/>
                <w:u w:val="none"/>
                <w:shd w:val="clear" w:color="auto" w:fill="FFFFFF"/>
              </w:rPr>
              <w:t>在</w:t>
            </w:r>
            <w:r>
              <w:rPr>
                <w:rFonts w:hint="eastAsia" w:ascii="宋体" w:hAnsi="宋体" w:eastAsia="宋体" w:cs="宋体"/>
                <w:b w:val="0"/>
                <w:bCs w:val="0"/>
                <w:i w:val="0"/>
                <w:iCs w:val="0"/>
                <w:color w:val="auto"/>
                <w:sz w:val="24"/>
                <w:szCs w:val="24"/>
                <w:highlight w:val="none"/>
                <w:u w:val="single"/>
                <w:shd w:val="clear" w:color="auto" w:fill="FFFFFF"/>
              </w:rPr>
              <w:t>乐采云平台（https://www.lecaiyun.com/）</w:t>
            </w:r>
            <w:r>
              <w:rPr>
                <w:rFonts w:hint="eastAsia" w:ascii="宋体" w:hAnsi="宋体" w:eastAsia="宋体" w:cs="宋体"/>
                <w:b w:val="0"/>
                <w:bCs w:val="0"/>
                <w:i w:val="0"/>
                <w:iCs w:val="0"/>
                <w:color w:val="auto"/>
                <w:sz w:val="24"/>
                <w:szCs w:val="24"/>
                <w:highlight w:val="none"/>
                <w:shd w:val="clear" w:color="auto" w:fill="FFFFFF"/>
              </w:rPr>
              <w:t>获取（下载）招标文件，并于</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ascii="宋体" w:hAnsi="宋体" w:eastAsia="宋体" w:cs="宋体"/>
                <w:b w:val="0"/>
                <w:bCs w:val="0"/>
                <w:i w:val="0"/>
                <w:iCs w:val="0"/>
                <w:color w:val="auto"/>
                <w:sz w:val="24"/>
                <w:szCs w:val="24"/>
                <w:highlight w:val="none"/>
                <w:u w:val="single"/>
                <w:shd w:val="clear" w:color="auto" w:fill="FFFFFF"/>
                <w:lang w:val="en-US" w:eastAsia="zh-CN"/>
              </w:rPr>
              <w:t>5</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ascii="宋体" w:hAnsi="宋体" w:eastAsia="宋体" w:cs="宋体"/>
                <w:b w:val="0"/>
                <w:bCs w:val="0"/>
                <w:i w:val="0"/>
                <w:iCs w:val="0"/>
                <w:color w:val="auto"/>
                <w:sz w:val="24"/>
                <w:szCs w:val="24"/>
                <w:highlight w:val="none"/>
                <w:u w:val="single"/>
                <w:shd w:val="clear" w:color="auto" w:fill="FFFFFF"/>
                <w:lang w:val="en-US" w:eastAsia="zh-CN"/>
              </w:rPr>
              <w:t>1</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22日</w:t>
            </w:r>
            <w:r>
              <w:rPr>
                <w:rFonts w:hint="eastAsia" w:ascii="宋体" w:hAnsi="宋体" w:eastAsia="宋体" w:cs="宋体"/>
                <w:b w:val="0"/>
                <w:bCs w:val="0"/>
                <w:i w:val="0"/>
                <w:iCs w:val="0"/>
                <w:color w:val="auto"/>
                <w:sz w:val="24"/>
                <w:szCs w:val="24"/>
                <w:highlight w:val="none"/>
                <w:u w:val="single"/>
                <w:shd w:val="clear" w:color="auto" w:fill="FFFFFF"/>
                <w:lang w:val="en-US" w:eastAsia="zh-CN"/>
              </w:rPr>
              <w:t>14</w:t>
            </w:r>
            <w:r>
              <w:rPr>
                <w:rFonts w:hint="eastAsia" w:ascii="宋体" w:hAnsi="宋体" w:eastAsia="宋体" w:cs="宋体"/>
                <w:b w:val="0"/>
                <w:bCs w:val="0"/>
                <w:i w:val="0"/>
                <w:iCs w:val="0"/>
                <w:color w:val="auto"/>
                <w:sz w:val="24"/>
                <w:szCs w:val="24"/>
                <w:highlight w:val="none"/>
                <w:u w:val="single"/>
                <w:shd w:val="clear" w:color="auto" w:fill="FFFFFF"/>
                <w:lang w:eastAsia="zh-CN"/>
              </w:rPr>
              <w:t>:30时</w:t>
            </w:r>
            <w:r>
              <w:rPr>
                <w:rFonts w:hint="eastAsia" w:ascii="宋体" w:hAnsi="宋体" w:eastAsia="宋体" w:cs="宋体"/>
                <w:b w:val="0"/>
                <w:bCs w:val="0"/>
                <w:i w:val="0"/>
                <w:iCs w:val="0"/>
                <w:color w:val="auto"/>
                <w:sz w:val="24"/>
                <w:szCs w:val="24"/>
                <w:highlight w:val="none"/>
                <w:shd w:val="clear" w:color="auto" w:fill="FFFFFF"/>
              </w:rPr>
              <w:t>（北京时间）前递交（上传）投标文件。</w:t>
            </w:r>
          </w:p>
        </w:tc>
      </w:tr>
    </w:tbl>
    <w:p w14:paraId="3C11F7BE">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bookmarkStart w:id="0" w:name="_Toc28359079"/>
      <w:bookmarkStart w:id="1" w:name="_Toc35393621"/>
      <w:bookmarkStart w:id="2" w:name="_Toc28359002"/>
      <w:bookmarkStart w:id="3" w:name="_Toc35393790"/>
      <w:bookmarkStart w:id="4" w:name="_Hlk24379207"/>
      <w:r>
        <w:rPr>
          <w:rFonts w:hint="eastAsia" w:ascii="宋体" w:hAnsi="宋体" w:eastAsia="宋体" w:cs="宋体"/>
          <w:b/>
          <w:bCs w:val="0"/>
          <w:color w:val="auto"/>
          <w:kern w:val="0"/>
          <w:sz w:val="24"/>
          <w:szCs w:val="24"/>
          <w:highlight w:val="none"/>
          <w:lang w:val="en-US" w:eastAsia="zh-CN" w:bidi="ar-SA"/>
        </w:rPr>
        <w:t>一、项目基本情况</w:t>
      </w:r>
      <w:bookmarkEnd w:id="0"/>
      <w:bookmarkEnd w:id="1"/>
      <w:bookmarkEnd w:id="2"/>
      <w:bookmarkEnd w:id="3"/>
    </w:p>
    <w:bookmarkEnd w:id="4"/>
    <w:p w14:paraId="7B0A66E5">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bookmarkStart w:id="5" w:name="_Toc28359080"/>
      <w:bookmarkStart w:id="6" w:name="_Toc35393622"/>
      <w:bookmarkStart w:id="7" w:name="_Toc35393791"/>
      <w:bookmarkStart w:id="8" w:name="_Toc28359003"/>
      <w:r>
        <w:rPr>
          <w:rFonts w:hint="eastAsia" w:ascii="宋体" w:hAnsi="宋体" w:eastAsia="宋体" w:cs="宋体"/>
          <w:bCs/>
          <w:color w:val="auto"/>
          <w:sz w:val="24"/>
          <w:szCs w:val="24"/>
          <w:highlight w:val="none"/>
          <w:lang w:val="en-US" w:eastAsia="zh-CN"/>
        </w:rPr>
        <w:t>项目编号：浙博策2024-12-05</w:t>
      </w:r>
    </w:p>
    <w:p w14:paraId="0DC67DAA">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项目名称：2024年诸暨市公安局存储服务器、应用服务器采购项目</w:t>
      </w:r>
    </w:p>
    <w:p w14:paraId="16E32410">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采购组织类型：分散采购委托代理</w:t>
      </w:r>
    </w:p>
    <w:p w14:paraId="02F2864A">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预算金额（元）：786000</w:t>
      </w:r>
    </w:p>
    <w:p w14:paraId="258F2984">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最高限价（元）：本次采购最高限价为人民币柒拾捌万陆仟元整（¥786000.00）。投标人须在投标文件中提供明细报价，任何超过最高限价的报价将被认定为无效报价。任何超过最高限价的投标报价将被认定为无效报价。（投标报价包含材料、货物运输、配送、验收、送检费、安装、调试、培训、售后服务等本项目实施所需一切费用）。</w:t>
      </w:r>
    </w:p>
    <w:p w14:paraId="28AC9197">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采购需求：2024年诸暨市公安局存储服务器、应用服务器采购项目，采购预算金额为人民币柒拾捌万陆仟元整（¥786000.00），具体详见招标文件第四章采购需求。</w:t>
      </w:r>
    </w:p>
    <w:p w14:paraId="09D377A8">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采购方式：公开招标</w:t>
      </w:r>
    </w:p>
    <w:p w14:paraId="36942C87">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评标办法：综合评分法</w:t>
      </w:r>
    </w:p>
    <w:p w14:paraId="301BA1BA">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合同履约期限：25天</w:t>
      </w:r>
    </w:p>
    <w:p w14:paraId="158762DA">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本项目（否）接受联合体投标。</w:t>
      </w:r>
    </w:p>
    <w:p w14:paraId="0F3150F2">
      <w:pPr>
        <w:pageBreakBefore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kern w:val="0"/>
          <w:sz w:val="24"/>
          <w:szCs w:val="24"/>
          <w:highlight w:val="none"/>
          <w:lang w:val="en-US" w:eastAsia="zh-CN" w:bidi="ar-SA"/>
        </w:rPr>
        <w:t>二</w:t>
      </w:r>
      <w:bookmarkEnd w:id="5"/>
      <w:bookmarkEnd w:id="6"/>
      <w:bookmarkEnd w:id="7"/>
      <w:bookmarkEnd w:id="8"/>
      <w:r>
        <w:rPr>
          <w:rFonts w:hint="eastAsia" w:ascii="宋体" w:hAnsi="宋体" w:eastAsia="宋体" w:cs="宋体"/>
          <w:b/>
          <w:color w:val="auto"/>
          <w:sz w:val="24"/>
          <w:szCs w:val="24"/>
          <w:highlight w:val="none"/>
        </w:rPr>
        <w:t>、申请人的资格要求：</w:t>
      </w:r>
    </w:p>
    <w:p w14:paraId="3C5A4411">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bookmarkStart w:id="9" w:name="_Toc35393792"/>
      <w:bookmarkStart w:id="10" w:name="_Toc35393623"/>
      <w:r>
        <w:rPr>
          <w:rFonts w:hint="eastAsia" w:ascii="宋体" w:hAnsi="宋体" w:eastAsia="宋体" w:cs="宋体"/>
          <w:bCs/>
          <w:color w:val="auto"/>
          <w:sz w:val="24"/>
          <w:szCs w:val="24"/>
          <w:highlight w:val="none"/>
          <w:lang w:val="en-US" w:eastAsia="zh-CN"/>
        </w:rPr>
        <w:t>1、满足《中华人民共和国政府采购法》第二十二条规定；</w:t>
      </w:r>
    </w:p>
    <w:p w14:paraId="3AF5A424">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2、未被“信用中国”（www.creditchina.gov.cn）、中国政府采购网（www.ccgp.gov.cn）列入失信被执行人、重大税收违法案件当事人名单、政府采购严重违法失信行为记录名单；</w:t>
      </w:r>
    </w:p>
    <w:p w14:paraId="5937EFC8">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3、具有本项目实施能力，且具有良好信誉的供应商；</w:t>
      </w:r>
    </w:p>
    <w:p w14:paraId="3BB1457E">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4、本项目不接受联合体投标。</w:t>
      </w:r>
    </w:p>
    <w:p w14:paraId="708A3AC2">
      <w:pPr>
        <w:pageBreakBefore w:val="0"/>
        <w:shd w:val="clear"/>
        <w:kinsoku/>
        <w:overflowPunct/>
        <w:bidi w:val="0"/>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三、获取招标文件</w:t>
      </w:r>
      <w:bookmarkEnd w:id="9"/>
      <w:bookmarkEnd w:id="10"/>
    </w:p>
    <w:p w14:paraId="35BCA646">
      <w:pPr>
        <w:pageBreakBefore w:val="0"/>
        <w:shd w:val="clear"/>
        <w:kinsoku/>
        <w:overflowPunct/>
        <w:bidi w:val="0"/>
        <w:spacing w:line="360" w:lineRule="auto"/>
        <w:ind w:firstLine="480" w:firstLineChars="200"/>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时间</w:t>
      </w:r>
      <w:r>
        <w:rPr>
          <w:rStyle w:val="21"/>
          <w:rFonts w:hint="eastAsia" w:ascii="宋体" w:hAnsi="宋体" w:eastAsia="宋体" w:cs="宋体"/>
          <w:b w:val="0"/>
          <w:color w:val="auto"/>
          <w:sz w:val="24"/>
          <w:szCs w:val="24"/>
          <w:highlight w:val="none"/>
          <w:shd w:val="clear" w:color="auto" w:fill="FFFFFF"/>
          <w:lang w:eastAsia="zh-CN"/>
        </w:rPr>
        <w:t>：</w:t>
      </w:r>
      <w:r>
        <w:rPr>
          <w:rStyle w:val="21"/>
          <w:rFonts w:hint="eastAsia" w:ascii="宋体" w:hAnsi="宋体" w:eastAsia="宋体" w:cs="宋体"/>
          <w:b w:val="0"/>
          <w:color w:val="auto"/>
          <w:sz w:val="24"/>
          <w:szCs w:val="24"/>
          <w:highlight w:val="none"/>
          <w:u w:val="single"/>
          <w:shd w:val="clear" w:color="auto" w:fill="FFFFFF"/>
          <w:lang w:eastAsia="zh-CN"/>
        </w:rPr>
        <w:t>202</w:t>
      </w:r>
      <w:r>
        <w:rPr>
          <w:rStyle w:val="21"/>
          <w:rFonts w:hint="eastAsia" w:ascii="宋体" w:hAnsi="宋体" w:eastAsia="宋体" w:cs="宋体"/>
          <w:b w:val="0"/>
          <w:color w:val="auto"/>
          <w:sz w:val="24"/>
          <w:szCs w:val="24"/>
          <w:highlight w:val="none"/>
          <w:u w:val="single"/>
          <w:shd w:val="clear" w:color="auto" w:fill="FFFFFF"/>
          <w:lang w:val="en-US" w:eastAsia="zh-CN"/>
        </w:rPr>
        <w:t>5</w:t>
      </w:r>
      <w:r>
        <w:rPr>
          <w:rStyle w:val="21"/>
          <w:rFonts w:hint="eastAsia" w:ascii="宋体" w:hAnsi="宋体" w:eastAsia="宋体" w:cs="宋体"/>
          <w:b w:val="0"/>
          <w:color w:val="auto"/>
          <w:sz w:val="24"/>
          <w:szCs w:val="24"/>
          <w:highlight w:val="none"/>
          <w:u w:val="single"/>
          <w:shd w:val="clear" w:color="auto" w:fill="FFFFFF"/>
          <w:lang w:eastAsia="zh-CN"/>
        </w:rPr>
        <w:t>年</w:t>
      </w:r>
      <w:r>
        <w:rPr>
          <w:rStyle w:val="21"/>
          <w:rFonts w:hint="eastAsia" w:ascii="宋体" w:hAnsi="宋体" w:eastAsia="宋体" w:cs="宋体"/>
          <w:b w:val="0"/>
          <w:color w:val="auto"/>
          <w:sz w:val="24"/>
          <w:szCs w:val="24"/>
          <w:highlight w:val="none"/>
          <w:u w:val="single"/>
          <w:shd w:val="clear" w:color="auto" w:fill="FFFFFF"/>
          <w:lang w:val="en-US" w:eastAsia="zh-CN"/>
        </w:rPr>
        <w:t>1</w:t>
      </w:r>
      <w:r>
        <w:rPr>
          <w:rStyle w:val="21"/>
          <w:rFonts w:hint="eastAsia" w:ascii="宋体" w:hAnsi="宋体" w:eastAsia="宋体" w:cs="宋体"/>
          <w:b w:val="0"/>
          <w:color w:val="auto"/>
          <w:sz w:val="24"/>
          <w:szCs w:val="24"/>
          <w:highlight w:val="none"/>
          <w:u w:val="single"/>
          <w:shd w:val="clear" w:color="auto" w:fill="FFFFFF"/>
          <w:lang w:eastAsia="zh-CN"/>
        </w:rPr>
        <w:t>月</w:t>
      </w:r>
      <w:r>
        <w:rPr>
          <w:rStyle w:val="21"/>
          <w:rFonts w:hint="eastAsia" w:ascii="宋体" w:hAnsi="宋体" w:cs="宋体"/>
          <w:b w:val="0"/>
          <w:color w:val="auto"/>
          <w:sz w:val="24"/>
          <w:szCs w:val="24"/>
          <w:highlight w:val="none"/>
          <w:u w:val="single"/>
          <w:shd w:val="clear" w:color="auto" w:fill="FFFFFF"/>
          <w:lang w:val="en-US" w:eastAsia="zh-CN"/>
        </w:rPr>
        <w:t>2日</w:t>
      </w:r>
      <w:r>
        <w:rPr>
          <w:rStyle w:val="21"/>
          <w:rFonts w:hint="eastAsia" w:ascii="宋体" w:hAnsi="宋体" w:eastAsia="宋体" w:cs="宋体"/>
          <w:b w:val="0"/>
          <w:color w:val="auto"/>
          <w:sz w:val="24"/>
          <w:szCs w:val="24"/>
          <w:highlight w:val="none"/>
          <w:shd w:val="clear" w:color="auto" w:fill="FFFFFF"/>
          <w:lang w:eastAsia="zh-CN"/>
        </w:rPr>
        <w:t>至</w:t>
      </w:r>
      <w:r>
        <w:rPr>
          <w:rStyle w:val="21"/>
          <w:rFonts w:hint="eastAsia" w:ascii="宋体" w:hAnsi="宋体" w:eastAsia="宋体" w:cs="宋体"/>
          <w:b w:val="0"/>
          <w:color w:val="auto"/>
          <w:sz w:val="24"/>
          <w:szCs w:val="24"/>
          <w:highlight w:val="none"/>
          <w:u w:val="single"/>
          <w:shd w:val="clear" w:color="auto" w:fill="FFFFFF"/>
          <w:lang w:eastAsia="zh-CN"/>
        </w:rPr>
        <w:t>202</w:t>
      </w:r>
      <w:r>
        <w:rPr>
          <w:rStyle w:val="21"/>
          <w:rFonts w:hint="eastAsia" w:ascii="宋体" w:hAnsi="宋体" w:eastAsia="宋体" w:cs="宋体"/>
          <w:b w:val="0"/>
          <w:color w:val="auto"/>
          <w:sz w:val="24"/>
          <w:szCs w:val="24"/>
          <w:highlight w:val="none"/>
          <w:u w:val="single"/>
          <w:shd w:val="clear" w:color="auto" w:fill="FFFFFF"/>
          <w:lang w:val="en-US" w:eastAsia="zh-CN"/>
        </w:rPr>
        <w:t>5</w:t>
      </w:r>
      <w:r>
        <w:rPr>
          <w:rStyle w:val="21"/>
          <w:rFonts w:hint="eastAsia" w:ascii="宋体" w:hAnsi="宋体" w:eastAsia="宋体" w:cs="宋体"/>
          <w:b w:val="0"/>
          <w:color w:val="auto"/>
          <w:sz w:val="24"/>
          <w:szCs w:val="24"/>
          <w:highlight w:val="none"/>
          <w:u w:val="single"/>
          <w:shd w:val="clear" w:color="auto" w:fill="FFFFFF"/>
          <w:lang w:eastAsia="zh-CN"/>
        </w:rPr>
        <w:t>年</w:t>
      </w:r>
      <w:r>
        <w:rPr>
          <w:rStyle w:val="21"/>
          <w:rFonts w:hint="eastAsia" w:ascii="宋体" w:hAnsi="宋体" w:eastAsia="宋体" w:cs="宋体"/>
          <w:b w:val="0"/>
          <w:color w:val="auto"/>
          <w:sz w:val="24"/>
          <w:szCs w:val="24"/>
          <w:highlight w:val="none"/>
          <w:u w:val="single"/>
          <w:shd w:val="clear" w:color="auto" w:fill="FFFFFF"/>
          <w:lang w:val="en-US" w:eastAsia="zh-CN"/>
        </w:rPr>
        <w:t>1</w:t>
      </w:r>
      <w:r>
        <w:rPr>
          <w:rStyle w:val="21"/>
          <w:rFonts w:hint="eastAsia" w:ascii="宋体" w:hAnsi="宋体" w:eastAsia="宋体" w:cs="宋体"/>
          <w:b w:val="0"/>
          <w:color w:val="auto"/>
          <w:sz w:val="24"/>
          <w:szCs w:val="24"/>
          <w:highlight w:val="none"/>
          <w:u w:val="single"/>
          <w:shd w:val="clear" w:color="auto" w:fill="FFFFFF"/>
          <w:lang w:eastAsia="zh-CN"/>
        </w:rPr>
        <w:t>月</w:t>
      </w:r>
      <w:r>
        <w:rPr>
          <w:rStyle w:val="21"/>
          <w:rFonts w:hint="eastAsia" w:ascii="宋体" w:hAnsi="宋体" w:cs="宋体"/>
          <w:b w:val="0"/>
          <w:color w:val="auto"/>
          <w:sz w:val="24"/>
          <w:szCs w:val="24"/>
          <w:highlight w:val="none"/>
          <w:u w:val="single"/>
          <w:shd w:val="clear" w:color="auto" w:fill="FFFFFF"/>
          <w:lang w:val="en-US" w:eastAsia="zh-CN"/>
        </w:rPr>
        <w:t>22日</w:t>
      </w:r>
      <w:r>
        <w:rPr>
          <w:rStyle w:val="21"/>
          <w:rFonts w:hint="eastAsia" w:ascii="宋体" w:hAnsi="宋体" w:eastAsia="宋体" w:cs="宋体"/>
          <w:b w:val="0"/>
          <w:color w:val="auto"/>
          <w:sz w:val="24"/>
          <w:szCs w:val="24"/>
          <w:highlight w:val="none"/>
          <w:shd w:val="clear" w:color="auto" w:fill="FFFFFF"/>
          <w:lang w:eastAsia="zh-CN"/>
        </w:rPr>
        <w:t>，每天上午00:00至12:00，下午12:00至24:00（北京时间）</w:t>
      </w:r>
    </w:p>
    <w:p w14:paraId="71793F55">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地点：乐采云平台线上获取</w:t>
      </w:r>
    </w:p>
    <w:p w14:paraId="766B5D05">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方式：潜在供应商登录乐采云平台，在线申请获取招标文件。进入“项目采购”应用，在获取招标文件菜单中选择项目，申请获取招标文件（仅需浏览招标文件的供应商可点击“游客，浏览招标文件”直接下载招标文件浏览）。</w:t>
      </w:r>
    </w:p>
    <w:p w14:paraId="37E8F15D">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bookmarkStart w:id="11" w:name="_Toc28359005"/>
      <w:bookmarkStart w:id="12" w:name="_Toc28359082"/>
      <w:bookmarkStart w:id="13" w:name="_Toc35393624"/>
      <w:bookmarkStart w:id="14" w:name="_Toc35393793"/>
      <w:r>
        <w:rPr>
          <w:rFonts w:hint="eastAsia" w:ascii="宋体" w:hAnsi="宋体" w:eastAsia="宋体" w:cs="宋体"/>
          <w:b/>
          <w:bCs w:val="0"/>
          <w:color w:val="auto"/>
          <w:kern w:val="0"/>
          <w:sz w:val="24"/>
          <w:szCs w:val="24"/>
          <w:highlight w:val="none"/>
          <w:lang w:val="en-US" w:eastAsia="zh-CN" w:bidi="ar-SA"/>
        </w:rPr>
        <w:t>四、提交投标文件</w:t>
      </w:r>
      <w:bookmarkEnd w:id="11"/>
      <w:bookmarkEnd w:id="12"/>
      <w:r>
        <w:rPr>
          <w:rFonts w:hint="eastAsia" w:ascii="宋体" w:hAnsi="宋体" w:eastAsia="宋体" w:cs="宋体"/>
          <w:b/>
          <w:bCs w:val="0"/>
          <w:color w:val="auto"/>
          <w:kern w:val="0"/>
          <w:sz w:val="24"/>
          <w:szCs w:val="24"/>
          <w:highlight w:val="none"/>
          <w:lang w:val="en-US" w:eastAsia="zh-CN" w:bidi="ar-SA"/>
        </w:rPr>
        <w:t>截止时间、开标时间和地点</w:t>
      </w:r>
      <w:bookmarkEnd w:id="13"/>
      <w:bookmarkEnd w:id="14"/>
    </w:p>
    <w:p w14:paraId="2A8324B9">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提交投标文件截止时间：</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ascii="宋体" w:hAnsi="宋体" w:eastAsia="宋体" w:cs="宋体"/>
          <w:b w:val="0"/>
          <w:bCs w:val="0"/>
          <w:i w:val="0"/>
          <w:iCs w:val="0"/>
          <w:color w:val="auto"/>
          <w:sz w:val="24"/>
          <w:szCs w:val="24"/>
          <w:highlight w:val="none"/>
          <w:u w:val="single"/>
          <w:shd w:val="clear" w:color="auto" w:fill="FFFFFF"/>
          <w:lang w:val="en-US" w:eastAsia="zh-CN"/>
        </w:rPr>
        <w:t>5</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ascii="宋体" w:hAnsi="宋体" w:eastAsia="宋体" w:cs="宋体"/>
          <w:b w:val="0"/>
          <w:bCs w:val="0"/>
          <w:i w:val="0"/>
          <w:iCs w:val="0"/>
          <w:color w:val="auto"/>
          <w:sz w:val="24"/>
          <w:szCs w:val="24"/>
          <w:highlight w:val="none"/>
          <w:u w:val="single"/>
          <w:shd w:val="clear" w:color="auto" w:fill="FFFFFF"/>
          <w:lang w:val="en-US" w:eastAsia="zh-CN"/>
        </w:rPr>
        <w:t>1</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22日</w:t>
      </w:r>
      <w:r>
        <w:rPr>
          <w:rFonts w:hint="eastAsia" w:ascii="宋体" w:hAnsi="宋体" w:eastAsia="宋体" w:cs="宋体"/>
          <w:b w:val="0"/>
          <w:bCs w:val="0"/>
          <w:i w:val="0"/>
          <w:iCs w:val="0"/>
          <w:color w:val="auto"/>
          <w:sz w:val="24"/>
          <w:szCs w:val="24"/>
          <w:highlight w:val="none"/>
          <w:u w:val="single"/>
          <w:shd w:val="clear" w:color="auto" w:fill="FFFFFF"/>
          <w:lang w:val="en-US" w:eastAsia="zh-CN"/>
        </w:rPr>
        <w:t>14</w:t>
      </w:r>
      <w:r>
        <w:rPr>
          <w:rFonts w:hint="eastAsia" w:ascii="宋体" w:hAnsi="宋体" w:eastAsia="宋体" w:cs="宋体"/>
          <w:b w:val="0"/>
          <w:bCs w:val="0"/>
          <w:i w:val="0"/>
          <w:iCs w:val="0"/>
          <w:color w:val="auto"/>
          <w:sz w:val="24"/>
          <w:szCs w:val="24"/>
          <w:highlight w:val="none"/>
          <w:u w:val="single"/>
          <w:shd w:val="clear" w:color="auto" w:fill="FFFFFF"/>
          <w:lang w:eastAsia="zh-CN"/>
        </w:rPr>
        <w:t>:30时</w:t>
      </w:r>
      <w:r>
        <w:rPr>
          <w:rStyle w:val="21"/>
          <w:rFonts w:hint="eastAsia" w:ascii="宋体" w:hAnsi="宋体" w:eastAsia="宋体" w:cs="宋体"/>
          <w:b w:val="0"/>
          <w:color w:val="auto"/>
          <w:sz w:val="24"/>
          <w:szCs w:val="24"/>
          <w:highlight w:val="none"/>
          <w:shd w:val="clear" w:color="auto" w:fill="FFFFFF"/>
        </w:rPr>
        <w:t>（北京时间）</w:t>
      </w:r>
    </w:p>
    <w:p w14:paraId="260E39F7">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rPr>
      </w:pPr>
      <w:r>
        <w:rPr>
          <w:rStyle w:val="21"/>
          <w:rFonts w:hint="eastAsia" w:ascii="宋体" w:hAnsi="宋体" w:eastAsia="宋体" w:cs="宋体"/>
          <w:b w:val="0"/>
          <w:color w:val="auto"/>
          <w:sz w:val="24"/>
          <w:szCs w:val="24"/>
          <w:highlight w:val="none"/>
          <w:shd w:val="clear" w:color="auto" w:fill="FFFFFF"/>
        </w:rPr>
        <w:t>投标地点（网址）：</w:t>
      </w:r>
      <w:r>
        <w:rPr>
          <w:rFonts w:hint="eastAsia" w:ascii="宋体" w:hAnsi="宋体" w:eastAsia="宋体" w:cs="宋体"/>
          <w:color w:val="auto"/>
          <w:sz w:val="24"/>
          <w:szCs w:val="24"/>
          <w:highlight w:val="none"/>
        </w:rPr>
        <w:t>投标人应于</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ascii="宋体" w:hAnsi="宋体" w:eastAsia="宋体" w:cs="宋体"/>
          <w:b w:val="0"/>
          <w:bCs w:val="0"/>
          <w:i w:val="0"/>
          <w:iCs w:val="0"/>
          <w:color w:val="auto"/>
          <w:sz w:val="24"/>
          <w:szCs w:val="24"/>
          <w:highlight w:val="none"/>
          <w:u w:val="single"/>
          <w:shd w:val="clear" w:color="auto" w:fill="FFFFFF"/>
          <w:lang w:val="en-US" w:eastAsia="zh-CN"/>
        </w:rPr>
        <w:t>5</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ascii="宋体" w:hAnsi="宋体" w:eastAsia="宋体" w:cs="宋体"/>
          <w:b w:val="0"/>
          <w:bCs w:val="0"/>
          <w:i w:val="0"/>
          <w:iCs w:val="0"/>
          <w:color w:val="auto"/>
          <w:sz w:val="24"/>
          <w:szCs w:val="24"/>
          <w:highlight w:val="none"/>
          <w:u w:val="single"/>
          <w:shd w:val="clear" w:color="auto" w:fill="FFFFFF"/>
          <w:lang w:val="en-US" w:eastAsia="zh-CN"/>
        </w:rPr>
        <w:t>1</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22日</w:t>
      </w:r>
      <w:r>
        <w:rPr>
          <w:rFonts w:hint="eastAsia" w:ascii="宋体" w:hAnsi="宋体" w:eastAsia="宋体" w:cs="宋体"/>
          <w:b w:val="0"/>
          <w:bCs w:val="0"/>
          <w:i w:val="0"/>
          <w:iCs w:val="0"/>
          <w:color w:val="auto"/>
          <w:sz w:val="24"/>
          <w:szCs w:val="24"/>
          <w:highlight w:val="none"/>
          <w:u w:val="single"/>
          <w:shd w:val="clear" w:color="auto" w:fill="FFFFFF"/>
          <w:lang w:val="en-US" w:eastAsia="zh-CN"/>
        </w:rPr>
        <w:t>14</w:t>
      </w:r>
      <w:r>
        <w:rPr>
          <w:rFonts w:hint="eastAsia" w:ascii="宋体" w:hAnsi="宋体" w:eastAsia="宋体" w:cs="宋体"/>
          <w:b w:val="0"/>
          <w:bCs w:val="0"/>
          <w:i w:val="0"/>
          <w:iCs w:val="0"/>
          <w:color w:val="auto"/>
          <w:sz w:val="24"/>
          <w:szCs w:val="24"/>
          <w:highlight w:val="none"/>
          <w:u w:val="single"/>
          <w:shd w:val="clear" w:color="auto" w:fill="FFFFFF"/>
          <w:lang w:eastAsia="zh-CN"/>
        </w:rPr>
        <w:t>:30时</w:t>
      </w:r>
      <w:r>
        <w:rPr>
          <w:rFonts w:hint="eastAsia" w:ascii="宋体" w:hAnsi="宋体" w:eastAsia="宋体" w:cs="宋体"/>
          <w:color w:val="auto"/>
          <w:sz w:val="24"/>
          <w:szCs w:val="24"/>
          <w:highlight w:val="none"/>
        </w:rPr>
        <w:t>整之前将电子投标文件上传到“</w:t>
      </w:r>
      <w:r>
        <w:rPr>
          <w:rFonts w:hint="eastAsia" w:ascii="宋体" w:hAnsi="宋体" w:eastAsia="宋体" w:cs="宋体"/>
          <w:color w:val="auto"/>
          <w:sz w:val="24"/>
          <w:szCs w:val="24"/>
          <w:highlight w:val="none"/>
          <w:lang w:eastAsia="zh-CN"/>
        </w:rPr>
        <w:t>乐采云</w:t>
      </w:r>
      <w:r>
        <w:rPr>
          <w:rFonts w:hint="eastAsia" w:ascii="宋体" w:hAnsi="宋体" w:eastAsia="宋体" w:cs="宋体"/>
          <w:color w:val="auto"/>
          <w:sz w:val="24"/>
          <w:szCs w:val="24"/>
          <w:highlight w:val="none"/>
        </w:rPr>
        <w:t>”平台，逾期上传不予接收。</w:t>
      </w:r>
    </w:p>
    <w:p w14:paraId="203B4B05">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开标时间：</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ascii="宋体" w:hAnsi="宋体" w:eastAsia="宋体" w:cs="宋体"/>
          <w:b w:val="0"/>
          <w:bCs w:val="0"/>
          <w:i w:val="0"/>
          <w:iCs w:val="0"/>
          <w:color w:val="auto"/>
          <w:sz w:val="24"/>
          <w:szCs w:val="24"/>
          <w:highlight w:val="none"/>
          <w:u w:val="single"/>
          <w:shd w:val="clear" w:color="auto" w:fill="FFFFFF"/>
          <w:lang w:val="en-US" w:eastAsia="zh-CN"/>
        </w:rPr>
        <w:t>5</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ascii="宋体" w:hAnsi="宋体" w:eastAsia="宋体" w:cs="宋体"/>
          <w:b w:val="0"/>
          <w:bCs w:val="0"/>
          <w:i w:val="0"/>
          <w:iCs w:val="0"/>
          <w:color w:val="auto"/>
          <w:sz w:val="24"/>
          <w:szCs w:val="24"/>
          <w:highlight w:val="none"/>
          <w:u w:val="single"/>
          <w:shd w:val="clear" w:color="auto" w:fill="FFFFFF"/>
          <w:lang w:val="en-US" w:eastAsia="zh-CN"/>
        </w:rPr>
        <w:t>1</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22日</w:t>
      </w:r>
      <w:r>
        <w:rPr>
          <w:rFonts w:hint="eastAsia" w:ascii="宋体" w:hAnsi="宋体" w:eastAsia="宋体" w:cs="宋体"/>
          <w:b w:val="0"/>
          <w:bCs w:val="0"/>
          <w:i w:val="0"/>
          <w:iCs w:val="0"/>
          <w:color w:val="auto"/>
          <w:sz w:val="24"/>
          <w:szCs w:val="24"/>
          <w:highlight w:val="none"/>
          <w:u w:val="single"/>
          <w:shd w:val="clear" w:color="auto" w:fill="FFFFFF"/>
          <w:lang w:val="en-US" w:eastAsia="zh-CN"/>
        </w:rPr>
        <w:t>14</w:t>
      </w:r>
      <w:r>
        <w:rPr>
          <w:rFonts w:hint="eastAsia" w:ascii="宋体" w:hAnsi="宋体" w:eastAsia="宋体" w:cs="宋体"/>
          <w:b w:val="0"/>
          <w:bCs w:val="0"/>
          <w:i w:val="0"/>
          <w:iCs w:val="0"/>
          <w:color w:val="auto"/>
          <w:sz w:val="24"/>
          <w:szCs w:val="24"/>
          <w:highlight w:val="none"/>
          <w:u w:val="single"/>
          <w:shd w:val="clear" w:color="auto" w:fill="FFFFFF"/>
          <w:lang w:eastAsia="zh-CN"/>
        </w:rPr>
        <w:t>:30时</w:t>
      </w:r>
      <w:r>
        <w:rPr>
          <w:rStyle w:val="21"/>
          <w:rFonts w:hint="eastAsia" w:ascii="宋体" w:hAnsi="宋体" w:eastAsia="宋体" w:cs="宋体"/>
          <w:b w:val="0"/>
          <w:color w:val="auto"/>
          <w:sz w:val="24"/>
          <w:szCs w:val="24"/>
          <w:highlight w:val="none"/>
          <w:shd w:val="clear" w:color="auto" w:fill="FFFFFF"/>
        </w:rPr>
        <w:t>（北京时间）</w:t>
      </w:r>
    </w:p>
    <w:p w14:paraId="370D2899">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1"/>
          <w:rFonts w:hint="eastAsia" w:ascii="宋体" w:hAnsi="宋体" w:eastAsia="宋体" w:cs="宋体"/>
          <w:b w:val="0"/>
          <w:color w:val="auto"/>
          <w:sz w:val="24"/>
          <w:szCs w:val="24"/>
          <w:highlight w:val="none"/>
          <w:shd w:val="clear" w:color="auto" w:fill="FFFFFF"/>
          <w:lang w:val="en-US"/>
        </w:rPr>
      </w:pPr>
      <w:r>
        <w:rPr>
          <w:rStyle w:val="21"/>
          <w:rFonts w:hint="eastAsia" w:ascii="宋体" w:hAnsi="宋体" w:eastAsia="宋体" w:cs="宋体"/>
          <w:b w:val="0"/>
          <w:color w:val="auto"/>
          <w:sz w:val="24"/>
          <w:szCs w:val="24"/>
          <w:highlight w:val="none"/>
          <w:shd w:val="clear" w:color="auto" w:fill="FFFFFF"/>
        </w:rPr>
        <w:t>开标地点：</w:t>
      </w:r>
      <w:r>
        <w:rPr>
          <w:rFonts w:hint="eastAsia" w:ascii="宋体" w:hAnsi="宋体" w:eastAsia="宋体" w:cs="宋体"/>
          <w:b w:val="0"/>
          <w:bCs w:val="0"/>
          <w:i w:val="0"/>
          <w:iCs w:val="0"/>
          <w:color w:val="auto"/>
          <w:sz w:val="24"/>
          <w:szCs w:val="24"/>
          <w:highlight w:val="none"/>
          <w:u w:val="none"/>
          <w:shd w:val="clear" w:color="auto" w:fill="FFFFFF"/>
        </w:rPr>
        <w:t>乐采云平台（https://www.lecaiyun.com/）</w:t>
      </w:r>
    </w:p>
    <w:p w14:paraId="0BDCA537">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bookmarkStart w:id="15" w:name="_Toc35393625"/>
      <w:bookmarkStart w:id="16" w:name="_Toc28359007"/>
      <w:bookmarkStart w:id="17" w:name="_Toc35393794"/>
      <w:bookmarkStart w:id="18" w:name="_Toc28359084"/>
      <w:r>
        <w:rPr>
          <w:rFonts w:hint="eastAsia" w:ascii="宋体" w:hAnsi="宋体" w:eastAsia="宋体" w:cs="宋体"/>
          <w:b/>
          <w:bCs w:val="0"/>
          <w:color w:val="auto"/>
          <w:kern w:val="0"/>
          <w:sz w:val="24"/>
          <w:szCs w:val="24"/>
          <w:highlight w:val="none"/>
          <w:lang w:val="en-US" w:eastAsia="zh-CN" w:bidi="ar-SA"/>
        </w:rPr>
        <w:t>五、公告期限</w:t>
      </w:r>
      <w:bookmarkEnd w:id="15"/>
      <w:bookmarkEnd w:id="16"/>
      <w:bookmarkEnd w:id="17"/>
      <w:bookmarkEnd w:id="18"/>
    </w:p>
    <w:p w14:paraId="123C08F0">
      <w:pPr>
        <w:pageBreakBefore w:val="0"/>
        <w:shd w:val="clear"/>
        <w:kinsoku/>
        <w:wordWrap/>
        <w:overflowPunct/>
        <w:topLinePunct w:val="0"/>
        <w:bidi w:val="0"/>
        <w:spacing w:line="360" w:lineRule="auto"/>
        <w:ind w:firstLine="480" w:firstLineChars="200"/>
        <w:textAlignment w:val="auto"/>
        <w:rPr>
          <w:rStyle w:val="21"/>
          <w:rFonts w:hint="eastAsia" w:ascii="宋体" w:hAnsi="宋体" w:eastAsia="宋体" w:cs="宋体"/>
          <w:b w:val="0"/>
          <w:color w:val="auto"/>
          <w:sz w:val="24"/>
          <w:szCs w:val="24"/>
          <w:highlight w:val="none"/>
          <w:shd w:val="clear" w:color="auto" w:fill="FFFFFF"/>
          <w:lang w:val="en-US" w:eastAsia="zh-CN" w:bidi="ar-SA"/>
        </w:rPr>
      </w:pPr>
      <w:r>
        <w:rPr>
          <w:rStyle w:val="21"/>
          <w:rFonts w:hint="eastAsia" w:ascii="宋体" w:hAnsi="宋体" w:eastAsia="宋体" w:cs="宋体"/>
          <w:b w:val="0"/>
          <w:color w:val="auto"/>
          <w:sz w:val="24"/>
          <w:szCs w:val="24"/>
          <w:highlight w:val="none"/>
          <w:shd w:val="clear" w:color="auto" w:fill="FFFFFF"/>
          <w:lang w:val="en-US" w:eastAsia="zh-CN" w:bidi="ar-SA"/>
        </w:rPr>
        <w:t>自本公告发布之日起5个工作日。</w:t>
      </w:r>
    </w:p>
    <w:p w14:paraId="26AFE22B">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bookmarkStart w:id="19" w:name="_Toc35393795"/>
      <w:bookmarkStart w:id="20" w:name="_Toc35393626"/>
      <w:r>
        <w:rPr>
          <w:rFonts w:hint="eastAsia" w:ascii="宋体" w:hAnsi="宋体" w:eastAsia="宋体" w:cs="宋体"/>
          <w:b/>
          <w:bCs w:val="0"/>
          <w:color w:val="auto"/>
          <w:kern w:val="0"/>
          <w:sz w:val="24"/>
          <w:szCs w:val="24"/>
          <w:highlight w:val="none"/>
          <w:lang w:val="en-US" w:eastAsia="zh-CN" w:bidi="ar-SA"/>
        </w:rPr>
        <w:t>六、其他补充事宜</w:t>
      </w:r>
      <w:bookmarkEnd w:id="19"/>
      <w:bookmarkEnd w:id="20"/>
    </w:p>
    <w:p w14:paraId="49DABA82">
      <w:pPr>
        <w:pageBreakBefore w:val="0"/>
        <w:shd w:val="clear"/>
        <w:kinsoku/>
        <w:wordWrap/>
        <w:overflowPunct/>
        <w:topLinePunct w:val="0"/>
        <w:autoSpaceDE/>
        <w:autoSpaceDN/>
        <w:bidi w:val="0"/>
        <w:adjustRightInd/>
        <w:spacing w:line="360" w:lineRule="auto"/>
        <w:ind w:firstLine="480" w:firstLineChars="200"/>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1、投标人应在开标截止时间10日前以书面形式向采购代理机构提出质疑，逾期提出的，采购代理机构不予受理、答复。采购代理机构与采购人研究后，对认为有必要回答的问题，招标人将在开标前将答疑内容以网上发布公告的形式通知所有投标人，投标人自行在网上查阅、下载答疑回复</w:t>
      </w:r>
      <w:r>
        <w:rPr>
          <w:rStyle w:val="21"/>
          <w:rFonts w:hint="eastAsia" w:ascii="宋体" w:hAnsi="宋体" w:eastAsia="宋体" w:cs="宋体"/>
          <w:b w:val="0"/>
          <w:color w:val="auto"/>
          <w:sz w:val="24"/>
          <w:szCs w:val="24"/>
          <w:highlight w:val="none"/>
          <w:shd w:val="clear" w:color="auto" w:fill="FFFFFF"/>
          <w:lang w:eastAsia="zh-CN"/>
        </w:rPr>
        <w:t>，</w:t>
      </w:r>
      <w:r>
        <w:rPr>
          <w:rStyle w:val="21"/>
          <w:rFonts w:hint="eastAsia" w:ascii="宋体" w:hAnsi="宋体" w:eastAsia="宋体" w:cs="宋体"/>
          <w:b w:val="0"/>
          <w:color w:val="auto"/>
          <w:sz w:val="24"/>
          <w:szCs w:val="24"/>
          <w:highlight w:val="none"/>
          <w:shd w:val="clear" w:color="auto" w:fill="FFFFFF"/>
        </w:rPr>
        <w:t>答疑内容是招标文件的组成部分。</w:t>
      </w:r>
    </w:p>
    <w:p w14:paraId="2B700AF1">
      <w:pPr>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rPr>
      </w:pPr>
      <w:r>
        <w:rPr>
          <w:rStyle w:val="21"/>
          <w:rFonts w:hint="eastAsia" w:ascii="宋体" w:hAnsi="宋体" w:eastAsia="宋体" w:cs="宋体"/>
          <w:b w:val="0"/>
          <w:color w:val="auto"/>
          <w:sz w:val="24"/>
          <w:szCs w:val="24"/>
          <w:highlight w:val="none"/>
          <w:shd w:val="clear" w:color="auto" w:fill="FFFFFF"/>
        </w:rPr>
        <w:t>2、其他事项：</w:t>
      </w:r>
    </w:p>
    <w:p w14:paraId="2C24638C">
      <w:pPr>
        <w:pStyle w:val="10"/>
        <w:pageBreakBefore w:val="0"/>
        <w:shd w:val="clea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1</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投标人应于</w:t>
      </w:r>
      <w:r>
        <w:rPr>
          <w:rFonts w:hint="eastAsia" w:ascii="宋体" w:hAnsi="宋体" w:eastAsia="宋体" w:cs="宋体"/>
          <w:b w:val="0"/>
          <w:bCs/>
          <w:color w:val="auto"/>
          <w:sz w:val="24"/>
          <w:szCs w:val="24"/>
          <w:highlight w:val="none"/>
          <w:u w:val="none"/>
          <w:lang w:val="en-US" w:eastAsia="zh-CN"/>
        </w:rPr>
        <w:t>开标时间</w:t>
      </w:r>
      <w:r>
        <w:rPr>
          <w:rFonts w:hint="eastAsia" w:ascii="宋体" w:hAnsi="宋体" w:eastAsia="宋体" w:cs="宋体"/>
          <w:b w:val="0"/>
          <w:bCs/>
          <w:color w:val="auto"/>
          <w:sz w:val="24"/>
          <w:szCs w:val="24"/>
          <w:highlight w:val="none"/>
          <w:u w:val="none"/>
        </w:rPr>
        <w:t>前按照电子投标要求将电子加密标书上传到“</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”平台，逾期或未上传成功的将导致无法投标或投标无</w:t>
      </w:r>
      <w:r>
        <w:rPr>
          <w:rFonts w:hint="eastAsia" w:ascii="宋体" w:hAnsi="宋体" w:eastAsia="宋体" w:cs="宋体"/>
          <w:b w:val="0"/>
          <w:bCs/>
          <w:color w:val="auto"/>
          <w:kern w:val="0"/>
          <w:sz w:val="24"/>
          <w:szCs w:val="24"/>
          <w:highlight w:val="none"/>
          <w:u w:val="none"/>
        </w:rPr>
        <w:t>效。</w:t>
      </w:r>
      <w:r>
        <w:rPr>
          <w:rFonts w:hint="eastAsia" w:ascii="宋体" w:hAnsi="宋体" w:eastAsia="宋体" w:cs="宋体"/>
          <w:b w:val="0"/>
          <w:bCs/>
          <w:color w:val="auto"/>
          <w:sz w:val="24"/>
          <w:szCs w:val="24"/>
          <w:highlight w:val="none"/>
          <w:u w:val="none"/>
        </w:rPr>
        <w:t>备注：为确保采购项目顺利实施，避免因</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上电子投标文件解密失败导致投标方投标无效，投标方可在</w:t>
      </w:r>
      <w:r>
        <w:rPr>
          <w:rFonts w:hint="eastAsia" w:ascii="宋体" w:hAnsi="宋体" w:eastAsia="宋体" w:cs="宋体"/>
          <w:b w:val="0"/>
          <w:bCs/>
          <w:color w:val="auto"/>
          <w:sz w:val="24"/>
          <w:szCs w:val="24"/>
          <w:highlight w:val="none"/>
          <w:u w:val="none"/>
          <w:lang w:val="en-US" w:eastAsia="zh-CN"/>
        </w:rPr>
        <w:t>开标时间</w:t>
      </w:r>
      <w:r>
        <w:rPr>
          <w:rFonts w:hint="eastAsia" w:ascii="宋体" w:hAnsi="宋体" w:eastAsia="宋体" w:cs="宋体"/>
          <w:b w:val="0"/>
          <w:bCs/>
          <w:color w:val="auto"/>
          <w:sz w:val="24"/>
          <w:szCs w:val="24"/>
          <w:highlight w:val="none"/>
          <w:u w:val="none"/>
        </w:rPr>
        <w:t>前将在</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平台上最后生成的具备电子签章的备份加密投标文件（文件名后缀为备份文件四字的首字母）以电子邮件方式传送至</w:t>
      </w:r>
      <w:r>
        <w:rPr>
          <w:rFonts w:hint="eastAsia" w:ascii="宋体" w:hAnsi="宋体" w:eastAsia="宋体" w:cs="宋体"/>
          <w:b w:val="0"/>
          <w:bCs/>
          <w:color w:val="auto"/>
          <w:sz w:val="24"/>
          <w:szCs w:val="24"/>
          <w:highlight w:val="none"/>
          <w:u w:val="none"/>
          <w:lang w:val="en-US" w:eastAsia="zh-CN"/>
        </w:rPr>
        <w:t>浙江博策工程项目管理有限公司</w:t>
      </w:r>
      <w:r>
        <w:rPr>
          <w:rFonts w:hint="eastAsia" w:ascii="宋体" w:hAnsi="宋体" w:eastAsia="宋体" w:cs="宋体"/>
          <w:b w:val="0"/>
          <w:bCs/>
          <w:color w:val="auto"/>
          <w:sz w:val="24"/>
          <w:szCs w:val="24"/>
          <w:highlight w:val="none"/>
          <w:u w:val="none"/>
        </w:rPr>
        <w:t>邮箱zjboce@qq.com，传送的备份电子投标文件需打包压缩并加密，加密密码由投标方自行保管，如</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上电子投标文件出现解密失败情况（开标</w:t>
      </w:r>
      <w:r>
        <w:rPr>
          <w:rFonts w:hint="eastAsia" w:ascii="宋体" w:hAnsi="宋体" w:eastAsia="宋体" w:cs="宋体"/>
          <w:b w:val="0"/>
          <w:bCs/>
          <w:color w:val="auto"/>
          <w:sz w:val="24"/>
          <w:szCs w:val="24"/>
          <w:highlight w:val="none"/>
          <w:u w:val="none"/>
          <w:lang w:val="en-US" w:eastAsia="zh-CN"/>
        </w:rPr>
        <w:t>后30分钟内</w:t>
      </w:r>
      <w:r>
        <w:rPr>
          <w:rFonts w:hint="eastAsia" w:ascii="宋体" w:hAnsi="宋体" w:eastAsia="宋体" w:cs="宋体"/>
          <w:b w:val="0"/>
          <w:bCs/>
          <w:color w:val="auto"/>
          <w:sz w:val="24"/>
          <w:szCs w:val="24"/>
          <w:highlight w:val="none"/>
          <w:u w:val="none"/>
        </w:rPr>
        <w:t>进行解密），投标方可按照自身意愿确认是否同意提供加密密码解密传送至</w:t>
      </w:r>
      <w:r>
        <w:rPr>
          <w:rFonts w:hint="eastAsia" w:ascii="宋体" w:hAnsi="宋体" w:eastAsia="宋体" w:cs="宋体"/>
          <w:b w:val="0"/>
          <w:bCs/>
          <w:color w:val="auto"/>
          <w:sz w:val="24"/>
          <w:szCs w:val="24"/>
          <w:highlight w:val="none"/>
          <w:u w:val="none"/>
          <w:lang w:eastAsia="zh-CN"/>
        </w:rPr>
        <w:t>浙江博策工程项目管理有限公司</w:t>
      </w:r>
      <w:r>
        <w:rPr>
          <w:rFonts w:hint="eastAsia" w:ascii="宋体" w:hAnsi="宋体" w:eastAsia="宋体" w:cs="宋体"/>
          <w:b w:val="0"/>
          <w:bCs/>
          <w:color w:val="auto"/>
          <w:sz w:val="24"/>
          <w:szCs w:val="24"/>
          <w:highlight w:val="none"/>
          <w:u w:val="none"/>
        </w:rPr>
        <w:t>邮箱的备份文件，并以备份文件作为替代电子投标文件，如投标方未按照规定时间前</w:t>
      </w:r>
      <w:r>
        <w:rPr>
          <w:rFonts w:hint="eastAsia" w:ascii="宋体" w:hAnsi="宋体" w:eastAsia="宋体" w:cs="宋体"/>
          <w:b w:val="0"/>
          <w:bCs/>
          <w:color w:val="auto"/>
          <w:sz w:val="24"/>
          <w:szCs w:val="24"/>
          <w:highlight w:val="none"/>
          <w:u w:val="none"/>
          <w:lang w:eastAsia="zh-CN"/>
        </w:rPr>
        <w:t>按</w:t>
      </w:r>
      <w:r>
        <w:rPr>
          <w:rFonts w:hint="eastAsia" w:ascii="宋体" w:hAnsi="宋体" w:eastAsia="宋体" w:cs="宋体"/>
          <w:b w:val="0"/>
          <w:bCs/>
          <w:color w:val="auto"/>
          <w:sz w:val="24"/>
          <w:szCs w:val="24"/>
          <w:highlight w:val="none"/>
          <w:u w:val="none"/>
        </w:rPr>
        <w:t>要求提供有效备份文件，同时</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上投标文件解密失败的，将导致投标无效。</w:t>
      </w:r>
    </w:p>
    <w:p w14:paraId="729A9923">
      <w:pPr>
        <w:pStyle w:val="10"/>
        <w:pageBreakBefore w:val="0"/>
        <w:shd w:val="clea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kern w:val="0"/>
          <w:sz w:val="24"/>
          <w:szCs w:val="24"/>
          <w:highlight w:val="none"/>
          <w:u w:val="none"/>
          <w:lang w:eastAsia="zh-CN"/>
        </w:rPr>
        <w:t>（</w:t>
      </w:r>
      <w:r>
        <w:rPr>
          <w:rFonts w:hint="eastAsia" w:ascii="宋体" w:hAnsi="宋体" w:eastAsia="宋体" w:cs="宋体"/>
          <w:b w:val="0"/>
          <w:bCs/>
          <w:color w:val="auto"/>
          <w:kern w:val="0"/>
          <w:sz w:val="24"/>
          <w:szCs w:val="24"/>
          <w:highlight w:val="none"/>
          <w:u w:val="none"/>
          <w:lang w:val="en-US" w:eastAsia="zh-CN"/>
        </w:rPr>
        <w:t>2</w:t>
      </w:r>
      <w:r>
        <w:rPr>
          <w:rFonts w:hint="eastAsia" w:ascii="宋体" w:hAnsi="宋体" w:eastAsia="宋体" w:cs="宋体"/>
          <w:b w:val="0"/>
          <w:bCs/>
          <w:color w:val="auto"/>
          <w:kern w:val="0"/>
          <w:sz w:val="24"/>
          <w:szCs w:val="24"/>
          <w:highlight w:val="none"/>
          <w:u w:val="none"/>
          <w:lang w:eastAsia="zh-CN"/>
        </w:rPr>
        <w:t>）</w:t>
      </w:r>
      <w:r>
        <w:rPr>
          <w:rFonts w:hint="eastAsia" w:ascii="宋体" w:hAnsi="宋体" w:eastAsia="宋体" w:cs="宋体"/>
          <w:b w:val="0"/>
          <w:bCs/>
          <w:color w:val="auto"/>
          <w:kern w:val="0"/>
          <w:sz w:val="24"/>
          <w:szCs w:val="24"/>
          <w:highlight w:val="none"/>
          <w:u w:val="none"/>
        </w:rPr>
        <w:t>投标方无需在开标当天到达开标现场对电子投标进行解密，可在公司办公场地在规定时间内对电子投标文件进行解密。</w:t>
      </w:r>
      <w:r>
        <w:rPr>
          <w:rFonts w:hint="eastAsia" w:ascii="宋体" w:hAnsi="宋体" w:eastAsia="宋体" w:cs="宋体"/>
          <w:b w:val="0"/>
          <w:bCs/>
          <w:color w:val="auto"/>
          <w:sz w:val="24"/>
          <w:szCs w:val="24"/>
          <w:highlight w:val="none"/>
          <w:u w:val="none"/>
        </w:rPr>
        <w:t>开标时间后</w:t>
      </w:r>
      <w:r>
        <w:rPr>
          <w:rFonts w:hint="eastAsia" w:ascii="宋体" w:hAnsi="宋体" w:eastAsia="宋体" w:cs="宋体"/>
          <w:b w:val="0"/>
          <w:bCs/>
          <w:color w:val="auto"/>
          <w:sz w:val="24"/>
          <w:szCs w:val="24"/>
          <w:highlight w:val="none"/>
          <w:u w:val="none"/>
          <w:lang w:eastAsia="zh-CN"/>
        </w:rPr>
        <w:t>30分钟</w:t>
      </w:r>
      <w:r>
        <w:rPr>
          <w:rFonts w:hint="eastAsia" w:ascii="宋体" w:hAnsi="宋体" w:eastAsia="宋体" w:cs="宋体"/>
          <w:b w:val="0"/>
          <w:bCs/>
          <w:color w:val="auto"/>
          <w:sz w:val="24"/>
          <w:szCs w:val="24"/>
          <w:highlight w:val="none"/>
          <w:u w:val="none"/>
        </w:rPr>
        <w:t>内供应商可以登录“</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”平台，用“项目采购</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w:t>
      </w:r>
    </w:p>
    <w:p w14:paraId="55457C24">
      <w:pPr>
        <w:pageBreakBefore w:val="0"/>
        <w:shd w:val="clear"/>
        <w:kinsoku/>
        <w:wordWrap/>
        <w:overflowPunct/>
        <w:topLinePunct w:val="0"/>
        <w:bidi w:val="0"/>
        <w:snapToGrid w:val="0"/>
        <w:spacing w:line="360" w:lineRule="auto"/>
        <w:ind w:firstLine="42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、业务咨询：</w:t>
      </w:r>
      <w:r>
        <w:rPr>
          <w:rFonts w:hint="eastAsia" w:ascii="宋体" w:hAnsi="宋体" w:eastAsia="宋体" w:cs="宋体"/>
          <w:b/>
          <w:color w:val="auto"/>
          <w:sz w:val="24"/>
          <w:szCs w:val="24"/>
          <w:highlight w:val="none"/>
          <w:lang w:val="en-US" w:eastAsia="zh-CN"/>
        </w:rPr>
        <w:t xml:space="preserve">  </w:t>
      </w:r>
    </w:p>
    <w:p w14:paraId="73B6ED75">
      <w:pPr>
        <w:pStyle w:val="16"/>
        <w:keepNext w:val="0"/>
        <w:keepLines w:val="0"/>
        <w:pageBreakBefore w:val="0"/>
        <w:kinsoku/>
        <w:wordWrap/>
        <w:overflowPunct/>
        <w:topLinePunct w:val="0"/>
        <w:bidi w:val="0"/>
        <w:spacing w:before="0" w:beforeAutospacing="0" w:after="0" w:afterAutospacing="0" w:line="360" w:lineRule="auto"/>
        <w:ind w:firstLine="240" w:firstLineChars="1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1、采购人信息</w:t>
      </w:r>
    </w:p>
    <w:p w14:paraId="582FF146">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名 称：诸暨广电信息技术有限公司</w:t>
      </w:r>
    </w:p>
    <w:p w14:paraId="407102EC">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地 址：诸暨市暨阳街道滨江中路28-35号</w:t>
      </w:r>
    </w:p>
    <w:p w14:paraId="15E8DD15">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项目联系人：赵波</w:t>
      </w:r>
    </w:p>
    <w:p w14:paraId="2D752111">
      <w:pPr>
        <w:pStyle w:val="16"/>
        <w:keepNext w:val="0"/>
        <w:keepLines w:val="0"/>
        <w:pageBreakBefore w:val="0"/>
        <w:kinsoku/>
        <w:wordWrap/>
        <w:overflowPunct/>
        <w:topLinePunct w:val="0"/>
        <w:bidi w:val="0"/>
        <w:spacing w:before="0" w:beforeAutospacing="0" w:after="0" w:afterAutospacing="0" w:line="360" w:lineRule="auto"/>
        <w:ind w:left="239" w:leftChars="114" w:firstLine="240" w:firstLineChars="1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项目联系方式：18058685505（工作电话）</w:t>
      </w:r>
    </w:p>
    <w:p w14:paraId="21D11BB8">
      <w:pPr>
        <w:pStyle w:val="16"/>
        <w:keepNext w:val="0"/>
        <w:keepLines w:val="0"/>
        <w:pageBreakBefore w:val="0"/>
        <w:kinsoku/>
        <w:wordWrap/>
        <w:overflowPunct/>
        <w:topLinePunct w:val="0"/>
        <w:bidi w:val="0"/>
        <w:spacing w:before="0" w:beforeAutospacing="0" w:after="0" w:afterAutospacing="0" w:line="360" w:lineRule="auto"/>
        <w:ind w:firstLine="240" w:firstLineChars="1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2、采购代理机构信息</w:t>
      </w:r>
    </w:p>
    <w:p w14:paraId="2E6ACCA9">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名称：浙江博策工程项目管理有限公司</w:t>
      </w:r>
    </w:p>
    <w:p w14:paraId="6003702A">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地址：诸暨市暨南路21号乐家大厦2号楼东16～17F</w:t>
      </w:r>
    </w:p>
    <w:p w14:paraId="49C096FD">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 xml:space="preserve">代理机构联系人：宣晨阳                  </w:t>
      </w:r>
    </w:p>
    <w:p w14:paraId="47008CAE">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联系电话：18258559388（工作电话）</w:t>
      </w:r>
    </w:p>
    <w:p w14:paraId="0103932F">
      <w:pPr>
        <w:keepNext w:val="0"/>
        <w:keepLines w:val="0"/>
        <w:pageBreakBefore w:val="0"/>
        <w:numPr>
          <w:ilvl w:val="0"/>
          <w:numId w:val="0"/>
        </w:numPr>
        <w:shd w:val="clear"/>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color w:val="auto"/>
          <w:kern w:val="2"/>
          <w:sz w:val="24"/>
          <w:szCs w:val="24"/>
          <w:highlight w:val="none"/>
          <w:u w:val="none"/>
          <w:lang w:val="en-US" w:eastAsia="zh-CN" w:bidi="ar-SA"/>
        </w:rPr>
        <w:t>联系邮箱：zjboce@qq.com</w:t>
      </w:r>
    </w:p>
    <w:p w14:paraId="02D9F33A">
      <w:pPr>
        <w:pStyle w:val="24"/>
        <w:spacing w:line="360" w:lineRule="auto"/>
        <w:rPr>
          <w:rFonts w:hint="eastAsia" w:ascii="宋体" w:hAnsi="宋体" w:eastAsia="宋体" w:cs="宋体"/>
          <w:color w:val="auto"/>
        </w:rPr>
      </w:pPr>
    </w:p>
    <w:p w14:paraId="19CB71BC">
      <w:pPr>
        <w:pageBreakBefore w:val="0"/>
        <w:shd w:val="clear"/>
        <w:kinsoku/>
        <w:wordWrap/>
        <w:overflowPunct/>
        <w:topLinePunct w:val="0"/>
        <w:bidi w:val="0"/>
        <w:spacing w:line="360" w:lineRule="auto"/>
        <w:ind w:firstLine="440" w:firstLineChars="200"/>
        <w:jc w:val="left"/>
        <w:textAlignment w:val="auto"/>
        <w:rPr>
          <w:rFonts w:hint="eastAsia" w:ascii="宋体" w:hAnsi="宋体" w:eastAsia="宋体" w:cs="宋体"/>
          <w:b/>
          <w:bCs/>
          <w:color w:val="auto"/>
          <w:sz w:val="36"/>
          <w:szCs w:val="36"/>
          <w:highlight w:val="none"/>
        </w:rPr>
      </w:pPr>
      <w:r>
        <w:rPr>
          <w:rFonts w:hint="eastAsia" w:ascii="宋体" w:hAnsi="宋体" w:eastAsia="宋体" w:cs="宋体"/>
          <w:b w:val="0"/>
          <w:i w:val="0"/>
          <w:iCs w:val="0"/>
          <w:color w:val="auto"/>
          <w:sz w:val="22"/>
          <w:szCs w:val="22"/>
          <w:highlight w:val="none"/>
          <w:shd w:val="clear" w:color="auto" w:fill="FFFFFF"/>
        </w:rPr>
        <w:t>若对项目采购电子交易系统操作有疑问，可登录乐采云（https://www.lecaiyun.com/），点击右侧咨询小采，获取采小蜜智能服务管家帮助，或拨打服务热线95763获取热线服务帮助。CA问题联系电话（人工）：汇信CA 400-888-4636；天谷CA 400-087-8198。</w:t>
      </w:r>
    </w:p>
    <w:p w14:paraId="142170C9">
      <w:pPr>
        <w:rPr>
          <w:rFonts w:hint="eastAsia" w:ascii="宋体" w:hAnsi="宋体" w:eastAsia="宋体" w:cs="宋体"/>
          <w:color w:val="auto"/>
        </w:rPr>
      </w:pPr>
      <w:r>
        <w:rPr>
          <w:rFonts w:hint="eastAsia" w:ascii="宋体" w:hAnsi="宋体" w:eastAsia="宋体" w:cs="宋体"/>
          <w:color w:val="auto"/>
        </w:rPr>
        <w:br w:type="page"/>
      </w:r>
    </w:p>
    <w:p w14:paraId="7F37D28B">
      <w:pPr>
        <w:pStyle w:val="2"/>
        <w:spacing w:before="0" w:after="0"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第二章   投标须知</w:t>
      </w:r>
    </w:p>
    <w:p w14:paraId="1B38E09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前  附  表</w:t>
      </w:r>
    </w:p>
    <w:tbl>
      <w:tblPr>
        <w:tblStyle w:val="18"/>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14:paraId="6E171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8F74EDD">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序号</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709637C2">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内容</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A05B541">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说明与要求</w:t>
            </w:r>
          </w:p>
        </w:tc>
      </w:tr>
      <w:tr w14:paraId="1F7F3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DDD4130">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58DA702">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项目名称</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F79C7DB">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2024年诸暨市公安局存储服务器、应用服务器采购项目</w:t>
            </w:r>
          </w:p>
        </w:tc>
      </w:tr>
      <w:tr w14:paraId="151E4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4DFBEA7">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FD63EBC">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采购方式</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0158F780">
            <w:pPr>
              <w:pStyle w:val="10"/>
              <w:keepNext w:val="0"/>
              <w:keepLines w:val="0"/>
              <w:pageBreakBefore w:val="0"/>
              <w:kinsoku/>
              <w:wordWrap/>
              <w:overflowPunct/>
              <w:topLinePunct w:val="0"/>
              <w:bidi w:val="0"/>
              <w:spacing w:line="240" w:lineRule="auto"/>
              <w:ind w:right="-107" w:rightChars="-51"/>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公开招标</w:t>
            </w:r>
          </w:p>
        </w:tc>
      </w:tr>
      <w:tr w14:paraId="2B6FC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2756C9B">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5B25FCD">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评标办法</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E22FFE2">
            <w:pPr>
              <w:pStyle w:val="10"/>
              <w:keepNext w:val="0"/>
              <w:keepLines w:val="0"/>
              <w:pageBreakBefore w:val="0"/>
              <w:kinsoku/>
              <w:wordWrap/>
              <w:overflowPunct/>
              <w:topLinePunct w:val="0"/>
              <w:bidi w:val="0"/>
              <w:spacing w:line="240" w:lineRule="auto"/>
              <w:ind w:right="-107" w:rightChars="-51"/>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综合评分法</w:t>
            </w:r>
          </w:p>
        </w:tc>
      </w:tr>
      <w:tr w14:paraId="56A05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2EACF13">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AC28AF0">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最高限价</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EF1997B">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本次采购最高限价为人民币柒拾捌万陆仟元整（¥786000.00）。投标人须在投标文件中提供明细报价，任何超过最高限价的报价将被认定为无效报价。任何超过最高限价的投标报价将被认定为无效报价。（投标报价包含材料、货物运输、配送、验收、送检费、安装、调试、培训、售后服务等本项目实施所需一切费用）。</w:t>
            </w:r>
          </w:p>
        </w:tc>
      </w:tr>
      <w:tr w14:paraId="71142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74DCAAB">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7BB45A2A">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投标人（供应商）资格要求</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0F934ACE">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26572041">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2、未被“信用中国”（www.creditchina.gov.cn）、中国政府采购网（www.ccgp.gov.cn）列入失信被执行人、重大税收违法案件当事人名单、政府采购严重违法失信行为记录名单；</w:t>
            </w:r>
          </w:p>
          <w:p w14:paraId="60FAA73C">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3、具有本项目实施能力，且具有良好信誉的供应商；</w:t>
            </w:r>
          </w:p>
          <w:p w14:paraId="375D0D20">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4、本项目不接受联合体投标。</w:t>
            </w:r>
          </w:p>
        </w:tc>
      </w:tr>
      <w:tr w14:paraId="51AA7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3381A3A">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6</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EB804FB">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是否接受联合体投标</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B51AA88">
            <w:pPr>
              <w:pStyle w:val="10"/>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fldChar w:fldCharType="begin"/>
            </w:r>
            <w:r>
              <w:rPr>
                <w:rFonts w:hint="eastAsia" w:ascii="宋体" w:hAnsi="宋体" w:eastAsia="宋体" w:cs="宋体"/>
                <w:color w:val="auto"/>
                <w:kern w:val="2"/>
                <w:szCs w:val="24"/>
                <w:highlight w:val="none"/>
                <w:lang w:val="en-US" w:eastAsia="zh-CN"/>
              </w:rPr>
              <w:instrText xml:space="preserve"> eq \o\ac(□,√)</w:instrText>
            </w:r>
            <w:r>
              <w:rPr>
                <w:rFonts w:hint="eastAsia" w:ascii="宋体" w:hAnsi="宋体" w:eastAsia="宋体" w:cs="宋体"/>
                <w:color w:val="auto"/>
                <w:kern w:val="2"/>
                <w:szCs w:val="24"/>
                <w:highlight w:val="none"/>
                <w:lang w:val="en-US" w:eastAsia="zh-CN"/>
              </w:rPr>
              <w:fldChar w:fldCharType="end"/>
            </w:r>
            <w:r>
              <w:rPr>
                <w:rFonts w:hint="eastAsia" w:ascii="宋体" w:hAnsi="宋体" w:eastAsia="宋体" w:cs="宋体"/>
                <w:color w:val="auto"/>
                <w:kern w:val="2"/>
                <w:szCs w:val="24"/>
                <w:highlight w:val="none"/>
                <w:lang w:val="en-US" w:eastAsia="zh-CN"/>
              </w:rPr>
              <w:t>不接受。</w:t>
            </w:r>
          </w:p>
        </w:tc>
      </w:tr>
      <w:tr w14:paraId="697E7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3FBA5D4">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7</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0609772B">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标的划分</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4FDD336">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eq \o\ac(□,√)</w:instrText>
            </w:r>
            <w:r>
              <w:rPr>
                <w:rFonts w:hint="eastAsia" w:ascii="宋体" w:hAnsi="宋体" w:eastAsia="宋体" w:cs="宋体"/>
                <w:color w:val="auto"/>
                <w:szCs w:val="24"/>
                <w:highlight w:val="none"/>
              </w:rPr>
              <w:fldChar w:fldCharType="end"/>
            </w:r>
            <w:r>
              <w:rPr>
                <w:rFonts w:hint="eastAsia" w:ascii="宋体" w:hAnsi="宋体" w:eastAsia="宋体" w:cs="宋体"/>
                <w:color w:val="auto"/>
                <w:sz w:val="24"/>
                <w:szCs w:val="24"/>
                <w:highlight w:val="none"/>
              </w:rPr>
              <w:t>本次招标共</w:t>
            </w:r>
            <w:r>
              <w:rPr>
                <w:rFonts w:hint="eastAsia" w:ascii="宋体" w:hAnsi="宋体" w:eastAsia="宋体" w:cs="宋体"/>
                <w:b/>
                <w:bCs/>
                <w:color w:val="auto"/>
                <w:sz w:val="24"/>
                <w:szCs w:val="24"/>
                <w:highlight w:val="none"/>
                <w:u w:val="single"/>
              </w:rPr>
              <w:t>1</w:t>
            </w:r>
            <w:r>
              <w:rPr>
                <w:rFonts w:hint="eastAsia" w:ascii="宋体" w:hAnsi="宋体" w:eastAsia="宋体" w:cs="宋体"/>
                <w:color w:val="auto"/>
                <w:sz w:val="24"/>
                <w:szCs w:val="24"/>
                <w:highlight w:val="none"/>
              </w:rPr>
              <w:t>个标的，采购人将整体择定中标人。</w:t>
            </w:r>
          </w:p>
        </w:tc>
      </w:tr>
      <w:tr w14:paraId="4F176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D77719D">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8</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1E7FEA1">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资格审查</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2052030">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供应商资格采用资格后审方式，依据法律、法规和招标文件规定，采购人或委托采购代理机构对投标人进行资格审查，以确定投标人是否具备投标资格。</w:t>
            </w:r>
          </w:p>
        </w:tc>
      </w:tr>
      <w:tr w14:paraId="451D5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right w:val="single" w:color="auto" w:sz="4" w:space="0"/>
            </w:tcBorders>
            <w:noWrap w:val="0"/>
            <w:vAlign w:val="center"/>
          </w:tcPr>
          <w:p w14:paraId="6D084C30">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9</w:t>
            </w:r>
          </w:p>
        </w:tc>
        <w:tc>
          <w:tcPr>
            <w:tcW w:w="1776" w:type="dxa"/>
            <w:tcBorders>
              <w:top w:val="single" w:color="auto" w:sz="4" w:space="0"/>
              <w:left w:val="single" w:color="auto" w:sz="4" w:space="0"/>
              <w:right w:val="single" w:color="auto" w:sz="4" w:space="0"/>
            </w:tcBorders>
            <w:noWrap w:val="0"/>
            <w:vAlign w:val="center"/>
          </w:tcPr>
          <w:p w14:paraId="2509B01E">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招标文件的</w:t>
            </w:r>
          </w:p>
          <w:p w14:paraId="3C45A890">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获取</w:t>
            </w:r>
          </w:p>
        </w:tc>
        <w:tc>
          <w:tcPr>
            <w:tcW w:w="7589" w:type="dxa"/>
            <w:tcBorders>
              <w:top w:val="single" w:color="auto" w:sz="4" w:space="0"/>
              <w:left w:val="single" w:color="auto" w:sz="4" w:space="0"/>
              <w:right w:val="single" w:color="auto" w:sz="4" w:space="0"/>
            </w:tcBorders>
            <w:noWrap w:val="0"/>
            <w:vAlign w:val="center"/>
          </w:tcPr>
          <w:p w14:paraId="1AEAFD4F">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14:paraId="5876D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6120E61">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10</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7A64085">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2F5D285">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本项目不收取投标保证金</w:t>
            </w:r>
          </w:p>
        </w:tc>
      </w:tr>
      <w:tr w14:paraId="4D26A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4B4BBC6">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11</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AF5B9D8">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资格文件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1A337162">
            <w:pPr>
              <w:shd w:val="clea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营业执照复印件（加盖单位公章）；</w:t>
            </w:r>
          </w:p>
          <w:p w14:paraId="60653642">
            <w:pPr>
              <w:shd w:val="clea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授权委托书（提供身份证复印件加盖单位公章，格式见附件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B148188">
            <w:pPr>
              <w:shd w:val="clea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提供自招标公告发布之日起至投标截止日内任意时间的“信用中国”网站（www.creditchina.gov.cn）、中国政府采购网（www.ccgp.gov.cn）投标人信用查询网页截图（加盖单位公章）；（以开标当日采购人或由采购人委托的评标委员会核实的查询结果为准）</w:t>
            </w:r>
          </w:p>
          <w:p w14:paraId="6DD959F7">
            <w:pPr>
              <w:shd w:val="clea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近三个月由投标人为其授权委托人缴纳的社保证明材料（加盖单位公章）；法定代表人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投标的只需要提供身份证复印件（加盖单位公章）</w:t>
            </w:r>
            <w:r>
              <w:rPr>
                <w:rFonts w:hint="eastAsia" w:ascii="宋体" w:hAnsi="宋体" w:eastAsia="宋体" w:cs="宋体"/>
                <w:color w:val="auto"/>
                <w:sz w:val="24"/>
                <w:szCs w:val="24"/>
                <w:highlight w:val="none"/>
                <w:lang w:eastAsia="zh-CN"/>
              </w:rPr>
              <w:t>。</w:t>
            </w:r>
          </w:p>
        </w:tc>
      </w:tr>
      <w:tr w14:paraId="7350C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C94CF57">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12</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6068E0C">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8F27D8B">
            <w:pPr>
              <w:pStyle w:val="10"/>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投标函（格式见附件）；</w:t>
            </w:r>
          </w:p>
          <w:p w14:paraId="72D69FB3">
            <w:pPr>
              <w:pStyle w:val="10"/>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投标人情况介绍；</w:t>
            </w:r>
          </w:p>
          <w:p w14:paraId="512252D2">
            <w:pPr>
              <w:pStyle w:val="10"/>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相关资质证明或文件（如有要求，加盖单位公章）；</w:t>
            </w:r>
          </w:p>
          <w:p w14:paraId="5A555370">
            <w:pPr>
              <w:pStyle w:val="10"/>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对本项目总体要求的理解（如有）；</w:t>
            </w:r>
          </w:p>
          <w:p w14:paraId="6D199C90">
            <w:pPr>
              <w:pStyle w:val="10"/>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技术偏离表（格式见附件）；</w:t>
            </w:r>
          </w:p>
          <w:p w14:paraId="23B4DF8A">
            <w:pPr>
              <w:pStyle w:val="10"/>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投标人响应本项目评分标准的商务技术资料（按商务技术评分细则的顺序提供评分标准中相对应的商务技术资料）；</w:t>
            </w:r>
          </w:p>
          <w:p w14:paraId="3BA14B8B">
            <w:pPr>
              <w:pStyle w:val="10"/>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招标文件标明的影响投标人资格的其他证明文件（如有）；</w:t>
            </w:r>
          </w:p>
          <w:p w14:paraId="384F5034">
            <w:pPr>
              <w:pStyle w:val="10"/>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招标文件要求提供的或投标人需要说明的其他资料（如有）。</w:t>
            </w:r>
          </w:p>
          <w:p w14:paraId="27C4D1C3">
            <w:pPr>
              <w:pStyle w:val="10"/>
              <w:shd w:val="clear"/>
              <w:spacing w:line="240" w:lineRule="auto"/>
              <w:rPr>
                <w:rFonts w:hint="eastAsia" w:ascii="宋体" w:hAnsi="宋体" w:eastAsia="宋体" w:cs="宋体"/>
                <w:b/>
                <w:color w:val="auto"/>
                <w:kern w:val="2"/>
                <w:szCs w:val="24"/>
                <w:highlight w:val="none"/>
                <w:lang w:val="en-US" w:eastAsia="zh-CN"/>
              </w:rPr>
            </w:pPr>
            <w:r>
              <w:rPr>
                <w:rFonts w:hint="eastAsia" w:ascii="宋体" w:hAnsi="宋体" w:eastAsia="宋体" w:cs="宋体"/>
                <w:b/>
                <w:bCs/>
                <w:color w:val="auto"/>
                <w:sz w:val="24"/>
                <w:szCs w:val="24"/>
                <w:highlight w:val="none"/>
              </w:rPr>
              <w:t>投标人在“商务技术文件”中应对招标文件做实质性响应，不能在“商务技术文件”中实质性响应招标文件要求的将作无效标处理。</w:t>
            </w:r>
          </w:p>
        </w:tc>
      </w:tr>
      <w:tr w14:paraId="546FA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A160744">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13</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007514D2">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报价文件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BFBB2F5">
            <w:pPr>
              <w:shd w:val="clea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开标一览表（格式见附件）；</w:t>
            </w:r>
          </w:p>
          <w:p w14:paraId="666D5B92">
            <w:pPr>
              <w:shd w:val="clea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投标承诺书（格式见附件）；</w:t>
            </w:r>
          </w:p>
          <w:p w14:paraId="740CB476">
            <w:pPr>
              <w:shd w:val="clear"/>
              <w:snapToGrid w:val="0"/>
              <w:spacing w:line="240" w:lineRule="auto"/>
              <w:jc w:val="left"/>
              <w:rPr>
                <w:rFonts w:hint="eastAsia"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rPr>
              <w:t>注：开标一览表</w:t>
            </w:r>
            <w:r>
              <w:rPr>
                <w:rFonts w:hint="eastAsia" w:ascii="宋体" w:hAnsi="宋体" w:eastAsia="宋体" w:cs="宋体"/>
                <w:b/>
                <w:bCs/>
                <w:color w:val="auto"/>
                <w:sz w:val="24"/>
                <w:szCs w:val="24"/>
                <w:highlight w:val="none"/>
                <w:lang w:val="en-US" w:eastAsia="zh-CN"/>
              </w:rPr>
              <w:t>及投标承诺书</w:t>
            </w:r>
            <w:r>
              <w:rPr>
                <w:rFonts w:hint="eastAsia" w:ascii="宋体" w:hAnsi="宋体" w:eastAsia="宋体" w:cs="宋体"/>
                <w:b/>
                <w:bCs/>
                <w:color w:val="auto"/>
                <w:sz w:val="24"/>
                <w:szCs w:val="24"/>
                <w:highlight w:val="none"/>
              </w:rPr>
              <w:t>必须加盖单位公章</w:t>
            </w:r>
            <w:r>
              <w:rPr>
                <w:rFonts w:hint="eastAsia" w:ascii="宋体" w:hAnsi="宋体" w:eastAsia="宋体" w:cs="宋体"/>
                <w:b/>
                <w:bCs/>
                <w:color w:val="auto"/>
                <w:sz w:val="24"/>
                <w:szCs w:val="24"/>
                <w:highlight w:val="none"/>
                <w:lang w:eastAsia="zh-CN"/>
              </w:rPr>
              <w:t>。</w:t>
            </w:r>
          </w:p>
        </w:tc>
      </w:tr>
      <w:tr w14:paraId="2F9CC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F8A7BEB">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14</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5D4AFA1">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现场演示</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094EFC72">
            <w:pPr>
              <w:keepNext w:val="0"/>
              <w:keepLines w:val="0"/>
              <w:pageBreakBefore w:val="0"/>
              <w:tabs>
                <w:tab w:val="left" w:pos="3870"/>
                <w:tab w:val="left" w:pos="4085"/>
              </w:tabs>
              <w:kinsoku/>
              <w:wordWrap/>
              <w:overflowPunct/>
              <w:topLinePunct w:val="0"/>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按招标文件相关要求执行</w:t>
            </w:r>
          </w:p>
        </w:tc>
      </w:tr>
      <w:tr w14:paraId="254F6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9DFA1DF">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15</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90CF6A5">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投标样品</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644E0DB">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按招标文件相关要求执行</w:t>
            </w:r>
          </w:p>
        </w:tc>
      </w:tr>
      <w:tr w14:paraId="17EA4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759BADC">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16</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085BA036">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投标有效期</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1240DCC">
            <w:pPr>
              <w:pStyle w:val="10"/>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自投标截止日起90天。如采购代理机构认为必要，可延长投标有效期。</w:t>
            </w:r>
          </w:p>
        </w:tc>
      </w:tr>
      <w:tr w14:paraId="15A29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B7F04E0">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17</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21452FB">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签订合同时间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D8A950F">
            <w:pPr>
              <w:pStyle w:val="10"/>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中标通知书发出后30日内</w:t>
            </w:r>
          </w:p>
        </w:tc>
      </w:tr>
      <w:tr w14:paraId="350EE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67CEF3A">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18</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A4320EF">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转包与分包</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3C111873">
            <w:pPr>
              <w:pStyle w:val="10"/>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本项目不允许转包和分包</w:t>
            </w:r>
          </w:p>
        </w:tc>
      </w:tr>
      <w:tr w14:paraId="2E353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1B23BCB">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19</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A515CBC">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履约保证金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F6542D2">
            <w:pPr>
              <w:pStyle w:val="10"/>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签订合同前，中标人需向采购人缴纳合同总金额1%的履约保证金或保函，项目验收合格无任何问题后退回，不计息。</w:t>
            </w:r>
          </w:p>
        </w:tc>
      </w:tr>
      <w:tr w14:paraId="5DA53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887455A">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20</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C689EAA">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投标文件递交截止时间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1680B844">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详见招标公告</w:t>
            </w:r>
          </w:p>
        </w:tc>
      </w:tr>
      <w:tr w14:paraId="40463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9765152">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21</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0FE8B294">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投标文件递交地点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807DCDD">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乐采云平台（https://www.lecaiyun.com/）</w:t>
            </w:r>
          </w:p>
        </w:tc>
      </w:tr>
      <w:tr w14:paraId="4D122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A9F25CC">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22</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CD8C249">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开标时间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863FF29">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详见招标公告</w:t>
            </w:r>
          </w:p>
        </w:tc>
      </w:tr>
      <w:tr w14:paraId="6046C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22D79EA">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23</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72C1B748">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开标地点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E74A230">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详见招标公告</w:t>
            </w:r>
          </w:p>
        </w:tc>
      </w:tr>
      <w:tr w14:paraId="6A96F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D0CD99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24</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D6A7A66">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质疑与答疑时间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0AB1E33">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投标人应在开标截止时间10日前以书面形式向采购代理机构提出质疑，逾期提出的，采购代理机构不予受理、答复。</w:t>
            </w:r>
          </w:p>
        </w:tc>
      </w:tr>
      <w:tr w14:paraId="59F66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7402E61">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Cs/>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25</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1A2268B4">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Cs/>
                <w:color w:val="auto"/>
                <w:kern w:val="2"/>
                <w:szCs w:val="24"/>
                <w:highlight w:val="none"/>
                <w:lang w:val="en-US" w:eastAsia="zh-CN"/>
              </w:rPr>
            </w:pPr>
            <w:r>
              <w:rPr>
                <w:rFonts w:hint="eastAsia" w:ascii="宋体" w:hAnsi="宋体" w:eastAsia="宋体" w:cs="宋体"/>
                <w:bCs/>
                <w:color w:val="auto"/>
                <w:kern w:val="2"/>
                <w:szCs w:val="24"/>
                <w:highlight w:val="none"/>
                <w:lang w:val="en-US" w:eastAsia="zh-CN"/>
              </w:rPr>
              <w:t>招标代理费</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823282A">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1、本项目招标代理费由中标方支付，具体收费标准参照国家发改委[2011]534号文件和国家计委[2002]1980号文件及诸国资办[2021]5号文件执行，收费基数为合同总金额，不足叁仟按叁仟元收取;</w:t>
            </w:r>
          </w:p>
          <w:p w14:paraId="03952D07">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2、以上费用在领取中标通知书前付清</w:t>
            </w:r>
            <w:r>
              <w:rPr>
                <w:rFonts w:hint="eastAsia" w:ascii="宋体" w:hAnsi="宋体" w:eastAsia="宋体" w:cs="宋体"/>
                <w:b w:val="0"/>
                <w:bCs w:val="0"/>
                <w:color w:val="auto"/>
                <w:sz w:val="24"/>
                <w:szCs w:val="24"/>
                <w:highlight w:val="none"/>
                <w:lang w:eastAsia="zh-CN"/>
              </w:rPr>
              <w:t>。</w:t>
            </w:r>
          </w:p>
        </w:tc>
      </w:tr>
      <w:tr w14:paraId="57637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43921FB">
            <w:pPr>
              <w:pStyle w:val="10"/>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26</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008F7E5">
            <w:pPr>
              <w:pStyle w:val="10"/>
              <w:keepNext w:val="0"/>
              <w:keepLines w:val="0"/>
              <w:pageBreakBefore w:val="0"/>
              <w:kinsoku/>
              <w:wordWrap/>
              <w:overflowPunct/>
              <w:topLinePunct w:val="0"/>
              <w:bidi w:val="0"/>
              <w:spacing w:line="288" w:lineRule="auto"/>
              <w:jc w:val="center"/>
              <w:textAlignment w:val="auto"/>
              <w:rPr>
                <w:rFonts w:hint="eastAsia" w:ascii="宋体" w:hAnsi="宋体" w:eastAsia="宋体" w:cs="宋体"/>
                <w:bCs/>
                <w:color w:val="auto"/>
                <w:kern w:val="2"/>
                <w:szCs w:val="24"/>
                <w:highlight w:val="none"/>
                <w:lang w:val="en-US" w:eastAsia="zh-CN"/>
              </w:rPr>
            </w:pPr>
            <w:r>
              <w:rPr>
                <w:rFonts w:hint="eastAsia" w:ascii="宋体" w:hAnsi="宋体" w:eastAsia="宋体" w:cs="宋体"/>
                <w:b w:val="0"/>
                <w:bCs/>
                <w:color w:val="auto"/>
                <w:szCs w:val="24"/>
                <w:highlight w:val="none"/>
                <w:lang w:val="en-US" w:eastAsia="zh-CN"/>
              </w:rPr>
              <w:t>其他提醒</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BF52803">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各供应商参与本项目电子招投标活动前应注册成为</w:t>
            </w:r>
            <w:r>
              <w:rPr>
                <w:rFonts w:hint="eastAsia" w:ascii="宋体" w:hAnsi="宋体" w:eastAsia="宋体" w:cs="宋体"/>
                <w:b w:val="0"/>
                <w:bCs w:val="0"/>
                <w:color w:val="auto"/>
                <w:sz w:val="24"/>
                <w:szCs w:val="24"/>
                <w:highlight w:val="none"/>
                <w:lang w:eastAsia="zh-CN"/>
              </w:rPr>
              <w:t>乐采云</w:t>
            </w:r>
            <w:r>
              <w:rPr>
                <w:rFonts w:hint="eastAsia" w:ascii="宋体" w:hAnsi="宋体" w:eastAsia="宋体" w:cs="宋体"/>
                <w:b w:val="0"/>
                <w:bCs w:val="0"/>
                <w:color w:val="auto"/>
                <w:sz w:val="24"/>
                <w:szCs w:val="24"/>
                <w:highlight w:val="none"/>
              </w:rPr>
              <w:t>平台供应商，并完成CA数字证书办理。因未注册或未办理CA数字证书等原因造成无法投标或投标失败等后果由供应商自行承担。</w:t>
            </w:r>
          </w:p>
          <w:p w14:paraId="4097E9E2">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如本前附表规定与投标人须知条款的内容有不一致的，以本前附表为准。</w:t>
            </w:r>
          </w:p>
        </w:tc>
      </w:tr>
    </w:tbl>
    <w:p w14:paraId="19AE8A18">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36"/>
          <w:szCs w:val="28"/>
          <w:highlight w:val="none"/>
          <w:lang w:val="en-US" w:eastAsia="zh-CN"/>
        </w:rPr>
        <w:br w:type="page"/>
      </w:r>
      <w:r>
        <w:rPr>
          <w:rFonts w:hint="eastAsia" w:ascii="宋体" w:hAnsi="宋体" w:eastAsia="宋体" w:cs="宋体"/>
          <w:color w:val="auto"/>
          <w:sz w:val="28"/>
          <w:szCs w:val="28"/>
          <w:highlight w:val="none"/>
          <w:lang w:val="en-US" w:eastAsia="zh-CN"/>
        </w:rPr>
        <w:t>一、总   则</w:t>
      </w:r>
    </w:p>
    <w:p w14:paraId="17034AC9">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t>1.</w:t>
      </w:r>
      <w:r>
        <w:rPr>
          <w:rFonts w:hint="eastAsia" w:ascii="宋体" w:hAnsi="宋体" w:eastAsia="宋体" w:cs="宋体"/>
          <w:b/>
          <w:color w:val="auto"/>
          <w:sz w:val="24"/>
          <w:highlight w:val="none"/>
        </w:rPr>
        <w:t>适用范围</w:t>
      </w:r>
    </w:p>
    <w:p w14:paraId="1CF49317">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本招标文件适用于本次所述项目的招标。</w:t>
      </w:r>
    </w:p>
    <w:p w14:paraId="200E9092">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2B8E8984">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2.1“招标人”系指组织本次招标的采购单位和</w:t>
      </w:r>
      <w:r>
        <w:rPr>
          <w:rFonts w:hint="eastAsia" w:ascii="宋体" w:hAnsi="宋体" w:eastAsia="宋体" w:cs="宋体"/>
          <w:color w:val="auto"/>
          <w:sz w:val="24"/>
          <w:highlight w:val="none"/>
          <w:lang w:eastAsia="zh-CN"/>
        </w:rPr>
        <w:t>浙江博策工程项目管理有限公司</w:t>
      </w:r>
      <w:r>
        <w:rPr>
          <w:rFonts w:hint="eastAsia" w:ascii="宋体" w:hAnsi="宋体" w:eastAsia="宋体" w:cs="宋体"/>
          <w:color w:val="auto"/>
          <w:sz w:val="24"/>
          <w:highlight w:val="none"/>
        </w:rPr>
        <w:t>。</w:t>
      </w:r>
    </w:p>
    <w:p w14:paraId="2519AC9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2.2“投标人”系指向招标方提交投标文件的供应商。</w:t>
      </w:r>
    </w:p>
    <w:p w14:paraId="08FB7B16">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2.3“产品”系指供方按招标文件规定，须向采购单位提供的一切设备、保险、税 金、备品备件、工具、手册</w:t>
      </w:r>
      <w:r>
        <w:rPr>
          <w:rFonts w:hint="eastAsia" w:ascii="宋体" w:hAnsi="宋体" w:eastAsia="宋体" w:cs="宋体"/>
          <w:color w:val="auto"/>
          <w:sz w:val="24"/>
          <w:highlight w:val="none"/>
          <w:lang w:eastAsia="zh-CN"/>
        </w:rPr>
        <w:t>及其他有关</w:t>
      </w:r>
      <w:r>
        <w:rPr>
          <w:rFonts w:hint="eastAsia" w:ascii="宋体" w:hAnsi="宋体" w:eastAsia="宋体" w:cs="宋体"/>
          <w:color w:val="auto"/>
          <w:sz w:val="24"/>
          <w:highlight w:val="none"/>
        </w:rPr>
        <w:t>技术资料和材料。</w:t>
      </w:r>
    </w:p>
    <w:p w14:paraId="46FB9A2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2.4“服务”系指招标文件规定投标人须承担的安装、调试、技术协助、校准、培训、技术指导以及其他类似的义务。</w:t>
      </w:r>
    </w:p>
    <w:p w14:paraId="145ACBA5">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2.5“项目”系指投标人按招标文件规定向采购单位提供的产品和服务。</w:t>
      </w:r>
    </w:p>
    <w:p w14:paraId="2B8AA59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2.6“书面形式”包括信函、传真、电报等。</w:t>
      </w:r>
    </w:p>
    <w:p w14:paraId="210E99F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2.7本招标文件所述设备品牌、型号是结合实际现有情况的推荐性参考方案，投标方也可根据招标文件</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要求参考性能相当或高于、服务条款相等或高于、符合招标方实际业务需求其他同档次优质品牌的产品，进行方案优化。所投产品不在参考品牌范围内的，是否符合招标文件要求由评标小组在投标文件评审时集体讨论决定。</w:t>
      </w:r>
    </w:p>
    <w:p w14:paraId="0D9D4CE0">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3.采购方式</w:t>
      </w:r>
    </w:p>
    <w:p w14:paraId="651BFCA6">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本次采购采用公开招标方式进行。</w:t>
      </w:r>
    </w:p>
    <w:p w14:paraId="2DFDE204">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4.投标人及投标委托有关说明</w:t>
      </w:r>
    </w:p>
    <w:p w14:paraId="48DC0882">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投标人代表不是法定代表人，须有法定代表人出具的授权委托书</w:t>
      </w:r>
      <w:r>
        <w:rPr>
          <w:rFonts w:hint="eastAsia" w:ascii="宋体" w:hAnsi="宋体" w:eastAsia="宋体" w:cs="宋体"/>
          <w:b/>
          <w:color w:val="auto"/>
          <w:sz w:val="24"/>
          <w:highlight w:val="none"/>
        </w:rPr>
        <w:t>。</w:t>
      </w:r>
    </w:p>
    <w:p w14:paraId="263B64C9">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5.投标费用</w:t>
      </w:r>
    </w:p>
    <w:p w14:paraId="3062464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投标人应自行承担获得招标文件和编制、提交投标文件所涉及的一切费用。不论投标结果如何，投标人均应自行承担所有与投标有关的全部费用。</w:t>
      </w:r>
      <w:r>
        <w:rPr>
          <w:rFonts w:hint="eastAsia" w:ascii="宋体" w:hAnsi="宋体" w:eastAsia="宋体" w:cs="宋体"/>
          <w:b w:val="0"/>
          <w:bCs/>
          <w:color w:val="auto"/>
          <w:sz w:val="24"/>
          <w:highlight w:val="none"/>
        </w:rPr>
        <w:t>对中标人收取采购代理服务费。</w:t>
      </w:r>
    </w:p>
    <w:p w14:paraId="0E25D605">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6.特别说明：</w:t>
      </w:r>
    </w:p>
    <w:p w14:paraId="47BF1FCF">
      <w:pPr>
        <w:pStyle w:val="10"/>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6.1投标人应仔细阅读招标文件的所有内容，按照招标文件的要求提交投标文件，并对所提供的全部资料的真实性承担法律责任。</w:t>
      </w:r>
    </w:p>
    <w:p w14:paraId="4F57E4C3">
      <w:pPr>
        <w:pStyle w:val="10"/>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6.2投标人在投标活动中提供任何虚假材料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其投标无效，并报监管部门查处；中标后发现的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中标人须依照《中华人民共和国消费者权益保护法》第49条之规定双倍赔偿采购人，且民事赔偿并不免除违法投标人的行政与刑事责任。</w:t>
      </w:r>
    </w:p>
    <w:p w14:paraId="40C1BD1B">
      <w:pPr>
        <w:pStyle w:val="10"/>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60018A30">
      <w:pPr>
        <w:pStyle w:val="10"/>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6.4供应商在采购项目投标过程中应诚实守信，不弄虚作假，不隐瞒真实情况，不围标串标，不恶意质疑投诉。如违反上述要求，经核实后，供应商的投标将作废，将该供应商列入不良记录名单并在网上曝光，同时提请</w:t>
      </w:r>
      <w:r>
        <w:rPr>
          <w:rFonts w:hint="eastAsia" w:ascii="宋体" w:hAnsi="宋体" w:eastAsia="宋体" w:cs="宋体"/>
          <w:color w:val="auto"/>
          <w:highlight w:val="none"/>
          <w:lang w:val="en-US" w:eastAsia="zh-CN"/>
        </w:rPr>
        <w:t>招投标</w:t>
      </w:r>
      <w:r>
        <w:rPr>
          <w:rFonts w:hint="eastAsia" w:ascii="宋体" w:hAnsi="宋体" w:eastAsia="宋体" w:cs="宋体"/>
          <w:color w:val="auto"/>
          <w:highlight w:val="none"/>
        </w:rPr>
        <w:t>监督管理部门给予一定年限内禁止参加采购活动的处罚或其他处罚。</w:t>
      </w:r>
    </w:p>
    <w:p w14:paraId="160323AA">
      <w:pPr>
        <w:pStyle w:val="10"/>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6.5本项目涉及采购货物必须是全新、未使用过的原装合格正品（包括零部件），如安装或配置了软件的，须为正版软件。</w:t>
      </w:r>
    </w:p>
    <w:p w14:paraId="38A3F7E2">
      <w:pPr>
        <w:pStyle w:val="10"/>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6.6国产的货物及其有关服务必须符合中华人民共和国的设计和制造生产标准或行业标准。招标公告有其他要求的，亦应符合其要求。</w:t>
      </w:r>
    </w:p>
    <w:p w14:paraId="21BAC497">
      <w:pPr>
        <w:pStyle w:val="10"/>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C1873DB">
      <w:pPr>
        <w:pStyle w:val="10"/>
        <w:pageBreakBefore w:val="0"/>
        <w:widowControl w:val="0"/>
        <w:shd w:val="clear"/>
        <w:kinsoku/>
        <w:wordWrap/>
        <w:overflowPunct/>
        <w:topLinePunct w:val="0"/>
        <w:bidi w:val="0"/>
        <w:snapToGrid w:val="0"/>
        <w:spacing w:line="228" w:lineRule="auto"/>
        <w:ind w:firstLine="472" w:firstLineChars="196"/>
        <w:textAlignment w:val="auto"/>
        <w:outlineLvl w:val="1"/>
        <w:rPr>
          <w:rFonts w:hint="eastAsia" w:ascii="宋体" w:hAnsi="宋体" w:eastAsia="宋体" w:cs="宋体"/>
          <w:b/>
          <w:bCs/>
          <w:color w:val="auto"/>
          <w:highlight w:val="none"/>
        </w:rPr>
      </w:pPr>
      <w:r>
        <w:rPr>
          <w:rFonts w:hint="eastAsia" w:ascii="宋体" w:hAnsi="宋体" w:eastAsia="宋体" w:cs="宋体"/>
          <w:b/>
          <w:color w:val="auto"/>
          <w:highlight w:val="none"/>
        </w:rPr>
        <w:t>7.</w:t>
      </w:r>
      <w:r>
        <w:rPr>
          <w:rFonts w:hint="eastAsia" w:ascii="宋体" w:hAnsi="宋体" w:eastAsia="宋体" w:cs="宋体"/>
          <w:b/>
          <w:bCs/>
          <w:color w:val="auto"/>
          <w:highlight w:val="none"/>
        </w:rPr>
        <w:t>质疑和投诉</w:t>
      </w:r>
    </w:p>
    <w:p w14:paraId="4581DFC8">
      <w:pPr>
        <w:pStyle w:val="10"/>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highlight w:val="none"/>
        </w:rPr>
      </w:pPr>
      <w:bookmarkStart w:id="21" w:name="_Toc125344504"/>
      <w:r>
        <w:rPr>
          <w:rFonts w:hint="eastAsia" w:ascii="宋体" w:hAnsi="宋体" w:eastAsia="宋体" w:cs="宋体"/>
          <w:bCs/>
          <w:color w:val="auto"/>
          <w:highlight w:val="none"/>
        </w:rPr>
        <w:t>7.1投标人认为招标文件、招标过程和中标结果使自己的合法权益受到损害的，应当在知道或者应知其权益受到损害之日起七个工作日内，以书面形式向采购单位、招标代理机构提出质疑。</w:t>
      </w:r>
      <w:r>
        <w:rPr>
          <w:rFonts w:hint="eastAsia" w:ascii="宋体" w:hAnsi="宋体" w:eastAsia="宋体" w:cs="宋体"/>
          <w:color w:val="auto"/>
          <w:highlight w:val="none"/>
        </w:rPr>
        <w:t>投标人对招标人的质疑答复不满意或者招标人未在规定时间内作出答复的，可以在答复期满后十五个工作日内向同级采购监管部门投诉。</w:t>
      </w:r>
      <w:r>
        <w:rPr>
          <w:rFonts w:hint="eastAsia" w:ascii="宋体" w:hAnsi="宋体" w:eastAsia="宋体" w:cs="宋体"/>
          <w:color w:val="auto"/>
          <w:szCs w:val="24"/>
          <w:highlight w:val="none"/>
        </w:rPr>
        <w:t>逾期提出的，采购代理机构不予受理、答复。</w:t>
      </w:r>
    </w:p>
    <w:p w14:paraId="4448B37D">
      <w:pPr>
        <w:pStyle w:val="10"/>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7.2质疑、投诉应当采用书面形式，质疑书、投诉书均应明确阐述招标文件、招标过程和中标结果中使自己合法权益受到损害的实质性内容，提供相关事实、依据和证据及</w:t>
      </w:r>
      <w:r>
        <w:rPr>
          <w:rFonts w:hint="eastAsia" w:ascii="宋体" w:hAnsi="宋体" w:eastAsia="宋体" w:cs="宋体"/>
          <w:color w:val="auto"/>
          <w:highlight w:val="none"/>
        </w:rPr>
        <w:t>其来源或线索，便于有关单位调查、答复和处理。</w:t>
      </w:r>
    </w:p>
    <w:p w14:paraId="03770AFB">
      <w:pPr>
        <w:pStyle w:val="10"/>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7.3</w:t>
      </w:r>
      <w:r>
        <w:rPr>
          <w:rFonts w:hint="eastAsia" w:ascii="宋体" w:hAnsi="宋体" w:eastAsia="宋体" w:cs="宋体"/>
          <w:color w:val="auto"/>
          <w:szCs w:val="24"/>
          <w:highlight w:val="none"/>
        </w:rPr>
        <w:t>采购代理机构与采购人研究后，对认为有必要回答的问题，采购人和采购代理机构将补充（更正）以网上发布公告的形式通知所有投标人，补充（更正）是招标文件的</w:t>
      </w:r>
      <w:r>
        <w:rPr>
          <w:rFonts w:hint="eastAsia" w:ascii="宋体" w:hAnsi="宋体" w:eastAsia="宋体" w:cs="宋体"/>
          <w:color w:val="auto"/>
          <w:szCs w:val="24"/>
          <w:highlight w:val="none"/>
          <w:lang w:eastAsia="zh-CN"/>
        </w:rPr>
        <w:t>组成部分</w:t>
      </w:r>
      <w:r>
        <w:rPr>
          <w:rFonts w:hint="eastAsia" w:ascii="宋体" w:hAnsi="宋体" w:eastAsia="宋体" w:cs="宋体"/>
          <w:color w:val="auto"/>
          <w:szCs w:val="24"/>
          <w:highlight w:val="none"/>
        </w:rPr>
        <w:t>。</w:t>
      </w:r>
    </w:p>
    <w:p w14:paraId="44961C8F">
      <w:pPr>
        <w:pStyle w:val="10"/>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7.4</w:t>
      </w:r>
      <w:r>
        <w:rPr>
          <w:rFonts w:hint="eastAsia" w:ascii="宋体" w:hAnsi="宋体" w:eastAsia="宋体" w:cs="宋体"/>
          <w:b/>
          <w:color w:val="auto"/>
          <w:highlight w:val="none"/>
          <w:u w:val="single"/>
        </w:rPr>
        <w:t>质疑供应商在收到该更正（补充）公告后应于1日内，以书面或传真形式（签署意见并加盖公章）向采购代理机构回函给予确认。过期未回复的，视为默认接受。</w:t>
      </w:r>
    </w:p>
    <w:p w14:paraId="20956E18">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二、招标文件</w:t>
      </w:r>
      <w:bookmarkEnd w:id="21"/>
    </w:p>
    <w:p w14:paraId="6012B6F3">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8.招标文件的构成。</w:t>
      </w:r>
    </w:p>
    <w:p w14:paraId="7F67501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本招标文件由以下</w:t>
      </w:r>
      <w:r>
        <w:rPr>
          <w:rFonts w:hint="eastAsia" w:ascii="宋体" w:hAnsi="宋体" w:eastAsia="宋体" w:cs="宋体"/>
          <w:color w:val="auto"/>
          <w:sz w:val="24"/>
          <w:highlight w:val="none"/>
          <w:lang w:eastAsia="zh-CN"/>
        </w:rPr>
        <w:t>部分</w:t>
      </w:r>
      <w:r>
        <w:rPr>
          <w:rFonts w:hint="eastAsia" w:ascii="宋体" w:hAnsi="宋体" w:eastAsia="宋体" w:cs="宋体"/>
          <w:color w:val="auto"/>
          <w:sz w:val="24"/>
          <w:highlight w:val="none"/>
        </w:rPr>
        <w:t>组成：</w:t>
      </w:r>
    </w:p>
    <w:p w14:paraId="5130F547">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8.1招标公告；</w:t>
      </w:r>
    </w:p>
    <w:p w14:paraId="76F4A59D">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8.2投标须知；</w:t>
      </w:r>
    </w:p>
    <w:p w14:paraId="6545AF25">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8.3评标办法及评分标准；</w:t>
      </w:r>
    </w:p>
    <w:p w14:paraId="3A664EFA">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8.4采购需求；</w:t>
      </w:r>
    </w:p>
    <w:p w14:paraId="5BF63787">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8.5采购合同（参考格式）</w:t>
      </w:r>
    </w:p>
    <w:p w14:paraId="6BB3051A">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8.6</w:t>
      </w:r>
      <w:r>
        <w:rPr>
          <w:rFonts w:hint="eastAsia" w:ascii="宋体" w:hAnsi="宋体" w:eastAsia="宋体" w:cs="宋体"/>
          <w:color w:val="auto"/>
          <w:sz w:val="24"/>
          <w:highlight w:val="none"/>
        </w:rPr>
        <w:t>应提交的有关格式范例；</w:t>
      </w:r>
    </w:p>
    <w:p w14:paraId="109C91AF">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本项目招标文件的澄清、答复、修改、补充的内容。</w:t>
      </w:r>
    </w:p>
    <w:p w14:paraId="5621971E">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9.投标人的风险</w:t>
      </w:r>
    </w:p>
    <w:p w14:paraId="4D465D9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54DB0664">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421725A7">
      <w:pPr>
        <w:pStyle w:val="4"/>
        <w:keepNext w:val="0"/>
        <w:keepLines w:val="0"/>
        <w:pageBreakBefore w:val="0"/>
        <w:widowControl w:val="0"/>
        <w:numPr>
          <w:ilvl w:val="0"/>
          <w:numId w:val="0"/>
        </w:numPr>
        <w:shd w:val="clear"/>
        <w:tabs>
          <w:tab w:val="left" w:pos="720"/>
        </w:tabs>
        <w:kinsoku/>
        <w:wordWrap/>
        <w:overflowPunct/>
        <w:topLinePunct w:val="0"/>
        <w:autoSpaceDE/>
        <w:autoSpaceDN/>
        <w:bidi w:val="0"/>
        <w:adjustRightInd/>
        <w:snapToGrid w:val="0"/>
        <w:spacing w:after="0" w:afterLines="0" w:line="228" w:lineRule="auto"/>
        <w:ind w:left="0" w:leftChars="0" w:right="0" w:rightChars="0" w:firstLine="472" w:firstLineChars="196"/>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10.招标文件的澄清与修改 </w:t>
      </w:r>
    </w:p>
    <w:p w14:paraId="4D824CD0">
      <w:pPr>
        <w:pStyle w:val="10"/>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Cs w:val="24"/>
          <w:highlight w:val="none"/>
        </w:rPr>
      </w:pPr>
      <w:bookmarkStart w:id="22" w:name="_Toc125344505"/>
      <w:r>
        <w:rPr>
          <w:rFonts w:hint="eastAsia" w:ascii="宋体" w:hAnsi="宋体" w:eastAsia="宋体" w:cs="宋体"/>
          <w:color w:val="auto"/>
          <w:highlight w:val="none"/>
        </w:rPr>
        <w:t>10.1</w:t>
      </w:r>
      <w:r>
        <w:rPr>
          <w:rFonts w:hint="eastAsia" w:ascii="宋体" w:hAnsi="宋体" w:eastAsia="宋体" w:cs="宋体"/>
          <w:bCs/>
          <w:color w:val="auto"/>
          <w:highlight w:val="none"/>
        </w:rPr>
        <w:t>投标人下载招标文件后，应认真阅读本招标文件的所有内容，发现其中有误或有不合理要求的，投标人必须按前附表规定的时间前以书面形式</w:t>
      </w:r>
      <w:r>
        <w:rPr>
          <w:rFonts w:hint="eastAsia" w:ascii="宋体" w:hAnsi="宋体" w:eastAsia="宋体" w:cs="宋体"/>
          <w:bCs/>
          <w:color w:val="auto"/>
          <w:highlight w:val="none"/>
          <w:lang w:eastAsia="zh-CN"/>
        </w:rPr>
        <w:t>（</w:t>
      </w:r>
      <w:r>
        <w:rPr>
          <w:rFonts w:hint="eastAsia" w:ascii="宋体" w:hAnsi="宋体" w:eastAsia="宋体" w:cs="宋体"/>
          <w:color w:val="auto"/>
          <w:highlight w:val="none"/>
        </w:rPr>
        <w:t>包括书面文字、传真等</w:t>
      </w:r>
      <w:r>
        <w:rPr>
          <w:rFonts w:hint="eastAsia" w:ascii="宋体" w:hAnsi="宋体" w:eastAsia="宋体" w:cs="宋体"/>
          <w:color w:val="auto"/>
          <w:highlight w:val="none"/>
          <w:lang w:eastAsia="zh-CN"/>
        </w:rPr>
        <w:t>）</w:t>
      </w:r>
      <w:r>
        <w:rPr>
          <w:rFonts w:hint="eastAsia" w:ascii="宋体" w:hAnsi="宋体" w:eastAsia="宋体" w:cs="宋体"/>
          <w:bCs/>
          <w:color w:val="auto"/>
          <w:highlight w:val="none"/>
        </w:rPr>
        <w:t>要求采购人澄清</w:t>
      </w:r>
      <w:r>
        <w:rPr>
          <w:rFonts w:hint="eastAsia" w:ascii="宋体" w:hAnsi="宋体" w:eastAsia="宋体" w:cs="宋体"/>
          <w:color w:val="auto"/>
          <w:highlight w:val="none"/>
        </w:rPr>
        <w:t>。逾期提出的，采购人将不予受理。</w:t>
      </w:r>
      <w:r>
        <w:rPr>
          <w:rFonts w:hint="eastAsia" w:ascii="宋体" w:hAnsi="宋体" w:eastAsia="宋体" w:cs="宋体"/>
          <w:color w:val="auto"/>
          <w:szCs w:val="24"/>
          <w:highlight w:val="none"/>
        </w:rPr>
        <w:t>采购代理机构与采购人研究后，对认为有必要回答的问题，采购人将补充（更正内容）以网上发布公告的形式通知所有投标人，补充（更正）内容是招标文件的</w:t>
      </w:r>
      <w:r>
        <w:rPr>
          <w:rFonts w:hint="eastAsia" w:ascii="宋体" w:hAnsi="宋体" w:eastAsia="宋体" w:cs="宋体"/>
          <w:color w:val="auto"/>
          <w:szCs w:val="24"/>
          <w:highlight w:val="none"/>
          <w:lang w:eastAsia="zh-CN"/>
        </w:rPr>
        <w:t>组成部分</w:t>
      </w:r>
      <w:r>
        <w:rPr>
          <w:rFonts w:hint="eastAsia" w:ascii="宋体" w:hAnsi="宋体" w:eastAsia="宋体" w:cs="宋体"/>
          <w:color w:val="auto"/>
          <w:szCs w:val="24"/>
          <w:highlight w:val="none"/>
        </w:rPr>
        <w:t>。投标人可以通过诸暨市公共资源交易网自行下载，以确认已阅知该澄清或修改内容，否则，由此导致的风险由投标人自行承担，采购人不承担任何责任。</w:t>
      </w:r>
    </w:p>
    <w:p w14:paraId="26D875A9">
      <w:pPr>
        <w:pStyle w:val="10"/>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w:t>
      </w:r>
      <w:r>
        <w:rPr>
          <w:rFonts w:hint="eastAsia" w:ascii="宋体" w:hAnsi="宋体" w:eastAsia="宋体" w:cs="宋体"/>
          <w:color w:val="auto"/>
          <w:highlight w:val="none"/>
        </w:rPr>
        <w:t>招标文件澄清、答复、修改、补充的内容为招标文件的组成部分。当招标文件与招标文件的答复、澄清、修改、补充公告就同一内容的表述不一致时，以最后发出的文件或公告或通知为准。</w:t>
      </w:r>
    </w:p>
    <w:p w14:paraId="522C61DC">
      <w:pPr>
        <w:pStyle w:val="10"/>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14:paraId="794EBF77">
      <w:pPr>
        <w:pStyle w:val="10"/>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10.4为使投标人在编制投标文件时，把补充公告内容进行研究，采购代理机构可以酌情推迟递交投标文件的截止时间。</w:t>
      </w:r>
    </w:p>
    <w:p w14:paraId="70501F42">
      <w:pPr>
        <w:pStyle w:val="10"/>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10.5投标人一旦参与本次招标活动，即被视为接受了本招标文件的所有内容，如有任何异议，均须在答疑截止时间前提出。</w:t>
      </w:r>
    </w:p>
    <w:p w14:paraId="46B2B00F">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三、投标文件编制</w:t>
      </w:r>
      <w:bookmarkEnd w:id="22"/>
      <w:r>
        <w:rPr>
          <w:rFonts w:hint="eastAsia" w:ascii="宋体" w:hAnsi="宋体" w:eastAsia="宋体" w:cs="宋体"/>
          <w:color w:val="auto"/>
          <w:sz w:val="28"/>
          <w:szCs w:val="28"/>
          <w:highlight w:val="none"/>
          <w:lang w:val="en-US" w:eastAsia="zh-CN"/>
        </w:rPr>
        <w:t>和提交</w:t>
      </w:r>
    </w:p>
    <w:p w14:paraId="027F97F8">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11.投标文件的组成</w:t>
      </w:r>
    </w:p>
    <w:p w14:paraId="509969A2">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投标文件的组成详见前附表。</w:t>
      </w:r>
    </w:p>
    <w:p w14:paraId="11FF78C6">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12.投标文件的语言及计量</w:t>
      </w:r>
    </w:p>
    <w:p w14:paraId="6B0A5684">
      <w:pPr>
        <w:pStyle w:val="10"/>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w:t>
      </w:r>
      <w:r>
        <w:rPr>
          <w:rFonts w:hint="eastAsia" w:ascii="宋体" w:hAnsi="宋体" w:eastAsia="宋体" w:cs="宋体"/>
          <w:color w:val="auto"/>
          <w:highlight w:val="none"/>
          <w:lang w:eastAsia="zh-CN"/>
        </w:rPr>
        <w:t>为其他</w:t>
      </w:r>
      <w:r>
        <w:rPr>
          <w:rFonts w:hint="eastAsia" w:ascii="宋体" w:hAnsi="宋体" w:eastAsia="宋体" w:cs="宋体"/>
          <w:color w:val="auto"/>
          <w:highlight w:val="none"/>
        </w:rPr>
        <w:t>语言，但必须附中文译文。翻译的中文资料与外文资料如果出现差异时，以中文为准，但翻译错误的除外。</w:t>
      </w:r>
    </w:p>
    <w:p w14:paraId="562BC401">
      <w:pPr>
        <w:pStyle w:val="10"/>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12.2投标计量单位，招标文件已有明确规定的，使用招标文件规定的计量单位；招标文件没有规定的，应采用中华人民共和国法定计量单位（货币单位：人民币元），否则视同未响应。</w:t>
      </w:r>
    </w:p>
    <w:p w14:paraId="03ABE5D1">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13.投标报价</w:t>
      </w:r>
    </w:p>
    <w:p w14:paraId="0212A053">
      <w:pPr>
        <w:pStyle w:val="10"/>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13.1投标报价应按招标文件中相关附表格式填写。本项目的投标应以人民币计。</w:t>
      </w:r>
    </w:p>
    <w:p w14:paraId="6FCEBA33">
      <w:pPr>
        <w:pStyle w:val="10"/>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13.2投标报价应包括货款、标准附件、备品备件、专用工具、包装、运输、装卸、保险、税金、货到就位以及安装、调试、培训、保修等一切税金和费用。投标报价（包括单价、总价等）均保留到小数点后两位（如：100.88元）。投标人必须报有合理单价，其将作为设备增减的主要依据。如有漏项，视同已包含在</w:t>
      </w:r>
      <w:r>
        <w:rPr>
          <w:rFonts w:hint="eastAsia" w:ascii="宋体" w:hAnsi="宋体" w:eastAsia="宋体" w:cs="宋体"/>
          <w:color w:val="auto"/>
          <w:highlight w:val="none"/>
          <w:lang w:eastAsia="zh-CN"/>
        </w:rPr>
        <w:t>其他项目中</w:t>
      </w:r>
      <w:r>
        <w:rPr>
          <w:rFonts w:hint="eastAsia" w:ascii="宋体" w:hAnsi="宋体" w:eastAsia="宋体" w:cs="宋体"/>
          <w:color w:val="auto"/>
          <w:highlight w:val="none"/>
        </w:rPr>
        <w:t>，合同总价和单价</w:t>
      </w:r>
      <w:r>
        <w:rPr>
          <w:rFonts w:hint="eastAsia" w:ascii="宋体" w:hAnsi="宋体" w:eastAsia="宋体" w:cs="宋体"/>
          <w:color w:val="auto"/>
          <w:highlight w:val="none"/>
          <w:lang w:eastAsia="zh-CN"/>
        </w:rPr>
        <w:t>不作</w:t>
      </w:r>
      <w:r>
        <w:rPr>
          <w:rFonts w:hint="eastAsia" w:ascii="宋体" w:hAnsi="宋体" w:eastAsia="宋体" w:cs="宋体"/>
          <w:color w:val="auto"/>
          <w:highlight w:val="none"/>
        </w:rPr>
        <w:t>调整。</w:t>
      </w:r>
    </w:p>
    <w:p w14:paraId="5FD9AFE4">
      <w:pPr>
        <w:pStyle w:val="10"/>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13.3投标文件只允许有一个报价，有选择的或有条件的报价将不予接受。</w:t>
      </w:r>
    </w:p>
    <w:p w14:paraId="4E5CDAD3">
      <w:pPr>
        <w:pStyle w:val="10"/>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13.4招标文件未列明，而投标人认为必需的费用也需列入报价。</w:t>
      </w:r>
    </w:p>
    <w:p w14:paraId="54D65E48">
      <w:pPr>
        <w:pStyle w:val="10"/>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13.5</w:t>
      </w:r>
      <w:r>
        <w:rPr>
          <w:rFonts w:hint="eastAsia" w:ascii="宋体" w:hAnsi="宋体" w:eastAsia="宋体" w:cs="宋体"/>
          <w:color w:val="auto"/>
          <w:szCs w:val="24"/>
          <w:highlight w:val="none"/>
        </w:rPr>
        <w:t>中标后，中标人所填写的单价在合同实施期间不因市场变化因素而变动，投标人在计算报价时应考虑一定的风险系数。</w:t>
      </w:r>
    </w:p>
    <w:p w14:paraId="36F8C10B">
      <w:pPr>
        <w:pStyle w:val="10"/>
        <w:pageBreakBefore w:val="0"/>
        <w:widowControl w:val="0"/>
        <w:shd w:val="clear"/>
        <w:kinsoku/>
        <w:wordWrap/>
        <w:overflowPunct/>
        <w:topLinePunct w:val="0"/>
        <w:bidi w:val="0"/>
        <w:snapToGrid w:val="0"/>
        <w:spacing w:line="228"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13.6投标人若有方案和报价未被唱标，应在开标时及时声明或提请采购代理机构宣读，否则是投标人自己的风险，采购代理机构对此不承担任何责任。</w:t>
      </w:r>
    </w:p>
    <w:p w14:paraId="4A553B97">
      <w:pPr>
        <w:pStyle w:val="4"/>
        <w:keepNext w:val="0"/>
        <w:keepLines w:val="0"/>
        <w:pageBreakBefore w:val="0"/>
        <w:widowControl w:val="0"/>
        <w:numPr>
          <w:ilvl w:val="0"/>
          <w:numId w:val="0"/>
        </w:numPr>
        <w:shd w:val="clear"/>
        <w:tabs>
          <w:tab w:val="left" w:pos="720"/>
        </w:tabs>
        <w:kinsoku/>
        <w:wordWrap/>
        <w:overflowPunct/>
        <w:topLinePunct w:val="0"/>
        <w:autoSpaceDE/>
        <w:autoSpaceDN/>
        <w:bidi w:val="0"/>
        <w:adjustRightInd/>
        <w:snapToGrid w:val="0"/>
        <w:spacing w:after="0" w:afterLines="0" w:line="228" w:lineRule="auto"/>
        <w:ind w:left="0" w:leftChars="0" w:right="0" w:rightChars="0" w:firstLine="413" w:firstLineChars="196"/>
        <w:jc w:val="left"/>
        <w:textAlignment w:val="auto"/>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14.投标文件的有效期</w:t>
      </w:r>
    </w:p>
    <w:p w14:paraId="18E7C5F2">
      <w:pPr>
        <w:pStyle w:val="10"/>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14.1自投标截止日起90天投标书应保持有效。如采购人认为必要，可延长投标有效期。有效期短于这个规定期限的投标将被拒绝。</w:t>
      </w:r>
    </w:p>
    <w:p w14:paraId="352ED40E">
      <w:pPr>
        <w:pStyle w:val="10"/>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14.2在特殊情况下，招标人可与投标人协商延长投标书的有效期，这种要求和答复均以书面形式进行。</w:t>
      </w:r>
    </w:p>
    <w:p w14:paraId="64F662C3">
      <w:pPr>
        <w:pStyle w:val="10"/>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14.3投标人可拒绝接受延期要求而不会导致投标保证金被没收。同意延长有效期的投标人需要相应延长投标保证金的有效期，但不能修改投标文件。 </w:t>
      </w:r>
    </w:p>
    <w:p w14:paraId="2CF01439">
      <w:pPr>
        <w:pStyle w:val="10"/>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14.4中标人的投标文件自开标之日起至合同履行完毕止均应保持有效。</w:t>
      </w:r>
    </w:p>
    <w:p w14:paraId="7D063FC6">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15.投标保证金</w:t>
      </w:r>
    </w:p>
    <w:p w14:paraId="6F437167">
      <w:pPr>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见前附表。</w:t>
      </w:r>
    </w:p>
    <w:p w14:paraId="5C910FE6">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16.</w:t>
      </w:r>
      <w:r>
        <w:rPr>
          <w:rFonts w:hint="eastAsia" w:ascii="宋体" w:hAnsi="宋体" w:eastAsia="宋体" w:cs="宋体"/>
          <w:b/>
          <w:color w:val="auto"/>
          <w:sz w:val="24"/>
          <w:szCs w:val="24"/>
          <w:highlight w:val="none"/>
        </w:rPr>
        <w:t>投标文件的制作</w:t>
      </w:r>
    </w:p>
    <w:p w14:paraId="5795577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16.1投标人应按招标文件前附表规定的内容编制投标文件。</w:t>
      </w:r>
    </w:p>
    <w:p w14:paraId="19E9729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16.2投标人应按本招标文件规定的格式和顺序编制投标文件并标注页码，投标文件内容不完整、编排混乱导致投标文件被误读、漏读或者查找不到相关内容的，是投标人的责任。</w:t>
      </w:r>
    </w:p>
    <w:p w14:paraId="58651A70">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b/>
          <w:color w:val="auto"/>
          <w:highlight w:val="none"/>
          <w:u w:val="single"/>
        </w:rPr>
      </w:pPr>
      <w:r>
        <w:rPr>
          <w:rFonts w:hint="eastAsia" w:ascii="宋体" w:hAnsi="宋体" w:eastAsia="宋体" w:cs="宋体"/>
          <w:color w:val="auto"/>
          <w:sz w:val="24"/>
          <w:szCs w:val="24"/>
          <w:highlight w:val="none"/>
        </w:rPr>
        <w:t>16.3投标文件须由投标人在规定位置盖章并由法定代表人或法定代表授权人签署，投标人应写全称。</w:t>
      </w:r>
      <w:r>
        <w:rPr>
          <w:rFonts w:hint="eastAsia" w:ascii="宋体" w:hAnsi="宋体" w:eastAsia="宋体" w:cs="宋体"/>
          <w:b/>
          <w:color w:val="auto"/>
          <w:sz w:val="24"/>
          <w:szCs w:val="24"/>
          <w:highlight w:val="none"/>
        </w:rPr>
        <w:t>电子投标文件中所有加盖公章均采用CA签章。</w:t>
      </w:r>
    </w:p>
    <w:p w14:paraId="523816E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16.4投标文件不得涂改，若有修改错漏处，须加盖单位公章。投标文件因表达不清所引起的后果由投标人负责。</w:t>
      </w:r>
    </w:p>
    <w:p w14:paraId="5CC51C87">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16.5投标人应认真阅读招标文件中所有的内容。如果投标人编制的投标文件实质上不响应招标文件的要求，其投标文件将作无效标处理。</w:t>
      </w:r>
    </w:p>
    <w:p w14:paraId="605AC38D">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17.投标文件的包装、递交、修改和撤回</w:t>
      </w:r>
    </w:p>
    <w:p w14:paraId="057FC80D">
      <w:pPr>
        <w:pStyle w:val="5"/>
        <w:pageBreakBefore w:val="0"/>
        <w:widowControl w:val="0"/>
        <w:shd w:val="clear"/>
        <w:kinsoku/>
        <w:wordWrap/>
        <w:overflowPunct/>
        <w:topLinePunct w:val="0"/>
        <w:bidi w:val="0"/>
        <w:snapToGrid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投标人应在开标前在“</w:t>
      </w:r>
      <w:r>
        <w:rPr>
          <w:rFonts w:hint="eastAsia" w:ascii="宋体" w:hAnsi="宋体" w:eastAsia="宋体" w:cs="宋体"/>
          <w:b/>
          <w:color w:val="auto"/>
          <w:sz w:val="24"/>
          <w:szCs w:val="24"/>
          <w:highlight w:val="none"/>
          <w:lang w:eastAsia="zh-CN"/>
        </w:rPr>
        <w:t>乐采云</w:t>
      </w:r>
      <w:r>
        <w:rPr>
          <w:rFonts w:hint="eastAsia" w:ascii="宋体" w:hAnsi="宋体" w:eastAsia="宋体" w:cs="宋体"/>
          <w:b/>
          <w:color w:val="auto"/>
          <w:sz w:val="24"/>
          <w:szCs w:val="24"/>
          <w:highlight w:val="none"/>
        </w:rPr>
        <w:t>”上自行加密上传电子投标文件，逾期上传或未按要求上传的投标文件将予以拒收。</w:t>
      </w:r>
    </w:p>
    <w:p w14:paraId="2A11C4B6">
      <w:pPr>
        <w:pStyle w:val="5"/>
        <w:pageBreakBefore w:val="0"/>
        <w:widowControl w:val="0"/>
        <w:shd w:val="clear"/>
        <w:kinsoku/>
        <w:wordWrap/>
        <w:overflowPunct/>
        <w:topLinePunct w:val="0"/>
        <w:bidi w:val="0"/>
        <w:snapToGrid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w:t>
      </w:r>
      <w:r>
        <w:rPr>
          <w:rFonts w:hint="eastAsia" w:ascii="宋体" w:hAnsi="宋体" w:eastAsia="宋体" w:cs="宋体"/>
          <w:b/>
          <w:color w:val="auto"/>
          <w:sz w:val="24"/>
          <w:szCs w:val="24"/>
          <w:highlight w:val="none"/>
          <w:lang w:val="en-US" w:eastAsia="zh-CN"/>
        </w:rPr>
        <w:t>2</w:t>
      </w:r>
      <w:r>
        <w:rPr>
          <w:rFonts w:hint="eastAsia" w:ascii="宋体" w:hAnsi="宋体" w:eastAsia="宋体" w:cs="宋体"/>
          <w:color w:val="auto"/>
          <w:sz w:val="24"/>
          <w:szCs w:val="24"/>
          <w:highlight w:val="none"/>
        </w:rPr>
        <w:t>投标人在投标截止时间之前，可以对已提交的投标文件进行修改或撤回，补充、修改的内容为投标文件的组成部分。</w:t>
      </w:r>
    </w:p>
    <w:p w14:paraId="74E136E5">
      <w:pPr>
        <w:pStyle w:val="5"/>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投标截止时间后，投标人不得撤回、修改投标文件。</w:t>
      </w:r>
    </w:p>
    <w:p w14:paraId="08C75CB5">
      <w:pPr>
        <w:pStyle w:val="5"/>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不论投标人中标与否，投标人文件均不得撤回其投标。</w:t>
      </w:r>
    </w:p>
    <w:p w14:paraId="6B37E0E1">
      <w:pPr>
        <w:pStyle w:val="5"/>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17.5未按时解密的，视为投标文件撤回。</w:t>
      </w:r>
    </w:p>
    <w:p w14:paraId="65923726">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18.投标无效的情形</w:t>
      </w:r>
    </w:p>
    <w:p w14:paraId="0942ED99">
      <w:pPr>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实质上没有响应招标文件要求的投标将被视为无效投标。投标人不得通过修正或</w:t>
      </w:r>
      <w:r>
        <w:rPr>
          <w:rFonts w:hint="eastAsia" w:ascii="宋体" w:hAnsi="宋体" w:eastAsia="宋体" w:cs="宋体"/>
          <w:color w:val="auto"/>
          <w:sz w:val="24"/>
          <w:highlight w:val="none"/>
          <w:lang w:eastAsia="zh-CN"/>
        </w:rPr>
        <w:t>撤销</w:t>
      </w:r>
      <w:r>
        <w:rPr>
          <w:rFonts w:hint="eastAsia" w:ascii="宋体" w:hAnsi="宋体" w:eastAsia="宋体" w:cs="宋体"/>
          <w:color w:val="auto"/>
          <w:sz w:val="24"/>
          <w:highlight w:val="none"/>
        </w:rPr>
        <w:t>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401D91A">
      <w:pPr>
        <w:pStyle w:val="6"/>
        <w:pageBreakBefore w:val="0"/>
        <w:widowControl w:val="0"/>
        <w:shd w:val="clear"/>
        <w:kinsoku/>
        <w:wordWrap/>
        <w:overflowPunct/>
        <w:topLinePunct w:val="0"/>
        <w:bidi w:val="0"/>
        <w:snapToGrid w:val="0"/>
        <w:spacing w:after="0" w:line="228" w:lineRule="auto"/>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18.1在符合性审查和资格性审查时，如发现下列情形之一的，投标文件将被视为无效投标：</w:t>
      </w:r>
    </w:p>
    <w:p w14:paraId="452B0970">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bookmarkStart w:id="23" w:name="_Toc125344507"/>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资格证明文件不全的，或者不符合招标文件标明的资格要求的；</w:t>
      </w:r>
    </w:p>
    <w:p w14:paraId="6CBE55D3">
      <w:pPr>
        <w:pStyle w:val="7"/>
        <w:keepNext w:val="0"/>
        <w:keepLines w:val="0"/>
        <w:pageBreakBefore w:val="0"/>
        <w:widowControl w:val="0"/>
        <w:shd w:val="clear"/>
        <w:kinsoku/>
        <w:wordWrap/>
        <w:overflowPunct/>
        <w:topLinePunct w:val="0"/>
        <w:autoSpaceDE w:val="0"/>
        <w:autoSpaceDN w:val="0"/>
        <w:bidi w:val="0"/>
        <w:adjustRightInd w:val="0"/>
        <w:spacing w:after="0"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18.1.2未按照招标文件规定要求盖章</w:t>
      </w:r>
    </w:p>
    <w:p w14:paraId="0F7D2A6F">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18.1.3投标文件项目不齐全或者内容虚假的；</w:t>
      </w:r>
    </w:p>
    <w:p w14:paraId="128BE1CB">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18.1.4投标文件的实质性内容未使用中文表述、意思表述不明确、前后矛盾或者使用计量单位不符合招标文件要求的；</w:t>
      </w:r>
    </w:p>
    <w:p w14:paraId="0DF6F569">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18.1.5投标有效期、交货时间、质保期、售后服务承诺等条款不能满足招标文件要求的；</w:t>
      </w:r>
    </w:p>
    <w:p w14:paraId="09FAD551">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szCs w:val="24"/>
          <w:highlight w:val="none"/>
        </w:rPr>
        <w:t>商务条款存在偏离情况的；</w:t>
      </w:r>
    </w:p>
    <w:p w14:paraId="779D4BB8">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不符合</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或未实质性响应招标文件要求或者投标文件有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不能接受的附加条件的。</w:t>
      </w:r>
    </w:p>
    <w:p w14:paraId="19F5A19C">
      <w:pPr>
        <w:pStyle w:val="6"/>
        <w:pageBreakBefore w:val="0"/>
        <w:widowControl w:val="0"/>
        <w:shd w:val="clear"/>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18.2在技术评审时，如发现下列情形之一的，投标文件将被视为无效：</w:t>
      </w:r>
    </w:p>
    <w:p w14:paraId="729C500D">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18.2.1未提供或未如实提供投标货物的技术参数，或者投标文件标明的响应或偏离与事实不符或虚假投标的；</w:t>
      </w:r>
    </w:p>
    <w:p w14:paraId="20A5ABB8">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18.2.2明显不符合招标文件要求的规格型号、质量标准，或者与招标文件中标“</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”的技术指标、主要功能项目发生实质性偏离的；</w:t>
      </w:r>
    </w:p>
    <w:p w14:paraId="7FB76ABE">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18.2.3允许偏离的技术、性能指标或者辅助功能项目发生负偏离达20项（含）以上的；</w:t>
      </w:r>
    </w:p>
    <w:p w14:paraId="1B281410">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18.2.4投标技术方案不明确，存在一个或一个以上备选（替代）投标方案的；</w:t>
      </w:r>
    </w:p>
    <w:p w14:paraId="54E61E63">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18.2.5</w:t>
      </w:r>
      <w:r>
        <w:rPr>
          <w:rFonts w:hint="eastAsia" w:ascii="宋体" w:hAnsi="宋体" w:eastAsia="宋体" w:cs="宋体"/>
          <w:b/>
          <w:color w:val="auto"/>
          <w:sz w:val="24"/>
          <w:highlight w:val="none"/>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0DE8F25C">
      <w:pPr>
        <w:pStyle w:val="6"/>
        <w:pageBreakBefore w:val="0"/>
        <w:widowControl w:val="0"/>
        <w:shd w:val="clear"/>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18.3在报价评审时，如发现下列情形之一的，投标文件将被视为无效：</w:t>
      </w:r>
    </w:p>
    <w:p w14:paraId="3B642DF5">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bookmarkStart w:id="24" w:name="OLE_LINK5"/>
      <w:r>
        <w:rPr>
          <w:rFonts w:hint="eastAsia" w:ascii="宋体" w:hAnsi="宋体" w:eastAsia="宋体" w:cs="宋体"/>
          <w:color w:val="auto"/>
          <w:sz w:val="24"/>
          <w:highlight w:val="none"/>
        </w:rPr>
        <w:t>（1）未采用人民币报价或者未按照招标文件标明的币种报价的；</w:t>
      </w:r>
    </w:p>
    <w:bookmarkEnd w:id="24"/>
    <w:p w14:paraId="37C5F3A8">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（2）投标报价超过招标文件中规定的最高限价的；</w:t>
      </w:r>
    </w:p>
    <w:p w14:paraId="62A6987A">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（3）评标委员会认为投标人的报价明显低于其他通过符合性审查投标人的报价，有可能影响产品质量或者不能诚信履约，且投标人不能证明其报价合理性的；</w:t>
      </w:r>
    </w:p>
    <w:p w14:paraId="6B5219DE">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（4）投标人不接受报价文件中修正后的报价的；</w:t>
      </w:r>
    </w:p>
    <w:p w14:paraId="37E0273F">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（5）投标报价具有选择性。</w:t>
      </w:r>
    </w:p>
    <w:p w14:paraId="3232BAA7">
      <w:pPr>
        <w:pStyle w:val="6"/>
        <w:pageBreakBefore w:val="0"/>
        <w:widowControl w:val="0"/>
        <w:shd w:val="clear"/>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18.4符合招标文件明确规定的其他无效投标条款的。</w:t>
      </w:r>
    </w:p>
    <w:p w14:paraId="01A801B1">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四、开  标</w:t>
      </w:r>
      <w:bookmarkEnd w:id="23"/>
    </w:p>
    <w:p w14:paraId="59C02317">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19.</w:t>
      </w:r>
      <w:r>
        <w:rPr>
          <w:rFonts w:hint="eastAsia" w:ascii="宋体" w:hAnsi="宋体" w:eastAsia="宋体" w:cs="宋体"/>
          <w:b/>
          <w:color w:val="auto"/>
          <w:sz w:val="24"/>
          <w:highlight w:val="none"/>
        </w:rPr>
        <w:t>开标</w:t>
      </w:r>
    </w:p>
    <w:p w14:paraId="6EBD3359">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19.1采购代理机构将在前附表规定的时间、地点进行开标。无关人员不得进入开标现场。</w:t>
      </w:r>
    </w:p>
    <w:p w14:paraId="1FACF8D5">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19.2本项目实行电子开评标，投标人无需前往开评标现场，只需在规定时间内在“</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 xml:space="preserve">”平台上上传电子投标文件。 </w:t>
      </w:r>
    </w:p>
    <w:p w14:paraId="538AA268">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20.开标程序</w:t>
      </w:r>
    </w:p>
    <w:p w14:paraId="48E3FF0F">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bookmarkStart w:id="25" w:name="_Toc125344508"/>
      <w:r>
        <w:rPr>
          <w:rFonts w:hint="eastAsia" w:ascii="宋体" w:hAnsi="宋体" w:eastAsia="宋体" w:cs="宋体"/>
          <w:b/>
          <w:color w:val="auto"/>
          <w:sz w:val="24"/>
          <w:highlight w:val="none"/>
        </w:rPr>
        <w:t>20.1投标截止时间后的</w:t>
      </w:r>
      <w:r>
        <w:rPr>
          <w:rFonts w:hint="eastAsia" w:ascii="宋体" w:hAnsi="宋体" w:eastAsia="宋体" w:cs="宋体"/>
          <w:b/>
          <w:color w:val="auto"/>
          <w:sz w:val="24"/>
          <w:highlight w:val="none"/>
          <w:lang w:eastAsia="zh-CN"/>
        </w:rPr>
        <w:t>30分钟</w:t>
      </w:r>
      <w:r>
        <w:rPr>
          <w:rFonts w:hint="eastAsia" w:ascii="宋体" w:hAnsi="宋体" w:eastAsia="宋体" w:cs="宋体"/>
          <w:b/>
          <w:color w:val="auto"/>
          <w:sz w:val="24"/>
          <w:highlight w:val="none"/>
        </w:rPr>
        <w:t>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6907289E">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20.2评标委员会对投标人的资格和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文件进行评审；</w:t>
      </w:r>
    </w:p>
    <w:p w14:paraId="1D340318">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20.3对有效的投标单位的投标报价在“</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”平台上予以公开；</w:t>
      </w:r>
    </w:p>
    <w:p w14:paraId="4F331751">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20.4评标委员会对有效的投标单位进行投标报价评审，确定投标报价评审有效投标单位；</w:t>
      </w:r>
    </w:p>
    <w:p w14:paraId="60005AC5">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确定预中标人。</w:t>
      </w:r>
    </w:p>
    <w:p w14:paraId="6DB1FD57">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p w14:paraId="1C8798C8">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eastAsia="zh-CN"/>
        </w:rPr>
        <w:t>乐采云</w:t>
      </w:r>
      <w:r>
        <w:rPr>
          <w:rFonts w:hint="eastAsia" w:ascii="宋体" w:hAnsi="宋体" w:eastAsia="宋体" w:cs="宋体"/>
          <w:b/>
          <w:color w:val="auto"/>
          <w:sz w:val="24"/>
          <w:highlight w:val="none"/>
        </w:rPr>
        <w:t>公司如对电子化开标及评审程序有调整的，按调整后的程序操作。</w:t>
      </w:r>
    </w:p>
    <w:p w14:paraId="4969D449">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2、如中标单位投标文件和招标文件要求不一致，且评审过程中未发现的，履约应按有利于采购人的要求执行。</w:t>
      </w:r>
    </w:p>
    <w:p w14:paraId="452781F1">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3、采购过程中出现以下情形，导致电子交易平台无法正常运行，或者无法保证电子交易的公平、公正和安全时，采购组织机构可中止电子交易活动：</w:t>
      </w:r>
    </w:p>
    <w:p w14:paraId="07E6FFDE">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（一）电子交易平台发生故障而无法登录访问的； </w:t>
      </w:r>
    </w:p>
    <w:p w14:paraId="58FC0CF9">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（二）电子交易平台应用或数据库出现错误，不能进行正常操作的；</w:t>
      </w:r>
    </w:p>
    <w:p w14:paraId="2AA4D486">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（三）电子交易平台发现严重安全漏洞，有潜在泄密危险的；</w:t>
      </w:r>
    </w:p>
    <w:p w14:paraId="2ECE8F20">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（四）病毒发作导致不能进行正常操作的； </w:t>
      </w:r>
    </w:p>
    <w:p w14:paraId="0AB0DAC5">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（五）其他无法保证电子交易的公平、公正和安全的情况。</w:t>
      </w:r>
    </w:p>
    <w:p w14:paraId="4CDC1BF5">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出现前款规定情形，不影响采购公平、公正性的，采购组织机构可以待上述情形消除后继续组织电子交易活动；影响或可能影响采购公平、公正性的，应当重新采购。</w:t>
      </w:r>
    </w:p>
    <w:p w14:paraId="037EB1AC">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、评</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标</w:t>
      </w:r>
      <w:bookmarkEnd w:id="25"/>
    </w:p>
    <w:p w14:paraId="26FB2CF5">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 组建评标委员会</w:t>
      </w:r>
    </w:p>
    <w:p w14:paraId="104C0BEE">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评标委员会按照有关规定组建。</w:t>
      </w:r>
    </w:p>
    <w:p w14:paraId="717D748D">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22.评标原则</w:t>
      </w:r>
    </w:p>
    <w:p w14:paraId="452FDED8">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22.1评标委员会必须公平、公正、客观，不带任何倾向性和启发性；</w:t>
      </w:r>
    </w:p>
    <w:p w14:paraId="7D821936">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22.2不得向外界透露任何与评标有关的内容；</w:t>
      </w:r>
    </w:p>
    <w:p w14:paraId="473C87B9">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22.3任何单位和个人不得干扰、影响评标的正常进行；</w:t>
      </w:r>
    </w:p>
    <w:p w14:paraId="59512BCF">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22.4评标委员会及有关工作人员不得私下与投标人接触。</w:t>
      </w:r>
    </w:p>
    <w:p w14:paraId="230EB49B">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22.5评审专家因回避、临时缺席或健康原因等特殊情况不能继续参加评审工作的，应按规定更换评审专家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被更换的评审人员之前所作出的评审意见不再予以采纳，由更换后的评审人员重新进行评审。无法及时更换专家的，要立即停止评审工作、封存评审资料，并告知投标人择期重新评审的时间和地点。</w:t>
      </w:r>
    </w:p>
    <w:p w14:paraId="46F2A2B0">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22.6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276055A">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5D162481">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22.7</w:t>
      </w:r>
      <w:r>
        <w:rPr>
          <w:rFonts w:hint="eastAsia" w:ascii="宋体" w:hAnsi="宋体" w:eastAsia="宋体" w:cs="宋体"/>
          <w:color w:val="auto"/>
          <w:sz w:val="24"/>
          <w:highlight w:val="none"/>
        </w:rPr>
        <w:t>以联合体形式参加采购活动的，联合体各方不得再单独参加或者与其他供应商另外组成联合体参加同一合同项下的采购活动。</w:t>
      </w:r>
    </w:p>
    <w:p w14:paraId="4D3E5949">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22.8除单一来源采购以外，为采购项目提供整体设计、规范编制或者项目管理、监理、检测等服务的供应商，不得参加本采购项目。</w:t>
      </w:r>
    </w:p>
    <w:p w14:paraId="63D6DEF2">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22.9单位负责人为同一人或者存在直接控股、管理关系的不同供应商，不得参加同一合同项下的采购活动。</w:t>
      </w:r>
    </w:p>
    <w:p w14:paraId="1ACC0F14">
      <w:pPr>
        <w:pStyle w:val="10"/>
        <w:pageBreakBefore w:val="0"/>
        <w:widowControl w:val="0"/>
        <w:shd w:val="clear"/>
        <w:kinsoku/>
        <w:wordWrap/>
        <w:overflowPunct/>
        <w:topLinePunct w:val="0"/>
        <w:bidi w:val="0"/>
        <w:snapToGrid w:val="0"/>
        <w:spacing w:line="228" w:lineRule="auto"/>
        <w:ind w:left="2" w:leftChars="1"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22.10本项目涉及提供的有关资质证书，若原有资质证书处于年审期间，投标人提供年审证明的可按原资质投标；若投标人正在申报上一级别资质，在未获批准之前，仍按原级别资质投标。</w:t>
      </w:r>
    </w:p>
    <w:p w14:paraId="1B89CD82">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23.评标程序</w:t>
      </w:r>
    </w:p>
    <w:p w14:paraId="3EECF47F">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23.1形式审查</w:t>
      </w:r>
    </w:p>
    <w:p w14:paraId="01E1E097">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评标委员会对投标人的投标文件的完整性、合法性等进行审查。</w:t>
      </w:r>
    </w:p>
    <w:p w14:paraId="4D1C25BE">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23.2实质审查与比较</w:t>
      </w:r>
    </w:p>
    <w:p w14:paraId="1BD59882">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的权利和投标人的义务方面造成重大的限制，纠正这些显著差异或保留将会对其他实质上响应招标文件要求的投标文件的投标人的竞争地位产生不公平的影响。</w:t>
      </w:r>
    </w:p>
    <w:p w14:paraId="34A27D41">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23.2.2评标委员会将根据投标人的投标文件进行审查、核对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如有疑问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将对投标人进行询标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投标人要向评标委员会澄清有关问题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并最终以“</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”在线询标或其他有效</w:t>
      </w:r>
      <w:r>
        <w:rPr>
          <w:rFonts w:hint="eastAsia" w:ascii="宋体" w:hAnsi="宋体" w:eastAsia="宋体" w:cs="宋体"/>
          <w:color w:val="auto"/>
          <w:sz w:val="24"/>
          <w:highlight w:val="none"/>
          <w:lang w:eastAsia="zh-CN"/>
        </w:rPr>
        <w:t>形式进行</w:t>
      </w:r>
      <w:r>
        <w:rPr>
          <w:rFonts w:hint="eastAsia" w:ascii="宋体" w:hAnsi="宋体" w:eastAsia="宋体" w:cs="宋体"/>
          <w:color w:val="auto"/>
          <w:sz w:val="24"/>
          <w:highlight w:val="none"/>
        </w:rPr>
        <w:t>答复。投标人代表拒绝澄清或者澄清的内容改变了投标文件的实质性内容的，评标委员会有权对该投标文件作出不利于投标人的评判。</w:t>
      </w:r>
    </w:p>
    <w:p w14:paraId="34868097">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23.2.3如果投标文件实质不响应招标文件的各项要求，评标委员会将予以拒绝，并且不允许投标人通过修改或撤销其不符合要求的差异或保留，使之成为具有响应性的投标。</w:t>
      </w:r>
    </w:p>
    <w:p w14:paraId="6C0F0D5B">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23.2.4评标委员会完成评标后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按评标原则推荐中标候选人同时起草评标报告。</w:t>
      </w:r>
    </w:p>
    <w:p w14:paraId="6328F966">
      <w:pPr>
        <w:pStyle w:val="15"/>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评标委员会对明显不合理的投标报价，有权要求投标人在规定时间内提交说明，投标人不能提供的或提供的材料不能说明问题的，评标委员会可以判定其投标无效。</w:t>
      </w:r>
    </w:p>
    <w:p w14:paraId="0774245E">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4FC9C0AF">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BEC8507">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如投标人或采购人有下列情形之一的，应按串通投标行为认定，禁止其一至三年内进入本市采购市场，情节严重的移送有关部门依法处理。</w:t>
      </w:r>
    </w:p>
    <w:p w14:paraId="014F35FF">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24.1不同投标人的投标文件由同一单位或人员编制； </w:t>
      </w:r>
    </w:p>
    <w:p w14:paraId="120DFBD1">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24.2不同投标人委托同一单位或个人办理投标事宜；</w:t>
      </w:r>
    </w:p>
    <w:p w14:paraId="2C215E16">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24.3不同投标人的投标文件载明的项目管理或联系人员为同一人；</w:t>
      </w:r>
    </w:p>
    <w:p w14:paraId="3E8CC08A">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24.4不同投标人的投标文件异常一致或者投标报价呈规律性差异； </w:t>
      </w:r>
    </w:p>
    <w:p w14:paraId="4AE76FBB">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24.5不同投标人的投标文件遗留其他投标人不属于本投标人参加采购必需的信息资料的；</w:t>
      </w:r>
    </w:p>
    <w:p w14:paraId="58F52FF6">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24.6不同投标人的授权代表为同一单位的工作人员的；   </w:t>
      </w:r>
    </w:p>
    <w:p w14:paraId="6238756F">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24.7采购响应截止时间后，采购人协助投标人撤换或更改投标文件的；</w:t>
      </w:r>
    </w:p>
    <w:p w14:paraId="39673946">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24.8采购人泄露有意向参加采购的投标人名称、数量等应当保密的事项的；</w:t>
      </w:r>
    </w:p>
    <w:p w14:paraId="6898232F">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24.9不同投标人之间私下达成书面或口头协议，指定一家投标人中标或轮流中标的；</w:t>
      </w:r>
    </w:p>
    <w:p w14:paraId="283B4121">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24.10属于同一集团、协会、商会等组织成员的投标人按照该组织要求协同的投标；</w:t>
      </w:r>
    </w:p>
    <w:p w14:paraId="28CAD4AC">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24.11投标人之间为谋取中标或者排斥特定投标人而采取的其他联合行动；</w:t>
      </w:r>
    </w:p>
    <w:p w14:paraId="340D855D">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24.12不同投标人与同一投标人联合投标的；</w:t>
      </w:r>
    </w:p>
    <w:p w14:paraId="28125C52">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24.13采购人（或采购代理机构）明示或者暗示投标人压低或者抬高投标报价；</w:t>
      </w:r>
    </w:p>
    <w:p w14:paraId="0C2C9809">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24.14采购人（或采购代理机构）明示或者暗示投标人为特定投标人中标提供方便；</w:t>
      </w:r>
    </w:p>
    <w:p w14:paraId="0C339915">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24.15采购人（或采购代理机构）与投标人为谋求特定投标人中标而采取的其他串通行为；</w:t>
      </w:r>
    </w:p>
    <w:p w14:paraId="409A469B">
      <w:pPr>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24.16</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或规章规定的其他串通行为。</w:t>
      </w:r>
    </w:p>
    <w:p w14:paraId="416CC5EA">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.投标文件的澄清</w:t>
      </w:r>
    </w:p>
    <w:p w14:paraId="0F40E9A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对投标文件中含义不明确、同类问题表述不一致或者有明显文字错误的内容，评标委员会可以在“</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14:paraId="71631B23">
      <w:pPr>
        <w:pStyle w:val="10"/>
        <w:pageBreakBefore w:val="0"/>
        <w:widowControl w:val="0"/>
        <w:shd w:val="clear"/>
        <w:kinsoku/>
        <w:wordWrap/>
        <w:overflowPunct/>
        <w:topLinePunct w:val="0"/>
        <w:bidi w:val="0"/>
        <w:snapToGrid w:val="0"/>
        <w:spacing w:line="228" w:lineRule="auto"/>
        <w:ind w:left="720" w:leftChars="228" w:hanging="241" w:hanging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26.错误修正</w:t>
      </w:r>
    </w:p>
    <w:p w14:paraId="77CD9C3B">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投标文件报价出现前后不一致的，按照下列规定修正：</w:t>
      </w:r>
    </w:p>
    <w:p w14:paraId="25C17B1A">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26.1投标文件中开标一览表（报价表）内容与投标文件中相应内容不一致的，以开标一览表（报价表）为准。</w:t>
      </w:r>
    </w:p>
    <w:p w14:paraId="0A5A1ECB">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26.2大写金额和小写金额不一致的，以大写金额为准。</w:t>
      </w:r>
    </w:p>
    <w:p w14:paraId="4A7AD95F">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26.3单价金额小数点或者百分比有明显错位的，以开标一览表的总价为准，并修改单价。</w:t>
      </w:r>
    </w:p>
    <w:p w14:paraId="05196DEC">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26.4总价金额与按单价汇总金额不一致的，以单价金额计算结果为准。</w:t>
      </w:r>
    </w:p>
    <w:p w14:paraId="7D56C916">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w:t>
      </w:r>
    </w:p>
    <w:p w14:paraId="03A83E90">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按上述修正错误的原则及方法调整或修正投标文件的投标报价，投标人同意并加盖公章确认，调整后的投标报价对投标人具有约束作用。如果投标人不接受修正后的报价，则其投标将作为无效投标处理。</w:t>
      </w:r>
    </w:p>
    <w:p w14:paraId="08148EEE">
      <w:pPr>
        <w:pStyle w:val="15"/>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.评标办法。</w:t>
      </w:r>
    </w:p>
    <w:p w14:paraId="160F673C">
      <w:pPr>
        <w:pStyle w:val="15"/>
        <w:shd w:val="clear" w:color="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.本项目评标办法是综合评分法，具体评标内容及评分标准等详见《第三章：评标办法及评分标准》。</w:t>
      </w:r>
    </w:p>
    <w:p w14:paraId="5EB28E6B">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评标过程的保密</w:t>
      </w:r>
    </w:p>
    <w:p w14:paraId="18AB0AF8">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28.1开标后，直到宣布授予中标人合同为止，凡属于审查、澄清、评价和比较投标文件的有关资料和授予合同的信息，采购人、评标委员会成员都不应向投标人或与该过程无关的其他人员泄露。</w:t>
      </w:r>
    </w:p>
    <w:p w14:paraId="49D59CEC">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7162A130">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28.3中标人确定后，采购人不对未中标人就评标过程以及未能中标原因作出任何解释。未中标人不得向评标委员会或其他有关人员</w:t>
      </w:r>
      <w:r>
        <w:rPr>
          <w:rFonts w:hint="eastAsia" w:ascii="宋体" w:hAnsi="宋体" w:eastAsia="宋体" w:cs="宋体"/>
          <w:color w:val="auto"/>
          <w:sz w:val="24"/>
          <w:highlight w:val="none"/>
          <w:lang w:eastAsia="zh-CN"/>
        </w:rPr>
        <w:t>询问</w:t>
      </w:r>
      <w:r>
        <w:rPr>
          <w:rFonts w:hint="eastAsia" w:ascii="宋体" w:hAnsi="宋体" w:eastAsia="宋体" w:cs="宋体"/>
          <w:color w:val="auto"/>
          <w:sz w:val="24"/>
          <w:highlight w:val="none"/>
        </w:rPr>
        <w:t>评标过程的情况和材料。</w:t>
      </w:r>
    </w:p>
    <w:p w14:paraId="614CF8BC">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bookmarkStart w:id="26" w:name="_Toc125344509"/>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w:t>
      </w:r>
      <w:bookmarkEnd w:id="26"/>
      <w:r>
        <w:rPr>
          <w:rFonts w:hint="eastAsia" w:ascii="宋体" w:hAnsi="宋体" w:eastAsia="宋体" w:cs="宋体"/>
          <w:color w:val="auto"/>
          <w:sz w:val="28"/>
          <w:szCs w:val="28"/>
          <w:highlight w:val="none"/>
        </w:rPr>
        <w:t>定标</w:t>
      </w:r>
    </w:p>
    <w:p w14:paraId="5F1172FC">
      <w:pPr>
        <w:pStyle w:val="15"/>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28.确定中标人。本项目由采购人确定中标人。</w:t>
      </w:r>
    </w:p>
    <w:p w14:paraId="7869FC6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.1采购人应当自收到评标报告之日起</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在评标报告确定的中标候选人名单中按顺序确定中标人。采购人在收到评标报告5个工作日内未按评标报告推荐的中标候选人顺序确定中标人，又不能说明合法理由的，视同按评标报告推荐的顺序确定排名</w:t>
      </w:r>
      <w:r>
        <w:rPr>
          <w:rFonts w:hint="eastAsia" w:ascii="宋体" w:hAnsi="宋体" w:eastAsia="宋体" w:cs="宋体"/>
          <w:color w:val="auto"/>
          <w:sz w:val="24"/>
          <w:highlight w:val="none"/>
          <w:lang w:val="en-US" w:eastAsia="zh-CN"/>
        </w:rPr>
        <w:t>第一</w:t>
      </w:r>
      <w:r>
        <w:rPr>
          <w:rFonts w:hint="eastAsia" w:ascii="宋体" w:hAnsi="宋体" w:eastAsia="宋体" w:cs="宋体"/>
          <w:color w:val="auto"/>
          <w:sz w:val="24"/>
          <w:highlight w:val="none"/>
        </w:rPr>
        <w:t>的中标候选人为中标人。</w:t>
      </w:r>
    </w:p>
    <w:p w14:paraId="032EBD77">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.2中标候选人无正当理由放弃中标成交或被取消中标资格的，除其投标保证金不予退还外，同时上报诸暨市公共资源交易管理委员会办公室，诸暨市公共资源交易管理委员会办公室将按有关</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、制度进行处理。</w:t>
      </w:r>
    </w:p>
    <w:p w14:paraId="477B9890">
      <w:pPr>
        <w:pStyle w:val="15"/>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29.中标通知</w:t>
      </w:r>
    </w:p>
    <w:p w14:paraId="1A1129EB">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.1采购结果经采购人确认后，采购代理机构将于2个工作日内在浙江省政府采购网上发布中标公告，由采购代理机构通过“</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”平台确认并签发《中标通知书》。《中标通知书》一经发出即发生法律效力。</w:t>
      </w:r>
    </w:p>
    <w:p w14:paraId="305078F8">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3070A450">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 中标无效情形</w:t>
      </w:r>
    </w:p>
    <w:p w14:paraId="26A70D52">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中标人存在下列情形之一的，中标无效：</w:t>
      </w:r>
    </w:p>
    <w:p w14:paraId="69A44383">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31.1提供虚假材料谋取中标的；</w:t>
      </w:r>
    </w:p>
    <w:p w14:paraId="6E4C2863">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31.2采取不正当手段诋毁、排挤其他投标人的；</w:t>
      </w:r>
    </w:p>
    <w:p w14:paraId="2AD1A313">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31.3与采购人、其他投标人恶意串通的；</w:t>
      </w:r>
    </w:p>
    <w:p w14:paraId="5350A713">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31.4向采购人、采购代理机构行贿或者提供其他不正当利益的；</w:t>
      </w:r>
    </w:p>
    <w:p w14:paraId="53EB1DCE">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31.5在招标过程中与采购人进行协商谈判；不按照招标文件和投标文件订立合同或者与采购人另行背离合同实质性内容的协议的；</w:t>
      </w:r>
    </w:p>
    <w:p w14:paraId="5286A139">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31.6拖延、拒签合同的；</w:t>
      </w:r>
    </w:p>
    <w:p w14:paraId="7E6456E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31.7存在</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eastAsia="zh-CN"/>
        </w:rPr>
        <w:t>的其他</w:t>
      </w:r>
      <w:r>
        <w:rPr>
          <w:rFonts w:hint="eastAsia" w:ascii="宋体" w:hAnsi="宋体" w:eastAsia="宋体" w:cs="宋体"/>
          <w:color w:val="auto"/>
          <w:sz w:val="24"/>
          <w:highlight w:val="none"/>
        </w:rPr>
        <w:t>损害采购人或采购单位利益或社会公共利益的情形的</w:t>
      </w:r>
      <w:r>
        <w:rPr>
          <w:rFonts w:hint="eastAsia" w:ascii="宋体" w:hAnsi="宋体" w:eastAsia="宋体" w:cs="宋体"/>
          <w:color w:val="auto"/>
          <w:sz w:val="24"/>
          <w:szCs w:val="24"/>
          <w:highlight w:val="none"/>
        </w:rPr>
        <w:t>。</w:t>
      </w:r>
    </w:p>
    <w:p w14:paraId="57FC1810">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31.重新招标</w:t>
      </w:r>
    </w:p>
    <w:p w14:paraId="19297DD8">
      <w:pPr>
        <w:pStyle w:val="16"/>
        <w:keepNext w:val="0"/>
        <w:keepLines w:val="0"/>
        <w:widowControl w:val="0"/>
        <w:suppressLineNumbers w:val="0"/>
        <w:shd w:val="clear"/>
        <w:autoSpaceDE/>
        <w:autoSpaceDN/>
        <w:adjustRightInd/>
        <w:spacing w:before="0" w:beforeAutospacing="0" w:after="0" w:afterAutospacing="0"/>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highlight w:val="none"/>
        </w:rPr>
        <w:t>投标截止时间及评审期间，出现有效供应商不足3家的，重新组织采购活动。</w:t>
      </w:r>
    </w:p>
    <w:p w14:paraId="47AE326E">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、授予合同</w:t>
      </w:r>
    </w:p>
    <w:p w14:paraId="09426C0C">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32.签订合同</w:t>
      </w:r>
    </w:p>
    <w:p w14:paraId="505E42D3">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33.1采购人与中标人应当在《中标通知书》发出之日起30日内签订采购合同。</w:t>
      </w:r>
    </w:p>
    <w:p w14:paraId="20E40F5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33.2招标文件、中标人的投标文件和评标过程中投标人的询标时作出的承诺及其澄清文件等作为合同签订的依据和主要附件。</w:t>
      </w:r>
    </w:p>
    <w:p w14:paraId="3862D823">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33.3采购人对合同内容负责。</w:t>
      </w:r>
    </w:p>
    <w:p w14:paraId="5B4CE132">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33.4合同一式</w:t>
      </w: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份，采购单位和中标人各执</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，代理公司、</w:t>
      </w:r>
      <w:r>
        <w:rPr>
          <w:rFonts w:hint="eastAsia" w:ascii="宋体" w:hAnsi="宋体" w:eastAsia="宋体" w:cs="宋体"/>
          <w:color w:val="auto"/>
          <w:sz w:val="24"/>
          <w:highlight w:val="none"/>
          <w:lang w:val="en-US" w:eastAsia="zh-CN"/>
        </w:rPr>
        <w:t>招标办</w:t>
      </w:r>
      <w:r>
        <w:rPr>
          <w:rFonts w:hint="eastAsia" w:ascii="宋体" w:hAnsi="宋体" w:eastAsia="宋体" w:cs="宋体"/>
          <w:color w:val="auto"/>
          <w:sz w:val="24"/>
          <w:highlight w:val="none"/>
          <w:lang w:eastAsia="zh-CN"/>
        </w:rPr>
        <w:t>存档一份</w:t>
      </w:r>
      <w:r>
        <w:rPr>
          <w:rFonts w:hint="eastAsia" w:ascii="宋体" w:hAnsi="宋体" w:eastAsia="宋体" w:cs="宋体"/>
          <w:color w:val="auto"/>
          <w:sz w:val="24"/>
          <w:highlight w:val="none"/>
        </w:rPr>
        <w:t>。</w:t>
      </w:r>
    </w:p>
    <w:p w14:paraId="7FAF5D1C">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33.5中标人和采购单位不得擅自变更、中止或者终止合同，不得另外订立背离合同实质性内容</w:t>
      </w:r>
      <w:r>
        <w:rPr>
          <w:rFonts w:hint="eastAsia" w:ascii="宋体" w:hAnsi="宋体" w:eastAsia="宋体" w:cs="宋体"/>
          <w:color w:val="auto"/>
          <w:sz w:val="24"/>
          <w:highlight w:val="none"/>
          <w:lang w:eastAsia="zh-CN"/>
        </w:rPr>
        <w:t>的其他</w:t>
      </w:r>
      <w:r>
        <w:rPr>
          <w:rFonts w:hint="eastAsia" w:ascii="宋体" w:hAnsi="宋体" w:eastAsia="宋体" w:cs="宋体"/>
          <w:color w:val="auto"/>
          <w:sz w:val="24"/>
          <w:highlight w:val="none"/>
        </w:rPr>
        <w:t>协议。</w:t>
      </w:r>
    </w:p>
    <w:p w14:paraId="4C6F1F66">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33.履约保证金</w:t>
      </w:r>
    </w:p>
    <w:p w14:paraId="293B3E18">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34.1中标人在</w:t>
      </w:r>
      <w:r>
        <w:rPr>
          <w:rFonts w:hint="eastAsia" w:ascii="宋体" w:hAnsi="宋体" w:eastAsia="宋体" w:cs="宋体"/>
          <w:color w:val="auto"/>
          <w:sz w:val="24"/>
          <w:highlight w:val="none"/>
          <w:lang w:val="en-US" w:eastAsia="zh-CN"/>
        </w:rPr>
        <w:t>项目实施</w:t>
      </w:r>
      <w:r>
        <w:rPr>
          <w:rFonts w:hint="eastAsia" w:ascii="宋体" w:hAnsi="宋体" w:eastAsia="宋体" w:cs="宋体"/>
          <w:color w:val="auto"/>
          <w:sz w:val="24"/>
          <w:highlight w:val="none"/>
        </w:rPr>
        <w:t>前，应按招标文件要求向采购人提交履约保证金，履约保证金作为中标人在履行合同</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服务承诺的保证。</w:t>
      </w:r>
    </w:p>
    <w:p w14:paraId="54D0299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34.2中标人应当以支票、汇票、本票等非现金形式提交。中标人在履行完合同约定事项后，采购人应及时退还履约保证金。履约保证金不计息。</w:t>
      </w:r>
    </w:p>
    <w:p w14:paraId="0912F737">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34.3签订合同后，如中标人不按双方合同约定履约，则没收其全部履约保证金，履约保证金不足以赔偿损失的，按实际损失赔偿。</w:t>
      </w:r>
    </w:p>
    <w:p w14:paraId="77A70E94">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34.合同备案</w:t>
      </w:r>
    </w:p>
    <w:p w14:paraId="036F179C">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highlight w:val="none"/>
        </w:rPr>
      </w:pPr>
      <w:bookmarkStart w:id="27" w:name="_Toc352165696"/>
      <w:bookmarkStart w:id="28" w:name="_Toc339459646"/>
      <w:bookmarkStart w:id="29" w:name="_Toc125344511"/>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采购人应当自采购合同签订之日起七个工作日内，通过</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系统上传合同进行备案。</w:t>
      </w:r>
    </w:p>
    <w:p w14:paraId="556C9178">
      <w:pPr>
        <w:pStyle w:val="10"/>
        <w:pageBreakBefore w:val="0"/>
        <w:widowControl w:val="0"/>
        <w:shd w:val="clear"/>
        <w:tabs>
          <w:tab w:val="left" w:pos="900"/>
        </w:tabs>
        <w:kinsoku/>
        <w:wordWrap/>
        <w:overflowPunct/>
        <w:topLinePunct w:val="0"/>
        <w:bidi w:val="0"/>
        <w:spacing w:line="228" w:lineRule="auto"/>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八、质疑和投诉</w:t>
      </w:r>
    </w:p>
    <w:p w14:paraId="353603A9">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.1开标过程中，投标人对开标有异议的，应当在“</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”平台上及时提出，评审委员应对异常情况制作相关记录。</w:t>
      </w:r>
    </w:p>
    <w:p w14:paraId="1C2DB2CC">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14:paraId="25D3955E">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color w:val="auto"/>
          <w:sz w:val="24"/>
          <w:highlight w:val="none"/>
        </w:rPr>
        <w:t>.3质疑投诉的相关规定</w:t>
      </w:r>
    </w:p>
    <w:p w14:paraId="4095F522">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（一）质疑投诉递交的资料需为书面材料。质疑投诉书面材料需法人代表人（或负责人）或授权代表签字并加盖公章。</w:t>
      </w:r>
    </w:p>
    <w:p w14:paraId="3691D68A">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（二）质疑投诉属于以下情况之一的，将不予受理：</w:t>
      </w:r>
    </w:p>
    <w:p w14:paraId="577EDE2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质疑投诉人不是所投诉项目的参与者，或者与质疑投诉项目无任何利害关系。</w:t>
      </w:r>
    </w:p>
    <w:p w14:paraId="5E80818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质疑投诉事项不具体，且未提供有效线索，难以查证。</w:t>
      </w:r>
    </w:p>
    <w:p w14:paraId="509CA34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未提供书面质疑或者质疑未加盖公章的；投诉人为法人或者其他组织，其投诉书未经法定代表人或者主要负责人签字并加盖公章的。</w:t>
      </w:r>
    </w:p>
    <w:p w14:paraId="4E1C7F2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已超过招标文件规定质疑投诉提出期限的事项。</w:t>
      </w:r>
    </w:p>
    <w:p w14:paraId="39327DEC">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投诉事项已作出处理决定，并且投诉人没有提出新的证据</w:t>
      </w:r>
    </w:p>
    <w:p w14:paraId="46187ACF">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质疑投诉的事项已经进入行政复议或者行政诉讼程序的；投诉事项应先提出质疑而没有提出质疑的。</w:t>
      </w:r>
    </w:p>
    <w:p w14:paraId="051E7D69">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不符合</w:t>
      </w:r>
      <w:r>
        <w:rPr>
          <w:rFonts w:hint="eastAsia" w:ascii="宋体" w:hAnsi="宋体" w:eastAsia="宋体" w:cs="宋体"/>
          <w:color w:val="auto"/>
          <w:sz w:val="24"/>
          <w:highlight w:val="none"/>
          <w:lang w:val="en-US" w:eastAsia="zh-CN"/>
        </w:rPr>
        <w:t>有关法律法规</w:t>
      </w:r>
      <w:r>
        <w:rPr>
          <w:rFonts w:hint="eastAsia" w:ascii="宋体" w:hAnsi="宋体" w:eastAsia="宋体" w:cs="宋体"/>
          <w:color w:val="auto"/>
          <w:sz w:val="24"/>
          <w:highlight w:val="none"/>
        </w:rPr>
        <w:t>规定的投诉。</w:t>
      </w:r>
    </w:p>
    <w:p w14:paraId="3887235F">
      <w:pPr>
        <w:pStyle w:val="3"/>
        <w:pageBreakBefore w:val="0"/>
        <w:widowControl w:val="0"/>
        <w:shd w:val="clear"/>
        <w:kinsoku/>
        <w:wordWrap/>
        <w:overflowPunct/>
        <w:topLinePunct w:val="0"/>
        <w:bidi w:val="0"/>
        <w:spacing w:before="0" w:after="0" w:line="228" w:lineRule="auto"/>
        <w:ind w:firstLine="562"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九、不良行为记录</w:t>
      </w:r>
      <w:bookmarkEnd w:id="27"/>
      <w:bookmarkEnd w:id="28"/>
    </w:p>
    <w:p w14:paraId="62CDADC6">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投标人在采购活动中出现下列违规行为的将记入</w:t>
      </w:r>
      <w:r>
        <w:rPr>
          <w:rFonts w:hint="eastAsia" w:ascii="宋体" w:hAnsi="宋体" w:eastAsia="宋体" w:cs="宋体"/>
          <w:color w:val="auto"/>
          <w:sz w:val="24"/>
          <w:highlight w:val="none"/>
        </w:rPr>
        <w:t>诸暨市</w:t>
      </w:r>
      <w:r>
        <w:rPr>
          <w:rFonts w:hint="eastAsia" w:ascii="宋体" w:hAnsi="宋体" w:eastAsia="宋体" w:cs="宋体"/>
          <w:color w:val="auto"/>
          <w:sz w:val="24"/>
          <w:szCs w:val="24"/>
          <w:highlight w:val="none"/>
          <w:lang w:val="en-US" w:eastAsia="zh-CN"/>
        </w:rPr>
        <w:t>招投标</w:t>
      </w:r>
      <w:r>
        <w:rPr>
          <w:rFonts w:hint="eastAsia" w:ascii="宋体" w:hAnsi="宋体" w:eastAsia="宋体" w:cs="宋体"/>
          <w:color w:val="auto"/>
          <w:sz w:val="24"/>
          <w:szCs w:val="24"/>
          <w:highlight w:val="none"/>
        </w:rPr>
        <w:t>不良行为记录，并在记录时限内暂停其</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highlight w:val="none"/>
          <w:lang w:eastAsia="zh-CN"/>
        </w:rPr>
        <w:t>诸暨市</w:t>
      </w:r>
      <w:r>
        <w:rPr>
          <w:rFonts w:hint="eastAsia" w:ascii="宋体" w:hAnsi="宋体" w:eastAsia="宋体" w:cs="宋体"/>
          <w:color w:val="auto"/>
          <w:sz w:val="24"/>
          <w:szCs w:val="24"/>
          <w:highlight w:val="none"/>
        </w:rPr>
        <w:t>采购交易资格，同时不良行为在</w:t>
      </w:r>
      <w:r>
        <w:rPr>
          <w:rFonts w:hint="eastAsia" w:ascii="宋体" w:hAnsi="宋体" w:eastAsia="宋体" w:cs="宋体"/>
          <w:color w:val="auto"/>
          <w:sz w:val="24"/>
          <w:highlight w:val="none"/>
        </w:rPr>
        <w:t>诸暨市公共资源交易中心网站</w:t>
      </w:r>
      <w:r>
        <w:rPr>
          <w:rFonts w:hint="eastAsia" w:ascii="宋体" w:hAnsi="宋体" w:eastAsia="宋体" w:cs="宋体"/>
          <w:color w:val="auto"/>
          <w:sz w:val="24"/>
          <w:szCs w:val="24"/>
          <w:highlight w:val="none"/>
        </w:rPr>
        <w:t>公示。</w:t>
      </w:r>
    </w:p>
    <w:tbl>
      <w:tblPr>
        <w:tblStyle w:val="18"/>
        <w:tblW w:w="951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7082"/>
        <w:gridCol w:w="1488"/>
      </w:tblGrid>
      <w:tr w14:paraId="1A7E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noWrap w:val="0"/>
            <w:vAlign w:val="center"/>
          </w:tcPr>
          <w:p w14:paraId="7DE09B1A">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7082" w:type="dxa"/>
            <w:noWrap w:val="0"/>
            <w:vAlign w:val="center"/>
          </w:tcPr>
          <w:p w14:paraId="324EDA7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不良行为</w:t>
            </w:r>
          </w:p>
        </w:tc>
        <w:tc>
          <w:tcPr>
            <w:tcW w:w="1488" w:type="dxa"/>
            <w:noWrap w:val="0"/>
            <w:vAlign w:val="center"/>
          </w:tcPr>
          <w:p w14:paraId="74D9FB73">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记录时限</w:t>
            </w:r>
          </w:p>
        </w:tc>
      </w:tr>
      <w:tr w14:paraId="4A72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4ADE11E0">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82" w:type="dxa"/>
            <w:noWrap w:val="0"/>
            <w:vAlign w:val="center"/>
          </w:tcPr>
          <w:p w14:paraId="0444BF7D">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在采购过程中，与采购人进行协商询价的</w:t>
            </w:r>
          </w:p>
        </w:tc>
        <w:tc>
          <w:tcPr>
            <w:tcW w:w="1488" w:type="dxa"/>
            <w:noWrap w:val="0"/>
            <w:vAlign w:val="center"/>
          </w:tcPr>
          <w:p w14:paraId="40461F0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5483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C2E0345">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82" w:type="dxa"/>
            <w:noWrap w:val="0"/>
            <w:vAlign w:val="center"/>
          </w:tcPr>
          <w:p w14:paraId="1B20348E">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有效期内撤回其</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文件的</w:t>
            </w:r>
          </w:p>
        </w:tc>
        <w:tc>
          <w:tcPr>
            <w:tcW w:w="1488" w:type="dxa"/>
            <w:noWrap w:val="0"/>
            <w:vAlign w:val="center"/>
          </w:tcPr>
          <w:p w14:paraId="7B17BBF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49D0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2FD61515">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082" w:type="dxa"/>
            <w:noWrap w:val="0"/>
            <w:vAlign w:val="center"/>
          </w:tcPr>
          <w:p w14:paraId="1EF7A308">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拒绝有关部门监督检查或提供虚假情况的</w:t>
            </w:r>
          </w:p>
        </w:tc>
        <w:tc>
          <w:tcPr>
            <w:tcW w:w="1488" w:type="dxa"/>
            <w:noWrap w:val="0"/>
            <w:vAlign w:val="center"/>
          </w:tcPr>
          <w:p w14:paraId="03CA71D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013F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639C1D18">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082" w:type="dxa"/>
            <w:noWrap w:val="0"/>
            <w:vAlign w:val="center"/>
          </w:tcPr>
          <w:p w14:paraId="7B2ED454">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不积极配合采购单位做好标的验收工作的</w:t>
            </w:r>
          </w:p>
        </w:tc>
        <w:tc>
          <w:tcPr>
            <w:tcW w:w="1488" w:type="dxa"/>
            <w:noWrap w:val="0"/>
            <w:vAlign w:val="center"/>
          </w:tcPr>
          <w:p w14:paraId="6D49049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6C54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26DFBA56">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082" w:type="dxa"/>
            <w:noWrap w:val="0"/>
            <w:vAlign w:val="center"/>
          </w:tcPr>
          <w:p w14:paraId="29034C51">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在有关部门的监督检查或考核中被通报批评或处以警告及以上处罚的</w:t>
            </w:r>
          </w:p>
        </w:tc>
        <w:tc>
          <w:tcPr>
            <w:tcW w:w="1488" w:type="dxa"/>
            <w:noWrap w:val="0"/>
            <w:vAlign w:val="center"/>
          </w:tcPr>
          <w:p w14:paraId="1153F57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63F6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1B07D2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082" w:type="dxa"/>
            <w:noWrap w:val="0"/>
            <w:vAlign w:val="center"/>
          </w:tcPr>
          <w:p w14:paraId="63CB817E">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不遵守投标会场纪律，无理取闹，扰乱交易秩序的</w:t>
            </w:r>
          </w:p>
        </w:tc>
        <w:tc>
          <w:tcPr>
            <w:tcW w:w="1488" w:type="dxa"/>
            <w:noWrap w:val="0"/>
            <w:vAlign w:val="center"/>
          </w:tcPr>
          <w:p w14:paraId="27F3426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2C71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9BFC3AB">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082" w:type="dxa"/>
            <w:noWrap w:val="0"/>
            <w:vAlign w:val="center"/>
          </w:tcPr>
          <w:p w14:paraId="2C63F9F1">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中标后无正当理由放弃中标，或在规定时间内不与采购人签订采购合同，或在签订合同时提出附加条件或更改合同实质性内容，或拒不提交所要求的履约保证金的</w:t>
            </w:r>
          </w:p>
        </w:tc>
        <w:tc>
          <w:tcPr>
            <w:tcW w:w="1488" w:type="dxa"/>
            <w:noWrap w:val="0"/>
            <w:vAlign w:val="center"/>
          </w:tcPr>
          <w:p w14:paraId="147A3A0C">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3533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60300EE3">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082" w:type="dxa"/>
            <w:noWrap w:val="0"/>
            <w:vAlign w:val="center"/>
          </w:tcPr>
          <w:p w14:paraId="44C16B9C">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不按照与采购人订立的合同履行义务（包括提供标的、售后服务、技术支持等），严重违反合同规定和廉政合同要求的</w:t>
            </w:r>
          </w:p>
        </w:tc>
        <w:tc>
          <w:tcPr>
            <w:tcW w:w="1488" w:type="dxa"/>
            <w:noWrap w:val="0"/>
            <w:vAlign w:val="center"/>
          </w:tcPr>
          <w:p w14:paraId="50EF440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6444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2C768DE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7082" w:type="dxa"/>
            <w:noWrap w:val="0"/>
            <w:vAlign w:val="center"/>
          </w:tcPr>
          <w:p w14:paraId="6AA6FD01">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项目负责人不到位，或擅自变换项目负责人，或不认真履行职责造成采购人损失的</w:t>
            </w:r>
          </w:p>
        </w:tc>
        <w:tc>
          <w:tcPr>
            <w:tcW w:w="1488" w:type="dxa"/>
            <w:noWrap w:val="0"/>
            <w:vAlign w:val="center"/>
          </w:tcPr>
          <w:p w14:paraId="30BF5C6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2290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7B5ACA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082" w:type="dxa"/>
            <w:noWrap w:val="0"/>
            <w:vAlign w:val="center"/>
          </w:tcPr>
          <w:p w14:paraId="67201A40">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发生经营状况重大变化以及重要担保、重大合同纠纷或诉讼、信用等级和资质变化等可能影响履约能力的重大事项，未及时向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提供书面报告，因而造成采购人损失的</w:t>
            </w:r>
          </w:p>
        </w:tc>
        <w:tc>
          <w:tcPr>
            <w:tcW w:w="1488" w:type="dxa"/>
            <w:noWrap w:val="0"/>
            <w:vAlign w:val="center"/>
          </w:tcPr>
          <w:p w14:paraId="1A77341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7658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E166A5E">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082" w:type="dxa"/>
            <w:noWrap w:val="0"/>
            <w:vAlign w:val="center"/>
          </w:tcPr>
          <w:p w14:paraId="7654498F">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与采购人、其他供应商或者采购代理机构相互串通的</w:t>
            </w:r>
          </w:p>
        </w:tc>
        <w:tc>
          <w:tcPr>
            <w:tcW w:w="1488" w:type="dxa"/>
            <w:noWrap w:val="0"/>
            <w:vAlign w:val="center"/>
          </w:tcPr>
          <w:p w14:paraId="431D62C5">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2014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4C417D5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082" w:type="dxa"/>
            <w:noWrap w:val="0"/>
            <w:vAlign w:val="center"/>
          </w:tcPr>
          <w:p w14:paraId="249F99BD">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采取不正当手段排挤其他供应商，进行不公平竞争的</w:t>
            </w:r>
          </w:p>
        </w:tc>
        <w:tc>
          <w:tcPr>
            <w:tcW w:w="1488" w:type="dxa"/>
            <w:noWrap w:val="0"/>
            <w:vAlign w:val="center"/>
          </w:tcPr>
          <w:p w14:paraId="4FB2FD6C">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2B30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0AAB796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7082" w:type="dxa"/>
            <w:noWrap w:val="0"/>
            <w:vAlign w:val="center"/>
          </w:tcPr>
          <w:p w14:paraId="6AE1D94E">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中标后与采购人另行订立背离合同实质内容的协议的</w:t>
            </w:r>
          </w:p>
        </w:tc>
        <w:tc>
          <w:tcPr>
            <w:tcW w:w="1488" w:type="dxa"/>
            <w:noWrap w:val="0"/>
            <w:vAlign w:val="center"/>
          </w:tcPr>
          <w:p w14:paraId="21CBF79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4A08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5F555DE">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7082" w:type="dxa"/>
            <w:noWrap w:val="0"/>
            <w:vAlign w:val="center"/>
          </w:tcPr>
          <w:p w14:paraId="282E4BC5">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事先有承诺，而事后违反承诺内容的</w:t>
            </w:r>
          </w:p>
        </w:tc>
        <w:tc>
          <w:tcPr>
            <w:tcW w:w="1488" w:type="dxa"/>
            <w:noWrap w:val="0"/>
            <w:vAlign w:val="center"/>
          </w:tcPr>
          <w:p w14:paraId="6E22BB73">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0D82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DF907C8">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7082" w:type="dxa"/>
            <w:noWrap w:val="0"/>
            <w:vAlign w:val="center"/>
          </w:tcPr>
          <w:p w14:paraId="71441AB7">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将中标项目转包或违反规定进行分包的</w:t>
            </w:r>
          </w:p>
        </w:tc>
        <w:tc>
          <w:tcPr>
            <w:tcW w:w="1488" w:type="dxa"/>
            <w:noWrap w:val="0"/>
            <w:vAlign w:val="center"/>
          </w:tcPr>
          <w:p w14:paraId="6E8D012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0A66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4B4321D">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7082" w:type="dxa"/>
            <w:noWrap w:val="0"/>
            <w:vAlign w:val="center"/>
          </w:tcPr>
          <w:p w14:paraId="24241E57">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以他人名义投标或允许他人以自己名义投标，或者以其他方式弄虚作假的</w:t>
            </w:r>
          </w:p>
        </w:tc>
        <w:tc>
          <w:tcPr>
            <w:tcW w:w="1488" w:type="dxa"/>
            <w:noWrap w:val="0"/>
            <w:vAlign w:val="center"/>
          </w:tcPr>
          <w:p w14:paraId="57337BF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79F8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6CA1C8D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7082" w:type="dxa"/>
            <w:noWrap w:val="0"/>
            <w:vAlign w:val="center"/>
          </w:tcPr>
          <w:p w14:paraId="2BB4086D">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未按照采购合同约定及时提供全部货物的，或无故拖延工期的</w:t>
            </w:r>
          </w:p>
        </w:tc>
        <w:tc>
          <w:tcPr>
            <w:tcW w:w="1488" w:type="dxa"/>
            <w:noWrap w:val="0"/>
            <w:vAlign w:val="center"/>
          </w:tcPr>
          <w:p w14:paraId="59396D8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7B23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A5259F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7082" w:type="dxa"/>
            <w:noWrap w:val="0"/>
            <w:vAlign w:val="center"/>
          </w:tcPr>
          <w:p w14:paraId="1E7D00F6">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无故不提供中标要求的型号、配置等产品的，或有拆换、调换、截留产品零部件和备品备件的行为的</w:t>
            </w:r>
          </w:p>
        </w:tc>
        <w:tc>
          <w:tcPr>
            <w:tcW w:w="1488" w:type="dxa"/>
            <w:noWrap w:val="0"/>
            <w:vAlign w:val="center"/>
          </w:tcPr>
          <w:p w14:paraId="57227A2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10D2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F83D6B0">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7082" w:type="dxa"/>
            <w:noWrap w:val="0"/>
            <w:vAlign w:val="center"/>
          </w:tcPr>
          <w:p w14:paraId="6815C5CA">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为获取自身利益，向采购人及其他有利害关系的单位或个人提供不正当利益的</w:t>
            </w:r>
          </w:p>
        </w:tc>
        <w:tc>
          <w:tcPr>
            <w:tcW w:w="1488" w:type="dxa"/>
            <w:noWrap w:val="0"/>
            <w:vAlign w:val="center"/>
          </w:tcPr>
          <w:p w14:paraId="48ACBD38">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72D3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noWrap w:val="0"/>
            <w:vAlign w:val="center"/>
          </w:tcPr>
          <w:p w14:paraId="0BBAC9F8">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7082" w:type="dxa"/>
            <w:noWrap w:val="0"/>
            <w:vAlign w:val="center"/>
          </w:tcPr>
          <w:p w14:paraId="1A876CF2">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投标人、采购相关利益人、自然人</w:t>
            </w:r>
            <w:r>
              <w:rPr>
                <w:rFonts w:hint="eastAsia" w:ascii="宋体" w:hAnsi="宋体" w:eastAsia="宋体" w:cs="宋体"/>
                <w:color w:val="auto"/>
                <w:sz w:val="24"/>
                <w:szCs w:val="24"/>
                <w:highlight w:val="none"/>
              </w:rPr>
              <w:t>不按程序、规定时间进行质疑投诉；</w:t>
            </w:r>
            <w:r>
              <w:rPr>
                <w:rFonts w:hint="eastAsia" w:ascii="宋体" w:hAnsi="宋体" w:eastAsia="宋体" w:cs="宋体"/>
                <w:color w:val="auto"/>
                <w:sz w:val="24"/>
                <w:highlight w:val="none"/>
              </w:rPr>
              <w:t>虚假质疑投诉；非正规渠道质疑投诉（信访、网络炒作等）；并对采购工作造成不利影响的</w:t>
            </w:r>
          </w:p>
        </w:tc>
        <w:tc>
          <w:tcPr>
            <w:tcW w:w="1488" w:type="dxa"/>
            <w:noWrap w:val="0"/>
            <w:vAlign w:val="center"/>
          </w:tcPr>
          <w:p w14:paraId="0D98CB7C">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4584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noWrap w:val="0"/>
            <w:vAlign w:val="center"/>
          </w:tcPr>
          <w:p w14:paraId="17B66F7A">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7082" w:type="dxa"/>
            <w:noWrap w:val="0"/>
            <w:vAlign w:val="center"/>
          </w:tcPr>
          <w:p w14:paraId="0F09F66B">
            <w:pPr>
              <w:pageBreakBefore w:val="0"/>
              <w:widowControl w:val="0"/>
              <w:shd w:val="clear"/>
              <w:kinsoku/>
              <w:wordWrap/>
              <w:overflowPunct/>
              <w:topLinePunct w:val="0"/>
              <w:bidi w:val="0"/>
              <w:spacing w:line="22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投标人、采购相关利益人、自然人利用质疑投诉、非正规渠道质疑投诉达到自身目的，并对采购工作造成不利影响的</w:t>
            </w:r>
          </w:p>
        </w:tc>
        <w:tc>
          <w:tcPr>
            <w:tcW w:w="1488" w:type="dxa"/>
            <w:noWrap w:val="0"/>
            <w:vAlign w:val="center"/>
          </w:tcPr>
          <w:p w14:paraId="3A210BD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236E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191CFE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7082" w:type="dxa"/>
            <w:noWrap w:val="0"/>
            <w:vAlign w:val="center"/>
          </w:tcPr>
          <w:p w14:paraId="4D7392F2">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提供假冒伪劣产品或走私物品的</w:t>
            </w:r>
          </w:p>
        </w:tc>
        <w:tc>
          <w:tcPr>
            <w:tcW w:w="1488" w:type="dxa"/>
            <w:noWrap w:val="0"/>
            <w:vAlign w:val="center"/>
          </w:tcPr>
          <w:p w14:paraId="7CC03E5D">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6109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542C1E55">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7082" w:type="dxa"/>
            <w:noWrap w:val="0"/>
            <w:vAlign w:val="center"/>
          </w:tcPr>
          <w:p w14:paraId="198D69CA">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擅自变更、中止、终止或解除采购合同的</w:t>
            </w:r>
          </w:p>
        </w:tc>
        <w:tc>
          <w:tcPr>
            <w:tcW w:w="1488" w:type="dxa"/>
            <w:noWrap w:val="0"/>
            <w:vAlign w:val="center"/>
          </w:tcPr>
          <w:p w14:paraId="1C7D2E0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034E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E32C99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7082" w:type="dxa"/>
            <w:noWrap w:val="0"/>
            <w:vAlign w:val="center"/>
          </w:tcPr>
          <w:p w14:paraId="6B7E2225">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向有关人员行贿或者提供不正当利益谋取中标的</w:t>
            </w:r>
          </w:p>
        </w:tc>
        <w:tc>
          <w:tcPr>
            <w:tcW w:w="1488" w:type="dxa"/>
            <w:noWrap w:val="0"/>
            <w:vAlign w:val="center"/>
          </w:tcPr>
          <w:p w14:paraId="5C0F1901">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5A20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ADA9890">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7082" w:type="dxa"/>
            <w:noWrap w:val="0"/>
            <w:vAlign w:val="center"/>
          </w:tcPr>
          <w:p w14:paraId="13F1D453">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在采购活动期间，对管理机构、采购人、其他采购响应人、评标专家、中介机构等采购相关机构和人员，采取诋毁、诽谤、胁迫、暴力等不正当手段的</w:t>
            </w:r>
          </w:p>
        </w:tc>
        <w:tc>
          <w:tcPr>
            <w:tcW w:w="1488" w:type="dxa"/>
            <w:noWrap w:val="0"/>
            <w:vAlign w:val="center"/>
          </w:tcPr>
          <w:p w14:paraId="3FB04DDA">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69FE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045A1A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7082" w:type="dxa"/>
            <w:noWrap w:val="0"/>
            <w:vAlign w:val="center"/>
          </w:tcPr>
          <w:p w14:paraId="1093EA64">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采购单位招投标管理部门</w:t>
            </w:r>
            <w:r>
              <w:rPr>
                <w:rFonts w:hint="eastAsia" w:ascii="宋体" w:hAnsi="宋体" w:eastAsia="宋体" w:cs="宋体"/>
                <w:color w:val="auto"/>
                <w:sz w:val="24"/>
                <w:szCs w:val="24"/>
                <w:highlight w:val="none"/>
                <w:lang w:eastAsia="zh-CN"/>
              </w:rPr>
              <w:t>认定</w:t>
            </w:r>
            <w:r>
              <w:rPr>
                <w:rFonts w:hint="eastAsia" w:ascii="宋体" w:hAnsi="宋体" w:eastAsia="宋体" w:cs="宋体"/>
                <w:color w:val="auto"/>
                <w:sz w:val="24"/>
                <w:szCs w:val="24"/>
                <w:highlight w:val="none"/>
              </w:rPr>
              <w:t>的其他违反采购管理的行为</w:t>
            </w:r>
          </w:p>
        </w:tc>
        <w:tc>
          <w:tcPr>
            <w:tcW w:w="1488" w:type="dxa"/>
            <w:noWrap w:val="0"/>
            <w:vAlign w:val="center"/>
          </w:tcPr>
          <w:p w14:paraId="2CCF76A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酌情处理</w:t>
            </w:r>
          </w:p>
        </w:tc>
      </w:tr>
    </w:tbl>
    <w:p w14:paraId="6E0E8A6B">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十、监督和解释</w:t>
      </w:r>
      <w:bookmarkEnd w:id="29"/>
    </w:p>
    <w:p w14:paraId="05BEC305">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35.</w:t>
      </w:r>
      <w:r>
        <w:rPr>
          <w:rFonts w:hint="eastAsia" w:ascii="宋体" w:hAnsi="宋体" w:eastAsia="宋体" w:cs="宋体"/>
          <w:color w:val="auto"/>
          <w:sz w:val="24"/>
          <w:highlight w:val="none"/>
        </w:rPr>
        <w:t>本次招标活动接受</w:t>
      </w:r>
      <w:r>
        <w:rPr>
          <w:rFonts w:hint="eastAsia" w:ascii="宋体" w:hAnsi="宋体" w:eastAsia="宋体" w:cs="宋体"/>
          <w:color w:val="auto"/>
          <w:sz w:val="24"/>
          <w:highlight w:val="none"/>
          <w:lang w:val="en-US" w:eastAsia="zh-CN"/>
        </w:rPr>
        <w:t>采购单位招投标管理部门及上级监管部门</w:t>
      </w:r>
      <w:r>
        <w:rPr>
          <w:rFonts w:hint="eastAsia" w:ascii="宋体" w:hAnsi="宋体" w:eastAsia="宋体" w:cs="宋体"/>
          <w:color w:val="auto"/>
          <w:sz w:val="24"/>
          <w:highlight w:val="none"/>
          <w:lang w:eastAsia="zh-CN"/>
        </w:rPr>
        <w:t>的监督。</w:t>
      </w:r>
    </w:p>
    <w:p w14:paraId="79306B08">
      <w:pPr>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36.</w:t>
      </w:r>
      <w:r>
        <w:rPr>
          <w:rFonts w:hint="eastAsia" w:ascii="宋体" w:hAnsi="宋体" w:eastAsia="宋体" w:cs="宋体"/>
          <w:color w:val="auto"/>
          <w:sz w:val="24"/>
          <w:highlight w:val="none"/>
        </w:rPr>
        <w:t>本招标文件的解释权属于采购单位和</w:t>
      </w:r>
      <w:r>
        <w:rPr>
          <w:rFonts w:hint="eastAsia" w:ascii="宋体" w:hAnsi="宋体" w:eastAsia="宋体" w:cs="宋体"/>
          <w:color w:val="auto"/>
          <w:sz w:val="24"/>
          <w:highlight w:val="none"/>
          <w:lang w:eastAsia="zh-CN"/>
        </w:rPr>
        <w:t>浙江博策工程项目管理有限公司</w:t>
      </w:r>
      <w:r>
        <w:rPr>
          <w:rFonts w:hint="eastAsia" w:ascii="宋体" w:hAnsi="宋体" w:eastAsia="宋体" w:cs="宋体"/>
          <w:color w:val="auto"/>
          <w:sz w:val="24"/>
          <w:highlight w:val="none"/>
        </w:rPr>
        <w:t>。</w:t>
      </w:r>
    </w:p>
    <w:p w14:paraId="32438524">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C81449E">
      <w:pPr>
        <w:numPr>
          <w:ilvl w:val="0"/>
          <w:numId w:val="0"/>
        </w:numPr>
        <w:spacing w:line="240" w:lineRule="auto"/>
        <w:jc w:val="center"/>
        <w:rPr>
          <w:rFonts w:hint="eastAsia" w:ascii="宋体" w:hAnsi="宋体" w:eastAsia="宋体" w:cs="宋体"/>
          <w:b/>
          <w:bCs/>
          <w:color w:val="auto"/>
          <w:sz w:val="36"/>
          <w:szCs w:val="28"/>
          <w:highlight w:val="none"/>
        </w:rPr>
      </w:pPr>
      <w:r>
        <w:rPr>
          <w:rFonts w:hint="eastAsia" w:ascii="宋体" w:hAnsi="宋体" w:eastAsia="宋体" w:cs="宋体"/>
          <w:b/>
          <w:bCs/>
          <w:color w:val="auto"/>
          <w:sz w:val="36"/>
          <w:szCs w:val="28"/>
          <w:highlight w:val="none"/>
          <w:lang w:val="en-US" w:eastAsia="zh-CN"/>
        </w:rPr>
        <w:t xml:space="preserve">第三章  </w:t>
      </w:r>
      <w:r>
        <w:rPr>
          <w:rFonts w:hint="eastAsia" w:ascii="宋体" w:hAnsi="宋体" w:eastAsia="宋体" w:cs="宋体"/>
          <w:b/>
          <w:bCs/>
          <w:color w:val="auto"/>
          <w:sz w:val="36"/>
          <w:szCs w:val="28"/>
          <w:highlight w:val="none"/>
        </w:rPr>
        <w:t>评标办法及评分标准</w:t>
      </w:r>
    </w:p>
    <w:p w14:paraId="1706FDBD">
      <w:pPr>
        <w:keepNext w:val="0"/>
        <w:keepLines w:val="0"/>
        <w:pageBreakBefore w:val="0"/>
        <w:widowControl w:val="0"/>
        <w:kinsoku/>
        <w:wordWrap/>
        <w:overflowPunct/>
        <w:topLinePunct w:val="0"/>
        <w:autoSpaceDE w:val="0"/>
        <w:autoSpaceDN w:val="0"/>
        <w:bidi w:val="0"/>
        <w:adjustRightInd w:val="0"/>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。即在符合招标文件要求的前提下，择定最高得分者为第一中标候选人，即预中标人。</w:t>
      </w:r>
    </w:p>
    <w:p w14:paraId="6A3B7A90">
      <w:pPr>
        <w:keepNext w:val="0"/>
        <w:keepLines w:val="0"/>
        <w:pageBreakBefore w:val="0"/>
        <w:widowControl w:val="0"/>
        <w:kinsoku/>
        <w:wordWrap/>
        <w:overflowPunct/>
        <w:topLinePunct w:val="0"/>
        <w:autoSpaceDE w:val="0"/>
        <w:autoSpaceDN w:val="0"/>
        <w:bidi w:val="0"/>
        <w:adjustRightInd w:val="0"/>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14:paraId="05345A76">
      <w:pPr>
        <w:keepNext w:val="0"/>
        <w:keepLines w:val="0"/>
        <w:pageBreakBefore w:val="0"/>
        <w:widowControl w:val="0"/>
        <w:kinsoku/>
        <w:wordWrap/>
        <w:overflowPunct/>
        <w:topLinePunct w:val="0"/>
        <w:autoSpaceDE w:val="0"/>
        <w:autoSpaceDN w:val="0"/>
        <w:bidi w:val="0"/>
        <w:adjustRightInd w:val="0"/>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3、评分办法</w:t>
      </w:r>
    </w:p>
    <w:p w14:paraId="271737CD">
      <w:pPr>
        <w:keepNext w:val="0"/>
        <w:keepLines w:val="0"/>
        <w:pageBreakBefore w:val="0"/>
        <w:widowControl w:val="0"/>
        <w:kinsoku/>
        <w:wordWrap/>
        <w:overflowPunct/>
        <w:topLinePunct w:val="0"/>
        <w:autoSpaceDE w:val="0"/>
        <w:autoSpaceDN w:val="0"/>
        <w:bidi w:val="0"/>
        <w:adjustRightInd w:val="0"/>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（1）满分为100分。总得分=商务技术得分+报价得分；</w:t>
      </w:r>
    </w:p>
    <w:p w14:paraId="511F0E70">
      <w:pPr>
        <w:keepNext w:val="0"/>
        <w:keepLines w:val="0"/>
        <w:pageBreakBefore w:val="0"/>
        <w:widowControl w:val="0"/>
        <w:kinsoku/>
        <w:wordWrap/>
        <w:overflowPunct/>
        <w:topLinePunct w:val="0"/>
        <w:autoSpaceDE w:val="0"/>
        <w:autoSpaceDN w:val="0"/>
        <w:bidi w:val="0"/>
        <w:adjustRightInd w:val="0"/>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（2）商务技术得分=商务技术评分，商务技术评分=所有评委的有效评分的算术平均数。</w:t>
      </w:r>
    </w:p>
    <w:p w14:paraId="67BF2780">
      <w:pPr>
        <w:keepNext w:val="0"/>
        <w:keepLines w:val="0"/>
        <w:pageBreakBefore w:val="0"/>
        <w:widowControl w:val="0"/>
        <w:kinsoku/>
        <w:wordWrap/>
        <w:overflowPunct/>
        <w:topLinePunct w:val="0"/>
        <w:autoSpaceDE w:val="0"/>
        <w:autoSpaceDN w:val="0"/>
        <w:bidi w:val="0"/>
        <w:adjustRightInd w:val="0"/>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（3）报价得分=（评标基准价/投标报价）×价格权值×100，评标基准价=有效投标人的最低投标报价，价格权值=30%；</w:t>
      </w:r>
    </w:p>
    <w:p w14:paraId="07F405EA">
      <w:pPr>
        <w:keepNext w:val="0"/>
        <w:keepLines w:val="0"/>
        <w:pageBreakBefore w:val="0"/>
        <w:widowControl w:val="0"/>
        <w:kinsoku/>
        <w:wordWrap/>
        <w:overflowPunct/>
        <w:topLinePunct w:val="0"/>
        <w:autoSpaceDE w:val="0"/>
        <w:autoSpaceDN w:val="0"/>
        <w:bidi w:val="0"/>
        <w:adjustRightInd w:val="0"/>
        <w:snapToGrid/>
        <w:spacing w:line="34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（4）商务技术分评分细则（70分）</w:t>
      </w:r>
    </w:p>
    <w:tbl>
      <w:tblPr>
        <w:tblStyle w:val="18"/>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0"/>
        <w:gridCol w:w="1112"/>
        <w:gridCol w:w="7154"/>
        <w:gridCol w:w="709"/>
      </w:tblGrid>
      <w:tr w14:paraId="3342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Header/>
          <w:jc w:val="center"/>
        </w:trPr>
        <w:tc>
          <w:tcPr>
            <w:tcW w:w="680" w:type="dxa"/>
            <w:noWrap w:val="0"/>
            <w:tcMar>
              <w:top w:w="15" w:type="dxa"/>
              <w:left w:w="15" w:type="dxa"/>
              <w:bottom w:w="0" w:type="dxa"/>
              <w:right w:w="15" w:type="dxa"/>
            </w:tcMar>
            <w:vAlign w:val="center"/>
          </w:tcPr>
          <w:p w14:paraId="417A651D">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112" w:type="dxa"/>
            <w:noWrap w:val="0"/>
            <w:tcMar>
              <w:top w:w="15" w:type="dxa"/>
              <w:left w:w="15" w:type="dxa"/>
              <w:bottom w:w="0" w:type="dxa"/>
              <w:right w:w="15" w:type="dxa"/>
            </w:tcMar>
            <w:vAlign w:val="center"/>
          </w:tcPr>
          <w:p w14:paraId="3D49770B">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评分</w:t>
            </w:r>
            <w:r>
              <w:rPr>
                <w:rFonts w:hint="eastAsia" w:ascii="宋体" w:hAnsi="宋体" w:eastAsia="宋体" w:cs="宋体"/>
                <w:b/>
                <w:color w:val="auto"/>
                <w:sz w:val="24"/>
                <w:szCs w:val="24"/>
                <w:highlight w:val="none"/>
              </w:rPr>
              <w:t>内容</w:t>
            </w:r>
          </w:p>
        </w:tc>
        <w:tc>
          <w:tcPr>
            <w:tcW w:w="7154" w:type="dxa"/>
            <w:noWrap w:val="0"/>
            <w:tcMar>
              <w:top w:w="15" w:type="dxa"/>
              <w:left w:w="15" w:type="dxa"/>
              <w:bottom w:w="0" w:type="dxa"/>
              <w:right w:w="15" w:type="dxa"/>
            </w:tcMar>
            <w:vAlign w:val="center"/>
          </w:tcPr>
          <w:p w14:paraId="1426EC7C">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评分</w:t>
            </w:r>
            <w:r>
              <w:rPr>
                <w:rFonts w:hint="eastAsia" w:ascii="宋体" w:hAnsi="宋体" w:eastAsia="宋体" w:cs="宋体"/>
                <w:b/>
                <w:color w:val="auto"/>
                <w:sz w:val="24"/>
                <w:szCs w:val="24"/>
                <w:highlight w:val="none"/>
              </w:rPr>
              <w:t>细则</w:t>
            </w:r>
          </w:p>
        </w:tc>
        <w:tc>
          <w:tcPr>
            <w:tcW w:w="709" w:type="dxa"/>
            <w:noWrap w:val="0"/>
            <w:tcMar>
              <w:top w:w="15" w:type="dxa"/>
              <w:left w:w="15" w:type="dxa"/>
              <w:bottom w:w="0" w:type="dxa"/>
              <w:right w:w="15" w:type="dxa"/>
            </w:tcMar>
            <w:vAlign w:val="center"/>
          </w:tcPr>
          <w:p w14:paraId="15F0E980">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分值</w:t>
            </w:r>
          </w:p>
        </w:tc>
      </w:tr>
      <w:tr w14:paraId="5E66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7" w:hRule="atLeast"/>
          <w:jc w:val="center"/>
        </w:trPr>
        <w:tc>
          <w:tcPr>
            <w:tcW w:w="680" w:type="dxa"/>
            <w:noWrap w:val="0"/>
            <w:tcMar>
              <w:top w:w="15" w:type="dxa"/>
              <w:left w:w="15" w:type="dxa"/>
              <w:bottom w:w="0" w:type="dxa"/>
              <w:right w:w="15" w:type="dxa"/>
            </w:tcMar>
            <w:vAlign w:val="center"/>
          </w:tcPr>
          <w:p w14:paraId="46C68C46">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12" w:type="dxa"/>
            <w:noWrap w:val="0"/>
            <w:tcMar>
              <w:top w:w="15" w:type="dxa"/>
              <w:left w:w="15" w:type="dxa"/>
              <w:bottom w:w="0" w:type="dxa"/>
              <w:right w:w="15" w:type="dxa"/>
            </w:tcMar>
            <w:vAlign w:val="center"/>
          </w:tcPr>
          <w:p w14:paraId="5598FA3A">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综合实力</w:t>
            </w:r>
          </w:p>
        </w:tc>
        <w:tc>
          <w:tcPr>
            <w:tcW w:w="7154" w:type="dxa"/>
            <w:noWrap w:val="0"/>
            <w:tcMar>
              <w:top w:w="15" w:type="dxa"/>
              <w:left w:w="15" w:type="dxa"/>
              <w:bottom w:w="0" w:type="dxa"/>
              <w:right w:w="15" w:type="dxa"/>
            </w:tcMar>
            <w:vAlign w:val="center"/>
          </w:tcPr>
          <w:p w14:paraId="62BEBA4B">
            <w:pPr>
              <w:keepNext w:val="0"/>
              <w:keepLines w:val="0"/>
              <w:pageBreakBefore w:val="0"/>
              <w:numPr>
                <w:ilvl w:val="0"/>
                <w:numId w:val="0"/>
              </w:numPr>
              <w:kinsoku/>
              <w:wordWrap/>
              <w:overflowPunct/>
              <w:topLinePunct w:val="0"/>
              <w:autoSpaceDE w:val="0"/>
              <w:bidi w:val="0"/>
              <w:snapToGrid/>
              <w:spacing w:line="348" w:lineRule="auto"/>
              <w:ind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lang w:val="zh-CN" w:eastAsia="zh-CN" w:bidi="ar-SA"/>
              </w:rPr>
              <w:t>1.</w:t>
            </w:r>
            <w:r>
              <w:rPr>
                <w:rFonts w:hint="eastAsia" w:ascii="宋体" w:hAnsi="宋体" w:eastAsia="宋体" w:cs="宋体"/>
                <w:color w:val="auto"/>
                <w:sz w:val="24"/>
                <w:szCs w:val="24"/>
                <w:highlight w:val="none"/>
                <w:lang w:val="zh-CN"/>
              </w:rPr>
              <w:t>投标人具有计算机软硬件运维服务ISO20000信息技术服务管理体系认证证书、信息系统集成及运维服务ISO27001信息安全管理体系认证证书、信息系统集成及运维服务ISO9001质量管理体系认证证书、CCRC信息系统安全集成服务三级认证及以上资质证书、CCRC信息系统安全运维服务三级认证及以上资质，每</w:t>
            </w:r>
            <w:r>
              <w:rPr>
                <w:rFonts w:hint="eastAsia" w:ascii="宋体" w:hAnsi="宋体" w:eastAsia="宋体" w:cs="宋体"/>
                <w:color w:val="auto"/>
                <w:sz w:val="24"/>
                <w:szCs w:val="24"/>
                <w:highlight w:val="none"/>
                <w:lang w:val="en-US" w:eastAsia="zh-CN"/>
              </w:rPr>
              <w:t>提供一个</w:t>
            </w:r>
            <w:r>
              <w:rPr>
                <w:rFonts w:hint="eastAsia" w:ascii="宋体" w:hAnsi="宋体" w:eastAsia="宋体" w:cs="宋体"/>
                <w:color w:val="auto"/>
                <w:sz w:val="24"/>
                <w:szCs w:val="24"/>
                <w:highlight w:val="none"/>
                <w:lang w:val="zh-CN"/>
              </w:rPr>
              <w:t>得1分，</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lang w:val="zh-CN"/>
              </w:rPr>
              <w:t>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zh-CN" w:eastAsia="zh-CN"/>
              </w:rPr>
              <w:t>以上证书认证范围均需覆盖运维服务，</w:t>
            </w:r>
            <w:r>
              <w:rPr>
                <w:rFonts w:hint="eastAsia" w:ascii="宋体" w:hAnsi="宋体" w:eastAsia="宋体" w:cs="宋体"/>
                <w:b/>
                <w:bCs/>
                <w:color w:val="auto"/>
                <w:sz w:val="24"/>
                <w:szCs w:val="24"/>
                <w:highlight w:val="none"/>
                <w:lang w:val="en-US" w:eastAsia="zh-CN"/>
              </w:rPr>
              <w:t>商务技术</w:t>
            </w:r>
            <w:r>
              <w:rPr>
                <w:rFonts w:hint="eastAsia" w:ascii="宋体" w:hAnsi="宋体" w:eastAsia="宋体" w:cs="宋体"/>
                <w:b/>
                <w:bCs/>
                <w:color w:val="auto"/>
                <w:sz w:val="24"/>
                <w:szCs w:val="24"/>
                <w:highlight w:val="none"/>
                <w:lang w:val="zh-CN"/>
              </w:rPr>
              <w:t>文件中提供相关证书扫描件及相关官网平台截图并加盖投标人</w:t>
            </w:r>
            <w:r>
              <w:rPr>
                <w:rFonts w:hint="eastAsia" w:ascii="宋体" w:hAnsi="宋体" w:eastAsia="宋体" w:cs="宋体"/>
                <w:b/>
                <w:bCs/>
                <w:color w:val="auto"/>
                <w:sz w:val="24"/>
                <w:szCs w:val="24"/>
                <w:highlight w:val="none"/>
              </w:rPr>
              <w:t>CA签章，</w:t>
            </w:r>
            <w:r>
              <w:rPr>
                <w:rFonts w:hint="eastAsia" w:ascii="宋体" w:hAnsi="宋体" w:eastAsia="宋体" w:cs="宋体"/>
                <w:b/>
                <w:bCs/>
                <w:color w:val="auto"/>
                <w:sz w:val="24"/>
                <w:szCs w:val="24"/>
                <w:highlight w:val="none"/>
                <w:lang w:val="zh-CN"/>
              </w:rPr>
              <w:t>不提供不得分，所有证书均需在有效期内。）</w:t>
            </w:r>
          </w:p>
          <w:p w14:paraId="2F3970EE">
            <w:pPr>
              <w:keepNext w:val="0"/>
              <w:keepLines w:val="0"/>
              <w:pageBreakBefore w:val="0"/>
              <w:numPr>
                <w:ilvl w:val="0"/>
                <w:numId w:val="0"/>
              </w:numPr>
              <w:kinsoku/>
              <w:wordWrap/>
              <w:overflowPunct/>
              <w:topLinePunct w:val="0"/>
              <w:autoSpaceDE w:val="0"/>
              <w:bidi w:val="0"/>
              <w:snapToGrid/>
              <w:spacing w:line="348"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bidi="ar-SA"/>
              </w:rPr>
              <w:t>2.</w:t>
            </w:r>
            <w:r>
              <w:rPr>
                <w:rFonts w:hint="eastAsia" w:ascii="宋体" w:hAnsi="宋体" w:eastAsia="宋体" w:cs="宋体"/>
                <w:color w:val="auto"/>
                <w:sz w:val="24"/>
                <w:szCs w:val="24"/>
                <w:highlight w:val="none"/>
                <w:lang w:val="en-US" w:eastAsia="zh-CN"/>
              </w:rPr>
              <w:t>投标人具有服务器虚拟化软件著作权证书及软件产品登记测试报告得3分，本项最高得3分。</w:t>
            </w:r>
            <w:r>
              <w:rPr>
                <w:rFonts w:hint="eastAsia" w:ascii="宋体" w:hAnsi="宋体" w:eastAsia="宋体" w:cs="宋体"/>
                <w:b/>
                <w:bCs/>
                <w:color w:val="auto"/>
                <w:sz w:val="24"/>
                <w:szCs w:val="24"/>
                <w:highlight w:val="none"/>
                <w:lang w:val="en-US" w:eastAsia="zh-CN"/>
              </w:rPr>
              <w:t>（商务技术</w:t>
            </w:r>
            <w:r>
              <w:rPr>
                <w:rFonts w:hint="eastAsia" w:ascii="宋体" w:hAnsi="宋体" w:eastAsia="宋体" w:cs="宋体"/>
                <w:b/>
                <w:bCs/>
                <w:color w:val="auto"/>
                <w:sz w:val="24"/>
                <w:szCs w:val="24"/>
                <w:highlight w:val="none"/>
                <w:lang w:val="zh-CN" w:eastAsia="zh-CN"/>
              </w:rPr>
              <w:t>文件中</w:t>
            </w:r>
            <w:r>
              <w:rPr>
                <w:rFonts w:hint="eastAsia" w:ascii="宋体" w:hAnsi="宋体" w:eastAsia="宋体" w:cs="宋体"/>
                <w:b/>
                <w:bCs/>
                <w:color w:val="auto"/>
                <w:sz w:val="24"/>
                <w:szCs w:val="24"/>
                <w:highlight w:val="none"/>
                <w:lang w:val="en-US" w:eastAsia="zh-CN"/>
              </w:rPr>
              <w:t>提供以上证书扫描件及测试报告扫描件并</w:t>
            </w:r>
            <w:r>
              <w:rPr>
                <w:rFonts w:hint="eastAsia" w:ascii="宋体" w:hAnsi="宋体" w:eastAsia="宋体" w:cs="宋体"/>
                <w:b/>
                <w:bCs/>
                <w:color w:val="auto"/>
                <w:sz w:val="24"/>
                <w:szCs w:val="24"/>
                <w:highlight w:val="none"/>
                <w:lang w:val="zh-CN" w:eastAsia="zh-CN"/>
              </w:rPr>
              <w:t>加盖投标人</w:t>
            </w:r>
            <w:r>
              <w:rPr>
                <w:rFonts w:hint="eastAsia" w:ascii="宋体" w:hAnsi="宋体" w:eastAsia="宋体" w:cs="宋体"/>
                <w:b/>
                <w:bCs/>
                <w:color w:val="auto"/>
                <w:sz w:val="24"/>
                <w:szCs w:val="24"/>
                <w:highlight w:val="none"/>
                <w:lang w:val="en-US" w:eastAsia="zh-CN"/>
              </w:rPr>
              <w:t>CA签章，</w:t>
            </w:r>
            <w:r>
              <w:rPr>
                <w:rFonts w:hint="eastAsia" w:ascii="宋体" w:hAnsi="宋体" w:eastAsia="宋体" w:cs="宋体"/>
                <w:b/>
                <w:bCs/>
                <w:color w:val="auto"/>
                <w:sz w:val="24"/>
                <w:szCs w:val="24"/>
                <w:highlight w:val="none"/>
                <w:lang w:val="zh-CN" w:eastAsia="zh-CN"/>
              </w:rPr>
              <w:t>不提供</w:t>
            </w:r>
            <w:r>
              <w:rPr>
                <w:rFonts w:hint="eastAsia" w:ascii="宋体" w:hAnsi="宋体" w:eastAsia="宋体" w:cs="宋体"/>
                <w:b/>
                <w:bCs/>
                <w:color w:val="auto"/>
                <w:sz w:val="24"/>
                <w:szCs w:val="24"/>
                <w:highlight w:val="none"/>
                <w:lang w:val="en-US" w:eastAsia="zh-CN"/>
              </w:rPr>
              <w:t>或提供不全</w:t>
            </w:r>
            <w:r>
              <w:rPr>
                <w:rFonts w:hint="eastAsia" w:ascii="宋体" w:hAnsi="宋体" w:eastAsia="宋体" w:cs="宋体"/>
                <w:b/>
                <w:bCs/>
                <w:color w:val="auto"/>
                <w:sz w:val="24"/>
                <w:szCs w:val="24"/>
                <w:highlight w:val="none"/>
                <w:lang w:val="zh-CN" w:eastAsia="zh-CN"/>
              </w:rPr>
              <w:t>不得分。</w:t>
            </w:r>
            <w:r>
              <w:rPr>
                <w:rFonts w:hint="eastAsia" w:ascii="宋体" w:hAnsi="宋体" w:eastAsia="宋体" w:cs="宋体"/>
                <w:b/>
                <w:bCs/>
                <w:color w:val="auto"/>
                <w:sz w:val="24"/>
                <w:szCs w:val="24"/>
                <w:highlight w:val="none"/>
                <w:lang w:val="en-US" w:eastAsia="zh-CN"/>
              </w:rPr>
              <w:t>）</w:t>
            </w:r>
          </w:p>
        </w:tc>
        <w:tc>
          <w:tcPr>
            <w:tcW w:w="709" w:type="dxa"/>
            <w:noWrap w:val="0"/>
            <w:tcMar>
              <w:top w:w="15" w:type="dxa"/>
              <w:left w:w="15" w:type="dxa"/>
              <w:bottom w:w="0" w:type="dxa"/>
              <w:right w:w="15" w:type="dxa"/>
            </w:tcMar>
            <w:vAlign w:val="center"/>
          </w:tcPr>
          <w:p w14:paraId="4D8235B9">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p>
        </w:tc>
      </w:tr>
      <w:tr w14:paraId="0970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1" w:hRule="atLeast"/>
          <w:jc w:val="center"/>
        </w:trPr>
        <w:tc>
          <w:tcPr>
            <w:tcW w:w="680" w:type="dxa"/>
            <w:noWrap w:val="0"/>
            <w:tcMar>
              <w:top w:w="15" w:type="dxa"/>
              <w:left w:w="15" w:type="dxa"/>
              <w:bottom w:w="0" w:type="dxa"/>
              <w:right w:w="15" w:type="dxa"/>
            </w:tcMar>
            <w:vAlign w:val="center"/>
          </w:tcPr>
          <w:p w14:paraId="0B12A7A2">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112" w:type="dxa"/>
            <w:noWrap w:val="0"/>
            <w:tcMar>
              <w:top w:w="15" w:type="dxa"/>
              <w:left w:w="15" w:type="dxa"/>
              <w:bottom w:w="0" w:type="dxa"/>
              <w:right w:w="15" w:type="dxa"/>
            </w:tcMar>
            <w:vAlign w:val="center"/>
          </w:tcPr>
          <w:p w14:paraId="1B9C6E5E">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投标产品资质及承诺</w:t>
            </w:r>
          </w:p>
        </w:tc>
        <w:tc>
          <w:tcPr>
            <w:tcW w:w="7154" w:type="dxa"/>
            <w:noWrap w:val="0"/>
            <w:tcMar>
              <w:top w:w="15" w:type="dxa"/>
              <w:left w:w="15" w:type="dxa"/>
              <w:bottom w:w="0" w:type="dxa"/>
              <w:right w:w="15" w:type="dxa"/>
            </w:tcMar>
            <w:vAlign w:val="center"/>
          </w:tcPr>
          <w:p w14:paraId="26E6C3FA">
            <w:pPr>
              <w:pStyle w:val="16"/>
              <w:keepNext w:val="0"/>
              <w:keepLines w:val="0"/>
              <w:pageBreakBefore w:val="0"/>
              <w:kinsoku/>
              <w:wordWrap/>
              <w:overflowPunct/>
              <w:topLinePunct w:val="0"/>
              <w:autoSpaceDE w:val="0"/>
              <w:bidi w:val="0"/>
              <w:snapToGrid/>
              <w:spacing w:before="0" w:beforeAutospacing="0" w:after="0" w:afterAutospacing="0" w:line="348" w:lineRule="auto"/>
              <w:ind w:firstLine="0" w:firstLineChars="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投标人所投</w:t>
            </w:r>
            <w:r>
              <w:rPr>
                <w:rFonts w:hint="eastAsia" w:ascii="宋体" w:hAnsi="宋体" w:eastAsia="宋体" w:cs="宋体"/>
                <w:color w:val="auto"/>
                <w:sz w:val="24"/>
                <w:szCs w:val="24"/>
                <w:highlight w:val="none"/>
                <w:lang w:val="en-US" w:eastAsia="zh-CN"/>
              </w:rPr>
              <w:t>产品具备国产化OS厂商兼容性认证，包括不限于统信、中标麒麟、银河麒麟、麒麟信安、红旗、普华、凝思等：具有10家及以上兼容性认证的，</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en-US" w:eastAsia="zh-CN"/>
              </w:rPr>
              <w:t>；具有7家-9家兼容性认证的，得1分；具有7家以下兼容性认证的，不得分，本项最高得2分</w:t>
            </w:r>
            <w:r>
              <w:rPr>
                <w:rFonts w:hint="eastAsia" w:ascii="宋体" w:hAnsi="宋体" w:eastAsia="宋体" w:cs="宋体"/>
                <w:color w:val="auto"/>
                <w:sz w:val="24"/>
                <w:szCs w:val="24"/>
                <w:highlight w:val="none"/>
                <w:lang w:val="zh-CN"/>
              </w:rPr>
              <w:t>。</w:t>
            </w:r>
            <w:r>
              <w:rPr>
                <w:rFonts w:hint="eastAsia" w:ascii="宋体" w:hAnsi="宋体" w:eastAsia="宋体" w:cs="宋体"/>
                <w:b/>
                <w:bCs/>
                <w:color w:val="auto"/>
                <w:sz w:val="24"/>
                <w:szCs w:val="24"/>
                <w:highlight w:val="none"/>
                <w:lang w:val="zh-CN"/>
              </w:rPr>
              <w:t>（投标文件中提供相关证明材料扫描件（加盖厂商公章）并加盖投标人CA签章，不提供不得分。）</w:t>
            </w:r>
          </w:p>
          <w:p w14:paraId="3F625330">
            <w:pPr>
              <w:pStyle w:val="16"/>
              <w:keepNext w:val="0"/>
              <w:keepLines w:val="0"/>
              <w:pageBreakBefore w:val="0"/>
              <w:kinsoku/>
              <w:wordWrap/>
              <w:overflowPunct/>
              <w:topLinePunct w:val="0"/>
              <w:autoSpaceDE w:val="0"/>
              <w:bidi w:val="0"/>
              <w:snapToGrid/>
              <w:spacing w:before="0" w:beforeAutospacing="0" w:after="0" w:afterAutospacing="0" w:line="348" w:lineRule="auto"/>
              <w:ind w:firstLine="0" w:firstLineChars="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为支持国产化数据库、中间件，投标人所投产品需提供国产数据库、中间件兼容性认证：</w:t>
            </w:r>
            <w:r>
              <w:rPr>
                <w:rFonts w:hint="eastAsia" w:ascii="宋体" w:hAnsi="宋体" w:eastAsia="宋体" w:cs="宋体"/>
                <w:color w:val="auto"/>
                <w:sz w:val="24"/>
                <w:szCs w:val="24"/>
                <w:highlight w:val="none"/>
                <w:lang w:val="en-US" w:eastAsia="zh-CN"/>
              </w:rPr>
              <w:t>具有10种及以上</w:t>
            </w:r>
            <w:r>
              <w:rPr>
                <w:rFonts w:hint="eastAsia" w:ascii="宋体" w:hAnsi="宋体" w:eastAsia="宋体" w:cs="宋体"/>
                <w:color w:val="auto"/>
                <w:sz w:val="24"/>
                <w:szCs w:val="24"/>
                <w:highlight w:val="none"/>
                <w:lang w:val="zh-CN" w:eastAsia="zh-CN"/>
              </w:rPr>
              <w:t>兼容性认证</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rPr>
              <w:t>得</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en-US" w:eastAsia="zh-CN"/>
              </w:rPr>
              <w:t>；具有7种-9种兼容性认证的，得1分；具有7种以下兼容性认证的，不得分，本项最高得2分</w:t>
            </w:r>
            <w:r>
              <w:rPr>
                <w:rFonts w:hint="eastAsia" w:ascii="宋体" w:hAnsi="宋体" w:eastAsia="宋体" w:cs="宋体"/>
                <w:color w:val="auto"/>
                <w:sz w:val="24"/>
                <w:szCs w:val="24"/>
                <w:highlight w:val="none"/>
                <w:lang w:val="zh-CN"/>
              </w:rPr>
              <w:t>。</w:t>
            </w:r>
            <w:r>
              <w:rPr>
                <w:rFonts w:hint="eastAsia" w:ascii="宋体" w:hAnsi="宋体" w:eastAsia="宋体" w:cs="宋体"/>
                <w:b/>
                <w:bCs/>
                <w:color w:val="auto"/>
                <w:sz w:val="24"/>
                <w:szCs w:val="24"/>
                <w:highlight w:val="none"/>
                <w:lang w:val="zh-CN"/>
              </w:rPr>
              <w:t>（投标文件中提供相关证明材料扫描件（加盖厂商公章）并加盖投标人CA签章，不提供不得分。）</w:t>
            </w:r>
          </w:p>
          <w:p w14:paraId="5BB80FF9">
            <w:pPr>
              <w:pStyle w:val="16"/>
              <w:keepNext w:val="0"/>
              <w:keepLines w:val="0"/>
              <w:pageBreakBefore w:val="0"/>
              <w:kinsoku/>
              <w:wordWrap/>
              <w:overflowPunct/>
              <w:topLinePunct w:val="0"/>
              <w:autoSpaceDE w:val="0"/>
              <w:bidi w:val="0"/>
              <w:snapToGrid/>
              <w:spacing w:before="0" w:beforeAutospacing="0" w:after="0" w:afterAutospacing="0" w:line="348" w:lineRule="auto"/>
              <w:ind w:firstLine="0" w:firstLineChars="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投标人</w:t>
            </w:r>
            <w:r>
              <w:rPr>
                <w:rFonts w:hint="eastAsia" w:ascii="宋体" w:hAnsi="宋体" w:eastAsia="宋体" w:cs="宋体"/>
                <w:color w:val="auto"/>
                <w:sz w:val="24"/>
                <w:szCs w:val="24"/>
                <w:highlight w:val="none"/>
                <w:lang w:val="en-US" w:eastAsia="zh-CN"/>
              </w:rPr>
              <w:t>承诺</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lang w:val="en-US" w:eastAsia="zh-CN"/>
              </w:rPr>
              <w:t>所投产品厂商</w:t>
            </w:r>
            <w:r>
              <w:rPr>
                <w:rFonts w:hint="eastAsia" w:ascii="宋体" w:hAnsi="宋体" w:eastAsia="宋体" w:cs="宋体"/>
                <w:color w:val="auto"/>
                <w:sz w:val="24"/>
                <w:szCs w:val="24"/>
                <w:highlight w:val="none"/>
                <w:lang w:val="zh-CN" w:eastAsia="zh-CN"/>
              </w:rPr>
              <w:t>100</w:t>
            </w:r>
            <w:r>
              <w:rPr>
                <w:rFonts w:hint="eastAsia" w:ascii="宋体" w:hAnsi="宋体" w:eastAsia="宋体" w:cs="宋体"/>
                <w:color w:val="auto"/>
                <w:sz w:val="24"/>
                <w:szCs w:val="24"/>
                <w:highlight w:val="none"/>
                <w:lang w:val="zh-CN"/>
              </w:rPr>
              <w:t>个虚拟机CDP持续数据保护功能授权</w:t>
            </w:r>
            <w:r>
              <w:rPr>
                <w:rFonts w:hint="eastAsia" w:ascii="宋体" w:hAnsi="宋体" w:eastAsia="宋体" w:cs="宋体"/>
                <w:color w:val="auto"/>
                <w:sz w:val="24"/>
                <w:szCs w:val="24"/>
                <w:highlight w:val="none"/>
                <w:lang w:val="en-US" w:eastAsia="zh-CN"/>
              </w:rPr>
              <w:t>，通过拖拽进度条，虚拟机可恢复到任意I/O时刻，得3分。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CN"/>
              </w:rPr>
              <w:t>投标文件中</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bidi="ar-SA"/>
              </w:rPr>
              <w:t>承诺函（格式自拟）</w:t>
            </w:r>
            <w:r>
              <w:rPr>
                <w:rFonts w:hint="eastAsia" w:ascii="宋体" w:hAnsi="宋体" w:eastAsia="宋体" w:cs="宋体"/>
                <w:b/>
                <w:bCs/>
                <w:color w:val="auto"/>
                <w:sz w:val="24"/>
                <w:szCs w:val="24"/>
                <w:highlight w:val="none"/>
                <w:lang w:val="en-US" w:eastAsia="zh-CN"/>
              </w:rPr>
              <w:t>及截图证明材料</w:t>
            </w:r>
            <w:r>
              <w:rPr>
                <w:rFonts w:hint="eastAsia" w:ascii="宋体" w:hAnsi="宋体" w:eastAsia="宋体" w:cs="宋体"/>
                <w:b/>
                <w:bCs/>
                <w:strike w:val="0"/>
                <w:dstrike w:val="0"/>
                <w:color w:val="auto"/>
                <w:sz w:val="24"/>
                <w:szCs w:val="24"/>
                <w:highlight w:val="none"/>
                <w:lang w:val="zh-CN"/>
              </w:rPr>
              <w:t>，</w:t>
            </w:r>
            <w:r>
              <w:rPr>
                <w:rFonts w:hint="eastAsia" w:ascii="宋体" w:hAnsi="宋体" w:eastAsia="宋体" w:cs="宋体"/>
                <w:b/>
                <w:bCs/>
                <w:strike w:val="0"/>
                <w:dstrike w:val="0"/>
                <w:color w:val="auto"/>
                <w:sz w:val="24"/>
                <w:szCs w:val="24"/>
                <w:highlight w:val="none"/>
                <w:lang w:val="en-US" w:eastAsia="zh-CN"/>
              </w:rPr>
              <w:t>不提供</w:t>
            </w:r>
            <w:r>
              <w:rPr>
                <w:rFonts w:hint="eastAsia" w:ascii="宋体" w:hAnsi="宋体" w:eastAsia="宋体" w:cs="宋体"/>
                <w:b/>
                <w:bCs/>
                <w:color w:val="auto"/>
                <w:sz w:val="24"/>
                <w:szCs w:val="24"/>
                <w:highlight w:val="none"/>
                <w:lang w:val="en-US" w:eastAsia="zh-CN" w:bidi="ar-SA"/>
              </w:rPr>
              <w:t>或提供不全不</w:t>
            </w:r>
            <w:r>
              <w:rPr>
                <w:rFonts w:hint="eastAsia" w:ascii="宋体" w:hAnsi="宋体" w:eastAsia="宋体" w:cs="宋体"/>
                <w:b/>
                <w:bCs/>
                <w:strike w:val="0"/>
                <w:dstrike w:val="0"/>
                <w:color w:val="auto"/>
                <w:sz w:val="24"/>
                <w:szCs w:val="24"/>
                <w:highlight w:val="none"/>
                <w:lang w:val="en-US" w:eastAsia="zh-CN"/>
              </w:rPr>
              <w:t>得分</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w:t>
            </w:r>
          </w:p>
        </w:tc>
        <w:tc>
          <w:tcPr>
            <w:tcW w:w="709" w:type="dxa"/>
            <w:noWrap w:val="0"/>
            <w:tcMar>
              <w:top w:w="15" w:type="dxa"/>
              <w:left w:w="15" w:type="dxa"/>
              <w:bottom w:w="0" w:type="dxa"/>
              <w:right w:w="15" w:type="dxa"/>
            </w:tcMar>
            <w:vAlign w:val="center"/>
          </w:tcPr>
          <w:p w14:paraId="7576580F">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r>
      <w:tr w14:paraId="4F1E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9" w:hRule="atLeast"/>
          <w:jc w:val="center"/>
        </w:trPr>
        <w:tc>
          <w:tcPr>
            <w:tcW w:w="680" w:type="dxa"/>
            <w:noWrap w:val="0"/>
            <w:tcMar>
              <w:top w:w="15" w:type="dxa"/>
              <w:left w:w="15" w:type="dxa"/>
              <w:bottom w:w="0" w:type="dxa"/>
              <w:right w:w="15" w:type="dxa"/>
            </w:tcMar>
            <w:vAlign w:val="center"/>
          </w:tcPr>
          <w:p w14:paraId="42E859F6">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12" w:type="dxa"/>
            <w:noWrap w:val="0"/>
            <w:tcMar>
              <w:top w:w="15" w:type="dxa"/>
              <w:left w:w="15" w:type="dxa"/>
              <w:bottom w:w="0" w:type="dxa"/>
              <w:right w:w="15" w:type="dxa"/>
            </w:tcMar>
            <w:vAlign w:val="center"/>
          </w:tcPr>
          <w:p w14:paraId="155DF4C5">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人员力量</w:t>
            </w:r>
          </w:p>
        </w:tc>
        <w:tc>
          <w:tcPr>
            <w:tcW w:w="7154" w:type="dxa"/>
            <w:noWrap w:val="0"/>
            <w:tcMar>
              <w:top w:w="15" w:type="dxa"/>
              <w:left w:w="15" w:type="dxa"/>
              <w:bottom w:w="0" w:type="dxa"/>
              <w:right w:w="15" w:type="dxa"/>
            </w:tcMar>
            <w:vAlign w:val="center"/>
          </w:tcPr>
          <w:p w14:paraId="0EC00FDF">
            <w:pPr>
              <w:keepNext w:val="0"/>
              <w:keepLines w:val="0"/>
              <w:pageBreakBefore w:val="0"/>
              <w:widowControl/>
              <w:kinsoku/>
              <w:wordWrap/>
              <w:overflowPunct/>
              <w:topLinePunct w:val="0"/>
              <w:autoSpaceDE w:val="0"/>
              <w:bidi w:val="0"/>
              <w:snapToGrid/>
              <w:spacing w:line="348"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本项目包含系统集成、数据迁移、设备运维等，为保障项目的专业性和有效性，投标人具备以下证书：</w:t>
            </w:r>
          </w:p>
          <w:p w14:paraId="41828BB1">
            <w:pPr>
              <w:keepNext w:val="0"/>
              <w:keepLines w:val="0"/>
              <w:pageBreakBefore w:val="0"/>
              <w:widowControl/>
              <w:kinsoku/>
              <w:wordWrap/>
              <w:overflowPunct/>
              <w:topLinePunct w:val="0"/>
              <w:autoSpaceDE w:val="0"/>
              <w:bidi w:val="0"/>
              <w:snapToGrid/>
              <w:spacing w:line="348"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项目经理同时具</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系统集成项目管理工程师、PMP项目管理专业资格认证、IT服务项目经理的得3分，缺一不得分。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证书需要在有效期内及提供相关官网平台截图证明</w:t>
            </w:r>
            <w:r>
              <w:rPr>
                <w:rFonts w:hint="eastAsia" w:ascii="宋体" w:hAnsi="宋体" w:eastAsia="宋体" w:cs="宋体"/>
                <w:b/>
                <w:bCs/>
                <w:color w:val="auto"/>
                <w:sz w:val="24"/>
                <w:szCs w:val="24"/>
                <w:highlight w:val="none"/>
                <w:lang w:eastAsia="zh-CN"/>
              </w:rPr>
              <w:t>）</w:t>
            </w:r>
          </w:p>
          <w:p w14:paraId="6C328478">
            <w:pPr>
              <w:keepNext w:val="0"/>
              <w:keepLines w:val="0"/>
              <w:pageBreakBefore w:val="0"/>
              <w:widowControl/>
              <w:kinsoku/>
              <w:wordWrap/>
              <w:overflowPunct/>
              <w:topLinePunct w:val="0"/>
              <w:autoSpaceDE w:val="0"/>
              <w:bidi w:val="0"/>
              <w:snapToGrid/>
              <w:spacing w:line="348" w:lineRule="auto"/>
              <w:ind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实施工程师具有信息安全保障人员认证（CISAW）安全运维</w:t>
            </w:r>
            <w:r>
              <w:rPr>
                <w:rFonts w:hint="eastAsia" w:ascii="宋体" w:hAnsi="宋体" w:eastAsia="宋体" w:cs="宋体"/>
                <w:color w:val="auto"/>
                <w:sz w:val="24"/>
                <w:szCs w:val="24"/>
                <w:highlight w:val="none"/>
                <w:lang w:val="en-US" w:eastAsia="zh-CN"/>
              </w:rPr>
              <w:t>证书、信息安全保障人员认证（CISAW）安全集成证书得2分</w:t>
            </w:r>
            <w:r>
              <w:rPr>
                <w:rFonts w:hint="eastAsia" w:ascii="宋体" w:hAnsi="宋体" w:eastAsia="宋体" w:cs="宋体"/>
                <w:color w:val="auto"/>
                <w:sz w:val="24"/>
                <w:szCs w:val="24"/>
                <w:highlight w:val="none"/>
              </w:rPr>
              <w:t>，缺一不得分。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证书需要在有效期内及提供相关官网平台截图证明</w:t>
            </w:r>
            <w:r>
              <w:rPr>
                <w:rFonts w:hint="eastAsia" w:ascii="宋体" w:hAnsi="宋体" w:eastAsia="宋体" w:cs="宋体"/>
                <w:b/>
                <w:bCs/>
                <w:color w:val="auto"/>
                <w:sz w:val="24"/>
                <w:szCs w:val="24"/>
                <w:highlight w:val="none"/>
                <w:lang w:eastAsia="zh-CN"/>
              </w:rPr>
              <w:t>）</w:t>
            </w:r>
          </w:p>
          <w:p w14:paraId="7A4F66AF">
            <w:pPr>
              <w:keepNext w:val="0"/>
              <w:keepLines w:val="0"/>
              <w:pageBreakBefore w:val="0"/>
              <w:widowControl/>
              <w:kinsoku/>
              <w:wordWrap/>
              <w:overflowPunct/>
              <w:topLinePunct w:val="0"/>
              <w:autoSpaceDE w:val="0"/>
              <w:bidi w:val="0"/>
              <w:snapToGrid/>
              <w:spacing w:line="348" w:lineRule="auto"/>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3.投标人实施工程师具有信息通信网络管理员职业技能证书，每提供一个得1分，本项最高得3分。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证书需要在有效期内及提供相关官网平台截图证明</w:t>
            </w:r>
            <w:r>
              <w:rPr>
                <w:rFonts w:hint="eastAsia" w:ascii="宋体" w:hAnsi="宋体" w:eastAsia="宋体" w:cs="宋体"/>
                <w:b/>
                <w:bCs/>
                <w:color w:val="auto"/>
                <w:sz w:val="24"/>
                <w:szCs w:val="24"/>
                <w:highlight w:val="none"/>
                <w:lang w:eastAsia="zh-CN"/>
              </w:rPr>
              <w:t>）</w:t>
            </w:r>
          </w:p>
          <w:p w14:paraId="2E2A16F3">
            <w:pPr>
              <w:keepNext w:val="0"/>
              <w:keepLines w:val="0"/>
              <w:pageBreakBefore w:val="0"/>
              <w:kinsoku/>
              <w:wordWrap/>
              <w:overflowPunct/>
              <w:topLinePunct w:val="0"/>
              <w:autoSpaceDE w:val="0"/>
              <w:bidi w:val="0"/>
              <w:snapToGrid/>
              <w:spacing w:line="348"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4.投标人运维工程师具有HCIP-Datacom认证证书、HCIP-STORAGE认证证书，每提供一个得1分，本项最高得2分。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证书需要在有效期内及提供相关官网平台截图证明</w:t>
            </w:r>
            <w:r>
              <w:rPr>
                <w:rFonts w:hint="eastAsia" w:ascii="宋体" w:hAnsi="宋体" w:eastAsia="宋体" w:cs="宋体"/>
                <w:b/>
                <w:bCs/>
                <w:color w:val="auto"/>
                <w:sz w:val="24"/>
                <w:szCs w:val="24"/>
                <w:highlight w:val="none"/>
                <w:lang w:eastAsia="zh-CN"/>
              </w:rPr>
              <w:t>）</w:t>
            </w:r>
          </w:p>
          <w:p w14:paraId="79351B87">
            <w:pPr>
              <w:keepNext w:val="0"/>
              <w:keepLines w:val="0"/>
              <w:pageBreakBefore w:val="0"/>
              <w:kinsoku/>
              <w:wordWrap/>
              <w:overflowPunct/>
              <w:topLinePunct w:val="0"/>
              <w:autoSpaceDE w:val="0"/>
              <w:bidi w:val="0"/>
              <w:snapToGrid/>
              <w:spacing w:line="348" w:lineRule="auto"/>
              <w:ind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5.投标人运维工程师具有CompTIA_Server+服务器高级工程师认证证书、工业和信息化部出具的信创认证运维工程师认证证书，每提供一个得1分，</w:t>
            </w:r>
            <w:r>
              <w:rPr>
                <w:rFonts w:hint="eastAsia" w:ascii="宋体" w:hAnsi="宋体" w:eastAsia="宋体" w:cs="宋体"/>
                <w:color w:val="auto"/>
                <w:sz w:val="24"/>
                <w:szCs w:val="24"/>
                <w:highlight w:val="none"/>
                <w:lang w:val="en-US" w:eastAsia="zh-CN"/>
              </w:rPr>
              <w:t>本项</w:t>
            </w:r>
            <w:r>
              <w:rPr>
                <w:rFonts w:hint="eastAsia" w:ascii="宋体" w:hAnsi="宋体" w:eastAsia="宋体" w:cs="宋体"/>
                <w:b w:val="0"/>
                <w:bCs w:val="0"/>
                <w:color w:val="auto"/>
                <w:sz w:val="24"/>
                <w:szCs w:val="24"/>
                <w:highlight w:val="none"/>
                <w:lang w:val="en-US" w:eastAsia="zh-CN"/>
              </w:rPr>
              <w:t>最高得3分。</w:t>
            </w:r>
            <w:r>
              <w:rPr>
                <w:rFonts w:hint="eastAsia" w:ascii="宋体" w:hAnsi="宋体" w:eastAsia="宋体" w:cs="宋体"/>
                <w:b/>
                <w:bCs/>
                <w:color w:val="auto"/>
                <w:sz w:val="24"/>
                <w:szCs w:val="24"/>
                <w:highlight w:val="none"/>
                <w:lang w:val="en-US" w:eastAsia="zh-CN"/>
              </w:rPr>
              <w:t>（证书需要在有效期内及提供相关官网平台截图证明。）</w:t>
            </w:r>
          </w:p>
          <w:p w14:paraId="314E9165">
            <w:pPr>
              <w:keepNext w:val="0"/>
              <w:keepLines w:val="0"/>
              <w:pageBreakBefore w:val="0"/>
              <w:kinsoku/>
              <w:wordWrap/>
              <w:overflowPunct/>
              <w:topLinePunct w:val="0"/>
              <w:autoSpaceDE w:val="0"/>
              <w:bidi w:val="0"/>
              <w:snapToGrid/>
              <w:spacing w:line="348" w:lineRule="auto"/>
              <w:ind w:firstLine="0" w:firstLineChars="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需提供人员名单，格式自拟，</w:t>
            </w:r>
            <w:r>
              <w:rPr>
                <w:rFonts w:hint="eastAsia" w:ascii="宋体" w:hAnsi="宋体" w:eastAsia="宋体" w:cs="宋体"/>
                <w:b/>
                <w:bCs/>
                <w:color w:val="auto"/>
                <w:sz w:val="24"/>
                <w:szCs w:val="24"/>
                <w:highlight w:val="none"/>
              </w:rPr>
              <w:t>同一人员不重复计分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需</w:t>
            </w:r>
            <w:r>
              <w:rPr>
                <w:rFonts w:hint="eastAsia" w:ascii="宋体" w:hAnsi="宋体" w:eastAsia="宋体" w:cs="宋体"/>
                <w:b/>
                <w:bCs/>
                <w:color w:val="auto"/>
                <w:sz w:val="24"/>
                <w:szCs w:val="24"/>
                <w:highlight w:val="none"/>
              </w:rPr>
              <w:t>提供以上人员相关证书扫描件</w:t>
            </w:r>
            <w:r>
              <w:rPr>
                <w:rFonts w:hint="eastAsia" w:ascii="宋体" w:hAnsi="宋体" w:eastAsia="宋体" w:cs="宋体"/>
                <w:b/>
                <w:bCs/>
                <w:color w:val="auto"/>
                <w:sz w:val="24"/>
                <w:szCs w:val="24"/>
                <w:highlight w:val="none"/>
                <w:lang w:val="en-US" w:eastAsia="zh-CN"/>
              </w:rPr>
              <w:t>及提供投标人</w:t>
            </w:r>
            <w:r>
              <w:rPr>
                <w:rFonts w:hint="eastAsia" w:ascii="宋体" w:hAnsi="宋体" w:eastAsia="宋体" w:cs="宋体"/>
                <w:b/>
                <w:bCs/>
                <w:color w:val="auto"/>
                <w:sz w:val="24"/>
                <w:szCs w:val="24"/>
                <w:highlight w:val="none"/>
              </w:rPr>
              <w:t>为其缴纳的近三个</w:t>
            </w:r>
            <w:r>
              <w:rPr>
                <w:rFonts w:hint="eastAsia" w:ascii="宋体" w:hAnsi="宋体" w:eastAsia="宋体" w:cs="宋体"/>
                <w:b/>
                <w:bCs/>
                <w:color w:val="auto"/>
                <w:sz w:val="24"/>
                <w:szCs w:val="24"/>
                <w:highlight w:val="none"/>
                <w:lang w:val="en-US" w:eastAsia="zh-CN"/>
              </w:rPr>
              <w:t>月连续</w:t>
            </w:r>
            <w:r>
              <w:rPr>
                <w:rFonts w:hint="eastAsia" w:ascii="宋体" w:hAnsi="宋体" w:eastAsia="宋体" w:cs="宋体"/>
                <w:b/>
                <w:bCs/>
                <w:color w:val="auto"/>
                <w:sz w:val="24"/>
                <w:szCs w:val="24"/>
                <w:highlight w:val="none"/>
              </w:rPr>
              <w:t>社保证明材料</w:t>
            </w:r>
            <w:r>
              <w:rPr>
                <w:rFonts w:hint="eastAsia" w:ascii="宋体" w:hAnsi="宋体" w:eastAsia="宋体" w:cs="宋体"/>
                <w:b/>
                <w:bCs/>
                <w:color w:val="auto"/>
                <w:sz w:val="24"/>
                <w:szCs w:val="24"/>
                <w:highlight w:val="none"/>
                <w:lang w:val="en-US" w:eastAsia="zh-CN"/>
              </w:rPr>
              <w:t>并且</w:t>
            </w:r>
            <w:r>
              <w:rPr>
                <w:rFonts w:hint="eastAsia" w:ascii="宋体" w:hAnsi="宋体" w:eastAsia="宋体" w:cs="宋体"/>
                <w:b/>
                <w:bCs/>
                <w:color w:val="auto"/>
                <w:sz w:val="24"/>
                <w:szCs w:val="24"/>
                <w:highlight w:val="none"/>
              </w:rPr>
              <w:t>加盖投标人CA签章，不提供或提供不全的不得分。）</w:t>
            </w:r>
          </w:p>
        </w:tc>
        <w:tc>
          <w:tcPr>
            <w:tcW w:w="709" w:type="dxa"/>
            <w:noWrap w:val="0"/>
            <w:tcMar>
              <w:top w:w="15" w:type="dxa"/>
              <w:left w:w="15" w:type="dxa"/>
              <w:bottom w:w="0" w:type="dxa"/>
              <w:right w:w="15" w:type="dxa"/>
            </w:tcMar>
            <w:vAlign w:val="center"/>
          </w:tcPr>
          <w:p w14:paraId="1C10D4F9">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r>
      <w:tr w14:paraId="0B0B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7" w:hRule="atLeast"/>
          <w:jc w:val="center"/>
        </w:trPr>
        <w:tc>
          <w:tcPr>
            <w:tcW w:w="680" w:type="dxa"/>
            <w:vMerge w:val="restart"/>
            <w:noWrap w:val="0"/>
            <w:tcMar>
              <w:top w:w="15" w:type="dxa"/>
              <w:left w:w="15" w:type="dxa"/>
              <w:bottom w:w="0" w:type="dxa"/>
              <w:right w:w="15" w:type="dxa"/>
            </w:tcMar>
            <w:vAlign w:val="center"/>
          </w:tcPr>
          <w:p w14:paraId="6CCC7C81">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12" w:type="dxa"/>
            <w:vMerge w:val="restart"/>
            <w:noWrap w:val="0"/>
            <w:tcMar>
              <w:top w:w="15" w:type="dxa"/>
              <w:left w:w="15" w:type="dxa"/>
              <w:bottom w:w="0" w:type="dxa"/>
              <w:right w:w="15" w:type="dxa"/>
            </w:tcMar>
            <w:vAlign w:val="center"/>
          </w:tcPr>
          <w:p w14:paraId="4E23D643">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整体方案设计及技术条件</w:t>
            </w:r>
          </w:p>
        </w:tc>
        <w:tc>
          <w:tcPr>
            <w:tcW w:w="7154" w:type="dxa"/>
            <w:noWrap w:val="0"/>
            <w:tcMar>
              <w:top w:w="15" w:type="dxa"/>
              <w:left w:w="15" w:type="dxa"/>
              <w:bottom w:w="0" w:type="dxa"/>
              <w:right w:w="15" w:type="dxa"/>
            </w:tcMar>
            <w:vAlign w:val="center"/>
          </w:tcPr>
          <w:p w14:paraId="7F436E11">
            <w:pPr>
              <w:keepNext w:val="0"/>
              <w:keepLines w:val="0"/>
              <w:pageBreakBefore w:val="0"/>
              <w:widowControl/>
              <w:kinsoku/>
              <w:wordWrap/>
              <w:overflowPunct/>
              <w:topLinePunct w:val="0"/>
              <w:autoSpaceDE w:val="0"/>
              <w:bidi w:val="0"/>
              <w:snapToGrid/>
              <w:spacing w:line="348" w:lineRule="auto"/>
              <w:ind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方案设计</w:t>
            </w:r>
            <w:r>
              <w:rPr>
                <w:rFonts w:hint="eastAsia" w:ascii="宋体" w:hAnsi="宋体" w:eastAsia="宋体" w:cs="宋体"/>
                <w:color w:val="auto"/>
                <w:sz w:val="24"/>
                <w:szCs w:val="24"/>
                <w:highlight w:val="none"/>
                <w:lang w:eastAsia="zh-CN"/>
              </w:rPr>
              <w:t>：</w:t>
            </w:r>
          </w:p>
          <w:p w14:paraId="68782A6D">
            <w:pPr>
              <w:keepNext w:val="0"/>
              <w:keepLines w:val="0"/>
              <w:pageBreakBefore w:val="0"/>
              <w:widowControl/>
              <w:kinsoku/>
              <w:wordWrap/>
              <w:overflowPunct/>
              <w:topLinePunct w:val="0"/>
              <w:autoSpaceDE w:val="0"/>
              <w:bidi w:val="0"/>
              <w:snapToGrid/>
              <w:spacing w:line="348" w:lineRule="auto"/>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需结合本项目的系统集成要求及诸暨公安业务系统管理需求，按照设计方案进行合规性建设，使整个信息系统的资源可按需调配、线性扩展，进一步简化用户的IT架构，降低使用成本和运维难度，并保障业务在出现计划外和计划内停机的情况下能够持续运行；在不断业务的情况下实时迁移完成相关业务，提供的方案完整、可行、合理、先进。</w:t>
            </w:r>
          </w:p>
          <w:p w14:paraId="0694179A">
            <w:pPr>
              <w:keepNext w:val="0"/>
              <w:keepLines w:val="0"/>
              <w:pageBreakBefore w:val="0"/>
              <w:widowControl/>
              <w:kinsoku/>
              <w:wordWrap/>
              <w:overflowPunct/>
              <w:topLinePunct w:val="0"/>
              <w:autoSpaceDE w:val="0"/>
              <w:bidi w:val="0"/>
              <w:snapToGrid/>
              <w:spacing w:line="348" w:lineRule="auto"/>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评委根据投标人提供的方案设计进行综合评分，本项最高得3分：</w:t>
            </w:r>
          </w:p>
          <w:p w14:paraId="2B1720BD">
            <w:pPr>
              <w:keepNext w:val="0"/>
              <w:keepLines w:val="0"/>
              <w:pageBreakBefore w:val="0"/>
              <w:widowControl/>
              <w:kinsoku/>
              <w:wordWrap/>
              <w:overflowPunct/>
              <w:topLinePunct w:val="0"/>
              <w:autoSpaceDE w:val="0"/>
              <w:bidi w:val="0"/>
              <w:snapToGrid/>
              <w:spacing w:line="348"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①方案设计完全符合客户实际需求，与招标要求一致或优于招标要求的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②基本满足招标要求但个别非实质性条款不完全符合的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③偏差较大的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[0-1]分。</w:t>
            </w:r>
          </w:p>
        </w:tc>
        <w:tc>
          <w:tcPr>
            <w:tcW w:w="709" w:type="dxa"/>
            <w:noWrap w:val="0"/>
            <w:tcMar>
              <w:top w:w="15" w:type="dxa"/>
              <w:left w:w="15" w:type="dxa"/>
              <w:bottom w:w="0" w:type="dxa"/>
              <w:right w:w="15" w:type="dxa"/>
            </w:tcMar>
            <w:vAlign w:val="center"/>
          </w:tcPr>
          <w:p w14:paraId="1027B3B1">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2714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680" w:type="dxa"/>
            <w:vMerge w:val="continue"/>
            <w:noWrap w:val="0"/>
            <w:tcMar>
              <w:top w:w="15" w:type="dxa"/>
              <w:left w:w="15" w:type="dxa"/>
              <w:bottom w:w="0" w:type="dxa"/>
              <w:right w:w="15" w:type="dxa"/>
            </w:tcMar>
            <w:vAlign w:val="center"/>
          </w:tcPr>
          <w:p w14:paraId="303BA573">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rPr>
            </w:pPr>
          </w:p>
        </w:tc>
        <w:tc>
          <w:tcPr>
            <w:tcW w:w="1112" w:type="dxa"/>
            <w:vMerge w:val="continue"/>
            <w:noWrap w:val="0"/>
            <w:tcMar>
              <w:top w:w="15" w:type="dxa"/>
              <w:left w:w="15" w:type="dxa"/>
              <w:bottom w:w="0" w:type="dxa"/>
              <w:right w:w="15" w:type="dxa"/>
            </w:tcMar>
            <w:vAlign w:val="center"/>
          </w:tcPr>
          <w:p w14:paraId="6009A4A8">
            <w:pPr>
              <w:keepNext w:val="0"/>
              <w:keepLines w:val="0"/>
              <w:pageBreakBefore w:val="0"/>
              <w:kinsoku/>
              <w:wordWrap/>
              <w:overflowPunct/>
              <w:topLinePunct w:val="0"/>
              <w:autoSpaceDE w:val="0"/>
              <w:bidi w:val="0"/>
              <w:snapToGrid/>
              <w:spacing w:line="348" w:lineRule="auto"/>
              <w:ind w:firstLine="0" w:firstLineChars="0"/>
              <w:jc w:val="center"/>
              <w:rPr>
                <w:rFonts w:hint="eastAsia" w:ascii="宋体" w:hAnsi="宋体" w:eastAsia="宋体" w:cs="宋体"/>
                <w:color w:val="auto"/>
                <w:sz w:val="24"/>
                <w:szCs w:val="24"/>
                <w:highlight w:val="none"/>
              </w:rPr>
            </w:pPr>
          </w:p>
        </w:tc>
        <w:tc>
          <w:tcPr>
            <w:tcW w:w="7154" w:type="dxa"/>
            <w:noWrap w:val="0"/>
            <w:tcMar>
              <w:top w:w="15" w:type="dxa"/>
              <w:left w:w="15" w:type="dxa"/>
              <w:bottom w:w="0" w:type="dxa"/>
              <w:right w:w="15" w:type="dxa"/>
            </w:tcMar>
            <w:vAlign w:val="center"/>
          </w:tcPr>
          <w:p w14:paraId="1BD4DAF3">
            <w:pPr>
              <w:keepNext w:val="0"/>
              <w:keepLines w:val="0"/>
              <w:pageBreakBefore w:val="0"/>
              <w:kinsoku/>
              <w:wordWrap/>
              <w:overflowPunct/>
              <w:topLinePunct w:val="0"/>
              <w:autoSpaceDE w:val="0"/>
              <w:bidi w:val="0"/>
              <w:snapToGrid/>
              <w:spacing w:line="348"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技术要求</w:t>
            </w:r>
            <w:r>
              <w:rPr>
                <w:rFonts w:hint="eastAsia" w:ascii="宋体" w:hAnsi="宋体" w:eastAsia="宋体" w:cs="宋体"/>
                <w:color w:val="auto"/>
                <w:sz w:val="24"/>
                <w:szCs w:val="24"/>
                <w:highlight w:val="none"/>
                <w:lang w:eastAsia="zh-CN"/>
              </w:rPr>
              <w:t>：</w:t>
            </w:r>
          </w:p>
          <w:p w14:paraId="358FE434">
            <w:pPr>
              <w:keepNext w:val="0"/>
              <w:keepLines w:val="0"/>
              <w:pageBreakBefore w:val="0"/>
              <w:kinsoku/>
              <w:wordWrap/>
              <w:overflowPunct/>
              <w:topLinePunct w:val="0"/>
              <w:autoSpaceDE w:val="0"/>
              <w:bidi w:val="0"/>
              <w:snapToGrid/>
              <w:spacing w:line="348" w:lineRule="auto"/>
              <w:ind w:firstLine="0"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评委根据投标的产品基本性能配置是否符合招标文件的要求及符合程度进行评价，基本性能满足或高于要求得满分17分；</w:t>
            </w:r>
            <w:r>
              <w:rPr>
                <w:rFonts w:hint="eastAsia" w:ascii="宋体" w:hAnsi="宋体" w:eastAsia="宋体" w:cs="宋体"/>
                <w:color w:val="auto"/>
                <w:sz w:val="24"/>
                <w:szCs w:val="24"/>
                <w:highlight w:val="none"/>
              </w:rPr>
              <w:t>打“</w:t>
            </w:r>
            <w:r>
              <w:rPr>
                <w:rFonts w:hint="eastAsia" w:ascii="宋体" w:hAnsi="宋体" w:eastAsia="宋体" w:cs="宋体"/>
                <w:color w:val="auto"/>
                <w:kern w:val="2"/>
                <w:sz w:val="24"/>
                <w:szCs w:val="24"/>
                <w:highlight w:val="none"/>
              </w:rPr>
              <w:t>★</w:t>
            </w:r>
            <w:r>
              <w:rPr>
                <w:rFonts w:hint="eastAsia" w:ascii="宋体" w:hAnsi="宋体" w:eastAsia="宋体" w:cs="宋体"/>
                <w:color w:val="auto"/>
                <w:sz w:val="24"/>
                <w:szCs w:val="24"/>
                <w:highlight w:val="none"/>
              </w:rPr>
              <w:t>”号设备性能指标为</w:t>
            </w:r>
            <w:r>
              <w:rPr>
                <w:rFonts w:hint="eastAsia" w:ascii="宋体" w:hAnsi="宋体" w:eastAsia="宋体" w:cs="宋体"/>
                <w:color w:val="auto"/>
                <w:sz w:val="24"/>
                <w:szCs w:val="24"/>
                <w:highlight w:val="none"/>
                <w:lang w:val="en-US" w:eastAsia="zh-CN"/>
              </w:rPr>
              <w:t>实质性响应</w:t>
            </w:r>
            <w:r>
              <w:rPr>
                <w:rFonts w:hint="eastAsia" w:ascii="宋体" w:hAnsi="宋体" w:eastAsia="宋体" w:cs="宋体"/>
                <w:color w:val="auto"/>
                <w:sz w:val="24"/>
                <w:szCs w:val="24"/>
                <w:highlight w:val="none"/>
              </w:rPr>
              <w:t>要求，如出现负偏离，则做无效投标处理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打“▲”号的设备性能指标</w:t>
            </w:r>
            <w:r>
              <w:rPr>
                <w:rFonts w:hint="eastAsia" w:ascii="宋体" w:hAnsi="宋体" w:eastAsia="宋体" w:cs="宋体"/>
                <w:color w:val="auto"/>
                <w:sz w:val="24"/>
                <w:szCs w:val="24"/>
                <w:highlight w:val="none"/>
                <w:lang w:val="en-US" w:eastAsia="zh-CN"/>
              </w:rPr>
              <w:t>为重要响应要求</w:t>
            </w:r>
            <w:r>
              <w:rPr>
                <w:rFonts w:hint="eastAsia" w:ascii="宋体" w:hAnsi="宋体" w:eastAsia="宋体" w:cs="宋体"/>
                <w:color w:val="auto"/>
                <w:sz w:val="24"/>
                <w:szCs w:val="24"/>
                <w:highlight w:val="none"/>
              </w:rPr>
              <w:t>，每有一项负偏离的扣3分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其他设备性能指标中，每有一项负偏离的扣1分。</w:t>
            </w:r>
            <w:r>
              <w:rPr>
                <w:rFonts w:hint="eastAsia" w:ascii="宋体" w:hAnsi="宋体" w:eastAsia="宋体" w:cs="宋体"/>
                <w:color w:val="auto"/>
                <w:sz w:val="24"/>
                <w:szCs w:val="24"/>
                <w:highlight w:val="none"/>
                <w:lang w:val="en-US" w:eastAsia="zh-CN"/>
              </w:rPr>
              <w:t>扣完为止。</w:t>
            </w:r>
          </w:p>
          <w:p w14:paraId="27FEBCE7">
            <w:pPr>
              <w:pStyle w:val="5"/>
              <w:keepNext w:val="0"/>
              <w:keepLines w:val="0"/>
              <w:pageBreakBefore w:val="0"/>
              <w:kinsoku/>
              <w:wordWrap/>
              <w:overflowPunct/>
              <w:topLinePunct w:val="0"/>
              <w:bidi w:val="0"/>
              <w:snapToGrid/>
              <w:spacing w:line="348"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SA"/>
              </w:rPr>
              <w:t>（注：投标人应在技术偏离表中对照采购需求和自身响应情况进行逐一真实填列；招标文件要求提供证明材料的须按要求提供，未提供或所供材料无法佐证该项技术指标响应情况的按负偏离处理）</w:t>
            </w:r>
          </w:p>
        </w:tc>
        <w:tc>
          <w:tcPr>
            <w:tcW w:w="709" w:type="dxa"/>
            <w:noWrap w:val="0"/>
            <w:tcMar>
              <w:top w:w="15" w:type="dxa"/>
              <w:left w:w="15" w:type="dxa"/>
              <w:bottom w:w="0" w:type="dxa"/>
              <w:right w:w="15" w:type="dxa"/>
            </w:tcMar>
            <w:vAlign w:val="center"/>
          </w:tcPr>
          <w:p w14:paraId="03F59327">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p>
        </w:tc>
      </w:tr>
      <w:tr w14:paraId="6EE5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5" w:hRule="atLeast"/>
          <w:jc w:val="center"/>
        </w:trPr>
        <w:tc>
          <w:tcPr>
            <w:tcW w:w="680" w:type="dxa"/>
            <w:noWrap w:val="0"/>
            <w:tcMar>
              <w:top w:w="15" w:type="dxa"/>
              <w:left w:w="15" w:type="dxa"/>
              <w:bottom w:w="0" w:type="dxa"/>
              <w:right w:w="15" w:type="dxa"/>
            </w:tcMar>
            <w:vAlign w:val="center"/>
          </w:tcPr>
          <w:p w14:paraId="7D54ED31">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12" w:type="dxa"/>
            <w:noWrap w:val="0"/>
            <w:tcMar>
              <w:top w:w="15" w:type="dxa"/>
              <w:left w:w="15" w:type="dxa"/>
              <w:bottom w:w="0" w:type="dxa"/>
              <w:right w:w="15" w:type="dxa"/>
            </w:tcMar>
            <w:vAlign w:val="center"/>
          </w:tcPr>
          <w:p w14:paraId="7D5FEBAF">
            <w:pPr>
              <w:keepNext w:val="0"/>
              <w:keepLines w:val="0"/>
              <w:pageBreakBefore w:val="0"/>
              <w:kinsoku/>
              <w:wordWrap/>
              <w:overflowPunct/>
              <w:topLinePunct w:val="0"/>
              <w:autoSpaceDE w:val="0"/>
              <w:bidi w:val="0"/>
              <w:snapToGrid/>
              <w:spacing w:line="348"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售后</w:t>
            </w:r>
            <w:r>
              <w:rPr>
                <w:rFonts w:hint="eastAsia" w:ascii="宋体" w:hAnsi="宋体" w:eastAsia="宋体" w:cs="宋体"/>
                <w:color w:val="auto"/>
                <w:sz w:val="24"/>
                <w:szCs w:val="24"/>
                <w:highlight w:val="none"/>
              </w:rPr>
              <w:t>服务</w:t>
            </w:r>
          </w:p>
        </w:tc>
        <w:tc>
          <w:tcPr>
            <w:tcW w:w="7154" w:type="dxa"/>
            <w:noWrap w:val="0"/>
            <w:tcMar>
              <w:top w:w="15" w:type="dxa"/>
              <w:left w:w="15" w:type="dxa"/>
              <w:bottom w:w="0" w:type="dxa"/>
              <w:right w:w="15" w:type="dxa"/>
            </w:tcMar>
            <w:vAlign w:val="center"/>
          </w:tcPr>
          <w:p w14:paraId="05F98BEE">
            <w:pPr>
              <w:keepNext w:val="0"/>
              <w:keepLines w:val="0"/>
              <w:pageBreakBefore w:val="0"/>
              <w:numPr>
                <w:ilvl w:val="0"/>
                <w:numId w:val="0"/>
              </w:numPr>
              <w:kinsoku/>
              <w:wordWrap/>
              <w:overflowPunct/>
              <w:topLinePunct w:val="0"/>
              <w:autoSpaceDE w:val="0"/>
              <w:bidi w:val="0"/>
              <w:snapToGrid/>
              <w:spacing w:line="348"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1.评委</w:t>
            </w:r>
            <w:r>
              <w:rPr>
                <w:rFonts w:hint="eastAsia" w:ascii="宋体" w:hAnsi="宋体" w:eastAsia="宋体" w:cs="宋体"/>
                <w:color w:val="auto"/>
                <w:sz w:val="24"/>
                <w:szCs w:val="24"/>
                <w:highlight w:val="none"/>
              </w:rPr>
              <w:t>根据投标人的</w:t>
            </w:r>
            <w:r>
              <w:rPr>
                <w:rFonts w:hint="eastAsia" w:ascii="宋体" w:hAnsi="宋体" w:eastAsia="宋体" w:cs="宋体"/>
                <w:color w:val="auto"/>
                <w:sz w:val="24"/>
                <w:szCs w:val="24"/>
                <w:highlight w:val="none"/>
                <w:lang w:val="en-US" w:eastAsia="zh-CN"/>
              </w:rPr>
              <w:t>本地化</w:t>
            </w:r>
            <w:r>
              <w:rPr>
                <w:rFonts w:hint="eastAsia" w:ascii="宋体" w:hAnsi="宋体" w:eastAsia="宋体" w:cs="宋体"/>
                <w:color w:val="auto"/>
                <w:sz w:val="24"/>
                <w:szCs w:val="24"/>
                <w:highlight w:val="none"/>
              </w:rPr>
              <w:t>服务能力进行综合评分(</w:t>
            </w:r>
            <w:r>
              <w:rPr>
                <w:rFonts w:hint="eastAsia" w:ascii="宋体" w:hAnsi="宋体" w:eastAsia="宋体" w:cs="宋体"/>
                <w:color w:val="auto"/>
                <w:sz w:val="24"/>
                <w:szCs w:val="24"/>
                <w:highlight w:val="none"/>
                <w:lang w:val="en-US" w:eastAsia="zh-CN"/>
              </w:rPr>
              <w:t>内容包括但不限于：</w:t>
            </w: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val="en-US" w:eastAsia="zh-CN"/>
              </w:rPr>
              <w:t>是否科学合理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能否</w:t>
            </w:r>
            <w:r>
              <w:rPr>
                <w:rFonts w:hint="eastAsia" w:ascii="宋体" w:hAnsi="宋体" w:eastAsia="宋体" w:cs="宋体"/>
                <w:color w:val="auto"/>
                <w:sz w:val="24"/>
                <w:szCs w:val="24"/>
                <w:highlight w:val="none"/>
              </w:rPr>
              <w:t>提供7*24小时服务、</w:t>
            </w:r>
            <w:r>
              <w:rPr>
                <w:rFonts w:hint="eastAsia" w:ascii="宋体" w:hAnsi="宋体" w:eastAsia="宋体" w:cs="宋体"/>
                <w:color w:val="auto"/>
                <w:sz w:val="24"/>
                <w:szCs w:val="24"/>
                <w:highlight w:val="none"/>
                <w:lang w:val="en-US" w:eastAsia="zh-CN"/>
              </w:rPr>
              <w:t>能否</w:t>
            </w:r>
            <w:r>
              <w:rPr>
                <w:rFonts w:hint="eastAsia" w:ascii="宋体" w:hAnsi="宋体" w:eastAsia="宋体" w:cs="宋体"/>
                <w:color w:val="auto"/>
                <w:sz w:val="24"/>
                <w:szCs w:val="24"/>
                <w:highlight w:val="none"/>
              </w:rPr>
              <w:t>提供维护车辆、</w:t>
            </w:r>
            <w:r>
              <w:rPr>
                <w:rFonts w:hint="eastAsia" w:ascii="宋体" w:hAnsi="宋体" w:eastAsia="宋体" w:cs="宋体"/>
                <w:color w:val="auto"/>
                <w:sz w:val="24"/>
                <w:szCs w:val="24"/>
                <w:highlight w:val="none"/>
                <w:lang w:val="en-US" w:eastAsia="zh-CN"/>
              </w:rPr>
              <w:t>能否派遣</w:t>
            </w:r>
            <w:r>
              <w:rPr>
                <w:rFonts w:hint="eastAsia" w:ascii="宋体" w:hAnsi="宋体" w:eastAsia="宋体" w:cs="宋体"/>
                <w:color w:val="auto"/>
                <w:sz w:val="24"/>
                <w:szCs w:val="24"/>
                <w:highlight w:val="none"/>
              </w:rPr>
              <w:t>数量充足的维护人员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采购人获取售后服务的便利性和及时性等</w:t>
            </w:r>
            <w:r>
              <w:rPr>
                <w:rFonts w:hint="eastAsia" w:ascii="宋体" w:hAnsi="宋体" w:eastAsia="宋体" w:cs="宋体"/>
                <w:color w:val="auto"/>
                <w:sz w:val="24"/>
                <w:szCs w:val="24"/>
                <w:highlight w:val="none"/>
              </w:rPr>
              <w:t>)，本项最高得5分。</w:t>
            </w:r>
          </w:p>
          <w:p w14:paraId="4C3FE043">
            <w:pPr>
              <w:keepNext w:val="0"/>
              <w:keepLines w:val="0"/>
              <w:pageBreakBefore w:val="0"/>
              <w:numPr>
                <w:ilvl w:val="0"/>
                <w:numId w:val="0"/>
              </w:numPr>
              <w:kinsoku/>
              <w:wordWrap/>
              <w:overflowPunct/>
              <w:topLinePunct w:val="0"/>
              <w:autoSpaceDE w:val="0"/>
              <w:bidi w:val="0"/>
              <w:snapToGrid/>
              <w:spacing w:line="348"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投标时需</w:t>
            </w:r>
            <w:r>
              <w:rPr>
                <w:rFonts w:hint="eastAsia" w:ascii="宋体" w:hAnsi="宋体" w:eastAsia="宋体" w:cs="宋体"/>
                <w:b/>
                <w:bCs/>
                <w:color w:val="auto"/>
                <w:sz w:val="24"/>
                <w:szCs w:val="24"/>
                <w:highlight w:val="none"/>
              </w:rPr>
              <w:t>提供相关佐证材料，如</w:t>
            </w:r>
            <w:r>
              <w:rPr>
                <w:rFonts w:hint="eastAsia" w:ascii="宋体" w:hAnsi="宋体" w:eastAsia="宋体" w:cs="宋体"/>
                <w:b/>
                <w:bCs/>
                <w:color w:val="auto"/>
                <w:sz w:val="24"/>
                <w:szCs w:val="24"/>
                <w:highlight w:val="none"/>
                <w:lang w:val="en-US" w:eastAsia="zh-CN"/>
              </w:rPr>
              <w:t>营业执照、</w:t>
            </w:r>
            <w:r>
              <w:rPr>
                <w:rFonts w:hint="eastAsia" w:ascii="宋体" w:hAnsi="宋体" w:eastAsia="宋体" w:cs="宋体"/>
                <w:b/>
                <w:bCs/>
                <w:color w:val="auto"/>
                <w:sz w:val="24"/>
                <w:szCs w:val="24"/>
                <w:highlight w:val="none"/>
              </w:rPr>
              <w:t>车辆行驶证</w:t>
            </w:r>
            <w:r>
              <w:rPr>
                <w:rFonts w:hint="eastAsia" w:ascii="宋体" w:hAnsi="宋体" w:eastAsia="宋体" w:cs="宋体"/>
                <w:b/>
                <w:bCs/>
                <w:color w:val="auto"/>
                <w:sz w:val="24"/>
                <w:szCs w:val="24"/>
                <w:highlight w:val="none"/>
                <w:lang w:val="en-US" w:eastAsia="zh-CN"/>
              </w:rPr>
              <w:t>扫描件</w:t>
            </w:r>
            <w:r>
              <w:rPr>
                <w:rFonts w:hint="eastAsia" w:ascii="宋体" w:hAnsi="宋体" w:eastAsia="宋体" w:cs="宋体"/>
                <w:b/>
                <w:bCs/>
                <w:color w:val="auto"/>
                <w:sz w:val="24"/>
                <w:szCs w:val="24"/>
                <w:highlight w:val="none"/>
              </w:rPr>
              <w:t>，人员社保缴纳</w:t>
            </w: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rPr>
              <w:t>等</w:t>
            </w:r>
            <w:r>
              <w:rPr>
                <w:rFonts w:hint="eastAsia" w:ascii="宋体" w:hAnsi="宋体" w:eastAsia="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lang w:val="zh-CN"/>
              </w:rPr>
              <w:t>加盖投标人</w:t>
            </w:r>
            <w:r>
              <w:rPr>
                <w:rFonts w:hint="eastAsia" w:ascii="宋体" w:hAnsi="宋体" w:eastAsia="宋体" w:cs="宋体"/>
                <w:b/>
                <w:bCs/>
                <w:color w:val="auto"/>
                <w:sz w:val="24"/>
                <w:szCs w:val="24"/>
                <w:highlight w:val="none"/>
              </w:rPr>
              <w:t>CA签章，不提供不得分)</w:t>
            </w:r>
          </w:p>
          <w:p w14:paraId="17E88F56">
            <w:pPr>
              <w:keepNext w:val="0"/>
              <w:keepLines w:val="0"/>
              <w:pageBreakBefore w:val="0"/>
              <w:numPr>
                <w:ilvl w:val="0"/>
                <w:numId w:val="0"/>
              </w:numPr>
              <w:kinsoku/>
              <w:wordWrap/>
              <w:overflowPunct/>
              <w:topLinePunct w:val="0"/>
              <w:autoSpaceDE w:val="0"/>
              <w:bidi w:val="0"/>
              <w:snapToGrid/>
              <w:spacing w:line="348"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bidi="ar-SA"/>
              </w:rPr>
              <w:t>2.</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提供独立自主的基于客户移动设备的7*24小时的运维服务平台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①具备IT运维智慧监控管理平台著作权证书得2分；②具备IT运维综合过程管理平台著作权证书得2分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本项最高得4分。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投标文件中</w:t>
            </w:r>
            <w:r>
              <w:rPr>
                <w:rFonts w:hint="eastAsia" w:ascii="宋体" w:hAnsi="宋体" w:eastAsia="宋体" w:cs="宋体"/>
                <w:b/>
                <w:bCs/>
                <w:color w:val="auto"/>
                <w:sz w:val="24"/>
                <w:szCs w:val="24"/>
                <w:highlight w:val="none"/>
              </w:rPr>
              <w:t>提供以上相关证书扫描件</w:t>
            </w:r>
            <w:r>
              <w:rPr>
                <w:rFonts w:hint="eastAsia" w:ascii="宋体" w:hAnsi="宋体" w:eastAsia="宋体" w:cs="宋体"/>
                <w:b/>
                <w:bCs/>
                <w:color w:val="auto"/>
                <w:sz w:val="24"/>
                <w:szCs w:val="24"/>
                <w:highlight w:val="none"/>
                <w:lang w:val="zh-CN"/>
              </w:rPr>
              <w:t>加盖投标人</w:t>
            </w:r>
            <w:r>
              <w:rPr>
                <w:rFonts w:hint="eastAsia" w:ascii="宋体" w:hAnsi="宋体" w:eastAsia="宋体" w:cs="宋体"/>
                <w:b/>
                <w:bCs/>
                <w:color w:val="auto"/>
                <w:sz w:val="24"/>
                <w:szCs w:val="24"/>
                <w:highlight w:val="none"/>
              </w:rPr>
              <w:t>CA签章，</w:t>
            </w:r>
            <w:r>
              <w:rPr>
                <w:rFonts w:hint="eastAsia" w:ascii="宋体" w:hAnsi="宋体" w:eastAsia="宋体" w:cs="宋体"/>
                <w:b/>
                <w:bCs/>
                <w:color w:val="auto"/>
                <w:sz w:val="24"/>
                <w:szCs w:val="24"/>
                <w:highlight w:val="none"/>
                <w:lang w:val="zh-CN"/>
              </w:rPr>
              <w:t>不提供不得分。）</w:t>
            </w:r>
            <w:r>
              <w:rPr>
                <w:rFonts w:hint="eastAsia" w:ascii="宋体" w:hAnsi="宋体" w:eastAsia="宋体" w:cs="宋体"/>
                <w:b/>
                <w:bCs/>
                <w:color w:val="auto"/>
                <w:sz w:val="24"/>
                <w:szCs w:val="24"/>
                <w:highlight w:val="none"/>
              </w:rPr>
              <w:t>）</w:t>
            </w:r>
          </w:p>
          <w:p w14:paraId="2DBB0CA1">
            <w:pPr>
              <w:keepNext w:val="0"/>
              <w:keepLines w:val="0"/>
              <w:pageBreakBefore w:val="0"/>
              <w:numPr>
                <w:ilvl w:val="0"/>
                <w:numId w:val="0"/>
              </w:numPr>
              <w:kinsoku/>
              <w:wordWrap/>
              <w:overflowPunct/>
              <w:topLinePunct w:val="0"/>
              <w:autoSpaceDE w:val="0"/>
              <w:bidi w:val="0"/>
              <w:snapToGrid/>
              <w:spacing w:line="348"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rPr>
              <w:t>投标人需要对本项目新采购设备提供运维服务平台，运维服务平台需支持Android和iOS</w:t>
            </w: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用户在移动设备端可以凭产品序列号直接通过服务平台查看新采购的设备信息及保修状况得2分；②报修人员可通过手机微信直接扫描资产标签二维码进行故障报修，同时还可将设备故障照片、拍摄故障视频、语音等附件上传得2分；③运维服务平台为本项目提供专用报修二维码，内容需包含服务类型、项目名称、联系人及联系电话，方便用户进行快速报修服务得2分；④报修人员通过微信公众号可以实时掌握当前报修服务的进度及服务人员当前位置得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本项最高得8分</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（投标文件中须提供运维服务平台以上功能的截图并加盖</w:t>
            </w:r>
            <w:r>
              <w:rPr>
                <w:rFonts w:hint="eastAsia" w:ascii="宋体" w:hAnsi="宋体" w:eastAsia="宋体" w:cs="宋体"/>
                <w:b/>
                <w:bCs/>
                <w:color w:val="auto"/>
                <w:sz w:val="24"/>
                <w:szCs w:val="24"/>
                <w:highlight w:val="none"/>
                <w:lang w:val="zh-CN"/>
              </w:rPr>
              <w:t>投标人</w:t>
            </w:r>
            <w:r>
              <w:rPr>
                <w:rFonts w:hint="eastAsia" w:ascii="宋体" w:hAnsi="宋体" w:eastAsia="宋体" w:cs="宋体"/>
                <w:b/>
                <w:bCs/>
                <w:color w:val="auto"/>
                <w:sz w:val="24"/>
                <w:szCs w:val="24"/>
                <w:highlight w:val="none"/>
              </w:rPr>
              <w:t>CA签章，不提供不得分。）</w:t>
            </w:r>
          </w:p>
        </w:tc>
        <w:tc>
          <w:tcPr>
            <w:tcW w:w="709" w:type="dxa"/>
            <w:noWrap w:val="0"/>
            <w:tcMar>
              <w:top w:w="15" w:type="dxa"/>
              <w:left w:w="15" w:type="dxa"/>
              <w:bottom w:w="0" w:type="dxa"/>
              <w:right w:w="15" w:type="dxa"/>
            </w:tcMar>
            <w:vAlign w:val="center"/>
          </w:tcPr>
          <w:p w14:paraId="2BB7B3A0">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r>
      <w:tr w14:paraId="7487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9" w:hRule="atLeast"/>
          <w:jc w:val="center"/>
        </w:trPr>
        <w:tc>
          <w:tcPr>
            <w:tcW w:w="680" w:type="dxa"/>
            <w:noWrap w:val="0"/>
            <w:tcMar>
              <w:top w:w="15" w:type="dxa"/>
              <w:left w:w="15" w:type="dxa"/>
              <w:bottom w:w="0" w:type="dxa"/>
              <w:right w:w="15" w:type="dxa"/>
            </w:tcMar>
            <w:vAlign w:val="center"/>
          </w:tcPr>
          <w:p w14:paraId="50E5F61D">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112" w:type="dxa"/>
            <w:noWrap w:val="0"/>
            <w:tcMar>
              <w:top w:w="15" w:type="dxa"/>
              <w:left w:w="15" w:type="dxa"/>
              <w:bottom w:w="0" w:type="dxa"/>
              <w:right w:w="15" w:type="dxa"/>
            </w:tcMar>
            <w:vAlign w:val="center"/>
          </w:tcPr>
          <w:p w14:paraId="25C29493">
            <w:pPr>
              <w:keepNext w:val="0"/>
              <w:keepLines w:val="0"/>
              <w:pageBreakBefore w:val="0"/>
              <w:kinsoku/>
              <w:wordWrap/>
              <w:overflowPunct/>
              <w:topLinePunct w:val="0"/>
              <w:autoSpaceDE w:val="0"/>
              <w:bidi w:val="0"/>
              <w:snapToGrid/>
              <w:spacing w:line="348"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现场勘察</w:t>
            </w:r>
          </w:p>
        </w:tc>
        <w:tc>
          <w:tcPr>
            <w:tcW w:w="7154" w:type="dxa"/>
            <w:noWrap w:val="0"/>
            <w:tcMar>
              <w:top w:w="15" w:type="dxa"/>
              <w:left w:w="15" w:type="dxa"/>
              <w:bottom w:w="0" w:type="dxa"/>
              <w:right w:w="15" w:type="dxa"/>
            </w:tcMar>
            <w:vAlign w:val="center"/>
          </w:tcPr>
          <w:p w14:paraId="4753DEA4">
            <w:pPr>
              <w:keepNext w:val="0"/>
              <w:keepLines w:val="0"/>
              <w:pageBreakBefore w:val="0"/>
              <w:kinsoku/>
              <w:wordWrap/>
              <w:overflowPunct/>
              <w:topLinePunct w:val="0"/>
              <w:autoSpaceDE w:val="0"/>
              <w:bidi w:val="0"/>
              <w:snapToGrid/>
              <w:spacing w:line="348" w:lineRule="auto"/>
              <w:ind w:firstLine="0" w:firstLineChars="0"/>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rPr>
              <w:t>为保障本次项目顺利实施，</w:t>
            </w:r>
            <w:r>
              <w:rPr>
                <w:rFonts w:hint="eastAsia" w:ascii="宋体" w:hAnsi="宋体" w:eastAsia="宋体" w:cs="宋体"/>
                <w:color w:val="auto"/>
                <w:sz w:val="24"/>
                <w:szCs w:val="24"/>
                <w:highlight w:val="none"/>
                <w:lang w:val="it-IT"/>
              </w:rPr>
              <w:t>投标人需对</w:t>
            </w:r>
            <w:r>
              <w:rPr>
                <w:rFonts w:hint="eastAsia" w:ascii="宋体" w:hAnsi="宋体" w:eastAsia="宋体" w:cs="宋体"/>
                <w:color w:val="auto"/>
                <w:sz w:val="24"/>
                <w:szCs w:val="24"/>
                <w:highlight w:val="none"/>
                <w:lang w:val="en-US" w:eastAsia="zh-CN"/>
              </w:rPr>
              <w:t>诸暨公安</w:t>
            </w:r>
            <w:r>
              <w:rPr>
                <w:rFonts w:hint="eastAsia" w:ascii="宋体" w:hAnsi="宋体" w:eastAsia="宋体" w:cs="宋体"/>
                <w:color w:val="auto"/>
                <w:sz w:val="24"/>
                <w:szCs w:val="24"/>
                <w:highlight w:val="none"/>
              </w:rPr>
              <w:t>当前业务</w:t>
            </w:r>
            <w:r>
              <w:rPr>
                <w:rFonts w:hint="eastAsia" w:ascii="宋体" w:hAnsi="宋体" w:eastAsia="宋体" w:cs="宋体"/>
                <w:color w:val="auto"/>
                <w:sz w:val="24"/>
                <w:szCs w:val="24"/>
                <w:highlight w:val="none"/>
                <w:lang w:val="it-IT"/>
              </w:rPr>
              <w:t>系统</w:t>
            </w:r>
            <w:r>
              <w:rPr>
                <w:rFonts w:hint="eastAsia" w:ascii="宋体" w:hAnsi="宋体" w:eastAsia="宋体" w:cs="宋体"/>
                <w:color w:val="auto"/>
                <w:sz w:val="24"/>
                <w:szCs w:val="24"/>
                <w:highlight w:val="none"/>
              </w:rPr>
              <w:t>及后续信息化系统</w:t>
            </w:r>
            <w:r>
              <w:rPr>
                <w:rFonts w:hint="eastAsia" w:ascii="宋体" w:hAnsi="宋体" w:eastAsia="宋体" w:cs="宋体"/>
                <w:color w:val="auto"/>
                <w:sz w:val="24"/>
                <w:szCs w:val="24"/>
                <w:highlight w:val="none"/>
                <w:lang w:val="it-IT"/>
              </w:rPr>
              <w:t>进行实地踏勘、了解工作环境及项目实施风险</w:t>
            </w:r>
            <w:r>
              <w:rPr>
                <w:rFonts w:hint="eastAsia" w:ascii="宋体" w:hAnsi="宋体" w:eastAsia="宋体" w:cs="宋体"/>
                <w:color w:val="auto"/>
                <w:sz w:val="24"/>
                <w:szCs w:val="24"/>
                <w:highlight w:val="none"/>
                <w:lang w:val="it-IT" w:eastAsia="zh-CN"/>
              </w:rPr>
              <w:t>，</w:t>
            </w:r>
            <w:r>
              <w:rPr>
                <w:rFonts w:hint="eastAsia" w:ascii="宋体" w:hAnsi="宋体" w:eastAsia="宋体" w:cs="宋体"/>
                <w:color w:val="auto"/>
                <w:sz w:val="24"/>
                <w:szCs w:val="24"/>
                <w:highlight w:val="none"/>
                <w:lang w:val="en-US" w:eastAsia="zh-CN"/>
              </w:rPr>
              <w:t>并结合实地踏勘材料出具现场勘查报告、项目实施风险分析及针对性的解决措施方案。①现场踏勘细致，风险分析全面，解决措施科学有效的，得（3-5]分；②现场踏勘较细致，风险分析较全面，解决措施较科学有效的，得（1-3]分；③现场踏勘粗略，风险分析片面，解决措施不科学、不有效的，得[0-1]分。</w:t>
            </w:r>
            <w:r>
              <w:rPr>
                <w:rFonts w:hint="eastAsia" w:ascii="宋体" w:hAnsi="宋体" w:eastAsia="宋体" w:cs="宋体"/>
                <w:b/>
                <w:bCs/>
                <w:color w:val="auto"/>
                <w:sz w:val="24"/>
                <w:szCs w:val="24"/>
                <w:highlight w:val="none"/>
                <w:lang w:val="en-US" w:eastAsia="zh-CN"/>
              </w:rPr>
              <w:t>（未进行现场勘察或者不能出具有效勘察证明材料的均不得分）</w:t>
            </w:r>
          </w:p>
        </w:tc>
        <w:tc>
          <w:tcPr>
            <w:tcW w:w="709" w:type="dxa"/>
            <w:noWrap w:val="0"/>
            <w:tcMar>
              <w:top w:w="15" w:type="dxa"/>
              <w:left w:w="15" w:type="dxa"/>
              <w:bottom w:w="0" w:type="dxa"/>
              <w:right w:w="15" w:type="dxa"/>
            </w:tcMar>
            <w:vAlign w:val="center"/>
          </w:tcPr>
          <w:p w14:paraId="5AEC646A">
            <w:pPr>
              <w:keepNext w:val="0"/>
              <w:keepLines w:val="0"/>
              <w:pageBreakBefore w:val="0"/>
              <w:widowControl/>
              <w:kinsoku/>
              <w:wordWrap/>
              <w:overflowPunct/>
              <w:topLinePunct w:val="0"/>
              <w:autoSpaceDE w:val="0"/>
              <w:bidi w:val="0"/>
              <w:snapToGrid/>
              <w:spacing w:line="348"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bl>
    <w:p w14:paraId="21CACF45">
      <w:pPr>
        <w:pStyle w:val="26"/>
        <w:keepNext w:val="0"/>
        <w:keepLines w:val="0"/>
        <w:pageBreakBefore w:val="0"/>
        <w:widowControl w:val="0"/>
        <w:kinsoku/>
        <w:wordWrap/>
        <w:overflowPunct/>
        <w:topLinePunct w:val="0"/>
        <w:autoSpaceDE w:val="0"/>
        <w:autoSpaceDN w:val="0"/>
        <w:bidi w:val="0"/>
        <w:adjustRightInd w:val="0"/>
        <w:snapToGrid/>
        <w:spacing w:after="0" w:afterLines="0" w:line="360" w:lineRule="auto"/>
        <w:ind w:left="0" w:leftChars="0"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（5）本次评审通过资格审查和符合性评审的单位全部入围进行商务评审。</w:t>
      </w:r>
    </w:p>
    <w:p w14:paraId="50A46F1D">
      <w:pPr>
        <w:numPr>
          <w:ilvl w:val="0"/>
          <w:numId w:val="0"/>
        </w:numPr>
        <w:spacing w:line="360" w:lineRule="auto"/>
        <w:jc w:val="center"/>
        <w:rPr>
          <w:rFonts w:hint="eastAsia" w:ascii="宋体" w:hAnsi="宋体" w:eastAsia="宋体" w:cs="宋体"/>
          <w:b/>
          <w:bCs/>
          <w:color w:val="auto"/>
          <w:sz w:val="36"/>
          <w:szCs w:val="28"/>
          <w:highlight w:val="none"/>
          <w:lang w:val="en-US" w:eastAsia="zh-CN"/>
        </w:rPr>
      </w:pPr>
      <w:r>
        <w:rPr>
          <w:rFonts w:hint="eastAsia" w:ascii="宋体" w:hAnsi="宋体" w:eastAsia="宋体" w:cs="宋体"/>
          <w:b/>
          <w:color w:val="auto"/>
          <w:kern w:val="44"/>
          <w:sz w:val="24"/>
          <w:szCs w:val="24"/>
          <w:highlight w:val="none"/>
          <w:lang w:val="en-US" w:eastAsia="zh-CN" w:bidi="ar-SA"/>
        </w:rPr>
        <w:br w:type="page"/>
      </w:r>
      <w:r>
        <w:rPr>
          <w:rFonts w:hint="eastAsia" w:ascii="宋体" w:hAnsi="宋体" w:eastAsia="宋体" w:cs="宋体"/>
          <w:b/>
          <w:bCs/>
          <w:color w:val="auto"/>
          <w:sz w:val="36"/>
          <w:szCs w:val="28"/>
          <w:highlight w:val="none"/>
          <w:lang w:val="en-US" w:eastAsia="zh-CN"/>
        </w:rPr>
        <w:t>第四章 采购需求</w:t>
      </w:r>
    </w:p>
    <w:p w14:paraId="4FC8E859">
      <w:pPr>
        <w:pageBreakBefore w:val="0"/>
        <w:kinsoku/>
        <w:wordWrap/>
        <w:bidi w:val="0"/>
        <w:spacing w:line="360" w:lineRule="auto"/>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注：★为实质性响应项，不满足则投标无效。“▲”是关键技术参数及要求。</w:t>
      </w:r>
    </w:p>
    <w:p w14:paraId="1DCF1C31">
      <w:pPr>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一、采购内容</w:t>
      </w:r>
    </w:p>
    <w:tbl>
      <w:tblPr>
        <w:tblStyle w:val="18"/>
        <w:tblW w:w="10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8"/>
        <w:gridCol w:w="3197"/>
        <w:gridCol w:w="4430"/>
        <w:gridCol w:w="1283"/>
      </w:tblGrid>
      <w:tr w14:paraId="3F186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1128" w:type="dxa"/>
            <w:tcBorders>
              <w:tl2br w:val="nil"/>
              <w:tr2bl w:val="nil"/>
            </w:tcBorders>
            <w:noWrap/>
            <w:vAlign w:val="center"/>
          </w:tcPr>
          <w:p w14:paraId="4E8895B6">
            <w:pPr>
              <w:pageBreakBefore w:val="0"/>
              <w:widowControl/>
              <w:kinsoku/>
              <w:wordWrap/>
              <w:autoSpaceDE/>
              <w:autoSpaceDN/>
              <w:bidi w:val="0"/>
              <w:adjustRightInd/>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97" w:type="dxa"/>
            <w:tcBorders>
              <w:tl2br w:val="nil"/>
              <w:tr2bl w:val="nil"/>
            </w:tcBorders>
            <w:noWrap w:val="0"/>
            <w:vAlign w:val="center"/>
          </w:tcPr>
          <w:p w14:paraId="25F1BAE9">
            <w:pPr>
              <w:pageBreakBefore w:val="0"/>
              <w:widowControl/>
              <w:kinsoku/>
              <w:wordWrap/>
              <w:autoSpaceDE/>
              <w:autoSpaceDN/>
              <w:bidi w:val="0"/>
              <w:adjustRightInd/>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名称</w:t>
            </w:r>
          </w:p>
        </w:tc>
        <w:tc>
          <w:tcPr>
            <w:tcW w:w="4430" w:type="dxa"/>
            <w:tcBorders>
              <w:tl2br w:val="nil"/>
              <w:tr2bl w:val="nil"/>
            </w:tcBorders>
            <w:noWrap/>
            <w:vAlign w:val="center"/>
          </w:tcPr>
          <w:p w14:paraId="23C7CF3D">
            <w:pPr>
              <w:pageBreakBefore w:val="0"/>
              <w:widowControl/>
              <w:kinsoku/>
              <w:wordWrap/>
              <w:autoSpaceDE/>
              <w:autoSpaceDN/>
              <w:bidi w:val="0"/>
              <w:adjustRightInd/>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指标要求</w:t>
            </w:r>
          </w:p>
        </w:tc>
        <w:tc>
          <w:tcPr>
            <w:tcW w:w="1283" w:type="dxa"/>
            <w:tcBorders>
              <w:tl2br w:val="nil"/>
              <w:tr2bl w:val="nil"/>
            </w:tcBorders>
            <w:noWrap/>
            <w:vAlign w:val="center"/>
          </w:tcPr>
          <w:p w14:paraId="1CF84F16">
            <w:pPr>
              <w:pageBreakBefore w:val="0"/>
              <w:widowControl/>
              <w:kinsoku/>
              <w:wordWrap/>
              <w:autoSpaceDE/>
              <w:autoSpaceDN/>
              <w:bidi w:val="0"/>
              <w:adjustRightInd/>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14:paraId="684C2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1128" w:type="dxa"/>
            <w:tcBorders>
              <w:tl2br w:val="nil"/>
              <w:tr2bl w:val="nil"/>
            </w:tcBorders>
            <w:noWrap/>
            <w:vAlign w:val="center"/>
          </w:tcPr>
          <w:p w14:paraId="3EB1F8D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197" w:type="dxa"/>
            <w:tcBorders>
              <w:tl2br w:val="nil"/>
              <w:tr2bl w:val="nil"/>
            </w:tcBorders>
            <w:noWrap w:val="0"/>
            <w:vAlign w:val="center"/>
          </w:tcPr>
          <w:p w14:paraId="04501EB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国产化服务器</w:t>
            </w:r>
          </w:p>
        </w:tc>
        <w:tc>
          <w:tcPr>
            <w:tcW w:w="4430" w:type="dxa"/>
            <w:tcBorders>
              <w:tl2br w:val="nil"/>
              <w:tr2bl w:val="nil"/>
            </w:tcBorders>
            <w:noWrap/>
            <w:vAlign w:val="center"/>
          </w:tcPr>
          <w:p w14:paraId="12EDC108">
            <w:pPr>
              <w:pageBreakBefore w:val="0"/>
              <w:widowControl/>
              <w:kinsoku/>
              <w:wordWrap/>
              <w:autoSpaceDE/>
              <w:autoSpaceDN/>
              <w:bidi w:val="0"/>
              <w:adjustRightInd/>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详见技术要求</w:t>
            </w:r>
          </w:p>
        </w:tc>
        <w:tc>
          <w:tcPr>
            <w:tcW w:w="1283" w:type="dxa"/>
            <w:tcBorders>
              <w:tl2br w:val="nil"/>
              <w:tr2bl w:val="nil"/>
            </w:tcBorders>
            <w:noWrap/>
            <w:vAlign w:val="center"/>
          </w:tcPr>
          <w:p w14:paraId="098FDB9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4台</w:t>
            </w:r>
          </w:p>
        </w:tc>
      </w:tr>
      <w:tr w14:paraId="0A37C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128" w:type="dxa"/>
            <w:tcBorders>
              <w:tl2br w:val="nil"/>
              <w:tr2bl w:val="nil"/>
            </w:tcBorders>
            <w:noWrap/>
            <w:vAlign w:val="center"/>
          </w:tcPr>
          <w:p w14:paraId="703518C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197" w:type="dxa"/>
            <w:tcBorders>
              <w:tl2br w:val="nil"/>
              <w:tr2bl w:val="nil"/>
            </w:tcBorders>
            <w:noWrap w:val="0"/>
            <w:vAlign w:val="center"/>
          </w:tcPr>
          <w:p w14:paraId="72D49BC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操作系统</w:t>
            </w:r>
          </w:p>
        </w:tc>
        <w:tc>
          <w:tcPr>
            <w:tcW w:w="4430" w:type="dxa"/>
            <w:tcBorders>
              <w:tl2br w:val="nil"/>
              <w:tr2bl w:val="nil"/>
            </w:tcBorders>
            <w:noWrap/>
            <w:vAlign w:val="center"/>
          </w:tcPr>
          <w:p w14:paraId="1BBE74BB">
            <w:pPr>
              <w:pageBreakBefore w:val="0"/>
              <w:widowControl/>
              <w:kinsoku/>
              <w:wordWrap/>
              <w:autoSpaceDE/>
              <w:autoSpaceDN/>
              <w:bidi w:val="0"/>
              <w:adjustRightInd/>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详见技术要求</w:t>
            </w:r>
          </w:p>
        </w:tc>
        <w:tc>
          <w:tcPr>
            <w:tcW w:w="1283" w:type="dxa"/>
            <w:tcBorders>
              <w:tl2br w:val="nil"/>
              <w:tr2bl w:val="nil"/>
            </w:tcBorders>
            <w:noWrap/>
            <w:vAlign w:val="center"/>
          </w:tcPr>
          <w:p w14:paraId="74DB1A7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4套</w:t>
            </w:r>
          </w:p>
        </w:tc>
      </w:tr>
    </w:tbl>
    <w:p w14:paraId="131C5CC3">
      <w:pPr>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二、技术要求</w:t>
      </w:r>
    </w:p>
    <w:p w14:paraId="3C89C027">
      <w:pPr>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1、国产化服务器</w:t>
      </w:r>
    </w:p>
    <w:tbl>
      <w:tblPr>
        <w:tblStyle w:val="18"/>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603"/>
        <w:gridCol w:w="7286"/>
      </w:tblGrid>
      <w:tr w14:paraId="749D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793" w:type="dxa"/>
            <w:gridSpan w:val="2"/>
            <w:tcBorders>
              <w:tl2br w:val="nil"/>
              <w:tr2bl w:val="nil"/>
            </w:tcBorders>
            <w:noWrap w:val="0"/>
            <w:vAlign w:val="center"/>
          </w:tcPr>
          <w:p w14:paraId="665E7672">
            <w:pPr>
              <w:widowControl/>
              <w:autoSpaceDE/>
              <w:autoSpaceDN/>
              <w:adjustRightInd/>
              <w:spacing w:line="360" w:lineRule="auto"/>
              <w:ind w:left="0" w:leftChars="0" w:right="0" w:rightChars="0"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类别</w:t>
            </w:r>
          </w:p>
        </w:tc>
        <w:tc>
          <w:tcPr>
            <w:tcW w:w="7286" w:type="dxa"/>
            <w:tcBorders>
              <w:tl2br w:val="nil"/>
              <w:tr2bl w:val="nil"/>
            </w:tcBorders>
            <w:noWrap w:val="0"/>
            <w:vAlign w:val="center"/>
          </w:tcPr>
          <w:p w14:paraId="071B5C17">
            <w:pPr>
              <w:widowControl/>
              <w:autoSpaceDE/>
              <w:autoSpaceDN/>
              <w:adjustRightInd/>
              <w:spacing w:line="360" w:lineRule="auto"/>
              <w:ind w:left="0" w:leftChars="0" w:right="0" w:rightChars="0"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技术指标要求</w:t>
            </w:r>
          </w:p>
        </w:tc>
      </w:tr>
      <w:tr w14:paraId="35B6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90" w:type="dxa"/>
            <w:vMerge w:val="restart"/>
            <w:tcBorders>
              <w:tl2br w:val="nil"/>
              <w:tr2bl w:val="nil"/>
            </w:tcBorders>
            <w:noWrap w:val="0"/>
            <w:vAlign w:val="center"/>
          </w:tcPr>
          <w:p w14:paraId="029B4C8F">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★总体要求</w:t>
            </w:r>
          </w:p>
        </w:tc>
        <w:tc>
          <w:tcPr>
            <w:tcW w:w="1603" w:type="dxa"/>
            <w:tcBorders>
              <w:tl2br w:val="nil"/>
              <w:tr2bl w:val="nil"/>
            </w:tcBorders>
            <w:noWrap w:val="0"/>
            <w:vAlign w:val="center"/>
          </w:tcPr>
          <w:p w14:paraId="141ADAFB">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品牌</w:t>
            </w:r>
          </w:p>
        </w:tc>
        <w:tc>
          <w:tcPr>
            <w:tcW w:w="7286" w:type="dxa"/>
            <w:tcBorders>
              <w:tl2br w:val="nil"/>
              <w:tr2bl w:val="nil"/>
            </w:tcBorders>
            <w:noWrap w:val="0"/>
            <w:vAlign w:val="center"/>
          </w:tcPr>
          <w:p w14:paraId="45F36909">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国产品牌，</w:t>
            </w:r>
            <w:r>
              <w:rPr>
                <w:rFonts w:hint="eastAsia" w:ascii="宋体" w:hAnsi="宋体" w:eastAsia="宋体" w:cs="宋体"/>
                <w:color w:val="auto"/>
                <w:sz w:val="24"/>
                <w:szCs w:val="24"/>
                <w:highlight w:val="none"/>
                <w:vertAlign w:val="baseline"/>
              </w:rPr>
              <w:t>自主研发和生产</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非OEM</w:t>
            </w:r>
            <w:r>
              <w:rPr>
                <w:rFonts w:hint="eastAsia" w:ascii="宋体" w:hAnsi="宋体" w:eastAsia="宋体" w:cs="宋体"/>
                <w:color w:val="auto"/>
                <w:sz w:val="24"/>
                <w:szCs w:val="24"/>
                <w:highlight w:val="none"/>
                <w:vertAlign w:val="baseline"/>
                <w:lang w:val="en-US" w:eastAsia="zh-CN"/>
              </w:rPr>
              <w:t>产品。</w:t>
            </w:r>
          </w:p>
        </w:tc>
      </w:tr>
      <w:tr w14:paraId="49BA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90" w:type="dxa"/>
            <w:vMerge w:val="continue"/>
            <w:noWrap w:val="0"/>
            <w:vAlign w:val="top"/>
          </w:tcPr>
          <w:p w14:paraId="59EFCE1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highlight w:val="none"/>
              </w:rPr>
            </w:pPr>
          </w:p>
        </w:tc>
        <w:tc>
          <w:tcPr>
            <w:tcW w:w="1603" w:type="dxa"/>
            <w:noWrap w:val="0"/>
            <w:vAlign w:val="center"/>
          </w:tcPr>
          <w:p w14:paraId="5A6AEA2B">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机型</w:t>
            </w:r>
          </w:p>
        </w:tc>
        <w:tc>
          <w:tcPr>
            <w:tcW w:w="7286" w:type="dxa"/>
            <w:noWrap w:val="0"/>
            <w:vAlign w:val="center"/>
          </w:tcPr>
          <w:p w14:paraId="761849F4">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rPr>
              <w:t>2U机架式服务器，配置导轨</w:t>
            </w:r>
          </w:p>
        </w:tc>
      </w:tr>
      <w:tr w14:paraId="69AD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90" w:type="dxa"/>
            <w:vMerge w:val="continue"/>
            <w:noWrap w:val="0"/>
            <w:vAlign w:val="center"/>
          </w:tcPr>
          <w:p w14:paraId="65B4AD9B">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p>
        </w:tc>
        <w:tc>
          <w:tcPr>
            <w:tcW w:w="1603" w:type="dxa"/>
            <w:noWrap w:val="0"/>
            <w:vAlign w:val="center"/>
          </w:tcPr>
          <w:p w14:paraId="66476E42">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CPU实配数量</w:t>
            </w:r>
          </w:p>
        </w:tc>
        <w:tc>
          <w:tcPr>
            <w:tcW w:w="7286" w:type="dxa"/>
            <w:noWrap w:val="0"/>
            <w:vAlign w:val="center"/>
          </w:tcPr>
          <w:p w14:paraId="20C04F2E">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rPr>
              <w:t>配置</w:t>
            </w:r>
            <w:r>
              <w:rPr>
                <w:rFonts w:hint="eastAsia" w:ascii="宋体" w:hAnsi="宋体" w:eastAsia="宋体" w:cs="宋体"/>
                <w:color w:val="auto"/>
                <w:sz w:val="24"/>
                <w:szCs w:val="24"/>
                <w:highlight w:val="none"/>
                <w:vertAlign w:val="baseline"/>
                <w:lang w:val="en-US" w:eastAsia="zh-CN"/>
              </w:rPr>
              <w:t>不低于2</w:t>
            </w:r>
            <w:r>
              <w:rPr>
                <w:rFonts w:hint="eastAsia" w:ascii="宋体" w:hAnsi="宋体" w:eastAsia="宋体" w:cs="宋体"/>
                <w:color w:val="auto"/>
                <w:sz w:val="24"/>
                <w:szCs w:val="24"/>
                <w:highlight w:val="none"/>
                <w:vertAlign w:val="baseline"/>
              </w:rPr>
              <w:t xml:space="preserve">颗海光三号 </w:t>
            </w:r>
            <w:r>
              <w:rPr>
                <w:rFonts w:hint="eastAsia" w:ascii="宋体" w:hAnsi="宋体" w:eastAsia="宋体" w:cs="宋体"/>
                <w:color w:val="auto"/>
                <w:sz w:val="24"/>
                <w:szCs w:val="24"/>
                <w:highlight w:val="none"/>
                <w:vertAlign w:val="baseline"/>
                <w:lang w:val="en-US" w:eastAsia="zh-CN"/>
              </w:rPr>
              <w:t>7390</w:t>
            </w:r>
            <w:r>
              <w:rPr>
                <w:rFonts w:hint="eastAsia" w:ascii="宋体" w:hAnsi="宋体" w:eastAsia="宋体" w:cs="宋体"/>
                <w:color w:val="auto"/>
                <w:sz w:val="24"/>
                <w:szCs w:val="24"/>
                <w:highlight w:val="none"/>
                <w:vertAlign w:val="baseline"/>
              </w:rPr>
              <w:t xml:space="preserve"> 系列处理器</w:t>
            </w:r>
          </w:p>
        </w:tc>
      </w:tr>
      <w:tr w14:paraId="004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90" w:type="dxa"/>
            <w:vMerge w:val="continue"/>
            <w:noWrap w:val="0"/>
            <w:vAlign w:val="top"/>
          </w:tcPr>
          <w:p w14:paraId="3548658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highlight w:val="none"/>
              </w:rPr>
            </w:pPr>
          </w:p>
        </w:tc>
        <w:tc>
          <w:tcPr>
            <w:tcW w:w="1603" w:type="dxa"/>
            <w:noWrap w:val="0"/>
            <w:vAlign w:val="center"/>
          </w:tcPr>
          <w:p w14:paraId="076D97C6">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CPU规格</w:t>
            </w:r>
          </w:p>
        </w:tc>
        <w:tc>
          <w:tcPr>
            <w:tcW w:w="7286" w:type="dxa"/>
            <w:noWrap w:val="0"/>
            <w:vAlign w:val="center"/>
          </w:tcPr>
          <w:p w14:paraId="168259C3">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单颗CPU主频≥2.7GHz，单颗CPU核数≥32核，CPU支持</w:t>
            </w:r>
            <w:r>
              <w:rPr>
                <w:rFonts w:hint="eastAsia" w:ascii="宋体" w:hAnsi="宋体" w:eastAsia="宋体" w:cs="宋体"/>
                <w:color w:val="auto"/>
                <w:sz w:val="24"/>
                <w:szCs w:val="24"/>
                <w:highlight w:val="none"/>
                <w:vertAlign w:val="baseline"/>
              </w:rPr>
              <w:t>2条×GMI互连链路，单条链路支持</w:t>
            </w: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rPr>
              <w:t>12.8GT/s；</w:t>
            </w:r>
          </w:p>
        </w:tc>
      </w:tr>
      <w:tr w14:paraId="5E2D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90" w:type="dxa"/>
            <w:vMerge w:val="continue"/>
            <w:noWrap w:val="0"/>
            <w:vAlign w:val="top"/>
          </w:tcPr>
          <w:p w14:paraId="60B97A6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highlight w:val="none"/>
              </w:rPr>
            </w:pPr>
          </w:p>
        </w:tc>
        <w:tc>
          <w:tcPr>
            <w:tcW w:w="1603" w:type="dxa"/>
            <w:noWrap w:val="0"/>
            <w:vAlign w:val="center"/>
          </w:tcPr>
          <w:p w14:paraId="7EDA0005">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扩展性</w:t>
            </w:r>
          </w:p>
        </w:tc>
        <w:tc>
          <w:tcPr>
            <w:tcW w:w="7286" w:type="dxa"/>
            <w:noWrap w:val="0"/>
            <w:vAlign w:val="center"/>
          </w:tcPr>
          <w:p w14:paraId="1E95B5DE">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支持硬件加速国密SM2/SM3/SM4算法</w:t>
            </w:r>
          </w:p>
        </w:tc>
      </w:tr>
      <w:tr w14:paraId="6AEA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90" w:type="dxa"/>
            <w:vMerge w:val="continue"/>
            <w:noWrap w:val="0"/>
            <w:vAlign w:val="center"/>
          </w:tcPr>
          <w:p w14:paraId="573CC56D">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p>
        </w:tc>
        <w:tc>
          <w:tcPr>
            <w:tcW w:w="1603" w:type="dxa"/>
            <w:noWrap w:val="0"/>
            <w:vAlign w:val="center"/>
          </w:tcPr>
          <w:p w14:paraId="704522AB">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内存支持扩展性</w:t>
            </w:r>
          </w:p>
        </w:tc>
        <w:tc>
          <w:tcPr>
            <w:tcW w:w="7286" w:type="dxa"/>
            <w:noWrap w:val="0"/>
            <w:vAlign w:val="center"/>
          </w:tcPr>
          <w:p w14:paraId="1F184574">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配置≥</w:t>
            </w:r>
            <w:r>
              <w:rPr>
                <w:rFonts w:hint="eastAsia" w:ascii="宋体" w:hAnsi="宋体" w:eastAsia="宋体" w:cs="宋体"/>
                <w:color w:val="auto"/>
                <w:sz w:val="24"/>
                <w:szCs w:val="24"/>
                <w:highlight w:val="none"/>
                <w:vertAlign w:val="baseline"/>
                <w:lang w:val="en-US" w:eastAsia="zh-CN"/>
              </w:rPr>
              <w:t>768</w:t>
            </w:r>
            <w:r>
              <w:rPr>
                <w:rFonts w:hint="eastAsia" w:ascii="宋体" w:hAnsi="宋体" w:eastAsia="宋体" w:cs="宋体"/>
                <w:color w:val="auto"/>
                <w:sz w:val="24"/>
                <w:szCs w:val="24"/>
                <w:highlight w:val="none"/>
                <w:vertAlign w:val="baseline"/>
              </w:rPr>
              <w:t>GB 3200MHz DDR4内存；</w:t>
            </w:r>
          </w:p>
          <w:p w14:paraId="5D782D20">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rPr>
              <w:t>可扩展≥</w:t>
            </w:r>
            <w:r>
              <w:rPr>
                <w:rFonts w:hint="eastAsia" w:ascii="宋体" w:hAnsi="宋体" w:eastAsia="宋体" w:cs="宋体"/>
                <w:color w:val="auto"/>
                <w:sz w:val="24"/>
                <w:szCs w:val="24"/>
                <w:highlight w:val="none"/>
                <w:vertAlign w:val="baseline"/>
                <w:lang w:val="en-US" w:eastAsia="zh-CN"/>
              </w:rPr>
              <w:t>32</w:t>
            </w:r>
            <w:r>
              <w:rPr>
                <w:rFonts w:hint="eastAsia" w:ascii="宋体" w:hAnsi="宋体" w:eastAsia="宋体" w:cs="宋体"/>
                <w:color w:val="auto"/>
                <w:sz w:val="24"/>
                <w:szCs w:val="24"/>
                <w:highlight w:val="none"/>
                <w:vertAlign w:val="baseline"/>
              </w:rPr>
              <w:t>个内存插槽，支持最大容量</w:t>
            </w:r>
            <w:r>
              <w:rPr>
                <w:rFonts w:hint="eastAsia" w:ascii="宋体" w:hAnsi="宋体" w:eastAsia="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rPr>
              <w:t>TB，支持内存纠错等高级功能</w:t>
            </w:r>
          </w:p>
        </w:tc>
      </w:tr>
      <w:tr w14:paraId="7157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1190" w:type="dxa"/>
            <w:vMerge w:val="continue"/>
            <w:noWrap w:val="0"/>
            <w:vAlign w:val="center"/>
          </w:tcPr>
          <w:p w14:paraId="01ED1447">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p>
        </w:tc>
        <w:tc>
          <w:tcPr>
            <w:tcW w:w="1603" w:type="dxa"/>
            <w:noWrap w:val="0"/>
            <w:vAlign w:val="center"/>
          </w:tcPr>
          <w:p w14:paraId="3E352638">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硬盘支持扩展性</w:t>
            </w:r>
          </w:p>
        </w:tc>
        <w:tc>
          <w:tcPr>
            <w:tcW w:w="7286" w:type="dxa"/>
            <w:noWrap w:val="0"/>
            <w:vAlign w:val="center"/>
          </w:tcPr>
          <w:p w14:paraId="3FD9B1C3">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配置≥2*3.84T  SSD  ≥10*16TB 7.2K  SATA 6Gbps 3.5寸硬盘；</w:t>
            </w:r>
          </w:p>
          <w:p w14:paraId="005E5FF8">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最大</w:t>
            </w:r>
            <w:r>
              <w:rPr>
                <w:rFonts w:hint="eastAsia" w:ascii="宋体" w:hAnsi="宋体" w:eastAsia="宋体" w:cs="宋体"/>
                <w:color w:val="auto"/>
                <w:sz w:val="24"/>
                <w:szCs w:val="24"/>
                <w:highlight w:val="none"/>
                <w:vertAlign w:val="baseline"/>
              </w:rPr>
              <w:t>支持2.5 英寸硬盘槽位≥31个（其中前置≥25个，且NVME SSD 盘槽位≥4）；</w:t>
            </w:r>
          </w:p>
          <w:p w14:paraId="1E8C6CF4">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或最大</w:t>
            </w:r>
            <w:r>
              <w:rPr>
                <w:rFonts w:hint="eastAsia" w:ascii="宋体" w:hAnsi="宋体" w:eastAsia="宋体" w:cs="宋体"/>
                <w:color w:val="auto"/>
                <w:sz w:val="24"/>
                <w:szCs w:val="24"/>
                <w:highlight w:val="none"/>
                <w:vertAlign w:val="baseline"/>
              </w:rPr>
              <w:t>支持3.5 英寸硬盘槽位≥20 个；</w:t>
            </w:r>
          </w:p>
          <w:p w14:paraId="10868CA3">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支持NVMe硬盘：≥24块；</w:t>
            </w:r>
          </w:p>
          <w:p w14:paraId="24A67FF8">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rPr>
              <w:t>板载支持</w:t>
            </w: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rPr>
              <w:t>2块M.2 SSD硬盘</w:t>
            </w:r>
          </w:p>
        </w:tc>
      </w:tr>
      <w:tr w14:paraId="31B6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90" w:type="dxa"/>
            <w:vMerge w:val="continue"/>
            <w:noWrap w:val="0"/>
            <w:vAlign w:val="center"/>
          </w:tcPr>
          <w:p w14:paraId="699808B6">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p>
        </w:tc>
        <w:tc>
          <w:tcPr>
            <w:tcW w:w="1603" w:type="dxa"/>
            <w:noWrap w:val="0"/>
            <w:vAlign w:val="center"/>
          </w:tcPr>
          <w:p w14:paraId="3586A070">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RAID</w:t>
            </w:r>
          </w:p>
        </w:tc>
        <w:tc>
          <w:tcPr>
            <w:tcW w:w="7286" w:type="dxa"/>
            <w:noWrap w:val="0"/>
            <w:vAlign w:val="center"/>
          </w:tcPr>
          <w:p w14:paraId="6BFD4DD7">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rPr>
              <w:t>配置与服务器同品牌RAID阵列卡，</w:t>
            </w:r>
            <w:r>
              <w:rPr>
                <w:rFonts w:hint="eastAsia" w:ascii="宋体" w:hAnsi="宋体" w:eastAsia="宋体" w:cs="宋体"/>
                <w:color w:val="auto"/>
                <w:sz w:val="24"/>
                <w:szCs w:val="24"/>
                <w:highlight w:val="none"/>
                <w:vertAlign w:val="baseline"/>
                <w:lang w:val="en-US" w:eastAsia="zh-CN"/>
              </w:rPr>
              <w:t>2G缓存，</w:t>
            </w:r>
            <w:r>
              <w:rPr>
                <w:rFonts w:hint="eastAsia" w:ascii="宋体" w:hAnsi="宋体" w:eastAsia="宋体" w:cs="宋体"/>
                <w:color w:val="auto"/>
                <w:sz w:val="24"/>
                <w:szCs w:val="24"/>
                <w:highlight w:val="none"/>
                <w:vertAlign w:val="baseline"/>
              </w:rPr>
              <w:t>支持RAID 0/1/</w:t>
            </w: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等</w:t>
            </w:r>
          </w:p>
        </w:tc>
      </w:tr>
      <w:tr w14:paraId="1910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190" w:type="dxa"/>
            <w:vMerge w:val="continue"/>
            <w:noWrap w:val="0"/>
            <w:vAlign w:val="center"/>
          </w:tcPr>
          <w:p w14:paraId="692ACA7D">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p>
        </w:tc>
        <w:tc>
          <w:tcPr>
            <w:tcW w:w="1603" w:type="dxa"/>
            <w:noWrap w:val="0"/>
            <w:vAlign w:val="top"/>
          </w:tcPr>
          <w:p w14:paraId="4DEFB4D7">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PCIe插槽</w:t>
            </w:r>
          </w:p>
        </w:tc>
        <w:tc>
          <w:tcPr>
            <w:tcW w:w="7286" w:type="dxa"/>
            <w:noWrap w:val="0"/>
            <w:vAlign w:val="top"/>
          </w:tcPr>
          <w:p w14:paraId="35E6A7D8">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≥6个标准PCIe 4.0插槽</w:t>
            </w:r>
          </w:p>
          <w:p w14:paraId="0F64E4CE">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最大支持≥10个PCIe 4.0插槽（不含OCP插槽和存储设备专用插槽）</w:t>
            </w:r>
          </w:p>
          <w:p w14:paraId="24E221BA">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rPr>
              <w:t>最大支持≥4个FHFL双槽位 GPU卡</w:t>
            </w:r>
          </w:p>
        </w:tc>
      </w:tr>
      <w:tr w14:paraId="43BC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90" w:type="dxa"/>
            <w:vMerge w:val="continue"/>
            <w:noWrap w:val="0"/>
            <w:vAlign w:val="top"/>
          </w:tcPr>
          <w:p w14:paraId="34BF048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highlight w:val="none"/>
              </w:rPr>
            </w:pPr>
          </w:p>
        </w:tc>
        <w:tc>
          <w:tcPr>
            <w:tcW w:w="1603" w:type="dxa"/>
            <w:noWrap w:val="0"/>
            <w:vAlign w:val="top"/>
          </w:tcPr>
          <w:p w14:paraId="65608D89">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I/O接口</w:t>
            </w:r>
          </w:p>
        </w:tc>
        <w:tc>
          <w:tcPr>
            <w:tcW w:w="7286" w:type="dxa"/>
            <w:noWrap w:val="0"/>
            <w:vAlign w:val="top"/>
          </w:tcPr>
          <w:p w14:paraId="35DBE523">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rPr>
              <w:t>板载≥4个USB接口，其中USB3.0≥3个；≥2个VGA接口</w:t>
            </w:r>
          </w:p>
        </w:tc>
      </w:tr>
      <w:tr w14:paraId="5F2A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90" w:type="dxa"/>
            <w:vMerge w:val="continue"/>
            <w:noWrap w:val="0"/>
            <w:vAlign w:val="center"/>
          </w:tcPr>
          <w:p w14:paraId="5A214731">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p>
        </w:tc>
        <w:tc>
          <w:tcPr>
            <w:tcW w:w="1603" w:type="dxa"/>
            <w:noWrap w:val="0"/>
            <w:vAlign w:val="center"/>
          </w:tcPr>
          <w:p w14:paraId="59328049">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业务接口</w:t>
            </w:r>
          </w:p>
        </w:tc>
        <w:tc>
          <w:tcPr>
            <w:tcW w:w="7286" w:type="dxa"/>
            <w:noWrap w:val="0"/>
            <w:vAlign w:val="top"/>
          </w:tcPr>
          <w:p w14:paraId="1182495B">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个千兆以太网RJ45接口</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≥2个万兆网口（含光模块）</w:t>
            </w:r>
            <w:r>
              <w:rPr>
                <w:rFonts w:hint="eastAsia" w:ascii="宋体" w:hAnsi="宋体" w:eastAsia="宋体" w:cs="宋体"/>
                <w:b w:val="0"/>
                <w:bCs w:val="0"/>
                <w:color w:val="auto"/>
                <w:kern w:val="0"/>
                <w:sz w:val="24"/>
                <w:szCs w:val="24"/>
                <w:highlight w:val="none"/>
              </w:rPr>
              <w:t>，且采用国产网络芯片， 支持NC-SI、网络唤醒、边带管理等功能</w:t>
            </w:r>
          </w:p>
        </w:tc>
      </w:tr>
      <w:tr w14:paraId="3D53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90" w:type="dxa"/>
            <w:vMerge w:val="continue"/>
            <w:noWrap w:val="0"/>
            <w:vAlign w:val="top"/>
          </w:tcPr>
          <w:p w14:paraId="1BB4DEB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highlight w:val="none"/>
              </w:rPr>
            </w:pPr>
          </w:p>
        </w:tc>
        <w:tc>
          <w:tcPr>
            <w:tcW w:w="1603" w:type="dxa"/>
            <w:noWrap w:val="0"/>
            <w:vAlign w:val="center"/>
          </w:tcPr>
          <w:p w14:paraId="12A58ED3">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管理接口</w:t>
            </w:r>
          </w:p>
        </w:tc>
        <w:tc>
          <w:tcPr>
            <w:tcW w:w="7286" w:type="dxa"/>
            <w:noWrap w:val="0"/>
            <w:vAlign w:val="top"/>
          </w:tcPr>
          <w:p w14:paraId="17B508C6">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rPr>
              <w:t>1个千兆管理专用以太网口</w:t>
            </w:r>
          </w:p>
        </w:tc>
      </w:tr>
      <w:tr w14:paraId="2904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90" w:type="dxa"/>
            <w:vMerge w:val="restart"/>
            <w:noWrap w:val="0"/>
            <w:vAlign w:val="center"/>
          </w:tcPr>
          <w:p w14:paraId="4D7B1400">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可用性</w:t>
            </w:r>
          </w:p>
        </w:tc>
        <w:tc>
          <w:tcPr>
            <w:tcW w:w="1603" w:type="dxa"/>
            <w:vMerge w:val="restart"/>
            <w:noWrap w:val="0"/>
            <w:vAlign w:val="center"/>
          </w:tcPr>
          <w:p w14:paraId="4C5CD769">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安全</w:t>
            </w:r>
          </w:p>
        </w:tc>
        <w:tc>
          <w:tcPr>
            <w:tcW w:w="7286" w:type="dxa"/>
            <w:noWrap w:val="0"/>
            <w:vAlign w:val="top"/>
          </w:tcPr>
          <w:p w14:paraId="7182E4B5">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支持TCM和TPM安全模块；支持机箱入侵检测，在外部打开机箱盖时提供报警功能</w:t>
            </w:r>
          </w:p>
        </w:tc>
      </w:tr>
      <w:tr w14:paraId="29E4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90" w:type="dxa"/>
            <w:vMerge w:val="continue"/>
            <w:noWrap w:val="0"/>
            <w:vAlign w:val="top"/>
          </w:tcPr>
          <w:p w14:paraId="1E71C78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highlight w:val="none"/>
              </w:rPr>
            </w:pPr>
          </w:p>
        </w:tc>
        <w:tc>
          <w:tcPr>
            <w:tcW w:w="1603" w:type="dxa"/>
            <w:vMerge w:val="continue"/>
            <w:noWrap w:val="0"/>
            <w:vAlign w:val="top"/>
          </w:tcPr>
          <w:p w14:paraId="0B343D1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highlight w:val="none"/>
              </w:rPr>
            </w:pPr>
          </w:p>
        </w:tc>
        <w:tc>
          <w:tcPr>
            <w:tcW w:w="7286" w:type="dxa"/>
            <w:noWrap w:val="0"/>
            <w:vAlign w:val="top"/>
          </w:tcPr>
          <w:p w14:paraId="57624B4F">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▲配置国产BMC管理芯片，芯片与服务器制造商属于同一集团，提供证明材料，盖原厂公章</w:t>
            </w:r>
          </w:p>
        </w:tc>
      </w:tr>
      <w:tr w14:paraId="6A71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90" w:type="dxa"/>
            <w:vMerge w:val="continue"/>
            <w:noWrap w:val="0"/>
            <w:vAlign w:val="top"/>
          </w:tcPr>
          <w:p w14:paraId="2720825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highlight w:val="none"/>
              </w:rPr>
            </w:pPr>
          </w:p>
        </w:tc>
        <w:tc>
          <w:tcPr>
            <w:tcW w:w="1603" w:type="dxa"/>
            <w:noWrap w:val="0"/>
            <w:vAlign w:val="center"/>
          </w:tcPr>
          <w:p w14:paraId="644CE5BF">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冗余电源</w:t>
            </w:r>
          </w:p>
        </w:tc>
        <w:tc>
          <w:tcPr>
            <w:tcW w:w="7286" w:type="dxa"/>
            <w:noWrap w:val="0"/>
            <w:vAlign w:val="top"/>
          </w:tcPr>
          <w:p w14:paraId="1B0D74CF">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配置2个电源≥800W，支持1+1冗余电源，支持550W,800W,1300W,1600W</w:t>
            </w:r>
          </w:p>
        </w:tc>
      </w:tr>
      <w:tr w14:paraId="0BB2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90" w:type="dxa"/>
            <w:vMerge w:val="continue"/>
            <w:noWrap w:val="0"/>
            <w:vAlign w:val="top"/>
          </w:tcPr>
          <w:p w14:paraId="59C62A3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highlight w:val="none"/>
              </w:rPr>
            </w:pPr>
          </w:p>
        </w:tc>
        <w:tc>
          <w:tcPr>
            <w:tcW w:w="1603" w:type="dxa"/>
            <w:noWrap w:val="0"/>
            <w:vAlign w:val="center"/>
          </w:tcPr>
          <w:p w14:paraId="75C8161B">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冗余风扇</w:t>
            </w:r>
          </w:p>
        </w:tc>
        <w:tc>
          <w:tcPr>
            <w:tcW w:w="7286" w:type="dxa"/>
            <w:noWrap w:val="0"/>
            <w:vAlign w:val="top"/>
          </w:tcPr>
          <w:p w14:paraId="4FBED7D6">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配置≥4个热插拔风扇，支持N+1冗余</w:t>
            </w:r>
          </w:p>
        </w:tc>
      </w:tr>
      <w:tr w14:paraId="4111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noWrap w:val="0"/>
            <w:vAlign w:val="top"/>
          </w:tcPr>
          <w:p w14:paraId="21C4A56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highlight w:val="none"/>
              </w:rPr>
            </w:pPr>
          </w:p>
        </w:tc>
        <w:tc>
          <w:tcPr>
            <w:tcW w:w="1603" w:type="dxa"/>
            <w:noWrap w:val="0"/>
            <w:vAlign w:val="center"/>
          </w:tcPr>
          <w:p w14:paraId="655F50AD">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指示灯</w:t>
            </w:r>
          </w:p>
        </w:tc>
        <w:tc>
          <w:tcPr>
            <w:tcW w:w="7286" w:type="dxa"/>
            <w:noWrap w:val="0"/>
            <w:vAlign w:val="top"/>
          </w:tcPr>
          <w:p w14:paraId="66CB42E1">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机箱前后面板配置清晰指示灯，可直观提示不限于以下：服务器开关状态、系统故障、内存故障、电源故障、风扇故障、系统过热、网络状态、UID状态、硬盘活动状态、硬盘故障</w:t>
            </w:r>
          </w:p>
          <w:p w14:paraId="76F8A195">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配置双UID指示灯，前后面板各1个，可通过BMC或UID按键点亮UID指示灯，在机柜前后快速定位服务器</w:t>
            </w:r>
          </w:p>
        </w:tc>
      </w:tr>
      <w:tr w14:paraId="082B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restart"/>
            <w:noWrap w:val="0"/>
            <w:vAlign w:val="center"/>
          </w:tcPr>
          <w:p w14:paraId="68F5BE88">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管理</w:t>
            </w:r>
          </w:p>
        </w:tc>
        <w:tc>
          <w:tcPr>
            <w:tcW w:w="1603" w:type="dxa"/>
            <w:noWrap w:val="0"/>
            <w:vAlign w:val="center"/>
          </w:tcPr>
          <w:p w14:paraId="06D025E7">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系统维护</w:t>
            </w:r>
          </w:p>
        </w:tc>
        <w:tc>
          <w:tcPr>
            <w:tcW w:w="7286" w:type="dxa"/>
            <w:noWrap w:val="0"/>
            <w:vAlign w:val="top"/>
          </w:tcPr>
          <w:p w14:paraId="5E20FC77">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提供同品牌自主研发的服务器管理套件，为用户提供资产管理、智能监控、能耗管理、自动巡检与报修等功能。</w:t>
            </w:r>
            <w:r>
              <w:rPr>
                <w:rFonts w:hint="eastAsia" w:ascii="宋体" w:hAnsi="宋体" w:eastAsia="宋体" w:cs="宋体"/>
                <w:b w:val="0"/>
                <w:bCs w:val="0"/>
                <w:color w:val="auto"/>
                <w:kern w:val="0"/>
                <w:sz w:val="24"/>
                <w:szCs w:val="24"/>
                <w:highlight w:val="none"/>
              </w:rPr>
              <w:br w:type="textWrapping"/>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支持WebGUI图形化展示、可视化大屏、自定义首页，并提供管理界面截图证明</w:t>
            </w:r>
            <w:r>
              <w:rPr>
                <w:rFonts w:hint="eastAsia" w:ascii="宋体" w:hAnsi="宋体" w:eastAsia="宋体" w:cs="宋体"/>
                <w:b/>
                <w:bCs/>
                <w:color w:val="auto"/>
                <w:kern w:val="0"/>
                <w:sz w:val="24"/>
                <w:szCs w:val="24"/>
                <w:highlight w:val="none"/>
                <w:lang w:val="en-US" w:eastAsia="zh-CN"/>
              </w:rPr>
              <w:t>，盖原厂公章</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支持服务器全生命健康数据管理，并提供管理界面截图证明</w:t>
            </w:r>
            <w:r>
              <w:rPr>
                <w:rFonts w:hint="eastAsia" w:ascii="宋体" w:hAnsi="宋体" w:eastAsia="宋体" w:cs="宋体"/>
                <w:b/>
                <w:bCs/>
                <w:color w:val="auto"/>
                <w:kern w:val="0"/>
                <w:sz w:val="24"/>
                <w:szCs w:val="24"/>
                <w:highlight w:val="none"/>
                <w:lang w:val="en-US" w:eastAsia="zh-CN"/>
              </w:rPr>
              <w:t>，盖原厂公章</w:t>
            </w:r>
            <w:r>
              <w:rPr>
                <w:rFonts w:hint="eastAsia" w:ascii="宋体" w:hAnsi="宋体" w:eastAsia="宋体" w:cs="宋体"/>
                <w:b/>
                <w:bCs/>
                <w:color w:val="auto"/>
                <w:kern w:val="0"/>
                <w:sz w:val="24"/>
                <w:szCs w:val="24"/>
                <w:highlight w:val="none"/>
              </w:rPr>
              <w:t>；</w:t>
            </w:r>
          </w:p>
          <w:p w14:paraId="40E4B0C9">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BMC系统独立于业务操作系统，可通过BMC管理页面或者前后面板RST按键独立重启BMC系统；免费提供升级工具，无需安装代理即可统一升级同一网络中服务器的固件及驱动程序；支持基于安全数字签名的固件升级，支持不同厂商、机型的防误升拦截机制；支持 BMC/BIOS/CPLD/PSU 等设备固件更新</w:t>
            </w:r>
          </w:p>
        </w:tc>
      </w:tr>
      <w:tr w14:paraId="2F64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1190" w:type="dxa"/>
            <w:vMerge w:val="continue"/>
            <w:noWrap w:val="0"/>
            <w:vAlign w:val="top"/>
          </w:tcPr>
          <w:p w14:paraId="12EF418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highlight w:val="none"/>
              </w:rPr>
            </w:pPr>
          </w:p>
        </w:tc>
        <w:tc>
          <w:tcPr>
            <w:tcW w:w="1603" w:type="dxa"/>
            <w:noWrap w:val="0"/>
            <w:vAlign w:val="center"/>
          </w:tcPr>
          <w:p w14:paraId="5112689C">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集群管理</w:t>
            </w:r>
          </w:p>
        </w:tc>
        <w:tc>
          <w:tcPr>
            <w:tcW w:w="7286" w:type="dxa"/>
            <w:noWrap w:val="0"/>
            <w:vAlign w:val="top"/>
          </w:tcPr>
          <w:p w14:paraId="03D7FE93">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1、配置联合管理功能，实现小规模集群的统一管理，简化了设备的运维管理，所管理设备类型包含存储、节点、交换机、路由器等，提供第三方测试报告</w:t>
            </w:r>
            <w:r>
              <w:rPr>
                <w:rFonts w:hint="eastAsia" w:ascii="宋体" w:hAnsi="宋体" w:eastAsia="宋体" w:cs="宋体"/>
                <w:b/>
                <w:bCs/>
                <w:color w:val="auto"/>
                <w:kern w:val="0"/>
                <w:sz w:val="24"/>
                <w:szCs w:val="24"/>
                <w:highlight w:val="none"/>
                <w:lang w:val="en-US" w:eastAsia="zh-CN"/>
              </w:rPr>
              <w:t>，盖原厂公章</w:t>
            </w:r>
            <w:r>
              <w:rPr>
                <w:rFonts w:hint="eastAsia" w:ascii="宋体" w:hAnsi="宋体" w:eastAsia="宋体" w:cs="宋体"/>
                <w:b/>
                <w:bCs/>
                <w:color w:val="auto"/>
                <w:kern w:val="0"/>
                <w:sz w:val="24"/>
                <w:szCs w:val="24"/>
                <w:highlight w:val="none"/>
              </w:rPr>
              <w:t>；</w:t>
            </w:r>
          </w:p>
          <w:p w14:paraId="34ABF472">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2、所管理设备品牌包含但不限于华为、浪潮、联想、华三、MAIPU、ZTE等，所展示参数包含IP、健康状态、厂商、型号等，提供软件功能截图</w:t>
            </w:r>
            <w:r>
              <w:rPr>
                <w:rFonts w:hint="eastAsia" w:ascii="宋体" w:hAnsi="宋体" w:eastAsia="宋体" w:cs="宋体"/>
                <w:b/>
                <w:bCs/>
                <w:color w:val="auto"/>
                <w:kern w:val="0"/>
                <w:sz w:val="24"/>
                <w:szCs w:val="24"/>
                <w:highlight w:val="none"/>
                <w:lang w:val="en-US" w:eastAsia="zh-CN"/>
              </w:rPr>
              <w:t>，盖原厂公章</w:t>
            </w:r>
            <w:r>
              <w:rPr>
                <w:rFonts w:hint="eastAsia" w:ascii="宋体" w:hAnsi="宋体" w:eastAsia="宋体" w:cs="宋体"/>
                <w:b/>
                <w:bCs/>
                <w:color w:val="auto"/>
                <w:kern w:val="0"/>
                <w:sz w:val="24"/>
                <w:szCs w:val="24"/>
                <w:highlight w:val="none"/>
              </w:rPr>
              <w:t>；</w:t>
            </w:r>
          </w:p>
        </w:tc>
      </w:tr>
      <w:tr w14:paraId="4444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190" w:type="dxa"/>
            <w:vMerge w:val="continue"/>
            <w:noWrap w:val="0"/>
            <w:vAlign w:val="top"/>
          </w:tcPr>
          <w:p w14:paraId="540120D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highlight w:val="none"/>
              </w:rPr>
            </w:pPr>
          </w:p>
        </w:tc>
        <w:tc>
          <w:tcPr>
            <w:tcW w:w="1603" w:type="dxa"/>
            <w:noWrap w:val="0"/>
            <w:vAlign w:val="center"/>
          </w:tcPr>
          <w:p w14:paraId="39DE4E0C">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集群监控</w:t>
            </w:r>
          </w:p>
        </w:tc>
        <w:tc>
          <w:tcPr>
            <w:tcW w:w="7286" w:type="dxa"/>
            <w:noWrap w:val="0"/>
            <w:vAlign w:val="top"/>
          </w:tcPr>
          <w:p w14:paraId="355D2494">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节点管理平台需支持自定义功能展示功能，自定义标签包含设备健康状态、机房温度趋势、部件健康统计、过保统计等，提供软件功能截图</w:t>
            </w:r>
            <w:r>
              <w:rPr>
                <w:rFonts w:hint="eastAsia" w:ascii="宋体" w:hAnsi="宋体" w:eastAsia="宋体" w:cs="宋体"/>
                <w:b/>
                <w:bCs/>
                <w:color w:val="auto"/>
                <w:kern w:val="0"/>
                <w:sz w:val="24"/>
                <w:szCs w:val="24"/>
                <w:highlight w:val="none"/>
                <w:lang w:val="en-US" w:eastAsia="zh-CN"/>
              </w:rPr>
              <w:t>，盖原厂公章</w:t>
            </w:r>
            <w:r>
              <w:rPr>
                <w:rFonts w:hint="eastAsia" w:ascii="宋体" w:hAnsi="宋体" w:eastAsia="宋体" w:cs="宋体"/>
                <w:b/>
                <w:bCs/>
                <w:color w:val="auto"/>
                <w:kern w:val="0"/>
                <w:sz w:val="24"/>
                <w:szCs w:val="24"/>
                <w:highlight w:val="none"/>
              </w:rPr>
              <w:t>；</w:t>
            </w:r>
          </w:p>
        </w:tc>
      </w:tr>
      <w:tr w14:paraId="4D65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190" w:type="dxa"/>
            <w:vMerge w:val="continue"/>
            <w:noWrap w:val="0"/>
            <w:vAlign w:val="top"/>
          </w:tcPr>
          <w:p w14:paraId="5445CCB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highlight w:val="none"/>
              </w:rPr>
            </w:pPr>
          </w:p>
        </w:tc>
        <w:tc>
          <w:tcPr>
            <w:tcW w:w="1603" w:type="dxa"/>
            <w:noWrap w:val="0"/>
            <w:vAlign w:val="center"/>
          </w:tcPr>
          <w:p w14:paraId="3DB3E656">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功耗管理</w:t>
            </w:r>
          </w:p>
        </w:tc>
        <w:tc>
          <w:tcPr>
            <w:tcW w:w="7286" w:type="dxa"/>
            <w:noWrap w:val="0"/>
            <w:vAlign w:val="top"/>
          </w:tcPr>
          <w:p w14:paraId="42C5E8E4">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为防止机柜负载过高，节点管理平台支持基于数据中心机房的3D温度拓扑图，提供第三方测试报告；同时提供机柜进出风口温度参数，提供软件功能截图</w:t>
            </w:r>
            <w:r>
              <w:rPr>
                <w:rFonts w:hint="eastAsia" w:ascii="宋体" w:hAnsi="宋体" w:eastAsia="宋体" w:cs="宋体"/>
                <w:b/>
                <w:bCs/>
                <w:color w:val="auto"/>
                <w:kern w:val="0"/>
                <w:sz w:val="24"/>
                <w:szCs w:val="24"/>
                <w:highlight w:val="none"/>
                <w:lang w:val="en-US" w:eastAsia="zh-CN"/>
              </w:rPr>
              <w:t>，盖原厂公章</w:t>
            </w:r>
            <w:r>
              <w:rPr>
                <w:rFonts w:hint="eastAsia" w:ascii="宋体" w:hAnsi="宋体" w:eastAsia="宋体" w:cs="宋体"/>
                <w:b/>
                <w:bCs/>
                <w:color w:val="auto"/>
                <w:kern w:val="0"/>
                <w:sz w:val="24"/>
                <w:szCs w:val="24"/>
                <w:highlight w:val="none"/>
              </w:rPr>
              <w:t>；</w:t>
            </w:r>
          </w:p>
        </w:tc>
      </w:tr>
      <w:tr w14:paraId="6AD2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1190" w:type="dxa"/>
            <w:vMerge w:val="continue"/>
            <w:noWrap w:val="0"/>
            <w:vAlign w:val="top"/>
          </w:tcPr>
          <w:p w14:paraId="2B1228B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highlight w:val="none"/>
              </w:rPr>
            </w:pPr>
          </w:p>
        </w:tc>
        <w:tc>
          <w:tcPr>
            <w:tcW w:w="1603" w:type="dxa"/>
            <w:noWrap w:val="0"/>
            <w:vAlign w:val="center"/>
          </w:tcPr>
          <w:p w14:paraId="723B86D2">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功耗监控</w:t>
            </w:r>
          </w:p>
        </w:tc>
        <w:tc>
          <w:tcPr>
            <w:tcW w:w="7286" w:type="dxa"/>
            <w:noWrap w:val="0"/>
            <w:vAlign w:val="top"/>
          </w:tcPr>
          <w:p w14:paraId="74574108">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支持对机房进行制冷分析及提高制冷优化建议（支持ASHRAE推荐温度、ASHRAE一级许可和ASHERAE二级许可三种规范进行分析。列出高温热点设备，并给出建议和提供优化方案），提供软件功能截图</w:t>
            </w:r>
            <w:r>
              <w:rPr>
                <w:rFonts w:hint="eastAsia" w:ascii="宋体" w:hAnsi="宋体" w:eastAsia="宋体" w:cs="宋体"/>
                <w:b/>
                <w:bCs/>
                <w:color w:val="auto"/>
                <w:kern w:val="0"/>
                <w:sz w:val="24"/>
                <w:szCs w:val="24"/>
                <w:highlight w:val="none"/>
                <w:lang w:val="en-US" w:eastAsia="zh-CN"/>
              </w:rPr>
              <w:t>，盖原厂公章。</w:t>
            </w:r>
          </w:p>
        </w:tc>
      </w:tr>
      <w:tr w14:paraId="027B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1190" w:type="dxa"/>
            <w:noWrap w:val="0"/>
            <w:vAlign w:val="center"/>
          </w:tcPr>
          <w:p w14:paraId="63E0FDA0">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安全</w:t>
            </w:r>
          </w:p>
        </w:tc>
        <w:tc>
          <w:tcPr>
            <w:tcW w:w="1603" w:type="dxa"/>
            <w:noWrap w:val="0"/>
            <w:vAlign w:val="center"/>
          </w:tcPr>
          <w:p w14:paraId="0D01C5DA">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安全性</w:t>
            </w:r>
          </w:p>
        </w:tc>
        <w:tc>
          <w:tcPr>
            <w:tcW w:w="7286" w:type="dxa"/>
            <w:noWrap w:val="0"/>
            <w:vAlign w:val="top"/>
          </w:tcPr>
          <w:p w14:paraId="1DF964B6">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sz w:val="24"/>
                <w:szCs w:val="24"/>
                <w:highlight w:val="none"/>
              </w:rPr>
              <w:t>支持节点的主机安全系统加固软件（非PCIe形式的安全板卡、OTP双因素认证、黑匣子及其他节点自带管理软件功能等），从操作系统内核实现对节点的安全加固。该系统可实现内核级安全加固，增强型身份认证、服务完整性检测、注册表防篡改机制等功能。提供操作系统安全部件(三级)检验检测检测报告及移动存储介质注册、文件完整性检测、违规外联检测相关证明材料</w:t>
            </w:r>
            <w:r>
              <w:rPr>
                <w:rFonts w:hint="eastAsia" w:ascii="宋体" w:hAnsi="宋体" w:eastAsia="宋体" w:cs="宋体"/>
                <w:b/>
                <w:bCs/>
                <w:color w:val="auto"/>
                <w:sz w:val="24"/>
                <w:szCs w:val="24"/>
                <w:highlight w:val="none"/>
                <w:lang w:val="en-US" w:eastAsia="zh-CN"/>
              </w:rPr>
              <w:t>，盖原厂公章。</w:t>
            </w:r>
          </w:p>
        </w:tc>
      </w:tr>
      <w:tr w14:paraId="4A8E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190" w:type="dxa"/>
            <w:noWrap w:val="0"/>
            <w:vAlign w:val="center"/>
          </w:tcPr>
          <w:p w14:paraId="199F9E34">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虚拟化</w:t>
            </w:r>
          </w:p>
        </w:tc>
        <w:tc>
          <w:tcPr>
            <w:tcW w:w="1603" w:type="dxa"/>
            <w:noWrap w:val="0"/>
            <w:vAlign w:val="center"/>
          </w:tcPr>
          <w:p w14:paraId="44185ED7">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虚拟化要求</w:t>
            </w:r>
          </w:p>
        </w:tc>
        <w:tc>
          <w:tcPr>
            <w:tcW w:w="7286" w:type="dxa"/>
            <w:noWrap w:val="0"/>
            <w:vAlign w:val="top"/>
          </w:tcPr>
          <w:p w14:paraId="6AE95629">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基于KVM自主研发的国产虚拟化平台构建容器环境，提高资源利用率和应用部署效率。实现资源的灵活调度和管理，增强系统的弹性和可扩展性。</w:t>
            </w:r>
          </w:p>
        </w:tc>
      </w:tr>
      <w:tr w14:paraId="6C32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restart"/>
            <w:noWrap w:val="0"/>
            <w:vAlign w:val="center"/>
          </w:tcPr>
          <w:p w14:paraId="53EC04E5">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资质</w:t>
            </w:r>
          </w:p>
        </w:tc>
        <w:tc>
          <w:tcPr>
            <w:tcW w:w="1603" w:type="dxa"/>
            <w:noWrap w:val="0"/>
            <w:vAlign w:val="center"/>
          </w:tcPr>
          <w:p w14:paraId="2FE59719">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认证证书</w:t>
            </w:r>
          </w:p>
        </w:tc>
        <w:tc>
          <w:tcPr>
            <w:tcW w:w="7286" w:type="dxa"/>
            <w:noWrap w:val="0"/>
            <w:vAlign w:val="top"/>
          </w:tcPr>
          <w:p w14:paraId="371550F3">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1、具有国家 3C 认证</w:t>
            </w:r>
          </w:p>
          <w:p w14:paraId="65A633C8">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2、具有国家节能产品认证</w:t>
            </w:r>
          </w:p>
          <w:p w14:paraId="0613E0AA">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3、具有 MTBF·20 万小时检测报告</w:t>
            </w:r>
          </w:p>
          <w:p w14:paraId="664F3550">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4、具有国家环境标志产品认证</w:t>
            </w:r>
          </w:p>
        </w:tc>
      </w:tr>
      <w:tr w14:paraId="1CCD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noWrap w:val="0"/>
            <w:vAlign w:val="top"/>
          </w:tcPr>
          <w:p w14:paraId="18D08E9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highlight w:val="none"/>
              </w:rPr>
            </w:pPr>
          </w:p>
        </w:tc>
        <w:tc>
          <w:tcPr>
            <w:tcW w:w="1603" w:type="dxa"/>
            <w:noWrap w:val="0"/>
            <w:vAlign w:val="center"/>
          </w:tcPr>
          <w:p w14:paraId="66340CA5">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厂商资质</w:t>
            </w:r>
          </w:p>
        </w:tc>
        <w:tc>
          <w:tcPr>
            <w:tcW w:w="7286" w:type="dxa"/>
            <w:noWrap w:val="0"/>
            <w:vAlign w:val="top"/>
          </w:tcPr>
          <w:p w14:paraId="5ED366E7">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具有 IS09001,IS27701,IS045001认证证书，提供证书材料</w:t>
            </w:r>
          </w:p>
        </w:tc>
      </w:tr>
      <w:tr w14:paraId="34DC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noWrap w:val="0"/>
            <w:vAlign w:val="center"/>
          </w:tcPr>
          <w:p w14:paraId="4F7377D5">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服务</w:t>
            </w:r>
          </w:p>
        </w:tc>
        <w:tc>
          <w:tcPr>
            <w:tcW w:w="1603" w:type="dxa"/>
            <w:noWrap w:val="0"/>
            <w:vAlign w:val="center"/>
          </w:tcPr>
          <w:p w14:paraId="2C55EA83">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售后</w:t>
            </w:r>
          </w:p>
        </w:tc>
        <w:tc>
          <w:tcPr>
            <w:tcW w:w="7286" w:type="dxa"/>
            <w:noWrap w:val="0"/>
            <w:vAlign w:val="top"/>
          </w:tcPr>
          <w:p w14:paraId="592C85DA">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提供原厂商免费3年及以上的技术支持服务，原厂工程师上门服务，签订合同前提供原厂售后服务承诺函和授权书。</w:t>
            </w:r>
          </w:p>
        </w:tc>
      </w:tr>
      <w:tr w14:paraId="5557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1190" w:type="dxa"/>
            <w:noWrap w:val="0"/>
            <w:vAlign w:val="center"/>
          </w:tcPr>
          <w:p w14:paraId="723D0E3E">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产品测试</w:t>
            </w:r>
          </w:p>
        </w:tc>
        <w:tc>
          <w:tcPr>
            <w:tcW w:w="1603" w:type="dxa"/>
            <w:noWrap w:val="0"/>
            <w:vAlign w:val="center"/>
          </w:tcPr>
          <w:p w14:paraId="72CF4CD1">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产品测试</w:t>
            </w:r>
          </w:p>
        </w:tc>
        <w:tc>
          <w:tcPr>
            <w:tcW w:w="7286" w:type="dxa"/>
            <w:noWrap w:val="0"/>
            <w:vAlign w:val="top"/>
          </w:tcPr>
          <w:p w14:paraId="139B9A11">
            <w:pPr>
              <w:keepNext w:val="0"/>
              <w:keepLines w:val="0"/>
              <w:pageBreakBefore w:val="0"/>
              <w:kinsoku/>
              <w:wordWrap/>
              <w:overflowPunct/>
              <w:topLinePunct w:val="0"/>
              <w:bidi w:val="0"/>
              <w:snapToGrid/>
              <w:spacing w:line="360" w:lineRule="auto"/>
              <w:ind w:firstLine="0" w:firstLineChars="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为防止投标方虚假应答技术指标，从而造成用户在实际使用设备过程中无法实现所需的功能，中标公示期间需要进行上述功能要求的逐一测试验证，全部通过后执行合同流程，在指定的时间不能提供测试样机进行测试或测试中发现虚假应标的行为，则中标结果无效，并保留对预中标单位追究相关责任的权利。提供测试承诺函（格式自拟）并加盖投标人CA签章。</w:t>
            </w:r>
          </w:p>
        </w:tc>
      </w:tr>
    </w:tbl>
    <w:p w14:paraId="7FA4FBE4">
      <w:pPr>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2、操作系统</w:t>
      </w:r>
    </w:p>
    <w:tbl>
      <w:tblPr>
        <w:tblStyle w:val="18"/>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8698"/>
      </w:tblGrid>
      <w:tr w14:paraId="46AA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1154" w:type="dxa"/>
            <w:tcBorders>
              <w:tl2br w:val="nil"/>
              <w:tr2bl w:val="nil"/>
            </w:tcBorders>
            <w:noWrap w:val="0"/>
            <w:vAlign w:val="center"/>
          </w:tcPr>
          <w:p w14:paraId="037B1EFD">
            <w:pPr>
              <w:widowControl/>
              <w:autoSpaceDE/>
              <w:autoSpaceDN/>
              <w:adjustRightInd/>
              <w:spacing w:line="360" w:lineRule="auto"/>
              <w:ind w:left="0" w:leftChars="0" w:right="0" w:rightChars="0"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类别</w:t>
            </w:r>
          </w:p>
        </w:tc>
        <w:tc>
          <w:tcPr>
            <w:tcW w:w="8698" w:type="dxa"/>
            <w:tcBorders>
              <w:tl2br w:val="nil"/>
              <w:tr2bl w:val="nil"/>
            </w:tcBorders>
            <w:noWrap w:val="0"/>
            <w:vAlign w:val="center"/>
          </w:tcPr>
          <w:p w14:paraId="1D0602F2">
            <w:pPr>
              <w:widowControl/>
              <w:autoSpaceDE/>
              <w:autoSpaceDN/>
              <w:adjustRightInd/>
              <w:spacing w:line="360" w:lineRule="auto"/>
              <w:ind w:left="0" w:leftChars="0" w:right="0" w:rightChars="0"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技术指标要求</w:t>
            </w:r>
          </w:p>
        </w:tc>
      </w:tr>
      <w:tr w14:paraId="50EA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tcBorders>
              <w:tl2br w:val="nil"/>
              <w:tr2bl w:val="nil"/>
            </w:tcBorders>
            <w:noWrap w:val="0"/>
            <w:vAlign w:val="center"/>
          </w:tcPr>
          <w:p w14:paraId="0C38010F">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内核版本</w:t>
            </w:r>
          </w:p>
        </w:tc>
        <w:tc>
          <w:tcPr>
            <w:tcW w:w="8698" w:type="dxa"/>
            <w:tcBorders>
              <w:tl2br w:val="nil"/>
              <w:tr2bl w:val="nil"/>
            </w:tcBorders>
            <w:noWrap w:val="0"/>
            <w:vAlign w:val="center"/>
          </w:tcPr>
          <w:p w14:paraId="4FE7DCC9">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内核版本不低于4.19。</w:t>
            </w:r>
          </w:p>
        </w:tc>
      </w:tr>
      <w:tr w14:paraId="3A05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noWrap w:val="0"/>
            <w:vAlign w:val="center"/>
          </w:tcPr>
          <w:p w14:paraId="66A564EE">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适配国产CPU</w:t>
            </w:r>
          </w:p>
        </w:tc>
        <w:tc>
          <w:tcPr>
            <w:tcW w:w="8698" w:type="dxa"/>
            <w:noWrap w:val="0"/>
            <w:vAlign w:val="center"/>
          </w:tcPr>
          <w:p w14:paraId="291CB72C">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支持国产CPU架构包括X86、ARM、MIPS/LoongArch和SW架构。</w:t>
            </w:r>
          </w:p>
        </w:tc>
      </w:tr>
      <w:tr w14:paraId="59C2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noWrap w:val="0"/>
            <w:vAlign w:val="center"/>
          </w:tcPr>
          <w:p w14:paraId="02BC27AD">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基础功能</w:t>
            </w:r>
          </w:p>
        </w:tc>
        <w:tc>
          <w:tcPr>
            <w:tcW w:w="8698" w:type="dxa"/>
            <w:noWrap w:val="0"/>
            <w:vAlign w:val="center"/>
          </w:tcPr>
          <w:p w14:paraId="62DCE3C1">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系统配置图形化工具（用户帐户管理、用户权限设置、网络配置、打印机配 置、显示配置、桌面配置、键盘鼠标 设置、输入法设置、日期时间设置、 自动更新设置）；</w:t>
            </w:r>
          </w:p>
          <w:p w14:paraId="7C39AAFF">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系统运维图形化工具（系统监视器、 日志查看管理、设备管理器、磁盘管理器）。</w:t>
            </w:r>
          </w:p>
        </w:tc>
      </w:tr>
      <w:tr w14:paraId="47F2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noWrap w:val="0"/>
            <w:vAlign w:val="center"/>
          </w:tcPr>
          <w:p w14:paraId="4E002DF5">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中文支持</w:t>
            </w:r>
          </w:p>
        </w:tc>
        <w:tc>
          <w:tcPr>
            <w:tcW w:w="8698" w:type="dxa"/>
            <w:noWrap w:val="0"/>
            <w:vAlign w:val="center"/>
          </w:tcPr>
          <w:p w14:paraId="39555729">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采用 i18n（国际化）技术和标准；支持最新国家标准字符集 GB18030-2022。</w:t>
            </w:r>
          </w:p>
        </w:tc>
      </w:tr>
      <w:tr w14:paraId="5677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noWrap w:val="0"/>
            <w:vAlign w:val="center"/>
          </w:tcPr>
          <w:p w14:paraId="526D4DC1">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文件系统</w:t>
            </w:r>
          </w:p>
          <w:p w14:paraId="404E3443">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支持</w:t>
            </w:r>
          </w:p>
        </w:tc>
        <w:tc>
          <w:tcPr>
            <w:tcW w:w="8698" w:type="dxa"/>
            <w:noWrap w:val="0"/>
            <w:vAlign w:val="center"/>
          </w:tcPr>
          <w:p w14:paraId="75611B86">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支持Ext、XFS、NTFS、FAT 等文件系统；最大单个文件：Ext3 2TB；Ext416TB；GFS2 100TB；XFS 100TB；最大文件系统：Ext3 16TB，Ext4 1EB； GFS2 100TB；XFS 100TB；</w:t>
            </w:r>
          </w:p>
        </w:tc>
      </w:tr>
      <w:tr w14:paraId="2CAD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noWrap w:val="0"/>
            <w:vAlign w:val="center"/>
          </w:tcPr>
          <w:p w14:paraId="31C450F0">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国密支持</w:t>
            </w:r>
          </w:p>
        </w:tc>
        <w:tc>
          <w:tcPr>
            <w:tcW w:w="8698" w:type="dxa"/>
            <w:noWrap w:val="0"/>
            <w:vAlign w:val="center"/>
          </w:tcPr>
          <w:p w14:paraId="36539405">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内置国密算法，支持基于国密算法的加解密应用，支持国密SM2/3/4。</w:t>
            </w:r>
          </w:p>
        </w:tc>
      </w:tr>
      <w:tr w14:paraId="7CC8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noWrap w:val="0"/>
            <w:vAlign w:val="center"/>
          </w:tcPr>
          <w:p w14:paraId="7DDB9459">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系统安全</w:t>
            </w:r>
          </w:p>
        </w:tc>
        <w:tc>
          <w:tcPr>
            <w:tcW w:w="8698" w:type="dxa"/>
            <w:noWrap w:val="0"/>
            <w:vAlign w:val="center"/>
          </w:tcPr>
          <w:p w14:paraId="48473A1F">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通过等级保护2.0技术标准，即GB/T 20272-2019《信息安全技术 操作系统安全技术要求》第四级测评。</w:t>
            </w:r>
          </w:p>
        </w:tc>
      </w:tr>
      <w:tr w14:paraId="553D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noWrap w:val="0"/>
            <w:vAlign w:val="center"/>
          </w:tcPr>
          <w:p w14:paraId="766F8AD7">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安装方式</w:t>
            </w:r>
          </w:p>
        </w:tc>
        <w:tc>
          <w:tcPr>
            <w:tcW w:w="8698" w:type="dxa"/>
            <w:noWrap w:val="0"/>
            <w:vAlign w:val="center"/>
          </w:tcPr>
          <w:p w14:paraId="2498BF4C">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支持中文化的图形操作界面，支持多种安装方式：光盘、U 盘、网络安装。</w:t>
            </w:r>
          </w:p>
        </w:tc>
      </w:tr>
      <w:tr w14:paraId="09D6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noWrap w:val="0"/>
            <w:vAlign w:val="center"/>
          </w:tcPr>
          <w:p w14:paraId="00C48B0F">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常用服务</w:t>
            </w:r>
          </w:p>
        </w:tc>
        <w:tc>
          <w:tcPr>
            <w:tcW w:w="8698" w:type="dxa"/>
            <w:noWrap w:val="0"/>
            <w:vAlign w:val="center"/>
          </w:tcPr>
          <w:p w14:paraId="74696277">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支持samba服务、SSH服务、NTP服务、Telnet服务、DHCP服务、DNS服务、SMTP服务、Tomcat服务等。</w:t>
            </w:r>
          </w:p>
        </w:tc>
      </w:tr>
      <w:tr w14:paraId="3793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noWrap w:val="0"/>
            <w:vAlign w:val="center"/>
          </w:tcPr>
          <w:p w14:paraId="65EF1314">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数据库支持</w:t>
            </w:r>
          </w:p>
        </w:tc>
        <w:tc>
          <w:tcPr>
            <w:tcW w:w="8698" w:type="dxa"/>
            <w:noWrap w:val="0"/>
            <w:vAlign w:val="center"/>
          </w:tcPr>
          <w:p w14:paraId="46880606">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支持对国内数据库，如达梦、人大金仓、神州通用等的支持；支持国外数据库，如Oracle、Mysql、PostgreSQL 和 MariaDB 等。</w:t>
            </w:r>
          </w:p>
        </w:tc>
      </w:tr>
      <w:tr w14:paraId="2DE3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noWrap w:val="0"/>
            <w:vAlign w:val="center"/>
          </w:tcPr>
          <w:p w14:paraId="2235A1B5">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中间件支持</w:t>
            </w:r>
          </w:p>
        </w:tc>
        <w:tc>
          <w:tcPr>
            <w:tcW w:w="8698" w:type="dxa"/>
            <w:noWrap w:val="0"/>
            <w:vAlign w:val="center"/>
          </w:tcPr>
          <w:p w14:paraId="6276C6B3">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支持国外应用中间件，如WebSphere、WebLogic 和 Tomcat 等；支持对国内应用中间件，如金蝶、中 创、东方通等的支持。</w:t>
            </w:r>
          </w:p>
        </w:tc>
      </w:tr>
      <w:tr w14:paraId="58AB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noWrap w:val="0"/>
            <w:vAlign w:val="center"/>
          </w:tcPr>
          <w:p w14:paraId="252AB1C7">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桌面环境</w:t>
            </w:r>
          </w:p>
        </w:tc>
        <w:tc>
          <w:tcPr>
            <w:tcW w:w="8698" w:type="dxa"/>
            <w:noWrap w:val="0"/>
            <w:vAlign w:val="center"/>
          </w:tcPr>
          <w:p w14:paraId="6166F1D7">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服务器操作系统在不同硬件平台提供自主研发的统一桌面环境，并满足最新国家标准GB18030—2022《信息技术 中文编码字符集》字符集认证要求，满足信息系统进行中文处理的需求。</w:t>
            </w:r>
          </w:p>
        </w:tc>
      </w:tr>
      <w:tr w14:paraId="3972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noWrap w:val="0"/>
            <w:vAlign w:val="center"/>
          </w:tcPr>
          <w:p w14:paraId="682EA2E5">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备份还原</w:t>
            </w:r>
          </w:p>
        </w:tc>
        <w:tc>
          <w:tcPr>
            <w:tcW w:w="8698" w:type="dxa"/>
            <w:noWrap w:val="0"/>
            <w:vAlign w:val="center"/>
          </w:tcPr>
          <w:p w14:paraId="618E8C27">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系统支持备份和恢复，支持对数据文件的备份和恢复、支持对系统分区的备份和恢复。</w:t>
            </w:r>
          </w:p>
        </w:tc>
      </w:tr>
      <w:tr w14:paraId="502E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noWrap w:val="0"/>
            <w:vAlign w:val="center"/>
          </w:tcPr>
          <w:p w14:paraId="4EA3904D">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开发语言及环境</w:t>
            </w:r>
          </w:p>
        </w:tc>
        <w:tc>
          <w:tcPr>
            <w:tcW w:w="8698" w:type="dxa"/>
            <w:noWrap w:val="0"/>
            <w:vAlign w:val="center"/>
          </w:tcPr>
          <w:p w14:paraId="00838934">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提供丰富的开发工具和完整的 Linux开发环境，支持 Java（包括 OpenJDK/JVM、Oracle JDK/JVM、IBM JDK/JVM）、C/C++、Python、Perl、Shell 脚本、Ruby、PHP 等编程语言。</w:t>
            </w:r>
          </w:p>
        </w:tc>
      </w:tr>
      <w:tr w14:paraId="1896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noWrap w:val="0"/>
            <w:vAlign w:val="center"/>
          </w:tcPr>
          <w:p w14:paraId="653E5067">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虚拟化支持</w:t>
            </w:r>
          </w:p>
        </w:tc>
        <w:tc>
          <w:tcPr>
            <w:tcW w:w="8698" w:type="dxa"/>
            <w:noWrap w:val="0"/>
            <w:vAlign w:val="center"/>
          </w:tcPr>
          <w:p w14:paraId="058B7D3C">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支持虚拟化解决方案，如OpenStack、KVM、Docker 等。</w:t>
            </w:r>
          </w:p>
          <w:p w14:paraId="3DC70D38">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提供同品牌自研云基础设施管理平台，支持Rocky、Queens、Stein等多个版本。</w:t>
            </w:r>
          </w:p>
        </w:tc>
      </w:tr>
      <w:tr w14:paraId="0426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noWrap w:val="0"/>
            <w:vAlign w:val="center"/>
          </w:tcPr>
          <w:p w14:paraId="7E428A55">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高可用支持</w:t>
            </w:r>
          </w:p>
        </w:tc>
        <w:tc>
          <w:tcPr>
            <w:tcW w:w="8698" w:type="dxa"/>
            <w:noWrap w:val="0"/>
            <w:vAlign w:val="center"/>
          </w:tcPr>
          <w:p w14:paraId="6FD44A53">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提供同品牌自研高可用集群部署管理软件，支持图形化部署，支持多种存储类型，多种文件系统格式。</w:t>
            </w:r>
          </w:p>
        </w:tc>
      </w:tr>
      <w:tr w14:paraId="4A00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noWrap w:val="0"/>
            <w:vAlign w:val="center"/>
          </w:tcPr>
          <w:p w14:paraId="2D72DFAB">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云平台支持</w:t>
            </w:r>
          </w:p>
        </w:tc>
        <w:tc>
          <w:tcPr>
            <w:tcW w:w="8698" w:type="dxa"/>
            <w:noWrap w:val="0"/>
            <w:vAlign w:val="center"/>
          </w:tcPr>
          <w:p w14:paraId="2E6896C1">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适配主流国产云平台包括华为云、浪潮云、腾讯云等。</w:t>
            </w:r>
          </w:p>
        </w:tc>
      </w:tr>
      <w:tr w14:paraId="6920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noWrap w:val="0"/>
            <w:vAlign w:val="center"/>
          </w:tcPr>
          <w:p w14:paraId="4E4C3D97">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▲系统运维</w:t>
            </w:r>
          </w:p>
        </w:tc>
        <w:tc>
          <w:tcPr>
            <w:tcW w:w="8698" w:type="dxa"/>
            <w:noWrap w:val="0"/>
            <w:vAlign w:val="center"/>
          </w:tcPr>
          <w:p w14:paraId="5542223E">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为更好的对系统进行运维管理，可提供同品牌自研服务器运维监管平台，支持可视化监控运维，支持主机管理、安全管理、系统监控、诊断分发、配置下发、告警管理等功能。</w:t>
            </w:r>
            <w:r>
              <w:rPr>
                <w:rFonts w:hint="eastAsia" w:ascii="宋体" w:hAnsi="宋体" w:eastAsia="宋体" w:cs="宋体"/>
                <w:b/>
                <w:bCs/>
                <w:color w:val="auto"/>
                <w:kern w:val="0"/>
                <w:sz w:val="24"/>
                <w:szCs w:val="24"/>
                <w:highlight w:val="none"/>
                <w:lang w:val="en-US" w:eastAsia="zh-CN"/>
              </w:rPr>
              <w:t>提供投标品牌运维监管平台软著证明，盖原厂公章</w:t>
            </w:r>
            <w:r>
              <w:rPr>
                <w:rFonts w:hint="eastAsia" w:ascii="宋体" w:hAnsi="宋体" w:eastAsia="宋体" w:cs="宋体"/>
                <w:b w:val="0"/>
                <w:bCs w:val="0"/>
                <w:color w:val="auto"/>
                <w:kern w:val="0"/>
                <w:sz w:val="24"/>
                <w:szCs w:val="24"/>
                <w:highlight w:val="none"/>
                <w:lang w:val="en-US" w:eastAsia="zh-CN"/>
              </w:rPr>
              <w:t>。</w:t>
            </w:r>
          </w:p>
        </w:tc>
      </w:tr>
      <w:tr w14:paraId="0A61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4" w:type="dxa"/>
            <w:noWrap w:val="0"/>
            <w:vAlign w:val="center"/>
          </w:tcPr>
          <w:p w14:paraId="434307CA">
            <w:pPr>
              <w:widowControl/>
              <w:autoSpaceDE/>
              <w:autoSpaceDN/>
              <w:adjustRightInd/>
              <w:spacing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▲系统迁移</w:t>
            </w:r>
          </w:p>
        </w:tc>
        <w:tc>
          <w:tcPr>
            <w:tcW w:w="8698" w:type="dxa"/>
            <w:noWrap w:val="0"/>
            <w:vAlign w:val="center"/>
          </w:tcPr>
          <w:p w14:paraId="714E9EFA">
            <w:pPr>
              <w:widowControl/>
              <w:autoSpaceDE/>
              <w:autoSpaceDN/>
              <w:adjustRightInd/>
              <w:spacing w:line="360" w:lineRule="auto"/>
              <w:ind w:left="0" w:leftChars="0" w:right="0" w:rightChars="0" w:firstLine="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提供同品牌自研CentOS迁移工具，支持CentOS7/8版本向国产化服务器操作系统迁移，支持系统原地迁移，工具支持自动化兼容性分析、支持兼容性评估报告、支持图形化操作。</w:t>
            </w:r>
            <w:r>
              <w:rPr>
                <w:rFonts w:hint="eastAsia" w:ascii="宋体" w:hAnsi="宋体" w:eastAsia="宋体" w:cs="宋体"/>
                <w:b/>
                <w:bCs/>
                <w:color w:val="auto"/>
                <w:kern w:val="0"/>
                <w:sz w:val="24"/>
                <w:szCs w:val="24"/>
                <w:highlight w:val="none"/>
                <w:lang w:val="en-US" w:eastAsia="zh-CN"/>
              </w:rPr>
              <w:t>提供投标品牌软著证明，盖原厂公章</w:t>
            </w:r>
            <w:r>
              <w:rPr>
                <w:rFonts w:hint="eastAsia" w:ascii="宋体" w:hAnsi="宋体" w:eastAsia="宋体" w:cs="宋体"/>
                <w:b w:val="0"/>
                <w:bCs w:val="0"/>
                <w:color w:val="auto"/>
                <w:kern w:val="0"/>
                <w:sz w:val="24"/>
                <w:szCs w:val="24"/>
                <w:highlight w:val="none"/>
                <w:lang w:val="en-US" w:eastAsia="zh-CN"/>
              </w:rPr>
              <w:t>。</w:t>
            </w:r>
          </w:p>
        </w:tc>
      </w:tr>
    </w:tbl>
    <w:p w14:paraId="7F1B4992">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特别要求：</w:t>
      </w:r>
    </w:p>
    <w:p w14:paraId="7D09F04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本项目必须按照招标方要求完成</w:t>
      </w:r>
      <w:r>
        <w:rPr>
          <w:rFonts w:hint="eastAsia" w:ascii="宋体" w:hAnsi="宋体" w:eastAsia="宋体" w:cs="宋体"/>
          <w:color w:val="auto"/>
          <w:sz w:val="24"/>
          <w:szCs w:val="24"/>
          <w:highlight w:val="none"/>
          <w:lang w:val="en-US" w:eastAsia="zh-CN"/>
        </w:rPr>
        <w:t>投</w:t>
      </w:r>
      <w:r>
        <w:rPr>
          <w:rFonts w:hint="eastAsia" w:ascii="宋体" w:hAnsi="宋体" w:eastAsia="宋体" w:cs="宋体"/>
          <w:color w:val="auto"/>
          <w:sz w:val="24"/>
          <w:szCs w:val="24"/>
          <w:highlight w:val="none"/>
        </w:rPr>
        <w:t>标产品与招标人现有设备的集成工作，做好新采购的设备与原有业务架构与应用系统的测试工作，做好业务系统不中断的迁移到</w:t>
      </w:r>
      <w:r>
        <w:rPr>
          <w:rFonts w:hint="eastAsia" w:ascii="宋体" w:hAnsi="宋体" w:eastAsia="宋体" w:cs="宋体"/>
          <w:color w:val="auto"/>
          <w:sz w:val="24"/>
          <w:szCs w:val="24"/>
          <w:highlight w:val="none"/>
          <w:lang w:val="en-US" w:eastAsia="zh-CN"/>
        </w:rPr>
        <w:t>新</w:t>
      </w:r>
      <w:r>
        <w:rPr>
          <w:rFonts w:hint="eastAsia" w:ascii="宋体" w:hAnsi="宋体" w:eastAsia="宋体" w:cs="宋体"/>
          <w:color w:val="auto"/>
          <w:sz w:val="24"/>
          <w:szCs w:val="24"/>
          <w:highlight w:val="none"/>
        </w:rPr>
        <w:t>平台，迁移期间不能影响其在线业务的正常运行，在实施迁移前中标单位需要做好重要业务系统的备份工作，造成业务系统宕机或数据缺失将由中标单位承担一切后果。系统迁移完成后需确保相关数据的完整一致性、确保相关系统服务的正常启动与运行、确保业务系统的正常运行、确保操作系统迁移后为激活状态、确保IP地址与MAC地址与原机相同。同时完成本次采购设备与整个业务系统的兼容、策略优化、安全加固、集成安装及机柜内跳线的线路整理工作。</w:t>
      </w:r>
    </w:p>
    <w:p w14:paraId="31930B9E">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三、系统集成要求</w:t>
      </w:r>
    </w:p>
    <w:p w14:paraId="1CCE5003">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bookmarkStart w:id="30" w:name="_Toc326528834"/>
      <w:bookmarkStart w:id="31" w:name="_Toc14335"/>
      <w:bookmarkStart w:id="32" w:name="_Toc325108520"/>
      <w:bookmarkStart w:id="33" w:name="_Toc323300030"/>
      <w:r>
        <w:rPr>
          <w:rFonts w:hint="eastAsia" w:ascii="宋体" w:hAnsi="宋体" w:eastAsia="宋体" w:cs="宋体"/>
          <w:b/>
          <w:bCs/>
          <w:color w:val="auto"/>
          <w:sz w:val="24"/>
          <w:szCs w:val="24"/>
          <w:highlight w:val="none"/>
          <w:lang w:val="en-US" w:eastAsia="zh-CN"/>
        </w:rPr>
        <w:t>1、系统集成基本要求</w:t>
      </w:r>
      <w:bookmarkEnd w:id="30"/>
      <w:bookmarkEnd w:id="31"/>
    </w:p>
    <w:p w14:paraId="3014BA7D">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投标人应对本项目提供完整解决方案，投标人的建议方案应符合本项目的网络结构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需出具完整的网络拓扑图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和设备配置要求，应全面详细了解采购方对全部系统方案的整体要求，保证方案的合理性，并对具体实现方式做出有效建议，同时必须满足有关信息工程的建设条款和规范。</w:t>
      </w:r>
    </w:p>
    <w:p w14:paraId="1C630311">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bookmarkStart w:id="34" w:name="_Toc29608"/>
      <w:bookmarkStart w:id="35" w:name="_Toc326528835"/>
      <w:r>
        <w:rPr>
          <w:rFonts w:hint="eastAsia" w:ascii="宋体" w:hAnsi="宋体" w:eastAsia="宋体" w:cs="宋体"/>
          <w:b/>
          <w:bCs/>
          <w:color w:val="auto"/>
          <w:sz w:val="24"/>
          <w:szCs w:val="24"/>
          <w:highlight w:val="none"/>
          <w:lang w:val="en-US" w:eastAsia="zh-CN"/>
        </w:rPr>
        <w:t>2、系统集成的工作内容</w:t>
      </w:r>
      <w:bookmarkEnd w:id="34"/>
      <w:bookmarkEnd w:id="35"/>
    </w:p>
    <w:p w14:paraId="2CF7875A">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投标人负责协调所有硬件设备以及本项目所涉及的配套</w:t>
      </w:r>
      <w:r>
        <w:rPr>
          <w:rFonts w:hint="eastAsia" w:ascii="宋体" w:hAnsi="宋体" w:eastAsia="宋体" w:cs="宋体"/>
          <w:color w:val="auto"/>
          <w:sz w:val="24"/>
          <w:szCs w:val="24"/>
          <w:highlight w:val="none"/>
          <w:lang w:val="en-US" w:eastAsia="zh-CN"/>
        </w:rPr>
        <w:t>安全服务</w:t>
      </w:r>
      <w:r>
        <w:rPr>
          <w:rFonts w:hint="eastAsia" w:ascii="宋体" w:hAnsi="宋体" w:eastAsia="宋体" w:cs="宋体"/>
          <w:color w:val="auto"/>
          <w:sz w:val="24"/>
          <w:szCs w:val="24"/>
          <w:highlight w:val="none"/>
        </w:rPr>
        <w:t>，以确保达到本项目对硬件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软件、平台及服务的功能</w:t>
      </w:r>
      <w:r>
        <w:rPr>
          <w:rFonts w:hint="eastAsia" w:ascii="宋体" w:hAnsi="宋体" w:eastAsia="宋体" w:cs="宋体"/>
          <w:color w:val="auto"/>
          <w:sz w:val="24"/>
          <w:szCs w:val="24"/>
          <w:highlight w:val="none"/>
        </w:rPr>
        <w:t>要求。</w:t>
      </w:r>
    </w:p>
    <w:p w14:paraId="106460AC">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投标人需要根据诸暨</w:t>
      </w:r>
      <w:r>
        <w:rPr>
          <w:rFonts w:hint="eastAsia" w:ascii="宋体" w:hAnsi="宋体" w:eastAsia="宋体" w:cs="宋体"/>
          <w:color w:val="auto"/>
          <w:sz w:val="24"/>
          <w:szCs w:val="24"/>
          <w:highlight w:val="none"/>
          <w:lang w:val="en-US" w:eastAsia="zh-CN"/>
        </w:rPr>
        <w:t>公安</w:t>
      </w:r>
      <w:r>
        <w:rPr>
          <w:rFonts w:hint="eastAsia" w:ascii="宋体" w:hAnsi="宋体" w:eastAsia="宋体" w:cs="宋体"/>
          <w:color w:val="auto"/>
          <w:sz w:val="24"/>
          <w:szCs w:val="24"/>
          <w:highlight w:val="none"/>
        </w:rPr>
        <w:t>网络的整体规划，将在相应的安全设备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安全平台</w:t>
      </w:r>
      <w:r>
        <w:rPr>
          <w:rFonts w:hint="eastAsia" w:ascii="宋体" w:hAnsi="宋体" w:eastAsia="宋体" w:cs="宋体"/>
          <w:color w:val="auto"/>
          <w:sz w:val="24"/>
          <w:szCs w:val="24"/>
          <w:highlight w:val="none"/>
        </w:rPr>
        <w:t>中配置相关安全策略、访问控制。</w:t>
      </w:r>
    </w:p>
    <w:p w14:paraId="7CA02180">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在不断业务的情况下实时迁移完成相关业务，并由维保人员进行系统基本验证，能顺利进入系统、无报错信息之后进行割接，割接完成之后相关业务维保人员进行业务与数据库验证。</w:t>
      </w:r>
    </w:p>
    <w:p w14:paraId="519046C7">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（4）投标人需要根据诸暨公安网络的整体规划，在相应的防火墙设备中配置相关安全策略、访问控制。</w:t>
      </w:r>
    </w:p>
    <w:p w14:paraId="7D5D8C56">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bookmarkStart w:id="36" w:name="_Toc2238"/>
      <w:bookmarkStart w:id="37" w:name="_Toc326528836"/>
      <w:r>
        <w:rPr>
          <w:rFonts w:hint="eastAsia" w:ascii="宋体" w:hAnsi="宋体" w:eastAsia="宋体" w:cs="宋体"/>
          <w:b/>
          <w:bCs/>
          <w:color w:val="auto"/>
          <w:sz w:val="24"/>
          <w:szCs w:val="24"/>
          <w:highlight w:val="none"/>
          <w:lang w:val="en-US" w:eastAsia="zh-CN"/>
        </w:rPr>
        <w:t>3、系统交付及安装调试时间要求</w:t>
      </w:r>
      <w:bookmarkEnd w:id="32"/>
      <w:bookmarkEnd w:id="33"/>
      <w:bookmarkEnd w:id="36"/>
      <w:bookmarkEnd w:id="37"/>
    </w:p>
    <w:p w14:paraId="7AF2D7B5">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投标人应协调主要部件对应的原厂工程师进行现场安装调试，直至竣工交付，</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0个工作日内完成安装调试。</w:t>
      </w:r>
    </w:p>
    <w:p w14:paraId="7E53D09D">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四、项目建设要求</w:t>
      </w:r>
    </w:p>
    <w:p w14:paraId="1BABD8BB">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1、项目组织及人员配备要求</w:t>
      </w:r>
    </w:p>
    <w:p w14:paraId="60413541">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投标人应充分考虑满足投标项目的建设要求，提出完整的项目管理、系统设计与开发、培训、项目施工、项目验收、售后服务方案。</w:t>
      </w:r>
    </w:p>
    <w:p w14:paraId="799FE3BD">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投标人在投标文件中，应根据对项目的理解作出项目的人员配置管理计划，包括组织结构、项目负责人、组成人员及分工职责；阐述项目建设中业主方和建设方的职责。</w:t>
      </w:r>
    </w:p>
    <w:p w14:paraId="6C7D3EA0">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参与此项目的技术人员具有承担过相同类型项目经验，能够与用户进行良好的沟通，掌握相关领域的相关基础知识，具备相关产品集成、应用和开发的能力。</w:t>
      </w:r>
    </w:p>
    <w:p w14:paraId="6B9A015A">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投标人应在投标书中提供本次项目实施的</w:t>
      </w:r>
      <w:r>
        <w:rPr>
          <w:rFonts w:hint="eastAsia" w:ascii="宋体" w:hAnsi="宋体" w:eastAsia="宋体" w:cs="宋体"/>
          <w:b/>
          <w:bCs/>
          <w:color w:val="auto"/>
          <w:sz w:val="24"/>
          <w:szCs w:val="24"/>
          <w:highlight w:val="none"/>
          <w:u w:val="single"/>
        </w:rPr>
        <w:t>实施人员名单</w:t>
      </w:r>
      <w:r>
        <w:rPr>
          <w:rFonts w:hint="eastAsia" w:ascii="宋体" w:hAnsi="宋体" w:eastAsia="宋体" w:cs="宋体"/>
          <w:color w:val="auto"/>
          <w:sz w:val="24"/>
          <w:szCs w:val="24"/>
          <w:highlight w:val="none"/>
        </w:rPr>
        <w:t>，以及整个项目实施工期的</w:t>
      </w:r>
      <w:r>
        <w:rPr>
          <w:rFonts w:hint="eastAsia" w:ascii="宋体" w:hAnsi="宋体" w:eastAsia="宋体" w:cs="宋体"/>
          <w:b/>
          <w:bCs/>
          <w:color w:val="auto"/>
          <w:sz w:val="24"/>
          <w:szCs w:val="24"/>
          <w:highlight w:val="none"/>
          <w:u w:val="single"/>
        </w:rPr>
        <w:t>具体计划安排表</w:t>
      </w:r>
      <w:r>
        <w:rPr>
          <w:rFonts w:hint="eastAsia" w:ascii="宋体" w:hAnsi="宋体" w:eastAsia="宋体" w:cs="宋体"/>
          <w:color w:val="auto"/>
          <w:sz w:val="24"/>
          <w:szCs w:val="24"/>
          <w:highlight w:val="none"/>
        </w:rPr>
        <w:t>。</w:t>
      </w:r>
    </w:p>
    <w:p w14:paraId="3E637C89">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2、技术资料</w:t>
      </w:r>
    </w:p>
    <w:p w14:paraId="073A1C2C">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（1）项目完结时中标人应提交的成果和整个项目过程电子文档，包括但不限于：系统详细设计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系统概要设计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需求分析报告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系统测试方案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安装维护手册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使用操作手册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培训资料</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color w:val="auto"/>
          <w:sz w:val="24"/>
          <w:szCs w:val="24"/>
          <w:highlight w:val="none"/>
        </w:rPr>
        <w:t>。</w:t>
      </w:r>
    </w:p>
    <w:p w14:paraId="7DC1F870">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（2）没有采购人事先书面同意，中标人不得将由采购人提供的有关合同或任何合同条文、规格、计划、图纸、样品或资料</w:t>
      </w:r>
      <w:r>
        <w:rPr>
          <w:rFonts w:hint="eastAsia" w:ascii="宋体" w:hAnsi="宋体" w:eastAsia="宋体" w:cs="宋体"/>
          <w:color w:val="auto"/>
          <w:sz w:val="24"/>
          <w:szCs w:val="24"/>
          <w:highlight w:val="none"/>
          <w:lang w:eastAsia="zh-CN"/>
        </w:rPr>
        <w:t>提供基于</w:t>
      </w:r>
      <w:r>
        <w:rPr>
          <w:rFonts w:hint="eastAsia" w:ascii="宋体" w:hAnsi="宋体" w:eastAsia="宋体" w:cs="宋体"/>
          <w:color w:val="auto"/>
          <w:sz w:val="24"/>
          <w:szCs w:val="24"/>
          <w:highlight w:val="none"/>
        </w:rPr>
        <w:t>履行本合同无关的任何其他人。即使向履行本合同有关的人员提供，也应注意保密并限于履行合同的必需范围。</w:t>
      </w:r>
    </w:p>
    <w:p w14:paraId="0850A389">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3、知识产权</w:t>
      </w:r>
    </w:p>
    <w:p w14:paraId="00D77AEB">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（1）中标人应保证所提供的产品或其任何一部分均不会侵犯任何第三方的知识产权。</w:t>
      </w:r>
    </w:p>
    <w:p w14:paraId="582F17D5">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（2）中标人应保证采购人在软件使用过程中免受第三方提出的侵权起诉。如发生此类纠纷，由中标人承担一切责任并负责解决。</w:t>
      </w:r>
    </w:p>
    <w:p w14:paraId="635D7BB5">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4、产权担保</w:t>
      </w:r>
    </w:p>
    <w:p w14:paraId="5DF3B929">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w:t>
      </w:r>
      <w:r>
        <w:rPr>
          <w:rFonts w:hint="eastAsia" w:ascii="宋体" w:hAnsi="宋体" w:eastAsia="宋体" w:cs="宋体"/>
          <w:b w:val="0"/>
          <w:bCs w:val="0"/>
          <w:color w:val="auto"/>
          <w:sz w:val="24"/>
          <w:szCs w:val="24"/>
          <w:highlight w:val="none"/>
          <w:lang w:val="en-US" w:eastAsia="zh-CN"/>
        </w:rPr>
        <w:t>在</w:t>
      </w:r>
      <w:r>
        <w:rPr>
          <w:rFonts w:hint="eastAsia" w:ascii="宋体" w:hAnsi="宋体" w:eastAsia="宋体" w:cs="宋体"/>
          <w:color w:val="auto"/>
          <w:sz w:val="24"/>
          <w:szCs w:val="24"/>
          <w:highlight w:val="none"/>
        </w:rPr>
        <w:t>项目中涉及的建设内容的所有权完全属于中标人，</w:t>
      </w:r>
      <w:r>
        <w:rPr>
          <w:rFonts w:hint="eastAsia" w:ascii="宋体" w:hAnsi="宋体" w:eastAsia="宋体" w:cs="宋体"/>
          <w:b w:val="0"/>
          <w:bCs w:val="0"/>
          <w:color w:val="auto"/>
          <w:sz w:val="24"/>
          <w:szCs w:val="24"/>
          <w:highlight w:val="none"/>
          <w:lang w:val="en-US" w:eastAsia="zh-CN"/>
        </w:rPr>
        <w:t>保证</w:t>
      </w:r>
      <w:r>
        <w:rPr>
          <w:rFonts w:hint="eastAsia" w:ascii="宋体" w:hAnsi="宋体" w:eastAsia="宋体" w:cs="宋体"/>
          <w:color w:val="auto"/>
          <w:sz w:val="24"/>
          <w:szCs w:val="24"/>
          <w:highlight w:val="none"/>
        </w:rPr>
        <w:t>在交付采购人后无任何抵押、查封、债务转移等产权瑕疵</w:t>
      </w:r>
      <w:r>
        <w:rPr>
          <w:rFonts w:hint="eastAsia" w:ascii="宋体" w:hAnsi="宋体" w:eastAsia="宋体" w:cs="宋体"/>
          <w:b w:val="0"/>
          <w:bCs w:val="0"/>
          <w:color w:val="auto"/>
          <w:sz w:val="24"/>
          <w:szCs w:val="24"/>
          <w:highlight w:val="none"/>
          <w:lang w:val="en-US" w:eastAsia="zh-CN"/>
        </w:rPr>
        <w:t>，如发生此类纠纷，由中标人承担一切责任并负责解决</w:t>
      </w:r>
      <w:r>
        <w:rPr>
          <w:rFonts w:hint="eastAsia" w:ascii="宋体" w:hAnsi="宋体" w:eastAsia="宋体" w:cs="宋体"/>
          <w:color w:val="auto"/>
          <w:sz w:val="24"/>
          <w:szCs w:val="24"/>
          <w:highlight w:val="none"/>
        </w:rPr>
        <w:t>。</w:t>
      </w:r>
    </w:p>
    <w:p w14:paraId="51E4B05C">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5、转包或分包</w:t>
      </w:r>
    </w:p>
    <w:p w14:paraId="55E624B4">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涉及</w:t>
      </w:r>
      <w:r>
        <w:rPr>
          <w:rFonts w:hint="eastAsia" w:ascii="宋体" w:hAnsi="宋体" w:eastAsia="宋体" w:cs="宋体"/>
          <w:color w:val="auto"/>
          <w:sz w:val="24"/>
          <w:szCs w:val="24"/>
          <w:highlight w:val="none"/>
        </w:rPr>
        <w:t>本</w:t>
      </w:r>
      <w:r>
        <w:rPr>
          <w:rFonts w:hint="eastAsia" w:ascii="宋体" w:hAnsi="宋体" w:eastAsia="宋体" w:cs="宋体"/>
          <w:b w:val="0"/>
          <w:bCs w:val="0"/>
          <w:color w:val="auto"/>
          <w:sz w:val="24"/>
          <w:szCs w:val="24"/>
          <w:highlight w:val="none"/>
          <w:lang w:val="en-US" w:eastAsia="zh-CN"/>
        </w:rPr>
        <w:t>项目范</w:t>
      </w:r>
      <w:r>
        <w:rPr>
          <w:rFonts w:hint="eastAsia" w:ascii="宋体" w:hAnsi="宋体" w:eastAsia="宋体" w:cs="宋体"/>
          <w:color w:val="auto"/>
          <w:sz w:val="24"/>
          <w:szCs w:val="24"/>
          <w:highlight w:val="none"/>
        </w:rPr>
        <w:t>围的软件，应由中标人直接</w:t>
      </w:r>
      <w:r>
        <w:rPr>
          <w:rFonts w:hint="eastAsia" w:ascii="宋体" w:hAnsi="宋体" w:eastAsia="宋体" w:cs="宋体"/>
          <w:b w:val="0"/>
          <w:bCs w:val="0"/>
          <w:color w:val="auto"/>
          <w:sz w:val="24"/>
          <w:szCs w:val="24"/>
          <w:highlight w:val="none"/>
          <w:lang w:val="en-US" w:eastAsia="zh-CN"/>
        </w:rPr>
        <w:t>免费</w:t>
      </w:r>
      <w:r>
        <w:rPr>
          <w:rFonts w:hint="eastAsia" w:ascii="宋体" w:hAnsi="宋体" w:eastAsia="宋体" w:cs="宋体"/>
          <w:color w:val="auto"/>
          <w:sz w:val="24"/>
          <w:szCs w:val="24"/>
          <w:highlight w:val="none"/>
        </w:rPr>
        <w:t>供应，不得转让他人供应，否则，采购人有权解除合同，没收履约保证金并追究中标人的违约责任。</w:t>
      </w:r>
    </w:p>
    <w:p w14:paraId="1D96CD5A">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6、保密义务</w:t>
      </w:r>
    </w:p>
    <w:p w14:paraId="4B6B3483">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（1）双方应严格保守在合作过程中所了解的对方的商业及技术机密，否则应对由此造成的损失承担赔偿。</w:t>
      </w:r>
    </w:p>
    <w:p w14:paraId="7CBE7173">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任何一方不得出于除履行本合同以外的任何目的披露、传播、复制或使用来自另一方的所有或者部分保密信息；不得在未经另一方书面明确同意的前提下向任何第三方披露本项目相关保密信息；本合同履行完毕后，任一方应当将所有涉及保密信息的载体交还另一方或自行做好管理。</w:t>
      </w:r>
    </w:p>
    <w:p w14:paraId="6BFBF849">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（3）中标人应严格遵循采购人各项安全保密制度，所有信息数据迁移、处理等过程中严禁私自复制、传输，完成建设任务后，中标人使用的用户信息等敏感数据必须物理清除。</w:t>
      </w:r>
    </w:p>
    <w:p w14:paraId="4F7F35D6">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（4）中标人有义务保障平台的稳定性、账户的安全性，因平台崩溃、账户盗号或被攻击发布非法信息等引发的问题，所有经济责任及法律责任均由中标人承担。</w:t>
      </w:r>
    </w:p>
    <w:p w14:paraId="6653530B">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应保障设备运作过程中采集到的所有数据及信息的安全性；保证数据及信息不外泄，不另作他用。如果因数据及信息外泄或另作他用而引发的第三方投诉、追诉、要求赔偿等纠纷而造成采购人损失的，所有经济损失全部由中标人负责承担。</w:t>
      </w:r>
    </w:p>
    <w:p w14:paraId="4E09FFFC">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（6）不论本项目是否变更、解除、终止，本条款</w:t>
      </w:r>
      <w:r>
        <w:rPr>
          <w:rFonts w:hint="eastAsia" w:ascii="宋体" w:hAnsi="宋体" w:eastAsia="宋体" w:cs="宋体"/>
          <w:b w:val="0"/>
          <w:bCs w:val="0"/>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均有效。</w:t>
      </w:r>
    </w:p>
    <w:p w14:paraId="56E8BA2E">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bookmarkStart w:id="38" w:name="_Toc310867543"/>
      <w:bookmarkStart w:id="39" w:name="_Toc362189150"/>
      <w:bookmarkStart w:id="40" w:name="_Toc323300031"/>
      <w:bookmarkStart w:id="41" w:name="_Toc31999"/>
      <w:bookmarkStart w:id="42" w:name="_Toc326528837"/>
      <w:bookmarkStart w:id="43" w:name="_Toc144631248"/>
      <w:bookmarkStart w:id="44" w:name="_Toc325108521"/>
      <w:bookmarkStart w:id="45" w:name="_Ref218928500"/>
      <w:r>
        <w:rPr>
          <w:rFonts w:hint="eastAsia" w:ascii="宋体" w:hAnsi="宋体" w:eastAsia="宋体" w:cs="宋体"/>
          <w:b/>
          <w:bCs/>
          <w:color w:val="auto"/>
          <w:sz w:val="24"/>
          <w:szCs w:val="24"/>
          <w:highlight w:val="none"/>
          <w:lang w:val="en-US" w:eastAsia="zh-CN"/>
        </w:rPr>
        <w:t>五、供货范围及要求</w:t>
      </w:r>
    </w:p>
    <w:p w14:paraId="0D489CDC">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成交供应商须保证提供货物为全新的、先进的、成熟的、完整的和安全可靠的，且货物的技术经济性能符合本项目采购要求。</w:t>
      </w:r>
    </w:p>
    <w:p w14:paraId="5A709CAC">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成交供应商应提供详细供货清单，清单中依次说明型号、数量、产地、生产厂家等内容。</w:t>
      </w:r>
    </w:p>
    <w:p w14:paraId="5A2B44BA">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除有特别注明外，所列设备及数量为建设本项目必需但不一定是全部。对于属于整套系统运行和施工所必需的部件，即使在本项目采购中未列出或数目不足，成交供应商应在投标时应充分考虑并须在执行合同时无偿补足。</w:t>
      </w:r>
    </w:p>
    <w:p w14:paraId="36BB3119">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成交供应商应提供所有安装和检修所需专用工具和消耗材料等，并提供详细供货清单。</w:t>
      </w:r>
    </w:p>
    <w:p w14:paraId="68F01FB8">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所有货物应根据采购人要求、指定位置进行规范安装，期间费用由中标人承担。</w:t>
      </w:r>
    </w:p>
    <w:p w14:paraId="748A0711">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六、质量标准和技术服务条件</w:t>
      </w:r>
    </w:p>
    <w:p w14:paraId="78869E35">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质量标准要求</w:t>
      </w:r>
    </w:p>
    <w:p w14:paraId="08912D7B">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本项目的所有软、硬件(如电源适配器、线缆、软件、硬件模块等，包括未列出而系统实施又必需的软件、硬件)需配齐以构成一套完整实用系统，如有任何遗漏，由投标人免费补齐。</w:t>
      </w:r>
    </w:p>
    <w:p w14:paraId="3C5E169B">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投标方案中的硬件设备如需使用特别接头、插座等，由投标人免费提供。</w:t>
      </w:r>
    </w:p>
    <w:p w14:paraId="67839740">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所投设备需为原厂设备，符合国家技术规范和质量标准，通过国家有关部门检测合格的原产地设备，能够与采购人现有设备正常连接；设备安装调试完毕后，能在其功能范围内保障用户的系统安全、稳定运行。</w:t>
      </w:r>
    </w:p>
    <w:p w14:paraId="3160A423">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所投设备及主要部件均须非停产设备，并提供备件、附件和耗材的供应。</w:t>
      </w:r>
    </w:p>
    <w:p w14:paraId="300A0C19">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次采购的供货除包括上述设备外，还应包括随机的辅助设备、专用电线电缆、随机软件、技术资料（包括操作培训手册、产品使用指南、维修指南和含维修网点在内的服务手册等）、设备运行所必需的随机消耗材料，相应的技术服务与质量保证。</w:t>
      </w:r>
    </w:p>
    <w:p w14:paraId="0112B34B">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验收条件：</w:t>
      </w:r>
    </w:p>
    <w:p w14:paraId="40BB29DE">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开箱验收：清点设备装箱内容符合装箱单所列并符合招标文件要求和承诺书承诺；</w:t>
      </w:r>
    </w:p>
    <w:p w14:paraId="4894D6FD">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开机验收：设备应通电开机后进行所规定时间的试验运行后方可验收。</w:t>
      </w:r>
    </w:p>
    <w:p w14:paraId="23F159F0">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对所有的设备等只能作为本项目使用，不得转借其他项目。</w:t>
      </w:r>
    </w:p>
    <w:p w14:paraId="0A024FCD">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本系统产生的任何照片、视频、文字等信息数据产权归采购人所有，不得擅自截留，用作商业开发利用。</w:t>
      </w:r>
    </w:p>
    <w:p w14:paraId="5A54FEDE">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投标人供货产品必须是原厂商、正宗品牌、正规渠道的产品，不得用假冒及伪劣产品替代；如出现上述质量问题，采购人有权退货；如造成损失的，采购人可要求中标人给予赔偿。</w:t>
      </w:r>
    </w:p>
    <w:p w14:paraId="1A0D27E1">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中标人须对采购人的技术人员培训。投标人须在投标文件中提供详细的培训计划，包括培训内容、培训时间、培训费用等。技术培训费用应包含在投标总价中。</w:t>
      </w:r>
    </w:p>
    <w:p w14:paraId="273526D9">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技术服务要求</w:t>
      </w:r>
    </w:p>
    <w:p w14:paraId="5B0F2AC7">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确保其技术建议以及所提供的产品的完整性、实用性，保证全部系统及时投入正常运行。否则若出现因投标人提供的设备不满足要求、不合理，或者其所提供的技术支持和服务不全面，而导致系统无法实现或不能完全实现的状况，投标人负全部责任。</w:t>
      </w:r>
    </w:p>
    <w:p w14:paraId="2A064544">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如果产品在服务期内发生设备故障，投标人应及时予以响应（免费上门服务），否则采购人将自行采取必要的措施，由此产</w:t>
      </w:r>
      <w:r>
        <w:rPr>
          <w:rFonts w:hint="eastAsia" w:ascii="宋体" w:hAnsi="宋体" w:eastAsia="宋体" w:cs="宋体"/>
          <w:color w:val="auto"/>
          <w:sz w:val="24"/>
          <w:szCs w:val="24"/>
          <w:highlight w:val="none"/>
          <w:lang w:eastAsia="zh-CN"/>
        </w:rPr>
        <w:t>生的</w:t>
      </w:r>
      <w:r>
        <w:rPr>
          <w:rFonts w:hint="eastAsia" w:ascii="宋体" w:hAnsi="宋体" w:eastAsia="宋体" w:cs="宋体"/>
          <w:color w:val="auto"/>
          <w:sz w:val="24"/>
          <w:szCs w:val="24"/>
          <w:highlight w:val="none"/>
        </w:rPr>
        <w:t>风险和费用由投标人承担。</w:t>
      </w:r>
    </w:p>
    <w:p w14:paraId="24D236B9">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如招标文件中遗漏了必须具备的设备、配件或服务，投标人有义务保证采购人系统的完整性，如项目实施过程中因缺少设备、配件或服务导致采购人系统无法正常运行，投标人须承诺免费提供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提供承诺函，格式自拟</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p>
    <w:bookmarkEnd w:id="38"/>
    <w:bookmarkEnd w:id="39"/>
    <w:bookmarkEnd w:id="40"/>
    <w:bookmarkEnd w:id="41"/>
    <w:bookmarkEnd w:id="42"/>
    <w:bookmarkEnd w:id="43"/>
    <w:bookmarkEnd w:id="44"/>
    <w:bookmarkEnd w:id="45"/>
    <w:p w14:paraId="1BBED44D">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七、售后服务</w:t>
      </w:r>
    </w:p>
    <w:p w14:paraId="2F7BA7EA">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本项目质保期为验收合格之日起</w:t>
      </w:r>
      <w:r>
        <w:rPr>
          <w:rFonts w:hint="eastAsia" w:ascii="宋体" w:hAnsi="宋体" w:eastAsia="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lang w:val="en-US" w:eastAsia="zh-CN"/>
        </w:rPr>
        <w:t>年。</w:t>
      </w:r>
    </w:p>
    <w:p w14:paraId="1A8D492B">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保期内出现问题，15分钟内响应，1小时内到达现场，2小时内解决问题，如现场无法解决，需提供相同档次的备机供使用。要求供应商在供应商方案中有完整的服务方案，服务方式应包括远程电话支持、远程网络支持、现场服务支持等方式，服务响应时间参照前面所述标准。</w:t>
      </w:r>
    </w:p>
    <w:p w14:paraId="5C0F8CE5">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投标人应在投标文件中详细对质量保证及售后服务方案做出承诺，并加盖投标人有效公章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提供承诺函，格式自拟</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p>
    <w:p w14:paraId="602E8DB1">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做出无推诿承诺。即投标人应提供特殊措施，无论由于哪一方产生的问题而使系统发生不正常情况时，并在得到采购人通知后，须立即派遣工程师到场，全力协助系统集成商和其他供应商，使系统尽快恢复正常。</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提供承诺函，格式自拟</w:t>
      </w:r>
      <w:r>
        <w:rPr>
          <w:rFonts w:hint="eastAsia" w:ascii="宋体" w:hAnsi="宋体" w:eastAsia="宋体" w:cs="宋体"/>
          <w:b/>
          <w:bCs/>
          <w:color w:val="auto"/>
          <w:sz w:val="24"/>
          <w:szCs w:val="24"/>
          <w:highlight w:val="none"/>
          <w:lang w:eastAsia="zh-CN"/>
        </w:rPr>
        <w:t>）</w:t>
      </w:r>
    </w:p>
    <w:p w14:paraId="070A16E9">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确保项目实施的高可用性。按照采购人软硬件环境，在实施过程中，合理调度，确保原有系统和数据不受影响。</w:t>
      </w:r>
    </w:p>
    <w:p w14:paraId="2F7A4608">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投标人负责设备的安装调试，其中包括离线备份设备的安装及连接调试。还包括与已有设备的对接，并提供质保期内设备搬迁集成服务。</w:t>
      </w:r>
    </w:p>
    <w:p w14:paraId="40A56928">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投标人应提供详细的项目实施方案，说明项目的实施计划、实施过程、质量控制措施、成功保障措施、项目完成后交付的成果文档以及其它认为需要说明的内容。</w:t>
      </w:r>
    </w:p>
    <w:p w14:paraId="751BE8EA">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实施服务要求</w:t>
      </w:r>
    </w:p>
    <w:p w14:paraId="07BD3862">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本项目实施期间，其技术团队必须全员全程常驻采购方指定地点，如发现投标人技术团队没有按照要求实施服务，采购人将废除授标及终止合同，履约保证金不予退还，并保留进一步追究相关法律责任权利。</w:t>
      </w:r>
    </w:p>
    <w:p w14:paraId="13CFA2A8">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八、其他要求</w:t>
      </w:r>
    </w:p>
    <w:p w14:paraId="1B9A0584">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供货及安装调试时间要求</w:t>
      </w:r>
    </w:p>
    <w:p w14:paraId="01F800DE">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本项目工期为</w:t>
      </w:r>
      <w:r>
        <w:rPr>
          <w:rFonts w:hint="eastAsia" w:ascii="宋体" w:hAnsi="宋体" w:eastAsia="宋体" w:cs="宋体"/>
          <w:color w:val="auto"/>
          <w:sz w:val="24"/>
          <w:szCs w:val="24"/>
          <w:highlight w:val="none"/>
          <w:u w:val="single"/>
          <w:lang w:val="en-US" w:eastAsia="zh-CN"/>
        </w:rPr>
        <w:t xml:space="preserve"> 25 </w:t>
      </w:r>
      <w:r>
        <w:rPr>
          <w:rFonts w:hint="eastAsia" w:ascii="宋体" w:hAnsi="宋体" w:eastAsia="宋体" w:cs="宋体"/>
          <w:color w:val="auto"/>
          <w:sz w:val="24"/>
          <w:szCs w:val="24"/>
          <w:highlight w:val="none"/>
          <w:lang w:val="en-US" w:eastAsia="zh-CN"/>
        </w:rPr>
        <w:t>天，本</w:t>
      </w:r>
      <w:r>
        <w:rPr>
          <w:rFonts w:hint="eastAsia" w:ascii="宋体" w:hAnsi="宋体" w:eastAsia="宋体" w:cs="宋体"/>
          <w:color w:val="auto"/>
          <w:sz w:val="24"/>
          <w:szCs w:val="24"/>
          <w:highlight w:val="none"/>
        </w:rPr>
        <w:t>项目需按招标方要求完成安装调试，具体</w:t>
      </w:r>
      <w:r>
        <w:rPr>
          <w:rFonts w:hint="eastAsia" w:ascii="宋体" w:hAnsi="宋体" w:eastAsia="宋体" w:cs="宋体"/>
          <w:color w:val="auto"/>
          <w:sz w:val="24"/>
          <w:szCs w:val="24"/>
          <w:highlight w:val="none"/>
          <w:lang w:val="en-US" w:eastAsia="zh-CN"/>
        </w:rPr>
        <w:t>开工时间</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公函为准（</w:t>
      </w: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招标方原因</w:t>
      </w:r>
      <w:r>
        <w:rPr>
          <w:rFonts w:hint="eastAsia" w:ascii="宋体" w:hAnsi="宋体" w:eastAsia="宋体" w:cs="宋体"/>
          <w:color w:val="auto"/>
          <w:sz w:val="24"/>
          <w:szCs w:val="24"/>
          <w:highlight w:val="none"/>
          <w:lang w:val="en-US" w:eastAsia="zh-CN"/>
        </w:rPr>
        <w:t>不得无故延期，否则视为中标人违约</w:t>
      </w:r>
      <w:r>
        <w:rPr>
          <w:rFonts w:hint="eastAsia" w:ascii="宋体" w:hAnsi="宋体" w:eastAsia="宋体" w:cs="宋体"/>
          <w:color w:val="auto"/>
          <w:sz w:val="24"/>
          <w:szCs w:val="24"/>
          <w:highlight w:val="none"/>
        </w:rPr>
        <w:t>）。</w:t>
      </w:r>
    </w:p>
    <w:p w14:paraId="77ACBA7E">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验收方式</w:t>
      </w:r>
    </w:p>
    <w:p w14:paraId="2BEB5F4E">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设备安装、调测完成之后开始</w:t>
      </w:r>
      <w:r>
        <w:rPr>
          <w:rFonts w:hint="eastAsia" w:ascii="宋体" w:hAnsi="宋体" w:eastAsia="宋体" w:cs="宋体"/>
          <w:color w:val="auto"/>
          <w:sz w:val="24"/>
          <w:szCs w:val="24"/>
          <w:highlight w:val="none"/>
          <w:lang w:eastAsia="zh-CN"/>
        </w:rPr>
        <w:t>做</w:t>
      </w:r>
      <w:r>
        <w:rPr>
          <w:rFonts w:hint="eastAsia" w:ascii="宋体" w:hAnsi="宋体" w:eastAsia="宋体" w:cs="宋体"/>
          <w:color w:val="auto"/>
          <w:sz w:val="24"/>
          <w:szCs w:val="24"/>
          <w:highlight w:val="none"/>
        </w:rPr>
        <w:t>验收准备工作，双方须按采购文件以及</w:t>
      </w:r>
      <w:r>
        <w:rPr>
          <w:rFonts w:hint="eastAsia" w:ascii="宋体" w:hAnsi="宋体" w:eastAsia="宋体" w:cs="宋体"/>
          <w:color w:val="auto"/>
          <w:sz w:val="24"/>
          <w:szCs w:val="24"/>
          <w:highlight w:val="none"/>
          <w:lang w:val="en-US" w:eastAsia="zh-CN"/>
        </w:rPr>
        <w:t>招</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要求对设备逐个进行全面的技术指标和功能测试。所有系统测试完毕正常运行后可进行最终验收。</w:t>
      </w:r>
    </w:p>
    <w:p w14:paraId="18BB4F4E">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投标报价</w:t>
      </w:r>
    </w:p>
    <w:p w14:paraId="61BD9C35">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投标人以人民币报价且投标报价含设备费、运至买方指定地点的运输费、保险费、伴随服务费、调试费用、软件、上线、软件升级、培训、售后服务等一切费用，报价方式为交钥匙价格。</w:t>
      </w:r>
    </w:p>
    <w:p w14:paraId="3FBDE574">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val="en-US" w:eastAsia="zh-CN"/>
        </w:rPr>
        <w:t>他</w:t>
      </w:r>
    </w:p>
    <w:p w14:paraId="26EC012D">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本次采购不接受低于成本的不合理报价。投标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应在投标文件（商务标）中应作出报价合理性分析。报价明显低于市场价的，评标委员会有权要求其对报价作出合理性解释。无合理解释的将被认定为恶意报价，投标无效。</w:t>
      </w:r>
    </w:p>
    <w:p w14:paraId="1B58717A">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九、履约保证金及付款方式</w:t>
      </w:r>
    </w:p>
    <w:p w14:paraId="2AE5295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履约保证金</w:t>
      </w:r>
    </w:p>
    <w:p w14:paraId="749FCDB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签订合同前，中标人需向采购人缴纳合同总金额1%的履约保证金或保函，项目验收合格无任何问题后退回，不计息。</w:t>
      </w:r>
    </w:p>
    <w:p w14:paraId="7CCDC82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付款方式</w:t>
      </w:r>
    </w:p>
    <w:p w14:paraId="4F84BDFD">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所有设备到货、安装、调试完成并通过验收后支付合同总金额的9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%，剩余</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质保期结束</w:t>
      </w:r>
      <w:r>
        <w:rPr>
          <w:rFonts w:hint="eastAsia" w:ascii="宋体" w:hAnsi="宋体" w:eastAsia="宋体" w:cs="宋体"/>
          <w:color w:val="auto"/>
          <w:sz w:val="24"/>
          <w:szCs w:val="24"/>
          <w:highlight w:val="none"/>
        </w:rPr>
        <w:t>后一个月内支付（</w:t>
      </w:r>
      <w:r>
        <w:rPr>
          <w:rFonts w:hint="eastAsia" w:ascii="宋体" w:hAnsi="宋体" w:eastAsia="宋体" w:cs="宋体"/>
          <w:color w:val="auto"/>
          <w:sz w:val="24"/>
          <w:szCs w:val="24"/>
          <w:highlight w:val="none"/>
          <w:lang w:val="en-US" w:eastAsia="zh-CN"/>
        </w:rPr>
        <w:t>不计息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每次结算时，中标人须向采购人提供相应金额的发票。</w:t>
      </w:r>
    </w:p>
    <w:p w14:paraId="075F1279">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十、最高限价</w:t>
      </w:r>
    </w:p>
    <w:p w14:paraId="4744FDC7">
      <w:pPr>
        <w:keepNext w:val="0"/>
        <w:keepLines w:val="0"/>
        <w:pageBreakBefore w:val="0"/>
        <w:widowControl/>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本次采购最高限价为人民币</w:t>
      </w:r>
      <w:r>
        <w:rPr>
          <w:rFonts w:hint="eastAsia" w:ascii="宋体" w:hAnsi="宋体" w:eastAsia="宋体" w:cs="宋体"/>
          <w:color w:val="auto"/>
          <w:sz w:val="24"/>
          <w:szCs w:val="24"/>
          <w:highlight w:val="none"/>
          <w:lang w:eastAsia="zh-CN"/>
        </w:rPr>
        <w:t>柒拾捌万陆仟元整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¥786000.00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投标人须在投标文件中提供明细报价，</w:t>
      </w:r>
      <w:r>
        <w:rPr>
          <w:rFonts w:hint="eastAsia" w:ascii="宋体" w:hAnsi="宋体" w:eastAsia="宋体" w:cs="宋体"/>
          <w:color w:val="auto"/>
          <w:sz w:val="24"/>
          <w:szCs w:val="24"/>
          <w:highlight w:val="none"/>
        </w:rPr>
        <w:t>任何超过最高限价的报价将被认定为无效报价。任何超过最高限价的投标报价将被认定为无效报价。</w:t>
      </w:r>
      <w:r>
        <w:rPr>
          <w:rFonts w:hint="eastAsia" w:ascii="宋体" w:hAnsi="宋体" w:eastAsia="宋体" w:cs="宋体"/>
          <w:color w:val="auto"/>
          <w:sz w:val="24"/>
          <w:szCs w:val="24"/>
          <w:highlight w:val="none"/>
          <w:lang w:val="zh-CN" w:eastAsia="zh-CN"/>
        </w:rPr>
        <w:t>（投标报价包含材料、货物运输、配送、验收、送检费、安装、调试、培训、售后服务等</w:t>
      </w:r>
      <w:r>
        <w:rPr>
          <w:rFonts w:hint="eastAsia" w:ascii="宋体" w:hAnsi="宋体" w:eastAsia="宋体" w:cs="宋体"/>
          <w:color w:val="auto"/>
          <w:sz w:val="24"/>
          <w:szCs w:val="24"/>
          <w:highlight w:val="none"/>
          <w:lang w:val="en-US" w:eastAsia="zh-CN"/>
        </w:rPr>
        <w:t>本项目实施所需</w:t>
      </w:r>
      <w:r>
        <w:rPr>
          <w:rFonts w:hint="eastAsia" w:ascii="宋体" w:hAnsi="宋体" w:eastAsia="宋体" w:cs="宋体"/>
          <w:color w:val="auto"/>
          <w:sz w:val="24"/>
          <w:szCs w:val="24"/>
          <w:highlight w:val="none"/>
          <w:lang w:val="zh-CN" w:eastAsia="zh-CN"/>
        </w:rPr>
        <w:t>一切费用）。</w:t>
      </w:r>
    </w:p>
    <w:p w14:paraId="42954806">
      <w:pPr>
        <w:rPr>
          <w:rFonts w:hint="eastAsia" w:ascii="宋体" w:hAnsi="宋体" w:eastAsia="宋体" w:cs="宋体"/>
          <w:sz w:val="24"/>
          <w:szCs w:val="24"/>
        </w:rPr>
      </w:pPr>
      <w:r>
        <w:rPr>
          <w:rFonts w:hint="eastAsia" w:ascii="宋体" w:hAnsi="宋体" w:eastAsia="宋体" w:cs="宋体"/>
          <w:sz w:val="24"/>
          <w:szCs w:val="24"/>
        </w:rPr>
        <w:br w:type="page"/>
      </w:r>
    </w:p>
    <w:p w14:paraId="60BA3D83">
      <w:pPr>
        <w:numPr>
          <w:ilvl w:val="0"/>
          <w:numId w:val="0"/>
        </w:numPr>
        <w:spacing w:line="240" w:lineRule="auto"/>
        <w:jc w:val="center"/>
        <w:rPr>
          <w:rFonts w:hint="eastAsia" w:ascii="宋体" w:hAnsi="宋体" w:eastAsia="宋体" w:cs="宋体"/>
          <w:b/>
          <w:bCs/>
          <w:color w:val="auto"/>
          <w:sz w:val="36"/>
          <w:szCs w:val="28"/>
          <w:highlight w:val="none"/>
          <w:lang w:val="en-US" w:eastAsia="zh-CN"/>
        </w:rPr>
      </w:pPr>
      <w:r>
        <w:rPr>
          <w:rFonts w:hint="eastAsia" w:ascii="宋体" w:hAnsi="宋体" w:eastAsia="宋体" w:cs="宋体"/>
          <w:b/>
          <w:bCs/>
          <w:color w:val="auto"/>
          <w:sz w:val="36"/>
          <w:szCs w:val="28"/>
          <w:highlight w:val="none"/>
          <w:lang w:val="en-US" w:eastAsia="zh-CN"/>
        </w:rPr>
        <w:t>第五章  采购合同（参考格式）</w:t>
      </w:r>
    </w:p>
    <w:p w14:paraId="4494A9AB">
      <w:pPr>
        <w:bidi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此为参考</w:t>
      </w:r>
      <w:r>
        <w:rPr>
          <w:rFonts w:hint="eastAsia" w:ascii="宋体" w:hAnsi="宋体" w:eastAsia="宋体" w:cs="宋体"/>
          <w:color w:val="auto"/>
          <w:sz w:val="24"/>
          <w:szCs w:val="24"/>
          <w:highlight w:val="none"/>
          <w:lang w:eastAsia="zh-CN"/>
        </w:rPr>
        <w:t>范本，最终以双方认可版本为准）</w:t>
      </w:r>
    </w:p>
    <w:p w14:paraId="23E8726B">
      <w:pPr>
        <w:keepNext w:val="0"/>
        <w:keepLines w:val="0"/>
        <w:pageBreakBefore w:val="0"/>
        <w:kinsoku/>
        <w:wordWrap/>
        <w:topLinePunct w:val="0"/>
        <w:bidi w:val="0"/>
        <w:spacing w:line="4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lang w:val="en-US" w:eastAsia="zh-CN"/>
        </w:rPr>
        <w:t>采购单位缩写-供货单位缩写-中标/成交日期</w:t>
      </w:r>
      <w:r>
        <w:rPr>
          <w:rFonts w:hint="eastAsia" w:ascii="宋体" w:hAnsi="宋体" w:eastAsia="宋体" w:cs="宋体"/>
          <w:color w:val="auto"/>
          <w:sz w:val="24"/>
          <w:szCs w:val="24"/>
          <w:highlight w:val="none"/>
          <w:lang w:eastAsia="zh-CN"/>
        </w:rPr>
        <w:t>）</w:t>
      </w:r>
    </w:p>
    <w:p w14:paraId="776B396A">
      <w:pPr>
        <w:keepNext w:val="0"/>
        <w:keepLines w:val="0"/>
        <w:pageBreakBefore w:val="0"/>
        <w:widowControl/>
        <w:kinsoku/>
        <w:wordWrap/>
        <w:topLinePunct w:val="0"/>
        <w:bidi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甲方（采购单位）：</w:t>
      </w:r>
      <w:r>
        <w:rPr>
          <w:rFonts w:hint="eastAsia" w:ascii="宋体" w:hAnsi="宋体" w:eastAsia="宋体" w:cs="宋体"/>
          <w:color w:val="auto"/>
          <w:sz w:val="24"/>
          <w:szCs w:val="24"/>
          <w:u w:val="single"/>
          <w:shd w:val="clear" w:color="auto" w:fill="FFFFFF"/>
          <w:lang w:val="en-US" w:eastAsia="zh-CN"/>
        </w:rPr>
        <w:t xml:space="preserve">     XXXXXX                </w:t>
      </w: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6CDA4C3">
      <w:pPr>
        <w:keepNext w:val="0"/>
        <w:keepLines w:val="0"/>
        <w:pageBreakBefore w:val="0"/>
        <w:widowControl/>
        <w:kinsoku/>
        <w:wordWrap/>
        <w:topLinePunct w:val="0"/>
        <w:bidi w:val="0"/>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乙方（供货单位）</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u w:val="single"/>
          <w:shd w:val="clear" w:color="auto" w:fill="FFFFFF"/>
          <w:lang w:val="en-US" w:eastAsia="zh-CN"/>
        </w:rPr>
        <w:t xml:space="preserve">      XXXXXX                </w:t>
      </w: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浙江诸暨  </w:t>
      </w:r>
    </w:p>
    <w:p w14:paraId="75E1FF45">
      <w:pPr>
        <w:keepNext w:val="0"/>
        <w:keepLines w:val="0"/>
        <w:pageBreakBefore w:val="0"/>
        <w:widowControl/>
        <w:kinsoku/>
        <w:wordWrap/>
        <w:overflowPunct/>
        <w:topLinePunct w:val="0"/>
        <w:autoSpaceDE w:val="0"/>
        <w:autoSpaceDN w:val="0"/>
        <w:bidi w:val="0"/>
        <w:adjustRightInd w:val="0"/>
        <w:snapToGrid/>
        <w:spacing w:before="157" w:beforeLines="5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根据《中华人民共和国民法典》等有关</w:t>
      </w:r>
      <w:r>
        <w:rPr>
          <w:rFonts w:hint="eastAsia" w:ascii="宋体" w:hAnsi="宋体" w:eastAsia="宋体" w:cs="宋体"/>
          <w:color w:val="auto"/>
          <w:sz w:val="24"/>
          <w:szCs w:val="24"/>
          <w:highlight w:val="none"/>
          <w:lang w:val="en-US" w:eastAsia="zh-CN"/>
        </w:rPr>
        <w:t>法律法规</w:t>
      </w:r>
      <w:r>
        <w:rPr>
          <w:rFonts w:hint="eastAsia" w:ascii="宋体" w:hAnsi="宋体" w:eastAsia="宋体" w:cs="宋体"/>
          <w:color w:val="auto"/>
          <w:sz w:val="24"/>
          <w:szCs w:val="24"/>
          <w:highlight w:val="none"/>
        </w:rPr>
        <w:t>规定，以及</w:t>
      </w:r>
      <w:r>
        <w:rPr>
          <w:rFonts w:hint="eastAsia" w:ascii="宋体" w:hAnsi="宋体" w:eastAsia="宋体" w:cs="宋体"/>
          <w:color w:val="auto"/>
          <w:sz w:val="24"/>
          <w:szCs w:val="24"/>
          <w:highlight w:val="none"/>
          <w:lang w:val="en-US" w:eastAsia="zh-CN"/>
        </w:rPr>
        <w:t>招标文件名称（编号：XXXX）的</w:t>
      </w:r>
      <w:r>
        <w:rPr>
          <w:rFonts w:hint="eastAsia" w:ascii="宋体" w:hAnsi="宋体" w:eastAsia="宋体" w:cs="宋体"/>
          <w:color w:val="auto"/>
          <w:sz w:val="24"/>
          <w:szCs w:val="24"/>
          <w:highlight w:val="none"/>
        </w:rPr>
        <w:t>相关要求，经法定程序采购，双方同意签订以下合同条款，以便双方共同遵守、履行合同。</w:t>
      </w:r>
    </w:p>
    <w:p w14:paraId="72BD97AE">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第一条 采购清单</w:t>
      </w:r>
    </w:p>
    <w:p w14:paraId="3D1CD2FC">
      <w:pPr>
        <w:keepNext w:val="0"/>
        <w:keepLines w:val="0"/>
        <w:pageBreakBefore w:val="0"/>
        <w:widowControl/>
        <w:kinsoku/>
        <w:wordWrap/>
        <w:topLinePunct w:val="0"/>
        <w:bidi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就“XXXX项目”委托乙方实施与提供服务，乙方负责完成软硬件产品的供货、安装调试、系统集成和技术培训等工作，建设内容和要求按照招标文件和投标文件执行，并保证该项目满足合同提出的所有要求，详细采购内容见附件。</w:t>
      </w:r>
    </w:p>
    <w:p w14:paraId="600799FD">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第二条 供货要求</w:t>
      </w:r>
    </w:p>
    <w:p w14:paraId="02AC3D81">
      <w:pPr>
        <w:keepNext w:val="0"/>
        <w:keepLines w:val="0"/>
        <w:pageBreakBefore w:val="0"/>
        <w:widowControl/>
        <w:kinsoku/>
        <w:wordWrap/>
        <w:overflowPunct/>
        <w:topLinePunct w:val="0"/>
        <w:bidi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乙方应安排足够人力在</w:t>
      </w:r>
      <w:r>
        <w:rPr>
          <w:rFonts w:hint="eastAsia" w:ascii="宋体" w:hAnsi="宋体" w:eastAsia="宋体" w:cs="宋体"/>
          <w:color w:val="auto"/>
          <w:sz w:val="24"/>
          <w:szCs w:val="24"/>
          <w:lang w:val="en-US" w:eastAsia="zh-CN"/>
        </w:rPr>
        <w:t>合同签订后XXX天</w:t>
      </w:r>
      <w:r>
        <w:rPr>
          <w:rFonts w:hint="eastAsia" w:ascii="宋体" w:hAnsi="宋体" w:eastAsia="宋体" w:cs="宋体"/>
          <w:color w:val="auto"/>
          <w:sz w:val="24"/>
          <w:szCs w:val="24"/>
        </w:rPr>
        <w:t>内完成</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实施。若乙方无合理理由无法在规定时间内有效开展项目实施工作的，则甲方有权取消项目合同，由乙方承担违约责任。</w:t>
      </w:r>
    </w:p>
    <w:p w14:paraId="6449A55B">
      <w:pPr>
        <w:keepNext w:val="0"/>
        <w:keepLines w:val="0"/>
        <w:pageBreakBefore w:val="0"/>
        <w:widowControl/>
        <w:kinsoku/>
        <w:wordWrap/>
        <w:overflowPunct/>
        <w:topLinePunct w:val="0"/>
        <w:bidi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乙方应将产品免费送达甲方指定地点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并安装调试完毕后交付使用。乙方必须在产品的右侧粘贴公司标签（标明公司名称、服务热线电话、供货时间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年 月 日等）。</w:t>
      </w:r>
    </w:p>
    <w:p w14:paraId="75898B46">
      <w:pPr>
        <w:keepNext w:val="0"/>
        <w:keepLines w:val="0"/>
        <w:pageBreakBefore w:val="0"/>
        <w:widowControl/>
        <w:kinsoku/>
        <w:wordWrap/>
        <w:overflowPunct/>
        <w:topLinePunct w:val="0"/>
        <w:bidi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乙方须保证提供货物为全新的、先进的、成熟的、完整的和安全可靠的。提供的必须是合同规定的产品，其技术指标、型号须符合相关要求。供货时，乙方须向甲方提供供货清单（说明型号、数量、产地、生产厂家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产品说明书、保修卡、质量保证书等相关资料和原配的附件。原装进口产品（设备）交货时须提供中文产品说明书、保修卡、质量保证书、装箱单、商检证明、进口件清单等资料。制造编号与包装箱编号应一致。</w:t>
      </w:r>
    </w:p>
    <w:p w14:paraId="7E5F9DC2">
      <w:pPr>
        <w:keepNext w:val="0"/>
        <w:keepLines w:val="0"/>
        <w:pageBreakBefore w:val="0"/>
        <w:widowControl/>
        <w:kinsoku/>
        <w:wordWrap/>
        <w:overflowPunct/>
        <w:topLinePunct w:val="0"/>
        <w:bidi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除有特别注明外，所列设备及数量为建设本项目必需但不一定是全部。对于属于整套系统运行和施工所必需的部件，即使在合同清单中有任何遗漏或数目不足，乙方须在执行合同时无偿补足。</w:t>
      </w:r>
    </w:p>
    <w:p w14:paraId="07FEF6DF">
      <w:pPr>
        <w:keepNext w:val="0"/>
        <w:keepLines w:val="0"/>
        <w:pageBreakBefore w:val="0"/>
        <w:widowControl/>
        <w:kinsoku/>
        <w:wordWrap/>
        <w:overflowPunct/>
        <w:topLinePunct w:val="0"/>
        <w:bidi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如本合同采购产品在合同履约过程中出现产品更新或厂家停产等情况，须由乙方书面提出更换要求，并提供充分理由或依据，经甲方和</w:t>
      </w:r>
      <w:r>
        <w:rPr>
          <w:rFonts w:hint="eastAsia" w:ascii="宋体" w:hAnsi="宋体" w:eastAsia="宋体" w:cs="宋体"/>
          <w:color w:val="auto"/>
          <w:sz w:val="24"/>
          <w:szCs w:val="24"/>
          <w:lang w:val="en-US" w:eastAsia="zh-CN"/>
        </w:rPr>
        <w:t>诸暨市</w:t>
      </w:r>
      <w:r>
        <w:rPr>
          <w:rFonts w:hint="eastAsia" w:ascii="宋体" w:hAnsi="宋体" w:eastAsia="宋体" w:cs="宋体"/>
          <w:color w:val="auto"/>
          <w:sz w:val="24"/>
          <w:szCs w:val="24"/>
        </w:rPr>
        <w:t>传媒集团招投标办公室核实或认可，并报</w:t>
      </w:r>
      <w:r>
        <w:rPr>
          <w:rFonts w:hint="eastAsia" w:ascii="宋体" w:hAnsi="宋体" w:eastAsia="宋体" w:cs="宋体"/>
          <w:color w:val="auto"/>
          <w:sz w:val="24"/>
          <w:szCs w:val="24"/>
          <w:lang w:val="en-US" w:eastAsia="zh-CN"/>
        </w:rPr>
        <w:t>诸暨市</w:t>
      </w:r>
      <w:r>
        <w:rPr>
          <w:rFonts w:hint="eastAsia" w:ascii="宋体" w:hAnsi="宋体" w:eastAsia="宋体" w:cs="宋体"/>
          <w:color w:val="auto"/>
          <w:sz w:val="24"/>
          <w:szCs w:val="24"/>
        </w:rPr>
        <w:t>传媒集团招投标监管领导小组办公室审批同意后，方可更换替代性能参数指标比原采购产品高的其他产品，但产品价格不变。</w:t>
      </w:r>
    </w:p>
    <w:p w14:paraId="51FE45AC">
      <w:pPr>
        <w:pStyle w:val="27"/>
        <w:keepNext w:val="0"/>
        <w:keepLines w:val="0"/>
        <w:pageBreakBefore w:val="0"/>
        <w:widowControl/>
        <w:kinsoku/>
        <w:wordWrap/>
        <w:overflowPunct/>
        <w:topLinePunct w:val="0"/>
        <w:bidi w:val="0"/>
        <w:snapToGrid/>
        <w:spacing w:line="460" w:lineRule="exac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6.乙方应提供所有安装和检修所需专用工具和消耗材料等，并提供详细供货清单。</w:t>
      </w:r>
    </w:p>
    <w:p w14:paraId="65DADE33">
      <w:pPr>
        <w:keepNext w:val="0"/>
        <w:keepLines w:val="0"/>
        <w:pageBreakBefore w:val="0"/>
        <w:widowControl/>
        <w:kinsoku/>
        <w:wordWrap/>
        <w:topLinePunct w:val="0"/>
        <w:bidi w:val="0"/>
        <w:spacing w:line="460" w:lineRule="exact"/>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7.项目完结时乙方应提交甲方和监理方（如有）所要求的与本项目有关的成果和整个项目过程电子文档，</w:t>
      </w:r>
      <w:r>
        <w:rPr>
          <w:rFonts w:hint="eastAsia" w:ascii="宋体" w:hAnsi="宋体" w:eastAsia="宋体" w:cs="宋体"/>
          <w:color w:val="auto"/>
          <w:sz w:val="24"/>
          <w:szCs w:val="24"/>
          <w:highlight w:val="none"/>
          <w:lang w:val="en-US" w:eastAsia="zh-CN"/>
        </w:rPr>
        <w:t>包括但不限于系统详细设计、系统概要设计、需求分析报告、系统测试方案、数据结构说明文档、安装维护手册、使用操作手册、培训资料、操作说明、国有资产登记表</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highlight w:val="none"/>
          <w:lang w:val="en-US" w:eastAsia="zh-CN"/>
        </w:rPr>
        <w:t>。</w:t>
      </w:r>
    </w:p>
    <w:p w14:paraId="16313683">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第三条 质量要求</w:t>
      </w:r>
    </w:p>
    <w:p w14:paraId="4D5DE1EA">
      <w:pPr>
        <w:pStyle w:val="27"/>
        <w:keepNext w:val="0"/>
        <w:keepLines w:val="0"/>
        <w:pageBreakBefore w:val="0"/>
        <w:widowControl/>
        <w:kinsoku/>
        <w:wordWrap/>
        <w:overflowPunct/>
        <w:topLinePunct w:val="0"/>
        <w:bidi w:val="0"/>
        <w:snapToGrid/>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应确保产品质量，保证本合同中所供应的商品是最新生产的符合国家技术规格和质量标准的出厂原装合格产品，均需符合国家产品的有关技术规范、质量标准和产品厂家的出厂标准，提供原厂质保书、合格证等有关文件资料。进口产品须是获得国家商检局颁布安全生产许可证的出厂原装合格产品。通过国家有关部门检测合格的原产地设备，能够与甲方现有设备正常连接；设备安装调试完毕后，能在其功能范围内保障用户的系统安全、稳定运行。乙方如发生所供商品与</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rPr>
        <w:t>合同</w:t>
      </w:r>
      <w:r>
        <w:rPr>
          <w:rFonts w:hint="eastAsia" w:ascii="宋体" w:hAnsi="宋体" w:eastAsia="宋体" w:cs="宋体"/>
          <w:color w:val="auto"/>
          <w:sz w:val="24"/>
          <w:szCs w:val="24"/>
          <w:lang w:val="en-US" w:eastAsia="zh-CN"/>
        </w:rPr>
        <w:t>的要求</w:t>
      </w:r>
      <w:r>
        <w:rPr>
          <w:rFonts w:hint="eastAsia" w:ascii="宋体" w:hAnsi="宋体" w:eastAsia="宋体" w:cs="宋体"/>
          <w:color w:val="auto"/>
          <w:sz w:val="24"/>
          <w:szCs w:val="24"/>
        </w:rPr>
        <w:t>不符，甲方（使用方）有权拒收或退货，由此产生的一切责任和后果由乙方承担。</w:t>
      </w:r>
    </w:p>
    <w:p w14:paraId="500ADA77">
      <w:pPr>
        <w:pStyle w:val="27"/>
        <w:keepNext w:val="0"/>
        <w:keepLines w:val="0"/>
        <w:pageBreakBefore w:val="0"/>
        <w:widowControl/>
        <w:kinsoku/>
        <w:wordWrap/>
        <w:overflowPunct/>
        <w:topLinePunct w:val="0"/>
        <w:bidi w:val="0"/>
        <w:snapToGrid/>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本项目的所有软、硬件(如电源适配器、线缆、软件、硬件模块等，包括未列出而系统实施又必需的软件、硬件)需配齐以构成一套完整实用系统，如有任何遗漏，由乙方免费补齐。</w:t>
      </w:r>
    </w:p>
    <w:p w14:paraId="3B051E95">
      <w:pPr>
        <w:pStyle w:val="27"/>
        <w:keepNext w:val="0"/>
        <w:keepLines w:val="0"/>
        <w:pageBreakBefore w:val="0"/>
        <w:widowControl/>
        <w:kinsoku/>
        <w:wordWrap/>
        <w:overflowPunct/>
        <w:topLinePunct w:val="0"/>
        <w:bidi w:val="0"/>
        <w:snapToGrid/>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项目中的硬件设备如需使用特别接头、插座等，由乙方免费提供。</w:t>
      </w:r>
    </w:p>
    <w:p w14:paraId="34F61EA8">
      <w:pPr>
        <w:pStyle w:val="27"/>
        <w:keepNext w:val="0"/>
        <w:keepLines w:val="0"/>
        <w:pageBreakBefore w:val="0"/>
        <w:widowControl/>
        <w:kinsoku/>
        <w:wordWrap/>
        <w:overflowPunct/>
        <w:topLinePunct w:val="0"/>
        <w:bidi w:val="0"/>
        <w:snapToGrid/>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项目中的设备及主要部件均须非停产设备，并提供备件、附件和耗材的供应。</w:t>
      </w:r>
    </w:p>
    <w:p w14:paraId="20F144F1">
      <w:pPr>
        <w:pStyle w:val="27"/>
        <w:keepNext w:val="0"/>
        <w:keepLines w:val="0"/>
        <w:pageBreakBefore w:val="0"/>
        <w:widowControl/>
        <w:kinsoku/>
        <w:wordWrap/>
        <w:overflowPunct/>
        <w:topLinePunct w:val="0"/>
        <w:bidi w:val="0"/>
        <w:snapToGrid/>
        <w:spacing w:line="460" w:lineRule="exac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项目除包括上述设备外，还应包括随机的辅助设备、专用电线电缆、随机软件、技术资料（包括操作培训手册、产品使用指南、维修指南和含维修网点在内的服务手册等）、设备运行所必需的随机消耗材料，相应的技术服务与质量保证。</w:t>
      </w:r>
      <w:r>
        <w:rPr>
          <w:rFonts w:hint="eastAsia" w:ascii="宋体" w:hAnsi="宋体" w:eastAsia="宋体" w:cs="宋体"/>
          <w:color w:val="auto"/>
          <w:sz w:val="24"/>
          <w:szCs w:val="24"/>
          <w:lang w:val="en-US" w:eastAsia="zh-CN"/>
        </w:rPr>
        <w:t xml:space="preserve"> </w:t>
      </w:r>
    </w:p>
    <w:p w14:paraId="4C311426">
      <w:pPr>
        <w:pStyle w:val="27"/>
        <w:keepNext w:val="0"/>
        <w:keepLines w:val="0"/>
        <w:pageBreakBefore w:val="0"/>
        <w:widowControl/>
        <w:kinsoku/>
        <w:wordWrap/>
        <w:overflowPunct/>
        <w:topLinePunct w:val="0"/>
        <w:bidi w:val="0"/>
        <w:snapToGrid/>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本系统产生的任何照片、视频、文字等信息数据产权归甲方所有，不得擅自截留，用作商业开发利用。</w:t>
      </w:r>
    </w:p>
    <w:p w14:paraId="2893D861">
      <w:pPr>
        <w:pStyle w:val="27"/>
        <w:keepNext w:val="0"/>
        <w:keepLines w:val="0"/>
        <w:pageBreakBefore w:val="0"/>
        <w:widowControl/>
        <w:kinsoku/>
        <w:wordWrap/>
        <w:overflowPunct/>
        <w:topLinePunct w:val="0"/>
        <w:bidi w:val="0"/>
        <w:snapToGrid/>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乙方供货产品必须是原厂商、正宗品牌、正规渠道的产品，不得用假冒及伪劣产品替代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如出现质量问题，甲方有权退货；如造成损失的，甲方可要求</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给予赔偿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如发生质量异议，甲方有权要求更换产品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若乙方拒绝，按《中华人民共和国产品质量法》等有关规定处理。</w:t>
      </w:r>
    </w:p>
    <w:p w14:paraId="3F46C132">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第四条 技术服务要求</w:t>
      </w:r>
    </w:p>
    <w:p w14:paraId="677F03CD">
      <w:pPr>
        <w:keepNext w:val="0"/>
        <w:keepLines w:val="0"/>
        <w:pageBreakBefore w:val="0"/>
        <w:widowControl/>
        <w:kinsoku/>
        <w:wordWrap/>
        <w:overflowPunct/>
        <w:topLinePunct w:val="0"/>
        <w:bidi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应确保其技术建议以及所提供的产品的完整性、实用性，保证全部系统及时投入正常运行。否则若出现因乙方提供的设备不满足要求、不合理，或者其所提供的技术支持和服务不全面，而导致系统无法实现或不能完全实现的状况，乙方负全部责任。</w:t>
      </w:r>
    </w:p>
    <w:p w14:paraId="22134C1C">
      <w:pPr>
        <w:keepNext w:val="0"/>
        <w:keepLines w:val="0"/>
        <w:pageBreakBefore w:val="0"/>
        <w:widowControl/>
        <w:kinsoku/>
        <w:wordWrap/>
        <w:overflowPunct/>
        <w:topLinePunct w:val="0"/>
        <w:bidi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乙方应保证设备经正确安装、正常运转和保养，保证其在使用寿命内具有满意的性能。</w:t>
      </w:r>
    </w:p>
    <w:p w14:paraId="1BFBA7C9">
      <w:pPr>
        <w:pStyle w:val="27"/>
        <w:keepNext w:val="0"/>
        <w:keepLines w:val="0"/>
        <w:pageBreakBefore w:val="0"/>
        <w:widowControl/>
        <w:kinsoku/>
        <w:wordWrap/>
        <w:overflowPunct/>
        <w:topLinePunct w:val="0"/>
        <w:bidi w:val="0"/>
        <w:snapToGrid/>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如果产品在服务期内发生设备故障，乙方应及时予以响应（免费上门服务），否则甲方将自行采取必要的措施，由此产生风险和费用由乙方承担。</w:t>
      </w:r>
    </w:p>
    <w:p w14:paraId="37F7F72C">
      <w:pPr>
        <w:pStyle w:val="27"/>
        <w:keepNext w:val="0"/>
        <w:keepLines w:val="0"/>
        <w:pageBreakBefore w:val="0"/>
        <w:widowControl/>
        <w:kinsoku/>
        <w:wordWrap/>
        <w:overflowPunct/>
        <w:topLinePunct w:val="0"/>
        <w:bidi w:val="0"/>
        <w:snapToGrid/>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如合同中遗漏了必须具备的设备、配件或服务，乙方有义务保证甲方系统的完整性，如项目实施过程中因缺少设备、配件或服务导致甲方系统无法正常运行，乙方须承诺免费提供。</w:t>
      </w:r>
    </w:p>
    <w:p w14:paraId="57D64524">
      <w:pPr>
        <w:keepNext w:val="0"/>
        <w:keepLines w:val="0"/>
        <w:pageBreakBefore w:val="0"/>
        <w:widowControl/>
        <w:kinsoku/>
        <w:wordWrap/>
        <w:overflowPunct/>
        <w:topLinePunct w:val="0"/>
        <w:bidi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所有外场带电设备必须接地防雷处理。</w:t>
      </w:r>
    </w:p>
    <w:p w14:paraId="5FBE9A5E">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第五条 培训要求</w:t>
      </w:r>
    </w:p>
    <w:p w14:paraId="20D691C1">
      <w:pPr>
        <w:pStyle w:val="28"/>
        <w:keepNext w:val="0"/>
        <w:keepLines w:val="0"/>
        <w:pageBreakBefore w:val="0"/>
        <w:widowControl/>
        <w:kinsoku/>
        <w:wordWrap/>
        <w:overflowPunct/>
        <w:topLinePunct w:val="0"/>
        <w:autoSpaceDE w:val="0"/>
        <w:autoSpaceDN w:val="0"/>
        <w:bidi w:val="0"/>
        <w:adjustRightInd w:val="0"/>
        <w:snapToGrid/>
        <w:spacing w:after="0" w:line="46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提供免费培训（不限人数），培训时间、周期、频率均由甲方（或使用单位）指定，以满足系统正常上线、相关人员均可独立熟练操作为准。保证甲方（或使用单位）技术人员达到熟练操作、维护的程度，能进行一般的日常维护管理和检修，并能够处理简单的系统故障。乙方若未按甲方（或使用单位）要求开展培训，甲方可拒绝项目验收。培训详细要求按招标文件执行。</w:t>
      </w:r>
    </w:p>
    <w:p w14:paraId="039F6730">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第六条 履约保证金</w:t>
      </w:r>
    </w:p>
    <w:p w14:paraId="51479791">
      <w:pPr>
        <w:keepNext w:val="0"/>
        <w:keepLines w:val="0"/>
        <w:pageBreakBefore w:val="0"/>
        <w:widowControl/>
        <w:kinsoku/>
        <w:wordWrap/>
        <w:overflowPunct/>
        <w:topLinePunct w:val="0"/>
        <w:bidi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1、乙方在签订合同之前，须向甲方缴纳合同款</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%的履约保证金</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highlight w:val="none"/>
        </w:rPr>
        <w:t>即</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万元，大写</w:t>
      </w:r>
      <w:r>
        <w:rPr>
          <w:rFonts w:hint="eastAsia" w:ascii="宋体" w:hAnsi="宋体" w:eastAsia="宋体" w:cs="宋体"/>
          <w:bCs/>
          <w:color w:val="auto"/>
          <w:sz w:val="24"/>
          <w:szCs w:val="24"/>
          <w:highlight w:val="none"/>
          <w:u w:val="none"/>
        </w:rPr>
        <w:t>：</w:t>
      </w:r>
      <w:r>
        <w:rPr>
          <w:rFonts w:hint="eastAsia" w:ascii="宋体" w:hAnsi="宋体" w:eastAsia="宋体" w:cs="宋体"/>
          <w:bCs/>
          <w:color w:val="auto"/>
          <w:sz w:val="24"/>
          <w:szCs w:val="24"/>
          <w:highlight w:val="none"/>
          <w:u w:val="single"/>
          <w:lang w:val="en-US" w:eastAsia="zh-CN"/>
        </w:rPr>
        <w:t>****元</w:t>
      </w:r>
      <w:r>
        <w:rPr>
          <w:rFonts w:hint="eastAsia" w:ascii="宋体" w:hAnsi="宋体" w:eastAsia="宋体" w:cs="宋体"/>
          <w:bCs/>
          <w:color w:val="auto"/>
          <w:sz w:val="24"/>
          <w:szCs w:val="24"/>
          <w:highlight w:val="none"/>
        </w:rPr>
        <w:t>整。</w:t>
      </w:r>
    </w:p>
    <w:p w14:paraId="3851B133">
      <w:pPr>
        <w:keepNext w:val="0"/>
        <w:keepLines w:val="0"/>
        <w:pageBreakBefore w:val="0"/>
        <w:widowControl/>
        <w:kinsoku/>
        <w:wordWrap/>
        <w:overflowPunct/>
        <w:topLinePunct w:val="0"/>
        <w:bidi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2、履约保证金在甲方项目整体验收合格无任何问题</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rPr>
        <w:t>退回，不计息。</w:t>
      </w:r>
    </w:p>
    <w:p w14:paraId="5D8E5650">
      <w:pPr>
        <w:keepNext w:val="0"/>
        <w:keepLines w:val="0"/>
        <w:pageBreakBefore w:val="0"/>
        <w:widowControl/>
        <w:kinsoku/>
        <w:wordWrap/>
        <w:overflowPunct/>
        <w:topLinePunct w:val="0"/>
        <w:bidi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3、如乙方未能履行合同规定的义务，甲方有权在履约保证金中取得补偿。</w:t>
      </w:r>
    </w:p>
    <w:p w14:paraId="647A7906">
      <w:pPr>
        <w:keepNext w:val="0"/>
        <w:keepLines w:val="0"/>
        <w:pageBreakBefore w:val="0"/>
        <w:widowControl/>
        <w:kinsoku/>
        <w:wordWrap/>
        <w:overflowPunct/>
        <w:topLinePunct w:val="0"/>
        <w:bidi w:val="0"/>
        <w:snapToGrid/>
        <w:spacing w:line="46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4、履约保证金缴纳账户：</w:t>
      </w:r>
    </w:p>
    <w:tbl>
      <w:tblPr>
        <w:tblStyle w:val="18"/>
        <w:tblW w:w="8519" w:type="dxa"/>
        <w:jc w:val="center"/>
        <w:tblLayout w:type="fixed"/>
        <w:tblCellMar>
          <w:top w:w="0" w:type="dxa"/>
          <w:left w:w="108" w:type="dxa"/>
          <w:bottom w:w="0" w:type="dxa"/>
          <w:right w:w="108" w:type="dxa"/>
        </w:tblCellMar>
      </w:tblPr>
      <w:tblGrid>
        <w:gridCol w:w="2222"/>
        <w:gridCol w:w="6297"/>
      </w:tblGrid>
      <w:tr w14:paraId="2AEC6FF2">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3ADD7FC8">
            <w:pPr>
              <w:pStyle w:val="30"/>
              <w:adjustRightInd/>
              <w:spacing w:before="0" w:after="0"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单位名称</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2CF906DA">
            <w:pPr>
              <w:pStyle w:val="30"/>
              <w:adjustRightInd/>
              <w:spacing w:before="0" w:after="0"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诸暨广电信息技术有限公司</w:t>
            </w:r>
          </w:p>
        </w:tc>
      </w:tr>
      <w:tr w14:paraId="4B5AE73C">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5A1B5847">
            <w:pPr>
              <w:pStyle w:val="30"/>
              <w:adjustRightInd/>
              <w:spacing w:before="0" w:after="0"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统一社会信用代码</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3F0B115E">
            <w:pPr>
              <w:pStyle w:val="30"/>
              <w:adjustRightInd/>
              <w:spacing w:before="0" w:after="0"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9133068131365622XW</w:t>
            </w:r>
          </w:p>
        </w:tc>
      </w:tr>
      <w:tr w14:paraId="27D5FFF5">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0FA6F7B9">
            <w:pPr>
              <w:pStyle w:val="30"/>
              <w:adjustRightInd/>
              <w:spacing w:before="0" w:after="0"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5A1AE605">
            <w:pPr>
              <w:pStyle w:val="30"/>
              <w:adjustRightInd/>
              <w:spacing w:before="0" w:after="0"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诸暨市暨阳街道滨江中路28-35号0575-89713803</w:t>
            </w:r>
          </w:p>
        </w:tc>
      </w:tr>
      <w:tr w14:paraId="01D472F0">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65E99F88">
            <w:pPr>
              <w:pStyle w:val="30"/>
              <w:adjustRightInd/>
              <w:spacing w:before="0" w:after="0"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开户银行</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74D58C09">
            <w:pPr>
              <w:pStyle w:val="30"/>
              <w:adjustRightInd/>
              <w:spacing w:before="0" w:after="0"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农行诸暨支行</w:t>
            </w:r>
          </w:p>
        </w:tc>
      </w:tr>
      <w:tr w14:paraId="2C964C25">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3FA8B143">
            <w:pPr>
              <w:pStyle w:val="30"/>
              <w:adjustRightInd/>
              <w:spacing w:before="0" w:after="0"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银行账号</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244BB857">
            <w:pPr>
              <w:pStyle w:val="30"/>
              <w:adjustRightInd/>
              <w:spacing w:before="0" w:after="0"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19530101040042751</w:t>
            </w:r>
          </w:p>
        </w:tc>
      </w:tr>
    </w:tbl>
    <w:p w14:paraId="46AC7AFC">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第七条 产品变更</w:t>
      </w:r>
    </w:p>
    <w:p w14:paraId="55CB1AE6">
      <w:pPr>
        <w:keepNext w:val="0"/>
        <w:keepLines w:val="0"/>
        <w:pageBreakBefore w:val="0"/>
        <w:widowControl/>
        <w:kinsoku/>
        <w:wordWrap/>
        <w:overflowPunct/>
        <w:topLinePunct w:val="0"/>
        <w:bidi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合同履行过程中，甲方根据实际情况，</w:t>
      </w:r>
      <w:r>
        <w:rPr>
          <w:rFonts w:hint="eastAsia" w:ascii="宋体" w:hAnsi="宋体" w:eastAsia="宋体" w:cs="宋体"/>
          <w:color w:val="auto"/>
          <w:sz w:val="24"/>
          <w:szCs w:val="24"/>
          <w:lang w:val="en-US" w:eastAsia="zh-CN"/>
        </w:rPr>
        <w:t>可以</w:t>
      </w:r>
      <w:r>
        <w:rPr>
          <w:rFonts w:hint="eastAsia" w:ascii="宋体" w:hAnsi="宋体" w:eastAsia="宋体" w:cs="宋体"/>
          <w:color w:val="auto"/>
          <w:sz w:val="24"/>
          <w:szCs w:val="24"/>
        </w:rPr>
        <w:t>增减与合同相同的产品，但所有</w:t>
      </w:r>
      <w:r>
        <w:rPr>
          <w:rFonts w:hint="eastAsia" w:ascii="宋体" w:hAnsi="宋体" w:eastAsia="宋体" w:cs="宋体"/>
          <w:color w:val="auto"/>
          <w:sz w:val="24"/>
          <w:szCs w:val="24"/>
          <w:lang w:val="en-US" w:eastAsia="zh-CN"/>
        </w:rPr>
        <w:t>增减产品</w:t>
      </w:r>
      <w:r>
        <w:rPr>
          <w:rFonts w:hint="eastAsia" w:ascii="宋体" w:hAnsi="宋体" w:eastAsia="宋体" w:cs="宋体"/>
          <w:color w:val="auto"/>
          <w:sz w:val="24"/>
          <w:szCs w:val="24"/>
        </w:rPr>
        <w:t>的采购金额不得超过原合同采购金额的10%，增减产品的价格为相应采购产品的价格，且事先须向</w:t>
      </w:r>
      <w:r>
        <w:rPr>
          <w:rFonts w:hint="eastAsia" w:ascii="宋体" w:hAnsi="宋体" w:eastAsia="宋体" w:cs="宋体"/>
          <w:color w:val="auto"/>
          <w:sz w:val="24"/>
          <w:szCs w:val="24"/>
          <w:lang w:val="en-US" w:eastAsia="zh-CN"/>
        </w:rPr>
        <w:t>诸暨市</w:t>
      </w:r>
      <w:r>
        <w:rPr>
          <w:rFonts w:hint="eastAsia" w:ascii="宋体" w:hAnsi="宋体" w:eastAsia="宋体" w:cs="宋体"/>
          <w:color w:val="auto"/>
          <w:sz w:val="24"/>
          <w:szCs w:val="24"/>
        </w:rPr>
        <w:t>传媒集团招管办审核备案。</w:t>
      </w:r>
    </w:p>
    <w:p w14:paraId="5465E526">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第八条 知识产权</w:t>
      </w:r>
    </w:p>
    <w:p w14:paraId="5832B586">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jc w:val="both"/>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1. 乙方应保证所提供的软件或其任何一部分（中间件、插件等）均不会侵犯任何第三方的知识产权。</w:t>
      </w:r>
    </w:p>
    <w:p w14:paraId="549C66F6">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jc w:val="both"/>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2. 本项目开发的建设成果（含核心源代码）（如有）版权归甲方所有，未经甲方同意，乙方不得自行扩散或提供给第三方使用(但开发前乙方自有的原型系统、技术模块、数据模型、开发工具软件包等知识产权仍属于乙方，甲方可以在本项目范围内使用)。</w:t>
      </w:r>
    </w:p>
    <w:p w14:paraId="487312F2">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jc w:val="both"/>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3. 乙方所提供软件系统应拥有自主产权，若非自有或引用第三方产品，需提供原厂的正版化授权证明。乙方应保证甲方或使用单位在软件使用过程中免受第三方提出的侵权起诉。如发生此类纠纷，由乙方承担一切责任并负责解决，并承担由此而造成甲方的一切损失。</w:t>
      </w:r>
    </w:p>
    <w:p w14:paraId="32F77130">
      <w:pPr>
        <w:pStyle w:val="23"/>
        <w:keepNext w:val="0"/>
        <w:keepLines w:val="0"/>
        <w:pageBreakBefore w:val="0"/>
        <w:widowControl/>
        <w:kinsoku/>
        <w:wordWrap/>
        <w:overflowPunct/>
        <w:topLinePunct w:val="0"/>
        <w:autoSpaceDE w:val="0"/>
        <w:autoSpaceDN w:val="0"/>
        <w:bidi w:val="0"/>
        <w:adjustRightInd w:val="0"/>
        <w:snapToGrid/>
        <w:spacing w:line="460" w:lineRule="exact"/>
        <w:ind w:firstLine="480"/>
        <w:jc w:val="both"/>
        <w:rPr>
          <w:rFonts w:hint="eastAsia" w:ascii="宋体" w:hAnsi="宋体" w:eastAsia="宋体" w:cs="宋体"/>
          <w:b w:val="0"/>
          <w:color w:val="auto"/>
          <w:kern w:val="0"/>
          <w:sz w:val="24"/>
          <w:szCs w:val="24"/>
          <w:highlight w:val="yellow"/>
          <w:lang w:val="en-US" w:eastAsia="zh-CN" w:bidi="ar-SA"/>
        </w:rPr>
      </w:pPr>
      <w:r>
        <w:rPr>
          <w:rFonts w:hint="eastAsia" w:ascii="宋体" w:hAnsi="宋体" w:eastAsia="宋体" w:cs="宋体"/>
          <w:b w:val="0"/>
          <w:color w:val="auto"/>
          <w:kern w:val="0"/>
          <w:sz w:val="24"/>
          <w:szCs w:val="24"/>
          <w:lang w:val="en-US" w:eastAsia="zh-CN" w:bidi="ar-SA"/>
        </w:rPr>
        <w:t xml:space="preserve">4. </w:t>
      </w:r>
      <w:r>
        <w:rPr>
          <w:rFonts w:hint="eastAsia" w:ascii="宋体" w:hAnsi="宋体" w:eastAsia="宋体" w:cs="宋体"/>
          <w:b w:val="0"/>
          <w:color w:val="auto"/>
          <w:kern w:val="0"/>
          <w:sz w:val="24"/>
          <w:szCs w:val="24"/>
          <w:highlight w:val="none"/>
          <w:lang w:val="en-US" w:eastAsia="zh-CN" w:bidi="ar-SA"/>
        </w:rPr>
        <w:t>根据智慧城市建设要求，此项目建设及运行数据都归甲方所有，真正实现数据共建、共享、共用。该条款不以本合同的终止而终止。</w:t>
      </w:r>
    </w:p>
    <w:p w14:paraId="41AA6724">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jc w:val="both"/>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5.如新开发的项目该软件的著作权、所有权、转让权归甲方所有，未经甲方书面授权同意乙方不得提供给第三方使用。（根据项目选定）</w:t>
      </w:r>
    </w:p>
    <w:p w14:paraId="3626B61A">
      <w:pPr>
        <w:pageBreakBefore w:val="0"/>
        <w:widowControl/>
        <w:kinsoku/>
        <w:wordWrap/>
        <w:topLinePunct w:val="0"/>
        <w:bidi w:val="0"/>
        <w:spacing w:line="460" w:lineRule="exact"/>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b w:val="0"/>
          <w:color w:val="auto"/>
          <w:kern w:val="0"/>
          <w:sz w:val="24"/>
          <w:szCs w:val="24"/>
          <w:lang w:val="en-US" w:eastAsia="zh-CN" w:bidi="ar-SA"/>
        </w:rPr>
        <w:t>6.项目验收时，乙方应提供完整的软件平台包和数据给甲方（如有），并按照软件技术规范的国家标准，提交项目文档，项目中涉及的定制开发功能，乙方应在验收时提交项目实施过程的软件包和数据（数据中台部分需要提供源代码）（如有），作为验收主要要素，以备后续维护与后续开发所用，并为甲方做好软件著作权申请（所有申请的知识产权归甲方所有）等相关配合工作（如需）。</w:t>
      </w:r>
    </w:p>
    <w:p w14:paraId="52101CE1">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第九条 产权担保</w:t>
      </w:r>
    </w:p>
    <w:p w14:paraId="4BAE69C2">
      <w:pPr>
        <w:keepNext w:val="0"/>
        <w:keepLines w:val="0"/>
        <w:pageBreakBefore w:val="0"/>
        <w:widowControl/>
        <w:kinsoku/>
        <w:wordWrap/>
        <w:overflowPunct/>
        <w:topLinePunct w:val="0"/>
        <w:bidi w:val="0"/>
        <w:snapToGrid/>
        <w:spacing w:line="46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乙方开发中涉及的软件的所有权完全属于乙方，在交付甲方后保证无任何抵押、查封、债务转移等产权瑕疵。</w:t>
      </w:r>
    </w:p>
    <w:p w14:paraId="1D98F7B9">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第十条 </w:t>
      </w:r>
      <w:r>
        <w:rPr>
          <w:rFonts w:hint="eastAsia" w:ascii="宋体" w:hAnsi="宋体" w:eastAsia="宋体" w:cs="宋体"/>
          <w:b/>
          <w:color w:val="auto"/>
          <w:sz w:val="24"/>
          <w:szCs w:val="24"/>
          <w:lang w:val="en-US" w:eastAsia="zh-CN"/>
        </w:rPr>
        <w:t>转包或分包</w:t>
      </w:r>
    </w:p>
    <w:p w14:paraId="555C41AC">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jc w:val="both"/>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本合同范围的货物及系统集成服务、软件等应由乙方直接供应，不得转让他人供应，否则，甲方有权解除合同，没收履约保证金并追究乙方的违约责任。</w:t>
      </w:r>
    </w:p>
    <w:p w14:paraId="3B992B18">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highlight w:val="none"/>
          <w:lang w:val="en-US" w:eastAsia="zh-CN"/>
        </w:rPr>
        <w:t xml:space="preserve">第十一条 </w:t>
      </w:r>
      <w:r>
        <w:rPr>
          <w:rFonts w:hint="eastAsia" w:ascii="宋体" w:hAnsi="宋体" w:eastAsia="宋体" w:cs="宋体"/>
          <w:b/>
          <w:color w:val="auto"/>
          <w:sz w:val="24"/>
          <w:szCs w:val="24"/>
          <w:lang w:val="en-US" w:eastAsia="zh-CN"/>
        </w:rPr>
        <w:t>安全及保密要求</w:t>
      </w:r>
    </w:p>
    <w:p w14:paraId="29F6F679">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1、乙方应严格保守在合作过程中所了解的甲方或系统使用单位的商业及技术机密，否则应对由此造成的损失承担赔偿。</w:t>
      </w:r>
    </w:p>
    <w:p w14:paraId="7CF9CA4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不得出于除履行本项目以外任何目的的披露、传播、复制或使用来自甲方或系统使用单位的所有或者部分保密信息；不得在未经采购人书面明确同意的前提下向任何第三方披露本项目相关保密信息；本项目履行完毕后，乙方应当将所有涉及保密信息的载体交还甲方，不得保留任何形式的存档。</w:t>
      </w:r>
    </w:p>
    <w:p w14:paraId="5408A05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3、乙方应严格遵循甲方或系统使用单位的各项安全保密制度，所有信息数据迁移、处理等过程中严禁私自复制、传输，完成建设任务后，乙方使用的用户信息等敏感数据必须物理清除。</w:t>
      </w:r>
    </w:p>
    <w:p w14:paraId="741FB09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乙方有义务保障平台的稳定性、账户的安全性，因软件系统本身原因导致平台崩溃、账户盗号或被攻击发布非法信息等引发的问题，所有经济责任及法律责任均由乙方承担，涉及违法犯罪的交由公安机关处理。</w:t>
      </w:r>
    </w:p>
    <w:p w14:paraId="12C72B07">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5、乙方违反网络安全、数据安全、个人信息保护有关法律法规规定的，由网信、公安等部门按照职责依法予以查处。</w:t>
      </w:r>
    </w:p>
    <w:p w14:paraId="4B9E69C9">
      <w:pPr>
        <w:pStyle w:val="8"/>
        <w:keepNext w:val="0"/>
        <w:keepLines w:val="0"/>
        <w:pageBreakBefore w:val="0"/>
        <w:widowControl/>
        <w:kinsoku/>
        <w:wordWrap/>
        <w:overflowPunct/>
        <w:topLinePunct w:val="0"/>
        <w:autoSpaceDE w:val="0"/>
        <w:autoSpaceDN w:val="0"/>
        <w:bidi w:val="0"/>
        <w:adjustRightInd w:val="0"/>
        <w:snapToGrid/>
        <w:spacing w:after="0" w:afterLines="0" w:line="4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乙方应保证在保障平台运作过程中采集到的所有数据及信息不外泄，不另作他用。如果因软件系统原因导致数据及信息外泄或另作他用而引发的第三方投诉、追诉、要求赔偿等纠纷而造成甲方损失的，所有经济损失及法律责任全部由乙方负责承担。</w:t>
      </w:r>
    </w:p>
    <w:p w14:paraId="5D147595">
      <w:pPr>
        <w:pStyle w:val="8"/>
        <w:widowControl/>
        <w:spacing w:after="0"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7、不论本合同是否变更、解除、终止，上述1-6项条款均有效。</w:t>
      </w:r>
    </w:p>
    <w:p w14:paraId="4AC0E177">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第十二条 项目验收</w:t>
      </w:r>
    </w:p>
    <w:p w14:paraId="0BDAEC7C">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1.项目实施完成后由乙方对软硬件系统进行测试，应确保项目各系统功能性能、质量和安全性等满足招标要求，测试合格后可向甲方书面申请初验；经甲方确认后，由甲方组织初验小组进行项目初验；项目初验合格后，进入试运行阶段，在试运行期间，乙方应使系统任何故障或问题都能在收到故障通知后尽快（含节假日期间）被修复和解决，并且所有试运行期间软件的修改和故障的修复细节都应记录在试运行报告中；系统平稳试运行满    天后，乙方可向甲方书面申请终验，经甲方确认后，由甲方组织验收小组进行项目终验，终验合格后，甲乙双方、使用单位（如有）和监理单位（如有）共同签署《项目验收报告》，项目进入项目质保期。</w:t>
      </w:r>
    </w:p>
    <w:p w14:paraId="0948FCA7">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2.乙方交货前应对产品作出全面检查和对验收文件进行整理，并列出清单，作为甲方收货验收和使用的技术条件依据，检验的结果应随其他交付产物交给甲方。</w:t>
      </w:r>
    </w:p>
    <w:p w14:paraId="522CA3C5">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3.乙方需负责设备安装与调试，直到符合技术要求，并完成培训甲方（或使用单位）的使用操作人员后，由乙方向甲方申请组织验收。</w:t>
      </w:r>
    </w:p>
    <w:p w14:paraId="30F08BC9">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4.设备安装完成后，经双方确认后进行系统测试。系统测试由乙方负责，甲方工程师可视实际需求，参与测试。测试过程中：</w:t>
      </w:r>
    </w:p>
    <w:p w14:paraId="699A2A91">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1）甲方若发现产品功能、性能、安全性不符合招标要求，有权要求乙方根据相关规定委托第三方测评公司对本项目进行功能和性能第三方测试，其测评结果作为本项目验收依据，乙方需积极配合，并承担相应评测费用。</w:t>
      </w:r>
    </w:p>
    <w:p w14:paraId="4D64AFEE">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val="0"/>
          <w:color w:val="auto"/>
          <w:kern w:val="0"/>
          <w:sz w:val="24"/>
          <w:szCs w:val="24"/>
          <w:lang w:val="en-US" w:eastAsia="zh-CN" w:bidi="ar-SA"/>
        </w:rPr>
        <w:t>2）测试将依据本项目招标文件项目技术</w:t>
      </w:r>
      <w:r>
        <w:rPr>
          <w:rFonts w:hint="eastAsia" w:ascii="宋体" w:hAnsi="宋体" w:eastAsia="宋体" w:cs="宋体"/>
          <w:bCs/>
          <w:color w:val="auto"/>
          <w:sz w:val="24"/>
          <w:szCs w:val="24"/>
          <w:highlight w:val="none"/>
        </w:rPr>
        <w:t>要求及项目功能、性能及安全要求。</w:t>
      </w:r>
    </w:p>
    <w:p w14:paraId="2D52EF30">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3）如果第三方测试没有通过，乙方需在</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rPr>
        <w:t>天内无条件进行整改，直至测评通过方可提请验收，如果在</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rPr>
        <w:t>天内整改没有通过，甲方有权终止合同，所造成的损失由乙方负责。</w:t>
      </w:r>
    </w:p>
    <w:p w14:paraId="5792D8CD">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第十三条 支付方式</w:t>
      </w:r>
    </w:p>
    <w:p w14:paraId="49AC7AB6">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1、</w:t>
      </w:r>
      <w:r>
        <w:rPr>
          <w:rFonts w:hint="eastAsia" w:ascii="宋体" w:hAnsi="宋体" w:eastAsia="宋体" w:cs="宋体"/>
          <w:color w:val="auto"/>
          <w:sz w:val="24"/>
          <w:szCs w:val="24"/>
        </w:rPr>
        <w:t>本合同总价</w:t>
      </w:r>
      <w:r>
        <w:rPr>
          <w:rFonts w:hint="eastAsia" w:ascii="宋体" w:hAnsi="宋体" w:eastAsia="宋体" w:cs="宋体"/>
          <w:color w:val="auto"/>
          <w:sz w:val="24"/>
          <w:szCs w:val="24"/>
          <w:lang w:eastAsia="zh-CN"/>
        </w:rPr>
        <w:t>含税</w:t>
      </w:r>
      <w:r>
        <w:rPr>
          <w:rFonts w:hint="eastAsia" w:ascii="宋体" w:hAnsi="宋体" w:eastAsia="宋体" w:cs="宋体"/>
          <w:color w:val="auto"/>
          <w:sz w:val="24"/>
          <w:szCs w:val="24"/>
        </w:rPr>
        <w:t>共计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00.00 </w:t>
      </w:r>
      <w:r>
        <w:rPr>
          <w:rFonts w:hint="eastAsia" w:ascii="宋体" w:hAnsi="宋体" w:eastAsia="宋体" w:cs="宋体"/>
          <w:color w:val="auto"/>
          <w:sz w:val="24"/>
          <w:szCs w:val="24"/>
          <w:u w:val="single"/>
        </w:rPr>
        <w:t>（人民币大写</w:t>
      </w:r>
      <w:r>
        <w:rPr>
          <w:rFonts w:hint="eastAsia" w:ascii="宋体" w:hAnsi="宋体" w:eastAsia="宋体" w:cs="宋体"/>
          <w:color w:val="auto"/>
          <w:sz w:val="24"/>
          <w:szCs w:val="24"/>
          <w:u w:val="single"/>
          <w:lang w:val="en-US" w:eastAsia="zh-CN"/>
        </w:rPr>
        <w:fldChar w:fldCharType="begin"/>
      </w:r>
      <w:r>
        <w:rPr>
          <w:rFonts w:hint="eastAsia" w:ascii="宋体" w:hAnsi="宋体" w:eastAsia="宋体" w:cs="宋体"/>
          <w:color w:val="auto"/>
          <w:sz w:val="24"/>
          <w:szCs w:val="24"/>
          <w:u w:val="single"/>
          <w:lang w:val="en-US" w:eastAsia="zh-CN"/>
        </w:rPr>
        <w:instrText xml:space="preserve"> = 12299600 \* CHINESENUM4 \* MERGEFORMAT </w:instrText>
      </w:r>
      <w:r>
        <w:rPr>
          <w:rFonts w:hint="eastAsia" w:ascii="宋体" w:hAnsi="宋体" w:eastAsia="宋体" w:cs="宋体"/>
          <w:color w:val="auto"/>
          <w:sz w:val="24"/>
          <w:szCs w:val="24"/>
          <w:u w:val="single"/>
          <w:lang w:val="en-US" w:eastAsia="zh-CN"/>
        </w:rPr>
        <w:fldChar w:fldCharType="separate"/>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元整</w:t>
      </w:r>
      <w:r>
        <w:rPr>
          <w:rFonts w:hint="eastAsia" w:ascii="宋体" w:hAnsi="宋体" w:eastAsia="宋体" w:cs="宋体"/>
          <w:color w:val="auto"/>
          <w:sz w:val="24"/>
          <w:szCs w:val="24"/>
          <w:u w:val="single"/>
          <w:lang w:val="en-US" w:eastAsia="zh-CN"/>
        </w:rPr>
        <w:fldChar w:fldCharType="end"/>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0427A8FA">
      <w:pPr>
        <w:keepNext w:val="0"/>
        <w:keepLines w:val="0"/>
        <w:pageBreakBefore w:val="0"/>
        <w:widowControl w:val="0"/>
        <w:kinsoku/>
        <w:wordWrap/>
        <w:overflowPunct/>
        <w:topLinePunct w:val="0"/>
        <w:autoSpaceDE w:val="0"/>
        <w:autoSpaceDN w:val="0"/>
        <w:bidi w:val="0"/>
        <w:adjustRightInd w:val="0"/>
        <w:snapToGrid/>
        <w:spacing w:line="460" w:lineRule="exact"/>
        <w:ind w:lef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项目合同款项分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期支付：</w:t>
      </w:r>
    </w:p>
    <w:p w14:paraId="0DF32D4D">
      <w:pPr>
        <w:keepNext w:val="0"/>
        <w:keepLines w:val="0"/>
        <w:pageBreakBefore w:val="0"/>
        <w:widowControl/>
        <w:numPr>
          <w:ilvl w:val="0"/>
          <w:numId w:val="0"/>
        </w:numPr>
        <w:kinsoku/>
        <w:wordWrap/>
        <w:overflowPunct/>
        <w:topLinePunct w:val="0"/>
        <w:autoSpaceDE w:val="0"/>
        <w:autoSpaceDN w:val="0"/>
        <w:bidi w:val="0"/>
        <w:adjustRightInd w:val="0"/>
        <w:snapToGrid/>
        <w:spacing w:line="460" w:lineRule="exact"/>
        <w:ind w:left="0" w:leftChars="0" w:firstLine="480" w:firstLineChars="200"/>
        <w:textAlignment w:val="auto"/>
        <w:outlineLvl w:val="9"/>
        <w:rPr>
          <w:rFonts w:hint="eastAsia" w:ascii="宋体" w:hAnsi="宋体" w:eastAsia="宋体" w:cs="宋体"/>
          <w:color w:val="auto"/>
          <w:sz w:val="24"/>
          <w:szCs w:val="24"/>
          <w:lang w:val="en-US" w:eastAsia="zh-CN" w:bidi="ar-SA"/>
        </w:rPr>
      </w:pPr>
      <w:r>
        <w:rPr>
          <w:rFonts w:hint="eastAsia" w:ascii="宋体" w:hAnsi="宋体" w:eastAsia="宋体" w:cs="宋体"/>
          <w:i/>
          <w:iCs/>
          <w:color w:val="auto"/>
          <w:sz w:val="24"/>
          <w:szCs w:val="24"/>
          <w:lang w:val="en-US" w:eastAsia="zh-CN" w:bidi="ar-SA"/>
        </w:rPr>
        <w:t>（按招标文件相关条款执行）</w:t>
      </w:r>
    </w:p>
    <w:p w14:paraId="5B963A8B">
      <w:pPr>
        <w:keepNext w:val="0"/>
        <w:keepLines w:val="0"/>
        <w:pageBreakBefore w:val="0"/>
        <w:widowControl/>
        <w:numPr>
          <w:ilvl w:val="0"/>
          <w:numId w:val="0"/>
        </w:numPr>
        <w:kinsoku/>
        <w:wordWrap/>
        <w:overflowPunct/>
        <w:topLinePunct w:val="0"/>
        <w:autoSpaceDE w:val="0"/>
        <w:autoSpaceDN w:val="0"/>
        <w:bidi w:val="0"/>
        <w:adjustRightInd w:val="0"/>
        <w:snapToGrid/>
        <w:spacing w:line="46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2、</w:t>
      </w:r>
      <w:r>
        <w:rPr>
          <w:rFonts w:hint="eastAsia" w:ascii="宋体" w:hAnsi="宋体" w:eastAsia="宋体" w:cs="宋体"/>
          <w:color w:val="auto"/>
          <w:sz w:val="24"/>
          <w:szCs w:val="24"/>
          <w:lang w:eastAsia="zh-CN"/>
        </w:rPr>
        <w:t>甲方将合同款</w:t>
      </w:r>
      <w:r>
        <w:rPr>
          <w:rFonts w:hint="eastAsia" w:ascii="宋体" w:hAnsi="宋体" w:eastAsia="宋体" w:cs="宋体"/>
          <w:color w:val="auto"/>
          <w:sz w:val="24"/>
          <w:szCs w:val="24"/>
          <w:lang w:val="en-US" w:eastAsia="zh-CN"/>
        </w:rPr>
        <w:t>按付款比例</w:t>
      </w:r>
      <w:r>
        <w:rPr>
          <w:rFonts w:hint="eastAsia" w:ascii="宋体" w:hAnsi="宋体" w:eastAsia="宋体" w:cs="宋体"/>
          <w:color w:val="auto"/>
          <w:sz w:val="24"/>
          <w:szCs w:val="24"/>
          <w:lang w:eastAsia="zh-CN"/>
        </w:rPr>
        <w:t>直接拨入乙方开户银行，</w:t>
      </w:r>
      <w:r>
        <w:rPr>
          <w:rFonts w:hint="eastAsia" w:ascii="宋体" w:hAnsi="宋体" w:eastAsia="宋体" w:cs="宋体"/>
          <w:color w:val="auto"/>
          <w:sz w:val="24"/>
          <w:szCs w:val="24"/>
          <w:lang w:val="en-US" w:eastAsia="zh-CN"/>
        </w:rPr>
        <w:t>以上付款金额均无息</w:t>
      </w:r>
      <w:r>
        <w:rPr>
          <w:rFonts w:hint="eastAsia" w:ascii="宋体" w:hAnsi="宋体" w:eastAsia="宋体" w:cs="宋体"/>
          <w:color w:val="auto"/>
          <w:sz w:val="24"/>
          <w:szCs w:val="24"/>
          <w:lang w:eastAsia="zh-CN"/>
        </w:rPr>
        <w:t>。乙方需提供的相关</w:t>
      </w:r>
      <w:r>
        <w:rPr>
          <w:rFonts w:hint="eastAsia" w:ascii="宋体" w:hAnsi="宋体" w:eastAsia="宋体" w:cs="宋体"/>
          <w:color w:val="auto"/>
          <w:sz w:val="24"/>
          <w:szCs w:val="24"/>
          <w:lang w:val="en-US" w:eastAsia="zh-CN"/>
        </w:rPr>
        <w:t>付款</w:t>
      </w:r>
      <w:r>
        <w:rPr>
          <w:rFonts w:hint="eastAsia" w:ascii="宋体" w:hAnsi="宋体" w:eastAsia="宋体" w:cs="宋体"/>
          <w:color w:val="auto"/>
          <w:sz w:val="24"/>
          <w:szCs w:val="24"/>
          <w:lang w:eastAsia="zh-CN"/>
        </w:rPr>
        <w:t>材料包括</w:t>
      </w:r>
      <w:r>
        <w:rPr>
          <w:rFonts w:hint="eastAsia" w:ascii="宋体" w:hAnsi="宋体" w:eastAsia="宋体" w:cs="宋体"/>
          <w:color w:val="auto"/>
          <w:sz w:val="24"/>
          <w:szCs w:val="24"/>
          <w:lang w:val="en-US" w:eastAsia="zh-CN"/>
        </w:rPr>
        <w:t>增值税专用</w:t>
      </w:r>
      <w:r>
        <w:rPr>
          <w:rFonts w:hint="eastAsia" w:ascii="宋体" w:hAnsi="宋体" w:eastAsia="宋体" w:cs="宋体"/>
          <w:color w:val="auto"/>
          <w:sz w:val="24"/>
          <w:szCs w:val="24"/>
        </w:rPr>
        <w:t>发票、</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合同</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增值税发票税率依据国家最新政策标准执行，且合同总价不变。</w:t>
      </w:r>
      <w:r>
        <w:rPr>
          <w:rFonts w:hint="eastAsia" w:ascii="宋体" w:hAnsi="宋体" w:eastAsia="宋体" w:cs="宋体"/>
          <w:color w:val="auto"/>
          <w:sz w:val="24"/>
          <w:szCs w:val="24"/>
          <w:lang w:eastAsia="zh-CN"/>
        </w:rPr>
        <w:t>）</w:t>
      </w:r>
    </w:p>
    <w:p w14:paraId="49008D80">
      <w:pPr>
        <w:keepNext/>
        <w:keepLines/>
        <w:pageBreakBefore w:val="0"/>
        <w:widowControl/>
        <w:kinsoku/>
        <w:wordWrap/>
        <w:overflowPunct/>
        <w:topLinePunct w:val="0"/>
        <w:autoSpaceDE w:val="0"/>
        <w:autoSpaceDN w:val="0"/>
        <w:bidi w:val="0"/>
        <w:adjustRightInd w:val="0"/>
        <w:snapToGrid/>
        <w:spacing w:before="0" w:line="46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3、本合同执行中相关的一切税费均由乙方负担。</w:t>
      </w:r>
    </w:p>
    <w:p w14:paraId="5DE33EB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甲方账户信息：</w:t>
      </w:r>
    </w:p>
    <w:tbl>
      <w:tblPr>
        <w:tblStyle w:val="18"/>
        <w:tblW w:w="8519" w:type="dxa"/>
        <w:jc w:val="center"/>
        <w:tblLayout w:type="fixed"/>
        <w:tblCellMar>
          <w:top w:w="0" w:type="dxa"/>
          <w:left w:w="108" w:type="dxa"/>
          <w:bottom w:w="0" w:type="dxa"/>
          <w:right w:w="108" w:type="dxa"/>
        </w:tblCellMar>
      </w:tblPr>
      <w:tblGrid>
        <w:gridCol w:w="2222"/>
        <w:gridCol w:w="6297"/>
      </w:tblGrid>
      <w:tr w14:paraId="12FC04B9">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015F213E">
            <w:pPr>
              <w:pStyle w:val="30"/>
              <w:adjustRightInd/>
              <w:spacing w:before="0" w:after="0"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单位名称</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7E3E55B8">
            <w:pPr>
              <w:pStyle w:val="30"/>
              <w:adjustRightInd/>
              <w:spacing w:before="0" w:after="0"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诸暨广电信息技术有限公司</w:t>
            </w:r>
          </w:p>
        </w:tc>
      </w:tr>
      <w:tr w14:paraId="261497AF">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07D97E79">
            <w:pPr>
              <w:pStyle w:val="30"/>
              <w:adjustRightInd/>
              <w:spacing w:before="0" w:after="0"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统一社会信用代码</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576F0B39">
            <w:pPr>
              <w:pStyle w:val="30"/>
              <w:adjustRightInd/>
              <w:spacing w:before="0" w:after="0"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9133068131365622XW</w:t>
            </w:r>
          </w:p>
        </w:tc>
      </w:tr>
      <w:tr w14:paraId="3B193F5D">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2B4B6E7A">
            <w:pPr>
              <w:pStyle w:val="30"/>
              <w:adjustRightInd/>
              <w:spacing w:before="0" w:after="0"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7E30FEAB">
            <w:pPr>
              <w:pStyle w:val="30"/>
              <w:adjustRightInd/>
              <w:spacing w:before="0" w:after="0"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诸暨市暨阳街道滨江中路28-35号0575-89713803</w:t>
            </w:r>
          </w:p>
        </w:tc>
      </w:tr>
      <w:tr w14:paraId="37974B70">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7177D0C9">
            <w:pPr>
              <w:pStyle w:val="30"/>
              <w:adjustRightInd/>
              <w:spacing w:before="0" w:after="0"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开户银行</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2ED74F79">
            <w:pPr>
              <w:pStyle w:val="30"/>
              <w:adjustRightInd/>
              <w:spacing w:before="0" w:after="0"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农行诸暨支行</w:t>
            </w:r>
          </w:p>
        </w:tc>
      </w:tr>
      <w:tr w14:paraId="22EB3651">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44AF0440">
            <w:pPr>
              <w:pStyle w:val="30"/>
              <w:adjustRightInd/>
              <w:spacing w:before="0" w:after="0"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银行账号</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06A9988F">
            <w:pPr>
              <w:pStyle w:val="30"/>
              <w:adjustRightInd/>
              <w:spacing w:before="0" w:after="0"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19530101040042751</w:t>
            </w:r>
          </w:p>
        </w:tc>
      </w:tr>
    </w:tbl>
    <w:p w14:paraId="4CF5469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乙方账户信息：</w:t>
      </w:r>
    </w:p>
    <w:tbl>
      <w:tblPr>
        <w:tblStyle w:val="18"/>
        <w:tblW w:w="8519" w:type="dxa"/>
        <w:jc w:val="center"/>
        <w:tblLayout w:type="fixed"/>
        <w:tblCellMar>
          <w:top w:w="0" w:type="dxa"/>
          <w:left w:w="108" w:type="dxa"/>
          <w:bottom w:w="0" w:type="dxa"/>
          <w:right w:w="108" w:type="dxa"/>
        </w:tblCellMar>
      </w:tblPr>
      <w:tblGrid>
        <w:gridCol w:w="2222"/>
        <w:gridCol w:w="6297"/>
      </w:tblGrid>
      <w:tr w14:paraId="210AD337">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0251EB01">
            <w:pPr>
              <w:pStyle w:val="30"/>
              <w:adjustRightInd/>
              <w:spacing w:before="0" w:after="0"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单位名称</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5C9593CD">
            <w:pPr>
              <w:pStyle w:val="30"/>
              <w:adjustRightInd/>
              <w:spacing w:before="0" w:after="0" w:line="240" w:lineRule="auto"/>
              <w:ind w:firstLine="0" w:firstLineChars="0"/>
              <w:jc w:val="both"/>
              <w:rPr>
                <w:rFonts w:hint="eastAsia" w:ascii="宋体" w:hAnsi="宋体" w:eastAsia="宋体" w:cs="宋体"/>
                <w:color w:val="auto"/>
                <w:sz w:val="21"/>
                <w:szCs w:val="21"/>
                <w:lang w:val="en-US" w:eastAsia="zh-CN"/>
              </w:rPr>
            </w:pPr>
          </w:p>
        </w:tc>
      </w:tr>
      <w:tr w14:paraId="7E0A4575">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51C2BCB4">
            <w:pPr>
              <w:pStyle w:val="30"/>
              <w:adjustRightInd/>
              <w:spacing w:before="0" w:after="0"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统一社会信用代码</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17BC3A9C">
            <w:pPr>
              <w:pStyle w:val="30"/>
              <w:adjustRightInd/>
              <w:spacing w:before="0" w:after="0" w:line="240" w:lineRule="auto"/>
              <w:ind w:firstLine="0" w:firstLineChars="0"/>
              <w:jc w:val="both"/>
              <w:rPr>
                <w:rFonts w:hint="eastAsia" w:ascii="宋体" w:hAnsi="宋体" w:eastAsia="宋体" w:cs="宋体"/>
                <w:color w:val="auto"/>
                <w:sz w:val="21"/>
                <w:szCs w:val="21"/>
                <w:lang w:val="en-US" w:eastAsia="zh-CN"/>
              </w:rPr>
            </w:pPr>
          </w:p>
        </w:tc>
      </w:tr>
      <w:tr w14:paraId="3C958C7E">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0AEEBF0F">
            <w:pPr>
              <w:pStyle w:val="30"/>
              <w:adjustRightInd/>
              <w:spacing w:before="0" w:after="0"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62C7E8D2">
            <w:pPr>
              <w:pStyle w:val="30"/>
              <w:adjustRightInd/>
              <w:spacing w:before="0" w:after="0" w:line="240" w:lineRule="auto"/>
              <w:ind w:firstLine="0" w:firstLineChars="0"/>
              <w:jc w:val="both"/>
              <w:rPr>
                <w:rFonts w:hint="eastAsia" w:ascii="宋体" w:hAnsi="宋体" w:eastAsia="宋体" w:cs="宋体"/>
                <w:color w:val="auto"/>
                <w:sz w:val="21"/>
                <w:szCs w:val="21"/>
                <w:lang w:val="en-US" w:eastAsia="zh-CN"/>
              </w:rPr>
            </w:pPr>
          </w:p>
        </w:tc>
      </w:tr>
      <w:tr w14:paraId="14C80CD6">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19D95079">
            <w:pPr>
              <w:pStyle w:val="30"/>
              <w:adjustRightInd/>
              <w:spacing w:before="0" w:after="0"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开户银行</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0CD7762D">
            <w:pPr>
              <w:pStyle w:val="30"/>
              <w:adjustRightInd/>
              <w:spacing w:before="0" w:after="0" w:line="240" w:lineRule="auto"/>
              <w:ind w:firstLine="0" w:firstLineChars="0"/>
              <w:jc w:val="both"/>
              <w:rPr>
                <w:rFonts w:hint="eastAsia" w:ascii="宋体" w:hAnsi="宋体" w:eastAsia="宋体" w:cs="宋体"/>
                <w:color w:val="auto"/>
                <w:sz w:val="21"/>
                <w:szCs w:val="21"/>
                <w:lang w:val="en-US" w:eastAsia="zh-CN"/>
              </w:rPr>
            </w:pPr>
          </w:p>
        </w:tc>
      </w:tr>
      <w:tr w14:paraId="1A7CB252">
        <w:tblPrEx>
          <w:tblCellMar>
            <w:top w:w="0" w:type="dxa"/>
            <w:left w:w="108" w:type="dxa"/>
            <w:bottom w:w="0" w:type="dxa"/>
            <w:right w:w="108" w:type="dxa"/>
          </w:tblCellMar>
        </w:tblPrEx>
        <w:trPr>
          <w:cantSplit/>
          <w:trHeight w:val="397" w:hRule="exact"/>
          <w:jc w:val="center"/>
        </w:trPr>
        <w:tc>
          <w:tcPr>
            <w:tcW w:w="2222" w:type="dxa"/>
            <w:tcBorders>
              <w:top w:val="single" w:color="auto" w:sz="6" w:space="0"/>
              <w:left w:val="single" w:color="auto" w:sz="6" w:space="0"/>
              <w:bottom w:val="single" w:color="auto" w:sz="6" w:space="0"/>
              <w:right w:val="single" w:color="auto" w:sz="6" w:space="0"/>
            </w:tcBorders>
            <w:noWrap w:val="0"/>
            <w:vAlign w:val="center"/>
          </w:tcPr>
          <w:p w14:paraId="1640382B">
            <w:pPr>
              <w:pStyle w:val="30"/>
              <w:adjustRightInd/>
              <w:spacing w:before="0" w:after="0" w:line="24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银行账号</w:t>
            </w:r>
          </w:p>
        </w:tc>
        <w:tc>
          <w:tcPr>
            <w:tcW w:w="6297" w:type="dxa"/>
            <w:tcBorders>
              <w:top w:val="single" w:color="auto" w:sz="6" w:space="0"/>
              <w:left w:val="single" w:color="auto" w:sz="6" w:space="0"/>
              <w:bottom w:val="single" w:color="auto" w:sz="6" w:space="0"/>
              <w:right w:val="single" w:color="auto" w:sz="6" w:space="0"/>
            </w:tcBorders>
            <w:noWrap w:val="0"/>
            <w:vAlign w:val="center"/>
          </w:tcPr>
          <w:p w14:paraId="15459C9C">
            <w:pPr>
              <w:pStyle w:val="30"/>
              <w:adjustRightInd/>
              <w:spacing w:before="0" w:after="0" w:line="240" w:lineRule="auto"/>
              <w:ind w:firstLine="0" w:firstLineChars="0"/>
              <w:jc w:val="both"/>
              <w:rPr>
                <w:rFonts w:hint="eastAsia" w:ascii="宋体" w:hAnsi="宋体" w:eastAsia="宋体" w:cs="宋体"/>
                <w:color w:val="auto"/>
                <w:sz w:val="21"/>
                <w:szCs w:val="21"/>
                <w:lang w:val="en-US" w:eastAsia="zh-CN"/>
              </w:rPr>
            </w:pPr>
          </w:p>
        </w:tc>
      </w:tr>
    </w:tbl>
    <w:p w14:paraId="0C8C71AD">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24"/>
          <w:szCs w:val="24"/>
          <w:highlight w:val="none"/>
          <w:lang w:val="en-US" w:eastAsia="zh-CN"/>
        </w:rPr>
        <w:t xml:space="preserve">第十四条 </w:t>
      </w:r>
      <w:r>
        <w:rPr>
          <w:rFonts w:hint="eastAsia" w:ascii="宋体" w:hAnsi="宋体" w:eastAsia="宋体" w:cs="宋体"/>
          <w:b/>
          <w:color w:val="auto"/>
          <w:sz w:val="24"/>
          <w:szCs w:val="24"/>
        </w:rPr>
        <w:t>售后服务</w:t>
      </w:r>
    </w:p>
    <w:p w14:paraId="5CB54429">
      <w:pPr>
        <w:pStyle w:val="31"/>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1.项目免费质保期：自项目终验合格之日起</w:t>
      </w:r>
      <w:r>
        <w:rPr>
          <w:rFonts w:hint="eastAsia" w:ascii="宋体" w:hAnsi="宋体" w:eastAsia="宋体" w:cs="宋体"/>
          <w:b/>
          <w:bCs/>
          <w:color w:val="auto"/>
          <w:sz w:val="24"/>
          <w:szCs w:val="24"/>
          <w:u w:val="single"/>
          <w:lang w:val="en-US" w:eastAsia="zh-CN" w:bidi="ar-SA"/>
        </w:rPr>
        <w:t xml:space="preserve">     </w:t>
      </w:r>
      <w:r>
        <w:rPr>
          <w:rFonts w:hint="eastAsia" w:ascii="宋体" w:hAnsi="宋体" w:eastAsia="宋体" w:cs="宋体"/>
          <w:color w:val="auto"/>
          <w:sz w:val="24"/>
          <w:szCs w:val="24"/>
          <w:lang w:val="en-US" w:eastAsia="zh-CN" w:bidi="ar-SA"/>
        </w:rPr>
        <w:t>年。免费质保期到期后的维护费用由双方协商确定，但不得超过项目合同金额的</w:t>
      </w:r>
      <w:r>
        <w:rPr>
          <w:rFonts w:hint="eastAsia" w:ascii="宋体" w:hAnsi="宋体" w:eastAsia="宋体" w:cs="宋体"/>
          <w:color w:val="auto"/>
          <w:sz w:val="24"/>
          <w:szCs w:val="24"/>
          <w:u w:val="single"/>
          <w:lang w:val="en-US" w:eastAsia="zh-CN" w:bidi="ar-SA"/>
        </w:rPr>
        <w:t xml:space="preserve"> 7 </w:t>
      </w:r>
      <w:r>
        <w:rPr>
          <w:rFonts w:hint="eastAsia" w:ascii="宋体" w:hAnsi="宋体" w:eastAsia="宋体" w:cs="宋体"/>
          <w:color w:val="auto"/>
          <w:sz w:val="24"/>
          <w:szCs w:val="24"/>
          <w:lang w:val="en-US" w:eastAsia="zh-CN" w:bidi="ar-SA"/>
        </w:rPr>
        <w:t>%。</w:t>
      </w:r>
    </w:p>
    <w:p w14:paraId="0E230CC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乙方对其提供的所有设备均提供</w:t>
      </w:r>
      <w:r>
        <w:rPr>
          <w:rFonts w:hint="eastAsia" w:ascii="宋体" w:hAnsi="宋体" w:eastAsia="宋体" w:cs="宋体"/>
          <w:color w:val="auto"/>
          <w:sz w:val="24"/>
          <w:szCs w:val="24"/>
          <w:highlight w:val="none"/>
        </w:rPr>
        <w:t>原厂商质保</w:t>
      </w:r>
      <w:r>
        <w:rPr>
          <w:rFonts w:hint="eastAsia" w:ascii="宋体" w:hAnsi="宋体" w:eastAsia="宋体" w:cs="宋体"/>
          <w:color w:val="auto"/>
          <w:sz w:val="24"/>
          <w:szCs w:val="24"/>
        </w:rPr>
        <w:t>，终身维护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质保期内，所有软件免费维护、升级，免费提供相应解决方案等技术支持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有设备免费上门维修服务、免费更换零部件，提供终身维护。质保期从产品验收合格之日起开始计算。质保期内非人为因素出现的质量问题，须按国家有关规定和要求（如无国家规定和要求的，按承诺和厂方“三包”规定）立即进行免费维修、免费更换有缺陷的零部件、直至免费更换新货物。</w:t>
      </w:r>
    </w:p>
    <w:p w14:paraId="22C0C2DE">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质保期内乙方提供7*24小时技术支持服务。在接到故障通知后，乙方必须在半小时内响应，</w:t>
      </w:r>
      <w:r>
        <w:rPr>
          <w:rFonts w:hint="eastAsia" w:ascii="宋体" w:hAnsi="宋体" w:eastAsia="宋体" w:cs="宋体"/>
          <w:b w:val="0"/>
          <w:bCs w:val="0"/>
          <w:color w:val="auto"/>
          <w:sz w:val="24"/>
          <w:szCs w:val="24"/>
        </w:rPr>
        <w:t>技术工程师在每天8:00～18:00期间2小时内到达现场进行维护服务（包括维修配件到达服务现场），其余期间3小时内到达现场。到达现场后1小时内排除设备故障。</w:t>
      </w:r>
      <w:r>
        <w:rPr>
          <w:rFonts w:hint="eastAsia" w:ascii="宋体" w:hAnsi="宋体" w:eastAsia="宋体" w:cs="宋体"/>
          <w:color w:val="auto"/>
          <w:sz w:val="24"/>
          <w:szCs w:val="24"/>
        </w:rPr>
        <w:t>对于影响设备正常运行的严重故障，乙方的技术人员需在接到故障通知后半小时内赶到现场，查找原因，提出解决方案，并工作直至故障修妥，完全恢复正常工作为止，一般要求保证设备在4小时内修复，并需要提供确保承诺实现的措施。因货物本身问题在4小时之内仍不能排除的故障，应立刻启用供备用方案，设备需免费提供备品备件替用。故障处理超过约定时间，每次承担违约金</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rPr>
        <w:t>元，因第三方故意破坏或人力不可抗因素造成故障处理超过约定时间，不再追究规定时间内解决故障的违约责任。出现故障后，乙方如未按上述要求进行响应，甲方可以采取必要的补救措施，由此产生的风险和费用将由乙方承担。</w:t>
      </w:r>
    </w:p>
    <w:p w14:paraId="2C84A286">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乙方提供的设备</w:t>
      </w:r>
      <w:r>
        <w:rPr>
          <w:rFonts w:hint="eastAsia" w:ascii="宋体" w:hAnsi="宋体" w:eastAsia="宋体" w:cs="宋体"/>
          <w:color w:val="auto"/>
          <w:sz w:val="24"/>
          <w:szCs w:val="24"/>
          <w:lang w:val="en-US" w:eastAsia="zh-CN"/>
        </w:rPr>
        <w:t>及软件</w:t>
      </w:r>
      <w:r>
        <w:rPr>
          <w:rFonts w:hint="eastAsia" w:ascii="宋体" w:hAnsi="宋体" w:eastAsia="宋体" w:cs="宋体"/>
          <w:color w:val="auto"/>
          <w:sz w:val="24"/>
          <w:szCs w:val="24"/>
        </w:rPr>
        <w:t>在质保期内因设备本身的质量问题发生故障，乙方应负责免费更换。对达不到技术要求者，根据实际情况，经双方协商，可按以下办法处理：</w:t>
      </w:r>
    </w:p>
    <w:p w14:paraId="50581565">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（1）更换：由乙方承担所发生的全部费用。</w:t>
      </w:r>
    </w:p>
    <w:p w14:paraId="653C2052">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（2）退货处理：乙方应退还甲方支付的合同款，同时应承担该项目的直接费</w:t>
      </w:r>
      <w:r>
        <w:rPr>
          <w:rFonts w:hint="eastAsia" w:ascii="宋体" w:hAnsi="宋体" w:eastAsia="宋体" w:cs="宋体"/>
          <w:bCs/>
          <w:color w:val="auto"/>
          <w:sz w:val="24"/>
          <w:szCs w:val="24"/>
          <w:highlight w:val="none"/>
        </w:rPr>
        <w:t>用（检验、货款利息及银行手续费等）</w:t>
      </w:r>
      <w:r>
        <w:rPr>
          <w:rFonts w:hint="eastAsia" w:ascii="宋体" w:hAnsi="宋体" w:eastAsia="宋体" w:cs="宋体"/>
          <w:bCs/>
          <w:color w:val="auto"/>
          <w:sz w:val="24"/>
          <w:szCs w:val="24"/>
        </w:rPr>
        <w:t>。</w:t>
      </w:r>
    </w:p>
    <w:p w14:paraId="23EC79D6">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乙方须做出无推诿承诺。即乙方应提供特殊措施，无论由于哪一方产生的问题而使设备发生不正常情况时，在得到甲方通知后，须立即派遣工程师到场，全力协助使设备尽快恢复正常</w:t>
      </w:r>
      <w:r>
        <w:rPr>
          <w:rFonts w:hint="eastAsia" w:ascii="宋体" w:hAnsi="宋体" w:eastAsia="宋体" w:cs="宋体"/>
          <w:color w:val="auto"/>
          <w:sz w:val="24"/>
          <w:szCs w:val="24"/>
          <w:highlight w:val="none"/>
        </w:rPr>
        <w:t>，使系统</w:t>
      </w:r>
      <w:r>
        <w:rPr>
          <w:rFonts w:hint="eastAsia" w:ascii="宋体" w:hAnsi="宋体" w:eastAsia="宋体" w:cs="宋体"/>
          <w:color w:val="auto"/>
          <w:sz w:val="24"/>
          <w:szCs w:val="24"/>
          <w:highlight w:val="none"/>
          <w:lang w:val="en-US" w:eastAsia="zh-CN"/>
        </w:rPr>
        <w:t>或设备</w:t>
      </w:r>
      <w:r>
        <w:rPr>
          <w:rFonts w:hint="eastAsia" w:ascii="宋体" w:hAnsi="宋体" w:eastAsia="宋体" w:cs="宋体"/>
          <w:color w:val="auto"/>
          <w:sz w:val="24"/>
          <w:szCs w:val="24"/>
          <w:highlight w:val="none"/>
        </w:rPr>
        <w:t>尽快恢复正常</w:t>
      </w:r>
      <w:r>
        <w:rPr>
          <w:rFonts w:hint="eastAsia" w:ascii="宋体" w:hAnsi="宋体" w:eastAsia="宋体" w:cs="宋体"/>
          <w:color w:val="auto"/>
          <w:sz w:val="24"/>
          <w:szCs w:val="24"/>
        </w:rPr>
        <w:t>。</w:t>
      </w:r>
    </w:p>
    <w:p w14:paraId="493F5157">
      <w:pPr>
        <w:pStyle w:val="9"/>
        <w:keepNext w:val="0"/>
        <w:keepLines w:val="0"/>
        <w:pageBreakBefore w:val="0"/>
        <w:widowControl/>
        <w:kinsoku/>
        <w:wordWrap/>
        <w:topLinePunct w:val="0"/>
        <w:bidi w:val="0"/>
        <w:spacing w:line="460" w:lineRule="exact"/>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质保期内提供同版本软件免费客户化修改与免费升级服务，并为用户后续的信息化建设提供长期的技术支持。免费售后维护服务期后的维护费用由双方协商确定，但不得超过项目金额的7%。</w:t>
      </w:r>
    </w:p>
    <w:p w14:paraId="60950315">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在质保期内，乙方应定时对设备进行巡检和保养，质保期内每季度巡检1次，并免费处理因产品质量问题导致的故障，若设备发生故障，乙方应先提供备件供甲方使用。</w:t>
      </w:r>
    </w:p>
    <w:p w14:paraId="197B484B">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软件先进性要求：质保期内，乙方免费对软件版本进行升级，确保甲方使用软件一直是乙方行业内最新版本。</w:t>
      </w:r>
    </w:p>
    <w:p w14:paraId="3BF2FD40">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乙方需自觉接受最终用户、甲方单位、监理单位</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如有）</w:t>
      </w:r>
      <w:r>
        <w:rPr>
          <w:rFonts w:hint="eastAsia" w:ascii="宋体" w:hAnsi="宋体" w:eastAsia="宋体" w:cs="宋体"/>
          <w:bCs/>
          <w:color w:val="auto"/>
          <w:sz w:val="24"/>
          <w:szCs w:val="24"/>
          <w:highlight w:val="none"/>
        </w:rPr>
        <w:t>的监督管理。</w:t>
      </w:r>
    </w:p>
    <w:p w14:paraId="5D573B03">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乙方应保障平台运作过程中采集到的所有数据及信息的安全性；保证数据及信息不外泄，不另作他用。如果因软件系统原因导致数据及信息外泄或另作他用而引发的第三方投诉、追诉、要求赔偿等纠纷而造成甲方损失的，所有经济损失全部由乙方负责承担。</w:t>
      </w:r>
    </w:p>
    <w:p w14:paraId="16AF9595">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24"/>
          <w:szCs w:val="24"/>
          <w:highlight w:val="none"/>
          <w:lang w:val="en-US" w:eastAsia="zh-CN"/>
        </w:rPr>
        <w:t xml:space="preserve">第十五条 </w:t>
      </w:r>
      <w:r>
        <w:rPr>
          <w:rFonts w:hint="eastAsia" w:ascii="宋体" w:hAnsi="宋体" w:eastAsia="宋体" w:cs="宋体"/>
          <w:b/>
          <w:color w:val="auto"/>
          <w:sz w:val="24"/>
          <w:szCs w:val="24"/>
        </w:rPr>
        <w:t>违约责任</w:t>
      </w:r>
    </w:p>
    <w:p w14:paraId="51C47F4D">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甲方无正当理由拒收货物，由甲方向乙方偿付合同总价的5%违约金。</w:t>
      </w:r>
    </w:p>
    <w:p w14:paraId="097C34FA">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乙方逾期提交阶段产物的，乙方应按照合同总额每日0.05 %向甲方支付违约金，由甲方从履约保证金中扣除。逾期超过约定日期30个工作日不能提交阶段产物的，甲方有权</w:t>
      </w:r>
      <w:r>
        <w:rPr>
          <w:rFonts w:hint="eastAsia" w:ascii="宋体" w:hAnsi="宋体" w:eastAsia="宋体" w:cs="宋体"/>
          <w:color w:val="auto"/>
          <w:sz w:val="24"/>
          <w:szCs w:val="24"/>
          <w:lang w:val="en-US" w:eastAsia="zh-CN"/>
        </w:rPr>
        <w:t>解除合同并</w:t>
      </w:r>
      <w:r>
        <w:rPr>
          <w:rFonts w:hint="eastAsia" w:ascii="宋体" w:hAnsi="宋体" w:eastAsia="宋体" w:cs="宋体"/>
          <w:color w:val="auto"/>
          <w:sz w:val="24"/>
          <w:szCs w:val="24"/>
        </w:rPr>
        <w:t>保留进一步追究乙方违约责任的权力。乙方提交的阶段产物如不能通过评审或验收的，视同未提交。乙方因逾期交货或因其他违约行为导致甲方与最终用户解除合同的，乙方应向甲方支付合同总值5%的违约金，如造成甲方损失超过违约金的，超出部分由乙方继续承担赔偿责任。</w:t>
      </w:r>
    </w:p>
    <w:p w14:paraId="7E9265A7">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乙方逾期交付货物的</w:t>
      </w:r>
      <w:r>
        <w:rPr>
          <w:rFonts w:hint="eastAsia" w:ascii="宋体" w:hAnsi="宋体" w:eastAsia="宋体" w:cs="宋体"/>
          <w:color w:val="auto"/>
          <w:sz w:val="24"/>
          <w:szCs w:val="24"/>
          <w:lang w:eastAsia="zh-CN"/>
        </w:rPr>
        <w:t>或逾期完成项目建设的</w:t>
      </w:r>
      <w:r>
        <w:rPr>
          <w:rFonts w:hint="eastAsia" w:ascii="宋体" w:hAnsi="宋体" w:eastAsia="宋体" w:cs="宋体"/>
          <w:color w:val="auto"/>
          <w:sz w:val="24"/>
          <w:szCs w:val="24"/>
        </w:rPr>
        <w:t>，每逾期1天，乙方向甲方偿付逾期交货部分货物货款的0.5%的滞纳金，每逾期一天货物款延迟一个月支付；逾期5天以上15天以下的，乙方向甲方偿付合同款总价5%的滞纳金，每逾期一天货物款延迟3个月支付；如乙方逾期交货15天以上的，甲方有权解除合同，解除合同的通知自到达乙方时生效。</w:t>
      </w:r>
    </w:p>
    <w:p w14:paraId="642B8A3D">
      <w:pPr>
        <w:pStyle w:val="28"/>
        <w:keepNext w:val="0"/>
        <w:keepLines w:val="0"/>
        <w:pageBreakBefore w:val="0"/>
        <w:widowControl/>
        <w:kinsoku/>
        <w:wordWrap/>
        <w:overflowPunct/>
        <w:topLinePunct w:val="0"/>
        <w:autoSpaceDE w:val="0"/>
        <w:autoSpaceDN w:val="0"/>
        <w:bidi w:val="0"/>
        <w:adjustRightInd w:val="0"/>
        <w:snapToGrid/>
        <w:spacing w:after="0" w:line="460" w:lineRule="exact"/>
        <w:ind w:left="0" w:leftChars="0" w:firstLine="480" w:firstLineChars="200"/>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highlight w:val="none"/>
        </w:rPr>
        <w:t>乙方在项目实施中应注意自身安全，要设置防护设施，加强对施工人员的安全教育，在安装、施工期间发生的安全事故，均由乙方负全责。</w:t>
      </w:r>
      <w:r>
        <w:rPr>
          <w:rFonts w:hint="eastAsia" w:ascii="宋体" w:hAnsi="宋体" w:eastAsia="宋体" w:cs="宋体"/>
          <w:color w:val="auto"/>
          <w:sz w:val="24"/>
          <w:szCs w:val="24"/>
          <w:highlight w:val="none"/>
          <w:u w:val="none"/>
        </w:rPr>
        <w:t>如因乙方人员未在场引起的安全责任事故，</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rPr>
        <w:t>乙方在项目实施中</w:t>
      </w:r>
      <w:r>
        <w:rPr>
          <w:rFonts w:hint="eastAsia" w:ascii="宋体" w:hAnsi="宋体" w:eastAsia="宋体" w:cs="宋体"/>
          <w:color w:val="auto"/>
          <w:sz w:val="24"/>
          <w:szCs w:val="24"/>
          <w:highlight w:val="none"/>
          <w:lang w:val="en-US" w:eastAsia="zh-CN"/>
        </w:rPr>
        <w:t>出现的劳动或劳务纠纷，</w:t>
      </w:r>
      <w:r>
        <w:rPr>
          <w:rFonts w:hint="eastAsia" w:ascii="宋体" w:hAnsi="宋体" w:eastAsia="宋体" w:cs="宋体"/>
          <w:color w:val="auto"/>
          <w:sz w:val="24"/>
          <w:szCs w:val="24"/>
          <w:highlight w:val="none"/>
        </w:rPr>
        <w:t>所有</w:t>
      </w:r>
      <w:r>
        <w:rPr>
          <w:rFonts w:hint="eastAsia" w:ascii="宋体" w:hAnsi="宋体" w:eastAsia="宋体" w:cs="宋体"/>
          <w:color w:val="auto"/>
          <w:sz w:val="24"/>
          <w:szCs w:val="24"/>
          <w:highlight w:val="none"/>
          <w:u w:val="none"/>
        </w:rPr>
        <w:t>责任由乙方承担。</w:t>
      </w:r>
    </w:p>
    <w:p w14:paraId="0FBF6453">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乙方所交的设备规格、技术参数、质量不符合合同规定标准的，甲方有权拒收，乙方愿意更换但逾期交货的，按乙方逾期交货处理。乙方拒绝更换的，甲方可单方面解除合同。</w:t>
      </w:r>
    </w:p>
    <w:p w14:paraId="76AA83F0">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项目实施过程中需100%保证采购需求里面的内容，未经甲方同意中途不得更换，否则甲方有权根据实际情况扣除费用。</w:t>
      </w:r>
    </w:p>
    <w:p w14:paraId="506ED67C">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如因乙方技术原因导致重大故障的，甲方有权保留进一步追究乙方违约责任的权力。</w:t>
      </w:r>
    </w:p>
    <w:p w14:paraId="4ACBA662">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乙方在质保期内有新版本更新后，未能及时在新版本出现1个月内给</w:t>
      </w:r>
      <w:r>
        <w:rPr>
          <w:rFonts w:hint="eastAsia" w:ascii="宋体" w:hAnsi="宋体" w:eastAsia="宋体" w:cs="宋体"/>
          <w:bCs/>
          <w:color w:val="auto"/>
          <w:sz w:val="24"/>
          <w:szCs w:val="24"/>
          <w:highlight w:val="none"/>
          <w:lang w:val="en-US" w:eastAsia="zh-CN"/>
        </w:rPr>
        <w:t>予</w:t>
      </w:r>
      <w:r>
        <w:rPr>
          <w:rFonts w:hint="eastAsia" w:ascii="宋体" w:hAnsi="宋体" w:eastAsia="宋体" w:cs="宋体"/>
          <w:bCs/>
          <w:color w:val="auto"/>
          <w:sz w:val="24"/>
          <w:szCs w:val="24"/>
          <w:highlight w:val="none"/>
        </w:rPr>
        <w:t>更新，则按每次版本升级乙方向甲方支付合同总值10%的违约金。</w:t>
      </w:r>
    </w:p>
    <w:p w14:paraId="2EA43885">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若乙方违反了本合同“保密义务”中的任一条款，需向甲方支付合同总值的10%作为违约金；若实际损失超过乙方支付违约金的，甲方有权继续向乙方追偿，因追偿产生的一切费用均由乙方承担。</w:t>
      </w:r>
    </w:p>
    <w:p w14:paraId="7047B708">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乙方未能在质保期内按要求及时提供技术支持和故障维护，每次支付5000元违约金，如因乙方原因未能及时提供技术支持或故障维护而引起的安全责任事故，所有经济责任及法律责任均由乙方承担。</w:t>
      </w:r>
    </w:p>
    <w:p w14:paraId="1EE3CFE8">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11.</w:t>
      </w:r>
      <w:r>
        <w:rPr>
          <w:rFonts w:hint="eastAsia" w:ascii="宋体" w:hAnsi="宋体" w:eastAsia="宋体" w:cs="宋体"/>
          <w:bCs/>
          <w:color w:val="auto"/>
          <w:sz w:val="24"/>
          <w:szCs w:val="24"/>
          <w:highlight w:val="none"/>
          <w:lang w:eastAsia="zh-CN"/>
        </w:rPr>
        <w:t xml:space="preserve"> </w:t>
      </w:r>
      <w:r>
        <w:rPr>
          <w:rFonts w:hint="eastAsia" w:ascii="宋体" w:hAnsi="宋体" w:eastAsia="宋体" w:cs="宋体"/>
          <w:bCs/>
          <w:color w:val="auto"/>
          <w:sz w:val="24"/>
          <w:szCs w:val="24"/>
          <w:highlight w:val="none"/>
        </w:rPr>
        <w:t>未经甲方同意，乙方未能按照售后服务要求提供人员驻场平台运维与定制开发服务，每人每天支付500元违约金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rPr>
        <w:t>累计达15天，则扣除当年平台运维与定制开发服务费用。</w:t>
      </w:r>
      <w:r>
        <w:rPr>
          <w:rFonts w:hint="eastAsia" w:ascii="宋体" w:hAnsi="宋体" w:eastAsia="宋体" w:cs="宋体"/>
          <w:bCs/>
          <w:color w:val="auto"/>
          <w:sz w:val="24"/>
          <w:szCs w:val="24"/>
          <w:highlight w:val="none"/>
        </w:rPr>
        <w:t>如因乙方人员未在场引起的安全责任事故，所有责任由乙方承担。</w:t>
      </w:r>
    </w:p>
    <w:p w14:paraId="32DE3773">
      <w:pPr>
        <w:pageBreakBefore w:val="0"/>
        <w:widowControl/>
        <w:kinsoku/>
        <w:wordWrap/>
        <w:topLinePunct w:val="0"/>
        <w:bidi w:val="0"/>
        <w:spacing w:line="460" w:lineRule="exact"/>
        <w:ind w:firstLine="480" w:firstLineChars="20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、按照相关政务信息化项目建设要求完成信创适配改造。如未按要求完成改造，甲方有权取消合同，并要求乙方进行赔偿。</w:t>
      </w:r>
    </w:p>
    <w:p w14:paraId="2EBA7622">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13.上述因乙方违约造成的损失，甲方均有权从未付款项中扣除。</w:t>
      </w:r>
    </w:p>
    <w:p w14:paraId="769ECF2F">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24"/>
          <w:szCs w:val="24"/>
          <w:highlight w:val="none"/>
          <w:lang w:val="en-US" w:eastAsia="zh-CN"/>
        </w:rPr>
        <w:t xml:space="preserve">第十六条 </w:t>
      </w:r>
      <w:r>
        <w:rPr>
          <w:rFonts w:hint="eastAsia" w:ascii="宋体" w:hAnsi="宋体" w:eastAsia="宋体" w:cs="宋体"/>
          <w:b/>
          <w:color w:val="auto"/>
          <w:sz w:val="24"/>
          <w:szCs w:val="24"/>
        </w:rPr>
        <w:t>不可抗力</w:t>
      </w:r>
    </w:p>
    <w:p w14:paraId="0AC5195E">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1、本合同约定的不可抗力为：指双方不可预见、不可克服、不可避免的事件，包括但不限于政府行为、政策变化、地震、台风、洪水、火灾或其他天灾、战争、全国性疫情（如COVID-19）或任何其他类似事件。</w:t>
      </w:r>
    </w:p>
    <w:p w14:paraId="211471A3">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因上述不可抗力而造成的项目延误，双方不承担责任。</w:t>
      </w:r>
    </w:p>
    <w:p w14:paraId="29AB0BB5">
      <w:pPr>
        <w:keepNext w:val="0"/>
        <w:keepLines w:val="0"/>
        <w:pageBreakBefore w:val="0"/>
        <w:widowControl/>
        <w:numPr>
          <w:ilvl w:val="0"/>
          <w:numId w:val="0"/>
        </w:numPr>
        <w:kinsoku/>
        <w:wordWrap/>
        <w:overflowPunct/>
        <w:topLinePunct w:val="0"/>
        <w:autoSpaceDE w:val="0"/>
        <w:autoSpaceDN w:val="0"/>
        <w:bidi w:val="0"/>
        <w:adjustRightInd w:val="0"/>
        <w:snapToGrid/>
        <w:spacing w:line="460" w:lineRule="exact"/>
        <w:ind w:left="0" w:leftChars="0" w:firstLine="480" w:firstLineChars="200"/>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3、在不可抗力发生时，以及终止或清除后，受影响的一方应以书面形式尽快通知对方。双方应通过友好协商方式，就不可抗力影响合同履行的问题提出解决方案。</w:t>
      </w:r>
    </w:p>
    <w:p w14:paraId="3738617D">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highlight w:val="none"/>
          <w:lang w:val="en-US" w:eastAsia="zh-CN"/>
        </w:rPr>
        <w:t xml:space="preserve">第十七条 </w:t>
      </w:r>
      <w:r>
        <w:rPr>
          <w:rFonts w:hint="eastAsia" w:ascii="宋体" w:hAnsi="宋体" w:eastAsia="宋体" w:cs="宋体"/>
          <w:b/>
          <w:color w:val="auto"/>
          <w:sz w:val="24"/>
          <w:szCs w:val="24"/>
          <w:lang w:val="en-US" w:eastAsia="zh-CN"/>
        </w:rPr>
        <w:t>合同终止</w:t>
      </w:r>
    </w:p>
    <w:p w14:paraId="61B48A0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1、如发生下列情况，任何一方可以立即终止本合同：</w:t>
      </w:r>
    </w:p>
    <w:p w14:paraId="481DB7EA">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（1）一方进入破产、清算、解散、依法关闭阶段。</w:t>
      </w:r>
    </w:p>
    <w:p w14:paraId="740D662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（2）因各种原因致使一方资不抵债。</w:t>
      </w:r>
    </w:p>
    <w:p w14:paraId="0E3F013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2、如果一方违背了本合同规定的实质性义务，另一方可以给予其书面声明，提出其违约性质。如违约方在该声明送抵之日起30天内未能改正其违约行为，则未违约方有权以书面声明方式通知违约方终止本合同。</w:t>
      </w:r>
    </w:p>
    <w:p w14:paraId="7F58C048">
      <w:pPr>
        <w:pStyle w:val="31"/>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kern w:val="0"/>
          <w:sz w:val="24"/>
          <w:szCs w:val="24"/>
          <w:lang w:val="en-US" w:eastAsia="zh-CN" w:bidi="ar"/>
        </w:rPr>
        <w:t>3、若非乙方原因导致合同解除的，乙方有权就已完成的履约部分收取相应合同款项。</w:t>
      </w:r>
    </w:p>
    <w:p w14:paraId="3214B8B6">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24"/>
          <w:szCs w:val="24"/>
          <w:highlight w:val="none"/>
          <w:lang w:val="en-US" w:eastAsia="zh-CN"/>
        </w:rPr>
        <w:t xml:space="preserve">第十八条 </w:t>
      </w:r>
      <w:r>
        <w:rPr>
          <w:rFonts w:hint="eastAsia" w:ascii="宋体" w:hAnsi="宋体" w:eastAsia="宋体" w:cs="宋体"/>
          <w:b/>
          <w:color w:val="auto"/>
          <w:sz w:val="24"/>
          <w:szCs w:val="24"/>
        </w:rPr>
        <w:t>争议解决</w:t>
      </w:r>
    </w:p>
    <w:p w14:paraId="73C8AB71">
      <w:pPr>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color w:val="auto"/>
        </w:rPr>
      </w:pPr>
      <w:r>
        <w:rPr>
          <w:rFonts w:hint="eastAsia" w:ascii="宋体" w:hAnsi="宋体" w:eastAsia="宋体" w:cs="宋体"/>
          <w:color w:val="auto"/>
          <w:sz w:val="24"/>
          <w:szCs w:val="24"/>
        </w:rPr>
        <w:t>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rPr>
        <w:t>未尽事宜或履行时发生争议，由双方本着</w:t>
      </w:r>
      <w:r>
        <w:rPr>
          <w:rFonts w:hint="eastAsia" w:ascii="宋体" w:hAnsi="宋体" w:eastAsia="宋体" w:cs="宋体"/>
          <w:color w:val="auto"/>
          <w:sz w:val="24"/>
          <w:szCs w:val="24"/>
          <w:lang w:val="en-US" w:eastAsia="zh-CN"/>
        </w:rPr>
        <w:t>诚信</w:t>
      </w:r>
      <w:r>
        <w:rPr>
          <w:rFonts w:hint="eastAsia" w:ascii="宋体" w:hAnsi="宋体" w:eastAsia="宋体" w:cs="宋体"/>
          <w:color w:val="auto"/>
          <w:sz w:val="24"/>
          <w:szCs w:val="24"/>
        </w:rPr>
        <w:t>的原则协商解决，协商不成功可选择</w:t>
      </w:r>
      <w:r>
        <w:rPr>
          <w:rFonts w:hint="eastAsia" w:ascii="宋体" w:hAnsi="宋体" w:eastAsia="宋体" w:cs="宋体"/>
          <w:color w:val="auto"/>
          <w:sz w:val="24"/>
          <w:szCs w:val="24"/>
          <w:u w:val="single"/>
          <w:lang w:val="en-US" w:eastAsia="zh-CN"/>
        </w:rPr>
        <w:t xml:space="preserve"> 2 </w:t>
      </w:r>
      <w:r>
        <w:rPr>
          <w:rFonts w:hint="eastAsia" w:ascii="宋体" w:hAnsi="宋体" w:eastAsia="宋体" w:cs="宋体"/>
          <w:color w:val="auto"/>
          <w:sz w:val="24"/>
          <w:szCs w:val="24"/>
        </w:rPr>
        <w:t>：1）向绍兴仲裁委员会诸暨分会申请仲裁；2）向诸暨市人民法院起诉。</w:t>
      </w:r>
    </w:p>
    <w:p w14:paraId="2788F10F">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24"/>
          <w:szCs w:val="24"/>
          <w:highlight w:val="none"/>
          <w:lang w:val="en-US" w:eastAsia="zh-CN"/>
        </w:rPr>
        <w:t xml:space="preserve">第十九条 </w:t>
      </w:r>
      <w:r>
        <w:rPr>
          <w:rFonts w:hint="eastAsia" w:ascii="宋体" w:hAnsi="宋体" w:eastAsia="宋体" w:cs="宋体"/>
          <w:b/>
          <w:color w:val="auto"/>
          <w:sz w:val="24"/>
          <w:szCs w:val="24"/>
        </w:rPr>
        <w:t>其</w:t>
      </w:r>
      <w:r>
        <w:rPr>
          <w:rFonts w:hint="eastAsia" w:ascii="宋体" w:hAnsi="宋体" w:eastAsia="宋体" w:cs="宋体"/>
          <w:b/>
          <w:color w:val="auto"/>
          <w:sz w:val="24"/>
          <w:szCs w:val="24"/>
          <w:lang w:val="en-US" w:eastAsia="zh-CN"/>
        </w:rPr>
        <w:t>他</w:t>
      </w:r>
    </w:p>
    <w:p w14:paraId="5D7E6DC0">
      <w:pPr>
        <w:pStyle w:val="31"/>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1、本项目的招标文件、投标文件、中标通知书作为合同的有效附件，具有同等法律效力。若本合同正文条款与招标文件、投标文件、中标通知书中条款有冲突之处，则以本合同正文条款优先适用。</w:t>
      </w:r>
    </w:p>
    <w:p w14:paraId="330409F8">
      <w:pPr>
        <w:pStyle w:val="31"/>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2、本合同自双方签字盖章之日起生效。</w:t>
      </w:r>
    </w:p>
    <w:p w14:paraId="409037DC">
      <w:pPr>
        <w:pStyle w:val="31"/>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3、本合同一式五份，甲乙双方各执二份，诸暨市传媒集团有限公司办公室备案一份。</w:t>
      </w:r>
    </w:p>
    <w:p w14:paraId="65E09E04">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82" w:leftChars="0"/>
        <w:textAlignment w:val="auto"/>
        <w:outlineLvl w:val="1"/>
        <w:rPr>
          <w:rFonts w:hint="eastAsia" w:ascii="宋体" w:hAnsi="宋体" w:eastAsia="宋体" w:cs="宋体"/>
          <w:b/>
          <w:bCs w:val="0"/>
          <w:color w:val="auto"/>
          <w:sz w:val="24"/>
          <w:szCs w:val="24"/>
          <w:lang w:val="en-US" w:eastAsia="zh-CN"/>
        </w:rPr>
      </w:pPr>
      <w:r>
        <w:rPr>
          <w:rFonts w:hint="eastAsia" w:ascii="宋体" w:hAnsi="宋体" w:eastAsia="宋体" w:cs="宋体"/>
          <w:b/>
          <w:color w:val="auto"/>
          <w:sz w:val="24"/>
          <w:szCs w:val="24"/>
          <w:highlight w:val="none"/>
          <w:lang w:val="en-US" w:eastAsia="zh-CN"/>
        </w:rPr>
        <w:t xml:space="preserve">第二十条 </w:t>
      </w:r>
      <w:r>
        <w:rPr>
          <w:rFonts w:hint="eastAsia" w:ascii="宋体" w:hAnsi="宋体" w:eastAsia="宋体" w:cs="宋体"/>
          <w:b/>
          <w:bCs w:val="0"/>
          <w:color w:val="auto"/>
          <w:sz w:val="24"/>
          <w:szCs w:val="24"/>
          <w:lang w:val="en-US" w:eastAsia="zh-CN"/>
        </w:rPr>
        <w:t>附件</w:t>
      </w:r>
    </w:p>
    <w:p w14:paraId="6BC68722">
      <w:pPr>
        <w:pStyle w:val="31"/>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1.采购清单</w:t>
      </w:r>
    </w:p>
    <w:p w14:paraId="10313540">
      <w:pPr>
        <w:pStyle w:val="31"/>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2.安全保密承诺书</w:t>
      </w:r>
    </w:p>
    <w:p w14:paraId="77C766C2">
      <w:pPr>
        <w:pStyle w:val="31"/>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3.安全保密协议</w:t>
      </w:r>
    </w:p>
    <w:p w14:paraId="50E348F9">
      <w:pPr>
        <w:pStyle w:val="31"/>
        <w:keepNext w:val="0"/>
        <w:keepLines w:val="0"/>
        <w:pageBreakBefore w:val="0"/>
        <w:widowControl/>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（以下无正文）</w:t>
      </w:r>
    </w:p>
    <w:tbl>
      <w:tblPr>
        <w:tblStyle w:val="18"/>
        <w:tblW w:w="9819"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4915"/>
      </w:tblGrid>
      <w:tr w14:paraId="2A31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904" w:type="dxa"/>
            <w:noWrap w:val="0"/>
            <w:vAlign w:val="center"/>
          </w:tcPr>
          <w:p w14:paraId="5B9D925F">
            <w:pPr>
              <w:keepNext w:val="0"/>
              <w:keepLines w:val="0"/>
              <w:pageBreakBefore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甲  方</w:t>
            </w:r>
            <w:r>
              <w:rPr>
                <w:rFonts w:hint="eastAsia" w:ascii="宋体" w:hAnsi="宋体" w:eastAsia="宋体" w:cs="宋体"/>
                <w:b/>
                <w:bCs/>
                <w:color w:val="auto"/>
                <w:sz w:val="21"/>
                <w:szCs w:val="21"/>
                <w:lang w:val="en-US" w:eastAsia="zh-CN"/>
              </w:rPr>
              <w:t>(采购单位)</w:t>
            </w:r>
          </w:p>
        </w:tc>
        <w:tc>
          <w:tcPr>
            <w:tcW w:w="4915" w:type="dxa"/>
            <w:noWrap w:val="0"/>
            <w:vAlign w:val="center"/>
          </w:tcPr>
          <w:p w14:paraId="2F5E5956">
            <w:pPr>
              <w:keepNext w:val="0"/>
              <w:keepLines w:val="0"/>
              <w:pageBreakBefore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乙  方</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供货单位</w:t>
            </w:r>
            <w:r>
              <w:rPr>
                <w:rFonts w:hint="eastAsia" w:ascii="宋体" w:hAnsi="宋体" w:eastAsia="宋体" w:cs="宋体"/>
                <w:b/>
                <w:bCs/>
                <w:color w:val="auto"/>
                <w:sz w:val="21"/>
                <w:szCs w:val="21"/>
                <w:lang w:eastAsia="zh-CN"/>
              </w:rPr>
              <w:t>）</w:t>
            </w:r>
          </w:p>
        </w:tc>
      </w:tr>
      <w:tr w14:paraId="6B7A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4904" w:type="dxa"/>
            <w:noWrap w:val="0"/>
            <w:vAlign w:val="top"/>
          </w:tcPr>
          <w:p w14:paraId="4108AA07">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rPr>
            </w:pPr>
            <w:r>
              <w:rPr>
                <w:rFonts w:hint="eastAsia" w:ascii="宋体" w:hAnsi="宋体" w:eastAsia="宋体" w:cs="宋体"/>
                <w:color w:val="auto"/>
              </w:rPr>
              <w:t>单位名称（盖章）：诸暨广电信息技术有限公司</w:t>
            </w:r>
          </w:p>
          <w:p w14:paraId="0B9800AB">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lang w:val="en-US" w:eastAsia="zh-CN"/>
              </w:rPr>
            </w:pPr>
            <w:r>
              <w:rPr>
                <w:rFonts w:hint="eastAsia" w:ascii="宋体" w:hAnsi="宋体" w:eastAsia="宋体" w:cs="宋体"/>
                <w:color w:val="auto"/>
              </w:rPr>
              <w:t>单位地址：诸暨市滨江中路28-35号三楼</w:t>
            </w:r>
          </w:p>
          <w:p w14:paraId="4724BC79">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rPr>
            </w:pPr>
            <w:r>
              <w:rPr>
                <w:rFonts w:hint="eastAsia" w:ascii="宋体" w:hAnsi="宋体" w:eastAsia="宋体" w:cs="宋体"/>
                <w:color w:val="auto"/>
              </w:rPr>
              <w:t>法定代表人：</w:t>
            </w:r>
          </w:p>
          <w:p w14:paraId="0D200165">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rPr>
            </w:pPr>
            <w:r>
              <w:rPr>
                <w:rFonts w:hint="eastAsia" w:ascii="宋体" w:hAnsi="宋体" w:eastAsia="宋体" w:cs="宋体"/>
                <w:color w:val="auto"/>
              </w:rPr>
              <w:t>委托代理人：</w:t>
            </w:r>
          </w:p>
          <w:p w14:paraId="31A5F07E">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lang w:val="en-US" w:eastAsia="zh-CN"/>
              </w:rPr>
              <w:t>统一社会信用代码：9133068131365622XW</w:t>
            </w:r>
          </w:p>
        </w:tc>
        <w:tc>
          <w:tcPr>
            <w:tcW w:w="4915" w:type="dxa"/>
            <w:noWrap w:val="0"/>
            <w:vAlign w:val="top"/>
          </w:tcPr>
          <w:p w14:paraId="581BBDA2">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rPr>
              <w:t>单位名称（盖章）：</w:t>
            </w:r>
          </w:p>
          <w:p w14:paraId="568734E6">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rPr>
            </w:pPr>
            <w:r>
              <w:rPr>
                <w:rFonts w:hint="eastAsia" w:ascii="宋体" w:hAnsi="宋体" w:eastAsia="宋体" w:cs="宋体"/>
                <w:color w:val="auto"/>
              </w:rPr>
              <w:t>单位地址：</w:t>
            </w:r>
          </w:p>
          <w:p w14:paraId="25247926">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lang w:val="en-US" w:eastAsia="zh-CN"/>
              </w:rPr>
            </w:pPr>
            <w:r>
              <w:rPr>
                <w:rFonts w:hint="eastAsia" w:ascii="宋体" w:hAnsi="宋体" w:eastAsia="宋体" w:cs="宋体"/>
                <w:color w:val="auto"/>
              </w:rPr>
              <w:t>法定代表人：</w:t>
            </w:r>
            <w:r>
              <w:rPr>
                <w:rFonts w:hint="eastAsia" w:ascii="宋体" w:hAnsi="宋体" w:eastAsia="宋体" w:cs="宋体"/>
                <w:color w:val="auto"/>
                <w:lang w:val="en-US" w:eastAsia="zh-CN"/>
              </w:rPr>
              <w:t xml:space="preserve"> </w:t>
            </w:r>
          </w:p>
          <w:p w14:paraId="6BA01E0D">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lang w:eastAsia="zh-CN"/>
              </w:rPr>
            </w:pPr>
            <w:r>
              <w:rPr>
                <w:rFonts w:hint="eastAsia" w:ascii="宋体" w:hAnsi="宋体" w:eastAsia="宋体" w:cs="宋体"/>
                <w:color w:val="auto"/>
              </w:rPr>
              <w:t>委托代理人：</w:t>
            </w:r>
          </w:p>
          <w:p w14:paraId="7CED8945">
            <w:pPr>
              <w:keepNext w:val="0"/>
              <w:keepLines w:val="0"/>
              <w:pageBreakBefore w:val="0"/>
              <w:kinsoku/>
              <w:wordWrap/>
              <w:overflowPunct/>
              <w:topLinePunct w:val="0"/>
              <w:autoSpaceDE w:val="0"/>
              <w:autoSpaceDN w:val="0"/>
              <w:bidi w:val="0"/>
              <w:adjustRightInd w:val="0"/>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lang w:val="en-US" w:eastAsia="zh-CN"/>
              </w:rPr>
              <w:t>统一社会信用代码：</w:t>
            </w:r>
          </w:p>
        </w:tc>
      </w:tr>
    </w:tbl>
    <w:p w14:paraId="7D940C4E">
      <w:pPr>
        <w:keepNext w:val="0"/>
        <w:keepLines w:val="0"/>
        <w:pageBreakBefore w:val="0"/>
        <w:kinsoku/>
        <w:wordWrap/>
        <w:topLinePunct w:val="0"/>
        <w:bidi w:val="0"/>
        <w:spacing w:line="460" w:lineRule="exact"/>
        <w:jc w:val="left"/>
        <w:rPr>
          <w:rFonts w:hint="eastAsia" w:ascii="宋体" w:hAnsi="宋体" w:eastAsia="宋体" w:cs="宋体"/>
          <w:color w:val="auto"/>
          <w:sz w:val="24"/>
          <w:szCs w:val="24"/>
          <w:lang w:val="en-US" w:eastAsia="zh-CN"/>
        </w:rPr>
      </w:pPr>
    </w:p>
    <w:p w14:paraId="27D34978">
      <w:pPr>
        <w:pStyle w:val="5"/>
        <w:keepNext w:val="0"/>
        <w:keepLines w:val="0"/>
        <w:pageBreakBefore w:val="0"/>
        <w:kinsoku/>
        <w:wordWrap/>
        <w:topLinePunct w:val="0"/>
        <w:bidi w:val="0"/>
        <w:spacing w:line="440" w:lineRule="exact"/>
        <w:ind w:left="0" w:leftChars="0" w:firstLine="0" w:firstLineChars="0"/>
        <w:rPr>
          <w:rFonts w:hint="eastAsia" w:ascii="宋体" w:hAnsi="宋体" w:eastAsia="宋体" w:cs="宋体"/>
          <w:color w:val="auto"/>
        </w:rPr>
        <w:sectPr>
          <w:footerReference r:id="rId6" w:type="default"/>
          <w:pgSz w:w="11906" w:h="16838"/>
          <w:pgMar w:top="1361" w:right="1361" w:bottom="1361" w:left="1361" w:header="851" w:footer="992" w:gutter="0"/>
          <w:pgNumType w:fmt="decimal" w:start="1"/>
          <w:cols w:space="720" w:num="1"/>
          <w:docGrid w:type="lines" w:linePitch="312" w:charSpace="0"/>
        </w:sectPr>
      </w:pPr>
    </w:p>
    <w:p w14:paraId="4A6D2ACD">
      <w:pPr>
        <w:pageBreakBefore w:val="0"/>
        <w:kinsoku/>
        <w:wordWrap/>
        <w:topLinePunct w:val="0"/>
        <w:bidi w:val="0"/>
        <w:spacing w:line="440" w:lineRule="exact"/>
        <w:ind w:firstLine="480" w:firstLineChars="20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附件1：采购清单</w:t>
      </w:r>
    </w:p>
    <w:p w14:paraId="1E457AC3">
      <w:pPr>
        <w:pStyle w:val="31"/>
        <w:rPr>
          <w:rFonts w:hint="eastAsia" w:ascii="宋体" w:hAnsi="宋体" w:eastAsia="宋体" w:cs="宋体"/>
          <w:color w:val="auto"/>
        </w:rPr>
      </w:pPr>
      <w:r>
        <w:rPr>
          <w:rFonts w:hint="eastAsia" w:ascii="宋体" w:hAnsi="宋体" w:eastAsia="宋体" w:cs="宋体"/>
          <w:color w:val="auto"/>
          <w:lang w:val="en-US" w:eastAsia="zh-CN"/>
        </w:rPr>
        <w:br w:type="page"/>
      </w:r>
      <w:r>
        <w:rPr>
          <w:rFonts w:hint="eastAsia" w:ascii="宋体" w:hAnsi="宋体" w:eastAsia="宋体" w:cs="宋体"/>
          <w:color w:val="auto"/>
        </w:rPr>
        <w:t>附件</w:t>
      </w:r>
      <w:r>
        <w:rPr>
          <w:rFonts w:hint="eastAsia" w:ascii="宋体" w:hAnsi="宋体" w:eastAsia="宋体" w:cs="宋体"/>
          <w:color w:val="auto"/>
          <w:lang w:val="en-US" w:eastAsia="zh-CN"/>
        </w:rPr>
        <w:t>2</w:t>
      </w:r>
      <w:r>
        <w:rPr>
          <w:rFonts w:hint="eastAsia" w:ascii="宋体" w:hAnsi="宋体" w:eastAsia="宋体" w:cs="宋体"/>
          <w:color w:val="auto"/>
        </w:rPr>
        <w:t>：安全保密承诺书</w:t>
      </w:r>
    </w:p>
    <w:p w14:paraId="69EDB4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安全保密承诺书</w:t>
      </w:r>
    </w:p>
    <w:p w14:paraId="3A8F17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2"/>
          <w:sz w:val="24"/>
          <w:szCs w:val="24"/>
          <w:u w:val="none"/>
          <w:lang w:val="en-US" w:eastAsia="zh-CN"/>
        </w:rPr>
      </w:pPr>
      <w:r>
        <w:rPr>
          <w:rFonts w:hint="eastAsia" w:ascii="宋体" w:hAnsi="宋体" w:eastAsia="宋体" w:cs="宋体"/>
          <w:b/>
          <w:bCs/>
          <w:color w:val="auto"/>
          <w:kern w:val="2"/>
          <w:sz w:val="24"/>
          <w:szCs w:val="24"/>
          <w:u w:val="single"/>
        </w:rPr>
        <w:t>诸暨广电信息技术有限公司</w:t>
      </w:r>
      <w:r>
        <w:rPr>
          <w:rFonts w:hint="eastAsia" w:ascii="宋体" w:hAnsi="宋体" w:eastAsia="宋体" w:cs="宋体"/>
          <w:b/>
          <w:bCs/>
          <w:color w:val="auto"/>
          <w:kern w:val="2"/>
          <w:sz w:val="24"/>
          <w:szCs w:val="24"/>
          <w:u w:val="none"/>
          <w:lang w:val="en-US" w:eastAsia="zh-CN"/>
        </w:rPr>
        <w:t>：</w:t>
      </w:r>
    </w:p>
    <w:p w14:paraId="5300E07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为保障贵单位网络信息安全，我公司郑重承诺遵守本承诺书的有关条款，如有违反本承诺书条款的行为，本公司承担由此带来的一切民事、行政和刑事责任。</w:t>
      </w:r>
    </w:p>
    <w:p w14:paraId="53ECC6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一、严格遵守《中华人民共和国网络安全法》《中华人民共和国保守国家秘密法》《中华人民共和国数据安全法》《中华人民共和国计算机信息系统安全保护条例》等相关法律法规和贵单位规章制度。</w:t>
      </w:r>
    </w:p>
    <w:p w14:paraId="5F835A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二、健全网络信息安全管理制度和落实安全保护技术措施，保证派遣符合网络信息安全与保密要求的人员参加我公司承担的项目，并承担法律上的担保责任。</w:t>
      </w:r>
    </w:p>
    <w:p w14:paraId="0E756FF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三、不从事任何危害网络信息安全的活动，包括但不限于：</w:t>
      </w:r>
    </w:p>
    <w:p w14:paraId="3ACF4F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1、未经允许，进入信息系统或者使用网络资源的；</w:t>
      </w:r>
    </w:p>
    <w:p w14:paraId="75BDD0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2、未经允许，对信息系统进行删除、修改或者增加的；</w:t>
      </w:r>
    </w:p>
    <w:p w14:paraId="0123794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3、未经允许，对信息系统中存储或者传输的数据进行删除、修改、增加或者复制的；</w:t>
      </w:r>
    </w:p>
    <w:p w14:paraId="18E8A4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4、未经允许，将有关数据、资料提供泄露给第三方或用于其他商业目的；</w:t>
      </w:r>
    </w:p>
    <w:p w14:paraId="36A2B6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5、故意制作、传播计算机病毒等破坏性程序的；</w:t>
      </w:r>
    </w:p>
    <w:p w14:paraId="44D9C7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6、法律法规禁止的其他危害网络安全的。</w:t>
      </w:r>
    </w:p>
    <w:p w14:paraId="436CF2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四、当发生重大网络信息安全事故时，立即报告贵单位，保留原始记录，积极配合贵单位做好安全事件的处置及调查工作,并采取相应措施，及时排除信息安全隐患，修复漏洞。</w:t>
      </w:r>
    </w:p>
    <w:p w14:paraId="17624F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五、项目工作人员发生变更或离岗（职）的，必须向其提示信息的保密性和应承担的义务，确保上述人员承担保密责任的程度不低于本承诺书规定的程度。</w:t>
      </w:r>
    </w:p>
    <w:p w14:paraId="30C066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rPr>
      </w:pPr>
    </w:p>
    <w:p w14:paraId="16F89B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p>
    <w:p w14:paraId="014A6D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p>
    <w:p w14:paraId="5485580E">
      <w:pPr>
        <w:keepNext w:val="0"/>
        <w:keepLines w:val="0"/>
        <w:pageBreakBefore w:val="0"/>
        <w:widowControl w:val="0"/>
        <w:kinsoku/>
        <w:wordWrap/>
        <w:overflowPunct/>
        <w:topLinePunct w:val="0"/>
        <w:autoSpaceDE/>
        <w:autoSpaceDN/>
        <w:bidi w:val="0"/>
        <w:adjustRightInd/>
        <w:snapToGrid/>
        <w:spacing w:line="440" w:lineRule="exact"/>
        <w:ind w:firstLine="3820" w:firstLineChars="1592"/>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乙方</w:t>
      </w:r>
      <w:r>
        <w:rPr>
          <w:rFonts w:hint="eastAsia" w:ascii="宋体" w:hAnsi="宋体" w:eastAsia="宋体" w:cs="宋体"/>
          <w:color w:val="auto"/>
          <w:kern w:val="2"/>
          <w:sz w:val="24"/>
          <w:szCs w:val="24"/>
        </w:rPr>
        <w:t>盖章：</w:t>
      </w:r>
      <w:r>
        <w:rPr>
          <w:rFonts w:hint="eastAsia" w:ascii="宋体" w:hAnsi="宋体" w:eastAsia="宋体" w:cs="宋体"/>
          <w:color w:val="auto"/>
          <w:kern w:val="2"/>
          <w:sz w:val="24"/>
          <w:szCs w:val="24"/>
          <w:u w:val="single"/>
          <w:lang w:val="en-US" w:eastAsia="zh-CN"/>
        </w:rPr>
        <w:t xml:space="preserve">                  公司</w:t>
      </w:r>
    </w:p>
    <w:p w14:paraId="11387644">
      <w:pPr>
        <w:keepNext w:val="0"/>
        <w:keepLines w:val="0"/>
        <w:pageBreakBefore w:val="0"/>
        <w:widowControl w:val="0"/>
        <w:kinsoku/>
        <w:wordWrap/>
        <w:overflowPunct/>
        <w:topLinePunct w:val="0"/>
        <w:autoSpaceDE/>
        <w:autoSpaceDN/>
        <w:bidi w:val="0"/>
        <w:adjustRightInd/>
        <w:snapToGrid/>
        <w:spacing w:line="440" w:lineRule="exact"/>
        <w:ind w:firstLine="3820" w:firstLineChars="1592"/>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法定（授权）代表人签字： </w:t>
      </w:r>
    </w:p>
    <w:p w14:paraId="123492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p>
    <w:p w14:paraId="55151C22">
      <w:pPr>
        <w:rPr>
          <w:rFonts w:hint="eastAsia" w:ascii="宋体" w:hAnsi="宋体" w:eastAsia="宋体" w:cs="宋体"/>
          <w:color w:val="auto"/>
        </w:rPr>
      </w:pPr>
      <w:r>
        <w:rPr>
          <w:rFonts w:hint="eastAsia" w:ascii="宋体" w:hAnsi="宋体" w:eastAsia="宋体" w:cs="宋体"/>
          <w:color w:val="auto"/>
        </w:rPr>
        <w:br w:type="page"/>
      </w:r>
    </w:p>
    <w:p w14:paraId="1DBCC52B">
      <w:pPr>
        <w:pStyle w:val="31"/>
        <w:rPr>
          <w:rFonts w:hint="eastAsia" w:ascii="宋体" w:hAnsi="宋体" w:eastAsia="宋体" w:cs="宋体"/>
          <w:color w:val="auto"/>
        </w:rPr>
      </w:pPr>
      <w:r>
        <w:rPr>
          <w:rFonts w:hint="eastAsia" w:ascii="宋体" w:hAnsi="宋体" w:eastAsia="宋体" w:cs="宋体"/>
          <w:color w:val="auto"/>
        </w:rPr>
        <w:t>附件</w:t>
      </w:r>
      <w:r>
        <w:rPr>
          <w:rFonts w:hint="eastAsia" w:ascii="宋体" w:hAnsi="宋体" w:eastAsia="宋体" w:cs="宋体"/>
          <w:color w:val="auto"/>
          <w:lang w:val="en-US" w:eastAsia="zh-CN"/>
        </w:rPr>
        <w:t>3</w:t>
      </w:r>
      <w:r>
        <w:rPr>
          <w:rFonts w:hint="eastAsia" w:ascii="宋体" w:hAnsi="宋体" w:eastAsia="宋体" w:cs="宋体"/>
          <w:color w:val="auto"/>
        </w:rPr>
        <w:t>：安全保密协议</w:t>
      </w:r>
    </w:p>
    <w:p w14:paraId="07111F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安全保密协议</w:t>
      </w:r>
    </w:p>
    <w:p w14:paraId="4485B0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2"/>
          <w:sz w:val="24"/>
          <w:szCs w:val="24"/>
          <w:u w:val="single"/>
          <w:lang w:val="en-US" w:eastAsia="zh-CN"/>
        </w:rPr>
      </w:pPr>
      <w:r>
        <w:rPr>
          <w:rFonts w:hint="eastAsia" w:ascii="宋体" w:hAnsi="宋体" w:eastAsia="宋体" w:cs="宋体"/>
          <w:b/>
          <w:bCs/>
          <w:color w:val="auto"/>
          <w:kern w:val="2"/>
          <w:sz w:val="24"/>
          <w:szCs w:val="24"/>
        </w:rPr>
        <w:t>甲方：</w:t>
      </w:r>
      <w:r>
        <w:rPr>
          <w:rFonts w:hint="eastAsia" w:ascii="宋体" w:hAnsi="宋体" w:eastAsia="宋体" w:cs="宋体"/>
          <w:b/>
          <w:bCs/>
          <w:color w:val="auto"/>
          <w:kern w:val="2"/>
          <w:sz w:val="24"/>
          <w:szCs w:val="24"/>
          <w:u w:val="single"/>
          <w:lang w:val="en-US" w:eastAsia="zh-CN"/>
        </w:rPr>
        <w:t xml:space="preserve">诸暨广电信息技术有限公司    </w:t>
      </w:r>
    </w:p>
    <w:p w14:paraId="272EE7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rPr>
        <w:t>乙方：</w:t>
      </w:r>
      <w:r>
        <w:rPr>
          <w:rFonts w:hint="eastAsia" w:ascii="宋体" w:hAnsi="宋体" w:eastAsia="宋体" w:cs="宋体"/>
          <w:b/>
          <w:bCs/>
          <w:color w:val="auto"/>
          <w:kern w:val="2"/>
          <w:sz w:val="24"/>
          <w:szCs w:val="24"/>
          <w:u w:val="single"/>
          <w:lang w:val="en-US" w:eastAsia="zh-CN"/>
        </w:rPr>
        <w:t xml:space="preserve">                             </w:t>
      </w:r>
    </w:p>
    <w:p w14:paraId="045048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为做好</w:t>
      </w:r>
      <w:r>
        <w:rPr>
          <w:rFonts w:hint="eastAsia" w:ascii="宋体" w:hAnsi="宋体" w:eastAsia="宋体" w:cs="宋体"/>
          <w:color w:val="auto"/>
          <w:kern w:val="2"/>
          <w:sz w:val="24"/>
          <w:szCs w:val="24"/>
          <w:u w:val="single"/>
          <w:lang w:val="en-US" w:eastAsia="zh-CN"/>
        </w:rPr>
        <w:t xml:space="preserve">                                   项目</w:t>
      </w:r>
      <w:r>
        <w:rPr>
          <w:rFonts w:hint="eastAsia" w:ascii="宋体" w:hAnsi="宋体" w:eastAsia="宋体" w:cs="宋体"/>
          <w:color w:val="auto"/>
          <w:kern w:val="2"/>
          <w:sz w:val="24"/>
          <w:szCs w:val="24"/>
        </w:rPr>
        <w:t>（以下简称项目）的安全保密工作，保证项目实施过程中涉及的</w:t>
      </w:r>
      <w:r>
        <w:rPr>
          <w:rFonts w:hint="eastAsia" w:ascii="宋体" w:hAnsi="宋体" w:eastAsia="宋体" w:cs="宋体"/>
          <w:color w:val="auto"/>
          <w:kern w:val="2"/>
          <w:sz w:val="24"/>
          <w:szCs w:val="24"/>
          <w:lang w:val="en-US" w:eastAsia="zh-CN"/>
        </w:rPr>
        <w:t>网络信息</w:t>
      </w:r>
      <w:r>
        <w:rPr>
          <w:rFonts w:hint="eastAsia" w:ascii="宋体" w:hAnsi="宋体" w:eastAsia="宋体" w:cs="宋体"/>
          <w:color w:val="auto"/>
          <w:kern w:val="2"/>
          <w:sz w:val="24"/>
          <w:szCs w:val="24"/>
        </w:rPr>
        <w:t>安全，根据《中华人民共和国网络安全法》《中华人民共和国保守国家秘密法》</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中华人民共和国数据安全法</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等相关</w:t>
      </w:r>
      <w:r>
        <w:rPr>
          <w:rFonts w:hint="eastAsia" w:ascii="宋体" w:hAnsi="宋体" w:eastAsia="宋体" w:cs="宋体"/>
          <w:color w:val="auto"/>
          <w:kern w:val="2"/>
          <w:sz w:val="24"/>
          <w:szCs w:val="24"/>
          <w:lang w:val="en-US" w:eastAsia="zh-CN"/>
        </w:rPr>
        <w:t>法规</w:t>
      </w:r>
      <w:r>
        <w:rPr>
          <w:rFonts w:hint="eastAsia" w:ascii="宋体" w:hAnsi="宋体" w:eastAsia="宋体" w:cs="宋体"/>
          <w:color w:val="auto"/>
          <w:kern w:val="2"/>
          <w:sz w:val="24"/>
          <w:szCs w:val="24"/>
        </w:rPr>
        <w:t>规定，甲乙双方就有关项目安全保密事宜达成如下协议：</w:t>
      </w:r>
    </w:p>
    <w:p w14:paraId="47C4EA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一、乙方应严格遵守国家法律法规及公安机关关于网络、信息系统、数据安全方面的所有规定。</w:t>
      </w:r>
    </w:p>
    <w:p w14:paraId="72A178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二、乙方将明确本项目的安全责任体系，公司法定代表人为本项目安全管理第一责任人，指定</w:t>
      </w:r>
      <w:r>
        <w:rPr>
          <w:rFonts w:hint="eastAsia" w:ascii="宋体" w:hAnsi="宋体" w:eastAsia="宋体" w:cs="宋体"/>
          <w:b/>
          <w:bCs/>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rPr>
        <w:t>为本项目的安全主管（安全管理具体责任人），其他参与项目人员为安全管理直接责任人,并制定出责任追究具体办法和细则；要求公司所有参与本项目的人员必须签订</w:t>
      </w:r>
      <w:r>
        <w:rPr>
          <w:rFonts w:hint="eastAsia" w:ascii="宋体" w:hAnsi="宋体" w:eastAsia="宋体" w:cs="宋体"/>
          <w:color w:val="auto"/>
          <w:kern w:val="2"/>
          <w:sz w:val="24"/>
          <w:szCs w:val="24"/>
          <w:lang w:val="en-US" w:eastAsia="zh-CN"/>
        </w:rPr>
        <w:t>项目安全保密承诺书</w:t>
      </w:r>
      <w:r>
        <w:rPr>
          <w:rFonts w:hint="eastAsia" w:ascii="宋体" w:hAnsi="宋体" w:eastAsia="宋体" w:cs="宋体"/>
          <w:color w:val="auto"/>
          <w:kern w:val="2"/>
          <w:sz w:val="24"/>
          <w:szCs w:val="24"/>
        </w:rPr>
        <w:t>，并切实承担起相应的安全工作与管理责任。</w:t>
      </w:r>
    </w:p>
    <w:p w14:paraId="6390D4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三、保密内容包括：本项目信息系统的系统数据、业务数据、项目资料及存放这些数据、资料的计算机、存储介质；接触的</w:t>
      </w:r>
      <w:r>
        <w:rPr>
          <w:rFonts w:hint="eastAsia" w:ascii="宋体" w:hAnsi="宋体" w:eastAsia="宋体" w:cs="宋体"/>
          <w:color w:val="auto"/>
          <w:kern w:val="2"/>
          <w:sz w:val="24"/>
          <w:szCs w:val="24"/>
          <w:lang w:val="en-US" w:eastAsia="zh-CN"/>
        </w:rPr>
        <w:t>有关</w:t>
      </w:r>
      <w:r>
        <w:rPr>
          <w:rFonts w:hint="eastAsia" w:ascii="宋体" w:hAnsi="宋体" w:eastAsia="宋体" w:cs="宋体"/>
          <w:color w:val="auto"/>
          <w:kern w:val="2"/>
          <w:sz w:val="24"/>
          <w:szCs w:val="24"/>
        </w:rPr>
        <w:t>网络及网络上的信息、维护工作中接触到的必须保密的内容。</w:t>
      </w:r>
    </w:p>
    <w:p w14:paraId="352DB3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四、甲方应加强对乙方及参与本项目工作人员的安全保密监管，及时发现安全保密隐患和问题。</w:t>
      </w:r>
      <w:r>
        <w:rPr>
          <w:rFonts w:hint="eastAsia" w:ascii="宋体" w:hAnsi="宋体" w:eastAsia="宋体" w:cs="宋体"/>
          <w:color w:val="auto"/>
          <w:kern w:val="2"/>
          <w:sz w:val="24"/>
          <w:szCs w:val="24"/>
          <w:lang w:eastAsia="zh-CN"/>
        </w:rPr>
        <w:t>双方均应</w:t>
      </w:r>
      <w:r>
        <w:rPr>
          <w:rFonts w:hint="eastAsia" w:ascii="宋体" w:hAnsi="宋体" w:eastAsia="宋体" w:cs="宋体"/>
          <w:color w:val="auto"/>
          <w:kern w:val="2"/>
          <w:sz w:val="24"/>
          <w:szCs w:val="24"/>
        </w:rPr>
        <w:t>增强保密意识，时刻保持保密意识，不得与公司业务无关的任何人谈论和传播商业机密信息。</w:t>
      </w:r>
    </w:p>
    <w:p w14:paraId="14F0AC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五、乙方保证派遣符合甲方要求的工作人员参加项目工作，对项目工作人员登记造册，并承担法律上的担保责任；建立规章制度防范和及时发现违反保密法规和规范的行为；乙方保证一旦发现保密范围内的有关事项已经泄露或可能泄露时，立即通知甲方，共同采取相应措施，为甲方提供查找相关工作人员和泄密原因的线索和证据，并承担相应责任。</w:t>
      </w:r>
    </w:p>
    <w:p w14:paraId="45C6C3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六、乙方在项目实施期间，必须严格依照甲方的要求，在甲方指定的工作场所和设备环境下进行系统和数据的维护工作，不得非法拷贝数据；不得擅自将数据拷贝回本单位进行处理；不得以任何方式将</w:t>
      </w:r>
      <w:r>
        <w:rPr>
          <w:rFonts w:hint="eastAsia" w:ascii="宋体" w:hAnsi="宋体" w:eastAsia="宋体" w:cs="宋体"/>
          <w:color w:val="auto"/>
          <w:kern w:val="2"/>
          <w:sz w:val="24"/>
          <w:szCs w:val="24"/>
          <w:lang w:val="en-US" w:eastAsia="zh-CN"/>
        </w:rPr>
        <w:t>甲方</w:t>
      </w:r>
      <w:r>
        <w:rPr>
          <w:rFonts w:hint="eastAsia" w:ascii="宋体" w:hAnsi="宋体" w:eastAsia="宋体" w:cs="宋体"/>
          <w:color w:val="auto"/>
          <w:kern w:val="2"/>
          <w:sz w:val="24"/>
          <w:szCs w:val="24"/>
        </w:rPr>
        <w:t>有关数据提供给第三方或用于其他商业目的。</w:t>
      </w:r>
    </w:p>
    <w:p w14:paraId="5D505D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七、乙方人员的维护服务工作必须在合同确定的服务范围内进行，不得涉及与本项目无关的业务及信息。不得非法擅自登录、浏览、下载</w:t>
      </w:r>
      <w:r>
        <w:rPr>
          <w:rFonts w:hint="eastAsia" w:ascii="宋体" w:hAnsi="宋体" w:eastAsia="宋体" w:cs="宋体"/>
          <w:color w:val="auto"/>
          <w:kern w:val="2"/>
          <w:sz w:val="24"/>
          <w:szCs w:val="24"/>
          <w:lang w:val="en-US" w:eastAsia="zh-CN"/>
        </w:rPr>
        <w:t>甲方有关</w:t>
      </w:r>
      <w:r>
        <w:rPr>
          <w:rFonts w:hint="eastAsia" w:ascii="宋体" w:hAnsi="宋体" w:eastAsia="宋体" w:cs="宋体"/>
          <w:color w:val="auto"/>
          <w:kern w:val="2"/>
          <w:sz w:val="24"/>
          <w:szCs w:val="24"/>
        </w:rPr>
        <w:t>网上信息；不得非法入侵</w:t>
      </w:r>
      <w:r>
        <w:rPr>
          <w:rFonts w:hint="eastAsia" w:ascii="宋体" w:hAnsi="宋体" w:eastAsia="宋体" w:cs="宋体"/>
          <w:color w:val="auto"/>
          <w:kern w:val="2"/>
          <w:sz w:val="24"/>
          <w:szCs w:val="24"/>
          <w:lang w:val="en-US" w:eastAsia="zh-CN"/>
        </w:rPr>
        <w:t>甲方有关</w:t>
      </w:r>
      <w:r>
        <w:rPr>
          <w:rFonts w:hint="eastAsia" w:ascii="宋体" w:hAnsi="宋体" w:eastAsia="宋体" w:cs="宋体"/>
          <w:color w:val="auto"/>
          <w:kern w:val="2"/>
          <w:sz w:val="24"/>
          <w:szCs w:val="24"/>
        </w:rPr>
        <w:t>计算机信息系统。</w:t>
      </w:r>
    </w:p>
    <w:p w14:paraId="37FF8D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八、乙方人员应使用甲方提供或指定的计算机等设备，未经甲方许可，不得以任何形式将</w:t>
      </w:r>
      <w:r>
        <w:rPr>
          <w:rFonts w:hint="eastAsia" w:ascii="宋体" w:hAnsi="宋体" w:eastAsia="宋体" w:cs="宋体"/>
          <w:color w:val="auto"/>
          <w:kern w:val="2"/>
          <w:sz w:val="24"/>
          <w:szCs w:val="24"/>
          <w:lang w:val="en-US" w:eastAsia="zh-CN"/>
        </w:rPr>
        <w:t>甲方</w:t>
      </w:r>
      <w:r>
        <w:rPr>
          <w:rFonts w:hint="eastAsia" w:ascii="宋体" w:hAnsi="宋体" w:eastAsia="宋体" w:cs="宋体"/>
          <w:color w:val="auto"/>
          <w:kern w:val="2"/>
          <w:sz w:val="24"/>
          <w:szCs w:val="24"/>
        </w:rPr>
        <w:t>信息、数据、资料等传输或复制到其它计算机和信息设备中。</w:t>
      </w:r>
    </w:p>
    <w:p w14:paraId="21149F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九、乙方在应用及数据开发过程中，应严格遵守</w:t>
      </w:r>
      <w:r>
        <w:rPr>
          <w:rFonts w:hint="eastAsia" w:ascii="宋体" w:hAnsi="宋体" w:eastAsia="宋体" w:cs="宋体"/>
          <w:color w:val="auto"/>
          <w:kern w:val="2"/>
          <w:sz w:val="24"/>
          <w:szCs w:val="24"/>
          <w:lang w:val="en-US" w:eastAsia="zh-CN"/>
        </w:rPr>
        <w:t>甲方</w:t>
      </w:r>
      <w:r>
        <w:rPr>
          <w:rFonts w:hint="eastAsia" w:ascii="宋体" w:hAnsi="宋体" w:eastAsia="宋体" w:cs="宋体"/>
          <w:color w:val="auto"/>
          <w:kern w:val="2"/>
          <w:sz w:val="24"/>
          <w:szCs w:val="24"/>
        </w:rPr>
        <w:t>有关信息数据安全的操作规范，采取必要的技术、管理措施，确保</w:t>
      </w:r>
      <w:r>
        <w:rPr>
          <w:rFonts w:hint="eastAsia" w:ascii="宋体" w:hAnsi="宋体" w:eastAsia="宋体" w:cs="宋体"/>
          <w:color w:val="auto"/>
          <w:kern w:val="2"/>
          <w:sz w:val="24"/>
          <w:szCs w:val="24"/>
          <w:lang w:val="en-US" w:eastAsia="zh-CN"/>
        </w:rPr>
        <w:t>甲方</w:t>
      </w:r>
      <w:r>
        <w:rPr>
          <w:rFonts w:hint="eastAsia" w:ascii="宋体" w:hAnsi="宋体" w:eastAsia="宋体" w:cs="宋体"/>
          <w:color w:val="auto"/>
          <w:kern w:val="2"/>
          <w:sz w:val="24"/>
          <w:szCs w:val="24"/>
        </w:rPr>
        <w:t>信息数据安全。</w:t>
      </w:r>
    </w:p>
    <w:p w14:paraId="48F46FE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十、乙方按照合同要求提供现场常驻服务期间，确因工作需要经审批而联入</w:t>
      </w:r>
      <w:r>
        <w:rPr>
          <w:rFonts w:hint="eastAsia" w:ascii="宋体" w:hAnsi="宋体" w:eastAsia="宋体" w:cs="宋体"/>
          <w:color w:val="auto"/>
          <w:kern w:val="2"/>
          <w:sz w:val="24"/>
          <w:szCs w:val="24"/>
          <w:lang w:val="en-US" w:eastAsia="zh-CN"/>
        </w:rPr>
        <w:t>甲方有关网络</w:t>
      </w:r>
      <w:r>
        <w:rPr>
          <w:rFonts w:hint="eastAsia" w:ascii="宋体" w:hAnsi="宋体" w:eastAsia="宋体" w:cs="宋体"/>
          <w:color w:val="auto"/>
          <w:kern w:val="2"/>
          <w:sz w:val="24"/>
          <w:szCs w:val="24"/>
        </w:rPr>
        <w:t>的计算机设备，应严格按照</w:t>
      </w:r>
      <w:r>
        <w:rPr>
          <w:rFonts w:hint="eastAsia" w:ascii="宋体" w:hAnsi="宋体" w:eastAsia="宋体" w:cs="宋体"/>
          <w:color w:val="auto"/>
          <w:kern w:val="2"/>
          <w:sz w:val="24"/>
          <w:szCs w:val="24"/>
          <w:lang w:val="en-US" w:eastAsia="zh-CN"/>
        </w:rPr>
        <w:t>甲方</w:t>
      </w:r>
      <w:r>
        <w:rPr>
          <w:rFonts w:hint="eastAsia" w:ascii="宋体" w:hAnsi="宋体" w:eastAsia="宋体" w:cs="宋体"/>
          <w:color w:val="auto"/>
          <w:kern w:val="2"/>
          <w:sz w:val="24"/>
          <w:szCs w:val="24"/>
        </w:rPr>
        <w:t>安全管理的要求，不得擅自带离甲方场所。在服务期满后，应按照规范做好相关介质和数据的销毁工作后，方能带离甲方场所。</w:t>
      </w:r>
    </w:p>
    <w:p w14:paraId="3FEAE0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十一、乙方在项目实施过程中使用的各种存储介质，以及所有书面资料及项目中掌握的数据、账号、密码等有关信息必须由本项目人员使用、保管、存放，不得借与或让无关人员知晓。</w:t>
      </w:r>
    </w:p>
    <w:p w14:paraId="409890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十二、乙方</w:t>
      </w:r>
      <w:r>
        <w:rPr>
          <w:rFonts w:hint="eastAsia" w:ascii="宋体" w:hAnsi="宋体" w:eastAsia="宋体" w:cs="宋体"/>
          <w:color w:val="auto"/>
          <w:kern w:val="2"/>
          <w:sz w:val="24"/>
          <w:szCs w:val="24"/>
          <w:lang w:val="en-US" w:eastAsia="zh-CN"/>
        </w:rPr>
        <w:t>必须</w:t>
      </w:r>
      <w:r>
        <w:rPr>
          <w:rFonts w:hint="eastAsia" w:ascii="宋体" w:hAnsi="宋体" w:eastAsia="宋体" w:cs="宋体"/>
          <w:color w:val="auto"/>
          <w:kern w:val="2"/>
          <w:sz w:val="24"/>
          <w:szCs w:val="24"/>
        </w:rPr>
        <w:t>及时清除离职或者离岗员工持有的</w:t>
      </w:r>
      <w:r>
        <w:rPr>
          <w:rFonts w:hint="eastAsia" w:ascii="宋体" w:hAnsi="宋体" w:eastAsia="宋体" w:cs="宋体"/>
          <w:color w:val="auto"/>
          <w:kern w:val="2"/>
          <w:sz w:val="24"/>
          <w:szCs w:val="24"/>
          <w:lang w:val="en-US" w:eastAsia="zh-CN"/>
        </w:rPr>
        <w:t>甲方</w:t>
      </w:r>
      <w:r>
        <w:rPr>
          <w:rFonts w:hint="eastAsia" w:ascii="宋体" w:hAnsi="宋体" w:eastAsia="宋体" w:cs="宋体"/>
          <w:color w:val="auto"/>
          <w:kern w:val="2"/>
          <w:sz w:val="24"/>
          <w:szCs w:val="24"/>
        </w:rPr>
        <w:t>文档资料、数据等。</w:t>
      </w:r>
    </w:p>
    <w:p w14:paraId="6F829E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十三、当甲方要求乙方交回专有信息时，乙方应当立即交回所有书面的或其他形式的专有信息以及所有描述和概括该专有信息的文件资料，不能以任何形式保留或擅自处理。</w:t>
      </w:r>
    </w:p>
    <w:p w14:paraId="586420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十四、乙方保证在该项目实施期间及完成以后的任何时间内保密内容不予泄露，对因乙方因素导致该项目的保密内容</w:t>
      </w:r>
      <w:r>
        <w:rPr>
          <w:rFonts w:hint="eastAsia" w:ascii="宋体" w:hAnsi="宋体" w:eastAsia="宋体" w:cs="宋体"/>
          <w:color w:val="auto"/>
          <w:kern w:val="2"/>
          <w:sz w:val="24"/>
          <w:szCs w:val="24"/>
          <w:lang w:val="en-US" w:eastAsia="zh-CN"/>
        </w:rPr>
        <w:t>泄漏</w:t>
      </w:r>
      <w:r>
        <w:rPr>
          <w:rFonts w:hint="eastAsia" w:ascii="宋体" w:hAnsi="宋体" w:eastAsia="宋体" w:cs="宋体"/>
          <w:color w:val="auto"/>
          <w:kern w:val="2"/>
          <w:sz w:val="24"/>
          <w:szCs w:val="24"/>
        </w:rPr>
        <w:t>造成的后果，乙方承担相应的法律责任。</w:t>
      </w:r>
    </w:p>
    <w:p w14:paraId="04932C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十五、乙方保证在完成或不再参与本项目时，应及时退还、清理</w:t>
      </w:r>
      <w:r>
        <w:rPr>
          <w:rFonts w:hint="eastAsia" w:ascii="宋体" w:hAnsi="宋体" w:eastAsia="宋体" w:cs="宋体"/>
          <w:color w:val="auto"/>
          <w:kern w:val="2"/>
          <w:sz w:val="24"/>
          <w:szCs w:val="24"/>
          <w:lang w:val="en-US" w:eastAsia="zh-CN"/>
        </w:rPr>
        <w:t>甲方相关</w:t>
      </w:r>
      <w:r>
        <w:rPr>
          <w:rFonts w:hint="eastAsia" w:ascii="宋体" w:hAnsi="宋体" w:eastAsia="宋体" w:cs="宋体"/>
          <w:color w:val="auto"/>
          <w:kern w:val="2"/>
          <w:sz w:val="24"/>
          <w:szCs w:val="24"/>
        </w:rPr>
        <w:t>口令、证书、门禁和信息数据、文件、资料等一切物品，不再保留任何复制品、复制件或者抄件，不再以任何方式尝试登录系统；未经许可，不</w:t>
      </w:r>
      <w:r>
        <w:rPr>
          <w:rFonts w:hint="eastAsia" w:ascii="宋体" w:hAnsi="宋体" w:eastAsia="宋体" w:cs="宋体"/>
          <w:color w:val="auto"/>
          <w:kern w:val="2"/>
          <w:sz w:val="24"/>
          <w:szCs w:val="24"/>
          <w:lang w:val="en-US" w:eastAsia="zh-CN"/>
        </w:rPr>
        <w:t>得</w:t>
      </w:r>
      <w:r>
        <w:rPr>
          <w:rFonts w:hint="eastAsia" w:ascii="宋体" w:hAnsi="宋体" w:eastAsia="宋体" w:cs="宋体"/>
          <w:color w:val="auto"/>
          <w:kern w:val="2"/>
          <w:sz w:val="24"/>
          <w:szCs w:val="24"/>
        </w:rPr>
        <w:t>将项目内容进行成果转让、商业宣传。</w:t>
      </w:r>
    </w:p>
    <w:tbl>
      <w:tblPr>
        <w:tblStyle w:val="18"/>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7"/>
        <w:gridCol w:w="5100"/>
      </w:tblGrid>
      <w:tr w14:paraId="64ED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27" w:type="dxa"/>
            <w:noWrap w:val="0"/>
            <w:vAlign w:val="center"/>
          </w:tcPr>
          <w:p w14:paraId="28ACEED1">
            <w:pPr>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甲方</w:t>
            </w:r>
            <w:r>
              <w:rPr>
                <w:rFonts w:hint="eastAsia" w:ascii="宋体" w:hAnsi="宋体" w:eastAsia="宋体" w:cs="宋体"/>
                <w:b/>
                <w:bCs/>
                <w:color w:val="auto"/>
                <w:sz w:val="21"/>
                <w:szCs w:val="21"/>
              </w:rPr>
              <w:t>单位</w:t>
            </w:r>
          </w:p>
        </w:tc>
        <w:tc>
          <w:tcPr>
            <w:tcW w:w="5100" w:type="dxa"/>
            <w:noWrap w:val="0"/>
            <w:vAlign w:val="center"/>
          </w:tcPr>
          <w:p w14:paraId="457B8CBE">
            <w:pPr>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乙方</w:t>
            </w:r>
            <w:r>
              <w:rPr>
                <w:rFonts w:hint="eastAsia" w:ascii="宋体" w:hAnsi="宋体" w:eastAsia="宋体" w:cs="宋体"/>
                <w:b/>
                <w:bCs/>
                <w:color w:val="auto"/>
                <w:sz w:val="21"/>
                <w:szCs w:val="21"/>
              </w:rPr>
              <w:t>单位</w:t>
            </w:r>
          </w:p>
        </w:tc>
      </w:tr>
      <w:tr w14:paraId="600B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5127" w:type="dxa"/>
            <w:noWrap w:val="0"/>
            <w:vAlign w:val="top"/>
          </w:tcPr>
          <w:p w14:paraId="44A79067">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单位名称（盖章）：诸暨广电信息技术有限公司</w:t>
            </w:r>
          </w:p>
          <w:p w14:paraId="1D906CB4">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单位地址：诸暨市滨江中路28-35号三楼</w:t>
            </w:r>
          </w:p>
          <w:p w14:paraId="3656D67B">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6B7BB3E9">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p w14:paraId="1A5449DB">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统一社会信用代码：9133068131365622XW</w:t>
            </w:r>
          </w:p>
        </w:tc>
        <w:tc>
          <w:tcPr>
            <w:tcW w:w="5100" w:type="dxa"/>
            <w:noWrap w:val="0"/>
            <w:vAlign w:val="top"/>
          </w:tcPr>
          <w:p w14:paraId="55A80323">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单位名称（盖章）：</w:t>
            </w:r>
          </w:p>
          <w:p w14:paraId="4475ACA7">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p w14:paraId="7478F830">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 </w:t>
            </w:r>
          </w:p>
          <w:p w14:paraId="4DDBC795">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p w14:paraId="19F6B323">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统一社会信用代码：</w:t>
            </w:r>
          </w:p>
        </w:tc>
      </w:tr>
    </w:tbl>
    <w:p w14:paraId="7C8E36A8">
      <w:pPr>
        <w:rPr>
          <w:rFonts w:hint="eastAsia" w:ascii="宋体" w:hAnsi="宋体" w:eastAsia="宋体" w:cs="宋体"/>
        </w:rPr>
      </w:pPr>
      <w:r>
        <w:rPr>
          <w:rFonts w:hint="eastAsia" w:ascii="宋体" w:hAnsi="宋体" w:eastAsia="宋体" w:cs="宋体"/>
        </w:rPr>
        <w:br w:type="page"/>
      </w:r>
    </w:p>
    <w:p w14:paraId="08500223">
      <w:pPr>
        <w:numPr>
          <w:ilvl w:val="0"/>
          <w:numId w:val="0"/>
        </w:numPr>
        <w:spacing w:line="240" w:lineRule="auto"/>
        <w:jc w:val="center"/>
        <w:rPr>
          <w:rFonts w:hint="eastAsia" w:ascii="宋体" w:hAnsi="宋体" w:eastAsia="宋体" w:cs="宋体"/>
          <w:b/>
          <w:bCs/>
          <w:color w:val="auto"/>
          <w:sz w:val="36"/>
          <w:szCs w:val="28"/>
          <w:highlight w:val="none"/>
          <w:lang w:val="en-US" w:eastAsia="zh-CN"/>
        </w:rPr>
      </w:pPr>
      <w:r>
        <w:rPr>
          <w:rFonts w:hint="eastAsia" w:ascii="宋体" w:hAnsi="宋体" w:eastAsia="宋体" w:cs="宋体"/>
          <w:b/>
          <w:bCs/>
          <w:color w:val="auto"/>
          <w:sz w:val="36"/>
          <w:szCs w:val="28"/>
          <w:highlight w:val="none"/>
          <w:lang w:val="en-US" w:eastAsia="zh-CN"/>
        </w:rPr>
        <w:t>第六章  应提交的有关格式范例</w:t>
      </w:r>
    </w:p>
    <w:p w14:paraId="0BE08670">
      <w:pPr>
        <w:widowControl/>
        <w:tabs>
          <w:tab w:val="left" w:pos="450"/>
          <w:tab w:val="left" w:pos="2520"/>
          <w:tab w:val="left" w:pos="8280"/>
        </w:tabs>
        <w:spacing w:line="360" w:lineRule="auto"/>
        <w:ind w:firstLine="48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一、封面格式</w:t>
      </w:r>
    </w:p>
    <w:p w14:paraId="3C35B575">
      <w:pPr>
        <w:widowControl/>
        <w:tabs>
          <w:tab w:val="left" w:pos="8280"/>
        </w:tabs>
        <w:spacing w:line="360" w:lineRule="auto"/>
        <w:ind w:firstLine="480"/>
        <w:jc w:val="center"/>
        <w:rPr>
          <w:rFonts w:hint="eastAsia" w:ascii="宋体" w:hAnsi="宋体" w:eastAsia="宋体" w:cs="宋体"/>
          <w:b/>
          <w:color w:val="auto"/>
          <w:sz w:val="32"/>
          <w:szCs w:val="32"/>
          <w:highlight w:val="none"/>
        </w:rPr>
      </w:pPr>
    </w:p>
    <w:p w14:paraId="3F3D99FE">
      <w:pPr>
        <w:widowControl/>
        <w:tabs>
          <w:tab w:val="left" w:pos="8280"/>
        </w:tabs>
        <w:spacing w:line="600" w:lineRule="auto"/>
        <w:jc w:val="center"/>
        <w:rPr>
          <w:rFonts w:hint="eastAsia" w:ascii="宋体" w:hAnsi="宋体" w:eastAsia="宋体" w:cs="宋体"/>
          <w:b/>
          <w:color w:val="auto"/>
          <w:sz w:val="40"/>
          <w:szCs w:val="40"/>
          <w:highlight w:val="none"/>
          <w:lang w:val="en-US" w:eastAsia="zh-CN"/>
        </w:rPr>
      </w:pPr>
    </w:p>
    <w:p w14:paraId="41DE61AD">
      <w:pPr>
        <w:widowControl/>
        <w:tabs>
          <w:tab w:val="left" w:pos="8280"/>
        </w:tabs>
        <w:spacing w:line="600" w:lineRule="auto"/>
        <w:jc w:val="center"/>
        <w:rPr>
          <w:rFonts w:hint="eastAsia" w:ascii="宋体" w:hAnsi="宋体" w:eastAsia="宋体" w:cs="宋体"/>
          <w:b/>
          <w:color w:val="auto"/>
          <w:sz w:val="40"/>
          <w:szCs w:val="40"/>
          <w:highlight w:val="none"/>
        </w:rPr>
      </w:pPr>
      <w:r>
        <w:rPr>
          <w:rFonts w:hint="eastAsia" w:ascii="宋体" w:hAnsi="宋体" w:eastAsia="宋体" w:cs="宋体"/>
          <w:b/>
          <w:color w:val="auto"/>
          <w:sz w:val="44"/>
          <w:szCs w:val="44"/>
          <w:highlight w:val="none"/>
          <w:lang w:val="en-US" w:eastAsia="zh-CN"/>
        </w:rPr>
        <w:t>资格文件/</w:t>
      </w:r>
      <w:r>
        <w:rPr>
          <w:rFonts w:hint="eastAsia" w:ascii="宋体" w:hAnsi="宋体" w:eastAsia="宋体" w:cs="宋体"/>
          <w:b/>
          <w:color w:val="auto"/>
          <w:sz w:val="44"/>
          <w:szCs w:val="44"/>
          <w:highlight w:val="none"/>
        </w:rPr>
        <w:t>商务技术文件</w:t>
      </w:r>
      <w:r>
        <w:rPr>
          <w:rFonts w:hint="eastAsia" w:ascii="宋体" w:hAnsi="宋体" w:eastAsia="宋体" w:cs="宋体"/>
          <w:b/>
          <w:color w:val="auto"/>
          <w:sz w:val="44"/>
          <w:szCs w:val="44"/>
          <w:highlight w:val="none"/>
          <w:lang w:val="en-US" w:eastAsia="zh-CN"/>
        </w:rPr>
        <w:t>/</w:t>
      </w:r>
      <w:r>
        <w:rPr>
          <w:rFonts w:hint="eastAsia" w:ascii="宋体" w:hAnsi="宋体" w:eastAsia="宋体" w:cs="宋体"/>
          <w:b/>
          <w:color w:val="auto"/>
          <w:sz w:val="44"/>
          <w:szCs w:val="44"/>
          <w:highlight w:val="none"/>
        </w:rPr>
        <w:t>报价文件</w:t>
      </w:r>
    </w:p>
    <w:p w14:paraId="11B32354">
      <w:pPr>
        <w:widowControl/>
        <w:tabs>
          <w:tab w:val="left" w:pos="275"/>
          <w:tab w:val="left" w:pos="8280"/>
        </w:tabs>
        <w:spacing w:line="600" w:lineRule="auto"/>
        <w:ind w:firstLine="480"/>
        <w:jc w:val="left"/>
        <w:rPr>
          <w:rFonts w:hint="eastAsia" w:ascii="宋体" w:hAnsi="宋体" w:eastAsia="宋体" w:cs="宋体"/>
          <w:b/>
          <w:color w:val="auto"/>
          <w:sz w:val="36"/>
          <w:szCs w:val="36"/>
          <w:highlight w:val="none"/>
        </w:rPr>
      </w:pPr>
    </w:p>
    <w:p w14:paraId="78608623">
      <w:pPr>
        <w:widowControl/>
        <w:tabs>
          <w:tab w:val="left" w:pos="275"/>
          <w:tab w:val="left" w:pos="8280"/>
        </w:tabs>
        <w:spacing w:line="60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40B96D8B">
      <w:pPr>
        <w:widowControl/>
        <w:tabs>
          <w:tab w:val="left" w:pos="275"/>
          <w:tab w:val="left" w:pos="8280"/>
        </w:tabs>
        <w:spacing w:line="600" w:lineRule="auto"/>
        <w:jc w:val="left"/>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w:t>
      </w:r>
    </w:p>
    <w:p w14:paraId="0BD728EA">
      <w:pPr>
        <w:widowControl/>
        <w:tabs>
          <w:tab w:val="left" w:pos="275"/>
          <w:tab w:val="left" w:pos="8280"/>
        </w:tabs>
        <w:spacing w:line="600" w:lineRule="auto"/>
        <w:ind w:firstLine="472" w:firstLineChars="147"/>
        <w:jc w:val="left"/>
        <w:rPr>
          <w:rFonts w:hint="eastAsia" w:ascii="宋体" w:hAnsi="宋体" w:eastAsia="宋体" w:cs="宋体"/>
          <w:b/>
          <w:color w:val="auto"/>
          <w:sz w:val="32"/>
          <w:szCs w:val="32"/>
          <w:highlight w:val="none"/>
        </w:rPr>
      </w:pPr>
    </w:p>
    <w:p w14:paraId="67F83B91">
      <w:pPr>
        <w:widowControl/>
        <w:tabs>
          <w:tab w:val="left" w:pos="275"/>
          <w:tab w:val="left" w:pos="8280"/>
        </w:tabs>
        <w:spacing w:line="600" w:lineRule="auto"/>
        <w:jc w:val="left"/>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 xml:space="preserve">   </w:t>
      </w:r>
    </w:p>
    <w:p w14:paraId="34C9E496">
      <w:pPr>
        <w:widowControl/>
        <w:tabs>
          <w:tab w:val="left" w:pos="765"/>
          <w:tab w:val="left" w:pos="8280"/>
        </w:tabs>
        <w:spacing w:line="60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6014D751">
      <w:pPr>
        <w:widowControl/>
        <w:tabs>
          <w:tab w:val="left" w:pos="765"/>
          <w:tab w:val="left" w:pos="8280"/>
        </w:tabs>
        <w:spacing w:line="600" w:lineRule="auto"/>
        <w:jc w:val="left"/>
        <w:rPr>
          <w:rFonts w:hint="eastAsia" w:ascii="宋体" w:hAnsi="宋体" w:eastAsia="宋体" w:cs="宋体"/>
          <w:b/>
          <w:color w:val="auto"/>
          <w:sz w:val="36"/>
          <w:szCs w:val="36"/>
          <w:highlight w:val="none"/>
          <w:u w:val="single"/>
          <w:lang w:val="en-US" w:eastAsia="zh-CN"/>
        </w:rPr>
      </w:pPr>
      <w:r>
        <w:rPr>
          <w:rFonts w:hint="eastAsia" w:ascii="宋体" w:hAnsi="宋体" w:eastAsia="宋体" w:cs="宋体"/>
          <w:b/>
          <w:color w:val="auto"/>
          <w:sz w:val="32"/>
          <w:szCs w:val="32"/>
          <w:highlight w:val="none"/>
        </w:rPr>
        <w:t>投标人：</w:t>
      </w:r>
      <w:r>
        <w:rPr>
          <w:rFonts w:hint="eastAsia" w:ascii="宋体" w:hAnsi="宋体" w:eastAsia="宋体" w:cs="宋体"/>
          <w:b/>
          <w:color w:val="auto"/>
          <w:sz w:val="32"/>
          <w:szCs w:val="32"/>
          <w:highlight w:val="none"/>
          <w:u w:val="single"/>
        </w:rPr>
        <w:t xml:space="preserve">                   （盖章）      </w:t>
      </w:r>
      <w:r>
        <w:rPr>
          <w:rFonts w:hint="eastAsia" w:ascii="宋体" w:hAnsi="宋体" w:eastAsia="宋体" w:cs="宋体"/>
          <w:b/>
          <w:color w:val="auto"/>
          <w:sz w:val="32"/>
          <w:szCs w:val="32"/>
          <w:highlight w:val="none"/>
          <w:u w:val="single"/>
          <w:lang w:val="en-US" w:eastAsia="zh-CN"/>
        </w:rPr>
        <w:t xml:space="preserve">             </w:t>
      </w:r>
    </w:p>
    <w:p w14:paraId="438AE644">
      <w:pPr>
        <w:widowControl/>
        <w:tabs>
          <w:tab w:val="left" w:pos="8280"/>
        </w:tabs>
        <w:spacing w:line="600" w:lineRule="auto"/>
        <w:jc w:val="both"/>
        <w:rPr>
          <w:rFonts w:hint="eastAsia" w:ascii="宋体" w:hAnsi="宋体" w:eastAsia="宋体" w:cs="宋体"/>
          <w:b/>
          <w:color w:val="auto"/>
          <w:sz w:val="32"/>
          <w:szCs w:val="32"/>
          <w:highlight w:val="none"/>
        </w:rPr>
      </w:pPr>
    </w:p>
    <w:p w14:paraId="08509137">
      <w:pPr>
        <w:widowControl/>
        <w:tabs>
          <w:tab w:val="left" w:pos="350"/>
          <w:tab w:val="left" w:pos="8280"/>
        </w:tabs>
        <w:spacing w:line="60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日期：      </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日</w:t>
      </w:r>
    </w:p>
    <w:p w14:paraId="60A35738">
      <w:pPr>
        <w:spacing w:line="600" w:lineRule="auto"/>
        <w:rPr>
          <w:rFonts w:hint="eastAsia" w:ascii="宋体" w:hAnsi="宋体" w:eastAsia="宋体" w:cs="宋体"/>
          <w:color w:val="auto"/>
          <w:highlight w:val="none"/>
        </w:rPr>
      </w:pPr>
    </w:p>
    <w:p w14:paraId="50B3F290">
      <w:pPr>
        <w:rPr>
          <w:rFonts w:hint="eastAsia" w:ascii="宋体" w:hAnsi="宋体" w:eastAsia="宋体" w:cs="宋体"/>
          <w:color w:val="auto"/>
          <w:highlight w:val="none"/>
        </w:rPr>
      </w:pPr>
    </w:p>
    <w:p w14:paraId="3B93D430">
      <w:pPr>
        <w:rPr>
          <w:rFonts w:hint="eastAsia" w:ascii="宋体" w:hAnsi="宋体" w:eastAsia="宋体" w:cs="宋体"/>
          <w:color w:val="auto"/>
          <w:highlight w:val="none"/>
        </w:rPr>
      </w:pPr>
    </w:p>
    <w:p w14:paraId="4F090490">
      <w:pPr>
        <w:rPr>
          <w:rFonts w:hint="eastAsia" w:ascii="宋体" w:hAnsi="宋体" w:eastAsia="宋体" w:cs="宋体"/>
          <w:color w:val="auto"/>
          <w:highlight w:val="none"/>
        </w:rPr>
      </w:pPr>
    </w:p>
    <w:p w14:paraId="492E8D19">
      <w:pPr>
        <w:rPr>
          <w:rFonts w:hint="eastAsia" w:ascii="宋体" w:hAnsi="宋体" w:eastAsia="宋体" w:cs="宋体"/>
          <w:color w:val="auto"/>
          <w:highlight w:val="none"/>
        </w:rPr>
      </w:pPr>
    </w:p>
    <w:p w14:paraId="3D224269">
      <w:pPr>
        <w:rPr>
          <w:rFonts w:hint="eastAsia" w:ascii="宋体" w:hAnsi="宋体" w:eastAsia="宋体" w:cs="宋体"/>
          <w:color w:val="auto"/>
          <w:highlight w:val="none"/>
        </w:rPr>
      </w:pPr>
    </w:p>
    <w:p w14:paraId="3EB1E263">
      <w:pPr>
        <w:rPr>
          <w:rFonts w:hint="eastAsia" w:ascii="宋体" w:hAnsi="宋体" w:eastAsia="宋体" w:cs="宋体"/>
          <w:color w:val="auto"/>
          <w:highlight w:val="none"/>
        </w:rPr>
      </w:pPr>
    </w:p>
    <w:p w14:paraId="4DA2CDDC">
      <w:pPr>
        <w:rPr>
          <w:rFonts w:hint="eastAsia" w:ascii="宋体" w:hAnsi="宋体" w:eastAsia="宋体" w:cs="宋体"/>
          <w:color w:val="auto"/>
          <w:highlight w:val="none"/>
        </w:rPr>
      </w:pPr>
    </w:p>
    <w:p w14:paraId="6832A8A0">
      <w:pP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p>
    <w:p w14:paraId="1E7F5C86">
      <w:pPr>
        <w:pStyle w:val="3"/>
        <w:spacing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t>二、投标函（格式）</w:t>
      </w:r>
    </w:p>
    <w:p w14:paraId="15CB824A">
      <w:pPr>
        <w:spacing w:line="660" w:lineRule="exact"/>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rPr>
        <w:t>致：</w:t>
      </w:r>
      <w:r>
        <w:rPr>
          <w:rFonts w:hint="eastAsia" w:ascii="宋体" w:hAnsi="宋体" w:eastAsia="宋体" w:cs="宋体"/>
          <w:color w:val="auto"/>
          <w:sz w:val="24"/>
          <w:szCs w:val="24"/>
          <w:highlight w:val="none"/>
          <w:lang w:eastAsia="zh-CN"/>
        </w:rPr>
        <w:t>浙江博策工程项目管理有限公司</w:t>
      </w:r>
    </w:p>
    <w:p w14:paraId="13CE3185">
      <w:pPr>
        <w:spacing w:line="360" w:lineRule="auto"/>
        <w:ind w:firstLine="384" w:firstLineChars="15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根据贵方</w:t>
      </w:r>
      <w:r>
        <w:rPr>
          <w:rFonts w:hint="eastAsia" w:ascii="宋体" w:hAnsi="宋体" w:eastAsia="宋体" w:cs="宋体"/>
          <w:color w:val="auto"/>
          <w:spacing w:val="8"/>
          <w:sz w:val="24"/>
          <w:szCs w:val="24"/>
          <w:highlight w:val="none"/>
          <w:u w:val="single"/>
        </w:rPr>
        <w:t xml:space="preserve">                           项目的</w:t>
      </w:r>
      <w:r>
        <w:rPr>
          <w:rFonts w:hint="eastAsia" w:ascii="宋体" w:hAnsi="宋体" w:eastAsia="宋体" w:cs="宋体"/>
          <w:color w:val="auto"/>
          <w:spacing w:val="8"/>
          <w:sz w:val="24"/>
          <w:szCs w:val="24"/>
          <w:highlight w:val="none"/>
        </w:rPr>
        <w:t>招标文件（编号：浙</w:t>
      </w:r>
      <w:r>
        <w:rPr>
          <w:rFonts w:hint="eastAsia" w:ascii="宋体" w:hAnsi="宋体" w:eastAsia="宋体" w:cs="宋体"/>
          <w:color w:val="auto"/>
          <w:spacing w:val="8"/>
          <w:sz w:val="24"/>
          <w:szCs w:val="24"/>
          <w:highlight w:val="none"/>
          <w:lang w:eastAsia="zh-CN"/>
        </w:rPr>
        <w:t>博策</w:t>
      </w:r>
      <w:r>
        <w:rPr>
          <w:rFonts w:hint="eastAsia" w:ascii="宋体" w:hAnsi="宋体" w:eastAsia="宋体" w:cs="宋体"/>
          <w:color w:val="auto"/>
          <w:spacing w:val="8"/>
          <w:sz w:val="24"/>
          <w:szCs w:val="24"/>
          <w:highlight w:val="none"/>
        </w:rPr>
        <w:t xml:space="preserve"> 20**-**-**）有关要求， </w:t>
      </w:r>
      <w:r>
        <w:rPr>
          <w:rFonts w:hint="eastAsia" w:ascii="宋体" w:hAnsi="宋体" w:eastAsia="宋体" w:cs="宋体"/>
          <w:color w:val="auto"/>
          <w:spacing w:val="8"/>
          <w:sz w:val="24"/>
          <w:szCs w:val="24"/>
          <w:highlight w:val="none"/>
          <w:u w:val="single"/>
        </w:rPr>
        <w:t xml:space="preserve">   　　（投标人全称）       </w:t>
      </w:r>
      <w:r>
        <w:rPr>
          <w:rFonts w:hint="eastAsia" w:ascii="宋体" w:hAnsi="宋体" w:eastAsia="宋体" w:cs="宋体"/>
          <w:color w:val="auto"/>
          <w:spacing w:val="8"/>
          <w:sz w:val="24"/>
          <w:szCs w:val="24"/>
          <w:highlight w:val="none"/>
        </w:rPr>
        <w:t>授权</w:t>
      </w:r>
      <w:r>
        <w:rPr>
          <w:rFonts w:hint="eastAsia" w:ascii="宋体" w:hAnsi="宋体" w:eastAsia="宋体" w:cs="宋体"/>
          <w:color w:val="auto"/>
          <w:spacing w:val="8"/>
          <w:sz w:val="24"/>
          <w:szCs w:val="24"/>
          <w:highlight w:val="none"/>
          <w:u w:val="single"/>
        </w:rPr>
        <w:t xml:space="preserve">     （委托代理人姓名）   </w:t>
      </w:r>
      <w:r>
        <w:rPr>
          <w:rFonts w:hint="eastAsia" w:ascii="宋体" w:hAnsi="宋体" w:eastAsia="宋体" w:cs="宋体"/>
          <w:color w:val="auto"/>
          <w:sz w:val="24"/>
          <w:szCs w:val="24"/>
          <w:highlight w:val="none"/>
        </w:rPr>
        <w:t>为全权代表，参加贵方组织的招标采购活动，并进行投标。为此：</w:t>
      </w:r>
    </w:p>
    <w:p w14:paraId="4FB0F8FC">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1、我方已详细研读了全部招标文件，包括修改文件（如有的话）以及全部参考资料和有关附件等，</w:t>
      </w:r>
      <w:r>
        <w:rPr>
          <w:rFonts w:hint="eastAsia" w:ascii="宋体" w:hAnsi="宋体" w:eastAsia="宋体" w:cs="宋体"/>
          <w:bCs/>
          <w:color w:val="auto"/>
          <w:sz w:val="24"/>
          <w:szCs w:val="24"/>
          <w:highlight w:val="none"/>
        </w:rPr>
        <w:t>完全理解并接受招标文件的各项规定和要求，对招标文件的合理性、合法性不再有异议。</w:t>
      </w:r>
    </w:p>
    <w:p w14:paraId="5784CCAE">
      <w:pPr>
        <w:tabs>
          <w:tab w:val="left" w:pos="9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2、我方承诺本投标文件在开标之日起至投标有效期满均具有约束力，并严格遵守投标文件中的承诺。</w:t>
      </w:r>
    </w:p>
    <w:p w14:paraId="3EE3C0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3、我方承诺已经具备招标文件中规定的参加本项目的供应商资格条件。</w:t>
      </w:r>
    </w:p>
    <w:p w14:paraId="5F84F25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4、我方严格按照招标文件的规定报价，并提供招标文件规定的全部投标文件。</w:t>
      </w:r>
    </w:p>
    <w:p w14:paraId="19D9B1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5、如我方中标，投标文件将作为本项目合同的组成部分，直到合同履行完毕均保持有效，我方将按招标文件及相关采购法律、法规的规定履行合同责任和义务。</w:t>
      </w:r>
    </w:p>
    <w:p w14:paraId="35F556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6、我方完全理解贵方不一定接受最低价的投标。</w:t>
      </w:r>
    </w:p>
    <w:p w14:paraId="54EA25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7、我方同意向贵方提供任何与该项投标有关的一切数据或资料。若贵方需要，我方愿意提供我方</w:t>
      </w:r>
      <w:r>
        <w:rPr>
          <w:rFonts w:hint="eastAsia" w:ascii="宋体"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rPr>
        <w:t>的一切承诺的证明材料。</w:t>
      </w:r>
    </w:p>
    <w:p w14:paraId="0D8367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8、与本次投标有关的一切正式往来通讯，请寄：</w:t>
      </w:r>
    </w:p>
    <w:p w14:paraId="4854E287">
      <w:pPr>
        <w:spacing w:line="360" w:lineRule="auto"/>
        <w:ind w:firstLine="4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149BB00D">
      <w:pPr>
        <w:spacing w:line="360" w:lineRule="auto"/>
        <w:ind w:firstLine="4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64C045CF">
      <w:pPr>
        <w:spacing w:line="360" w:lineRule="auto"/>
        <w:ind w:firstLine="425"/>
        <w:rPr>
          <w:rFonts w:hint="eastAsia" w:ascii="宋体" w:hAnsi="宋体" w:eastAsia="宋体" w:cs="宋体"/>
          <w:color w:val="auto"/>
          <w:sz w:val="24"/>
          <w:szCs w:val="24"/>
          <w:highlight w:val="none"/>
        </w:rPr>
      </w:pPr>
    </w:p>
    <w:p w14:paraId="3A9C42DB">
      <w:pPr>
        <w:spacing w:line="360" w:lineRule="auto"/>
        <w:ind w:firstLine="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w:t>
      </w:r>
      <w:r>
        <w:rPr>
          <w:rFonts w:hint="eastAsia" w:ascii="宋体" w:hAnsi="宋体" w:eastAsia="宋体" w:cs="宋体"/>
          <w:color w:val="auto"/>
          <w:sz w:val="24"/>
          <w:szCs w:val="24"/>
          <w:highlight w:val="none"/>
          <w:u w:val="single"/>
        </w:rPr>
        <w:t xml:space="preserve">             （盖章）          </w:t>
      </w:r>
    </w:p>
    <w:p w14:paraId="47E89297">
      <w:pPr>
        <w:spacing w:line="360" w:lineRule="auto"/>
        <w:ind w:firstLine="425"/>
        <w:rPr>
          <w:rFonts w:hint="eastAsia" w:ascii="宋体" w:hAnsi="宋体" w:eastAsia="宋体" w:cs="宋体"/>
          <w:color w:val="auto"/>
          <w:sz w:val="24"/>
          <w:szCs w:val="24"/>
          <w:highlight w:val="none"/>
        </w:rPr>
      </w:pPr>
    </w:p>
    <w:p w14:paraId="5245F895">
      <w:pPr>
        <w:spacing w:line="360" w:lineRule="auto"/>
        <w:ind w:firstLine="4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0CBC74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8E9FAF6">
      <w:pPr>
        <w:spacing w:line="360" w:lineRule="auto"/>
        <w:ind w:firstLine="480" w:firstLineChars="200"/>
        <w:rPr>
          <w:rFonts w:hint="eastAsia" w:ascii="宋体" w:hAnsi="宋体" w:eastAsia="宋体" w:cs="宋体"/>
          <w:color w:val="auto"/>
          <w:sz w:val="24"/>
          <w:szCs w:val="24"/>
          <w:highlight w:val="none"/>
        </w:rPr>
      </w:pPr>
    </w:p>
    <w:p w14:paraId="4824EA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003DE2C">
      <w:pPr>
        <w:pStyle w:val="3"/>
        <w:spacing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lang w:val="en-US" w:eastAsia="zh-CN"/>
        </w:rPr>
        <w:t>三</w:t>
      </w:r>
      <w:r>
        <w:rPr>
          <w:rFonts w:hint="eastAsia" w:ascii="宋体" w:hAnsi="宋体" w:eastAsia="宋体" w:cs="宋体"/>
          <w:b w:val="0"/>
          <w:color w:val="auto"/>
          <w:highlight w:val="none"/>
        </w:rPr>
        <w:t>、授权委托书（格式）</w:t>
      </w:r>
    </w:p>
    <w:p w14:paraId="243E85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pacing w:val="8"/>
          <w:sz w:val="24"/>
          <w:szCs w:val="24"/>
          <w:highlight w:val="none"/>
          <w:lang w:eastAsia="zh-CN"/>
        </w:rPr>
        <w:t>浙江博策工程项目管理有限公司</w:t>
      </w:r>
    </w:p>
    <w:p w14:paraId="417A25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（职务：     身份证号码</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的法定代表人，现授权委托本单位在职职工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（职务：    身份证号码：     ）</w:t>
      </w:r>
      <w:r>
        <w:rPr>
          <w:rFonts w:hint="eastAsia" w:ascii="宋体" w:hAnsi="宋体" w:eastAsia="宋体" w:cs="宋体"/>
          <w:color w:val="auto"/>
          <w:sz w:val="24"/>
          <w:szCs w:val="24"/>
          <w:highlight w:val="none"/>
        </w:rPr>
        <w:t>以我方的名义参加贵中心组织的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招标项目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的投标活动，并代表我方全权办理针对上述项目的投标、开标、评标、签约等具体事务和签署相关文件。</w:t>
      </w:r>
    </w:p>
    <w:p w14:paraId="611B4E8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我方对被授权人的签名事项负全部责任。</w:t>
      </w:r>
    </w:p>
    <w:p w14:paraId="0EE78D2B">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5B45E875">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3E805A82">
      <w:pPr>
        <w:spacing w:line="360" w:lineRule="auto"/>
        <w:rPr>
          <w:rFonts w:hint="eastAsia" w:ascii="宋体" w:hAnsi="宋体" w:eastAsia="宋体" w:cs="宋体"/>
          <w:color w:val="auto"/>
          <w:sz w:val="24"/>
          <w:szCs w:val="24"/>
          <w:highlight w:val="none"/>
        </w:rPr>
      </w:pPr>
    </w:p>
    <w:p w14:paraId="056D565D">
      <w:pPr>
        <w:spacing w:line="360" w:lineRule="auto"/>
        <w:rPr>
          <w:rFonts w:hint="eastAsia" w:ascii="宋体" w:hAnsi="宋体" w:eastAsia="宋体" w:cs="宋体"/>
          <w:color w:val="auto"/>
          <w:sz w:val="24"/>
          <w:szCs w:val="24"/>
          <w:highlight w:val="none"/>
        </w:rPr>
      </w:pPr>
    </w:p>
    <w:p w14:paraId="2ABE3D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附：1、社保机构出具的投标人为授权委托人缴纳的近三个月社保证明。未按要求提供社保证明的不视为投标人的授权代表。</w:t>
      </w:r>
    </w:p>
    <w:p w14:paraId="5A8799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2、法定代表人和被授权人身份证复印件。</w:t>
      </w:r>
    </w:p>
    <w:p w14:paraId="05056D82">
      <w:pPr>
        <w:spacing w:line="360" w:lineRule="auto"/>
        <w:ind w:firstLine="4440" w:firstLineChars="18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03FE2C6D">
      <w:pPr>
        <w:spacing w:line="360" w:lineRule="auto"/>
        <w:rPr>
          <w:rFonts w:hint="eastAsia" w:ascii="宋体" w:hAnsi="宋体" w:eastAsia="宋体" w:cs="宋体"/>
          <w:color w:val="auto"/>
          <w:sz w:val="24"/>
          <w:szCs w:val="24"/>
          <w:highlight w:val="none"/>
        </w:rPr>
      </w:pPr>
    </w:p>
    <w:p w14:paraId="3F995B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65F5099">
      <w:pPr>
        <w:pStyle w:val="3"/>
        <w:spacing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val="0"/>
          <w:color w:val="auto"/>
          <w:sz w:val="36"/>
          <w:szCs w:val="36"/>
          <w:highlight w:val="none"/>
        </w:rPr>
        <w:t>四、开标一览表（格式）</w:t>
      </w:r>
    </w:p>
    <w:p w14:paraId="4AEF068B">
      <w:pPr>
        <w:spacing w:line="360" w:lineRule="auto"/>
        <w:ind w:left="279" w:leftChars="13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p>
    <w:p w14:paraId="38E7D16B">
      <w:pPr>
        <w:spacing w:line="360" w:lineRule="auto"/>
        <w:ind w:left="279" w:leftChars="1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项目编号：浙</w:t>
      </w:r>
      <w:r>
        <w:rPr>
          <w:rFonts w:hint="eastAsia" w:ascii="宋体" w:hAnsi="宋体" w:eastAsia="宋体" w:cs="宋体"/>
          <w:color w:val="auto"/>
          <w:sz w:val="24"/>
          <w:szCs w:val="24"/>
          <w:highlight w:val="none"/>
          <w:lang w:eastAsia="zh-CN"/>
        </w:rPr>
        <w:t>博策</w:t>
      </w:r>
      <w:r>
        <w:rPr>
          <w:rFonts w:hint="eastAsia" w:ascii="宋体" w:hAnsi="宋体" w:eastAsia="宋体" w:cs="宋体"/>
          <w:color w:val="auto"/>
          <w:sz w:val="24"/>
          <w:szCs w:val="24"/>
          <w:highlight w:val="none"/>
        </w:rPr>
        <w:t xml:space="preserve"> 20**-**-**</w:t>
      </w:r>
    </w:p>
    <w:tbl>
      <w:tblPr>
        <w:tblStyle w:val="18"/>
        <w:tblpPr w:leftFromText="180" w:rightFromText="180" w:vertAnchor="text" w:horzAnchor="page" w:tblpX="1452" w:tblpY="314"/>
        <w:tblOverlap w:val="never"/>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42"/>
        <w:gridCol w:w="3163"/>
      </w:tblGrid>
      <w:tr w14:paraId="7B95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50" w:type="dxa"/>
            <w:noWrap w:val="0"/>
            <w:vAlign w:val="center"/>
          </w:tcPr>
          <w:p w14:paraId="29912389">
            <w:pPr>
              <w:widowControl/>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 号</w:t>
            </w:r>
          </w:p>
        </w:tc>
        <w:tc>
          <w:tcPr>
            <w:tcW w:w="5142" w:type="dxa"/>
            <w:noWrap w:val="0"/>
            <w:vAlign w:val="center"/>
          </w:tcPr>
          <w:p w14:paraId="5729CB47">
            <w:pPr>
              <w:widowControl/>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项目名称</w:t>
            </w:r>
          </w:p>
        </w:tc>
        <w:tc>
          <w:tcPr>
            <w:tcW w:w="3163" w:type="dxa"/>
            <w:noWrap w:val="0"/>
            <w:vAlign w:val="center"/>
          </w:tcPr>
          <w:p w14:paraId="7A0D23F5">
            <w:pPr>
              <w:pStyle w:val="32"/>
              <w:spacing w:line="360" w:lineRule="auto"/>
              <w:ind w:left="63" w:leftChars="0" w:right="63" w:rightChars="0"/>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投标总价</w:t>
            </w:r>
          </w:p>
        </w:tc>
      </w:tr>
      <w:tr w14:paraId="5988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850" w:type="dxa"/>
            <w:noWrap w:val="0"/>
            <w:vAlign w:val="center"/>
          </w:tcPr>
          <w:p w14:paraId="4759F502">
            <w:pPr>
              <w:widowControl/>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5142" w:type="dxa"/>
            <w:noWrap w:val="0"/>
            <w:vAlign w:val="center"/>
          </w:tcPr>
          <w:p w14:paraId="69172334">
            <w:pPr>
              <w:spacing w:line="360" w:lineRule="auto"/>
              <w:jc w:val="center"/>
              <w:rPr>
                <w:rFonts w:hint="eastAsia" w:ascii="宋体" w:hAnsi="宋体" w:eastAsia="宋体" w:cs="宋体"/>
                <w:b w:val="0"/>
                <w:bCs w:val="0"/>
                <w:color w:val="auto"/>
                <w:sz w:val="24"/>
                <w:szCs w:val="24"/>
                <w:highlight w:val="none"/>
              </w:rPr>
            </w:pPr>
          </w:p>
        </w:tc>
        <w:tc>
          <w:tcPr>
            <w:tcW w:w="3163" w:type="dxa"/>
            <w:noWrap w:val="0"/>
            <w:vAlign w:val="center"/>
          </w:tcPr>
          <w:p w14:paraId="0D666B3B">
            <w:pPr>
              <w:widowControl/>
              <w:shd w:val="clear" w:color="auto" w:fill="auto"/>
              <w:spacing w:line="360" w:lineRule="auto"/>
              <w:jc w:val="both"/>
              <w:rPr>
                <w:rFonts w:hint="eastAsia" w:ascii="宋体" w:hAnsi="宋体" w:eastAsia="宋体" w:cs="宋体"/>
                <w:b w:val="0"/>
                <w:bCs w:val="0"/>
                <w:color w:val="auto"/>
                <w:sz w:val="24"/>
                <w:szCs w:val="24"/>
                <w:highlight w:val="none"/>
                <w:lang w:val="en-US" w:eastAsia="zh-CN"/>
              </w:rPr>
            </w:pPr>
          </w:p>
          <w:p w14:paraId="60E9C4EA">
            <w:pPr>
              <w:widowControl/>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大写：</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元整</w:t>
            </w:r>
          </w:p>
          <w:p w14:paraId="6A1CDCCE">
            <w:pPr>
              <w:pStyle w:val="2"/>
              <w:spacing w:line="360" w:lineRule="auto"/>
              <w:jc w:val="both"/>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小写：¥</w:t>
            </w:r>
            <w:r>
              <w:rPr>
                <w:rFonts w:hint="eastAsia" w:ascii="宋体" w:hAnsi="宋体" w:eastAsia="宋体" w:cs="宋体"/>
                <w:b w:val="0"/>
                <w:bCs w:val="0"/>
                <w:color w:val="auto"/>
                <w:sz w:val="24"/>
                <w:szCs w:val="24"/>
                <w:highlight w:val="none"/>
                <w:u w:val="single"/>
                <w:lang w:val="en-US" w:eastAsia="zh-CN"/>
              </w:rPr>
              <w:t xml:space="preserve">              </w:t>
            </w:r>
          </w:p>
        </w:tc>
      </w:tr>
    </w:tbl>
    <w:p w14:paraId="3F9A8C0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4CDD21D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有关本项目实施所涉及的一切费用均计入报价。</w:t>
      </w:r>
    </w:p>
    <w:p w14:paraId="2720057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投标报价不得超过最高限价，否则按无效报价处理。</w:t>
      </w:r>
    </w:p>
    <w:p w14:paraId="791AD399">
      <w:pPr>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3、供应商</w:t>
      </w:r>
      <w:r>
        <w:rPr>
          <w:rFonts w:hint="eastAsia" w:ascii="宋体" w:hAnsi="宋体" w:cs="宋体"/>
          <w:color w:val="auto"/>
          <w:sz w:val="24"/>
          <w:szCs w:val="24"/>
          <w:highlight w:val="none"/>
          <w:lang w:val="en-US" w:eastAsia="zh-CN"/>
        </w:rPr>
        <w:t>需要</w:t>
      </w:r>
      <w:r>
        <w:rPr>
          <w:rFonts w:hint="eastAsia" w:ascii="宋体" w:hAnsi="宋体" w:eastAsia="宋体" w:cs="宋体"/>
          <w:color w:val="auto"/>
          <w:sz w:val="24"/>
          <w:szCs w:val="24"/>
          <w:highlight w:val="none"/>
          <w:lang w:val="en-US" w:eastAsia="zh-CN"/>
        </w:rPr>
        <w:t>根据项目采购需求</w:t>
      </w:r>
      <w:r>
        <w:rPr>
          <w:rFonts w:hint="eastAsia" w:ascii="宋体" w:hAnsi="宋体" w:eastAsia="宋体" w:cs="宋体"/>
          <w:color w:val="auto"/>
          <w:sz w:val="24"/>
          <w:szCs w:val="24"/>
          <w:highlight w:val="none"/>
          <w:u w:val="none"/>
          <w:lang w:val="en-US" w:eastAsia="zh-CN"/>
        </w:rPr>
        <w:t>后附</w:t>
      </w:r>
      <w:r>
        <w:rPr>
          <w:rFonts w:hint="eastAsia" w:ascii="宋体" w:hAnsi="宋体" w:eastAsia="宋体" w:cs="宋体"/>
          <w:color w:val="auto"/>
          <w:sz w:val="24"/>
          <w:szCs w:val="24"/>
          <w:highlight w:val="none"/>
          <w:u w:val="single"/>
          <w:lang w:val="en-US" w:eastAsia="zh-CN"/>
        </w:rPr>
        <w:t>分项报价清单</w:t>
      </w:r>
      <w:r>
        <w:rPr>
          <w:rFonts w:hint="eastAsia" w:ascii="宋体" w:hAnsi="宋体" w:eastAsia="宋体" w:cs="宋体"/>
          <w:color w:val="auto"/>
          <w:sz w:val="24"/>
          <w:szCs w:val="24"/>
          <w:highlight w:val="none"/>
          <w:lang w:val="en-US" w:eastAsia="zh-CN"/>
        </w:rPr>
        <w:t>，格式自拟。投标总价与分项报价的合价不一致时，以分项报价的合计价格为准。投标人有义务保证采购项目的完整性，如投标人认为清单中缺少了本项目实施必须具备的货物或服务时，投标人应自行补充完整，未补充的视为已包含在报价内。</w:t>
      </w:r>
    </w:p>
    <w:p w14:paraId="4F1AE31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4、报价精确到两位小数，报价不得出现“0元”“免费赠送”等形式的无偿报价。</w:t>
      </w:r>
    </w:p>
    <w:p w14:paraId="036D5BD3">
      <w:pPr>
        <w:spacing w:line="360" w:lineRule="auto"/>
        <w:rPr>
          <w:rFonts w:hint="eastAsia" w:ascii="宋体" w:hAnsi="宋体" w:eastAsia="宋体" w:cs="宋体"/>
          <w:color w:val="auto"/>
          <w:sz w:val="24"/>
          <w:szCs w:val="24"/>
          <w:highlight w:val="none"/>
        </w:rPr>
      </w:pPr>
    </w:p>
    <w:p w14:paraId="6D91BA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（盖章）            </w:t>
      </w:r>
      <w:r>
        <w:rPr>
          <w:rFonts w:hint="eastAsia" w:ascii="宋体" w:hAnsi="宋体" w:eastAsia="宋体" w:cs="宋体"/>
          <w:color w:val="auto"/>
          <w:sz w:val="24"/>
          <w:szCs w:val="24"/>
          <w:highlight w:val="none"/>
        </w:rPr>
        <w:t xml:space="preserve">       </w:t>
      </w:r>
    </w:p>
    <w:p w14:paraId="02AD26D4">
      <w:pPr>
        <w:spacing w:line="360" w:lineRule="auto"/>
        <w:rPr>
          <w:rFonts w:hint="eastAsia" w:ascii="宋体" w:hAnsi="宋体" w:eastAsia="宋体" w:cs="宋体"/>
          <w:color w:val="auto"/>
          <w:sz w:val="24"/>
          <w:szCs w:val="24"/>
          <w:highlight w:val="none"/>
        </w:rPr>
      </w:pPr>
    </w:p>
    <w:p w14:paraId="783D6CE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416BCD8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val="0"/>
          <w:bCs/>
          <w:color w:val="auto"/>
          <w:kern w:val="2"/>
          <w:sz w:val="36"/>
          <w:szCs w:val="36"/>
          <w:highlight w:val="none"/>
          <w:lang w:val="en-US" w:eastAsia="zh-CN" w:bidi="ar-SA"/>
        </w:rPr>
        <w:t>分项报价清单</w:t>
      </w:r>
      <w:r>
        <w:rPr>
          <w:rFonts w:hint="eastAsia" w:ascii="宋体" w:hAnsi="宋体" w:cs="宋体"/>
          <w:b w:val="0"/>
          <w:bCs/>
          <w:color w:val="auto"/>
          <w:kern w:val="2"/>
          <w:sz w:val="36"/>
          <w:szCs w:val="36"/>
          <w:highlight w:val="none"/>
          <w:lang w:val="en-US" w:eastAsia="zh-CN" w:bidi="ar-SA"/>
        </w:rPr>
        <w:t>（格式自拟）</w:t>
      </w:r>
    </w:p>
    <w:p w14:paraId="481E9F73">
      <w:pPr>
        <w:rPr>
          <w:rFonts w:hint="eastAsia" w:ascii="宋体" w:hAnsi="宋体" w:eastAsia="宋体" w:cs="宋体"/>
          <w:color w:val="auto"/>
          <w:sz w:val="24"/>
          <w:szCs w:val="24"/>
          <w:highlight w:val="none"/>
        </w:rPr>
      </w:pPr>
    </w:p>
    <w:p w14:paraId="7E208E1E">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3141C4B9">
      <w:pPr>
        <w:spacing w:line="440" w:lineRule="exact"/>
        <w:jc w:val="center"/>
        <w:rPr>
          <w:rFonts w:hint="eastAsia" w:ascii="宋体" w:hAnsi="宋体" w:eastAsia="宋体" w:cs="宋体"/>
          <w:b/>
          <w:color w:val="auto"/>
          <w:sz w:val="36"/>
          <w:szCs w:val="36"/>
          <w:highlight w:val="none"/>
        </w:rPr>
      </w:pPr>
      <w:r>
        <w:rPr>
          <w:rFonts w:hint="eastAsia" w:ascii="宋体" w:hAnsi="宋体" w:eastAsia="宋体" w:cs="宋体"/>
          <w:bCs/>
          <w:color w:val="auto"/>
          <w:sz w:val="36"/>
          <w:szCs w:val="36"/>
          <w:highlight w:val="none"/>
        </w:rPr>
        <w:t>五、</w:t>
      </w:r>
      <w:r>
        <w:rPr>
          <w:rFonts w:hint="eastAsia" w:ascii="宋体" w:hAnsi="宋体" w:eastAsia="宋体" w:cs="宋体"/>
          <w:color w:val="auto"/>
          <w:sz w:val="36"/>
          <w:szCs w:val="36"/>
          <w:highlight w:val="none"/>
        </w:rPr>
        <w:t>投标承诺书（格式）</w:t>
      </w:r>
    </w:p>
    <w:p w14:paraId="01669A57">
      <w:pPr>
        <w:spacing w:line="340" w:lineRule="exact"/>
        <w:ind w:firstLine="720" w:firstLineChars="200"/>
        <w:rPr>
          <w:rFonts w:hint="eastAsia" w:ascii="宋体" w:hAnsi="宋体" w:eastAsia="宋体" w:cs="宋体"/>
          <w:color w:val="auto"/>
          <w:sz w:val="36"/>
          <w:szCs w:val="36"/>
          <w:highlight w:val="none"/>
        </w:rPr>
      </w:pPr>
    </w:p>
    <w:p w14:paraId="300E9F7B">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我公司已详细阅读了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浙</w:t>
      </w:r>
      <w:r>
        <w:rPr>
          <w:rFonts w:hint="eastAsia" w:ascii="宋体" w:hAnsi="宋体" w:eastAsia="宋体" w:cs="宋体"/>
          <w:color w:val="auto"/>
          <w:highlight w:val="none"/>
          <w:u w:val="single"/>
          <w:lang w:eastAsia="zh-CN"/>
        </w:rPr>
        <w:t>博策</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）招标文件，现参加该项目投标，并就有关事项作出如下承诺：</w:t>
      </w:r>
    </w:p>
    <w:p w14:paraId="41C7B6DD">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一、我公司在该项目招投标及合同履约过程中，不会出现以下行为，否则我公司愿意接受该行为被记录为不良行为，并在不良行为记录时限内放弃在诸暨市传媒集团有限公司投标的资格。</w:t>
      </w:r>
    </w:p>
    <w:p w14:paraId="26844DD5">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（1）已报名但无故放弃投标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开标前已有书面说明并证实的除外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一年内累计3次以上的；</w:t>
      </w:r>
    </w:p>
    <w:p w14:paraId="0DDEFAFA">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（2）在招标采购过程中，与采购人进行协商谈判的；</w:t>
      </w:r>
    </w:p>
    <w:p w14:paraId="52E7BE2D">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（3）投标有效期内撤回其投标文件的；</w:t>
      </w:r>
    </w:p>
    <w:p w14:paraId="0EAA5FDA">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（4）拒绝有关部门监督检查或提供虚假情况的；</w:t>
      </w:r>
    </w:p>
    <w:p w14:paraId="2DD838BE">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（5）不积极配合采购单位做好标的验收工作的；</w:t>
      </w:r>
    </w:p>
    <w:p w14:paraId="3E7AF768">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（6）在有关部门的监督检查或考核中被通报批评或处以警告及以上处罚的；</w:t>
      </w:r>
    </w:p>
    <w:p w14:paraId="634FDBCF">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（7）不遵守投标会场纪律，无理取闹，扰乱交易秩序的；</w:t>
      </w:r>
    </w:p>
    <w:p w14:paraId="3E5E4183">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（8）中标后无正当理由放弃中标，或不与采购人签订采购合同，或在签订合同时提出附加条件或更改合同实质性内容，或拒不提交所要求的履约保证金的；</w:t>
      </w:r>
    </w:p>
    <w:p w14:paraId="458AA920">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（9）虚假投诉、恶意投诉或未按层级和相关程序逐级质疑、投诉而影响采购工作正常进行或造成不良影响的；</w:t>
      </w:r>
    </w:p>
    <w:p w14:paraId="3A5D6A7F">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（10）不按照与采购人订立的合同履行义务（包括提供标的、售后服务、技术支持等），严重违反合同规定和廉政合同要求的；</w:t>
      </w:r>
    </w:p>
    <w:p w14:paraId="79DB5691">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（11）项目负责人不到位，或擅自变换项目负责人，或不认真履行职责造成采购人损失的；</w:t>
      </w:r>
    </w:p>
    <w:p w14:paraId="191B6DAB">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（12）发生经营状况重大变化以及重要担保、重大合同纠纷或诉讼、信用等级和资质变化等可能影响履约能力的重大事项，未及时向诸暨市传媒集团有限公司提供书面报告，因而造成采购人损失的；</w:t>
      </w:r>
    </w:p>
    <w:p w14:paraId="2E33D85D">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（13）与采购人、其他供应商或者采购代理机构相互串通的；</w:t>
      </w:r>
    </w:p>
    <w:p w14:paraId="539E210B">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（14）采取不正当手段排挤其他供应商，进行不公平竞争的；</w:t>
      </w:r>
    </w:p>
    <w:p w14:paraId="5F529C14">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（15）中标后与采购人另行订立背离合同实质内容的协议的；</w:t>
      </w:r>
    </w:p>
    <w:p w14:paraId="16CDFD38">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（16）事先有承诺，而事后违反承诺内容的；</w:t>
      </w:r>
    </w:p>
    <w:p w14:paraId="672BB5F3">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（17）将中标项目转包或违反规定进行分包的；</w:t>
      </w:r>
    </w:p>
    <w:p w14:paraId="1A163B13">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（18）以他人名义投标或允许他人以自己名义投标，或者以其他方式弄虚作假的；</w:t>
      </w:r>
    </w:p>
    <w:p w14:paraId="6A674029">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（19）未按照采购合同约定及时提供全部货物的，或无故拖延工期的；</w:t>
      </w:r>
    </w:p>
    <w:p w14:paraId="72138571">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（20）无故不提供中标要求的型号、配置等产品的，或有拆换、调换、截留产品零部件和备品备件的行为的；</w:t>
      </w:r>
    </w:p>
    <w:p w14:paraId="43853958">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（21）为获取自身利益，向采购人及其他有利害关系的单位或个人提供不正当利益的；</w:t>
      </w:r>
    </w:p>
    <w:p w14:paraId="19603118">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（22）提供假冒伪劣产品或走私物品的；</w:t>
      </w:r>
    </w:p>
    <w:p w14:paraId="623F8545">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（23）擅自变更、中止、终止或解除采购合同的；</w:t>
      </w:r>
    </w:p>
    <w:p w14:paraId="7F372AEE">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（24）向有关人员行贿或者提供不正当利益谋取中标的；</w:t>
      </w:r>
    </w:p>
    <w:p w14:paraId="31A41615">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（25）在采购活动期间，对管理机构、采购人、其他投标人、评标专家、中介机构等采购相关机构和人员，采取诋毁、诽谤、胁迫、暴力等不正当手段的；</w:t>
      </w:r>
    </w:p>
    <w:p w14:paraId="38B2FF19">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（26）诸暨市传媒集团有限公司认定的其他违反采购管理的行为。</w:t>
      </w:r>
    </w:p>
    <w:p w14:paraId="4AB89A16">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（6）行为之一，记录时限为6个月；出现（7）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（12）行为之一，记录时限为1年；出现（13）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（17）行为之一，记录时限为2年；出现（18）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（21）行为之一，记录时限为3年；出现（22）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（25）行为之一，记录时限为5年；出现（26）行为，酌情处理。时限以被记录为不良行为之日起算，在记录时限内再次被</w:t>
      </w:r>
      <w:r>
        <w:rPr>
          <w:rFonts w:hint="eastAsia" w:ascii="宋体" w:hAnsi="宋体" w:eastAsia="宋体" w:cs="宋体"/>
          <w:color w:val="auto"/>
          <w:highlight w:val="none"/>
          <w:lang w:eastAsia="zh-CN"/>
        </w:rPr>
        <w:t>记</w:t>
      </w:r>
      <w:r>
        <w:rPr>
          <w:rFonts w:hint="eastAsia" w:ascii="宋体" w:hAnsi="宋体" w:eastAsia="宋体" w:cs="宋体"/>
          <w:color w:val="auto"/>
          <w:highlight w:val="none"/>
        </w:rPr>
        <w:t>为不良行为的，记录时限应从上次记录时限截止日起算。</w:t>
      </w:r>
    </w:p>
    <w:p w14:paraId="17AAE2C2">
      <w:pPr>
        <w:spacing w:line="340" w:lineRule="exact"/>
        <w:ind w:left="420"/>
        <w:rPr>
          <w:rFonts w:hint="eastAsia" w:ascii="宋体" w:hAnsi="宋体" w:eastAsia="宋体" w:cs="宋体"/>
          <w:color w:val="auto"/>
          <w:highlight w:val="none"/>
        </w:rPr>
      </w:pPr>
      <w:r>
        <w:rPr>
          <w:rFonts w:hint="eastAsia" w:ascii="宋体" w:hAnsi="宋体" w:eastAsia="宋体" w:cs="宋体"/>
          <w:color w:val="auto"/>
          <w:highlight w:val="none"/>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法做出的处罚决定。</w:t>
      </w:r>
    </w:p>
    <w:p w14:paraId="3D3350F4">
      <w:pPr>
        <w:numPr>
          <w:ilvl w:val="0"/>
          <w:numId w:val="2"/>
        </w:numPr>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我公司及其他利害关系人如对该项目的中标公示有异议，将在采购文件规定的公示期限内提出符合以下条件的有效质疑，否则我公司愿意接受相关部门不予受理的决定。</w:t>
      </w:r>
    </w:p>
    <w:p w14:paraId="7956E162">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1、质疑人须为采购响应人和其他利害关系人；</w:t>
      </w:r>
    </w:p>
    <w:p w14:paraId="001BE9D0">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2、投诉时，应当递交质疑书，质疑书应当包括下列内容：</w:t>
      </w:r>
    </w:p>
    <w:p w14:paraId="53DA215E">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（1）质疑人的名称、地址及有效联系方式；</w:t>
      </w:r>
    </w:p>
    <w:p w14:paraId="7ED0750E">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（2）被质疑人的名称、地址及联系方式；</w:t>
      </w:r>
    </w:p>
    <w:p w14:paraId="738274B0">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（3）质疑事项的基本事实；</w:t>
      </w:r>
    </w:p>
    <w:p w14:paraId="36941A31">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（4）相关请求及主张；</w:t>
      </w:r>
    </w:p>
    <w:p w14:paraId="118BDB45">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（5）有效线索和相关证明材料；</w:t>
      </w:r>
    </w:p>
    <w:p w14:paraId="4875806A">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（6）质疑人是法人的，质疑书必须由其法定代表人或者授权代表签字并加盖公章；其他组织或者个人质疑的，质疑书必须由其主要负责人或者质疑人本人签字，并附有效身份证明复印件。</w:t>
      </w:r>
    </w:p>
    <w:p w14:paraId="21E50E99">
      <w:pPr>
        <w:spacing w:line="340" w:lineRule="exact"/>
        <w:ind w:firstLine="723" w:firstLineChars="400"/>
        <w:rPr>
          <w:rFonts w:hint="eastAsia" w:ascii="宋体" w:hAnsi="宋体" w:eastAsia="宋体" w:cs="宋体"/>
          <w:b/>
          <w:color w:val="auto"/>
          <w:sz w:val="18"/>
          <w:szCs w:val="18"/>
          <w:highlight w:val="none"/>
        </w:rPr>
      </w:pPr>
    </w:p>
    <w:p w14:paraId="2420B6E9">
      <w:pPr>
        <w:spacing w:line="340" w:lineRule="exact"/>
        <w:ind w:firstLine="840" w:firstLineChars="400"/>
        <w:rPr>
          <w:rFonts w:hint="eastAsia" w:ascii="宋体" w:hAnsi="宋体" w:eastAsia="宋体" w:cs="宋体"/>
          <w:color w:val="auto"/>
          <w:highlight w:val="none"/>
        </w:rPr>
      </w:pPr>
    </w:p>
    <w:p w14:paraId="19CF198E">
      <w:pPr>
        <w:spacing w:line="340" w:lineRule="exact"/>
        <w:ind w:firstLine="840" w:firstLineChars="400"/>
        <w:rPr>
          <w:rFonts w:hint="eastAsia" w:ascii="宋体" w:hAnsi="宋体" w:eastAsia="宋体" w:cs="宋体"/>
          <w:color w:val="auto"/>
          <w:highlight w:val="none"/>
        </w:rPr>
      </w:pPr>
    </w:p>
    <w:p w14:paraId="7D2F4ADB">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（盖章）              </w:t>
      </w:r>
    </w:p>
    <w:p w14:paraId="1FD40701">
      <w:pPr>
        <w:shd w:val="clear"/>
        <w:spacing w:line="360" w:lineRule="auto"/>
        <w:ind w:firstLine="425"/>
        <w:rPr>
          <w:rFonts w:hint="eastAsia" w:ascii="宋体" w:hAnsi="宋体" w:eastAsia="宋体" w:cs="宋体"/>
          <w:color w:val="auto"/>
          <w:sz w:val="24"/>
          <w:szCs w:val="24"/>
          <w:highlight w:val="none"/>
          <w:u w:val="single"/>
        </w:rPr>
      </w:pPr>
    </w:p>
    <w:p w14:paraId="3F3184F5">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590407F">
      <w:pPr>
        <w:spacing w:line="560" w:lineRule="exact"/>
        <w:ind w:firstLine="560" w:firstLineChars="200"/>
        <w:rPr>
          <w:rFonts w:hint="eastAsia" w:ascii="宋体" w:hAnsi="宋体" w:eastAsia="宋体" w:cs="宋体"/>
          <w:color w:val="auto"/>
          <w:sz w:val="28"/>
          <w:highlight w:val="none"/>
        </w:rPr>
      </w:pPr>
    </w:p>
    <w:p w14:paraId="479757E2">
      <w:pPr>
        <w:rPr>
          <w:rFonts w:hint="eastAsia" w:ascii="宋体" w:hAnsi="宋体" w:eastAsia="宋体" w:cs="宋体"/>
          <w:color w:val="auto"/>
          <w:highlight w:val="none"/>
        </w:rPr>
      </w:pPr>
    </w:p>
    <w:p w14:paraId="3EB9204B">
      <w:pPr>
        <w:rPr>
          <w:rFonts w:hint="eastAsia" w:ascii="宋体" w:hAnsi="宋体" w:eastAsia="宋体" w:cs="宋体"/>
          <w:color w:val="auto"/>
          <w:highlight w:val="none"/>
        </w:rPr>
      </w:pPr>
    </w:p>
    <w:p w14:paraId="1739C8DD">
      <w:pPr>
        <w:rPr>
          <w:rFonts w:hint="eastAsia" w:ascii="宋体" w:hAnsi="宋体" w:eastAsia="宋体" w:cs="宋体"/>
          <w:color w:val="auto"/>
          <w:highlight w:val="none"/>
        </w:rPr>
      </w:pPr>
    </w:p>
    <w:p w14:paraId="55131380">
      <w:pPr>
        <w:rPr>
          <w:rFonts w:hint="eastAsia" w:ascii="宋体" w:hAnsi="宋体" w:eastAsia="宋体" w:cs="宋体"/>
          <w:color w:val="auto"/>
          <w:highlight w:val="none"/>
        </w:rPr>
      </w:pPr>
    </w:p>
    <w:p w14:paraId="6FCE8E89">
      <w:pPr>
        <w:rPr>
          <w:rFonts w:hint="eastAsia" w:ascii="宋体" w:hAnsi="宋体" w:eastAsia="宋体" w:cs="宋体"/>
          <w:color w:val="auto"/>
          <w:highlight w:val="none"/>
        </w:rPr>
      </w:pPr>
    </w:p>
    <w:p w14:paraId="01BE4098">
      <w:pPr>
        <w:jc w:val="center"/>
        <w:rPr>
          <w:rFonts w:hint="eastAsia" w:ascii="宋体" w:hAnsi="宋体" w:eastAsia="宋体" w:cs="宋体"/>
          <w:color w:val="auto"/>
          <w:sz w:val="36"/>
          <w:szCs w:val="36"/>
          <w:highlight w:val="none"/>
        </w:rPr>
      </w:pPr>
    </w:p>
    <w:p w14:paraId="5D5C4876">
      <w:pPr>
        <w:jc w:val="center"/>
        <w:rPr>
          <w:rFonts w:hint="eastAsia" w:ascii="宋体" w:hAnsi="宋体" w:eastAsia="宋体" w:cs="宋体"/>
          <w:color w:val="auto"/>
          <w:sz w:val="36"/>
          <w:szCs w:val="36"/>
          <w:highlight w:val="none"/>
        </w:rPr>
      </w:pPr>
    </w:p>
    <w:p w14:paraId="7DEA51EA">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052A1907">
      <w:pPr>
        <w:pStyle w:val="3"/>
        <w:numPr>
          <w:ilvl w:val="0"/>
          <w:numId w:val="0"/>
        </w:numPr>
        <w:shd w:val="clear"/>
        <w:spacing w:before="0" w:after="0" w:line="240" w:lineRule="auto"/>
        <w:jc w:val="center"/>
        <w:rPr>
          <w:rFonts w:hint="eastAsia" w:ascii="宋体" w:hAnsi="宋体" w:eastAsia="宋体" w:cs="宋体"/>
          <w:b w:val="0"/>
          <w:color w:val="auto"/>
          <w:highlight w:val="none"/>
          <w:shd w:val="clear" w:color="auto" w:fill="auto"/>
        </w:rPr>
      </w:pPr>
      <w:r>
        <w:rPr>
          <w:rFonts w:hint="eastAsia" w:ascii="宋体" w:hAnsi="宋体" w:eastAsia="宋体" w:cs="宋体"/>
          <w:b w:val="0"/>
          <w:bCs/>
          <w:color w:val="auto"/>
          <w:kern w:val="2"/>
          <w:sz w:val="32"/>
          <w:szCs w:val="32"/>
          <w:highlight w:val="none"/>
          <w:shd w:val="clear" w:fill="auto"/>
          <w:lang w:val="en-US" w:eastAsia="zh-CN" w:bidi="ar-SA"/>
        </w:rPr>
        <w:t>六、</w:t>
      </w:r>
      <w:r>
        <w:rPr>
          <w:rFonts w:hint="eastAsia" w:ascii="宋体" w:hAnsi="宋体" w:eastAsia="宋体" w:cs="宋体"/>
          <w:b w:val="0"/>
          <w:color w:val="auto"/>
          <w:highlight w:val="none"/>
          <w:shd w:val="clear" w:color="auto" w:fill="auto"/>
        </w:rPr>
        <w:t>技 术 偏 离 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2583"/>
        <w:gridCol w:w="2385"/>
        <w:gridCol w:w="2385"/>
      </w:tblGrid>
      <w:tr w14:paraId="27C8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185" w:type="dxa"/>
            <w:vAlign w:val="center"/>
          </w:tcPr>
          <w:p w14:paraId="32BE782C">
            <w:pPr>
              <w:pStyle w:val="10"/>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内容</w:t>
            </w:r>
          </w:p>
        </w:tc>
        <w:tc>
          <w:tcPr>
            <w:tcW w:w="2583" w:type="dxa"/>
            <w:vAlign w:val="center"/>
          </w:tcPr>
          <w:p w14:paraId="535D349B">
            <w:pPr>
              <w:pStyle w:val="10"/>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w:t>
            </w:r>
          </w:p>
          <w:p w14:paraId="64340FF0">
            <w:pPr>
              <w:pStyle w:val="10"/>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规范要求</w:t>
            </w:r>
          </w:p>
        </w:tc>
        <w:tc>
          <w:tcPr>
            <w:tcW w:w="2385" w:type="dxa"/>
            <w:vAlign w:val="center"/>
          </w:tcPr>
          <w:p w14:paraId="7D489ADD">
            <w:pPr>
              <w:pStyle w:val="10"/>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w:t>
            </w:r>
          </w:p>
          <w:p w14:paraId="3C50FFDB">
            <w:pPr>
              <w:pStyle w:val="10"/>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对应规范</w:t>
            </w:r>
          </w:p>
        </w:tc>
        <w:tc>
          <w:tcPr>
            <w:tcW w:w="2385" w:type="dxa"/>
            <w:vAlign w:val="center"/>
          </w:tcPr>
          <w:p w14:paraId="47C3D019">
            <w:pPr>
              <w:pStyle w:val="10"/>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偏离情况</w:t>
            </w:r>
          </w:p>
        </w:tc>
      </w:tr>
      <w:tr w14:paraId="27AD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5254CE33">
            <w:pPr>
              <w:pStyle w:val="10"/>
              <w:shd w:val="clear"/>
              <w:spacing w:line="400" w:lineRule="atLeast"/>
              <w:jc w:val="both"/>
              <w:rPr>
                <w:rFonts w:hint="eastAsia" w:ascii="宋体" w:hAnsi="宋体" w:eastAsia="宋体" w:cs="宋体"/>
                <w:color w:val="auto"/>
                <w:szCs w:val="24"/>
                <w:highlight w:val="none"/>
              </w:rPr>
            </w:pPr>
          </w:p>
        </w:tc>
        <w:tc>
          <w:tcPr>
            <w:tcW w:w="2583" w:type="dxa"/>
            <w:vAlign w:val="center"/>
          </w:tcPr>
          <w:p w14:paraId="364D75C9">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463E5859">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34FF5DBC">
            <w:pPr>
              <w:pStyle w:val="10"/>
              <w:shd w:val="clear"/>
              <w:spacing w:line="400" w:lineRule="atLeast"/>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无偏离</w:t>
            </w:r>
          </w:p>
        </w:tc>
      </w:tr>
      <w:tr w14:paraId="5627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099EBDCF">
            <w:pPr>
              <w:pStyle w:val="10"/>
              <w:shd w:val="clear"/>
              <w:spacing w:line="400" w:lineRule="atLeast"/>
              <w:jc w:val="center"/>
              <w:rPr>
                <w:rFonts w:hint="eastAsia" w:ascii="宋体" w:hAnsi="宋体" w:eastAsia="宋体" w:cs="宋体"/>
                <w:color w:val="auto"/>
                <w:szCs w:val="24"/>
                <w:highlight w:val="none"/>
              </w:rPr>
            </w:pPr>
          </w:p>
        </w:tc>
        <w:tc>
          <w:tcPr>
            <w:tcW w:w="2583" w:type="dxa"/>
            <w:vAlign w:val="center"/>
          </w:tcPr>
          <w:p w14:paraId="3A43F3E5">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0107E85A">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7D246735">
            <w:pPr>
              <w:pStyle w:val="10"/>
              <w:shd w:val="clear"/>
              <w:spacing w:line="400" w:lineRule="atLeast"/>
              <w:jc w:val="center"/>
              <w:rPr>
                <w:rFonts w:hint="eastAsia" w:ascii="宋体" w:hAnsi="宋体" w:eastAsia="宋体" w:cs="宋体"/>
                <w:color w:val="auto"/>
                <w:szCs w:val="24"/>
                <w:highlight w:val="none"/>
              </w:rPr>
            </w:pPr>
          </w:p>
        </w:tc>
      </w:tr>
      <w:tr w14:paraId="5F3D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013FF99A">
            <w:pPr>
              <w:pStyle w:val="10"/>
              <w:shd w:val="clear"/>
              <w:spacing w:line="400" w:lineRule="atLeast"/>
              <w:jc w:val="center"/>
              <w:rPr>
                <w:rFonts w:hint="eastAsia" w:ascii="宋体" w:hAnsi="宋体" w:eastAsia="宋体" w:cs="宋体"/>
                <w:color w:val="auto"/>
                <w:szCs w:val="24"/>
                <w:highlight w:val="none"/>
              </w:rPr>
            </w:pPr>
          </w:p>
        </w:tc>
        <w:tc>
          <w:tcPr>
            <w:tcW w:w="2583" w:type="dxa"/>
            <w:vAlign w:val="center"/>
          </w:tcPr>
          <w:p w14:paraId="2293E549">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2FE27F2E">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3DC67DE7">
            <w:pPr>
              <w:pStyle w:val="10"/>
              <w:shd w:val="clear"/>
              <w:spacing w:line="400" w:lineRule="atLeast"/>
              <w:jc w:val="center"/>
              <w:rPr>
                <w:rFonts w:hint="eastAsia" w:ascii="宋体" w:hAnsi="宋体" w:eastAsia="宋体" w:cs="宋体"/>
                <w:color w:val="auto"/>
                <w:szCs w:val="24"/>
                <w:highlight w:val="none"/>
              </w:rPr>
            </w:pPr>
          </w:p>
        </w:tc>
      </w:tr>
      <w:tr w14:paraId="0771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2B1C1AC4">
            <w:pPr>
              <w:pStyle w:val="10"/>
              <w:shd w:val="clear"/>
              <w:spacing w:line="400" w:lineRule="atLeast"/>
              <w:jc w:val="center"/>
              <w:rPr>
                <w:rFonts w:hint="eastAsia" w:ascii="宋体" w:hAnsi="宋体" w:eastAsia="宋体" w:cs="宋体"/>
                <w:color w:val="auto"/>
                <w:szCs w:val="24"/>
                <w:highlight w:val="none"/>
              </w:rPr>
            </w:pPr>
          </w:p>
        </w:tc>
        <w:tc>
          <w:tcPr>
            <w:tcW w:w="2583" w:type="dxa"/>
            <w:vAlign w:val="center"/>
          </w:tcPr>
          <w:p w14:paraId="5EC7796B">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0E1706D1">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7EC1EF22">
            <w:pPr>
              <w:pStyle w:val="10"/>
              <w:shd w:val="clear"/>
              <w:spacing w:line="400" w:lineRule="atLeast"/>
              <w:jc w:val="center"/>
              <w:rPr>
                <w:rFonts w:hint="eastAsia" w:ascii="宋体" w:hAnsi="宋体" w:eastAsia="宋体" w:cs="宋体"/>
                <w:color w:val="auto"/>
                <w:szCs w:val="24"/>
                <w:highlight w:val="none"/>
              </w:rPr>
            </w:pPr>
          </w:p>
        </w:tc>
      </w:tr>
      <w:tr w14:paraId="49F4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310591BB">
            <w:pPr>
              <w:pStyle w:val="10"/>
              <w:shd w:val="clear"/>
              <w:spacing w:line="400" w:lineRule="atLeast"/>
              <w:jc w:val="center"/>
              <w:rPr>
                <w:rFonts w:hint="eastAsia" w:ascii="宋体" w:hAnsi="宋体" w:eastAsia="宋体" w:cs="宋体"/>
                <w:color w:val="auto"/>
                <w:szCs w:val="24"/>
                <w:highlight w:val="none"/>
              </w:rPr>
            </w:pPr>
          </w:p>
        </w:tc>
        <w:tc>
          <w:tcPr>
            <w:tcW w:w="2583" w:type="dxa"/>
            <w:vAlign w:val="center"/>
          </w:tcPr>
          <w:p w14:paraId="4EB7A7A2">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618CB2D7">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5D1321CC">
            <w:pPr>
              <w:pStyle w:val="10"/>
              <w:shd w:val="clear"/>
              <w:spacing w:line="400" w:lineRule="atLeast"/>
              <w:jc w:val="center"/>
              <w:rPr>
                <w:rFonts w:hint="eastAsia" w:ascii="宋体" w:hAnsi="宋体" w:eastAsia="宋体" w:cs="宋体"/>
                <w:color w:val="auto"/>
                <w:szCs w:val="24"/>
                <w:highlight w:val="none"/>
              </w:rPr>
            </w:pPr>
          </w:p>
        </w:tc>
      </w:tr>
      <w:tr w14:paraId="520E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0146DDF9">
            <w:pPr>
              <w:pStyle w:val="10"/>
              <w:shd w:val="clear"/>
              <w:spacing w:line="400" w:lineRule="atLeast"/>
              <w:jc w:val="center"/>
              <w:rPr>
                <w:rFonts w:hint="eastAsia" w:ascii="宋体" w:hAnsi="宋体" w:eastAsia="宋体" w:cs="宋体"/>
                <w:color w:val="auto"/>
                <w:szCs w:val="24"/>
                <w:highlight w:val="none"/>
              </w:rPr>
            </w:pPr>
          </w:p>
        </w:tc>
        <w:tc>
          <w:tcPr>
            <w:tcW w:w="2583" w:type="dxa"/>
            <w:vAlign w:val="center"/>
          </w:tcPr>
          <w:p w14:paraId="43F579EB">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443F6E43">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633E036B">
            <w:pPr>
              <w:pStyle w:val="10"/>
              <w:shd w:val="clear"/>
              <w:spacing w:line="400" w:lineRule="atLeast"/>
              <w:jc w:val="center"/>
              <w:rPr>
                <w:rFonts w:hint="eastAsia" w:ascii="宋体" w:hAnsi="宋体" w:eastAsia="宋体" w:cs="宋体"/>
                <w:color w:val="auto"/>
                <w:szCs w:val="24"/>
                <w:highlight w:val="none"/>
              </w:rPr>
            </w:pPr>
          </w:p>
        </w:tc>
      </w:tr>
      <w:tr w14:paraId="2083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67FB8D54">
            <w:pPr>
              <w:pStyle w:val="10"/>
              <w:shd w:val="clear"/>
              <w:spacing w:line="400" w:lineRule="atLeast"/>
              <w:jc w:val="center"/>
              <w:rPr>
                <w:rFonts w:hint="eastAsia" w:ascii="宋体" w:hAnsi="宋体" w:eastAsia="宋体" w:cs="宋体"/>
                <w:color w:val="auto"/>
                <w:szCs w:val="24"/>
                <w:highlight w:val="none"/>
              </w:rPr>
            </w:pPr>
          </w:p>
        </w:tc>
        <w:tc>
          <w:tcPr>
            <w:tcW w:w="2583" w:type="dxa"/>
            <w:vAlign w:val="center"/>
          </w:tcPr>
          <w:p w14:paraId="7EF0B81C">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58D4737E">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5AB94F6E">
            <w:pPr>
              <w:pStyle w:val="10"/>
              <w:shd w:val="clear"/>
              <w:spacing w:line="400" w:lineRule="atLeast"/>
              <w:jc w:val="center"/>
              <w:rPr>
                <w:rFonts w:hint="eastAsia" w:ascii="宋体" w:hAnsi="宋体" w:eastAsia="宋体" w:cs="宋体"/>
                <w:color w:val="auto"/>
                <w:szCs w:val="24"/>
                <w:highlight w:val="none"/>
              </w:rPr>
            </w:pPr>
          </w:p>
        </w:tc>
      </w:tr>
      <w:tr w14:paraId="2AFE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261BC496">
            <w:pPr>
              <w:pStyle w:val="10"/>
              <w:shd w:val="clear"/>
              <w:spacing w:line="400" w:lineRule="atLeast"/>
              <w:jc w:val="center"/>
              <w:rPr>
                <w:rFonts w:hint="eastAsia" w:ascii="宋体" w:hAnsi="宋体" w:eastAsia="宋体" w:cs="宋体"/>
                <w:color w:val="auto"/>
                <w:szCs w:val="24"/>
                <w:highlight w:val="none"/>
              </w:rPr>
            </w:pPr>
          </w:p>
        </w:tc>
        <w:tc>
          <w:tcPr>
            <w:tcW w:w="2583" w:type="dxa"/>
            <w:vAlign w:val="center"/>
          </w:tcPr>
          <w:p w14:paraId="7454D8C7">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2F8B693A">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1525B08A">
            <w:pPr>
              <w:pStyle w:val="10"/>
              <w:shd w:val="clear"/>
              <w:spacing w:line="400" w:lineRule="atLeast"/>
              <w:jc w:val="center"/>
              <w:rPr>
                <w:rFonts w:hint="eastAsia" w:ascii="宋体" w:hAnsi="宋体" w:eastAsia="宋体" w:cs="宋体"/>
                <w:color w:val="auto"/>
                <w:szCs w:val="24"/>
                <w:highlight w:val="none"/>
              </w:rPr>
            </w:pPr>
          </w:p>
        </w:tc>
      </w:tr>
      <w:tr w14:paraId="4957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02E8EF5F">
            <w:pPr>
              <w:pStyle w:val="10"/>
              <w:shd w:val="clear"/>
              <w:spacing w:line="400" w:lineRule="atLeast"/>
              <w:jc w:val="center"/>
              <w:rPr>
                <w:rFonts w:hint="eastAsia" w:ascii="宋体" w:hAnsi="宋体" w:eastAsia="宋体" w:cs="宋体"/>
                <w:color w:val="auto"/>
                <w:szCs w:val="24"/>
                <w:highlight w:val="none"/>
              </w:rPr>
            </w:pPr>
          </w:p>
        </w:tc>
        <w:tc>
          <w:tcPr>
            <w:tcW w:w="2583" w:type="dxa"/>
            <w:vAlign w:val="center"/>
          </w:tcPr>
          <w:p w14:paraId="16F462AF">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0818B36D">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0FC1E0CD">
            <w:pPr>
              <w:pStyle w:val="10"/>
              <w:shd w:val="clear"/>
              <w:spacing w:line="400" w:lineRule="atLeast"/>
              <w:jc w:val="center"/>
              <w:rPr>
                <w:rFonts w:hint="eastAsia" w:ascii="宋体" w:hAnsi="宋体" w:eastAsia="宋体" w:cs="宋体"/>
                <w:color w:val="auto"/>
                <w:szCs w:val="24"/>
                <w:highlight w:val="none"/>
              </w:rPr>
            </w:pPr>
          </w:p>
        </w:tc>
      </w:tr>
      <w:tr w14:paraId="56EE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216B87E3">
            <w:pPr>
              <w:pStyle w:val="10"/>
              <w:shd w:val="clear"/>
              <w:spacing w:line="400" w:lineRule="atLeast"/>
              <w:jc w:val="center"/>
              <w:rPr>
                <w:rFonts w:hint="eastAsia" w:ascii="宋体" w:hAnsi="宋体" w:eastAsia="宋体" w:cs="宋体"/>
                <w:color w:val="auto"/>
                <w:szCs w:val="24"/>
                <w:highlight w:val="none"/>
              </w:rPr>
            </w:pPr>
          </w:p>
        </w:tc>
        <w:tc>
          <w:tcPr>
            <w:tcW w:w="2583" w:type="dxa"/>
            <w:vAlign w:val="center"/>
          </w:tcPr>
          <w:p w14:paraId="5D74D10E">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22F10E53">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721F9055">
            <w:pPr>
              <w:pStyle w:val="10"/>
              <w:shd w:val="clear"/>
              <w:spacing w:line="400" w:lineRule="atLeast"/>
              <w:jc w:val="center"/>
              <w:rPr>
                <w:rFonts w:hint="eastAsia" w:ascii="宋体" w:hAnsi="宋体" w:eastAsia="宋体" w:cs="宋体"/>
                <w:color w:val="auto"/>
                <w:szCs w:val="24"/>
                <w:highlight w:val="none"/>
              </w:rPr>
            </w:pPr>
          </w:p>
        </w:tc>
      </w:tr>
      <w:tr w14:paraId="1D97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51B0DDD4">
            <w:pPr>
              <w:pStyle w:val="10"/>
              <w:shd w:val="clear"/>
              <w:spacing w:line="400" w:lineRule="atLeast"/>
              <w:jc w:val="center"/>
              <w:rPr>
                <w:rFonts w:hint="eastAsia" w:ascii="宋体" w:hAnsi="宋体" w:eastAsia="宋体" w:cs="宋体"/>
                <w:color w:val="auto"/>
                <w:szCs w:val="24"/>
                <w:highlight w:val="none"/>
              </w:rPr>
            </w:pPr>
          </w:p>
        </w:tc>
        <w:tc>
          <w:tcPr>
            <w:tcW w:w="2583" w:type="dxa"/>
            <w:vAlign w:val="center"/>
          </w:tcPr>
          <w:p w14:paraId="6F5303CC">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125B8239">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16DA7849">
            <w:pPr>
              <w:pStyle w:val="10"/>
              <w:shd w:val="clear"/>
              <w:spacing w:line="400" w:lineRule="atLeast"/>
              <w:jc w:val="center"/>
              <w:rPr>
                <w:rFonts w:hint="eastAsia" w:ascii="宋体" w:hAnsi="宋体" w:eastAsia="宋体" w:cs="宋体"/>
                <w:color w:val="auto"/>
                <w:szCs w:val="24"/>
                <w:highlight w:val="none"/>
              </w:rPr>
            </w:pPr>
          </w:p>
        </w:tc>
      </w:tr>
      <w:tr w14:paraId="7C79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5CEA6779">
            <w:pPr>
              <w:pStyle w:val="10"/>
              <w:shd w:val="clear"/>
              <w:spacing w:line="400" w:lineRule="atLeast"/>
              <w:jc w:val="center"/>
              <w:rPr>
                <w:rFonts w:hint="eastAsia" w:ascii="宋体" w:hAnsi="宋体" w:eastAsia="宋体" w:cs="宋体"/>
                <w:color w:val="auto"/>
                <w:szCs w:val="24"/>
                <w:highlight w:val="none"/>
              </w:rPr>
            </w:pPr>
          </w:p>
        </w:tc>
        <w:tc>
          <w:tcPr>
            <w:tcW w:w="2583" w:type="dxa"/>
            <w:vAlign w:val="center"/>
          </w:tcPr>
          <w:p w14:paraId="6D629C6C">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13E9FD55">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75D8DD1D">
            <w:pPr>
              <w:pStyle w:val="10"/>
              <w:shd w:val="clear"/>
              <w:spacing w:line="400" w:lineRule="atLeast"/>
              <w:jc w:val="center"/>
              <w:rPr>
                <w:rFonts w:hint="eastAsia" w:ascii="宋体" w:hAnsi="宋体" w:eastAsia="宋体" w:cs="宋体"/>
                <w:color w:val="auto"/>
                <w:szCs w:val="24"/>
                <w:highlight w:val="none"/>
              </w:rPr>
            </w:pPr>
          </w:p>
        </w:tc>
      </w:tr>
      <w:tr w14:paraId="704E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85" w:type="dxa"/>
            <w:vAlign w:val="center"/>
          </w:tcPr>
          <w:p w14:paraId="108BE184">
            <w:pPr>
              <w:pStyle w:val="10"/>
              <w:shd w:val="clear"/>
              <w:spacing w:line="400" w:lineRule="atLeast"/>
              <w:jc w:val="center"/>
              <w:rPr>
                <w:rFonts w:hint="eastAsia" w:ascii="宋体" w:hAnsi="宋体" w:eastAsia="宋体" w:cs="宋体"/>
                <w:color w:val="auto"/>
                <w:szCs w:val="24"/>
                <w:highlight w:val="none"/>
              </w:rPr>
            </w:pPr>
          </w:p>
        </w:tc>
        <w:tc>
          <w:tcPr>
            <w:tcW w:w="2583" w:type="dxa"/>
            <w:vAlign w:val="center"/>
          </w:tcPr>
          <w:p w14:paraId="6B138C1F">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228AE4DA">
            <w:pPr>
              <w:pStyle w:val="10"/>
              <w:shd w:val="clear"/>
              <w:spacing w:line="400" w:lineRule="atLeast"/>
              <w:jc w:val="center"/>
              <w:rPr>
                <w:rFonts w:hint="eastAsia" w:ascii="宋体" w:hAnsi="宋体" w:eastAsia="宋体" w:cs="宋体"/>
                <w:color w:val="auto"/>
                <w:szCs w:val="24"/>
                <w:highlight w:val="none"/>
              </w:rPr>
            </w:pPr>
          </w:p>
        </w:tc>
        <w:tc>
          <w:tcPr>
            <w:tcW w:w="2385" w:type="dxa"/>
            <w:vAlign w:val="center"/>
          </w:tcPr>
          <w:p w14:paraId="37A2BC00">
            <w:pPr>
              <w:pStyle w:val="10"/>
              <w:shd w:val="clear"/>
              <w:spacing w:line="400" w:lineRule="atLeast"/>
              <w:jc w:val="center"/>
              <w:rPr>
                <w:rFonts w:hint="eastAsia" w:ascii="宋体" w:hAnsi="宋体" w:eastAsia="宋体" w:cs="宋体"/>
                <w:color w:val="auto"/>
                <w:szCs w:val="24"/>
                <w:highlight w:val="none"/>
              </w:rPr>
            </w:pPr>
          </w:p>
        </w:tc>
      </w:tr>
    </w:tbl>
    <w:p w14:paraId="132789C3">
      <w:pPr>
        <w:pStyle w:val="10"/>
        <w:shd w:val="clea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w:t>
      </w:r>
    </w:p>
    <w:p w14:paraId="0A38B280">
      <w:pPr>
        <w:pStyle w:val="10"/>
        <w:shd w:val="clea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1、此表须与招标文件“采购需求”相应标项内的所有技术规格（含技术、功能、配置、附加必备条件、售后服务、安装、验收、付款方式等）相比较且一一对应真实逐条填列，并在“偏离情况”栏注明“正偏离</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负偏离”或“无偏离”。</w:t>
      </w:r>
    </w:p>
    <w:p w14:paraId="6FF7AF08">
      <w:pPr>
        <w:pStyle w:val="10"/>
        <w:shd w:val="clea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2、投标人递交的技术规格书中必须真实逐条列明，否则由投标人自行承担相关风险。</w:t>
      </w:r>
    </w:p>
    <w:p w14:paraId="1415FAA9">
      <w:pPr>
        <w:pStyle w:val="10"/>
        <w:shd w:val="clea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3、此表在不改变格式的情况下可自行制作</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此表</w:t>
      </w:r>
      <w:r>
        <w:rPr>
          <w:rFonts w:hint="eastAsia" w:ascii="宋体" w:hAnsi="宋体" w:eastAsia="宋体" w:cs="宋体"/>
          <w:color w:val="auto"/>
          <w:szCs w:val="24"/>
          <w:highlight w:val="none"/>
          <w:lang w:val="en-US" w:eastAsia="zh-CN"/>
        </w:rPr>
        <w:t>应</w:t>
      </w:r>
      <w:r>
        <w:rPr>
          <w:rFonts w:hint="eastAsia" w:ascii="宋体" w:hAnsi="宋体" w:eastAsia="宋体" w:cs="宋体"/>
          <w:color w:val="auto"/>
          <w:szCs w:val="24"/>
          <w:highlight w:val="none"/>
        </w:rPr>
        <w:t>置于此标书中。</w:t>
      </w:r>
    </w:p>
    <w:p w14:paraId="71A90F9A">
      <w:pPr>
        <w:pStyle w:val="10"/>
        <w:shd w:val="clear"/>
        <w:spacing w:line="400" w:lineRule="atLeas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4、投标人承诺：除以上列出的偏离外，响应招标文件全部要求。</w:t>
      </w:r>
    </w:p>
    <w:p w14:paraId="0C01C5B1">
      <w:pPr>
        <w:shd w:val="clear"/>
        <w:spacing w:line="360" w:lineRule="auto"/>
        <w:rPr>
          <w:rFonts w:hint="eastAsia" w:ascii="宋体" w:hAnsi="宋体" w:eastAsia="宋体" w:cs="宋体"/>
          <w:color w:val="auto"/>
          <w:sz w:val="24"/>
          <w:szCs w:val="24"/>
          <w:highlight w:val="none"/>
        </w:rPr>
      </w:pPr>
    </w:p>
    <w:p w14:paraId="4D1ED317">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（盖章）              </w:t>
      </w:r>
    </w:p>
    <w:p w14:paraId="46FDAA51">
      <w:pPr>
        <w:shd w:val="clear"/>
        <w:spacing w:line="360" w:lineRule="auto"/>
        <w:ind w:firstLine="425"/>
        <w:rPr>
          <w:rFonts w:hint="eastAsia" w:ascii="宋体" w:hAnsi="宋体" w:eastAsia="宋体" w:cs="宋体"/>
          <w:color w:val="auto"/>
          <w:sz w:val="24"/>
          <w:szCs w:val="24"/>
          <w:highlight w:val="none"/>
          <w:u w:val="single"/>
        </w:rPr>
      </w:pPr>
    </w:p>
    <w:p w14:paraId="221F2664">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719439B">
      <w:pPr>
        <w:pStyle w:val="17"/>
        <w:rPr>
          <w:rFonts w:hint="eastAsia" w:ascii="宋体" w:hAnsi="宋体" w:eastAsia="宋体" w:cs="宋体"/>
          <w:color w:val="auto"/>
        </w:rPr>
      </w:pPr>
    </w:p>
    <w:p w14:paraId="529F262D">
      <w:pPr>
        <w:spacing w:line="240" w:lineRule="auto"/>
        <w:ind w:firstLine="420" w:firstLineChars="200"/>
        <w:rPr>
          <w:rFonts w:hint="eastAsia" w:ascii="宋体" w:hAnsi="宋体" w:eastAsia="宋体" w:cs="宋体"/>
          <w:color w:val="auto"/>
        </w:rPr>
      </w:pPr>
    </w:p>
    <w:p w14:paraId="4C98F1B4">
      <w:pPr>
        <w:pStyle w:val="8"/>
        <w:rPr>
          <w:rFonts w:hint="eastAsia" w:ascii="宋体" w:hAnsi="宋体" w:eastAsia="宋体" w:cs="宋体"/>
          <w:color w:val="auto"/>
        </w:rPr>
      </w:pPr>
    </w:p>
    <w:p w14:paraId="3562E294">
      <w:pPr>
        <w:pStyle w:val="6"/>
        <w:rPr>
          <w:rFonts w:hint="eastAsia" w:ascii="宋体" w:hAnsi="宋体" w:eastAsia="宋体" w:cs="宋体"/>
        </w:rPr>
      </w:pPr>
    </w:p>
    <w:sectPr>
      <w:pgSz w:w="11906" w:h="16838"/>
      <w:pgMar w:top="1304" w:right="1361" w:bottom="1304" w:left="136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1773">
    <w:pPr>
      <w:pStyle w:val="12"/>
      <w:framePr w:wrap="around" w:vAnchor="text" w:hAnchor="margin" w:xAlign="center" w:y="1"/>
      <w:rPr>
        <w:rStyle w:val="22"/>
      </w:rPr>
    </w:pPr>
    <w:r>
      <w:fldChar w:fldCharType="begin"/>
    </w:r>
    <w:r>
      <w:rPr>
        <w:rStyle w:val="22"/>
      </w:rPr>
      <w:instrText xml:space="preserve">PAGE  </w:instrText>
    </w:r>
    <w:r>
      <w:fldChar w:fldCharType="end"/>
    </w:r>
  </w:p>
  <w:p w14:paraId="22F5975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628DD">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B4913">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1B4913">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D0D04">
    <w:pPr>
      <w:pStyle w:val="13"/>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color w:val="auto"/>
        <w:lang w:val="en-US" w:eastAsia="zh-CN"/>
      </w:rPr>
    </w:pPr>
    <w:r>
      <w:rPr>
        <w:rFonts w:hint="eastAsia"/>
        <w:color w:val="auto"/>
        <w:lang w:val="en-US" w:eastAsia="zh-CN"/>
      </w:rPr>
      <w:drawing>
        <wp:anchor distT="0" distB="0" distL="114300" distR="114300" simplePos="0" relativeHeight="251659264" behindDoc="0" locked="0" layoutInCell="1" allowOverlap="1">
          <wp:simplePos x="0" y="0"/>
          <wp:positionH relativeFrom="column">
            <wp:posOffset>68580</wp:posOffset>
          </wp:positionH>
          <wp:positionV relativeFrom="paragraph">
            <wp:posOffset>-92710</wp:posOffset>
          </wp:positionV>
          <wp:extent cx="299720" cy="299720"/>
          <wp:effectExtent l="0" t="0" r="5080" b="4445"/>
          <wp:wrapNone/>
          <wp:docPr id="10"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OCE LOGO"/>
                  <pic:cNvPicPr>
                    <a:picLocks noChangeAspect="1"/>
                  </pic:cNvPicPr>
                </pic:nvPicPr>
                <pic:blipFill>
                  <a:blip r:embed="rId1"/>
                  <a:stretch>
                    <a:fillRect/>
                  </a:stretch>
                </pic:blipFill>
                <pic:spPr>
                  <a:xfrm>
                    <a:off x="0" y="0"/>
                    <a:ext cx="299720" cy="299720"/>
                  </a:xfrm>
                  <a:prstGeom prst="rect">
                    <a:avLst/>
                  </a:prstGeom>
                </pic:spPr>
              </pic:pic>
            </a:graphicData>
          </a:graphic>
        </wp:anchor>
      </w:drawing>
    </w:r>
    <w:r>
      <w:rPr>
        <w:rFonts w:hint="eastAsia"/>
        <w:color w:val="auto"/>
        <w:lang w:val="en-US" w:eastAsia="zh-CN"/>
      </w:rPr>
      <w:t xml:space="preserve">     浙江博策工程项目管理有限公司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024AE">
    <w:pPr>
      <w:pStyle w:val="13"/>
      <w:ind w:firstLine="3060" w:firstLineChars="1700"/>
      <w:jc w:val="both"/>
    </w:pPr>
    <w:r>
      <w:rPr>
        <w:rFonts w:hint="eastAsia"/>
      </w:rPr>
      <w:t>浙江</w:t>
    </w:r>
    <w:r>
      <w:rPr>
        <w:rFonts w:hint="eastAsia" w:eastAsia="宋体"/>
        <w:highlight w:val="yellow"/>
        <w:lang w:eastAsia="zh-CN"/>
      </w:rPr>
      <w:t>华元</w:t>
    </w:r>
    <w:r>
      <w:rPr>
        <w:rFonts w:hint="eastAsia"/>
      </w:rPr>
      <w:t>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0D41B"/>
    <w:multiLevelType w:val="singleLevel"/>
    <w:tmpl w:val="E7B0D41B"/>
    <w:lvl w:ilvl="0" w:tentative="0">
      <w:start w:val="1"/>
      <w:numFmt w:val="decimal"/>
      <w:pStyle w:val="4"/>
      <w:lvlText w:val="%1."/>
      <w:lvlJc w:val="left"/>
      <w:pPr>
        <w:tabs>
          <w:tab w:val="left" w:pos="360"/>
        </w:tabs>
        <w:ind w:left="360" w:hanging="360"/>
      </w:pPr>
    </w:lvl>
  </w:abstractNum>
  <w:abstractNum w:abstractNumId="1">
    <w:nsid w:val="00000000"/>
    <w:multiLevelType w:val="multilevel"/>
    <w:tmpl w:val="00000000"/>
    <w:lvl w:ilvl="0" w:tentative="0">
      <w:start w:val="1"/>
      <w:numFmt w:val="chineseCounting"/>
      <w:suff w:val="nothing"/>
      <w:lvlText w:val="%1、"/>
      <w:lvlJc w:val="left"/>
      <w:pPr>
        <w:ind w:left="420" w:firstLine="0"/>
      </w:pPr>
      <w:rPr>
        <w:rFonts w:hint="eastAsia"/>
      </w:rPr>
    </w:lvl>
    <w:lvl w:ilvl="1" w:tentative="0">
      <w:start w:val="1"/>
      <w:numFmt w:val="lowerLetter"/>
      <w:lvlText w:val="%2."/>
      <w:lvlJc w:val="left"/>
      <w:pPr>
        <w:tabs>
          <w:tab w:val="left" w:pos="840"/>
        </w:tabs>
        <w:ind w:left="840" w:hanging="420"/>
      </w:pPr>
      <w:rPr>
        <w:rFonts w:hint="default"/>
      </w:rPr>
    </w:lvl>
    <w:lvl w:ilvl="2" w:tentative="0">
      <w:start w:val="1"/>
      <w:numFmt w:val="lowerLetter"/>
      <w:lvlText w:val="%3)"/>
      <w:lvlJc w:val="left"/>
      <w:pPr>
        <w:tabs>
          <w:tab w:val="left" w:pos="1260"/>
        </w:tabs>
        <w:ind w:left="1260" w:hanging="42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TdmNTQwMjNiN2VlMTFlZGQ0MWVmOTZmNTRhYjgifQ=="/>
  </w:docVars>
  <w:rsids>
    <w:rsidRoot w:val="00000000"/>
    <w:rsid w:val="09ED5920"/>
    <w:rsid w:val="12AC5278"/>
    <w:rsid w:val="1B691D43"/>
    <w:rsid w:val="20915279"/>
    <w:rsid w:val="27400656"/>
    <w:rsid w:val="2D241F6F"/>
    <w:rsid w:val="2E4839E5"/>
    <w:rsid w:val="2FAF59F5"/>
    <w:rsid w:val="356E3DC6"/>
    <w:rsid w:val="35A023FA"/>
    <w:rsid w:val="35B11832"/>
    <w:rsid w:val="37E81B3C"/>
    <w:rsid w:val="42967506"/>
    <w:rsid w:val="464815FC"/>
    <w:rsid w:val="48623B31"/>
    <w:rsid w:val="508673DB"/>
    <w:rsid w:val="52770B21"/>
    <w:rsid w:val="5AC7714F"/>
    <w:rsid w:val="61992854"/>
    <w:rsid w:val="6362234B"/>
    <w:rsid w:val="6B05706F"/>
    <w:rsid w:val="72AD3CED"/>
    <w:rsid w:val="7794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autoSpaceDE/>
      <w:autoSpaceDN/>
      <w:adjustRightInd/>
      <w:spacing w:before="260" w:beforeLines="0" w:after="260" w:afterLines="0" w:line="415" w:lineRule="auto"/>
      <w:outlineLvl w:val="1"/>
    </w:pPr>
    <w:rPr>
      <w:rFonts w:ascii="Arial" w:hAnsi="Arial" w:eastAsia="黑体"/>
      <w:b/>
      <w:bCs/>
      <w:color w:val="auto"/>
      <w:kern w:val="2"/>
      <w:sz w:val="32"/>
      <w:szCs w:val="32"/>
    </w:rPr>
  </w:style>
  <w:style w:type="character" w:default="1" w:styleId="20">
    <w:name w:val="Default Paragraph Font"/>
    <w:semiHidden/>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next w:val="6"/>
    <w:qFormat/>
    <w:uiPriority w:val="0"/>
    <w:pPr>
      <w:autoSpaceDE/>
      <w:autoSpaceDN/>
      <w:adjustRightInd/>
      <w:ind w:firstLine="420"/>
    </w:pPr>
    <w:rPr>
      <w:rFonts w:eastAsia="宋体"/>
      <w:kern w:val="2"/>
      <w:sz w:val="21"/>
      <w:lang w:val="en-US" w:eastAsia="zh-CN" w:bidi="ar-SA"/>
    </w:rPr>
  </w:style>
  <w:style w:type="paragraph" w:styleId="6">
    <w:name w:val="Body Text Indent"/>
    <w:basedOn w:val="1"/>
    <w:next w:val="1"/>
    <w:qFormat/>
    <w:uiPriority w:val="0"/>
    <w:pPr>
      <w:widowControl w:val="0"/>
      <w:autoSpaceDE w:val="0"/>
      <w:autoSpaceDN w:val="0"/>
      <w:adjustRightInd w:val="0"/>
      <w:spacing w:after="120"/>
      <w:ind w:left="420" w:leftChars="200"/>
      <w:jc w:val="both"/>
    </w:pPr>
    <w:rPr>
      <w:rFonts w:ascii="Times New Roman" w:hAnsi="Times New Roman" w:eastAsia="宋体" w:cs="Times New Roman"/>
      <w:color w:val="000000"/>
      <w:sz w:val="20"/>
      <w:szCs w:val="21"/>
      <w:lang w:val="en-US" w:eastAsia="zh-CN" w:bidi="ar-SA"/>
    </w:rPr>
  </w:style>
  <w:style w:type="paragraph" w:styleId="7">
    <w:name w:val="Body Text 3"/>
    <w:basedOn w:val="1"/>
    <w:qFormat/>
    <w:uiPriority w:val="0"/>
    <w:pPr>
      <w:spacing w:after="120" w:afterLines="0"/>
    </w:pPr>
    <w:rPr>
      <w:sz w:val="16"/>
      <w:szCs w:val="16"/>
    </w:rPr>
  </w:style>
  <w:style w:type="paragraph" w:styleId="8">
    <w:name w:val="Body Text"/>
    <w:basedOn w:val="1"/>
    <w:next w:val="1"/>
    <w:qFormat/>
    <w:uiPriority w:val="0"/>
    <w:pPr>
      <w:spacing w:after="120"/>
    </w:pPr>
    <w:rPr>
      <w:sz w:val="20"/>
    </w:rPr>
  </w:style>
  <w:style w:type="paragraph" w:styleId="9">
    <w:name w:val="Block Text"/>
    <w:basedOn w:val="1"/>
    <w:qFormat/>
    <w:uiPriority w:val="0"/>
    <w:pPr>
      <w:autoSpaceDE w:val="0"/>
      <w:autoSpaceDN w:val="0"/>
      <w:adjustRightInd w:val="0"/>
      <w:spacing w:line="300" w:lineRule="auto"/>
      <w:ind w:left="958" w:right="-120" w:rightChars="-120"/>
      <w:jc w:val="left"/>
    </w:pPr>
    <w:rPr>
      <w:rFonts w:ascii="宋体" w:hAnsi="宋体"/>
      <w:color w:val="000000"/>
      <w:kern w:val="0"/>
      <w:sz w:val="28"/>
      <w:szCs w:val="21"/>
    </w:rPr>
  </w:style>
  <w:style w:type="paragraph" w:styleId="10">
    <w:name w:val="Plain Text"/>
    <w:basedOn w:val="1"/>
    <w:next w:val="11"/>
    <w:qFormat/>
    <w:uiPriority w:val="0"/>
    <w:pPr>
      <w:autoSpaceDE/>
      <w:autoSpaceDN/>
      <w:adjustRightInd/>
    </w:pPr>
    <w:rPr>
      <w:color w:val="auto"/>
      <w:sz w:val="24"/>
      <w:szCs w:val="20"/>
    </w:rPr>
  </w:style>
  <w:style w:type="paragraph" w:styleId="11">
    <w:name w:val="index 7"/>
    <w:basedOn w:val="1"/>
    <w:next w:val="1"/>
    <w:qFormat/>
    <w:uiPriority w:val="0"/>
    <w:pPr>
      <w:ind w:left="1200" w:leftChars="120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eastAsia="??"/>
      <w:color w:val="auto"/>
      <w:sz w:val="18"/>
      <w:szCs w:val="28"/>
    </w:rPr>
  </w:style>
  <w:style w:type="paragraph" w:styleId="14">
    <w:name w:val="toc 6"/>
    <w:basedOn w:val="1"/>
    <w:next w:val="1"/>
    <w:semiHidden/>
    <w:qFormat/>
    <w:uiPriority w:val="0"/>
    <w:pPr>
      <w:ind w:left="840"/>
      <w:jc w:val="left"/>
    </w:pPr>
    <w:rPr>
      <w:sz w:val="20"/>
      <w:szCs w:val="20"/>
    </w:rPr>
  </w:style>
  <w:style w:type="paragraph" w:styleId="15">
    <w:name w:val="Body Text Indent 3"/>
    <w:basedOn w:val="1"/>
    <w:qFormat/>
    <w:uiPriority w:val="0"/>
    <w:pPr>
      <w:autoSpaceDE/>
      <w:autoSpaceDN/>
      <w:adjustRightInd/>
      <w:ind w:firstLine="435"/>
    </w:pPr>
    <w:rPr>
      <w:color w:val="auto"/>
      <w:kern w:val="2"/>
      <w:szCs w:val="24"/>
    </w:rPr>
  </w:style>
  <w:style w:type="paragraph" w:styleId="16">
    <w:name w:val="Normal (Web)"/>
    <w:basedOn w:val="1"/>
    <w:qFormat/>
    <w:uiPriority w:val="0"/>
    <w:pPr>
      <w:widowControl/>
      <w:autoSpaceDE/>
      <w:autoSpaceDN/>
      <w:adjustRightInd/>
      <w:spacing w:before="100" w:beforeAutospacing="1" w:after="100" w:afterAutospacing="1"/>
      <w:jc w:val="left"/>
    </w:pPr>
    <w:rPr>
      <w:rFonts w:ascii="宋体" w:hAnsi="宋体" w:eastAsia="Times New Roman"/>
      <w:sz w:val="24"/>
      <w:szCs w:val="24"/>
    </w:rPr>
  </w:style>
  <w:style w:type="paragraph" w:styleId="17">
    <w:name w:val="Body Text First Indent"/>
    <w:basedOn w:val="8"/>
    <w:next w:val="14"/>
    <w:qFormat/>
    <w:uiPriority w:val="0"/>
    <w:pPr>
      <w:autoSpaceDE/>
      <w:autoSpaceDN/>
      <w:adjustRightInd/>
      <w:ind w:firstLine="420" w:firstLineChars="100"/>
    </w:pPr>
    <w:rPr>
      <w:rFonts w:ascii="Calibri" w:hAnsi="Calibri"/>
      <w:color w:val="auto"/>
      <w:kern w:val="2"/>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style>
  <w:style w:type="character" w:styleId="22">
    <w:name w:val="page number"/>
    <w:qFormat/>
    <w:uiPriority w:val="0"/>
  </w:style>
  <w:style w:type="paragraph" w:customStyle="1" w:styleId="23">
    <w:name w:val="表格文字"/>
    <w:basedOn w:val="10"/>
    <w:next w:val="8"/>
    <w:autoRedefine/>
    <w:qFormat/>
    <w:uiPriority w:val="0"/>
    <w:pPr>
      <w:adjustRightInd w:val="0"/>
      <w:spacing w:line="420" w:lineRule="atLeast"/>
      <w:textAlignment w:val="baseline"/>
    </w:pPr>
    <w:rPr>
      <w:szCs w:val="24"/>
    </w:rPr>
  </w:style>
  <w:style w:type="paragraph" w:customStyle="1" w:styleId="24">
    <w:name w:val="BodyText1I"/>
    <w:basedOn w:val="25"/>
    <w:next w:val="1"/>
    <w:autoRedefine/>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25">
    <w:name w:val="BodyText"/>
    <w:basedOn w:val="1"/>
    <w:next w:val="24"/>
    <w:autoRedefine/>
    <w:qFormat/>
    <w:uiPriority w:val="0"/>
    <w:pPr>
      <w:spacing w:line="360" w:lineRule="auto"/>
      <w:jc w:val="both"/>
      <w:textAlignment w:val="baseline"/>
    </w:pPr>
    <w:rPr>
      <w:rFonts w:ascii="宋体" w:hAnsi="Arial" w:eastAsia="宋体"/>
      <w:kern w:val="2"/>
      <w:sz w:val="24"/>
      <w:szCs w:val="21"/>
      <w:lang w:val="zh-CN" w:eastAsia="zh-CN" w:bidi="ar-SA"/>
    </w:rPr>
  </w:style>
  <w:style w:type="paragraph" w:customStyle="1" w:styleId="26">
    <w:name w:val="Body Text First Indent 2"/>
    <w:qFormat/>
    <w:uiPriority w:val="0"/>
    <w:pPr>
      <w:widowControl w:val="0"/>
      <w:autoSpaceDE w:val="0"/>
      <w:autoSpaceDN w:val="0"/>
      <w:adjustRightInd w:val="0"/>
      <w:spacing w:after="120" w:afterLines="0" w:line="240" w:lineRule="auto"/>
      <w:ind w:left="420" w:leftChars="200" w:firstLine="420"/>
      <w:jc w:val="both"/>
    </w:pPr>
    <w:rPr>
      <w:rFonts w:ascii="Times New Roman" w:hAnsi="Times New Roman" w:eastAsia="宋体" w:cs="宋体"/>
      <w:color w:val="000000"/>
      <w:sz w:val="21"/>
      <w:szCs w:val="21"/>
      <w:lang w:val="en-US" w:eastAsia="zh-CN" w:bidi="ar-SA"/>
    </w:rPr>
  </w:style>
  <w:style w:type="paragraph" w:customStyle="1" w:styleId="27">
    <w:name w:val="文本正文宋体缩进"/>
    <w:basedOn w:val="1"/>
    <w:next w:val="1"/>
    <w:qFormat/>
    <w:uiPriority w:val="0"/>
    <w:pPr>
      <w:autoSpaceDE/>
      <w:autoSpaceDN/>
      <w:adjustRightInd/>
      <w:spacing w:line="360" w:lineRule="auto"/>
      <w:ind w:firstLine="480" w:firstLineChars="200"/>
    </w:pPr>
    <w:rPr>
      <w:color w:val="auto"/>
      <w:kern w:val="2"/>
      <w:sz w:val="24"/>
    </w:rPr>
  </w:style>
  <w:style w:type="paragraph" w:customStyle="1" w:styleId="28">
    <w:name w:val="正文首行缩进 21"/>
    <w:basedOn w:val="29"/>
    <w:qFormat/>
    <w:uiPriority w:val="0"/>
    <w:pPr>
      <w:ind w:firstLine="420"/>
    </w:pPr>
    <w:rPr>
      <w:rFonts w:ascii="Times New Roman" w:hAnsi="Times New Roman" w:cs="宋体"/>
    </w:rPr>
  </w:style>
  <w:style w:type="paragraph" w:customStyle="1" w:styleId="29">
    <w:name w:val="正文文本缩进1"/>
    <w:basedOn w:val="1"/>
    <w:next w:val="1"/>
    <w:qFormat/>
    <w:uiPriority w:val="0"/>
    <w:pPr>
      <w:ind w:left="420" w:leftChars="200"/>
    </w:pPr>
    <w:rPr>
      <w:color w:val="000000"/>
      <w:szCs w:val="21"/>
    </w:rPr>
  </w:style>
  <w:style w:type="paragraph" w:customStyle="1" w:styleId="30">
    <w:name w:val="??¡¡ì???¡¡ì????¡§¬?¡¡ì¡¡ì??¡¡ì?o??????¡§¬?¡¡ì¡¡ì?"/>
    <w:basedOn w:val="1"/>
    <w:qFormat/>
    <w:uiPriority w:val="0"/>
    <w:pPr>
      <w:overflowPunct w:val="0"/>
      <w:autoSpaceDE w:val="0"/>
      <w:autoSpaceDN w:val="0"/>
      <w:adjustRightInd w:val="0"/>
      <w:spacing w:before="20" w:after="20" w:line="400" w:lineRule="exact"/>
      <w:ind w:firstLine="504"/>
      <w:textAlignment w:val="baseline"/>
    </w:pPr>
    <w:rPr>
      <w:rFonts w:ascii="Times New Roman" w:hAnsi="Times New Roman"/>
      <w:lang w:eastAsia="zh-CN" w:bidi="ar-SA"/>
    </w:rPr>
  </w:style>
  <w:style w:type="paragraph" w:customStyle="1" w:styleId="31">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2">
    <w:name w:val="正文文字2"/>
    <w:basedOn w:val="8"/>
    <w:next w:val="4"/>
    <w:autoRedefine/>
    <w:qFormat/>
    <w:uiPriority w:val="0"/>
    <w:pPr>
      <w:autoSpaceDE/>
      <w:autoSpaceDN/>
      <w:spacing w:after="60" w:line="360" w:lineRule="atLeast"/>
      <w:ind w:left="72" w:right="72"/>
      <w:jc w:val="center"/>
      <w:textAlignment w:val="baseline"/>
    </w:pPr>
    <w:rPr>
      <w:rFonts w:ascii="Arial" w:eastAsia="黑体"/>
      <w:color w:val="auto"/>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17681</Words>
  <Characters>18797</Characters>
  <Lines>0</Lines>
  <Paragraphs>0</Paragraphs>
  <TotalTime>5</TotalTime>
  <ScaleCrop>false</ScaleCrop>
  <LinksUpToDate>false</LinksUpToDate>
  <CharactersWithSpaces>18876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2024-12-30T01:23:00Z</dcterms:created>
  <dc:creator>BOCE-31</dc:creator>
  <cp:lastModifiedBy>宣晨阳</cp:lastModifiedBy>
  <dcterms:modified xsi:type="dcterms:W3CDTF">2025-01-01T13:24:48Z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312627F1EEE8441694E34E433BF96643_12</vt:lpwstr>
  </property>
  <property fmtid="{D5CDD505-2E9C-101B-9397-08002B2CF9AE}" pid="4" name="KSOTemplateDocerSaveRecord">
    <vt:lpwstr>eyJoZGlkIjoiNzRlZGEyNzEwM2FhN2YyNDZmYTY0Y2ZlNDM0ZjcwNWMiLCJ1c2VySWQiOiIxMDI2MjgyNTQ1In0=</vt:lpwstr>
  </property>
</Properties>
</file>