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81D3AA">
      <w:pPr>
        <w:pStyle w:val="25"/>
        <w:spacing w:line="360" w:lineRule="auto"/>
        <w:jc w:val="center"/>
        <w:rPr>
          <w:rFonts w:hint="eastAsia" w:ascii="宋体" w:hAnsi="宋体" w:eastAsia="宋体" w:cs="宋体"/>
          <w:b/>
          <w:color w:val="auto"/>
          <w:sz w:val="52"/>
          <w:szCs w:val="52"/>
          <w:highlight w:val="none"/>
          <w:lang w:eastAsia="zh-CN"/>
        </w:rPr>
      </w:pPr>
    </w:p>
    <w:p w14:paraId="57CE75A5">
      <w:pPr>
        <w:pStyle w:val="25"/>
        <w:spacing w:line="360" w:lineRule="auto"/>
        <w:jc w:val="center"/>
        <w:rPr>
          <w:rFonts w:hint="eastAsia" w:ascii="宋体" w:hAnsi="宋体" w:eastAsia="宋体" w:cs="宋体"/>
          <w:b/>
          <w:bCs/>
          <w:color w:val="auto"/>
          <w:sz w:val="60"/>
          <w:szCs w:val="60"/>
          <w:highlight w:val="none"/>
          <w:lang w:val="en-US" w:eastAsia="zh-CN" w:bidi="ar-SA"/>
        </w:rPr>
      </w:pPr>
      <w:r>
        <w:rPr>
          <w:rFonts w:hint="eastAsia" w:ascii="宋体" w:hAnsi="宋体" w:cs="宋体"/>
          <w:b/>
          <w:bCs/>
          <w:color w:val="auto"/>
          <w:sz w:val="60"/>
          <w:szCs w:val="60"/>
          <w:highlight w:val="none"/>
          <w:lang w:val="en-US" w:eastAsia="zh-CN" w:bidi="ar-SA"/>
        </w:rPr>
        <w:t>2024年智慧公卫增效项目</w:t>
      </w:r>
    </w:p>
    <w:p w14:paraId="2F7A814B">
      <w:pPr>
        <w:pStyle w:val="25"/>
        <w:spacing w:line="480" w:lineRule="auto"/>
        <w:jc w:val="center"/>
        <w:rPr>
          <w:rFonts w:hint="eastAsia" w:ascii="宋体" w:hAnsi="宋体" w:eastAsia="宋体" w:cs="宋体"/>
          <w:b/>
          <w:color w:val="auto"/>
          <w:sz w:val="30"/>
          <w:szCs w:val="30"/>
          <w:highlight w:val="none"/>
        </w:rPr>
      </w:pPr>
      <w:r>
        <w:rPr>
          <w:rFonts w:hint="eastAsia" w:ascii="宋体" w:hAnsi="宋体" w:eastAsia="宋体" w:cs="宋体"/>
          <w:b/>
          <w:bCs/>
          <w:color w:val="auto"/>
          <w:sz w:val="30"/>
          <w:szCs w:val="30"/>
          <w:highlight w:val="none"/>
        </w:rPr>
        <w:t>（项目编号：</w:t>
      </w:r>
      <w:r>
        <w:rPr>
          <w:rFonts w:hint="eastAsia" w:ascii="宋体" w:hAnsi="宋体" w:eastAsia="宋体" w:cs="宋体"/>
          <w:b/>
          <w:bCs/>
          <w:color w:val="auto"/>
          <w:sz w:val="30"/>
          <w:szCs w:val="30"/>
          <w:highlight w:val="none"/>
          <w:lang w:val="en-US" w:eastAsia="zh-CN"/>
        </w:rPr>
        <w:t>浙博策2024</w:t>
      </w:r>
      <w:r>
        <w:rPr>
          <w:rFonts w:hint="eastAsia" w:ascii="宋体" w:hAnsi="宋体" w:eastAsia="宋体" w:cs="宋体"/>
          <w:b/>
          <w:color w:val="auto"/>
          <w:sz w:val="30"/>
          <w:szCs w:val="30"/>
          <w:highlight w:val="none"/>
          <w:lang w:eastAsia="zh-CN"/>
        </w:rPr>
        <w:t>-</w:t>
      </w:r>
      <w:r>
        <w:rPr>
          <w:rFonts w:hint="eastAsia" w:ascii="宋体" w:hAnsi="宋体" w:eastAsia="宋体" w:cs="宋体"/>
          <w:b/>
          <w:color w:val="auto"/>
          <w:sz w:val="30"/>
          <w:szCs w:val="30"/>
          <w:highlight w:val="none"/>
          <w:lang w:val="en-US" w:eastAsia="zh-CN"/>
        </w:rPr>
        <w:t>11</w:t>
      </w:r>
      <w:r>
        <w:rPr>
          <w:rFonts w:hint="eastAsia" w:ascii="宋体" w:hAnsi="宋体" w:eastAsia="宋体" w:cs="宋体"/>
          <w:b/>
          <w:color w:val="auto"/>
          <w:sz w:val="30"/>
          <w:szCs w:val="30"/>
          <w:highlight w:val="none"/>
          <w:lang w:eastAsia="zh-CN"/>
        </w:rPr>
        <w:t>-</w:t>
      </w:r>
      <w:r>
        <w:rPr>
          <w:rFonts w:hint="eastAsia" w:ascii="宋体" w:hAnsi="宋体" w:cs="宋体"/>
          <w:b/>
          <w:color w:val="auto"/>
          <w:sz w:val="30"/>
          <w:szCs w:val="30"/>
          <w:highlight w:val="none"/>
          <w:lang w:val="en-US" w:eastAsia="zh-CN"/>
        </w:rPr>
        <w:t>05</w:t>
      </w:r>
      <w:r>
        <w:rPr>
          <w:rFonts w:hint="eastAsia" w:ascii="宋体" w:hAnsi="宋体" w:eastAsia="宋体" w:cs="宋体"/>
          <w:b/>
          <w:color w:val="auto"/>
          <w:sz w:val="30"/>
          <w:szCs w:val="30"/>
          <w:highlight w:val="none"/>
        </w:rPr>
        <w:t>）</w:t>
      </w:r>
    </w:p>
    <w:p w14:paraId="71895B07">
      <w:pPr>
        <w:keepNext w:val="0"/>
        <w:keepLines w:val="0"/>
        <w:pageBreakBefore w:val="0"/>
        <w:widowControl w:val="0"/>
        <w:kinsoku/>
        <w:wordWrap/>
        <w:overflowPunct/>
        <w:topLinePunct w:val="0"/>
        <w:autoSpaceDE w:val="0"/>
        <w:autoSpaceDN w:val="0"/>
        <w:bidi w:val="0"/>
        <w:adjustRightInd w:val="0"/>
        <w:snapToGrid/>
        <w:spacing w:before="313" w:beforeLines="100" w:after="469" w:afterLines="150" w:line="720" w:lineRule="auto"/>
        <w:jc w:val="center"/>
        <w:textAlignment w:val="auto"/>
        <w:rPr>
          <w:rFonts w:hint="eastAsia" w:ascii="宋体" w:hAnsi="宋体" w:eastAsia="宋体" w:cs="宋体"/>
          <w:b/>
          <w:bCs/>
          <w:color w:val="auto"/>
          <w:spacing w:val="-6"/>
          <w:sz w:val="96"/>
          <w:szCs w:val="96"/>
          <w:highlight w:val="none"/>
        </w:rPr>
      </w:pPr>
      <w:r>
        <w:rPr>
          <w:rFonts w:hint="eastAsia" w:ascii="宋体" w:hAnsi="宋体" w:eastAsia="宋体" w:cs="宋体"/>
          <w:b/>
          <w:bCs/>
          <w:color w:val="auto"/>
          <w:spacing w:val="-6"/>
          <w:sz w:val="96"/>
          <w:szCs w:val="96"/>
          <w:highlight w:val="none"/>
        </w:rPr>
        <w:t>招</w:t>
      </w:r>
    </w:p>
    <w:p w14:paraId="4F9610D2">
      <w:pPr>
        <w:keepNext w:val="0"/>
        <w:keepLines w:val="0"/>
        <w:pageBreakBefore w:val="0"/>
        <w:widowControl w:val="0"/>
        <w:kinsoku/>
        <w:wordWrap/>
        <w:overflowPunct/>
        <w:topLinePunct w:val="0"/>
        <w:autoSpaceDE w:val="0"/>
        <w:autoSpaceDN w:val="0"/>
        <w:bidi w:val="0"/>
        <w:adjustRightInd w:val="0"/>
        <w:snapToGrid/>
        <w:spacing w:before="313" w:beforeLines="100" w:after="469" w:afterLines="150" w:line="720" w:lineRule="auto"/>
        <w:jc w:val="center"/>
        <w:textAlignment w:val="auto"/>
        <w:rPr>
          <w:rFonts w:hint="eastAsia" w:ascii="宋体" w:hAnsi="宋体" w:eastAsia="宋体" w:cs="宋体"/>
          <w:b/>
          <w:bCs/>
          <w:color w:val="auto"/>
          <w:spacing w:val="-6"/>
          <w:sz w:val="96"/>
          <w:szCs w:val="96"/>
          <w:highlight w:val="none"/>
        </w:rPr>
      </w:pPr>
      <w:r>
        <w:rPr>
          <w:rFonts w:hint="eastAsia" w:ascii="宋体" w:hAnsi="宋体" w:eastAsia="宋体" w:cs="宋体"/>
          <w:b/>
          <w:bCs/>
          <w:color w:val="auto"/>
          <w:spacing w:val="-6"/>
          <w:sz w:val="96"/>
          <w:szCs w:val="96"/>
          <w:highlight w:val="none"/>
        </w:rPr>
        <w:t>标</w:t>
      </w:r>
    </w:p>
    <w:p w14:paraId="4D817AA7">
      <w:pPr>
        <w:keepNext w:val="0"/>
        <w:keepLines w:val="0"/>
        <w:pageBreakBefore w:val="0"/>
        <w:widowControl w:val="0"/>
        <w:kinsoku/>
        <w:wordWrap/>
        <w:overflowPunct/>
        <w:topLinePunct w:val="0"/>
        <w:autoSpaceDE w:val="0"/>
        <w:autoSpaceDN w:val="0"/>
        <w:bidi w:val="0"/>
        <w:adjustRightInd w:val="0"/>
        <w:snapToGrid/>
        <w:spacing w:before="313" w:beforeLines="100" w:after="469" w:afterLines="150" w:line="720" w:lineRule="auto"/>
        <w:jc w:val="center"/>
        <w:textAlignment w:val="auto"/>
        <w:rPr>
          <w:rFonts w:hint="eastAsia" w:ascii="宋体" w:hAnsi="宋体" w:eastAsia="宋体" w:cs="宋体"/>
          <w:b/>
          <w:bCs/>
          <w:color w:val="auto"/>
          <w:spacing w:val="-6"/>
          <w:sz w:val="96"/>
          <w:szCs w:val="96"/>
          <w:highlight w:val="none"/>
        </w:rPr>
      </w:pPr>
      <w:r>
        <w:rPr>
          <w:rFonts w:hint="eastAsia" w:ascii="宋体" w:hAnsi="宋体" w:eastAsia="宋体" w:cs="宋体"/>
          <w:b/>
          <w:bCs/>
          <w:color w:val="auto"/>
          <w:spacing w:val="-6"/>
          <w:sz w:val="96"/>
          <w:szCs w:val="96"/>
          <w:highlight w:val="none"/>
        </w:rPr>
        <w:t>文</w:t>
      </w:r>
    </w:p>
    <w:p w14:paraId="30AEB004">
      <w:pPr>
        <w:keepNext w:val="0"/>
        <w:keepLines w:val="0"/>
        <w:pageBreakBefore w:val="0"/>
        <w:widowControl w:val="0"/>
        <w:kinsoku/>
        <w:wordWrap/>
        <w:overflowPunct/>
        <w:topLinePunct w:val="0"/>
        <w:autoSpaceDE/>
        <w:autoSpaceDN/>
        <w:bidi w:val="0"/>
        <w:adjustRightInd w:val="0"/>
        <w:snapToGrid/>
        <w:spacing w:before="313" w:beforeLines="100" w:after="469" w:afterLines="150" w:line="720" w:lineRule="auto"/>
        <w:jc w:val="center"/>
        <w:textAlignment w:val="auto"/>
        <w:rPr>
          <w:rFonts w:hint="eastAsia" w:ascii="宋体" w:hAnsi="宋体" w:eastAsia="宋体" w:cs="宋体"/>
          <w:b/>
          <w:bCs/>
          <w:color w:val="auto"/>
          <w:spacing w:val="-6"/>
          <w:sz w:val="96"/>
          <w:szCs w:val="96"/>
          <w:highlight w:val="none"/>
        </w:rPr>
      </w:pPr>
      <w:r>
        <w:rPr>
          <w:rFonts w:hint="eastAsia" w:ascii="宋体" w:hAnsi="宋体" w:eastAsia="宋体" w:cs="宋体"/>
          <w:b/>
          <w:bCs/>
          <w:color w:val="auto"/>
          <w:spacing w:val="-6"/>
          <w:sz w:val="96"/>
          <w:szCs w:val="96"/>
          <w:highlight w:val="none"/>
        </w:rPr>
        <w:t>件</w:t>
      </w:r>
    </w:p>
    <w:p w14:paraId="0CC4C3E5">
      <w:pPr>
        <w:keepNext w:val="0"/>
        <w:keepLines w:val="0"/>
        <w:pageBreakBefore w:val="0"/>
        <w:widowControl w:val="0"/>
        <w:kinsoku/>
        <w:wordWrap/>
        <w:overflowPunct/>
        <w:topLinePunct w:val="0"/>
        <w:autoSpaceDE/>
        <w:autoSpaceDN/>
        <w:bidi w:val="0"/>
        <w:adjustRightInd w:val="0"/>
        <w:snapToGrid/>
        <w:spacing w:before="430" w:beforeLines="150" w:after="287" w:afterLines="100" w:line="360" w:lineRule="auto"/>
        <w:jc w:val="center"/>
        <w:textAlignment w:val="auto"/>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rPr>
        <w:t>（</w:t>
      </w:r>
      <w:r>
        <w:rPr>
          <w:rFonts w:hint="eastAsia" w:ascii="宋体" w:hAnsi="宋体" w:eastAsia="宋体" w:cs="宋体"/>
          <w:b/>
          <w:bCs/>
          <w:color w:val="auto"/>
          <w:sz w:val="30"/>
          <w:szCs w:val="30"/>
          <w:highlight w:val="none"/>
          <w:lang w:val="en-US" w:eastAsia="zh-CN"/>
        </w:rPr>
        <w:t>电子招投标</w:t>
      </w:r>
      <w:r>
        <w:rPr>
          <w:rFonts w:hint="eastAsia" w:ascii="宋体" w:hAnsi="宋体" w:eastAsia="宋体" w:cs="宋体"/>
          <w:b/>
          <w:bCs/>
          <w:color w:val="auto"/>
          <w:sz w:val="30"/>
          <w:szCs w:val="30"/>
          <w:highlight w:val="none"/>
        </w:rPr>
        <w:t>）</w:t>
      </w:r>
    </w:p>
    <w:p w14:paraId="6B24F4D1">
      <w:pPr>
        <w:pStyle w:val="11"/>
        <w:snapToGrid w:val="0"/>
        <w:spacing w:before="120" w:after="120" w:line="360" w:lineRule="auto"/>
        <w:jc w:val="center"/>
        <w:rPr>
          <w:rFonts w:hint="eastAsia" w:ascii="宋体" w:hAnsi="宋体" w:eastAsia="宋体" w:cs="宋体"/>
          <w:b/>
          <w:bCs/>
          <w:color w:val="auto"/>
          <w:w w:val="95"/>
          <w:sz w:val="32"/>
          <w:szCs w:val="32"/>
          <w:highlight w:val="none"/>
          <w:lang w:val="en-US" w:eastAsia="zh-CN"/>
        </w:rPr>
      </w:pPr>
      <w:r>
        <w:rPr>
          <w:rFonts w:hint="eastAsia" w:ascii="宋体" w:hAnsi="宋体" w:eastAsia="宋体" w:cs="宋体"/>
          <w:b/>
          <w:bCs/>
          <w:color w:val="auto"/>
          <w:w w:val="95"/>
          <w:sz w:val="32"/>
          <w:szCs w:val="32"/>
          <w:highlight w:val="none"/>
        </w:rPr>
        <w:t>采购单位：</w:t>
      </w:r>
      <w:r>
        <w:rPr>
          <w:rFonts w:hint="eastAsia" w:ascii="宋体" w:hAnsi="宋体" w:eastAsia="宋体" w:cs="宋体"/>
          <w:b/>
          <w:bCs/>
          <w:color w:val="auto"/>
          <w:w w:val="95"/>
          <w:sz w:val="32"/>
          <w:szCs w:val="32"/>
          <w:highlight w:val="none"/>
          <w:lang w:val="en-US" w:eastAsia="zh-CN"/>
        </w:rPr>
        <w:t>诸暨市大数据发展有限公司</w:t>
      </w:r>
    </w:p>
    <w:p w14:paraId="42C6FF17">
      <w:pPr>
        <w:pStyle w:val="11"/>
        <w:snapToGrid w:val="0"/>
        <w:spacing w:before="120" w:after="120" w:line="360" w:lineRule="auto"/>
        <w:jc w:val="center"/>
        <w:rPr>
          <w:rFonts w:hint="eastAsia" w:ascii="宋体" w:hAnsi="宋体" w:eastAsia="宋体" w:cs="宋体"/>
          <w:b/>
          <w:bCs/>
          <w:color w:val="auto"/>
          <w:w w:val="95"/>
          <w:sz w:val="32"/>
          <w:szCs w:val="32"/>
          <w:highlight w:val="none"/>
          <w:lang w:eastAsia="zh-CN"/>
        </w:rPr>
      </w:pPr>
      <w:r>
        <w:rPr>
          <w:rFonts w:hint="eastAsia" w:ascii="宋体" w:hAnsi="宋体" w:eastAsia="宋体" w:cs="宋体"/>
          <w:b/>
          <w:bCs/>
          <w:color w:val="auto"/>
          <w:w w:val="95"/>
          <w:sz w:val="32"/>
          <w:szCs w:val="32"/>
          <w:highlight w:val="none"/>
        </w:rPr>
        <w:t>采购代理机构：</w:t>
      </w:r>
      <w:r>
        <w:rPr>
          <w:rFonts w:hint="eastAsia" w:ascii="宋体" w:hAnsi="宋体" w:eastAsia="宋体" w:cs="宋体"/>
          <w:b/>
          <w:bCs/>
          <w:color w:val="auto"/>
          <w:w w:val="95"/>
          <w:sz w:val="32"/>
          <w:szCs w:val="32"/>
          <w:highlight w:val="none"/>
          <w:lang w:eastAsia="zh-CN"/>
        </w:rPr>
        <w:t>浙江博策工程项目管理有限公司</w:t>
      </w:r>
    </w:p>
    <w:p w14:paraId="6A163A87">
      <w:pPr>
        <w:jc w:val="center"/>
        <w:rPr>
          <w:rFonts w:hint="eastAsia" w:ascii="宋体" w:hAnsi="宋体" w:eastAsia="宋体" w:cs="宋体"/>
          <w:b/>
          <w:color w:val="auto"/>
          <w:sz w:val="44"/>
          <w:szCs w:val="44"/>
          <w:highlight w:val="none"/>
          <w:lang w:eastAsia="zh-CN"/>
        </w:rPr>
      </w:pPr>
      <w:r>
        <w:rPr>
          <w:rFonts w:hint="eastAsia" w:ascii="宋体" w:hAnsi="宋体" w:eastAsia="宋体" w:cs="宋体"/>
          <w:b/>
          <w:bCs/>
          <w:color w:val="auto"/>
          <w:w w:val="95"/>
          <w:sz w:val="32"/>
          <w:szCs w:val="32"/>
          <w:highlight w:val="none"/>
          <w:lang w:eastAsia="zh-CN"/>
        </w:rPr>
        <w:t>二〇二</w:t>
      </w:r>
      <w:r>
        <w:rPr>
          <w:rFonts w:hint="eastAsia" w:ascii="宋体" w:hAnsi="宋体" w:eastAsia="宋体" w:cs="宋体"/>
          <w:b/>
          <w:bCs/>
          <w:color w:val="auto"/>
          <w:w w:val="95"/>
          <w:sz w:val="32"/>
          <w:szCs w:val="32"/>
          <w:highlight w:val="none"/>
          <w:lang w:val="en-US" w:eastAsia="zh-CN"/>
        </w:rPr>
        <w:t>四</w:t>
      </w:r>
      <w:r>
        <w:rPr>
          <w:rFonts w:hint="eastAsia" w:ascii="宋体" w:hAnsi="宋体" w:eastAsia="宋体" w:cs="宋体"/>
          <w:b/>
          <w:bCs/>
          <w:color w:val="auto"/>
          <w:w w:val="95"/>
          <w:sz w:val="32"/>
          <w:szCs w:val="32"/>
          <w:highlight w:val="none"/>
          <w:lang w:eastAsia="zh-CN"/>
        </w:rPr>
        <w:t>年</w:t>
      </w:r>
      <w:r>
        <w:rPr>
          <w:rFonts w:hint="eastAsia" w:ascii="宋体" w:hAnsi="宋体" w:eastAsia="宋体" w:cs="宋体"/>
          <w:b/>
          <w:bCs/>
          <w:color w:val="auto"/>
          <w:w w:val="95"/>
          <w:sz w:val="32"/>
          <w:szCs w:val="32"/>
          <w:highlight w:val="none"/>
          <w:lang w:val="en-US" w:eastAsia="zh-CN"/>
        </w:rPr>
        <w:t>十一</w:t>
      </w:r>
      <w:r>
        <w:rPr>
          <w:rFonts w:hint="eastAsia" w:ascii="宋体" w:hAnsi="宋体" w:eastAsia="宋体" w:cs="宋体"/>
          <w:b/>
          <w:bCs/>
          <w:color w:val="auto"/>
          <w:w w:val="95"/>
          <w:sz w:val="32"/>
          <w:szCs w:val="32"/>
          <w:highlight w:val="none"/>
          <w:lang w:eastAsia="zh-CN"/>
        </w:rPr>
        <w:t>月</w:t>
      </w:r>
    </w:p>
    <w:p w14:paraId="7E21E428">
      <w:pPr>
        <w:jc w:val="center"/>
        <w:rPr>
          <w:rFonts w:hint="eastAsia" w:ascii="宋体" w:hAnsi="宋体" w:eastAsia="宋体" w:cs="宋体"/>
          <w:b/>
          <w:color w:val="auto"/>
          <w:sz w:val="44"/>
          <w:szCs w:val="44"/>
          <w:highlight w:val="none"/>
        </w:rPr>
        <w:sectPr>
          <w:headerReference r:id="rId4" w:type="first"/>
          <w:headerReference r:id="rId3" w:type="default"/>
          <w:footerReference r:id="rId5" w:type="even"/>
          <w:pgSz w:w="11906" w:h="16838"/>
          <w:pgMar w:top="1134" w:right="1417" w:bottom="1134" w:left="1417" w:header="851" w:footer="992" w:gutter="0"/>
          <w:pgNumType w:start="1"/>
          <w:cols w:space="0" w:num="1"/>
          <w:rtlGutter w:val="0"/>
          <w:docGrid w:type="linesAndChars" w:linePitch="312" w:charSpace="0"/>
        </w:sectPr>
      </w:pPr>
    </w:p>
    <w:p w14:paraId="0323E6F6">
      <w:pPr>
        <w:rPr>
          <w:rFonts w:hint="eastAsia" w:ascii="宋体" w:hAnsi="宋体" w:eastAsia="宋体" w:cs="宋体"/>
          <w:color w:val="auto"/>
          <w:highlight w:val="none"/>
        </w:rPr>
      </w:pPr>
    </w:p>
    <w:p w14:paraId="28A4CD54">
      <w:pPr>
        <w:jc w:val="center"/>
        <w:rPr>
          <w:rFonts w:hint="eastAsia" w:ascii="宋体" w:hAnsi="宋体" w:eastAsia="宋体" w:cs="宋体"/>
          <w:b/>
          <w:color w:val="auto"/>
          <w:sz w:val="44"/>
          <w:szCs w:val="44"/>
          <w:highlight w:val="none"/>
        </w:rPr>
      </w:pPr>
    </w:p>
    <w:p w14:paraId="4F0E5497">
      <w:pPr>
        <w:jc w:val="center"/>
        <w:rPr>
          <w:rFonts w:hint="eastAsia" w:ascii="宋体" w:hAnsi="宋体" w:eastAsia="宋体" w:cs="宋体"/>
          <w:b/>
          <w:color w:val="auto"/>
          <w:sz w:val="44"/>
          <w:szCs w:val="44"/>
          <w:highlight w:val="none"/>
        </w:rPr>
      </w:pPr>
    </w:p>
    <w:p w14:paraId="1E7C1672">
      <w:pPr>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目</w:t>
      </w:r>
      <w:r>
        <w:rPr>
          <w:rFonts w:hint="eastAsia" w:ascii="宋体" w:hAnsi="宋体" w:cs="宋体"/>
          <w:b/>
          <w:color w:val="auto"/>
          <w:sz w:val="44"/>
          <w:szCs w:val="44"/>
          <w:highlight w:val="none"/>
          <w:lang w:val="en-US" w:eastAsia="zh-CN"/>
        </w:rPr>
        <w:t xml:space="preserve">  </w:t>
      </w:r>
      <w:r>
        <w:rPr>
          <w:rFonts w:hint="eastAsia" w:ascii="宋体" w:hAnsi="宋体" w:eastAsia="宋体" w:cs="宋体"/>
          <w:b/>
          <w:color w:val="auto"/>
          <w:sz w:val="44"/>
          <w:szCs w:val="44"/>
          <w:highlight w:val="none"/>
        </w:rPr>
        <w:t>录</w:t>
      </w:r>
    </w:p>
    <w:p w14:paraId="2CB0D4EE">
      <w:pPr>
        <w:jc w:val="center"/>
        <w:rPr>
          <w:rFonts w:hint="eastAsia" w:ascii="宋体" w:hAnsi="宋体" w:eastAsia="宋体" w:cs="宋体"/>
          <w:b/>
          <w:color w:val="auto"/>
          <w:sz w:val="44"/>
          <w:szCs w:val="44"/>
          <w:highlight w:val="none"/>
        </w:rPr>
      </w:pPr>
    </w:p>
    <w:p w14:paraId="434D5171">
      <w:pPr>
        <w:jc w:val="center"/>
        <w:rPr>
          <w:rFonts w:hint="eastAsia" w:ascii="宋体" w:hAnsi="宋体" w:eastAsia="宋体" w:cs="宋体"/>
          <w:color w:val="auto"/>
          <w:highlight w:val="none"/>
        </w:rPr>
      </w:pPr>
    </w:p>
    <w:p w14:paraId="6F106571">
      <w:pPr>
        <w:snapToGrid w:val="0"/>
        <w:spacing w:line="480" w:lineRule="auto"/>
        <w:ind w:firstLine="1807" w:firstLineChars="500"/>
        <w:jc w:val="left"/>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第一章  招标公告</w:t>
      </w:r>
    </w:p>
    <w:p w14:paraId="5A114614">
      <w:pPr>
        <w:snapToGrid w:val="0"/>
        <w:spacing w:line="480" w:lineRule="auto"/>
        <w:ind w:firstLine="1807" w:firstLineChars="500"/>
        <w:jc w:val="left"/>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第二章  投标须知</w:t>
      </w:r>
    </w:p>
    <w:p w14:paraId="6F5FCED3">
      <w:pPr>
        <w:snapToGrid w:val="0"/>
        <w:spacing w:line="480" w:lineRule="auto"/>
        <w:ind w:firstLine="1807" w:firstLineChars="500"/>
        <w:jc w:val="left"/>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第三章  评标办法及评分标准</w:t>
      </w:r>
    </w:p>
    <w:p w14:paraId="070C8392">
      <w:pPr>
        <w:snapToGrid w:val="0"/>
        <w:spacing w:line="480" w:lineRule="auto"/>
        <w:ind w:firstLine="1807" w:firstLineChars="500"/>
        <w:jc w:val="left"/>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第四章  </w:t>
      </w:r>
      <w:r>
        <w:rPr>
          <w:rFonts w:hint="eastAsia" w:ascii="宋体" w:hAnsi="宋体" w:eastAsia="宋体" w:cs="宋体"/>
          <w:b/>
          <w:color w:val="auto"/>
          <w:sz w:val="36"/>
          <w:szCs w:val="36"/>
          <w:highlight w:val="none"/>
          <w:lang w:val="en-US" w:eastAsia="zh-CN"/>
        </w:rPr>
        <w:t>采购</w:t>
      </w:r>
      <w:r>
        <w:rPr>
          <w:rFonts w:hint="eastAsia" w:ascii="宋体" w:hAnsi="宋体" w:eastAsia="宋体" w:cs="宋体"/>
          <w:b/>
          <w:color w:val="auto"/>
          <w:sz w:val="36"/>
          <w:szCs w:val="36"/>
          <w:highlight w:val="none"/>
        </w:rPr>
        <w:t>需求</w:t>
      </w:r>
    </w:p>
    <w:p w14:paraId="2BA2FD25">
      <w:pPr>
        <w:snapToGrid w:val="0"/>
        <w:spacing w:line="480" w:lineRule="auto"/>
        <w:ind w:firstLine="1807" w:firstLineChars="500"/>
        <w:jc w:val="left"/>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第五章  采购合同（参考格式）</w:t>
      </w:r>
    </w:p>
    <w:p w14:paraId="59C9C4BD">
      <w:pPr>
        <w:snapToGrid w:val="0"/>
        <w:spacing w:line="480" w:lineRule="auto"/>
        <w:ind w:firstLine="1807" w:firstLineChars="500"/>
        <w:jc w:val="left"/>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第六章  应提交的有关格式范例</w:t>
      </w:r>
    </w:p>
    <w:p w14:paraId="60D2521B">
      <w:pPr>
        <w:snapToGrid w:val="0"/>
        <w:spacing w:line="480" w:lineRule="auto"/>
        <w:ind w:firstLine="1807" w:firstLineChars="500"/>
        <w:jc w:val="left"/>
        <w:rPr>
          <w:rFonts w:hint="eastAsia" w:ascii="宋体" w:hAnsi="宋体" w:eastAsia="宋体" w:cs="宋体"/>
          <w:b/>
          <w:color w:val="auto"/>
          <w:sz w:val="24"/>
          <w:highlight w:val="none"/>
        </w:rPr>
      </w:pPr>
      <w:r>
        <w:rPr>
          <w:rFonts w:hint="eastAsia" w:ascii="宋体" w:hAnsi="宋体" w:eastAsia="宋体" w:cs="宋体"/>
          <w:b/>
          <w:color w:val="auto"/>
          <w:sz w:val="36"/>
          <w:szCs w:val="36"/>
          <w:highlight w:val="none"/>
        </w:rPr>
        <w:t xml:space="preserve">  </w:t>
      </w:r>
      <w:r>
        <w:rPr>
          <w:rFonts w:hint="eastAsia" w:ascii="宋体" w:hAnsi="宋体" w:eastAsia="宋体" w:cs="宋体"/>
          <w:b/>
          <w:color w:val="auto"/>
          <w:sz w:val="24"/>
          <w:highlight w:val="none"/>
        </w:rPr>
        <w:t>请各位投标人详细阅读各项条款</w:t>
      </w:r>
    </w:p>
    <w:p w14:paraId="5D892E72">
      <w:pPr>
        <w:pStyle w:val="3"/>
        <w:spacing w:before="0" w:after="0" w:line="240" w:lineRule="auto"/>
        <w:jc w:val="center"/>
        <w:rPr>
          <w:rFonts w:hint="eastAsia" w:ascii="宋体" w:hAnsi="宋体" w:eastAsia="宋体" w:cs="宋体"/>
          <w:color w:val="auto"/>
          <w:sz w:val="36"/>
          <w:szCs w:val="36"/>
          <w:highlight w:val="none"/>
        </w:rPr>
        <w:sectPr>
          <w:pgSz w:w="11906" w:h="16838"/>
          <w:pgMar w:top="1134" w:right="1417" w:bottom="1134" w:left="1417" w:header="851" w:footer="992" w:gutter="0"/>
          <w:cols w:space="425" w:num="1"/>
          <w:docGrid w:type="lines" w:linePitch="312" w:charSpace="0"/>
        </w:sectPr>
      </w:pPr>
    </w:p>
    <w:p w14:paraId="6641EC02">
      <w:pPr>
        <w:keepNext w:val="0"/>
        <w:keepLines w:val="0"/>
        <w:pageBreakBefore w:val="0"/>
        <w:widowControl w:val="0"/>
        <w:shd w:val="clear"/>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bCs/>
          <w:color w:val="auto"/>
          <w:sz w:val="36"/>
          <w:szCs w:val="36"/>
          <w:highlight w:val="none"/>
          <w:lang w:eastAsia="zh-CN"/>
        </w:rPr>
      </w:pPr>
      <w:r>
        <w:rPr>
          <w:rFonts w:hint="eastAsia" w:ascii="宋体" w:hAnsi="宋体" w:eastAsia="宋体" w:cs="宋体"/>
          <w:b/>
          <w:bCs/>
          <w:color w:val="auto"/>
          <w:sz w:val="36"/>
          <w:szCs w:val="36"/>
          <w:highlight w:val="none"/>
        </w:rPr>
        <w:t>第一章  招标公告</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8"/>
      </w:tblGrid>
      <w:tr w14:paraId="53336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2" w:hRule="atLeast"/>
        </w:trPr>
        <w:tc>
          <w:tcPr>
            <w:tcW w:w="9650" w:type="dxa"/>
            <w:noWrap w:val="0"/>
            <w:vAlign w:val="top"/>
          </w:tcPr>
          <w:p w14:paraId="4178D3AE">
            <w:pPr>
              <w:pStyle w:val="18"/>
              <w:keepNext w:val="0"/>
              <w:keepLines w:val="0"/>
              <w:pageBreakBefore w:val="0"/>
              <w:widowControl/>
              <w:suppressLineNumbers w:val="0"/>
              <w:shd w:val="clear"/>
              <w:kinsoku/>
              <w:overflowPunct/>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shd w:val="clear" w:color="auto" w:fill="FFFFFF"/>
              </w:rPr>
              <w:t>项目概况</w:t>
            </w:r>
          </w:p>
          <w:p w14:paraId="0CD8B271">
            <w:pPr>
              <w:pStyle w:val="18"/>
              <w:keepNext w:val="0"/>
              <w:keepLines w:val="0"/>
              <w:pageBreakBefore w:val="0"/>
              <w:widowControl/>
              <w:suppressLineNumbers w:val="0"/>
              <w:shd w:val="clear"/>
              <w:kinsoku/>
              <w:wordWrap w:val="0"/>
              <w:overflowPunct/>
              <w:topLinePunct/>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b w:val="0"/>
                <w:bCs w:val="0"/>
                <w:i w:val="0"/>
                <w:iCs w:val="0"/>
                <w:color w:val="auto"/>
                <w:sz w:val="24"/>
                <w:szCs w:val="24"/>
                <w:highlight w:val="none"/>
                <w:vertAlign w:val="baseline"/>
              </w:rPr>
            </w:pPr>
            <w:r>
              <w:rPr>
                <w:rFonts w:hint="eastAsia" w:eastAsia="宋体" w:cs="宋体"/>
                <w:b w:val="0"/>
                <w:bCs w:val="0"/>
                <w:i w:val="0"/>
                <w:iCs w:val="0"/>
                <w:color w:val="auto"/>
                <w:sz w:val="24"/>
                <w:szCs w:val="24"/>
                <w:highlight w:val="none"/>
                <w:u w:val="single"/>
                <w:shd w:val="clear" w:color="auto" w:fill="FFFFFF"/>
                <w:lang w:eastAsia="zh-CN"/>
              </w:rPr>
              <w:t>2024年智慧公卫增效项目</w:t>
            </w:r>
            <w:r>
              <w:rPr>
                <w:rFonts w:hint="eastAsia" w:ascii="宋体" w:hAnsi="宋体" w:eastAsia="宋体" w:cs="宋体"/>
                <w:b w:val="0"/>
                <w:bCs w:val="0"/>
                <w:i w:val="0"/>
                <w:iCs w:val="0"/>
                <w:color w:val="auto"/>
                <w:sz w:val="24"/>
                <w:szCs w:val="24"/>
                <w:highlight w:val="none"/>
                <w:u w:val="single"/>
                <w:shd w:val="clear" w:color="auto" w:fill="FFFFFF"/>
                <w:lang w:val="en-US" w:eastAsia="zh-CN"/>
              </w:rPr>
              <w:t xml:space="preserve"> </w:t>
            </w:r>
            <w:r>
              <w:rPr>
                <w:rFonts w:hint="eastAsia" w:ascii="宋体" w:hAnsi="宋体" w:eastAsia="宋体" w:cs="宋体"/>
                <w:b w:val="0"/>
                <w:bCs w:val="0"/>
                <w:i w:val="0"/>
                <w:iCs w:val="0"/>
                <w:color w:val="auto"/>
                <w:sz w:val="24"/>
                <w:szCs w:val="24"/>
                <w:highlight w:val="none"/>
                <w:shd w:val="clear" w:color="auto" w:fill="FFFFFF"/>
              </w:rPr>
              <w:t>招标项目的潜在投标人应</w:t>
            </w:r>
            <w:r>
              <w:rPr>
                <w:rFonts w:hint="eastAsia" w:ascii="宋体" w:hAnsi="宋体" w:eastAsia="宋体" w:cs="宋体"/>
                <w:b w:val="0"/>
                <w:bCs w:val="0"/>
                <w:i w:val="0"/>
                <w:iCs w:val="0"/>
                <w:color w:val="auto"/>
                <w:sz w:val="24"/>
                <w:szCs w:val="24"/>
                <w:highlight w:val="none"/>
                <w:u w:val="none"/>
                <w:shd w:val="clear" w:color="auto" w:fill="FFFFFF"/>
              </w:rPr>
              <w:t>在</w:t>
            </w:r>
            <w:r>
              <w:rPr>
                <w:rFonts w:hint="eastAsia" w:ascii="宋体" w:hAnsi="宋体" w:eastAsia="宋体" w:cs="宋体"/>
                <w:b w:val="0"/>
                <w:bCs w:val="0"/>
                <w:i w:val="0"/>
                <w:iCs w:val="0"/>
                <w:color w:val="auto"/>
                <w:sz w:val="24"/>
                <w:szCs w:val="24"/>
                <w:highlight w:val="none"/>
                <w:u w:val="single"/>
                <w:shd w:val="clear" w:color="auto" w:fill="FFFFFF"/>
              </w:rPr>
              <w:t>乐采云平台（https://www.lecaiyun.com/）</w:t>
            </w:r>
            <w:r>
              <w:rPr>
                <w:rFonts w:hint="eastAsia" w:ascii="宋体" w:hAnsi="宋体" w:eastAsia="宋体" w:cs="宋体"/>
                <w:b w:val="0"/>
                <w:bCs w:val="0"/>
                <w:i w:val="0"/>
                <w:iCs w:val="0"/>
                <w:color w:val="auto"/>
                <w:sz w:val="24"/>
                <w:szCs w:val="24"/>
                <w:highlight w:val="none"/>
                <w:shd w:val="clear" w:color="auto" w:fill="FFFFFF"/>
              </w:rPr>
              <w:t>获取（下载）招标文件，并于</w:t>
            </w:r>
            <w:r>
              <w:rPr>
                <w:rFonts w:hint="eastAsia" w:ascii="宋体" w:hAnsi="宋体" w:eastAsia="宋体" w:cs="宋体"/>
                <w:b w:val="0"/>
                <w:bCs w:val="0"/>
                <w:i w:val="0"/>
                <w:iCs w:val="0"/>
                <w:color w:val="auto"/>
                <w:sz w:val="24"/>
                <w:szCs w:val="24"/>
                <w:highlight w:val="none"/>
                <w:u w:val="single"/>
                <w:shd w:val="clear" w:color="auto" w:fill="FFFFFF"/>
                <w:lang w:eastAsia="zh-CN"/>
              </w:rPr>
              <w:t>202</w:t>
            </w:r>
            <w:r>
              <w:rPr>
                <w:rFonts w:hint="eastAsia" w:ascii="宋体" w:hAnsi="宋体" w:eastAsia="宋体" w:cs="宋体"/>
                <w:b w:val="0"/>
                <w:bCs w:val="0"/>
                <w:i w:val="0"/>
                <w:iCs w:val="0"/>
                <w:color w:val="auto"/>
                <w:sz w:val="24"/>
                <w:szCs w:val="24"/>
                <w:highlight w:val="none"/>
                <w:u w:val="single"/>
                <w:shd w:val="clear" w:color="auto" w:fill="FFFFFF"/>
                <w:lang w:val="en-US" w:eastAsia="zh-CN"/>
              </w:rPr>
              <w:t>4</w:t>
            </w:r>
            <w:r>
              <w:rPr>
                <w:rFonts w:hint="eastAsia" w:ascii="宋体" w:hAnsi="宋体" w:eastAsia="宋体" w:cs="宋体"/>
                <w:b w:val="0"/>
                <w:bCs w:val="0"/>
                <w:i w:val="0"/>
                <w:iCs w:val="0"/>
                <w:color w:val="auto"/>
                <w:sz w:val="24"/>
                <w:szCs w:val="24"/>
                <w:highlight w:val="none"/>
                <w:u w:val="single"/>
                <w:shd w:val="clear" w:color="auto" w:fill="FFFFFF"/>
                <w:lang w:eastAsia="zh-CN"/>
              </w:rPr>
              <w:t>年</w:t>
            </w:r>
            <w:r>
              <w:rPr>
                <w:rFonts w:hint="eastAsia" w:eastAsia="宋体" w:cs="宋体"/>
                <w:b w:val="0"/>
                <w:bCs w:val="0"/>
                <w:i w:val="0"/>
                <w:iCs w:val="0"/>
                <w:color w:val="auto"/>
                <w:sz w:val="24"/>
                <w:szCs w:val="24"/>
                <w:highlight w:val="none"/>
                <w:u w:val="single"/>
                <w:shd w:val="clear" w:color="auto" w:fill="FFFFFF"/>
                <w:lang w:val="en-US" w:eastAsia="zh-CN"/>
              </w:rPr>
              <w:t>12</w:t>
            </w:r>
            <w:r>
              <w:rPr>
                <w:rFonts w:hint="eastAsia" w:ascii="宋体" w:hAnsi="宋体" w:eastAsia="宋体" w:cs="宋体"/>
                <w:b w:val="0"/>
                <w:bCs w:val="0"/>
                <w:i w:val="0"/>
                <w:iCs w:val="0"/>
                <w:color w:val="auto"/>
                <w:sz w:val="24"/>
                <w:szCs w:val="24"/>
                <w:highlight w:val="none"/>
                <w:u w:val="single"/>
                <w:shd w:val="clear" w:color="auto" w:fill="FFFFFF"/>
                <w:lang w:eastAsia="zh-CN"/>
              </w:rPr>
              <w:t>月</w:t>
            </w:r>
            <w:r>
              <w:rPr>
                <w:rFonts w:hint="eastAsia" w:eastAsia="宋体" w:cs="宋体"/>
                <w:b w:val="0"/>
                <w:bCs w:val="0"/>
                <w:i w:val="0"/>
                <w:iCs w:val="0"/>
                <w:color w:val="auto"/>
                <w:sz w:val="24"/>
                <w:szCs w:val="24"/>
                <w:highlight w:val="none"/>
                <w:u w:val="single"/>
                <w:shd w:val="clear" w:color="auto" w:fill="FFFFFF"/>
                <w:lang w:val="en-US" w:eastAsia="zh-CN"/>
              </w:rPr>
              <w:t>20日</w:t>
            </w:r>
            <w:r>
              <w:rPr>
                <w:rFonts w:hint="eastAsia" w:ascii="宋体" w:hAnsi="宋体" w:eastAsia="宋体" w:cs="宋体"/>
                <w:b w:val="0"/>
                <w:bCs w:val="0"/>
                <w:i w:val="0"/>
                <w:iCs w:val="0"/>
                <w:color w:val="auto"/>
                <w:sz w:val="24"/>
                <w:szCs w:val="24"/>
                <w:highlight w:val="none"/>
                <w:u w:val="single"/>
                <w:shd w:val="clear" w:color="auto" w:fill="FFFFFF"/>
                <w:lang w:val="en-US" w:eastAsia="zh-CN"/>
              </w:rPr>
              <w:t>14</w:t>
            </w:r>
            <w:r>
              <w:rPr>
                <w:rFonts w:hint="eastAsia" w:ascii="宋体" w:hAnsi="宋体" w:eastAsia="宋体" w:cs="宋体"/>
                <w:b w:val="0"/>
                <w:bCs w:val="0"/>
                <w:i w:val="0"/>
                <w:iCs w:val="0"/>
                <w:color w:val="auto"/>
                <w:sz w:val="24"/>
                <w:szCs w:val="24"/>
                <w:highlight w:val="none"/>
                <w:u w:val="single"/>
                <w:shd w:val="clear" w:color="auto" w:fill="FFFFFF"/>
                <w:lang w:eastAsia="zh-CN"/>
              </w:rPr>
              <w:t>:30时</w:t>
            </w:r>
            <w:r>
              <w:rPr>
                <w:rFonts w:hint="eastAsia" w:ascii="宋体" w:hAnsi="宋体" w:eastAsia="宋体" w:cs="宋体"/>
                <w:b w:val="0"/>
                <w:bCs w:val="0"/>
                <w:i w:val="0"/>
                <w:iCs w:val="0"/>
                <w:color w:val="auto"/>
                <w:sz w:val="24"/>
                <w:szCs w:val="24"/>
                <w:highlight w:val="none"/>
                <w:shd w:val="clear" w:color="auto" w:fill="FFFFFF"/>
              </w:rPr>
              <w:t>（北京时间）前递交（上传）投标文件。</w:t>
            </w:r>
          </w:p>
        </w:tc>
      </w:tr>
    </w:tbl>
    <w:p w14:paraId="3C11F7BE">
      <w:pPr>
        <w:pStyle w:val="4"/>
        <w:keepNext/>
        <w:keepLines/>
        <w:pageBreakBefore w:val="0"/>
        <w:widowControl w:val="0"/>
        <w:shd w:val="clear"/>
        <w:kinsoku/>
        <w:wordWrap/>
        <w:overflowPunct/>
        <w:topLinePunct w:val="0"/>
        <w:autoSpaceDE/>
        <w:autoSpaceDN/>
        <w:bidi w:val="0"/>
        <w:adjustRightInd/>
        <w:snapToGrid/>
        <w:spacing w:before="0" w:beforeLines="0" w:after="0" w:afterLines="0" w:line="360" w:lineRule="auto"/>
        <w:ind w:firstLine="482" w:firstLineChars="200"/>
        <w:textAlignment w:val="auto"/>
        <w:rPr>
          <w:rFonts w:hint="eastAsia" w:ascii="宋体" w:hAnsi="宋体" w:eastAsia="宋体" w:cs="宋体"/>
          <w:b/>
          <w:bCs w:val="0"/>
          <w:color w:val="auto"/>
          <w:kern w:val="0"/>
          <w:sz w:val="24"/>
          <w:szCs w:val="24"/>
          <w:highlight w:val="none"/>
          <w:lang w:val="en-US" w:eastAsia="zh-CN" w:bidi="ar-SA"/>
        </w:rPr>
      </w:pPr>
      <w:bookmarkStart w:id="0" w:name="_Toc35393790"/>
      <w:bookmarkStart w:id="1" w:name="_Toc35393621"/>
      <w:bookmarkStart w:id="2" w:name="_Toc28359079"/>
      <w:bookmarkStart w:id="3" w:name="_Toc28359002"/>
      <w:bookmarkStart w:id="4" w:name="_Hlk24379207"/>
      <w:r>
        <w:rPr>
          <w:rFonts w:hint="eastAsia" w:ascii="宋体" w:hAnsi="宋体" w:eastAsia="宋体" w:cs="宋体"/>
          <w:b/>
          <w:bCs w:val="0"/>
          <w:color w:val="auto"/>
          <w:kern w:val="0"/>
          <w:sz w:val="24"/>
          <w:szCs w:val="24"/>
          <w:highlight w:val="none"/>
          <w:lang w:val="en-US" w:eastAsia="zh-CN" w:bidi="ar-SA"/>
        </w:rPr>
        <w:t>一、项目基本情况</w:t>
      </w:r>
      <w:bookmarkEnd w:id="0"/>
      <w:bookmarkEnd w:id="1"/>
      <w:bookmarkEnd w:id="2"/>
      <w:bookmarkEnd w:id="3"/>
    </w:p>
    <w:bookmarkEnd w:id="4"/>
    <w:p w14:paraId="7B0A66E5">
      <w:pPr>
        <w:pageBreakBefore w:val="0"/>
        <w:shd w:val="clear"/>
        <w:kinsoku/>
        <w:overflowPunct/>
        <w:bidi w:val="0"/>
        <w:spacing w:line="360" w:lineRule="auto"/>
        <w:ind w:firstLine="480" w:firstLineChars="200"/>
        <w:textAlignment w:val="auto"/>
        <w:rPr>
          <w:rFonts w:hint="default" w:ascii="宋体" w:hAnsi="宋体" w:eastAsia="宋体" w:cs="宋体"/>
          <w:bCs/>
          <w:color w:val="auto"/>
          <w:sz w:val="24"/>
          <w:szCs w:val="24"/>
          <w:highlight w:val="none"/>
          <w:lang w:val="en-US" w:eastAsia="zh-CN"/>
        </w:rPr>
      </w:pPr>
      <w:bookmarkStart w:id="5" w:name="_Toc35393622"/>
      <w:bookmarkStart w:id="6" w:name="_Toc28359080"/>
      <w:bookmarkStart w:id="7" w:name="_Toc28359003"/>
      <w:bookmarkStart w:id="8" w:name="_Toc35393791"/>
      <w:r>
        <w:rPr>
          <w:rFonts w:hint="eastAsia" w:ascii="宋体" w:hAnsi="宋体" w:eastAsia="宋体" w:cs="宋体"/>
          <w:bCs/>
          <w:color w:val="auto"/>
          <w:sz w:val="24"/>
          <w:szCs w:val="24"/>
          <w:highlight w:val="none"/>
          <w:lang w:val="en-US" w:eastAsia="zh-CN"/>
        </w:rPr>
        <w:t>项目编号：浙博策2024-11-</w:t>
      </w:r>
      <w:r>
        <w:rPr>
          <w:rFonts w:hint="eastAsia" w:ascii="宋体" w:hAnsi="宋体" w:cs="宋体"/>
          <w:bCs/>
          <w:color w:val="auto"/>
          <w:sz w:val="24"/>
          <w:szCs w:val="24"/>
          <w:highlight w:val="none"/>
          <w:lang w:val="en-US" w:eastAsia="zh-CN"/>
        </w:rPr>
        <w:t>05</w:t>
      </w:r>
    </w:p>
    <w:p w14:paraId="0DC67DAA">
      <w:pPr>
        <w:pageBreakBefore w:val="0"/>
        <w:shd w:val="clear"/>
        <w:kinsoku/>
        <w:overflowPunct/>
        <w:bidi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项目名称：</w:t>
      </w:r>
      <w:r>
        <w:rPr>
          <w:rFonts w:hint="eastAsia" w:ascii="宋体" w:hAnsi="宋体" w:cs="宋体"/>
          <w:bCs/>
          <w:color w:val="auto"/>
          <w:sz w:val="24"/>
          <w:szCs w:val="24"/>
          <w:highlight w:val="none"/>
          <w:lang w:val="en-US" w:eastAsia="zh-CN"/>
        </w:rPr>
        <w:t>2024年智慧公卫增效项目</w:t>
      </w:r>
    </w:p>
    <w:p w14:paraId="16E32410">
      <w:pPr>
        <w:pageBreakBefore w:val="0"/>
        <w:shd w:val="clear"/>
        <w:kinsoku/>
        <w:overflowPunct/>
        <w:bidi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采购组织类型：分散采购委托代理</w:t>
      </w:r>
    </w:p>
    <w:p w14:paraId="02F2864A">
      <w:pPr>
        <w:pageBreakBefore w:val="0"/>
        <w:shd w:val="clear"/>
        <w:kinsoku/>
        <w:overflowPunct/>
        <w:bidi w:val="0"/>
        <w:spacing w:line="360" w:lineRule="auto"/>
        <w:ind w:firstLine="480" w:firstLineChars="200"/>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预算金额（元）：</w:t>
      </w:r>
      <w:r>
        <w:rPr>
          <w:rFonts w:hint="eastAsia" w:ascii="宋体" w:hAnsi="宋体" w:cs="宋体"/>
          <w:bCs/>
          <w:color w:val="auto"/>
          <w:sz w:val="24"/>
          <w:szCs w:val="24"/>
          <w:highlight w:val="none"/>
          <w:lang w:val="en-US" w:eastAsia="zh-CN"/>
        </w:rPr>
        <w:t>2800000</w:t>
      </w:r>
    </w:p>
    <w:p w14:paraId="4D74B0E0">
      <w:pPr>
        <w:pageBreakBefore w:val="0"/>
        <w:shd w:val="clear"/>
        <w:kinsoku/>
        <w:overflowPunct/>
        <w:bidi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最高限价（元）：本次招标最高限价为人民币贰佰捌拾万元整（¥2800000.00），任何超过最高限价的报价将被认定为无效报价。（投标报价包含材料、货物运输、配送、验收、送检费、安装、调试、培训、售后服务、税费等与项目建设相关的一切费用）。</w:t>
      </w:r>
    </w:p>
    <w:p w14:paraId="28AC9197">
      <w:pPr>
        <w:pageBreakBefore w:val="0"/>
        <w:shd w:val="clear"/>
        <w:kinsoku/>
        <w:overflowPunct/>
        <w:bidi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采购需求：</w:t>
      </w:r>
      <w:r>
        <w:rPr>
          <w:rFonts w:hint="eastAsia" w:ascii="宋体" w:hAnsi="宋体" w:cs="宋体"/>
          <w:bCs/>
          <w:color w:val="auto"/>
          <w:sz w:val="24"/>
          <w:szCs w:val="24"/>
          <w:highlight w:val="none"/>
          <w:lang w:val="en-US" w:eastAsia="zh-CN"/>
        </w:rPr>
        <w:t>2024年智慧公卫增效项目</w:t>
      </w:r>
      <w:r>
        <w:rPr>
          <w:rFonts w:hint="eastAsia" w:ascii="宋体" w:hAnsi="宋体" w:eastAsia="宋体" w:cs="宋体"/>
          <w:bCs/>
          <w:color w:val="auto"/>
          <w:sz w:val="24"/>
          <w:szCs w:val="24"/>
          <w:highlight w:val="none"/>
          <w:lang w:val="en-US" w:eastAsia="zh-CN"/>
        </w:rPr>
        <w:t>，采购预算金额为人民币</w:t>
      </w:r>
      <w:r>
        <w:rPr>
          <w:rFonts w:hint="eastAsia" w:ascii="宋体" w:hAnsi="宋体" w:cs="宋体"/>
          <w:bCs/>
          <w:color w:val="auto"/>
          <w:sz w:val="24"/>
          <w:szCs w:val="24"/>
          <w:highlight w:val="none"/>
          <w:lang w:val="en-US" w:eastAsia="zh-CN"/>
        </w:rPr>
        <w:t>贰佰捌拾万</w:t>
      </w:r>
      <w:r>
        <w:rPr>
          <w:rFonts w:hint="eastAsia" w:ascii="宋体" w:hAnsi="宋体" w:eastAsia="宋体" w:cs="宋体"/>
          <w:bCs/>
          <w:color w:val="auto"/>
          <w:sz w:val="24"/>
          <w:szCs w:val="24"/>
          <w:highlight w:val="none"/>
          <w:lang w:val="en-US" w:eastAsia="zh-CN"/>
        </w:rPr>
        <w:t>元整（¥</w:t>
      </w:r>
      <w:r>
        <w:rPr>
          <w:rFonts w:hint="eastAsia" w:ascii="宋体" w:hAnsi="宋体" w:cs="宋体"/>
          <w:bCs/>
          <w:color w:val="auto"/>
          <w:sz w:val="24"/>
          <w:szCs w:val="24"/>
          <w:highlight w:val="none"/>
          <w:lang w:val="en-US" w:eastAsia="zh-CN"/>
        </w:rPr>
        <w:t>2800000</w:t>
      </w:r>
      <w:r>
        <w:rPr>
          <w:rFonts w:hint="eastAsia" w:ascii="宋体" w:hAnsi="宋体" w:eastAsia="宋体" w:cs="宋体"/>
          <w:bCs/>
          <w:color w:val="auto"/>
          <w:sz w:val="24"/>
          <w:szCs w:val="24"/>
          <w:highlight w:val="none"/>
          <w:lang w:val="en-US" w:eastAsia="zh-CN"/>
        </w:rPr>
        <w:t>.00），具体详见招标文件第四章采购需求。</w:t>
      </w:r>
    </w:p>
    <w:p w14:paraId="09D377A8">
      <w:pPr>
        <w:pageBreakBefore w:val="0"/>
        <w:shd w:val="clear"/>
        <w:kinsoku/>
        <w:overflowPunct/>
        <w:bidi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采购方式：公开招标</w:t>
      </w:r>
    </w:p>
    <w:p w14:paraId="36942C87">
      <w:pPr>
        <w:pageBreakBefore w:val="0"/>
        <w:shd w:val="clear"/>
        <w:kinsoku/>
        <w:overflowPunct/>
        <w:bidi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评标办法：综合评分法</w:t>
      </w:r>
    </w:p>
    <w:p w14:paraId="301BA1BA">
      <w:pPr>
        <w:pageBreakBefore w:val="0"/>
        <w:shd w:val="clear"/>
        <w:kinsoku/>
        <w:overflowPunct/>
        <w:bidi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合同履约期限：具体详见招标文件第四章采购需求。</w:t>
      </w:r>
    </w:p>
    <w:p w14:paraId="158762DA">
      <w:pPr>
        <w:pageBreakBefore w:val="0"/>
        <w:shd w:val="clear"/>
        <w:kinsoku/>
        <w:overflowPunct/>
        <w:bidi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本项目（否）接受联合体投标。</w:t>
      </w:r>
      <w:bookmarkStart w:id="56" w:name="_GoBack"/>
      <w:bookmarkEnd w:id="56"/>
    </w:p>
    <w:p w14:paraId="0F3150F2">
      <w:pPr>
        <w:pageBreakBefore w:val="0"/>
        <w:shd w:val="clea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bCs w:val="0"/>
          <w:color w:val="auto"/>
          <w:kern w:val="0"/>
          <w:sz w:val="24"/>
          <w:szCs w:val="24"/>
          <w:highlight w:val="none"/>
          <w:lang w:val="en-US" w:eastAsia="zh-CN" w:bidi="ar-SA"/>
        </w:rPr>
        <w:t>二</w:t>
      </w:r>
      <w:bookmarkEnd w:id="5"/>
      <w:bookmarkEnd w:id="6"/>
      <w:bookmarkEnd w:id="7"/>
      <w:bookmarkEnd w:id="8"/>
      <w:r>
        <w:rPr>
          <w:rFonts w:hint="eastAsia" w:ascii="宋体" w:hAnsi="宋体" w:eastAsia="宋体" w:cs="宋体"/>
          <w:b/>
          <w:color w:val="auto"/>
          <w:sz w:val="24"/>
          <w:szCs w:val="24"/>
          <w:highlight w:val="none"/>
        </w:rPr>
        <w:t>、申请人的资格要求：</w:t>
      </w:r>
    </w:p>
    <w:p w14:paraId="2CA62666">
      <w:pPr>
        <w:adjustRightInd w:val="0"/>
        <w:snapToGrid w:val="0"/>
        <w:spacing w:line="360" w:lineRule="auto"/>
        <w:ind w:firstLine="480" w:firstLineChars="200"/>
        <w:rPr>
          <w:rFonts w:hint="eastAsia" w:ascii="宋体" w:hAnsi="宋体" w:eastAsia="宋体" w:cs="宋体"/>
          <w:color w:val="auto"/>
          <w:sz w:val="24"/>
          <w:szCs w:val="24"/>
          <w:highlight w:val="none"/>
        </w:rPr>
      </w:pPr>
      <w:bookmarkStart w:id="9" w:name="_Toc35393623"/>
      <w:bookmarkStart w:id="10" w:name="_Toc35393792"/>
      <w:r>
        <w:rPr>
          <w:rFonts w:hint="eastAsia" w:ascii="宋体" w:hAnsi="宋体" w:eastAsia="宋体" w:cs="宋体"/>
          <w:color w:val="auto"/>
          <w:sz w:val="24"/>
          <w:szCs w:val="24"/>
          <w:highlight w:val="none"/>
        </w:rPr>
        <w:t>1、满足《中华人民共和国政府采购法》第二十二条规定；</w:t>
      </w:r>
    </w:p>
    <w:p w14:paraId="1C6C54AE">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2、未被“信用中国”（www.creditchina.gov.cn）、中国政府采购网（www.ccgp.gov.cn）列入失信被执行人、重大税收违法案件当事人名单、政府采购严重违法失信行为记录名单；</w:t>
      </w:r>
    </w:p>
    <w:p w14:paraId="0FE845CA">
      <w:pPr>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3、具有本项目实施能力，且具有良好信誉的</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eastAsia="zh-CN"/>
        </w:rPr>
        <w:t>。</w:t>
      </w:r>
    </w:p>
    <w:p w14:paraId="45F07A7D">
      <w:pPr>
        <w:pStyle w:val="4"/>
        <w:keepNext/>
        <w:keepLines/>
        <w:pageBreakBefore w:val="0"/>
        <w:widowControl w:val="0"/>
        <w:shd w:val="clear"/>
        <w:kinsoku/>
        <w:wordWrap/>
        <w:overflowPunct/>
        <w:topLinePunct w:val="0"/>
        <w:autoSpaceDE/>
        <w:autoSpaceDN/>
        <w:bidi w:val="0"/>
        <w:adjustRightInd/>
        <w:snapToGrid/>
        <w:spacing w:before="0" w:beforeLines="0" w:after="0" w:afterLines="0" w:line="360" w:lineRule="auto"/>
        <w:ind w:firstLine="482" w:firstLineChars="200"/>
        <w:textAlignment w:val="auto"/>
        <w:rPr>
          <w:rFonts w:hint="eastAsia" w:ascii="宋体" w:hAnsi="宋体" w:eastAsia="宋体" w:cs="宋体"/>
          <w:b/>
          <w:bCs w:val="0"/>
          <w:color w:val="auto"/>
          <w:kern w:val="0"/>
          <w:sz w:val="24"/>
          <w:szCs w:val="24"/>
          <w:highlight w:val="none"/>
          <w:lang w:val="en-US" w:eastAsia="zh-CN" w:bidi="ar-SA"/>
        </w:rPr>
      </w:pPr>
      <w:r>
        <w:rPr>
          <w:rFonts w:hint="eastAsia" w:ascii="宋体" w:hAnsi="宋体" w:eastAsia="宋体" w:cs="宋体"/>
          <w:b/>
          <w:bCs w:val="0"/>
          <w:color w:val="auto"/>
          <w:kern w:val="0"/>
          <w:sz w:val="24"/>
          <w:szCs w:val="24"/>
          <w:highlight w:val="none"/>
          <w:lang w:val="en-US" w:eastAsia="zh-CN" w:bidi="ar-SA"/>
        </w:rPr>
        <w:t>三、获取招标文件</w:t>
      </w:r>
      <w:bookmarkEnd w:id="9"/>
      <w:bookmarkEnd w:id="10"/>
    </w:p>
    <w:p w14:paraId="35BCA646">
      <w:pPr>
        <w:pStyle w:val="18"/>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firstLine="555"/>
        <w:textAlignment w:val="auto"/>
        <w:rPr>
          <w:rStyle w:val="23"/>
          <w:rFonts w:hint="eastAsia" w:ascii="宋体" w:hAnsi="宋体" w:eastAsia="宋体" w:cs="宋体"/>
          <w:b w:val="0"/>
          <w:color w:val="auto"/>
          <w:sz w:val="24"/>
          <w:szCs w:val="24"/>
          <w:highlight w:val="none"/>
          <w:shd w:val="clear" w:color="auto" w:fill="FFFFFF"/>
        </w:rPr>
      </w:pPr>
      <w:r>
        <w:rPr>
          <w:rStyle w:val="23"/>
          <w:rFonts w:hint="eastAsia" w:ascii="宋体" w:hAnsi="宋体" w:eastAsia="宋体" w:cs="宋体"/>
          <w:b w:val="0"/>
          <w:color w:val="auto"/>
          <w:sz w:val="24"/>
          <w:szCs w:val="24"/>
          <w:highlight w:val="none"/>
          <w:shd w:val="clear" w:color="auto" w:fill="FFFFFF"/>
        </w:rPr>
        <w:t>时间</w:t>
      </w:r>
      <w:r>
        <w:rPr>
          <w:rStyle w:val="23"/>
          <w:rFonts w:hint="eastAsia" w:ascii="宋体" w:hAnsi="宋体" w:eastAsia="宋体" w:cs="宋体"/>
          <w:b w:val="0"/>
          <w:color w:val="auto"/>
          <w:sz w:val="24"/>
          <w:szCs w:val="24"/>
          <w:highlight w:val="none"/>
          <w:shd w:val="clear" w:color="auto" w:fill="FFFFFF"/>
          <w:lang w:eastAsia="zh-CN"/>
        </w:rPr>
        <w:t>：</w:t>
      </w:r>
      <w:r>
        <w:rPr>
          <w:rStyle w:val="23"/>
          <w:rFonts w:hint="eastAsia" w:ascii="宋体" w:hAnsi="宋体" w:eastAsia="宋体" w:cs="宋体"/>
          <w:b w:val="0"/>
          <w:color w:val="auto"/>
          <w:sz w:val="24"/>
          <w:szCs w:val="24"/>
          <w:highlight w:val="none"/>
          <w:u w:val="single"/>
          <w:shd w:val="clear" w:color="auto" w:fill="FFFFFF"/>
          <w:lang w:val="en-US" w:eastAsia="zh-CN"/>
        </w:rPr>
        <w:t xml:space="preserve"> </w:t>
      </w:r>
      <w:r>
        <w:rPr>
          <w:rStyle w:val="23"/>
          <w:rFonts w:hint="eastAsia" w:eastAsia="宋体" w:cs="宋体"/>
          <w:b w:val="0"/>
          <w:color w:val="auto"/>
          <w:sz w:val="24"/>
          <w:szCs w:val="24"/>
          <w:highlight w:val="none"/>
          <w:u w:val="single"/>
          <w:shd w:val="clear" w:color="auto" w:fill="FFFFFF"/>
          <w:lang w:val="en-US" w:eastAsia="zh-CN"/>
        </w:rPr>
        <w:t>（招标公告发布之日起）</w:t>
      </w:r>
      <w:r>
        <w:rPr>
          <w:rStyle w:val="23"/>
          <w:rFonts w:hint="eastAsia" w:ascii="宋体" w:hAnsi="宋体" w:eastAsia="宋体" w:cs="宋体"/>
          <w:b w:val="0"/>
          <w:color w:val="auto"/>
          <w:sz w:val="24"/>
          <w:szCs w:val="24"/>
          <w:highlight w:val="none"/>
          <w:u w:val="single"/>
          <w:shd w:val="clear" w:color="auto" w:fill="FFFFFF"/>
          <w:lang w:val="en-US" w:eastAsia="zh-CN"/>
        </w:rPr>
        <w:t xml:space="preserve"> </w:t>
      </w:r>
      <w:r>
        <w:rPr>
          <w:rStyle w:val="23"/>
          <w:rFonts w:hint="eastAsia" w:ascii="宋体" w:hAnsi="宋体" w:eastAsia="宋体" w:cs="宋体"/>
          <w:b w:val="0"/>
          <w:color w:val="auto"/>
          <w:sz w:val="24"/>
          <w:szCs w:val="24"/>
          <w:highlight w:val="none"/>
          <w:shd w:val="clear" w:color="auto" w:fill="FFFFFF"/>
          <w:lang w:eastAsia="zh-CN"/>
        </w:rPr>
        <w:t>至202</w:t>
      </w:r>
      <w:r>
        <w:rPr>
          <w:rStyle w:val="23"/>
          <w:rFonts w:hint="eastAsia" w:ascii="宋体" w:hAnsi="宋体" w:eastAsia="宋体" w:cs="宋体"/>
          <w:b w:val="0"/>
          <w:color w:val="auto"/>
          <w:sz w:val="24"/>
          <w:szCs w:val="24"/>
          <w:highlight w:val="none"/>
          <w:shd w:val="clear" w:color="auto" w:fill="FFFFFF"/>
          <w:lang w:val="en-US" w:eastAsia="zh-CN"/>
        </w:rPr>
        <w:t>4</w:t>
      </w:r>
      <w:r>
        <w:rPr>
          <w:rStyle w:val="23"/>
          <w:rFonts w:hint="eastAsia" w:ascii="宋体" w:hAnsi="宋体" w:eastAsia="宋体" w:cs="宋体"/>
          <w:b w:val="0"/>
          <w:color w:val="auto"/>
          <w:sz w:val="24"/>
          <w:szCs w:val="24"/>
          <w:highlight w:val="none"/>
          <w:shd w:val="clear" w:color="auto" w:fill="FFFFFF"/>
          <w:lang w:eastAsia="zh-CN"/>
        </w:rPr>
        <w:t>年</w:t>
      </w:r>
      <w:r>
        <w:rPr>
          <w:rStyle w:val="23"/>
          <w:rFonts w:hint="eastAsia" w:eastAsia="宋体" w:cs="宋体"/>
          <w:b w:val="0"/>
          <w:color w:val="auto"/>
          <w:sz w:val="24"/>
          <w:szCs w:val="24"/>
          <w:highlight w:val="none"/>
          <w:shd w:val="clear" w:color="auto" w:fill="FFFFFF"/>
          <w:lang w:val="en-US" w:eastAsia="zh-CN"/>
        </w:rPr>
        <w:t>12</w:t>
      </w:r>
      <w:r>
        <w:rPr>
          <w:rStyle w:val="23"/>
          <w:rFonts w:hint="eastAsia" w:ascii="宋体" w:hAnsi="宋体" w:eastAsia="宋体" w:cs="宋体"/>
          <w:b w:val="0"/>
          <w:color w:val="auto"/>
          <w:sz w:val="24"/>
          <w:szCs w:val="24"/>
          <w:highlight w:val="none"/>
          <w:shd w:val="clear" w:color="auto" w:fill="FFFFFF"/>
          <w:lang w:eastAsia="zh-CN"/>
        </w:rPr>
        <w:t>月</w:t>
      </w:r>
      <w:r>
        <w:rPr>
          <w:rStyle w:val="23"/>
          <w:rFonts w:hint="eastAsia" w:eastAsia="宋体" w:cs="宋体"/>
          <w:b w:val="0"/>
          <w:color w:val="auto"/>
          <w:sz w:val="24"/>
          <w:szCs w:val="24"/>
          <w:highlight w:val="none"/>
          <w:shd w:val="clear" w:color="auto" w:fill="FFFFFF"/>
          <w:lang w:val="en-US" w:eastAsia="zh-CN"/>
        </w:rPr>
        <w:t>20日</w:t>
      </w:r>
      <w:r>
        <w:rPr>
          <w:rStyle w:val="23"/>
          <w:rFonts w:hint="eastAsia" w:ascii="宋体" w:hAnsi="宋体" w:eastAsia="宋体" w:cs="宋体"/>
          <w:b w:val="0"/>
          <w:color w:val="auto"/>
          <w:sz w:val="24"/>
          <w:szCs w:val="24"/>
          <w:highlight w:val="none"/>
          <w:shd w:val="clear" w:color="auto" w:fill="FFFFFF"/>
          <w:lang w:eastAsia="zh-CN"/>
        </w:rPr>
        <w:t>，每天上午00:00至12:00，下午12:00至24:00（北京时间）</w:t>
      </w:r>
    </w:p>
    <w:p w14:paraId="71793F55">
      <w:pPr>
        <w:pStyle w:val="18"/>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firstLine="555"/>
        <w:textAlignment w:val="auto"/>
        <w:rPr>
          <w:rStyle w:val="23"/>
          <w:rFonts w:hint="eastAsia" w:ascii="宋体" w:hAnsi="宋体" w:eastAsia="宋体" w:cs="宋体"/>
          <w:b w:val="0"/>
          <w:color w:val="auto"/>
          <w:sz w:val="24"/>
          <w:szCs w:val="24"/>
          <w:highlight w:val="none"/>
          <w:shd w:val="clear" w:color="auto" w:fill="FFFFFF"/>
        </w:rPr>
      </w:pPr>
      <w:r>
        <w:rPr>
          <w:rStyle w:val="23"/>
          <w:rFonts w:hint="eastAsia" w:ascii="宋体" w:hAnsi="宋体" w:eastAsia="宋体" w:cs="宋体"/>
          <w:b w:val="0"/>
          <w:color w:val="auto"/>
          <w:sz w:val="24"/>
          <w:szCs w:val="24"/>
          <w:highlight w:val="none"/>
          <w:shd w:val="clear" w:color="auto" w:fill="FFFFFF"/>
        </w:rPr>
        <w:t>地点：乐采云平台线上获取</w:t>
      </w:r>
    </w:p>
    <w:p w14:paraId="766B5D05">
      <w:pPr>
        <w:pStyle w:val="18"/>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firstLine="555"/>
        <w:textAlignment w:val="auto"/>
        <w:rPr>
          <w:rStyle w:val="23"/>
          <w:rFonts w:hint="eastAsia" w:ascii="宋体" w:hAnsi="宋体" w:eastAsia="宋体" w:cs="宋体"/>
          <w:b w:val="0"/>
          <w:color w:val="auto"/>
          <w:sz w:val="24"/>
          <w:szCs w:val="24"/>
          <w:highlight w:val="none"/>
          <w:shd w:val="clear" w:color="auto" w:fill="FFFFFF"/>
        </w:rPr>
      </w:pPr>
      <w:r>
        <w:rPr>
          <w:rStyle w:val="23"/>
          <w:rFonts w:hint="eastAsia" w:ascii="宋体" w:hAnsi="宋体" w:eastAsia="宋体" w:cs="宋体"/>
          <w:b w:val="0"/>
          <w:color w:val="auto"/>
          <w:sz w:val="24"/>
          <w:szCs w:val="24"/>
          <w:highlight w:val="none"/>
          <w:shd w:val="clear" w:color="auto" w:fill="FFFFFF"/>
        </w:rPr>
        <w:t>方式：潜在供应商登录乐采云平台，在线申请获取招标文件。进入“项目采购”应用，在获取招标文件菜单中选择项目，申请获取招标文件（仅需浏览招标文件的供应商可点击“游客，浏览招标文件”直接下载招标文件浏览）。</w:t>
      </w:r>
    </w:p>
    <w:p w14:paraId="37E8F15D">
      <w:pPr>
        <w:pStyle w:val="4"/>
        <w:keepNext/>
        <w:keepLines/>
        <w:pageBreakBefore w:val="0"/>
        <w:widowControl w:val="0"/>
        <w:shd w:val="clear"/>
        <w:kinsoku/>
        <w:wordWrap/>
        <w:overflowPunct/>
        <w:topLinePunct w:val="0"/>
        <w:autoSpaceDE/>
        <w:autoSpaceDN/>
        <w:bidi w:val="0"/>
        <w:adjustRightInd/>
        <w:snapToGrid/>
        <w:spacing w:before="0" w:beforeLines="0" w:after="0" w:afterLines="0" w:line="360" w:lineRule="auto"/>
        <w:ind w:firstLine="482" w:firstLineChars="200"/>
        <w:textAlignment w:val="auto"/>
        <w:rPr>
          <w:rFonts w:hint="eastAsia" w:ascii="宋体" w:hAnsi="宋体" w:eastAsia="宋体" w:cs="宋体"/>
          <w:b/>
          <w:bCs w:val="0"/>
          <w:color w:val="auto"/>
          <w:kern w:val="0"/>
          <w:sz w:val="24"/>
          <w:szCs w:val="24"/>
          <w:highlight w:val="none"/>
          <w:lang w:val="en-US" w:eastAsia="zh-CN" w:bidi="ar-SA"/>
        </w:rPr>
      </w:pPr>
      <w:bookmarkStart w:id="11" w:name="_Toc28359082"/>
      <w:bookmarkStart w:id="12" w:name="_Toc28359005"/>
      <w:bookmarkStart w:id="13" w:name="_Toc35393793"/>
      <w:bookmarkStart w:id="14" w:name="_Toc35393624"/>
      <w:r>
        <w:rPr>
          <w:rFonts w:hint="eastAsia" w:ascii="宋体" w:hAnsi="宋体" w:eastAsia="宋体" w:cs="宋体"/>
          <w:b/>
          <w:bCs w:val="0"/>
          <w:color w:val="auto"/>
          <w:kern w:val="0"/>
          <w:sz w:val="24"/>
          <w:szCs w:val="24"/>
          <w:highlight w:val="none"/>
          <w:lang w:val="en-US" w:eastAsia="zh-CN" w:bidi="ar-SA"/>
        </w:rPr>
        <w:t>四、提交投标文件</w:t>
      </w:r>
      <w:bookmarkEnd w:id="11"/>
      <w:bookmarkEnd w:id="12"/>
      <w:r>
        <w:rPr>
          <w:rFonts w:hint="eastAsia" w:ascii="宋体" w:hAnsi="宋体" w:eastAsia="宋体" w:cs="宋体"/>
          <w:b/>
          <w:bCs w:val="0"/>
          <w:color w:val="auto"/>
          <w:kern w:val="0"/>
          <w:sz w:val="24"/>
          <w:szCs w:val="24"/>
          <w:highlight w:val="none"/>
          <w:lang w:val="en-US" w:eastAsia="zh-CN" w:bidi="ar-SA"/>
        </w:rPr>
        <w:t>截止时间、开标时间和地点</w:t>
      </w:r>
      <w:bookmarkEnd w:id="13"/>
      <w:bookmarkEnd w:id="14"/>
    </w:p>
    <w:p w14:paraId="2A8324B9">
      <w:pPr>
        <w:pStyle w:val="18"/>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firstLine="480" w:firstLineChars="200"/>
        <w:textAlignment w:val="auto"/>
        <w:rPr>
          <w:rStyle w:val="23"/>
          <w:rFonts w:hint="eastAsia" w:ascii="宋体" w:hAnsi="宋体" w:eastAsia="宋体" w:cs="宋体"/>
          <w:b w:val="0"/>
          <w:color w:val="auto"/>
          <w:sz w:val="24"/>
          <w:szCs w:val="24"/>
          <w:highlight w:val="none"/>
          <w:shd w:val="clear" w:color="auto" w:fill="FFFFFF"/>
        </w:rPr>
      </w:pPr>
      <w:r>
        <w:rPr>
          <w:rStyle w:val="23"/>
          <w:rFonts w:hint="eastAsia" w:ascii="宋体" w:hAnsi="宋体" w:eastAsia="宋体" w:cs="宋体"/>
          <w:b w:val="0"/>
          <w:color w:val="auto"/>
          <w:sz w:val="24"/>
          <w:szCs w:val="24"/>
          <w:highlight w:val="none"/>
          <w:shd w:val="clear" w:color="auto" w:fill="FFFFFF"/>
        </w:rPr>
        <w:t>提交投标文件截止时间：</w:t>
      </w:r>
      <w:r>
        <w:rPr>
          <w:rFonts w:hint="eastAsia" w:ascii="宋体" w:hAnsi="宋体" w:eastAsia="宋体" w:cs="宋体"/>
          <w:b w:val="0"/>
          <w:bCs w:val="0"/>
          <w:i w:val="0"/>
          <w:iCs w:val="0"/>
          <w:color w:val="auto"/>
          <w:sz w:val="24"/>
          <w:szCs w:val="24"/>
          <w:highlight w:val="none"/>
          <w:u w:val="single"/>
          <w:shd w:val="clear" w:color="auto" w:fill="FFFFFF"/>
          <w:lang w:eastAsia="zh-CN"/>
        </w:rPr>
        <w:t>202</w:t>
      </w:r>
      <w:r>
        <w:rPr>
          <w:rFonts w:hint="eastAsia" w:ascii="宋体" w:hAnsi="宋体" w:eastAsia="宋体" w:cs="宋体"/>
          <w:b w:val="0"/>
          <w:bCs w:val="0"/>
          <w:i w:val="0"/>
          <w:iCs w:val="0"/>
          <w:color w:val="auto"/>
          <w:sz w:val="24"/>
          <w:szCs w:val="24"/>
          <w:highlight w:val="none"/>
          <w:u w:val="single"/>
          <w:shd w:val="clear" w:color="auto" w:fill="FFFFFF"/>
          <w:lang w:val="en-US" w:eastAsia="zh-CN"/>
        </w:rPr>
        <w:t>4</w:t>
      </w:r>
      <w:r>
        <w:rPr>
          <w:rFonts w:hint="eastAsia" w:ascii="宋体" w:hAnsi="宋体" w:eastAsia="宋体" w:cs="宋体"/>
          <w:b w:val="0"/>
          <w:bCs w:val="0"/>
          <w:i w:val="0"/>
          <w:iCs w:val="0"/>
          <w:color w:val="auto"/>
          <w:sz w:val="24"/>
          <w:szCs w:val="24"/>
          <w:highlight w:val="none"/>
          <w:u w:val="single"/>
          <w:shd w:val="clear" w:color="auto" w:fill="FFFFFF"/>
          <w:lang w:eastAsia="zh-CN"/>
        </w:rPr>
        <w:t>年</w:t>
      </w:r>
      <w:r>
        <w:rPr>
          <w:rFonts w:hint="eastAsia" w:eastAsia="宋体" w:cs="宋体"/>
          <w:b w:val="0"/>
          <w:bCs w:val="0"/>
          <w:i w:val="0"/>
          <w:iCs w:val="0"/>
          <w:color w:val="auto"/>
          <w:sz w:val="24"/>
          <w:szCs w:val="24"/>
          <w:highlight w:val="none"/>
          <w:u w:val="single"/>
          <w:shd w:val="clear" w:color="auto" w:fill="FFFFFF"/>
          <w:lang w:val="en-US" w:eastAsia="zh-CN"/>
        </w:rPr>
        <w:t>12</w:t>
      </w:r>
      <w:r>
        <w:rPr>
          <w:rFonts w:hint="eastAsia" w:ascii="宋体" w:hAnsi="宋体" w:eastAsia="宋体" w:cs="宋体"/>
          <w:b w:val="0"/>
          <w:bCs w:val="0"/>
          <w:i w:val="0"/>
          <w:iCs w:val="0"/>
          <w:color w:val="auto"/>
          <w:sz w:val="24"/>
          <w:szCs w:val="24"/>
          <w:highlight w:val="none"/>
          <w:u w:val="single"/>
          <w:shd w:val="clear" w:color="auto" w:fill="FFFFFF"/>
          <w:lang w:eastAsia="zh-CN"/>
        </w:rPr>
        <w:t>月</w:t>
      </w:r>
      <w:r>
        <w:rPr>
          <w:rFonts w:hint="eastAsia" w:eastAsia="宋体" w:cs="宋体"/>
          <w:b w:val="0"/>
          <w:bCs w:val="0"/>
          <w:i w:val="0"/>
          <w:iCs w:val="0"/>
          <w:color w:val="auto"/>
          <w:sz w:val="24"/>
          <w:szCs w:val="24"/>
          <w:highlight w:val="none"/>
          <w:u w:val="single"/>
          <w:shd w:val="clear" w:color="auto" w:fill="FFFFFF"/>
          <w:lang w:val="en-US" w:eastAsia="zh-CN"/>
        </w:rPr>
        <w:t>20日</w:t>
      </w:r>
      <w:r>
        <w:rPr>
          <w:rFonts w:hint="eastAsia" w:ascii="宋体" w:hAnsi="宋体" w:eastAsia="宋体" w:cs="宋体"/>
          <w:b w:val="0"/>
          <w:bCs w:val="0"/>
          <w:i w:val="0"/>
          <w:iCs w:val="0"/>
          <w:color w:val="auto"/>
          <w:sz w:val="24"/>
          <w:szCs w:val="24"/>
          <w:highlight w:val="none"/>
          <w:u w:val="single"/>
          <w:shd w:val="clear" w:color="auto" w:fill="FFFFFF"/>
          <w:lang w:val="en-US" w:eastAsia="zh-CN"/>
        </w:rPr>
        <w:t>14</w:t>
      </w:r>
      <w:r>
        <w:rPr>
          <w:rFonts w:hint="eastAsia" w:ascii="宋体" w:hAnsi="宋体" w:eastAsia="宋体" w:cs="宋体"/>
          <w:b w:val="0"/>
          <w:bCs w:val="0"/>
          <w:i w:val="0"/>
          <w:iCs w:val="0"/>
          <w:color w:val="auto"/>
          <w:sz w:val="24"/>
          <w:szCs w:val="24"/>
          <w:highlight w:val="none"/>
          <w:u w:val="single"/>
          <w:shd w:val="clear" w:color="auto" w:fill="FFFFFF"/>
          <w:lang w:eastAsia="zh-CN"/>
        </w:rPr>
        <w:t>:30时</w:t>
      </w:r>
      <w:r>
        <w:rPr>
          <w:rStyle w:val="23"/>
          <w:rFonts w:hint="eastAsia" w:ascii="宋体" w:hAnsi="宋体" w:eastAsia="宋体" w:cs="宋体"/>
          <w:b w:val="0"/>
          <w:color w:val="auto"/>
          <w:sz w:val="24"/>
          <w:szCs w:val="24"/>
          <w:highlight w:val="none"/>
          <w:shd w:val="clear" w:color="auto" w:fill="FFFFFF"/>
        </w:rPr>
        <w:t>（北京时间）</w:t>
      </w:r>
    </w:p>
    <w:p w14:paraId="260E39F7">
      <w:pPr>
        <w:pStyle w:val="18"/>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firstLine="480" w:firstLineChars="200"/>
        <w:textAlignment w:val="auto"/>
        <w:rPr>
          <w:rFonts w:hint="eastAsia" w:ascii="宋体" w:hAnsi="宋体" w:eastAsia="宋体" w:cs="宋体"/>
          <w:color w:val="auto"/>
          <w:sz w:val="24"/>
          <w:szCs w:val="24"/>
          <w:highlight w:val="none"/>
        </w:rPr>
      </w:pPr>
      <w:r>
        <w:rPr>
          <w:rStyle w:val="23"/>
          <w:rFonts w:hint="eastAsia" w:ascii="宋体" w:hAnsi="宋体" w:eastAsia="宋体" w:cs="宋体"/>
          <w:b w:val="0"/>
          <w:color w:val="auto"/>
          <w:sz w:val="24"/>
          <w:szCs w:val="24"/>
          <w:highlight w:val="none"/>
          <w:shd w:val="clear" w:color="auto" w:fill="FFFFFF"/>
        </w:rPr>
        <w:t>投标地点（网址）：</w:t>
      </w:r>
      <w:r>
        <w:rPr>
          <w:rFonts w:hint="eastAsia" w:ascii="宋体" w:hAnsi="宋体" w:eastAsia="宋体" w:cs="宋体"/>
          <w:color w:val="auto"/>
          <w:sz w:val="24"/>
          <w:szCs w:val="24"/>
          <w:highlight w:val="none"/>
        </w:rPr>
        <w:t>投标人应于</w:t>
      </w:r>
      <w:r>
        <w:rPr>
          <w:rFonts w:hint="eastAsia" w:ascii="宋体" w:hAnsi="宋体" w:eastAsia="宋体" w:cs="宋体"/>
          <w:b w:val="0"/>
          <w:bCs w:val="0"/>
          <w:i w:val="0"/>
          <w:iCs w:val="0"/>
          <w:color w:val="auto"/>
          <w:sz w:val="24"/>
          <w:szCs w:val="24"/>
          <w:highlight w:val="none"/>
          <w:u w:val="single"/>
          <w:shd w:val="clear" w:color="auto" w:fill="FFFFFF"/>
          <w:lang w:eastAsia="zh-CN"/>
        </w:rPr>
        <w:t>202</w:t>
      </w:r>
      <w:r>
        <w:rPr>
          <w:rFonts w:hint="eastAsia" w:ascii="宋体" w:hAnsi="宋体" w:eastAsia="宋体" w:cs="宋体"/>
          <w:b w:val="0"/>
          <w:bCs w:val="0"/>
          <w:i w:val="0"/>
          <w:iCs w:val="0"/>
          <w:color w:val="auto"/>
          <w:sz w:val="24"/>
          <w:szCs w:val="24"/>
          <w:highlight w:val="none"/>
          <w:u w:val="single"/>
          <w:shd w:val="clear" w:color="auto" w:fill="FFFFFF"/>
          <w:lang w:val="en-US" w:eastAsia="zh-CN"/>
        </w:rPr>
        <w:t>4</w:t>
      </w:r>
      <w:r>
        <w:rPr>
          <w:rFonts w:hint="eastAsia" w:ascii="宋体" w:hAnsi="宋体" w:eastAsia="宋体" w:cs="宋体"/>
          <w:b w:val="0"/>
          <w:bCs w:val="0"/>
          <w:i w:val="0"/>
          <w:iCs w:val="0"/>
          <w:color w:val="auto"/>
          <w:sz w:val="24"/>
          <w:szCs w:val="24"/>
          <w:highlight w:val="none"/>
          <w:u w:val="single"/>
          <w:shd w:val="clear" w:color="auto" w:fill="FFFFFF"/>
          <w:lang w:eastAsia="zh-CN"/>
        </w:rPr>
        <w:t>年</w:t>
      </w:r>
      <w:r>
        <w:rPr>
          <w:rFonts w:hint="eastAsia" w:eastAsia="宋体" w:cs="宋体"/>
          <w:b w:val="0"/>
          <w:bCs w:val="0"/>
          <w:i w:val="0"/>
          <w:iCs w:val="0"/>
          <w:color w:val="auto"/>
          <w:sz w:val="24"/>
          <w:szCs w:val="24"/>
          <w:highlight w:val="none"/>
          <w:u w:val="single"/>
          <w:shd w:val="clear" w:color="auto" w:fill="FFFFFF"/>
          <w:lang w:val="en-US" w:eastAsia="zh-CN"/>
        </w:rPr>
        <w:t>12</w:t>
      </w:r>
      <w:r>
        <w:rPr>
          <w:rFonts w:hint="eastAsia" w:ascii="宋体" w:hAnsi="宋体" w:eastAsia="宋体" w:cs="宋体"/>
          <w:b w:val="0"/>
          <w:bCs w:val="0"/>
          <w:i w:val="0"/>
          <w:iCs w:val="0"/>
          <w:color w:val="auto"/>
          <w:sz w:val="24"/>
          <w:szCs w:val="24"/>
          <w:highlight w:val="none"/>
          <w:u w:val="single"/>
          <w:shd w:val="clear" w:color="auto" w:fill="FFFFFF"/>
          <w:lang w:eastAsia="zh-CN"/>
        </w:rPr>
        <w:t>月</w:t>
      </w:r>
      <w:r>
        <w:rPr>
          <w:rFonts w:hint="eastAsia" w:eastAsia="宋体" w:cs="宋体"/>
          <w:b w:val="0"/>
          <w:bCs w:val="0"/>
          <w:i w:val="0"/>
          <w:iCs w:val="0"/>
          <w:color w:val="auto"/>
          <w:sz w:val="24"/>
          <w:szCs w:val="24"/>
          <w:highlight w:val="none"/>
          <w:u w:val="single"/>
          <w:shd w:val="clear" w:color="auto" w:fill="FFFFFF"/>
          <w:lang w:val="en-US" w:eastAsia="zh-CN"/>
        </w:rPr>
        <w:t>20日</w:t>
      </w:r>
      <w:r>
        <w:rPr>
          <w:rFonts w:hint="eastAsia" w:ascii="宋体" w:hAnsi="宋体" w:eastAsia="宋体" w:cs="宋体"/>
          <w:b w:val="0"/>
          <w:bCs w:val="0"/>
          <w:i w:val="0"/>
          <w:iCs w:val="0"/>
          <w:color w:val="auto"/>
          <w:sz w:val="24"/>
          <w:szCs w:val="24"/>
          <w:highlight w:val="none"/>
          <w:u w:val="single"/>
          <w:shd w:val="clear" w:color="auto" w:fill="FFFFFF"/>
          <w:lang w:val="en-US" w:eastAsia="zh-CN"/>
        </w:rPr>
        <w:t>14</w:t>
      </w:r>
      <w:r>
        <w:rPr>
          <w:rFonts w:hint="eastAsia" w:ascii="宋体" w:hAnsi="宋体" w:eastAsia="宋体" w:cs="宋体"/>
          <w:b w:val="0"/>
          <w:bCs w:val="0"/>
          <w:i w:val="0"/>
          <w:iCs w:val="0"/>
          <w:color w:val="auto"/>
          <w:sz w:val="24"/>
          <w:szCs w:val="24"/>
          <w:highlight w:val="none"/>
          <w:u w:val="single"/>
          <w:shd w:val="clear" w:color="auto" w:fill="FFFFFF"/>
          <w:lang w:eastAsia="zh-CN"/>
        </w:rPr>
        <w:t>:30时</w:t>
      </w:r>
      <w:r>
        <w:rPr>
          <w:rFonts w:hint="eastAsia" w:ascii="宋体" w:hAnsi="宋体" w:eastAsia="宋体" w:cs="宋体"/>
          <w:color w:val="auto"/>
          <w:sz w:val="24"/>
          <w:szCs w:val="24"/>
          <w:highlight w:val="none"/>
        </w:rPr>
        <w:t>整之前将电子投标文件上传到“</w:t>
      </w:r>
      <w:r>
        <w:rPr>
          <w:rFonts w:hint="eastAsia" w:ascii="宋体" w:hAnsi="宋体" w:eastAsia="宋体" w:cs="宋体"/>
          <w:color w:val="auto"/>
          <w:sz w:val="24"/>
          <w:szCs w:val="24"/>
          <w:highlight w:val="none"/>
          <w:lang w:eastAsia="zh-CN"/>
        </w:rPr>
        <w:t>乐采云</w:t>
      </w:r>
      <w:r>
        <w:rPr>
          <w:rFonts w:hint="eastAsia" w:ascii="宋体" w:hAnsi="宋体" w:eastAsia="宋体" w:cs="宋体"/>
          <w:color w:val="auto"/>
          <w:sz w:val="24"/>
          <w:szCs w:val="24"/>
          <w:highlight w:val="none"/>
        </w:rPr>
        <w:t>”平台，逾期上传不予接收。</w:t>
      </w:r>
    </w:p>
    <w:p w14:paraId="203B4B05">
      <w:pPr>
        <w:pStyle w:val="18"/>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firstLine="480" w:firstLineChars="200"/>
        <w:textAlignment w:val="auto"/>
        <w:rPr>
          <w:rStyle w:val="23"/>
          <w:rFonts w:hint="eastAsia" w:ascii="宋体" w:hAnsi="宋体" w:eastAsia="宋体" w:cs="宋体"/>
          <w:b w:val="0"/>
          <w:color w:val="auto"/>
          <w:sz w:val="24"/>
          <w:szCs w:val="24"/>
          <w:highlight w:val="none"/>
          <w:shd w:val="clear" w:color="auto" w:fill="FFFFFF"/>
        </w:rPr>
      </w:pPr>
      <w:r>
        <w:rPr>
          <w:rStyle w:val="23"/>
          <w:rFonts w:hint="eastAsia" w:ascii="宋体" w:hAnsi="宋体" w:eastAsia="宋体" w:cs="宋体"/>
          <w:b w:val="0"/>
          <w:color w:val="auto"/>
          <w:sz w:val="24"/>
          <w:szCs w:val="24"/>
          <w:highlight w:val="none"/>
          <w:shd w:val="clear" w:color="auto" w:fill="FFFFFF"/>
        </w:rPr>
        <w:t>开标时间：</w:t>
      </w:r>
      <w:r>
        <w:rPr>
          <w:rFonts w:hint="eastAsia" w:ascii="宋体" w:hAnsi="宋体" w:eastAsia="宋体" w:cs="宋体"/>
          <w:b w:val="0"/>
          <w:bCs w:val="0"/>
          <w:i w:val="0"/>
          <w:iCs w:val="0"/>
          <w:color w:val="auto"/>
          <w:sz w:val="24"/>
          <w:szCs w:val="24"/>
          <w:highlight w:val="none"/>
          <w:u w:val="single"/>
          <w:shd w:val="clear" w:color="auto" w:fill="FFFFFF"/>
          <w:lang w:eastAsia="zh-CN"/>
        </w:rPr>
        <w:t>202</w:t>
      </w:r>
      <w:r>
        <w:rPr>
          <w:rFonts w:hint="eastAsia" w:ascii="宋体" w:hAnsi="宋体" w:eastAsia="宋体" w:cs="宋体"/>
          <w:b w:val="0"/>
          <w:bCs w:val="0"/>
          <w:i w:val="0"/>
          <w:iCs w:val="0"/>
          <w:color w:val="auto"/>
          <w:sz w:val="24"/>
          <w:szCs w:val="24"/>
          <w:highlight w:val="none"/>
          <w:u w:val="single"/>
          <w:shd w:val="clear" w:color="auto" w:fill="FFFFFF"/>
          <w:lang w:val="en-US" w:eastAsia="zh-CN"/>
        </w:rPr>
        <w:t>4</w:t>
      </w:r>
      <w:r>
        <w:rPr>
          <w:rFonts w:hint="eastAsia" w:ascii="宋体" w:hAnsi="宋体" w:eastAsia="宋体" w:cs="宋体"/>
          <w:b w:val="0"/>
          <w:bCs w:val="0"/>
          <w:i w:val="0"/>
          <w:iCs w:val="0"/>
          <w:color w:val="auto"/>
          <w:sz w:val="24"/>
          <w:szCs w:val="24"/>
          <w:highlight w:val="none"/>
          <w:u w:val="single"/>
          <w:shd w:val="clear" w:color="auto" w:fill="FFFFFF"/>
          <w:lang w:eastAsia="zh-CN"/>
        </w:rPr>
        <w:t>年</w:t>
      </w:r>
      <w:r>
        <w:rPr>
          <w:rFonts w:hint="eastAsia" w:eastAsia="宋体" w:cs="宋体"/>
          <w:b w:val="0"/>
          <w:bCs w:val="0"/>
          <w:i w:val="0"/>
          <w:iCs w:val="0"/>
          <w:color w:val="auto"/>
          <w:sz w:val="24"/>
          <w:szCs w:val="24"/>
          <w:highlight w:val="none"/>
          <w:u w:val="single"/>
          <w:shd w:val="clear" w:color="auto" w:fill="FFFFFF"/>
          <w:lang w:val="en-US" w:eastAsia="zh-CN"/>
        </w:rPr>
        <w:t>12</w:t>
      </w:r>
      <w:r>
        <w:rPr>
          <w:rFonts w:hint="eastAsia" w:ascii="宋体" w:hAnsi="宋体" w:eastAsia="宋体" w:cs="宋体"/>
          <w:b w:val="0"/>
          <w:bCs w:val="0"/>
          <w:i w:val="0"/>
          <w:iCs w:val="0"/>
          <w:color w:val="auto"/>
          <w:sz w:val="24"/>
          <w:szCs w:val="24"/>
          <w:highlight w:val="none"/>
          <w:u w:val="single"/>
          <w:shd w:val="clear" w:color="auto" w:fill="FFFFFF"/>
          <w:lang w:eastAsia="zh-CN"/>
        </w:rPr>
        <w:t>月</w:t>
      </w:r>
      <w:r>
        <w:rPr>
          <w:rFonts w:hint="eastAsia" w:eastAsia="宋体" w:cs="宋体"/>
          <w:b w:val="0"/>
          <w:bCs w:val="0"/>
          <w:i w:val="0"/>
          <w:iCs w:val="0"/>
          <w:color w:val="auto"/>
          <w:sz w:val="24"/>
          <w:szCs w:val="24"/>
          <w:highlight w:val="none"/>
          <w:u w:val="single"/>
          <w:shd w:val="clear" w:color="auto" w:fill="FFFFFF"/>
          <w:lang w:val="en-US" w:eastAsia="zh-CN"/>
        </w:rPr>
        <w:t>20日</w:t>
      </w:r>
      <w:r>
        <w:rPr>
          <w:rFonts w:hint="eastAsia" w:ascii="宋体" w:hAnsi="宋体" w:eastAsia="宋体" w:cs="宋体"/>
          <w:b w:val="0"/>
          <w:bCs w:val="0"/>
          <w:i w:val="0"/>
          <w:iCs w:val="0"/>
          <w:color w:val="auto"/>
          <w:sz w:val="24"/>
          <w:szCs w:val="24"/>
          <w:highlight w:val="none"/>
          <w:u w:val="single"/>
          <w:shd w:val="clear" w:color="auto" w:fill="FFFFFF"/>
          <w:lang w:val="en-US" w:eastAsia="zh-CN"/>
        </w:rPr>
        <w:t>14</w:t>
      </w:r>
      <w:r>
        <w:rPr>
          <w:rFonts w:hint="eastAsia" w:ascii="宋体" w:hAnsi="宋体" w:eastAsia="宋体" w:cs="宋体"/>
          <w:b w:val="0"/>
          <w:bCs w:val="0"/>
          <w:i w:val="0"/>
          <w:iCs w:val="0"/>
          <w:color w:val="auto"/>
          <w:sz w:val="24"/>
          <w:szCs w:val="24"/>
          <w:highlight w:val="none"/>
          <w:u w:val="single"/>
          <w:shd w:val="clear" w:color="auto" w:fill="FFFFFF"/>
          <w:lang w:eastAsia="zh-CN"/>
        </w:rPr>
        <w:t>:30时</w:t>
      </w:r>
      <w:r>
        <w:rPr>
          <w:rStyle w:val="23"/>
          <w:rFonts w:hint="eastAsia" w:ascii="宋体" w:hAnsi="宋体" w:eastAsia="宋体" w:cs="宋体"/>
          <w:b w:val="0"/>
          <w:color w:val="auto"/>
          <w:sz w:val="24"/>
          <w:szCs w:val="24"/>
          <w:highlight w:val="none"/>
          <w:shd w:val="clear" w:color="auto" w:fill="FFFFFF"/>
        </w:rPr>
        <w:t>（北京时间）</w:t>
      </w:r>
    </w:p>
    <w:p w14:paraId="370D2899">
      <w:pPr>
        <w:pStyle w:val="18"/>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firstLine="480" w:firstLineChars="200"/>
        <w:textAlignment w:val="auto"/>
        <w:rPr>
          <w:rStyle w:val="23"/>
          <w:rFonts w:hint="eastAsia" w:ascii="宋体" w:hAnsi="宋体" w:eastAsia="宋体" w:cs="宋体"/>
          <w:b w:val="0"/>
          <w:color w:val="auto"/>
          <w:sz w:val="24"/>
          <w:szCs w:val="24"/>
          <w:highlight w:val="none"/>
          <w:shd w:val="clear" w:color="auto" w:fill="FFFFFF"/>
          <w:lang w:val="en-US"/>
        </w:rPr>
      </w:pPr>
      <w:r>
        <w:rPr>
          <w:rStyle w:val="23"/>
          <w:rFonts w:hint="eastAsia" w:ascii="宋体" w:hAnsi="宋体" w:eastAsia="宋体" w:cs="宋体"/>
          <w:b w:val="0"/>
          <w:color w:val="auto"/>
          <w:sz w:val="24"/>
          <w:szCs w:val="24"/>
          <w:highlight w:val="none"/>
          <w:shd w:val="clear" w:color="auto" w:fill="FFFFFF"/>
        </w:rPr>
        <w:t>开标地点：</w:t>
      </w:r>
      <w:r>
        <w:rPr>
          <w:rFonts w:hint="eastAsia" w:ascii="宋体" w:hAnsi="宋体" w:eastAsia="宋体" w:cs="宋体"/>
          <w:color w:val="auto"/>
          <w:sz w:val="24"/>
          <w:szCs w:val="24"/>
          <w:highlight w:val="none"/>
          <w:lang w:val="en-US" w:eastAsia="zh-CN"/>
        </w:rPr>
        <w:t>浙江博策工程项目管理有限公司（诸暨市暨南路21号乐家大厦2幢东单元16F开标室）</w:t>
      </w:r>
      <w:r>
        <w:rPr>
          <w:rFonts w:hint="eastAsia" w:ascii="宋体" w:hAnsi="宋体" w:eastAsia="宋体" w:cs="宋体"/>
          <w:color w:val="auto"/>
          <w:sz w:val="24"/>
          <w:szCs w:val="24"/>
          <w:highlight w:val="none"/>
        </w:rPr>
        <w:t>。</w:t>
      </w:r>
    </w:p>
    <w:p w14:paraId="0BDCA537">
      <w:pPr>
        <w:pStyle w:val="4"/>
        <w:keepNext/>
        <w:keepLines/>
        <w:pageBreakBefore w:val="0"/>
        <w:widowControl w:val="0"/>
        <w:shd w:val="clear"/>
        <w:kinsoku/>
        <w:wordWrap/>
        <w:overflowPunct/>
        <w:topLinePunct w:val="0"/>
        <w:autoSpaceDE/>
        <w:autoSpaceDN/>
        <w:bidi w:val="0"/>
        <w:adjustRightInd/>
        <w:snapToGrid/>
        <w:spacing w:before="0" w:beforeLines="0" w:after="0" w:afterLines="0" w:line="360" w:lineRule="auto"/>
        <w:ind w:firstLine="482" w:firstLineChars="200"/>
        <w:textAlignment w:val="auto"/>
        <w:rPr>
          <w:rFonts w:hint="eastAsia" w:ascii="宋体" w:hAnsi="宋体" w:eastAsia="宋体" w:cs="宋体"/>
          <w:b/>
          <w:bCs w:val="0"/>
          <w:color w:val="auto"/>
          <w:kern w:val="0"/>
          <w:sz w:val="24"/>
          <w:szCs w:val="24"/>
          <w:highlight w:val="none"/>
          <w:lang w:val="en-US" w:eastAsia="zh-CN" w:bidi="ar-SA"/>
        </w:rPr>
      </w:pPr>
      <w:bookmarkStart w:id="15" w:name="_Toc35393625"/>
      <w:bookmarkStart w:id="16" w:name="_Toc28359007"/>
      <w:bookmarkStart w:id="17" w:name="_Toc35393794"/>
      <w:bookmarkStart w:id="18" w:name="_Toc28359084"/>
      <w:r>
        <w:rPr>
          <w:rFonts w:hint="eastAsia" w:ascii="宋体" w:hAnsi="宋体" w:eastAsia="宋体" w:cs="宋体"/>
          <w:b/>
          <w:bCs w:val="0"/>
          <w:color w:val="auto"/>
          <w:kern w:val="0"/>
          <w:sz w:val="24"/>
          <w:szCs w:val="24"/>
          <w:highlight w:val="none"/>
          <w:lang w:val="en-US" w:eastAsia="zh-CN" w:bidi="ar-SA"/>
        </w:rPr>
        <w:t>五、公告期限</w:t>
      </w:r>
      <w:bookmarkEnd w:id="15"/>
      <w:bookmarkEnd w:id="16"/>
      <w:bookmarkEnd w:id="17"/>
      <w:bookmarkEnd w:id="18"/>
    </w:p>
    <w:p w14:paraId="123C08F0">
      <w:pPr>
        <w:pageBreakBefore w:val="0"/>
        <w:shd w:val="clear"/>
        <w:kinsoku/>
        <w:wordWrap/>
        <w:overflowPunct/>
        <w:topLinePunct w:val="0"/>
        <w:bidi w:val="0"/>
        <w:spacing w:line="360" w:lineRule="auto"/>
        <w:ind w:firstLine="480" w:firstLineChars="200"/>
        <w:textAlignment w:val="auto"/>
        <w:rPr>
          <w:rStyle w:val="23"/>
          <w:rFonts w:hint="eastAsia" w:ascii="宋体" w:hAnsi="宋体" w:eastAsia="宋体" w:cs="宋体"/>
          <w:b w:val="0"/>
          <w:color w:val="auto"/>
          <w:sz w:val="24"/>
          <w:szCs w:val="24"/>
          <w:highlight w:val="none"/>
          <w:shd w:val="clear" w:color="auto" w:fill="FFFFFF"/>
          <w:lang w:val="en-US" w:eastAsia="zh-CN" w:bidi="ar-SA"/>
        </w:rPr>
      </w:pPr>
      <w:r>
        <w:rPr>
          <w:rStyle w:val="23"/>
          <w:rFonts w:hint="eastAsia" w:ascii="宋体" w:hAnsi="宋体" w:eastAsia="宋体" w:cs="宋体"/>
          <w:b w:val="0"/>
          <w:color w:val="auto"/>
          <w:sz w:val="24"/>
          <w:szCs w:val="24"/>
          <w:highlight w:val="none"/>
          <w:shd w:val="clear" w:color="auto" w:fill="FFFFFF"/>
          <w:lang w:val="en-US" w:eastAsia="zh-CN" w:bidi="ar-SA"/>
        </w:rPr>
        <w:t>自本公告发布之日起5个工作日。</w:t>
      </w:r>
    </w:p>
    <w:p w14:paraId="26AFE22B">
      <w:pPr>
        <w:pStyle w:val="4"/>
        <w:keepNext/>
        <w:keepLines/>
        <w:pageBreakBefore w:val="0"/>
        <w:widowControl w:val="0"/>
        <w:shd w:val="clear"/>
        <w:kinsoku/>
        <w:wordWrap/>
        <w:overflowPunct/>
        <w:topLinePunct w:val="0"/>
        <w:autoSpaceDE/>
        <w:autoSpaceDN/>
        <w:bidi w:val="0"/>
        <w:adjustRightInd/>
        <w:snapToGrid/>
        <w:spacing w:before="0" w:beforeLines="0" w:after="0" w:afterLines="0" w:line="360" w:lineRule="auto"/>
        <w:ind w:firstLine="482" w:firstLineChars="200"/>
        <w:textAlignment w:val="auto"/>
        <w:rPr>
          <w:rFonts w:hint="eastAsia" w:ascii="宋体" w:hAnsi="宋体" w:eastAsia="宋体" w:cs="宋体"/>
          <w:b/>
          <w:bCs w:val="0"/>
          <w:color w:val="auto"/>
          <w:kern w:val="0"/>
          <w:sz w:val="24"/>
          <w:szCs w:val="24"/>
          <w:highlight w:val="none"/>
          <w:lang w:val="en-US" w:eastAsia="zh-CN" w:bidi="ar-SA"/>
        </w:rPr>
      </w:pPr>
      <w:bookmarkStart w:id="19" w:name="_Toc35393795"/>
      <w:bookmarkStart w:id="20" w:name="_Toc35393626"/>
      <w:r>
        <w:rPr>
          <w:rFonts w:hint="eastAsia" w:ascii="宋体" w:hAnsi="宋体" w:eastAsia="宋体" w:cs="宋体"/>
          <w:b/>
          <w:bCs w:val="0"/>
          <w:color w:val="auto"/>
          <w:kern w:val="0"/>
          <w:sz w:val="24"/>
          <w:szCs w:val="24"/>
          <w:highlight w:val="none"/>
          <w:lang w:val="en-US" w:eastAsia="zh-CN" w:bidi="ar-SA"/>
        </w:rPr>
        <w:t>六、其他补充事宜</w:t>
      </w:r>
      <w:bookmarkEnd w:id="19"/>
      <w:bookmarkEnd w:id="20"/>
    </w:p>
    <w:p w14:paraId="49DABA82">
      <w:pPr>
        <w:pageBreakBefore w:val="0"/>
        <w:shd w:val="clear"/>
        <w:kinsoku/>
        <w:wordWrap/>
        <w:overflowPunct/>
        <w:topLinePunct w:val="0"/>
        <w:autoSpaceDE/>
        <w:autoSpaceDN/>
        <w:bidi w:val="0"/>
        <w:adjustRightInd/>
        <w:spacing w:line="360" w:lineRule="auto"/>
        <w:ind w:firstLine="480" w:firstLineChars="200"/>
        <w:textAlignment w:val="auto"/>
        <w:rPr>
          <w:rStyle w:val="23"/>
          <w:rFonts w:hint="eastAsia" w:ascii="宋体" w:hAnsi="宋体" w:eastAsia="宋体" w:cs="宋体"/>
          <w:b w:val="0"/>
          <w:color w:val="auto"/>
          <w:sz w:val="24"/>
          <w:szCs w:val="24"/>
          <w:highlight w:val="none"/>
          <w:shd w:val="clear" w:color="auto" w:fill="FFFFFF"/>
        </w:rPr>
      </w:pPr>
      <w:r>
        <w:rPr>
          <w:rStyle w:val="23"/>
          <w:rFonts w:hint="eastAsia" w:ascii="宋体" w:hAnsi="宋体" w:eastAsia="宋体" w:cs="宋体"/>
          <w:b w:val="0"/>
          <w:color w:val="auto"/>
          <w:sz w:val="24"/>
          <w:szCs w:val="24"/>
          <w:highlight w:val="none"/>
          <w:shd w:val="clear" w:color="auto" w:fill="FFFFFF"/>
        </w:rPr>
        <w:t>1、投标人应在开标截止时间10日前以书面形式向采购代理机构提出质疑，逾期提出的，采购代理机构不予受理、答复。采购代理机构与采购人研究后，对认为有必要回答的问题，招标人将在开标前将答疑内容以网上发布公告的形式通知所有投标人，投标人自行在网上查阅、下载答疑回复</w:t>
      </w:r>
      <w:r>
        <w:rPr>
          <w:rStyle w:val="23"/>
          <w:rFonts w:hint="eastAsia" w:ascii="宋体" w:hAnsi="宋体" w:eastAsia="宋体" w:cs="宋体"/>
          <w:b w:val="0"/>
          <w:color w:val="auto"/>
          <w:sz w:val="24"/>
          <w:szCs w:val="24"/>
          <w:highlight w:val="none"/>
          <w:shd w:val="clear" w:color="auto" w:fill="FFFFFF"/>
          <w:lang w:eastAsia="zh-CN"/>
        </w:rPr>
        <w:t>，</w:t>
      </w:r>
      <w:r>
        <w:rPr>
          <w:rStyle w:val="23"/>
          <w:rFonts w:hint="eastAsia" w:ascii="宋体" w:hAnsi="宋体" w:eastAsia="宋体" w:cs="宋体"/>
          <w:b w:val="0"/>
          <w:color w:val="auto"/>
          <w:sz w:val="24"/>
          <w:szCs w:val="24"/>
          <w:highlight w:val="none"/>
          <w:shd w:val="clear" w:color="auto" w:fill="FFFFFF"/>
        </w:rPr>
        <w:t>答疑内容是招标文件的组成部分。</w:t>
      </w:r>
    </w:p>
    <w:p w14:paraId="2B700AF1">
      <w:pPr>
        <w:pageBreakBefore w:val="0"/>
        <w:shd w:val="clea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color w:val="auto"/>
          <w:sz w:val="24"/>
          <w:szCs w:val="24"/>
          <w:highlight w:val="none"/>
        </w:rPr>
      </w:pPr>
      <w:r>
        <w:rPr>
          <w:rStyle w:val="23"/>
          <w:rFonts w:hint="eastAsia" w:ascii="宋体" w:hAnsi="宋体" w:eastAsia="宋体" w:cs="宋体"/>
          <w:b w:val="0"/>
          <w:color w:val="auto"/>
          <w:sz w:val="24"/>
          <w:szCs w:val="24"/>
          <w:highlight w:val="none"/>
          <w:shd w:val="clear" w:color="auto" w:fill="FFFFFF"/>
        </w:rPr>
        <w:t>2、其他事项：</w:t>
      </w:r>
    </w:p>
    <w:p w14:paraId="2C24638C">
      <w:pPr>
        <w:pStyle w:val="11"/>
        <w:pageBreakBefore w:val="0"/>
        <w:shd w:val="clear"/>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 w:val="0"/>
          <w:bCs/>
          <w:color w:val="auto"/>
          <w:sz w:val="24"/>
          <w:szCs w:val="24"/>
          <w:highlight w:val="none"/>
          <w:u w:val="none"/>
        </w:rPr>
      </w:pPr>
      <w:r>
        <w:rPr>
          <w:rFonts w:hint="eastAsia" w:ascii="宋体" w:hAnsi="宋体" w:eastAsia="宋体" w:cs="宋体"/>
          <w:b w:val="0"/>
          <w:bCs/>
          <w:color w:val="auto"/>
          <w:sz w:val="24"/>
          <w:szCs w:val="24"/>
          <w:highlight w:val="none"/>
          <w:u w:val="none"/>
          <w:lang w:eastAsia="zh-CN"/>
        </w:rPr>
        <w:t>（</w:t>
      </w:r>
      <w:r>
        <w:rPr>
          <w:rFonts w:hint="eastAsia" w:ascii="宋体" w:hAnsi="宋体" w:eastAsia="宋体" w:cs="宋体"/>
          <w:b w:val="0"/>
          <w:bCs/>
          <w:color w:val="auto"/>
          <w:sz w:val="24"/>
          <w:szCs w:val="24"/>
          <w:highlight w:val="none"/>
          <w:u w:val="none"/>
          <w:lang w:val="en-US" w:eastAsia="zh-CN"/>
        </w:rPr>
        <w:t>1</w:t>
      </w:r>
      <w:r>
        <w:rPr>
          <w:rFonts w:hint="eastAsia" w:ascii="宋体" w:hAnsi="宋体" w:eastAsia="宋体" w:cs="宋体"/>
          <w:b w:val="0"/>
          <w:bCs/>
          <w:color w:val="auto"/>
          <w:sz w:val="24"/>
          <w:szCs w:val="24"/>
          <w:highlight w:val="none"/>
          <w:u w:val="none"/>
          <w:lang w:eastAsia="zh-CN"/>
        </w:rPr>
        <w:t>）</w:t>
      </w:r>
      <w:r>
        <w:rPr>
          <w:rFonts w:hint="eastAsia" w:ascii="宋体" w:hAnsi="宋体" w:eastAsia="宋体" w:cs="宋体"/>
          <w:b w:val="0"/>
          <w:bCs/>
          <w:color w:val="auto"/>
          <w:sz w:val="24"/>
          <w:szCs w:val="24"/>
          <w:highlight w:val="none"/>
          <w:u w:val="none"/>
        </w:rPr>
        <w:t>投标人应于</w:t>
      </w:r>
      <w:r>
        <w:rPr>
          <w:rFonts w:hint="eastAsia" w:ascii="宋体" w:hAnsi="宋体" w:eastAsia="宋体" w:cs="宋体"/>
          <w:b w:val="0"/>
          <w:bCs/>
          <w:color w:val="auto"/>
          <w:sz w:val="24"/>
          <w:szCs w:val="24"/>
          <w:highlight w:val="none"/>
          <w:u w:val="none"/>
          <w:lang w:val="en-US" w:eastAsia="zh-CN"/>
        </w:rPr>
        <w:t>开标时间</w:t>
      </w:r>
      <w:r>
        <w:rPr>
          <w:rFonts w:hint="eastAsia" w:ascii="宋体" w:hAnsi="宋体" w:eastAsia="宋体" w:cs="宋体"/>
          <w:b w:val="0"/>
          <w:bCs/>
          <w:color w:val="auto"/>
          <w:sz w:val="24"/>
          <w:szCs w:val="24"/>
          <w:highlight w:val="none"/>
          <w:u w:val="none"/>
        </w:rPr>
        <w:t>前按照电子投标要求将电子加密标书上传到“</w:t>
      </w:r>
      <w:r>
        <w:rPr>
          <w:rFonts w:hint="eastAsia" w:ascii="宋体" w:hAnsi="宋体" w:eastAsia="宋体" w:cs="宋体"/>
          <w:b w:val="0"/>
          <w:bCs/>
          <w:color w:val="auto"/>
          <w:sz w:val="24"/>
          <w:szCs w:val="24"/>
          <w:highlight w:val="none"/>
          <w:u w:val="none"/>
          <w:lang w:eastAsia="zh-CN"/>
        </w:rPr>
        <w:t>乐采云</w:t>
      </w:r>
      <w:r>
        <w:rPr>
          <w:rFonts w:hint="eastAsia" w:ascii="宋体" w:hAnsi="宋体" w:eastAsia="宋体" w:cs="宋体"/>
          <w:b w:val="0"/>
          <w:bCs/>
          <w:color w:val="auto"/>
          <w:sz w:val="24"/>
          <w:szCs w:val="24"/>
          <w:highlight w:val="none"/>
          <w:u w:val="none"/>
        </w:rPr>
        <w:t>”平台，逾期或未上传成功的将导致无法投标或投标无</w:t>
      </w:r>
      <w:r>
        <w:rPr>
          <w:rFonts w:hint="eastAsia" w:ascii="宋体" w:hAnsi="宋体" w:eastAsia="宋体" w:cs="宋体"/>
          <w:b w:val="0"/>
          <w:bCs/>
          <w:color w:val="auto"/>
          <w:kern w:val="0"/>
          <w:sz w:val="24"/>
          <w:szCs w:val="24"/>
          <w:highlight w:val="none"/>
          <w:u w:val="none"/>
        </w:rPr>
        <w:t>效。</w:t>
      </w:r>
      <w:r>
        <w:rPr>
          <w:rFonts w:hint="eastAsia" w:ascii="宋体" w:hAnsi="宋体" w:eastAsia="宋体" w:cs="宋体"/>
          <w:b w:val="0"/>
          <w:bCs/>
          <w:color w:val="auto"/>
          <w:sz w:val="24"/>
          <w:szCs w:val="24"/>
          <w:highlight w:val="none"/>
          <w:u w:val="none"/>
        </w:rPr>
        <w:t>备注：为确保采购项目顺利实施，避免因</w:t>
      </w:r>
      <w:r>
        <w:rPr>
          <w:rFonts w:hint="eastAsia" w:ascii="宋体" w:hAnsi="宋体" w:eastAsia="宋体" w:cs="宋体"/>
          <w:b w:val="0"/>
          <w:bCs/>
          <w:color w:val="auto"/>
          <w:sz w:val="24"/>
          <w:szCs w:val="24"/>
          <w:highlight w:val="none"/>
          <w:u w:val="none"/>
          <w:lang w:eastAsia="zh-CN"/>
        </w:rPr>
        <w:t>乐采云</w:t>
      </w:r>
      <w:r>
        <w:rPr>
          <w:rFonts w:hint="eastAsia" w:ascii="宋体" w:hAnsi="宋体" w:eastAsia="宋体" w:cs="宋体"/>
          <w:b w:val="0"/>
          <w:bCs/>
          <w:color w:val="auto"/>
          <w:sz w:val="24"/>
          <w:szCs w:val="24"/>
          <w:highlight w:val="none"/>
          <w:u w:val="none"/>
        </w:rPr>
        <w:t>上电子投标文件解密失败导致投标方投标无效，投标方可在</w:t>
      </w:r>
      <w:r>
        <w:rPr>
          <w:rFonts w:hint="eastAsia" w:ascii="宋体" w:hAnsi="宋体" w:eastAsia="宋体" w:cs="宋体"/>
          <w:b w:val="0"/>
          <w:bCs/>
          <w:color w:val="auto"/>
          <w:sz w:val="24"/>
          <w:szCs w:val="24"/>
          <w:highlight w:val="none"/>
          <w:u w:val="none"/>
          <w:lang w:val="en-US" w:eastAsia="zh-CN"/>
        </w:rPr>
        <w:t>开标时间</w:t>
      </w:r>
      <w:r>
        <w:rPr>
          <w:rFonts w:hint="eastAsia" w:ascii="宋体" w:hAnsi="宋体" w:eastAsia="宋体" w:cs="宋体"/>
          <w:b w:val="0"/>
          <w:bCs/>
          <w:color w:val="auto"/>
          <w:sz w:val="24"/>
          <w:szCs w:val="24"/>
          <w:highlight w:val="none"/>
          <w:u w:val="none"/>
        </w:rPr>
        <w:t>前将在</w:t>
      </w:r>
      <w:r>
        <w:rPr>
          <w:rFonts w:hint="eastAsia" w:ascii="宋体" w:hAnsi="宋体" w:eastAsia="宋体" w:cs="宋体"/>
          <w:b w:val="0"/>
          <w:bCs/>
          <w:color w:val="auto"/>
          <w:sz w:val="24"/>
          <w:szCs w:val="24"/>
          <w:highlight w:val="none"/>
          <w:u w:val="none"/>
          <w:lang w:eastAsia="zh-CN"/>
        </w:rPr>
        <w:t>乐采云</w:t>
      </w:r>
      <w:r>
        <w:rPr>
          <w:rFonts w:hint="eastAsia" w:ascii="宋体" w:hAnsi="宋体" w:eastAsia="宋体" w:cs="宋体"/>
          <w:b w:val="0"/>
          <w:bCs/>
          <w:color w:val="auto"/>
          <w:sz w:val="24"/>
          <w:szCs w:val="24"/>
          <w:highlight w:val="none"/>
          <w:u w:val="none"/>
        </w:rPr>
        <w:t>平台上最后生成的具备电子签章的备份加密投标文件（文件名后缀为备份文件四字的首字母）以电子邮件方式传送至</w:t>
      </w:r>
      <w:r>
        <w:rPr>
          <w:rFonts w:hint="eastAsia" w:ascii="宋体" w:hAnsi="宋体" w:eastAsia="宋体" w:cs="宋体"/>
          <w:b w:val="0"/>
          <w:bCs/>
          <w:color w:val="auto"/>
          <w:sz w:val="24"/>
          <w:szCs w:val="24"/>
          <w:highlight w:val="none"/>
          <w:u w:val="none"/>
          <w:lang w:val="en-US" w:eastAsia="zh-CN"/>
        </w:rPr>
        <w:t>浙江博策工程项目管理有限公司</w:t>
      </w:r>
      <w:r>
        <w:rPr>
          <w:rFonts w:hint="eastAsia" w:ascii="宋体" w:hAnsi="宋体" w:eastAsia="宋体" w:cs="宋体"/>
          <w:b w:val="0"/>
          <w:bCs/>
          <w:color w:val="auto"/>
          <w:sz w:val="24"/>
          <w:szCs w:val="24"/>
          <w:highlight w:val="none"/>
          <w:u w:val="none"/>
        </w:rPr>
        <w:t>邮箱zjboce@qq.com，传送的备份电子投标文件需打包压缩并加密，加密密码由投标方自行保管，如</w:t>
      </w:r>
      <w:r>
        <w:rPr>
          <w:rFonts w:hint="eastAsia" w:ascii="宋体" w:hAnsi="宋体" w:eastAsia="宋体" w:cs="宋体"/>
          <w:b w:val="0"/>
          <w:bCs/>
          <w:color w:val="auto"/>
          <w:sz w:val="24"/>
          <w:szCs w:val="24"/>
          <w:highlight w:val="none"/>
          <w:u w:val="none"/>
          <w:lang w:eastAsia="zh-CN"/>
        </w:rPr>
        <w:t>乐采云</w:t>
      </w:r>
      <w:r>
        <w:rPr>
          <w:rFonts w:hint="eastAsia" w:ascii="宋体" w:hAnsi="宋体" w:eastAsia="宋体" w:cs="宋体"/>
          <w:b w:val="0"/>
          <w:bCs/>
          <w:color w:val="auto"/>
          <w:sz w:val="24"/>
          <w:szCs w:val="24"/>
          <w:highlight w:val="none"/>
          <w:u w:val="none"/>
        </w:rPr>
        <w:t>上电子投标文件出现解密失败情况（开标</w:t>
      </w:r>
      <w:r>
        <w:rPr>
          <w:rFonts w:hint="eastAsia" w:ascii="宋体" w:hAnsi="宋体" w:eastAsia="宋体" w:cs="宋体"/>
          <w:b w:val="0"/>
          <w:bCs/>
          <w:color w:val="auto"/>
          <w:sz w:val="24"/>
          <w:szCs w:val="24"/>
          <w:highlight w:val="none"/>
          <w:u w:val="none"/>
          <w:lang w:val="en-US" w:eastAsia="zh-CN"/>
        </w:rPr>
        <w:t>后30分钟内</w:t>
      </w:r>
      <w:r>
        <w:rPr>
          <w:rFonts w:hint="eastAsia" w:ascii="宋体" w:hAnsi="宋体" w:eastAsia="宋体" w:cs="宋体"/>
          <w:b w:val="0"/>
          <w:bCs/>
          <w:color w:val="auto"/>
          <w:sz w:val="24"/>
          <w:szCs w:val="24"/>
          <w:highlight w:val="none"/>
          <w:u w:val="none"/>
        </w:rPr>
        <w:t>进行解密），投标方可按照自身意愿确认是否同意提供加密密码解密传送至</w:t>
      </w:r>
      <w:r>
        <w:rPr>
          <w:rFonts w:hint="eastAsia" w:ascii="宋体" w:hAnsi="宋体" w:eastAsia="宋体" w:cs="宋体"/>
          <w:b w:val="0"/>
          <w:bCs/>
          <w:color w:val="auto"/>
          <w:sz w:val="24"/>
          <w:szCs w:val="24"/>
          <w:highlight w:val="none"/>
          <w:u w:val="none"/>
          <w:lang w:eastAsia="zh-CN"/>
        </w:rPr>
        <w:t>浙江博策工程项目管理有限公司</w:t>
      </w:r>
      <w:r>
        <w:rPr>
          <w:rFonts w:hint="eastAsia" w:ascii="宋体" w:hAnsi="宋体" w:eastAsia="宋体" w:cs="宋体"/>
          <w:b w:val="0"/>
          <w:bCs/>
          <w:color w:val="auto"/>
          <w:sz w:val="24"/>
          <w:szCs w:val="24"/>
          <w:highlight w:val="none"/>
          <w:u w:val="none"/>
        </w:rPr>
        <w:t>邮箱的备份文件，并以备份文件作为替代电子投标文件，如投标方未按照规定时间前</w:t>
      </w:r>
      <w:r>
        <w:rPr>
          <w:rFonts w:hint="eastAsia" w:ascii="宋体" w:hAnsi="宋体" w:eastAsia="宋体" w:cs="宋体"/>
          <w:b w:val="0"/>
          <w:bCs/>
          <w:color w:val="auto"/>
          <w:sz w:val="24"/>
          <w:szCs w:val="24"/>
          <w:highlight w:val="none"/>
          <w:u w:val="none"/>
          <w:lang w:eastAsia="zh-CN"/>
        </w:rPr>
        <w:t>按</w:t>
      </w:r>
      <w:r>
        <w:rPr>
          <w:rFonts w:hint="eastAsia" w:ascii="宋体" w:hAnsi="宋体" w:eastAsia="宋体" w:cs="宋体"/>
          <w:b w:val="0"/>
          <w:bCs/>
          <w:color w:val="auto"/>
          <w:sz w:val="24"/>
          <w:szCs w:val="24"/>
          <w:highlight w:val="none"/>
          <w:u w:val="none"/>
        </w:rPr>
        <w:t>要求提供有效备份文件，同时</w:t>
      </w:r>
      <w:r>
        <w:rPr>
          <w:rFonts w:hint="eastAsia" w:ascii="宋体" w:hAnsi="宋体" w:eastAsia="宋体" w:cs="宋体"/>
          <w:b w:val="0"/>
          <w:bCs/>
          <w:color w:val="auto"/>
          <w:sz w:val="24"/>
          <w:szCs w:val="24"/>
          <w:highlight w:val="none"/>
          <w:u w:val="none"/>
          <w:lang w:eastAsia="zh-CN"/>
        </w:rPr>
        <w:t>乐采云</w:t>
      </w:r>
      <w:r>
        <w:rPr>
          <w:rFonts w:hint="eastAsia" w:ascii="宋体" w:hAnsi="宋体" w:eastAsia="宋体" w:cs="宋体"/>
          <w:b w:val="0"/>
          <w:bCs/>
          <w:color w:val="auto"/>
          <w:sz w:val="24"/>
          <w:szCs w:val="24"/>
          <w:highlight w:val="none"/>
          <w:u w:val="none"/>
        </w:rPr>
        <w:t>上投标文件解密失败的，将导致投标无效。</w:t>
      </w:r>
    </w:p>
    <w:p w14:paraId="729A9923">
      <w:pPr>
        <w:pStyle w:val="11"/>
        <w:pageBreakBefore w:val="0"/>
        <w:shd w:val="clear"/>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 w:val="0"/>
          <w:bCs/>
          <w:color w:val="auto"/>
          <w:sz w:val="24"/>
          <w:szCs w:val="24"/>
          <w:highlight w:val="none"/>
          <w:u w:val="none"/>
        </w:rPr>
      </w:pPr>
      <w:r>
        <w:rPr>
          <w:rFonts w:hint="eastAsia" w:ascii="宋体" w:hAnsi="宋体" w:eastAsia="宋体" w:cs="宋体"/>
          <w:b w:val="0"/>
          <w:bCs/>
          <w:color w:val="auto"/>
          <w:kern w:val="0"/>
          <w:sz w:val="24"/>
          <w:szCs w:val="24"/>
          <w:highlight w:val="none"/>
          <w:u w:val="none"/>
          <w:lang w:eastAsia="zh-CN"/>
        </w:rPr>
        <w:t>（</w:t>
      </w:r>
      <w:r>
        <w:rPr>
          <w:rFonts w:hint="eastAsia" w:ascii="宋体" w:hAnsi="宋体" w:eastAsia="宋体" w:cs="宋体"/>
          <w:b w:val="0"/>
          <w:bCs/>
          <w:color w:val="auto"/>
          <w:kern w:val="0"/>
          <w:sz w:val="24"/>
          <w:szCs w:val="24"/>
          <w:highlight w:val="none"/>
          <w:u w:val="none"/>
          <w:lang w:val="en-US" w:eastAsia="zh-CN"/>
        </w:rPr>
        <w:t>2</w:t>
      </w:r>
      <w:r>
        <w:rPr>
          <w:rFonts w:hint="eastAsia" w:ascii="宋体" w:hAnsi="宋体" w:eastAsia="宋体" w:cs="宋体"/>
          <w:b w:val="0"/>
          <w:bCs/>
          <w:color w:val="auto"/>
          <w:kern w:val="0"/>
          <w:sz w:val="24"/>
          <w:szCs w:val="24"/>
          <w:highlight w:val="none"/>
          <w:u w:val="none"/>
          <w:lang w:eastAsia="zh-CN"/>
        </w:rPr>
        <w:t>）</w:t>
      </w:r>
      <w:r>
        <w:rPr>
          <w:rFonts w:hint="eastAsia" w:ascii="宋体" w:hAnsi="宋体" w:eastAsia="宋体" w:cs="宋体"/>
          <w:b w:val="0"/>
          <w:bCs/>
          <w:color w:val="auto"/>
          <w:kern w:val="0"/>
          <w:sz w:val="24"/>
          <w:szCs w:val="24"/>
          <w:highlight w:val="none"/>
          <w:u w:val="none"/>
        </w:rPr>
        <w:t>投标方无需在开标当天到达开标现场对电子投标进行解密，可在公司办公场地在规定时间内对电子投标文件进行解密。</w:t>
      </w:r>
      <w:r>
        <w:rPr>
          <w:rFonts w:hint="eastAsia" w:ascii="宋体" w:hAnsi="宋体" w:eastAsia="宋体" w:cs="宋体"/>
          <w:b w:val="0"/>
          <w:bCs/>
          <w:color w:val="auto"/>
          <w:sz w:val="24"/>
          <w:szCs w:val="24"/>
          <w:highlight w:val="none"/>
          <w:u w:val="none"/>
        </w:rPr>
        <w:t>开标时间后</w:t>
      </w:r>
      <w:r>
        <w:rPr>
          <w:rFonts w:hint="eastAsia" w:ascii="宋体" w:hAnsi="宋体" w:eastAsia="宋体" w:cs="宋体"/>
          <w:b w:val="0"/>
          <w:bCs/>
          <w:color w:val="auto"/>
          <w:sz w:val="24"/>
          <w:szCs w:val="24"/>
          <w:highlight w:val="none"/>
          <w:u w:val="none"/>
          <w:lang w:eastAsia="zh-CN"/>
        </w:rPr>
        <w:t>30分钟</w:t>
      </w:r>
      <w:r>
        <w:rPr>
          <w:rFonts w:hint="eastAsia" w:ascii="宋体" w:hAnsi="宋体" w:eastAsia="宋体" w:cs="宋体"/>
          <w:b w:val="0"/>
          <w:bCs/>
          <w:color w:val="auto"/>
          <w:sz w:val="24"/>
          <w:szCs w:val="24"/>
          <w:highlight w:val="none"/>
          <w:u w:val="none"/>
        </w:rPr>
        <w:t>内供应商可以登录“</w:t>
      </w:r>
      <w:r>
        <w:rPr>
          <w:rFonts w:hint="eastAsia" w:ascii="宋体" w:hAnsi="宋体" w:eastAsia="宋体" w:cs="宋体"/>
          <w:b w:val="0"/>
          <w:bCs/>
          <w:color w:val="auto"/>
          <w:sz w:val="24"/>
          <w:szCs w:val="24"/>
          <w:highlight w:val="none"/>
          <w:u w:val="none"/>
          <w:lang w:eastAsia="zh-CN"/>
        </w:rPr>
        <w:t>乐采云</w:t>
      </w:r>
      <w:r>
        <w:rPr>
          <w:rFonts w:hint="eastAsia" w:ascii="宋体" w:hAnsi="宋体" w:eastAsia="宋体" w:cs="宋体"/>
          <w:b w:val="0"/>
          <w:bCs/>
          <w:color w:val="auto"/>
          <w:sz w:val="24"/>
          <w:szCs w:val="24"/>
          <w:highlight w:val="none"/>
          <w:u w:val="none"/>
        </w:rPr>
        <w:t>”平台，用“项目采购</w:t>
      </w:r>
      <w:r>
        <w:rPr>
          <w:rFonts w:hint="eastAsia" w:ascii="宋体" w:hAnsi="宋体" w:eastAsia="宋体" w:cs="宋体"/>
          <w:b w:val="0"/>
          <w:bCs/>
          <w:color w:val="auto"/>
          <w:sz w:val="24"/>
          <w:szCs w:val="24"/>
          <w:highlight w:val="none"/>
          <w:u w:val="none"/>
          <w:lang w:eastAsia="zh-CN"/>
        </w:rPr>
        <w:t>－</w:t>
      </w:r>
      <w:r>
        <w:rPr>
          <w:rFonts w:hint="eastAsia" w:ascii="宋体" w:hAnsi="宋体" w:eastAsia="宋体" w:cs="宋体"/>
          <w:b w:val="0"/>
          <w:bCs/>
          <w:color w:val="auto"/>
          <w:sz w:val="24"/>
          <w:szCs w:val="24"/>
          <w:highlight w:val="none"/>
          <w:u w:val="none"/>
        </w:rPr>
        <w:t>开标评标”功能进行解密投标文件。若供应商在规定时间内无法解密或解密失败，将导致投标无效或失败。投标人制作电子投标文件和解密投标文件的需为同一把CA。同时为保障项目开标的连贯性、减少电子投标的意外事件，制作电子投标人员与开标人员最好为同一人，预留同一手机号码。</w:t>
      </w:r>
    </w:p>
    <w:p w14:paraId="55457C24">
      <w:pPr>
        <w:pStyle w:val="4"/>
        <w:keepNext/>
        <w:keepLines/>
        <w:pageBreakBefore w:val="0"/>
        <w:widowControl w:val="0"/>
        <w:shd w:val="clear"/>
        <w:kinsoku/>
        <w:wordWrap/>
        <w:overflowPunct/>
        <w:topLinePunct w:val="0"/>
        <w:autoSpaceDE/>
        <w:autoSpaceDN/>
        <w:bidi w:val="0"/>
        <w:adjustRightInd/>
        <w:snapToGrid/>
        <w:spacing w:before="0" w:beforeLines="0" w:after="0" w:afterLines="0" w:line="360" w:lineRule="auto"/>
        <w:ind w:firstLine="482" w:firstLineChars="200"/>
        <w:textAlignment w:val="auto"/>
        <w:rPr>
          <w:rFonts w:hint="eastAsia" w:ascii="宋体" w:hAnsi="宋体" w:eastAsia="宋体" w:cs="宋体"/>
          <w:b/>
          <w:bCs w:val="0"/>
          <w:color w:val="auto"/>
          <w:kern w:val="0"/>
          <w:sz w:val="24"/>
          <w:szCs w:val="24"/>
          <w:highlight w:val="none"/>
          <w:lang w:val="en-US" w:eastAsia="zh-CN" w:bidi="ar-SA"/>
        </w:rPr>
      </w:pPr>
      <w:r>
        <w:rPr>
          <w:rFonts w:hint="eastAsia" w:ascii="宋体" w:hAnsi="宋体" w:eastAsia="宋体" w:cs="宋体"/>
          <w:b/>
          <w:bCs w:val="0"/>
          <w:color w:val="auto"/>
          <w:kern w:val="0"/>
          <w:sz w:val="24"/>
          <w:szCs w:val="24"/>
          <w:highlight w:val="none"/>
          <w:lang w:val="en-US" w:eastAsia="zh-CN" w:bidi="ar-SA"/>
        </w:rPr>
        <w:t>七、业务咨询：</w:t>
      </w:r>
    </w:p>
    <w:p w14:paraId="73B6ED75">
      <w:pPr>
        <w:pStyle w:val="18"/>
        <w:keepNext w:val="0"/>
        <w:keepLines w:val="0"/>
        <w:pageBreakBefore w:val="0"/>
        <w:kinsoku/>
        <w:wordWrap/>
        <w:overflowPunct/>
        <w:topLinePunct w:val="0"/>
        <w:bidi w:val="0"/>
        <w:spacing w:before="0" w:beforeAutospacing="0" w:after="0" w:afterAutospacing="0" w:line="360" w:lineRule="auto"/>
        <w:ind w:firstLine="240" w:firstLineChars="100"/>
        <w:textAlignment w:val="auto"/>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1、采购人信息</w:t>
      </w:r>
    </w:p>
    <w:p w14:paraId="582FF146">
      <w:pPr>
        <w:pStyle w:val="18"/>
        <w:keepNext w:val="0"/>
        <w:keepLines w:val="0"/>
        <w:pageBreakBefore w:val="0"/>
        <w:kinsoku/>
        <w:wordWrap/>
        <w:overflowPunct/>
        <w:topLinePunct w:val="0"/>
        <w:bidi w:val="0"/>
        <w:spacing w:before="0" w:beforeAutospacing="0" w:after="0" w:afterAutospacing="0" w:line="360" w:lineRule="auto"/>
        <w:ind w:firstLine="480" w:firstLineChars="200"/>
        <w:textAlignment w:val="auto"/>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名 称：诸暨市大数据发展有限公司</w:t>
      </w:r>
    </w:p>
    <w:p w14:paraId="407102EC">
      <w:pPr>
        <w:pStyle w:val="18"/>
        <w:keepNext w:val="0"/>
        <w:keepLines w:val="0"/>
        <w:pageBreakBefore w:val="0"/>
        <w:kinsoku/>
        <w:wordWrap/>
        <w:overflowPunct/>
        <w:topLinePunct w:val="0"/>
        <w:bidi w:val="0"/>
        <w:spacing w:before="0" w:beforeAutospacing="0" w:after="0" w:afterAutospacing="0" w:line="360" w:lineRule="auto"/>
        <w:ind w:firstLine="480" w:firstLineChars="200"/>
        <w:textAlignment w:val="auto"/>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地 址：浙江省诸暨市暨阳街道滨江中路28-35号</w:t>
      </w:r>
    </w:p>
    <w:p w14:paraId="15E8DD15">
      <w:pPr>
        <w:pStyle w:val="18"/>
        <w:keepNext w:val="0"/>
        <w:keepLines w:val="0"/>
        <w:pageBreakBefore w:val="0"/>
        <w:kinsoku/>
        <w:wordWrap/>
        <w:overflowPunct/>
        <w:topLinePunct w:val="0"/>
        <w:bidi w:val="0"/>
        <w:spacing w:before="0" w:beforeAutospacing="0" w:after="0" w:afterAutospacing="0" w:line="360" w:lineRule="auto"/>
        <w:ind w:firstLine="480" w:firstLineChars="200"/>
        <w:textAlignment w:val="auto"/>
        <w:rPr>
          <w:rFonts w:hint="default"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项目联系人：</w:t>
      </w:r>
      <w:r>
        <w:rPr>
          <w:rFonts w:hint="eastAsia" w:eastAsia="宋体" w:cs="宋体"/>
          <w:b w:val="0"/>
          <w:bCs/>
          <w:color w:val="auto"/>
          <w:kern w:val="2"/>
          <w:sz w:val="24"/>
          <w:szCs w:val="24"/>
          <w:highlight w:val="none"/>
          <w:u w:val="none"/>
          <w:lang w:val="en-US" w:eastAsia="zh-CN" w:bidi="ar-SA"/>
        </w:rPr>
        <w:t>章晓军</w:t>
      </w:r>
    </w:p>
    <w:p w14:paraId="2D752111">
      <w:pPr>
        <w:pStyle w:val="18"/>
        <w:keepNext w:val="0"/>
        <w:keepLines w:val="0"/>
        <w:pageBreakBefore w:val="0"/>
        <w:kinsoku/>
        <w:wordWrap/>
        <w:overflowPunct/>
        <w:topLinePunct w:val="0"/>
        <w:bidi w:val="0"/>
        <w:spacing w:before="0" w:beforeAutospacing="0" w:after="0" w:afterAutospacing="0" w:line="360" w:lineRule="auto"/>
        <w:ind w:left="239" w:leftChars="114" w:firstLine="240" w:firstLineChars="100"/>
        <w:textAlignment w:val="auto"/>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项目联系方式：</w:t>
      </w:r>
      <w:r>
        <w:rPr>
          <w:rFonts w:hint="eastAsia" w:eastAsia="宋体" w:cs="宋体"/>
          <w:b w:val="0"/>
          <w:bCs/>
          <w:color w:val="auto"/>
          <w:kern w:val="2"/>
          <w:sz w:val="24"/>
          <w:szCs w:val="24"/>
          <w:highlight w:val="none"/>
          <w:u w:val="none"/>
          <w:lang w:val="en-US" w:eastAsia="zh-CN" w:bidi="ar-SA"/>
        </w:rPr>
        <w:t>18957579399</w:t>
      </w:r>
      <w:r>
        <w:rPr>
          <w:rFonts w:hint="eastAsia" w:ascii="宋体" w:hAnsi="宋体" w:eastAsia="宋体" w:cs="宋体"/>
          <w:b w:val="0"/>
          <w:bCs/>
          <w:color w:val="auto"/>
          <w:kern w:val="2"/>
          <w:sz w:val="24"/>
          <w:szCs w:val="24"/>
          <w:highlight w:val="none"/>
          <w:u w:val="none"/>
          <w:lang w:val="en-US" w:eastAsia="zh-CN" w:bidi="ar-SA"/>
        </w:rPr>
        <w:t>（工作电话）</w:t>
      </w:r>
    </w:p>
    <w:p w14:paraId="21D11BB8">
      <w:pPr>
        <w:pStyle w:val="18"/>
        <w:keepNext w:val="0"/>
        <w:keepLines w:val="0"/>
        <w:pageBreakBefore w:val="0"/>
        <w:kinsoku/>
        <w:wordWrap/>
        <w:overflowPunct/>
        <w:topLinePunct w:val="0"/>
        <w:bidi w:val="0"/>
        <w:spacing w:before="0" w:beforeAutospacing="0" w:after="0" w:afterAutospacing="0" w:line="360" w:lineRule="auto"/>
        <w:ind w:firstLine="240" w:firstLineChars="100"/>
        <w:textAlignment w:val="auto"/>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2、采购代理机构信息</w:t>
      </w:r>
    </w:p>
    <w:p w14:paraId="2E6ACCA9">
      <w:pPr>
        <w:pStyle w:val="18"/>
        <w:keepNext w:val="0"/>
        <w:keepLines w:val="0"/>
        <w:pageBreakBefore w:val="0"/>
        <w:kinsoku/>
        <w:wordWrap/>
        <w:overflowPunct/>
        <w:topLinePunct w:val="0"/>
        <w:bidi w:val="0"/>
        <w:spacing w:before="0" w:beforeAutospacing="0" w:after="0" w:afterAutospacing="0" w:line="360" w:lineRule="auto"/>
        <w:ind w:firstLine="480" w:firstLineChars="200"/>
        <w:textAlignment w:val="auto"/>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名称：浙江博策工程项目管理有限公司</w:t>
      </w:r>
    </w:p>
    <w:p w14:paraId="6003702A">
      <w:pPr>
        <w:pStyle w:val="18"/>
        <w:keepNext w:val="0"/>
        <w:keepLines w:val="0"/>
        <w:pageBreakBefore w:val="0"/>
        <w:kinsoku/>
        <w:wordWrap/>
        <w:overflowPunct/>
        <w:topLinePunct w:val="0"/>
        <w:bidi w:val="0"/>
        <w:spacing w:before="0" w:beforeAutospacing="0" w:after="0" w:afterAutospacing="0" w:line="360" w:lineRule="auto"/>
        <w:ind w:firstLine="480" w:firstLineChars="200"/>
        <w:textAlignment w:val="auto"/>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地址：诸暨市暨南路21号乐家大厦2号楼东16～17F</w:t>
      </w:r>
    </w:p>
    <w:p w14:paraId="49C096FD">
      <w:pPr>
        <w:pStyle w:val="18"/>
        <w:keepNext w:val="0"/>
        <w:keepLines w:val="0"/>
        <w:pageBreakBefore w:val="0"/>
        <w:kinsoku/>
        <w:wordWrap/>
        <w:overflowPunct/>
        <w:topLinePunct w:val="0"/>
        <w:bidi w:val="0"/>
        <w:spacing w:before="0" w:beforeAutospacing="0" w:after="0" w:afterAutospacing="0" w:line="360" w:lineRule="auto"/>
        <w:ind w:firstLine="480" w:firstLineChars="200"/>
        <w:textAlignment w:val="auto"/>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代理机构联系人：宣晨阳</w:t>
      </w:r>
    </w:p>
    <w:p w14:paraId="47008CAE">
      <w:pPr>
        <w:pStyle w:val="18"/>
        <w:keepNext w:val="0"/>
        <w:keepLines w:val="0"/>
        <w:pageBreakBefore w:val="0"/>
        <w:kinsoku/>
        <w:wordWrap/>
        <w:overflowPunct/>
        <w:topLinePunct w:val="0"/>
        <w:bidi w:val="0"/>
        <w:spacing w:before="0" w:beforeAutospacing="0" w:after="0" w:afterAutospacing="0" w:line="360" w:lineRule="auto"/>
        <w:ind w:firstLine="480" w:firstLineChars="200"/>
        <w:textAlignment w:val="auto"/>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联系电话：18258559388（工作电话）</w:t>
      </w:r>
    </w:p>
    <w:p w14:paraId="0103932F">
      <w:pPr>
        <w:keepNext w:val="0"/>
        <w:keepLines w:val="0"/>
        <w:pageBreakBefore w:val="0"/>
        <w:numPr>
          <w:ilvl w:val="0"/>
          <w:numId w:val="0"/>
        </w:numPr>
        <w:shd w:val="clear"/>
        <w:kinsoku/>
        <w:wordWrap/>
        <w:overflowPunct/>
        <w:topLinePunct w:val="0"/>
        <w:bidi w:val="0"/>
        <w:snapToGrid w:val="0"/>
        <w:spacing w:line="360" w:lineRule="auto"/>
        <w:ind w:firstLine="480" w:firstLineChars="200"/>
        <w:jc w:val="left"/>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b w:val="0"/>
          <w:bCs/>
          <w:color w:val="auto"/>
          <w:kern w:val="2"/>
          <w:sz w:val="24"/>
          <w:szCs w:val="24"/>
          <w:highlight w:val="none"/>
          <w:u w:val="none"/>
          <w:lang w:val="en-US" w:eastAsia="zh-CN" w:bidi="ar-SA"/>
        </w:rPr>
        <w:t>联系邮箱：zjboce@qq.com</w:t>
      </w:r>
    </w:p>
    <w:p w14:paraId="02D9F33A">
      <w:pPr>
        <w:pStyle w:val="26"/>
        <w:spacing w:line="360" w:lineRule="auto"/>
        <w:rPr>
          <w:rFonts w:hint="eastAsia" w:ascii="宋体" w:hAnsi="宋体" w:eastAsia="宋体" w:cs="宋体"/>
          <w:color w:val="auto"/>
          <w:highlight w:val="none"/>
        </w:rPr>
      </w:pPr>
    </w:p>
    <w:p w14:paraId="19CB71BC">
      <w:pPr>
        <w:pageBreakBefore w:val="0"/>
        <w:shd w:val="clear"/>
        <w:kinsoku/>
        <w:wordWrap/>
        <w:overflowPunct/>
        <w:topLinePunct w:val="0"/>
        <w:bidi w:val="0"/>
        <w:spacing w:line="360" w:lineRule="auto"/>
        <w:ind w:firstLine="440" w:firstLineChars="200"/>
        <w:jc w:val="left"/>
        <w:textAlignment w:val="auto"/>
        <w:rPr>
          <w:rFonts w:hint="eastAsia" w:ascii="宋体" w:hAnsi="宋体" w:eastAsia="宋体" w:cs="宋体"/>
          <w:b/>
          <w:bCs/>
          <w:color w:val="auto"/>
          <w:sz w:val="36"/>
          <w:szCs w:val="36"/>
          <w:highlight w:val="none"/>
        </w:rPr>
      </w:pPr>
      <w:r>
        <w:rPr>
          <w:rFonts w:hint="eastAsia" w:ascii="宋体" w:hAnsi="宋体" w:eastAsia="宋体" w:cs="宋体"/>
          <w:b w:val="0"/>
          <w:i w:val="0"/>
          <w:iCs w:val="0"/>
          <w:color w:val="auto"/>
          <w:sz w:val="22"/>
          <w:szCs w:val="22"/>
          <w:highlight w:val="none"/>
          <w:shd w:val="clear" w:color="auto" w:fill="FFFFFF"/>
        </w:rPr>
        <w:t>若对项目采购电子交易系统操作有疑问，可登录乐采云（https://www.lecaiyun.com/），点击右侧咨询小采，获取采小蜜智能服务管家帮助，或拨打服务热线95763获取热线服务帮助。CA问题联系电话（人工）：汇信CA 400-888-4636；天谷CA 400-087-8198。</w:t>
      </w:r>
    </w:p>
    <w:p w14:paraId="1B9B97FC">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7F37D28B">
      <w:pPr>
        <w:pStyle w:val="3"/>
        <w:spacing w:before="0" w:after="0" w:line="360" w:lineRule="auto"/>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第二章   投标须知</w:t>
      </w:r>
    </w:p>
    <w:p w14:paraId="1B38E092">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前  附  表</w:t>
      </w:r>
    </w:p>
    <w:tbl>
      <w:tblPr>
        <w:tblStyle w:val="20"/>
        <w:tblW w:w="100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1776"/>
        <w:gridCol w:w="7589"/>
      </w:tblGrid>
      <w:tr w14:paraId="6E171F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08F74EDD">
            <w:pPr>
              <w:pStyle w:val="11"/>
              <w:keepNext w:val="0"/>
              <w:keepLines w:val="0"/>
              <w:pageBreakBefore w:val="0"/>
              <w:kinsoku/>
              <w:wordWrap/>
              <w:overflowPunct/>
              <w:topLinePunct w:val="0"/>
              <w:bidi w:val="0"/>
              <w:spacing w:line="240" w:lineRule="auto"/>
              <w:jc w:val="center"/>
              <w:textAlignment w:val="auto"/>
              <w:rPr>
                <w:rFonts w:hint="eastAsia" w:ascii="宋体" w:hAnsi="宋体" w:eastAsia="宋体" w:cs="宋体"/>
                <w:b/>
                <w:color w:val="auto"/>
                <w:kern w:val="2"/>
                <w:szCs w:val="24"/>
                <w:highlight w:val="none"/>
                <w:lang w:val="en-US" w:eastAsia="zh-CN"/>
              </w:rPr>
            </w:pPr>
            <w:r>
              <w:rPr>
                <w:rFonts w:hint="eastAsia" w:ascii="宋体" w:hAnsi="宋体" w:eastAsia="宋体" w:cs="宋体"/>
                <w:b/>
                <w:color w:val="auto"/>
                <w:kern w:val="2"/>
                <w:szCs w:val="24"/>
                <w:highlight w:val="none"/>
                <w:lang w:val="en-US" w:eastAsia="zh-CN"/>
              </w:rPr>
              <w:t>序号</w:t>
            </w:r>
          </w:p>
        </w:tc>
        <w:tc>
          <w:tcPr>
            <w:tcW w:w="1776" w:type="dxa"/>
            <w:tcBorders>
              <w:top w:val="single" w:color="auto" w:sz="4" w:space="0"/>
              <w:left w:val="single" w:color="auto" w:sz="4" w:space="0"/>
              <w:bottom w:val="single" w:color="auto" w:sz="4" w:space="0"/>
              <w:right w:val="single" w:color="auto" w:sz="4" w:space="0"/>
            </w:tcBorders>
            <w:noWrap w:val="0"/>
            <w:vAlign w:val="center"/>
          </w:tcPr>
          <w:p w14:paraId="709637C2">
            <w:pPr>
              <w:pStyle w:val="11"/>
              <w:keepNext w:val="0"/>
              <w:keepLines w:val="0"/>
              <w:pageBreakBefore w:val="0"/>
              <w:kinsoku/>
              <w:wordWrap/>
              <w:overflowPunct/>
              <w:topLinePunct w:val="0"/>
              <w:bidi w:val="0"/>
              <w:spacing w:line="240" w:lineRule="auto"/>
              <w:jc w:val="center"/>
              <w:textAlignment w:val="auto"/>
              <w:rPr>
                <w:rFonts w:hint="eastAsia" w:ascii="宋体" w:hAnsi="宋体" w:eastAsia="宋体" w:cs="宋体"/>
                <w:b/>
                <w:color w:val="auto"/>
                <w:kern w:val="2"/>
                <w:szCs w:val="24"/>
                <w:highlight w:val="none"/>
                <w:lang w:val="en-US" w:eastAsia="zh-CN"/>
              </w:rPr>
            </w:pPr>
            <w:r>
              <w:rPr>
                <w:rFonts w:hint="eastAsia" w:ascii="宋体" w:hAnsi="宋体" w:eastAsia="宋体" w:cs="宋体"/>
                <w:b/>
                <w:color w:val="auto"/>
                <w:kern w:val="2"/>
                <w:szCs w:val="24"/>
                <w:highlight w:val="none"/>
                <w:lang w:val="en-US" w:eastAsia="zh-CN"/>
              </w:rPr>
              <w:t>内容</w:t>
            </w:r>
          </w:p>
        </w:tc>
        <w:tc>
          <w:tcPr>
            <w:tcW w:w="7589" w:type="dxa"/>
            <w:tcBorders>
              <w:top w:val="single" w:color="auto" w:sz="4" w:space="0"/>
              <w:left w:val="single" w:color="auto" w:sz="4" w:space="0"/>
              <w:bottom w:val="single" w:color="auto" w:sz="4" w:space="0"/>
              <w:right w:val="single" w:color="auto" w:sz="4" w:space="0"/>
            </w:tcBorders>
            <w:noWrap w:val="0"/>
            <w:vAlign w:val="center"/>
          </w:tcPr>
          <w:p w14:paraId="4A05B541">
            <w:pPr>
              <w:pStyle w:val="11"/>
              <w:keepNext w:val="0"/>
              <w:keepLines w:val="0"/>
              <w:pageBreakBefore w:val="0"/>
              <w:kinsoku/>
              <w:wordWrap/>
              <w:overflowPunct/>
              <w:topLinePunct w:val="0"/>
              <w:bidi w:val="0"/>
              <w:spacing w:line="240" w:lineRule="auto"/>
              <w:jc w:val="center"/>
              <w:textAlignment w:val="auto"/>
              <w:rPr>
                <w:rFonts w:hint="eastAsia" w:ascii="宋体" w:hAnsi="宋体" w:eastAsia="宋体" w:cs="宋体"/>
                <w:b/>
                <w:color w:val="auto"/>
                <w:kern w:val="2"/>
                <w:szCs w:val="24"/>
                <w:highlight w:val="none"/>
                <w:lang w:val="en-US" w:eastAsia="zh-CN"/>
              </w:rPr>
            </w:pPr>
            <w:r>
              <w:rPr>
                <w:rFonts w:hint="eastAsia" w:ascii="宋体" w:hAnsi="宋体" w:eastAsia="宋体" w:cs="宋体"/>
                <w:b/>
                <w:color w:val="auto"/>
                <w:kern w:val="2"/>
                <w:szCs w:val="24"/>
                <w:highlight w:val="none"/>
                <w:lang w:val="en-US" w:eastAsia="zh-CN"/>
              </w:rPr>
              <w:t>说明与要求</w:t>
            </w:r>
          </w:p>
        </w:tc>
      </w:tr>
      <w:tr w14:paraId="1F7F3C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2DDD4130">
            <w:pPr>
              <w:pStyle w:val="11"/>
              <w:keepNext w:val="0"/>
              <w:keepLines w:val="0"/>
              <w:pageBreakBefore w:val="0"/>
              <w:kinsoku/>
              <w:wordWrap/>
              <w:overflowPunct/>
              <w:topLinePunct w:val="0"/>
              <w:bidi w:val="0"/>
              <w:spacing w:line="240" w:lineRule="auto"/>
              <w:jc w:val="center"/>
              <w:textAlignment w:val="auto"/>
              <w:rPr>
                <w:rFonts w:hint="eastAsia" w:ascii="宋体" w:hAnsi="宋体" w:eastAsia="宋体" w:cs="宋体"/>
                <w:b/>
                <w:color w:val="auto"/>
                <w:kern w:val="2"/>
                <w:szCs w:val="24"/>
                <w:highlight w:val="none"/>
                <w:lang w:val="en-US" w:eastAsia="zh-CN"/>
              </w:rPr>
            </w:pPr>
            <w:r>
              <w:rPr>
                <w:rFonts w:hint="eastAsia" w:ascii="宋体" w:hAnsi="宋体" w:eastAsia="宋体" w:cs="宋体"/>
                <w:b/>
                <w:color w:val="auto"/>
                <w:kern w:val="2"/>
                <w:szCs w:val="24"/>
                <w:highlight w:val="none"/>
                <w:lang w:val="en-US" w:eastAsia="zh-CN"/>
              </w:rPr>
              <w:t>1</w:t>
            </w:r>
          </w:p>
        </w:tc>
        <w:tc>
          <w:tcPr>
            <w:tcW w:w="1776" w:type="dxa"/>
            <w:tcBorders>
              <w:top w:val="single" w:color="auto" w:sz="4" w:space="0"/>
              <w:left w:val="single" w:color="auto" w:sz="4" w:space="0"/>
              <w:bottom w:val="single" w:color="auto" w:sz="4" w:space="0"/>
              <w:right w:val="single" w:color="auto" w:sz="4" w:space="0"/>
            </w:tcBorders>
            <w:noWrap w:val="0"/>
            <w:vAlign w:val="center"/>
          </w:tcPr>
          <w:p w14:paraId="558DA702">
            <w:pPr>
              <w:pStyle w:val="11"/>
              <w:keepNext w:val="0"/>
              <w:keepLines w:val="0"/>
              <w:pageBreakBefore w:val="0"/>
              <w:kinsoku/>
              <w:wordWrap/>
              <w:overflowPunct/>
              <w:topLinePunct w:val="0"/>
              <w:bidi w:val="0"/>
              <w:spacing w:line="240" w:lineRule="auto"/>
              <w:jc w:val="center"/>
              <w:textAlignment w:val="auto"/>
              <w:rPr>
                <w:rFonts w:hint="eastAsia" w:ascii="宋体" w:hAnsi="宋体" w:eastAsia="宋体" w:cs="宋体"/>
                <w:b/>
                <w:color w:val="auto"/>
                <w:kern w:val="2"/>
                <w:szCs w:val="24"/>
                <w:highlight w:val="none"/>
                <w:lang w:val="en-US" w:eastAsia="zh-CN"/>
              </w:rPr>
            </w:pPr>
            <w:r>
              <w:rPr>
                <w:rFonts w:hint="eastAsia" w:ascii="宋体" w:hAnsi="宋体" w:eastAsia="宋体" w:cs="宋体"/>
                <w:color w:val="auto"/>
                <w:kern w:val="2"/>
                <w:szCs w:val="24"/>
                <w:highlight w:val="none"/>
                <w:lang w:val="en-US" w:eastAsia="zh-CN"/>
              </w:rPr>
              <w:t>项目名称</w:t>
            </w:r>
          </w:p>
        </w:tc>
        <w:tc>
          <w:tcPr>
            <w:tcW w:w="7589" w:type="dxa"/>
            <w:tcBorders>
              <w:top w:val="single" w:color="auto" w:sz="4" w:space="0"/>
              <w:left w:val="single" w:color="auto" w:sz="4" w:space="0"/>
              <w:bottom w:val="single" w:color="auto" w:sz="4" w:space="0"/>
              <w:right w:val="single" w:color="auto" w:sz="4" w:space="0"/>
            </w:tcBorders>
            <w:noWrap w:val="0"/>
            <w:vAlign w:val="center"/>
          </w:tcPr>
          <w:p w14:paraId="6F79C7DB">
            <w:pPr>
              <w:keepNext w:val="0"/>
              <w:keepLines w:val="0"/>
              <w:pageBreakBefore w:val="0"/>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rPr>
            </w:pPr>
            <w:r>
              <w:rPr>
                <w:rFonts w:hint="eastAsia" w:ascii="宋体" w:hAnsi="宋体" w:cs="宋体"/>
                <w:color w:val="auto"/>
                <w:sz w:val="24"/>
                <w:highlight w:val="none"/>
                <w:lang w:eastAsia="zh-CN"/>
              </w:rPr>
              <w:t>2024年智慧公卫增效项目</w:t>
            </w:r>
          </w:p>
        </w:tc>
      </w:tr>
      <w:tr w14:paraId="151E45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74DFBEA7">
            <w:pPr>
              <w:pStyle w:val="11"/>
              <w:keepNext w:val="0"/>
              <w:keepLines w:val="0"/>
              <w:pageBreakBefore w:val="0"/>
              <w:kinsoku/>
              <w:wordWrap/>
              <w:overflowPunct/>
              <w:topLinePunct w:val="0"/>
              <w:bidi w:val="0"/>
              <w:spacing w:line="240" w:lineRule="auto"/>
              <w:jc w:val="center"/>
              <w:textAlignment w:val="auto"/>
              <w:rPr>
                <w:rFonts w:hint="eastAsia" w:ascii="宋体" w:hAnsi="宋体" w:eastAsia="宋体" w:cs="宋体"/>
                <w:b/>
                <w:color w:val="auto"/>
                <w:kern w:val="2"/>
                <w:szCs w:val="24"/>
                <w:highlight w:val="none"/>
                <w:lang w:val="en-US" w:eastAsia="zh-CN"/>
              </w:rPr>
            </w:pPr>
            <w:r>
              <w:rPr>
                <w:rFonts w:hint="eastAsia" w:ascii="宋体" w:hAnsi="宋体" w:eastAsia="宋体" w:cs="宋体"/>
                <w:b/>
                <w:color w:val="auto"/>
                <w:kern w:val="2"/>
                <w:szCs w:val="24"/>
                <w:highlight w:val="none"/>
                <w:lang w:val="en-US" w:eastAsia="zh-CN"/>
              </w:rPr>
              <w:t>2</w:t>
            </w:r>
          </w:p>
        </w:tc>
        <w:tc>
          <w:tcPr>
            <w:tcW w:w="1776" w:type="dxa"/>
            <w:tcBorders>
              <w:top w:val="single" w:color="auto" w:sz="4" w:space="0"/>
              <w:left w:val="single" w:color="auto" w:sz="4" w:space="0"/>
              <w:bottom w:val="single" w:color="auto" w:sz="4" w:space="0"/>
              <w:right w:val="single" w:color="auto" w:sz="4" w:space="0"/>
            </w:tcBorders>
            <w:noWrap w:val="0"/>
            <w:vAlign w:val="center"/>
          </w:tcPr>
          <w:p w14:paraId="5FD63EBC">
            <w:pPr>
              <w:pStyle w:val="11"/>
              <w:keepNext w:val="0"/>
              <w:keepLines w:val="0"/>
              <w:pageBreakBefore w:val="0"/>
              <w:kinsoku/>
              <w:wordWrap/>
              <w:overflowPunct/>
              <w:topLinePunct w:val="0"/>
              <w:bidi w:val="0"/>
              <w:spacing w:line="240" w:lineRule="auto"/>
              <w:jc w:val="center"/>
              <w:textAlignment w:val="auto"/>
              <w:rPr>
                <w:rFonts w:hint="eastAsia" w:ascii="宋体" w:hAnsi="宋体" w:eastAsia="宋体" w:cs="宋体"/>
                <w:b/>
                <w:color w:val="auto"/>
                <w:kern w:val="2"/>
                <w:szCs w:val="24"/>
                <w:highlight w:val="none"/>
                <w:lang w:val="en-US" w:eastAsia="zh-CN"/>
              </w:rPr>
            </w:pPr>
            <w:r>
              <w:rPr>
                <w:rFonts w:hint="eastAsia" w:ascii="宋体" w:hAnsi="宋体" w:eastAsia="宋体" w:cs="宋体"/>
                <w:color w:val="auto"/>
                <w:kern w:val="2"/>
                <w:szCs w:val="24"/>
                <w:highlight w:val="none"/>
                <w:lang w:val="en-US" w:eastAsia="zh-CN"/>
              </w:rPr>
              <w:t>采购方式</w:t>
            </w:r>
          </w:p>
        </w:tc>
        <w:tc>
          <w:tcPr>
            <w:tcW w:w="7589" w:type="dxa"/>
            <w:tcBorders>
              <w:top w:val="single" w:color="auto" w:sz="4" w:space="0"/>
              <w:left w:val="single" w:color="auto" w:sz="4" w:space="0"/>
              <w:bottom w:val="single" w:color="auto" w:sz="4" w:space="0"/>
              <w:right w:val="single" w:color="auto" w:sz="4" w:space="0"/>
            </w:tcBorders>
            <w:noWrap w:val="0"/>
            <w:vAlign w:val="center"/>
          </w:tcPr>
          <w:p w14:paraId="0158F780">
            <w:pPr>
              <w:pStyle w:val="11"/>
              <w:keepNext w:val="0"/>
              <w:keepLines w:val="0"/>
              <w:pageBreakBefore w:val="0"/>
              <w:kinsoku/>
              <w:wordWrap/>
              <w:overflowPunct/>
              <w:topLinePunct w:val="0"/>
              <w:bidi w:val="0"/>
              <w:spacing w:line="240" w:lineRule="auto"/>
              <w:ind w:right="-107" w:rightChars="-51"/>
              <w:textAlignment w:val="auto"/>
              <w:rPr>
                <w:rFonts w:hint="eastAsia" w:ascii="宋体" w:hAnsi="宋体" w:eastAsia="宋体" w:cs="宋体"/>
                <w:color w:val="auto"/>
                <w:kern w:val="2"/>
                <w:szCs w:val="24"/>
                <w:highlight w:val="none"/>
                <w:lang w:val="en-US" w:eastAsia="zh-CN"/>
              </w:rPr>
            </w:pPr>
            <w:r>
              <w:rPr>
                <w:rFonts w:hint="eastAsia" w:ascii="宋体" w:hAnsi="宋体" w:eastAsia="宋体" w:cs="宋体"/>
                <w:color w:val="auto"/>
                <w:kern w:val="2"/>
                <w:szCs w:val="24"/>
                <w:highlight w:val="none"/>
                <w:lang w:val="en-US" w:eastAsia="zh-CN"/>
              </w:rPr>
              <w:t>公开招标</w:t>
            </w:r>
          </w:p>
        </w:tc>
      </w:tr>
      <w:tr w14:paraId="2B6FC5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72756C9B">
            <w:pPr>
              <w:pStyle w:val="11"/>
              <w:keepNext w:val="0"/>
              <w:keepLines w:val="0"/>
              <w:pageBreakBefore w:val="0"/>
              <w:kinsoku/>
              <w:wordWrap/>
              <w:overflowPunct/>
              <w:topLinePunct w:val="0"/>
              <w:bidi w:val="0"/>
              <w:spacing w:line="240" w:lineRule="auto"/>
              <w:jc w:val="center"/>
              <w:textAlignment w:val="auto"/>
              <w:rPr>
                <w:rFonts w:hint="eastAsia" w:ascii="宋体" w:hAnsi="宋体" w:eastAsia="宋体" w:cs="宋体"/>
                <w:b/>
                <w:color w:val="auto"/>
                <w:kern w:val="2"/>
                <w:szCs w:val="24"/>
                <w:highlight w:val="none"/>
                <w:lang w:val="en-US" w:eastAsia="zh-CN"/>
              </w:rPr>
            </w:pPr>
            <w:r>
              <w:rPr>
                <w:rFonts w:hint="eastAsia" w:ascii="宋体" w:hAnsi="宋体" w:eastAsia="宋体" w:cs="宋体"/>
                <w:b/>
                <w:color w:val="auto"/>
                <w:kern w:val="2"/>
                <w:szCs w:val="24"/>
                <w:highlight w:val="none"/>
                <w:lang w:val="en-US" w:eastAsia="zh-CN"/>
              </w:rPr>
              <w:t>3</w:t>
            </w:r>
          </w:p>
        </w:tc>
        <w:tc>
          <w:tcPr>
            <w:tcW w:w="1776" w:type="dxa"/>
            <w:tcBorders>
              <w:top w:val="single" w:color="auto" w:sz="4" w:space="0"/>
              <w:left w:val="single" w:color="auto" w:sz="4" w:space="0"/>
              <w:bottom w:val="single" w:color="auto" w:sz="4" w:space="0"/>
              <w:right w:val="single" w:color="auto" w:sz="4" w:space="0"/>
            </w:tcBorders>
            <w:noWrap w:val="0"/>
            <w:vAlign w:val="center"/>
          </w:tcPr>
          <w:p w14:paraId="45B25FCD">
            <w:pPr>
              <w:pStyle w:val="11"/>
              <w:keepNext w:val="0"/>
              <w:keepLines w:val="0"/>
              <w:pageBreakBefore w:val="0"/>
              <w:kinsoku/>
              <w:wordWrap/>
              <w:overflowPunct/>
              <w:topLinePunct w:val="0"/>
              <w:bidi w:val="0"/>
              <w:spacing w:line="240" w:lineRule="auto"/>
              <w:jc w:val="center"/>
              <w:textAlignment w:val="auto"/>
              <w:rPr>
                <w:rFonts w:hint="eastAsia" w:ascii="宋体" w:hAnsi="宋体" w:eastAsia="宋体" w:cs="宋体"/>
                <w:b/>
                <w:color w:val="auto"/>
                <w:kern w:val="2"/>
                <w:szCs w:val="24"/>
                <w:highlight w:val="none"/>
                <w:lang w:val="en-US" w:eastAsia="zh-CN"/>
              </w:rPr>
            </w:pPr>
            <w:r>
              <w:rPr>
                <w:rFonts w:hint="eastAsia" w:ascii="宋体" w:hAnsi="宋体" w:eastAsia="宋体" w:cs="宋体"/>
                <w:color w:val="auto"/>
                <w:kern w:val="2"/>
                <w:szCs w:val="24"/>
                <w:highlight w:val="none"/>
                <w:lang w:val="en-US" w:eastAsia="zh-CN"/>
              </w:rPr>
              <w:t>评标办法</w:t>
            </w:r>
          </w:p>
        </w:tc>
        <w:tc>
          <w:tcPr>
            <w:tcW w:w="7589" w:type="dxa"/>
            <w:tcBorders>
              <w:top w:val="single" w:color="auto" w:sz="4" w:space="0"/>
              <w:left w:val="single" w:color="auto" w:sz="4" w:space="0"/>
              <w:bottom w:val="single" w:color="auto" w:sz="4" w:space="0"/>
              <w:right w:val="single" w:color="auto" w:sz="4" w:space="0"/>
            </w:tcBorders>
            <w:noWrap w:val="0"/>
            <w:vAlign w:val="center"/>
          </w:tcPr>
          <w:p w14:paraId="7E22FFE2">
            <w:pPr>
              <w:pStyle w:val="11"/>
              <w:keepNext w:val="0"/>
              <w:keepLines w:val="0"/>
              <w:pageBreakBefore w:val="0"/>
              <w:kinsoku/>
              <w:wordWrap/>
              <w:overflowPunct/>
              <w:topLinePunct w:val="0"/>
              <w:bidi w:val="0"/>
              <w:spacing w:line="240" w:lineRule="auto"/>
              <w:ind w:right="-107" w:rightChars="-51"/>
              <w:textAlignment w:val="auto"/>
              <w:rPr>
                <w:rFonts w:hint="eastAsia" w:ascii="宋体" w:hAnsi="宋体" w:eastAsia="宋体" w:cs="宋体"/>
                <w:color w:val="auto"/>
                <w:kern w:val="2"/>
                <w:szCs w:val="24"/>
                <w:highlight w:val="none"/>
                <w:lang w:val="en-US" w:eastAsia="zh-CN"/>
              </w:rPr>
            </w:pPr>
            <w:r>
              <w:rPr>
                <w:rFonts w:hint="eastAsia" w:ascii="宋体" w:hAnsi="宋体" w:eastAsia="宋体" w:cs="宋体"/>
                <w:color w:val="auto"/>
                <w:kern w:val="2"/>
                <w:szCs w:val="24"/>
                <w:highlight w:val="none"/>
                <w:lang w:val="en-US" w:eastAsia="zh-CN"/>
              </w:rPr>
              <w:t>综合评分法</w:t>
            </w:r>
          </w:p>
        </w:tc>
      </w:tr>
      <w:tr w14:paraId="56A055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02EACF13">
            <w:pPr>
              <w:pStyle w:val="11"/>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auto"/>
                <w:kern w:val="2"/>
                <w:szCs w:val="24"/>
                <w:highlight w:val="none"/>
                <w:lang w:val="en-US" w:eastAsia="zh-CN"/>
              </w:rPr>
            </w:pPr>
            <w:r>
              <w:rPr>
                <w:rFonts w:hint="eastAsia" w:ascii="宋体" w:hAnsi="宋体" w:eastAsia="宋体" w:cs="宋体"/>
                <w:color w:val="auto"/>
                <w:kern w:val="2"/>
                <w:szCs w:val="24"/>
                <w:highlight w:val="none"/>
                <w:lang w:val="en-US" w:eastAsia="zh-CN"/>
              </w:rPr>
              <w:t>4</w:t>
            </w:r>
          </w:p>
        </w:tc>
        <w:tc>
          <w:tcPr>
            <w:tcW w:w="1776" w:type="dxa"/>
            <w:tcBorders>
              <w:top w:val="single" w:color="auto" w:sz="4" w:space="0"/>
              <w:left w:val="single" w:color="auto" w:sz="4" w:space="0"/>
              <w:bottom w:val="single" w:color="auto" w:sz="4" w:space="0"/>
              <w:right w:val="single" w:color="auto" w:sz="4" w:space="0"/>
            </w:tcBorders>
            <w:noWrap w:val="0"/>
            <w:vAlign w:val="center"/>
          </w:tcPr>
          <w:p w14:paraId="4AC28AF0">
            <w:pPr>
              <w:pStyle w:val="11"/>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auto"/>
                <w:kern w:val="2"/>
                <w:szCs w:val="24"/>
                <w:highlight w:val="none"/>
                <w:lang w:val="en-US" w:eastAsia="zh-CN"/>
              </w:rPr>
            </w:pPr>
            <w:r>
              <w:rPr>
                <w:rFonts w:hint="eastAsia" w:ascii="宋体" w:hAnsi="宋体" w:eastAsia="宋体" w:cs="宋体"/>
                <w:color w:val="auto"/>
                <w:kern w:val="2"/>
                <w:szCs w:val="24"/>
                <w:highlight w:val="none"/>
                <w:lang w:val="en-US" w:eastAsia="zh-CN"/>
              </w:rPr>
              <w:t>最高限价</w:t>
            </w:r>
          </w:p>
        </w:tc>
        <w:tc>
          <w:tcPr>
            <w:tcW w:w="7589" w:type="dxa"/>
            <w:tcBorders>
              <w:top w:val="single" w:color="auto" w:sz="4" w:space="0"/>
              <w:left w:val="single" w:color="auto" w:sz="4" w:space="0"/>
              <w:bottom w:val="single" w:color="auto" w:sz="4" w:space="0"/>
              <w:right w:val="single" w:color="auto" w:sz="4" w:space="0"/>
            </w:tcBorders>
            <w:noWrap w:val="0"/>
            <w:vAlign w:val="center"/>
          </w:tcPr>
          <w:p w14:paraId="7EF1997B">
            <w:pPr>
              <w:keepNext w:val="0"/>
              <w:keepLines w:val="0"/>
              <w:pageBreakBefore w:val="0"/>
              <w:widowControl/>
              <w:kinsoku/>
              <w:wordWrap/>
              <w:overflowPunct/>
              <w:topLinePunct w:val="0"/>
              <w:bidi w:val="0"/>
              <w:spacing w:line="240" w:lineRule="auto"/>
              <w:jc w:val="left"/>
              <w:textAlignment w:val="auto"/>
              <w:rPr>
                <w:rFonts w:hint="eastAsia" w:ascii="宋体" w:hAnsi="宋体" w:eastAsia="宋体" w:cs="宋体"/>
                <w:color w:val="auto"/>
                <w:sz w:val="24"/>
                <w:szCs w:val="24"/>
                <w:highlight w:val="none"/>
              </w:rPr>
            </w:pPr>
            <w:r>
              <w:rPr>
                <w:rFonts w:hint="eastAsia" w:asciiTheme="minorEastAsia" w:hAnsiTheme="minorEastAsia" w:eastAsiaTheme="minorEastAsia" w:cstheme="minorEastAsia"/>
                <w:b w:val="0"/>
                <w:bCs/>
                <w:color w:val="auto"/>
                <w:kern w:val="2"/>
                <w:sz w:val="24"/>
                <w:szCs w:val="24"/>
                <w:highlight w:val="none"/>
                <w:lang w:val="en-US" w:eastAsia="zh-CN" w:bidi="ar-SA"/>
              </w:rPr>
              <w:t>本次招标最高限价为人民币贰佰捌拾万元整（¥2800000.00），任何超过最高限价的报价将被认定为无效报价。（投标报价包含材料、货物运输、配送、验收、送检费、安装、调试、培训、售后服务、税费等与项目建设相关的一切费用）。</w:t>
            </w:r>
          </w:p>
        </w:tc>
      </w:tr>
      <w:tr w14:paraId="71142E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074DCAAB">
            <w:pPr>
              <w:pStyle w:val="11"/>
              <w:keepNext w:val="0"/>
              <w:keepLines w:val="0"/>
              <w:pageBreakBefore w:val="0"/>
              <w:kinsoku/>
              <w:wordWrap/>
              <w:overflowPunct/>
              <w:topLinePunct w:val="0"/>
              <w:bidi w:val="0"/>
              <w:spacing w:line="240" w:lineRule="auto"/>
              <w:jc w:val="center"/>
              <w:textAlignment w:val="auto"/>
              <w:rPr>
                <w:rFonts w:hint="eastAsia" w:ascii="宋体" w:hAnsi="宋体" w:eastAsia="宋体" w:cs="宋体"/>
                <w:b/>
                <w:color w:val="auto"/>
                <w:kern w:val="2"/>
                <w:szCs w:val="24"/>
                <w:highlight w:val="none"/>
                <w:lang w:val="en-US" w:eastAsia="zh-CN"/>
              </w:rPr>
            </w:pPr>
            <w:r>
              <w:rPr>
                <w:rFonts w:hint="eastAsia" w:ascii="宋体" w:hAnsi="宋体" w:eastAsia="宋体" w:cs="宋体"/>
                <w:b/>
                <w:color w:val="auto"/>
                <w:kern w:val="2"/>
                <w:szCs w:val="24"/>
                <w:highlight w:val="none"/>
                <w:lang w:val="en-US" w:eastAsia="zh-CN"/>
              </w:rPr>
              <w:t>5</w:t>
            </w:r>
          </w:p>
        </w:tc>
        <w:tc>
          <w:tcPr>
            <w:tcW w:w="1776" w:type="dxa"/>
            <w:tcBorders>
              <w:top w:val="single" w:color="auto" w:sz="4" w:space="0"/>
              <w:left w:val="single" w:color="auto" w:sz="4" w:space="0"/>
              <w:bottom w:val="single" w:color="auto" w:sz="4" w:space="0"/>
              <w:right w:val="single" w:color="auto" w:sz="4" w:space="0"/>
            </w:tcBorders>
            <w:noWrap w:val="0"/>
            <w:vAlign w:val="center"/>
          </w:tcPr>
          <w:p w14:paraId="7BB45A2A">
            <w:pPr>
              <w:pStyle w:val="11"/>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auto"/>
                <w:kern w:val="2"/>
                <w:szCs w:val="24"/>
                <w:highlight w:val="none"/>
                <w:lang w:val="en-US" w:eastAsia="zh-CN"/>
              </w:rPr>
            </w:pPr>
            <w:r>
              <w:rPr>
                <w:rFonts w:hint="eastAsia" w:ascii="宋体" w:hAnsi="宋体" w:eastAsia="宋体" w:cs="宋体"/>
                <w:color w:val="auto"/>
                <w:kern w:val="2"/>
                <w:szCs w:val="24"/>
                <w:highlight w:val="none"/>
                <w:lang w:val="en-US" w:eastAsia="zh-CN"/>
              </w:rPr>
              <w:t>投标人（供应商）资格要求</w:t>
            </w:r>
          </w:p>
        </w:tc>
        <w:tc>
          <w:tcPr>
            <w:tcW w:w="7589" w:type="dxa"/>
            <w:tcBorders>
              <w:top w:val="single" w:color="auto" w:sz="4" w:space="0"/>
              <w:left w:val="single" w:color="auto" w:sz="4" w:space="0"/>
              <w:bottom w:val="single" w:color="auto" w:sz="4" w:space="0"/>
              <w:right w:val="single" w:color="auto" w:sz="4" w:space="0"/>
            </w:tcBorders>
            <w:noWrap w:val="0"/>
            <w:vAlign w:val="center"/>
          </w:tcPr>
          <w:p w14:paraId="4C594415">
            <w:pPr>
              <w:keepNext w:val="0"/>
              <w:keepLines w:val="0"/>
              <w:pageBreakBefore w:val="0"/>
              <w:kinsoku/>
              <w:wordWrap/>
              <w:overflowPunct/>
              <w:topLinePunct w:val="0"/>
              <w:bidi w:val="0"/>
              <w:snapToGrid w:val="0"/>
              <w:spacing w:line="24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1、满足《中华人民共和国政府采购法》第二十二条规定；</w:t>
            </w:r>
          </w:p>
          <w:p w14:paraId="6B8131D5">
            <w:pPr>
              <w:keepNext w:val="0"/>
              <w:keepLines w:val="0"/>
              <w:pageBreakBefore w:val="0"/>
              <w:kinsoku/>
              <w:wordWrap/>
              <w:overflowPunct/>
              <w:topLinePunct w:val="0"/>
              <w:bidi w:val="0"/>
              <w:snapToGrid w:val="0"/>
              <w:spacing w:line="24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2、未被“信用中国”（www.creditchina.gov.cn）、中国政府采购网（www.ccgp.gov.cn）列入失信被执行人、重大税收违法案件当事人名单、政府采购严重违法失信行为记录名单；</w:t>
            </w:r>
          </w:p>
          <w:p w14:paraId="375D0D20">
            <w:pPr>
              <w:keepNext w:val="0"/>
              <w:keepLines w:val="0"/>
              <w:pageBreakBefore w:val="0"/>
              <w:kinsoku/>
              <w:wordWrap/>
              <w:overflowPunct/>
              <w:topLinePunct w:val="0"/>
              <w:bidi w:val="0"/>
              <w:snapToGrid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highlight w:val="none"/>
              </w:rPr>
              <w:t>3、具有本项目实施能力，且具有良好信誉的独立法人</w:t>
            </w:r>
            <w:r>
              <w:rPr>
                <w:rFonts w:hint="eastAsia" w:ascii="宋体" w:hAnsi="宋体" w:cs="宋体"/>
                <w:color w:val="auto"/>
                <w:sz w:val="24"/>
                <w:highlight w:val="none"/>
                <w:lang w:eastAsia="zh-CN"/>
              </w:rPr>
              <w:t>。</w:t>
            </w:r>
          </w:p>
        </w:tc>
      </w:tr>
      <w:tr w14:paraId="51AA71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63381A3A">
            <w:pPr>
              <w:pStyle w:val="11"/>
              <w:keepNext w:val="0"/>
              <w:keepLines w:val="0"/>
              <w:pageBreakBefore w:val="0"/>
              <w:kinsoku/>
              <w:wordWrap/>
              <w:overflowPunct/>
              <w:topLinePunct w:val="0"/>
              <w:bidi w:val="0"/>
              <w:spacing w:line="240" w:lineRule="auto"/>
              <w:jc w:val="center"/>
              <w:textAlignment w:val="auto"/>
              <w:rPr>
                <w:rFonts w:hint="eastAsia" w:ascii="宋体" w:hAnsi="宋体" w:eastAsia="宋体" w:cs="宋体"/>
                <w:b/>
                <w:color w:val="auto"/>
                <w:kern w:val="2"/>
                <w:szCs w:val="24"/>
                <w:highlight w:val="none"/>
                <w:lang w:val="en-US" w:eastAsia="zh-CN"/>
              </w:rPr>
            </w:pPr>
            <w:r>
              <w:rPr>
                <w:rFonts w:hint="eastAsia" w:ascii="宋体" w:hAnsi="宋体" w:eastAsia="宋体" w:cs="宋体"/>
                <w:b/>
                <w:color w:val="auto"/>
                <w:kern w:val="2"/>
                <w:szCs w:val="24"/>
                <w:highlight w:val="none"/>
                <w:lang w:val="en-US" w:eastAsia="zh-CN"/>
              </w:rPr>
              <w:t>6</w:t>
            </w:r>
          </w:p>
        </w:tc>
        <w:tc>
          <w:tcPr>
            <w:tcW w:w="1776" w:type="dxa"/>
            <w:tcBorders>
              <w:top w:val="single" w:color="auto" w:sz="4" w:space="0"/>
              <w:left w:val="single" w:color="auto" w:sz="4" w:space="0"/>
              <w:bottom w:val="single" w:color="auto" w:sz="4" w:space="0"/>
              <w:right w:val="single" w:color="auto" w:sz="4" w:space="0"/>
            </w:tcBorders>
            <w:noWrap w:val="0"/>
            <w:vAlign w:val="center"/>
          </w:tcPr>
          <w:p w14:paraId="4EB804FB">
            <w:pPr>
              <w:pStyle w:val="11"/>
              <w:keepNext w:val="0"/>
              <w:keepLines w:val="0"/>
              <w:pageBreakBefore w:val="0"/>
              <w:kinsoku/>
              <w:wordWrap/>
              <w:overflowPunct/>
              <w:topLinePunct w:val="0"/>
              <w:bidi w:val="0"/>
              <w:spacing w:line="240" w:lineRule="auto"/>
              <w:jc w:val="center"/>
              <w:textAlignment w:val="auto"/>
              <w:rPr>
                <w:rFonts w:hint="eastAsia" w:ascii="宋体" w:hAnsi="宋体" w:eastAsia="宋体" w:cs="宋体"/>
                <w:b/>
                <w:color w:val="auto"/>
                <w:kern w:val="2"/>
                <w:szCs w:val="24"/>
                <w:highlight w:val="none"/>
                <w:lang w:val="en-US" w:eastAsia="zh-CN"/>
              </w:rPr>
            </w:pPr>
            <w:r>
              <w:rPr>
                <w:rFonts w:hint="eastAsia" w:ascii="宋体" w:hAnsi="宋体" w:eastAsia="宋体" w:cs="宋体"/>
                <w:color w:val="auto"/>
                <w:kern w:val="2"/>
                <w:szCs w:val="24"/>
                <w:highlight w:val="none"/>
                <w:lang w:val="en-US" w:eastAsia="zh-CN"/>
              </w:rPr>
              <w:t>是否接受联合体投标</w:t>
            </w:r>
          </w:p>
        </w:tc>
        <w:tc>
          <w:tcPr>
            <w:tcW w:w="7589" w:type="dxa"/>
            <w:tcBorders>
              <w:top w:val="single" w:color="auto" w:sz="4" w:space="0"/>
              <w:left w:val="single" w:color="auto" w:sz="4" w:space="0"/>
              <w:bottom w:val="single" w:color="auto" w:sz="4" w:space="0"/>
              <w:right w:val="single" w:color="auto" w:sz="4" w:space="0"/>
            </w:tcBorders>
            <w:noWrap w:val="0"/>
            <w:vAlign w:val="center"/>
          </w:tcPr>
          <w:p w14:paraId="2B51AA88">
            <w:pPr>
              <w:pStyle w:val="11"/>
              <w:keepNext w:val="0"/>
              <w:keepLines w:val="0"/>
              <w:pageBreakBefore w:val="0"/>
              <w:kinsoku/>
              <w:wordWrap/>
              <w:overflowPunct/>
              <w:topLinePunct w:val="0"/>
              <w:bidi w:val="0"/>
              <w:spacing w:line="240" w:lineRule="auto"/>
              <w:textAlignment w:val="auto"/>
              <w:rPr>
                <w:rFonts w:hint="eastAsia" w:ascii="宋体" w:hAnsi="宋体" w:eastAsia="宋体" w:cs="宋体"/>
                <w:color w:val="auto"/>
                <w:kern w:val="2"/>
                <w:szCs w:val="24"/>
                <w:highlight w:val="none"/>
                <w:lang w:val="en-US" w:eastAsia="zh-CN"/>
              </w:rPr>
            </w:pPr>
            <w:r>
              <w:rPr>
                <w:rFonts w:hint="eastAsia" w:ascii="宋体" w:hAnsi="宋体" w:eastAsia="宋体" w:cs="宋体"/>
                <w:color w:val="auto"/>
                <w:kern w:val="2"/>
                <w:szCs w:val="24"/>
                <w:highlight w:val="none"/>
                <w:lang w:val="en-US" w:eastAsia="zh-CN"/>
              </w:rPr>
              <w:fldChar w:fldCharType="begin"/>
            </w:r>
            <w:r>
              <w:rPr>
                <w:rFonts w:hint="eastAsia" w:ascii="宋体" w:hAnsi="宋体" w:eastAsia="宋体" w:cs="宋体"/>
                <w:color w:val="auto"/>
                <w:kern w:val="2"/>
                <w:szCs w:val="24"/>
                <w:highlight w:val="none"/>
                <w:lang w:val="en-US" w:eastAsia="zh-CN"/>
              </w:rPr>
              <w:instrText xml:space="preserve"> eq \o\ac(□,√)</w:instrText>
            </w:r>
            <w:r>
              <w:rPr>
                <w:rFonts w:hint="eastAsia" w:ascii="宋体" w:hAnsi="宋体" w:eastAsia="宋体" w:cs="宋体"/>
                <w:color w:val="auto"/>
                <w:kern w:val="2"/>
                <w:szCs w:val="24"/>
                <w:highlight w:val="none"/>
                <w:lang w:val="en-US" w:eastAsia="zh-CN"/>
              </w:rPr>
              <w:fldChar w:fldCharType="end"/>
            </w:r>
            <w:r>
              <w:rPr>
                <w:rFonts w:hint="eastAsia" w:ascii="宋体" w:hAnsi="宋体" w:eastAsia="宋体" w:cs="宋体"/>
                <w:color w:val="auto"/>
                <w:kern w:val="2"/>
                <w:szCs w:val="24"/>
                <w:highlight w:val="none"/>
                <w:lang w:val="en-US" w:eastAsia="zh-CN"/>
              </w:rPr>
              <w:t>不接受。</w:t>
            </w:r>
          </w:p>
        </w:tc>
      </w:tr>
      <w:tr w14:paraId="697E7F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13FBA5D4">
            <w:pPr>
              <w:pStyle w:val="11"/>
              <w:keepNext w:val="0"/>
              <w:keepLines w:val="0"/>
              <w:pageBreakBefore w:val="0"/>
              <w:kinsoku/>
              <w:wordWrap/>
              <w:overflowPunct/>
              <w:topLinePunct w:val="0"/>
              <w:bidi w:val="0"/>
              <w:spacing w:line="240" w:lineRule="auto"/>
              <w:jc w:val="center"/>
              <w:textAlignment w:val="auto"/>
              <w:rPr>
                <w:rFonts w:hint="eastAsia" w:ascii="宋体" w:hAnsi="宋体" w:eastAsia="宋体" w:cs="宋体"/>
                <w:b/>
                <w:color w:val="auto"/>
                <w:kern w:val="2"/>
                <w:szCs w:val="24"/>
                <w:highlight w:val="none"/>
                <w:lang w:val="en-US" w:eastAsia="zh-CN"/>
              </w:rPr>
            </w:pPr>
            <w:r>
              <w:rPr>
                <w:rFonts w:hint="eastAsia" w:ascii="宋体" w:hAnsi="宋体" w:eastAsia="宋体" w:cs="宋体"/>
                <w:b/>
                <w:color w:val="auto"/>
                <w:kern w:val="2"/>
                <w:szCs w:val="24"/>
                <w:highlight w:val="none"/>
                <w:lang w:val="en-US" w:eastAsia="zh-CN"/>
              </w:rPr>
              <w:t>7</w:t>
            </w:r>
          </w:p>
        </w:tc>
        <w:tc>
          <w:tcPr>
            <w:tcW w:w="1776" w:type="dxa"/>
            <w:tcBorders>
              <w:top w:val="single" w:color="auto" w:sz="4" w:space="0"/>
              <w:left w:val="single" w:color="auto" w:sz="4" w:space="0"/>
              <w:bottom w:val="single" w:color="auto" w:sz="4" w:space="0"/>
              <w:right w:val="single" w:color="auto" w:sz="4" w:space="0"/>
            </w:tcBorders>
            <w:noWrap w:val="0"/>
            <w:vAlign w:val="center"/>
          </w:tcPr>
          <w:p w14:paraId="0609772B">
            <w:pPr>
              <w:pStyle w:val="11"/>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auto"/>
                <w:kern w:val="2"/>
                <w:szCs w:val="24"/>
                <w:highlight w:val="none"/>
                <w:lang w:val="en-US" w:eastAsia="zh-CN"/>
              </w:rPr>
            </w:pPr>
            <w:r>
              <w:rPr>
                <w:rFonts w:hint="eastAsia" w:ascii="宋体" w:hAnsi="宋体" w:eastAsia="宋体" w:cs="宋体"/>
                <w:color w:val="auto"/>
                <w:kern w:val="2"/>
                <w:szCs w:val="24"/>
                <w:highlight w:val="none"/>
                <w:lang w:val="en-US" w:eastAsia="zh-CN"/>
              </w:rPr>
              <w:t>标的划分</w:t>
            </w:r>
          </w:p>
        </w:tc>
        <w:tc>
          <w:tcPr>
            <w:tcW w:w="7589" w:type="dxa"/>
            <w:tcBorders>
              <w:top w:val="single" w:color="auto" w:sz="4" w:space="0"/>
              <w:left w:val="single" w:color="auto" w:sz="4" w:space="0"/>
              <w:bottom w:val="single" w:color="auto" w:sz="4" w:space="0"/>
              <w:right w:val="single" w:color="auto" w:sz="4" w:space="0"/>
            </w:tcBorders>
            <w:noWrap w:val="0"/>
            <w:vAlign w:val="center"/>
          </w:tcPr>
          <w:p w14:paraId="24FDD336">
            <w:pPr>
              <w:keepNext w:val="0"/>
              <w:keepLines w:val="0"/>
              <w:pageBreakBefore w:val="0"/>
              <w:kinsoku/>
              <w:wordWrap/>
              <w:overflowPunct/>
              <w:topLinePunct w:val="0"/>
              <w:bidi w:val="0"/>
              <w:snapToGrid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eq \o\ac(□,√)</w:instrText>
            </w:r>
            <w:r>
              <w:rPr>
                <w:rFonts w:hint="eastAsia" w:ascii="宋体" w:hAnsi="宋体" w:eastAsia="宋体" w:cs="宋体"/>
                <w:color w:val="auto"/>
                <w:szCs w:val="24"/>
                <w:highlight w:val="none"/>
              </w:rPr>
              <w:fldChar w:fldCharType="end"/>
            </w:r>
            <w:r>
              <w:rPr>
                <w:rFonts w:hint="eastAsia" w:ascii="宋体" w:hAnsi="宋体" w:eastAsia="宋体" w:cs="宋体"/>
                <w:color w:val="auto"/>
                <w:sz w:val="24"/>
                <w:szCs w:val="24"/>
                <w:highlight w:val="none"/>
              </w:rPr>
              <w:t>本次招标共</w:t>
            </w:r>
            <w:r>
              <w:rPr>
                <w:rFonts w:hint="eastAsia" w:ascii="宋体" w:hAnsi="宋体" w:eastAsia="宋体" w:cs="宋体"/>
                <w:b/>
                <w:bCs/>
                <w:color w:val="auto"/>
                <w:sz w:val="24"/>
                <w:szCs w:val="24"/>
                <w:highlight w:val="none"/>
                <w:u w:val="single"/>
              </w:rPr>
              <w:t>1</w:t>
            </w:r>
            <w:r>
              <w:rPr>
                <w:rFonts w:hint="eastAsia" w:ascii="宋体" w:hAnsi="宋体" w:eastAsia="宋体" w:cs="宋体"/>
                <w:color w:val="auto"/>
                <w:sz w:val="24"/>
                <w:szCs w:val="24"/>
                <w:highlight w:val="none"/>
              </w:rPr>
              <w:t>个标的，采购人将整体择定中标人。</w:t>
            </w:r>
          </w:p>
        </w:tc>
      </w:tr>
      <w:tr w14:paraId="4F176B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3D77719D">
            <w:pPr>
              <w:pStyle w:val="11"/>
              <w:keepNext w:val="0"/>
              <w:keepLines w:val="0"/>
              <w:pageBreakBefore w:val="0"/>
              <w:kinsoku/>
              <w:wordWrap/>
              <w:overflowPunct/>
              <w:topLinePunct w:val="0"/>
              <w:bidi w:val="0"/>
              <w:spacing w:line="240" w:lineRule="auto"/>
              <w:jc w:val="center"/>
              <w:textAlignment w:val="auto"/>
              <w:rPr>
                <w:rFonts w:hint="eastAsia" w:ascii="宋体" w:hAnsi="宋体" w:eastAsia="宋体" w:cs="宋体"/>
                <w:b/>
                <w:color w:val="auto"/>
                <w:kern w:val="2"/>
                <w:szCs w:val="24"/>
                <w:highlight w:val="none"/>
                <w:lang w:val="en-US" w:eastAsia="zh-CN"/>
              </w:rPr>
            </w:pPr>
            <w:r>
              <w:rPr>
                <w:rFonts w:hint="eastAsia" w:ascii="宋体" w:hAnsi="宋体" w:eastAsia="宋体" w:cs="宋体"/>
                <w:b/>
                <w:color w:val="auto"/>
                <w:kern w:val="2"/>
                <w:szCs w:val="24"/>
                <w:highlight w:val="none"/>
                <w:lang w:val="en-US" w:eastAsia="zh-CN"/>
              </w:rPr>
              <w:t>8</w:t>
            </w:r>
          </w:p>
        </w:tc>
        <w:tc>
          <w:tcPr>
            <w:tcW w:w="1776" w:type="dxa"/>
            <w:tcBorders>
              <w:top w:val="single" w:color="auto" w:sz="4" w:space="0"/>
              <w:left w:val="single" w:color="auto" w:sz="4" w:space="0"/>
              <w:bottom w:val="single" w:color="auto" w:sz="4" w:space="0"/>
              <w:right w:val="single" w:color="auto" w:sz="4" w:space="0"/>
            </w:tcBorders>
            <w:noWrap w:val="0"/>
            <w:vAlign w:val="center"/>
          </w:tcPr>
          <w:p w14:paraId="21E7FEA1">
            <w:pPr>
              <w:pStyle w:val="11"/>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auto"/>
                <w:kern w:val="2"/>
                <w:szCs w:val="24"/>
                <w:highlight w:val="none"/>
                <w:lang w:val="en-US" w:eastAsia="zh-CN"/>
              </w:rPr>
            </w:pPr>
            <w:r>
              <w:rPr>
                <w:rFonts w:hint="eastAsia" w:ascii="宋体" w:hAnsi="宋体" w:eastAsia="宋体" w:cs="宋体"/>
                <w:color w:val="auto"/>
                <w:kern w:val="2"/>
                <w:szCs w:val="24"/>
                <w:highlight w:val="none"/>
                <w:lang w:val="en-US" w:eastAsia="zh-CN"/>
              </w:rPr>
              <w:t>资格审查</w:t>
            </w:r>
          </w:p>
        </w:tc>
        <w:tc>
          <w:tcPr>
            <w:tcW w:w="7589" w:type="dxa"/>
            <w:tcBorders>
              <w:top w:val="single" w:color="auto" w:sz="4" w:space="0"/>
              <w:left w:val="single" w:color="auto" w:sz="4" w:space="0"/>
              <w:bottom w:val="single" w:color="auto" w:sz="4" w:space="0"/>
              <w:right w:val="single" w:color="auto" w:sz="4" w:space="0"/>
            </w:tcBorders>
            <w:noWrap w:val="0"/>
            <w:vAlign w:val="center"/>
          </w:tcPr>
          <w:p w14:paraId="62052030">
            <w:pPr>
              <w:keepNext w:val="0"/>
              <w:keepLines w:val="0"/>
              <w:pageBreakBefore w:val="0"/>
              <w:kinsoku/>
              <w:wordWrap/>
              <w:overflowPunct/>
              <w:topLinePunct w:val="0"/>
              <w:bidi w:val="0"/>
              <w:snapToGrid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供应商资格采用资格后审方式，依据法律、法规和招标文件规定，采购人或委托采购代理机构对投标人进行资格审查，以确定投标人是否具备投标资格。</w:t>
            </w:r>
          </w:p>
        </w:tc>
      </w:tr>
      <w:tr w14:paraId="451D57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right w:val="single" w:color="auto" w:sz="4" w:space="0"/>
            </w:tcBorders>
            <w:noWrap w:val="0"/>
            <w:vAlign w:val="center"/>
          </w:tcPr>
          <w:p w14:paraId="6D084C30">
            <w:pPr>
              <w:pStyle w:val="11"/>
              <w:keepNext w:val="0"/>
              <w:keepLines w:val="0"/>
              <w:pageBreakBefore w:val="0"/>
              <w:kinsoku/>
              <w:wordWrap/>
              <w:overflowPunct/>
              <w:topLinePunct w:val="0"/>
              <w:bidi w:val="0"/>
              <w:spacing w:line="240" w:lineRule="auto"/>
              <w:jc w:val="center"/>
              <w:textAlignment w:val="auto"/>
              <w:rPr>
                <w:rFonts w:hint="eastAsia" w:ascii="宋体" w:hAnsi="宋体" w:eastAsia="宋体" w:cs="宋体"/>
                <w:b/>
                <w:color w:val="auto"/>
                <w:kern w:val="2"/>
                <w:szCs w:val="24"/>
                <w:highlight w:val="none"/>
                <w:lang w:val="en-US" w:eastAsia="zh-CN"/>
              </w:rPr>
            </w:pPr>
            <w:r>
              <w:rPr>
                <w:rFonts w:hint="eastAsia" w:ascii="宋体" w:hAnsi="宋体" w:eastAsia="宋体" w:cs="宋体"/>
                <w:b/>
                <w:color w:val="auto"/>
                <w:kern w:val="2"/>
                <w:szCs w:val="24"/>
                <w:highlight w:val="none"/>
                <w:lang w:val="en-US" w:eastAsia="zh-CN"/>
              </w:rPr>
              <w:t>9</w:t>
            </w:r>
          </w:p>
        </w:tc>
        <w:tc>
          <w:tcPr>
            <w:tcW w:w="1776" w:type="dxa"/>
            <w:tcBorders>
              <w:top w:val="single" w:color="auto" w:sz="4" w:space="0"/>
              <w:left w:val="single" w:color="auto" w:sz="4" w:space="0"/>
              <w:right w:val="single" w:color="auto" w:sz="4" w:space="0"/>
            </w:tcBorders>
            <w:noWrap w:val="0"/>
            <w:vAlign w:val="center"/>
          </w:tcPr>
          <w:p w14:paraId="2509B01E">
            <w:pPr>
              <w:pStyle w:val="11"/>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auto"/>
                <w:kern w:val="2"/>
                <w:szCs w:val="24"/>
                <w:highlight w:val="none"/>
                <w:lang w:val="en-US" w:eastAsia="zh-CN"/>
              </w:rPr>
            </w:pPr>
            <w:r>
              <w:rPr>
                <w:rFonts w:hint="eastAsia" w:ascii="宋体" w:hAnsi="宋体" w:eastAsia="宋体" w:cs="宋体"/>
                <w:color w:val="auto"/>
                <w:kern w:val="2"/>
                <w:szCs w:val="24"/>
                <w:highlight w:val="none"/>
                <w:lang w:val="en-US" w:eastAsia="zh-CN"/>
              </w:rPr>
              <w:t>招标文件的</w:t>
            </w:r>
          </w:p>
          <w:p w14:paraId="3C45A890">
            <w:pPr>
              <w:pStyle w:val="11"/>
              <w:keepNext w:val="0"/>
              <w:keepLines w:val="0"/>
              <w:pageBreakBefore w:val="0"/>
              <w:kinsoku/>
              <w:wordWrap/>
              <w:overflowPunct/>
              <w:topLinePunct w:val="0"/>
              <w:bidi w:val="0"/>
              <w:spacing w:line="240" w:lineRule="auto"/>
              <w:jc w:val="center"/>
              <w:textAlignment w:val="auto"/>
              <w:rPr>
                <w:rFonts w:hint="eastAsia" w:ascii="宋体" w:hAnsi="宋体" w:eastAsia="宋体" w:cs="宋体"/>
                <w:b/>
                <w:color w:val="auto"/>
                <w:kern w:val="2"/>
                <w:szCs w:val="24"/>
                <w:highlight w:val="none"/>
                <w:lang w:val="en-US" w:eastAsia="zh-CN"/>
              </w:rPr>
            </w:pPr>
            <w:r>
              <w:rPr>
                <w:rFonts w:hint="eastAsia" w:ascii="宋体" w:hAnsi="宋体" w:eastAsia="宋体" w:cs="宋体"/>
                <w:color w:val="auto"/>
                <w:kern w:val="2"/>
                <w:szCs w:val="24"/>
                <w:highlight w:val="none"/>
                <w:lang w:val="en-US" w:eastAsia="zh-CN"/>
              </w:rPr>
              <w:t>获取</w:t>
            </w:r>
          </w:p>
        </w:tc>
        <w:tc>
          <w:tcPr>
            <w:tcW w:w="7589" w:type="dxa"/>
            <w:tcBorders>
              <w:top w:val="single" w:color="auto" w:sz="4" w:space="0"/>
              <w:left w:val="single" w:color="auto" w:sz="4" w:space="0"/>
              <w:right w:val="single" w:color="auto" w:sz="4" w:space="0"/>
            </w:tcBorders>
            <w:noWrap w:val="0"/>
            <w:vAlign w:val="center"/>
          </w:tcPr>
          <w:p w14:paraId="1AEAFD4F">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详见招标公告</w:t>
            </w:r>
          </w:p>
        </w:tc>
      </w:tr>
      <w:tr w14:paraId="5876D9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76120E61">
            <w:pPr>
              <w:pStyle w:val="11"/>
              <w:keepNext w:val="0"/>
              <w:keepLines w:val="0"/>
              <w:pageBreakBefore w:val="0"/>
              <w:kinsoku/>
              <w:wordWrap/>
              <w:overflowPunct/>
              <w:topLinePunct w:val="0"/>
              <w:bidi w:val="0"/>
              <w:spacing w:line="240" w:lineRule="auto"/>
              <w:jc w:val="center"/>
              <w:textAlignment w:val="auto"/>
              <w:rPr>
                <w:rFonts w:hint="eastAsia" w:ascii="宋体" w:hAnsi="宋体" w:eastAsia="宋体" w:cs="宋体"/>
                <w:b/>
                <w:color w:val="auto"/>
                <w:kern w:val="2"/>
                <w:szCs w:val="24"/>
                <w:highlight w:val="none"/>
                <w:lang w:val="en-US" w:eastAsia="zh-CN"/>
              </w:rPr>
            </w:pPr>
            <w:r>
              <w:rPr>
                <w:rFonts w:hint="eastAsia" w:ascii="宋体" w:hAnsi="宋体" w:eastAsia="宋体" w:cs="宋体"/>
                <w:b/>
                <w:color w:val="auto"/>
                <w:kern w:val="2"/>
                <w:szCs w:val="24"/>
                <w:highlight w:val="none"/>
                <w:lang w:val="en-US" w:eastAsia="zh-CN"/>
              </w:rPr>
              <w:t>10</w:t>
            </w:r>
          </w:p>
        </w:tc>
        <w:tc>
          <w:tcPr>
            <w:tcW w:w="1776" w:type="dxa"/>
            <w:tcBorders>
              <w:top w:val="single" w:color="auto" w:sz="4" w:space="0"/>
              <w:left w:val="single" w:color="auto" w:sz="4" w:space="0"/>
              <w:bottom w:val="single" w:color="auto" w:sz="4" w:space="0"/>
              <w:right w:val="single" w:color="auto" w:sz="4" w:space="0"/>
            </w:tcBorders>
            <w:noWrap w:val="0"/>
            <w:vAlign w:val="center"/>
          </w:tcPr>
          <w:p w14:paraId="57A64085">
            <w:pPr>
              <w:pStyle w:val="11"/>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auto"/>
                <w:kern w:val="2"/>
                <w:szCs w:val="24"/>
                <w:highlight w:val="none"/>
                <w:lang w:val="en-US" w:eastAsia="zh-CN"/>
              </w:rPr>
            </w:pPr>
            <w:r>
              <w:rPr>
                <w:rFonts w:hint="eastAsia" w:ascii="宋体" w:hAnsi="宋体" w:eastAsia="宋体" w:cs="宋体"/>
                <w:color w:val="auto"/>
                <w:kern w:val="2"/>
                <w:szCs w:val="24"/>
                <w:highlight w:val="none"/>
                <w:lang w:val="en-US" w:eastAsia="zh-CN"/>
              </w:rPr>
              <w:t>投标保证金</w:t>
            </w:r>
          </w:p>
        </w:tc>
        <w:tc>
          <w:tcPr>
            <w:tcW w:w="7589" w:type="dxa"/>
            <w:tcBorders>
              <w:top w:val="single" w:color="auto" w:sz="4" w:space="0"/>
              <w:left w:val="single" w:color="auto" w:sz="4" w:space="0"/>
              <w:bottom w:val="single" w:color="auto" w:sz="4" w:space="0"/>
              <w:right w:val="single" w:color="auto" w:sz="4" w:space="0"/>
            </w:tcBorders>
            <w:noWrap w:val="0"/>
            <w:vAlign w:val="center"/>
          </w:tcPr>
          <w:p w14:paraId="22F5D285">
            <w:pPr>
              <w:keepNext w:val="0"/>
              <w:keepLines w:val="0"/>
              <w:pageBreakBefore w:val="0"/>
              <w:kinsoku/>
              <w:wordWrap/>
              <w:overflowPunct/>
              <w:topLinePunct w:val="0"/>
              <w:autoSpaceDE/>
              <w:autoSpaceDN/>
              <w:bidi w:val="0"/>
              <w:adjustRightIn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本项目不收取投标保证金</w:t>
            </w:r>
          </w:p>
        </w:tc>
      </w:tr>
      <w:tr w14:paraId="4D26A5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24B4BBC6">
            <w:pPr>
              <w:pStyle w:val="11"/>
              <w:keepNext w:val="0"/>
              <w:keepLines w:val="0"/>
              <w:pageBreakBefore w:val="0"/>
              <w:kinsoku/>
              <w:wordWrap/>
              <w:overflowPunct/>
              <w:topLinePunct w:val="0"/>
              <w:bidi w:val="0"/>
              <w:spacing w:line="240" w:lineRule="auto"/>
              <w:jc w:val="center"/>
              <w:textAlignment w:val="auto"/>
              <w:rPr>
                <w:rFonts w:hint="eastAsia" w:ascii="宋体" w:hAnsi="宋体" w:eastAsia="宋体" w:cs="宋体"/>
                <w:b/>
                <w:color w:val="auto"/>
                <w:kern w:val="2"/>
                <w:szCs w:val="24"/>
                <w:highlight w:val="none"/>
                <w:lang w:val="en-US" w:eastAsia="zh-CN"/>
              </w:rPr>
            </w:pPr>
            <w:r>
              <w:rPr>
                <w:rFonts w:hint="eastAsia" w:ascii="宋体" w:hAnsi="宋体" w:eastAsia="宋体" w:cs="宋体"/>
                <w:b/>
                <w:color w:val="auto"/>
                <w:kern w:val="2"/>
                <w:szCs w:val="24"/>
                <w:highlight w:val="none"/>
                <w:lang w:val="en-US" w:eastAsia="zh-CN"/>
              </w:rPr>
              <w:t>11</w:t>
            </w:r>
          </w:p>
        </w:tc>
        <w:tc>
          <w:tcPr>
            <w:tcW w:w="1776" w:type="dxa"/>
            <w:tcBorders>
              <w:top w:val="single" w:color="auto" w:sz="4" w:space="0"/>
              <w:left w:val="single" w:color="auto" w:sz="4" w:space="0"/>
              <w:bottom w:val="single" w:color="auto" w:sz="4" w:space="0"/>
              <w:right w:val="single" w:color="auto" w:sz="4" w:space="0"/>
            </w:tcBorders>
            <w:noWrap w:val="0"/>
            <w:vAlign w:val="center"/>
          </w:tcPr>
          <w:p w14:paraId="6AF5B9D8">
            <w:pPr>
              <w:pStyle w:val="11"/>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auto"/>
                <w:kern w:val="2"/>
                <w:szCs w:val="24"/>
                <w:highlight w:val="none"/>
                <w:lang w:val="en-US" w:eastAsia="zh-CN"/>
              </w:rPr>
            </w:pPr>
            <w:r>
              <w:rPr>
                <w:rFonts w:hint="eastAsia" w:ascii="宋体" w:hAnsi="宋体" w:eastAsia="宋体" w:cs="宋体"/>
                <w:color w:val="auto"/>
                <w:kern w:val="2"/>
                <w:szCs w:val="24"/>
                <w:highlight w:val="none"/>
                <w:lang w:val="en-US" w:eastAsia="zh-CN"/>
              </w:rPr>
              <w:t>资格文件</w:t>
            </w:r>
          </w:p>
        </w:tc>
        <w:tc>
          <w:tcPr>
            <w:tcW w:w="7589" w:type="dxa"/>
            <w:tcBorders>
              <w:top w:val="single" w:color="auto" w:sz="4" w:space="0"/>
              <w:left w:val="single" w:color="auto" w:sz="4" w:space="0"/>
              <w:bottom w:val="single" w:color="auto" w:sz="4" w:space="0"/>
              <w:right w:val="single" w:color="auto" w:sz="4" w:space="0"/>
            </w:tcBorders>
            <w:noWrap w:val="0"/>
            <w:vAlign w:val="center"/>
          </w:tcPr>
          <w:p w14:paraId="1A337162">
            <w:pPr>
              <w:shd w:val="clear"/>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（1）营业执照复印件（加盖单位公章）；</w:t>
            </w:r>
          </w:p>
          <w:p w14:paraId="60653642">
            <w:pPr>
              <w:shd w:val="clear"/>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（2）授权委托书（提供身份证复印件加盖单位公章，格式见附件</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6B148188">
            <w:pPr>
              <w:shd w:val="clear"/>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提供自招标公告发布之日起至投标截止日内任意时间的“信用中国”网站（www.creditchina.gov.cn）、中国政府采购网（www.ccgp.gov.cn）投标人信用查询网页截图（加盖单位公章）；（以开标当日采购人或由采购人委托的评标委员会核实的查询结果为准）</w:t>
            </w:r>
          </w:p>
          <w:p w14:paraId="6DD959F7">
            <w:pPr>
              <w:shd w:val="clear"/>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（4）近三个月由投标人为其授权委托人缴纳的社保证明材料（加盖单位公章）；法定代表人</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单位负责人</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投标的只需要提供身份证复印件（加盖单位公章）</w:t>
            </w:r>
            <w:r>
              <w:rPr>
                <w:rFonts w:hint="eastAsia" w:ascii="宋体" w:hAnsi="宋体" w:cs="宋体"/>
                <w:color w:val="auto"/>
                <w:sz w:val="24"/>
                <w:szCs w:val="24"/>
                <w:highlight w:val="none"/>
                <w:lang w:eastAsia="zh-CN"/>
              </w:rPr>
              <w:t>。</w:t>
            </w:r>
          </w:p>
        </w:tc>
      </w:tr>
      <w:tr w14:paraId="7350CB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0C94CF57">
            <w:pPr>
              <w:pStyle w:val="11"/>
              <w:keepNext w:val="0"/>
              <w:keepLines w:val="0"/>
              <w:pageBreakBefore w:val="0"/>
              <w:kinsoku/>
              <w:wordWrap/>
              <w:overflowPunct/>
              <w:topLinePunct w:val="0"/>
              <w:bidi w:val="0"/>
              <w:spacing w:line="240" w:lineRule="auto"/>
              <w:jc w:val="center"/>
              <w:textAlignment w:val="auto"/>
              <w:rPr>
                <w:rFonts w:hint="eastAsia" w:ascii="宋体" w:hAnsi="宋体" w:eastAsia="宋体" w:cs="宋体"/>
                <w:b/>
                <w:color w:val="auto"/>
                <w:kern w:val="2"/>
                <w:szCs w:val="24"/>
                <w:highlight w:val="none"/>
                <w:lang w:val="en-US" w:eastAsia="zh-CN"/>
              </w:rPr>
            </w:pPr>
            <w:r>
              <w:rPr>
                <w:rFonts w:hint="eastAsia" w:ascii="宋体" w:hAnsi="宋体" w:eastAsia="宋体" w:cs="宋体"/>
                <w:b/>
                <w:color w:val="auto"/>
                <w:kern w:val="2"/>
                <w:szCs w:val="24"/>
                <w:highlight w:val="none"/>
                <w:lang w:val="en-US" w:eastAsia="zh-CN"/>
              </w:rPr>
              <w:t>12</w:t>
            </w:r>
          </w:p>
        </w:tc>
        <w:tc>
          <w:tcPr>
            <w:tcW w:w="1776" w:type="dxa"/>
            <w:tcBorders>
              <w:top w:val="single" w:color="auto" w:sz="4" w:space="0"/>
              <w:left w:val="single" w:color="auto" w:sz="4" w:space="0"/>
              <w:bottom w:val="single" w:color="auto" w:sz="4" w:space="0"/>
              <w:right w:val="single" w:color="auto" w:sz="4" w:space="0"/>
            </w:tcBorders>
            <w:noWrap w:val="0"/>
            <w:vAlign w:val="center"/>
          </w:tcPr>
          <w:p w14:paraId="56068E0C">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商务技术文件</w:t>
            </w:r>
          </w:p>
        </w:tc>
        <w:tc>
          <w:tcPr>
            <w:tcW w:w="7589" w:type="dxa"/>
            <w:tcBorders>
              <w:top w:val="single" w:color="auto" w:sz="4" w:space="0"/>
              <w:left w:val="single" w:color="auto" w:sz="4" w:space="0"/>
              <w:bottom w:val="single" w:color="auto" w:sz="4" w:space="0"/>
              <w:right w:val="single" w:color="auto" w:sz="4" w:space="0"/>
            </w:tcBorders>
            <w:noWrap w:val="0"/>
            <w:vAlign w:val="center"/>
          </w:tcPr>
          <w:p w14:paraId="28F27D8B">
            <w:pPr>
              <w:pStyle w:val="11"/>
              <w:shd w:val="clea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（1）投标函（格式见附件）；</w:t>
            </w:r>
          </w:p>
          <w:p w14:paraId="72D69FB3">
            <w:pPr>
              <w:pStyle w:val="11"/>
              <w:shd w:val="clea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（2）投标人情况介绍；</w:t>
            </w:r>
          </w:p>
          <w:p w14:paraId="512252D2">
            <w:pPr>
              <w:pStyle w:val="11"/>
              <w:shd w:val="clea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）相关资质证明或文件（如有要求，加盖单位公章）；</w:t>
            </w:r>
          </w:p>
          <w:p w14:paraId="5A555370">
            <w:pPr>
              <w:pStyle w:val="11"/>
              <w:shd w:val="clea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）对本项目总体要求的理解（如有）；</w:t>
            </w:r>
          </w:p>
          <w:p w14:paraId="6D199C90">
            <w:pPr>
              <w:pStyle w:val="11"/>
              <w:shd w:val="clea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）技术偏离表（格式见附件）；</w:t>
            </w:r>
          </w:p>
          <w:p w14:paraId="23B4DF8A">
            <w:pPr>
              <w:pStyle w:val="11"/>
              <w:shd w:val="clea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）投标人响应本项目评分标准的商务技术资料（按商务技术评分细则的顺序提供评分标准中相对应的商务技术资料）；</w:t>
            </w:r>
          </w:p>
          <w:p w14:paraId="3BA14B8B">
            <w:pPr>
              <w:pStyle w:val="11"/>
              <w:shd w:val="clea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）招标文件标明的影响投标人资格的其他证明文件（如有）；</w:t>
            </w:r>
          </w:p>
          <w:p w14:paraId="384F5034">
            <w:pPr>
              <w:pStyle w:val="11"/>
              <w:shd w:val="clea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）招标文件要求提供的或投标人需要说明的其他资料（如有）。</w:t>
            </w:r>
          </w:p>
          <w:p w14:paraId="27C4D1C3">
            <w:pPr>
              <w:pStyle w:val="11"/>
              <w:shd w:val="clear"/>
              <w:spacing w:line="240" w:lineRule="auto"/>
              <w:rPr>
                <w:rFonts w:hint="eastAsia" w:ascii="宋体" w:hAnsi="宋体" w:eastAsia="宋体" w:cs="宋体"/>
                <w:b/>
                <w:color w:val="auto"/>
                <w:kern w:val="2"/>
                <w:szCs w:val="24"/>
                <w:highlight w:val="none"/>
                <w:lang w:val="en-US" w:eastAsia="zh-CN"/>
              </w:rPr>
            </w:pPr>
            <w:r>
              <w:rPr>
                <w:rFonts w:hint="eastAsia" w:ascii="宋体" w:hAnsi="宋体" w:eastAsia="宋体" w:cs="宋体"/>
                <w:b/>
                <w:bCs/>
                <w:color w:val="auto"/>
                <w:sz w:val="24"/>
                <w:szCs w:val="24"/>
                <w:highlight w:val="none"/>
              </w:rPr>
              <w:t>投标人在“商务技术文件”中应对招标文件做实质性响应，不能在“商务技术文件”中实质性响应招标文件要求的将作无效标处理。</w:t>
            </w:r>
          </w:p>
        </w:tc>
      </w:tr>
      <w:tr w14:paraId="546FAF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4A160744">
            <w:pPr>
              <w:pStyle w:val="11"/>
              <w:keepNext w:val="0"/>
              <w:keepLines w:val="0"/>
              <w:pageBreakBefore w:val="0"/>
              <w:kinsoku/>
              <w:wordWrap/>
              <w:overflowPunct/>
              <w:topLinePunct w:val="0"/>
              <w:bidi w:val="0"/>
              <w:spacing w:line="240" w:lineRule="auto"/>
              <w:jc w:val="center"/>
              <w:textAlignment w:val="auto"/>
              <w:rPr>
                <w:rFonts w:hint="eastAsia" w:ascii="宋体" w:hAnsi="宋体" w:eastAsia="宋体" w:cs="宋体"/>
                <w:b/>
                <w:color w:val="auto"/>
                <w:kern w:val="2"/>
                <w:szCs w:val="24"/>
                <w:highlight w:val="none"/>
                <w:lang w:val="en-US" w:eastAsia="zh-CN"/>
              </w:rPr>
            </w:pPr>
            <w:r>
              <w:rPr>
                <w:rFonts w:hint="eastAsia" w:ascii="宋体" w:hAnsi="宋体" w:eastAsia="宋体" w:cs="宋体"/>
                <w:b/>
                <w:color w:val="auto"/>
                <w:kern w:val="2"/>
                <w:szCs w:val="24"/>
                <w:highlight w:val="none"/>
                <w:lang w:val="en-US" w:eastAsia="zh-CN"/>
              </w:rPr>
              <w:t>13</w:t>
            </w:r>
          </w:p>
        </w:tc>
        <w:tc>
          <w:tcPr>
            <w:tcW w:w="1776" w:type="dxa"/>
            <w:tcBorders>
              <w:top w:val="single" w:color="auto" w:sz="4" w:space="0"/>
              <w:left w:val="single" w:color="auto" w:sz="4" w:space="0"/>
              <w:bottom w:val="single" w:color="auto" w:sz="4" w:space="0"/>
              <w:right w:val="single" w:color="auto" w:sz="4" w:space="0"/>
            </w:tcBorders>
            <w:noWrap w:val="0"/>
            <w:vAlign w:val="center"/>
          </w:tcPr>
          <w:p w14:paraId="007514D2">
            <w:pPr>
              <w:pStyle w:val="11"/>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auto"/>
                <w:kern w:val="2"/>
                <w:szCs w:val="24"/>
                <w:highlight w:val="none"/>
                <w:lang w:val="en-US" w:eastAsia="zh-CN"/>
              </w:rPr>
            </w:pPr>
            <w:r>
              <w:rPr>
                <w:rFonts w:hint="eastAsia" w:ascii="宋体" w:hAnsi="宋体" w:eastAsia="宋体" w:cs="宋体"/>
                <w:color w:val="auto"/>
                <w:kern w:val="2"/>
                <w:szCs w:val="24"/>
                <w:highlight w:val="none"/>
                <w:lang w:val="en-US" w:eastAsia="zh-CN"/>
              </w:rPr>
              <w:t>报价文件</w:t>
            </w:r>
          </w:p>
        </w:tc>
        <w:tc>
          <w:tcPr>
            <w:tcW w:w="7589" w:type="dxa"/>
            <w:tcBorders>
              <w:top w:val="single" w:color="auto" w:sz="4" w:space="0"/>
              <w:left w:val="single" w:color="auto" w:sz="4" w:space="0"/>
              <w:bottom w:val="single" w:color="auto" w:sz="4" w:space="0"/>
              <w:right w:val="single" w:color="auto" w:sz="4" w:space="0"/>
            </w:tcBorders>
            <w:noWrap w:val="0"/>
            <w:vAlign w:val="center"/>
          </w:tcPr>
          <w:p w14:paraId="2BFBB2F5">
            <w:pPr>
              <w:shd w:val="clear"/>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）开标一览表（格式见附件）；</w:t>
            </w:r>
          </w:p>
          <w:p w14:paraId="666D5B92">
            <w:pPr>
              <w:shd w:val="clear"/>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）投标承诺书（格式见附件）；</w:t>
            </w:r>
          </w:p>
          <w:p w14:paraId="740CB476">
            <w:pPr>
              <w:shd w:val="clear"/>
              <w:snapToGrid w:val="0"/>
              <w:spacing w:line="240" w:lineRule="auto"/>
              <w:jc w:val="left"/>
              <w:rPr>
                <w:rFonts w:hint="eastAsia" w:ascii="宋体" w:hAnsi="宋体" w:eastAsia="宋体" w:cs="宋体"/>
                <w:b/>
                <w:color w:val="auto"/>
                <w:sz w:val="24"/>
                <w:szCs w:val="24"/>
                <w:highlight w:val="none"/>
                <w:lang w:eastAsia="zh-CN"/>
              </w:rPr>
            </w:pPr>
            <w:r>
              <w:rPr>
                <w:rFonts w:hint="eastAsia" w:ascii="宋体" w:hAnsi="宋体" w:eastAsia="宋体" w:cs="宋体"/>
                <w:b/>
                <w:bCs/>
                <w:color w:val="auto"/>
                <w:sz w:val="24"/>
                <w:szCs w:val="24"/>
                <w:highlight w:val="none"/>
              </w:rPr>
              <w:t>注：开标一览表</w:t>
            </w:r>
            <w:r>
              <w:rPr>
                <w:rFonts w:hint="eastAsia" w:ascii="宋体" w:hAnsi="宋体" w:eastAsia="宋体" w:cs="宋体"/>
                <w:b/>
                <w:bCs/>
                <w:color w:val="auto"/>
                <w:sz w:val="24"/>
                <w:szCs w:val="24"/>
                <w:highlight w:val="none"/>
                <w:lang w:val="en-US" w:eastAsia="zh-CN"/>
              </w:rPr>
              <w:t>及投标承诺书</w:t>
            </w:r>
            <w:r>
              <w:rPr>
                <w:rFonts w:hint="eastAsia" w:ascii="宋体" w:hAnsi="宋体" w:eastAsia="宋体" w:cs="宋体"/>
                <w:b/>
                <w:bCs/>
                <w:color w:val="auto"/>
                <w:sz w:val="24"/>
                <w:szCs w:val="24"/>
                <w:highlight w:val="none"/>
              </w:rPr>
              <w:t>必须加盖单位公章</w:t>
            </w:r>
            <w:r>
              <w:rPr>
                <w:rFonts w:hint="eastAsia" w:ascii="宋体" w:hAnsi="宋体" w:eastAsia="宋体" w:cs="宋体"/>
                <w:b/>
                <w:bCs/>
                <w:color w:val="auto"/>
                <w:sz w:val="24"/>
                <w:szCs w:val="24"/>
                <w:highlight w:val="none"/>
                <w:lang w:eastAsia="zh-CN"/>
              </w:rPr>
              <w:t>。</w:t>
            </w:r>
          </w:p>
        </w:tc>
      </w:tr>
      <w:tr w14:paraId="2F9CCD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6F8A7BEB">
            <w:pPr>
              <w:pStyle w:val="11"/>
              <w:keepNext w:val="0"/>
              <w:keepLines w:val="0"/>
              <w:pageBreakBefore w:val="0"/>
              <w:kinsoku/>
              <w:wordWrap/>
              <w:overflowPunct/>
              <w:topLinePunct w:val="0"/>
              <w:bidi w:val="0"/>
              <w:spacing w:line="240" w:lineRule="auto"/>
              <w:jc w:val="center"/>
              <w:textAlignment w:val="auto"/>
              <w:rPr>
                <w:rFonts w:hint="eastAsia" w:ascii="宋体" w:hAnsi="宋体" w:eastAsia="宋体" w:cs="宋体"/>
                <w:b/>
                <w:color w:val="auto"/>
                <w:kern w:val="2"/>
                <w:szCs w:val="24"/>
                <w:highlight w:val="none"/>
                <w:lang w:val="en-US" w:eastAsia="zh-CN"/>
              </w:rPr>
            </w:pPr>
            <w:r>
              <w:rPr>
                <w:rFonts w:hint="eastAsia" w:ascii="宋体" w:hAnsi="宋体" w:eastAsia="宋体" w:cs="宋体"/>
                <w:b/>
                <w:color w:val="auto"/>
                <w:kern w:val="2"/>
                <w:szCs w:val="24"/>
                <w:highlight w:val="none"/>
                <w:lang w:val="en-US" w:eastAsia="zh-CN"/>
              </w:rPr>
              <w:t>14</w:t>
            </w:r>
          </w:p>
        </w:tc>
        <w:tc>
          <w:tcPr>
            <w:tcW w:w="1776" w:type="dxa"/>
            <w:tcBorders>
              <w:top w:val="single" w:color="auto" w:sz="4" w:space="0"/>
              <w:left w:val="single" w:color="auto" w:sz="4" w:space="0"/>
              <w:bottom w:val="single" w:color="auto" w:sz="4" w:space="0"/>
              <w:right w:val="single" w:color="auto" w:sz="4" w:space="0"/>
            </w:tcBorders>
            <w:noWrap w:val="0"/>
            <w:vAlign w:val="center"/>
          </w:tcPr>
          <w:p w14:paraId="55D4AFA1">
            <w:pPr>
              <w:pStyle w:val="11"/>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auto"/>
                <w:kern w:val="2"/>
                <w:szCs w:val="24"/>
                <w:highlight w:val="none"/>
                <w:lang w:val="en-US" w:eastAsia="zh-CN"/>
              </w:rPr>
            </w:pPr>
            <w:r>
              <w:rPr>
                <w:rFonts w:hint="eastAsia" w:ascii="宋体" w:hAnsi="宋体" w:eastAsia="宋体" w:cs="宋体"/>
                <w:color w:val="auto"/>
                <w:kern w:val="2"/>
                <w:szCs w:val="24"/>
                <w:highlight w:val="none"/>
                <w:lang w:val="en-US" w:eastAsia="zh-CN"/>
              </w:rPr>
              <w:t>现场演示</w:t>
            </w:r>
          </w:p>
        </w:tc>
        <w:tc>
          <w:tcPr>
            <w:tcW w:w="7589" w:type="dxa"/>
            <w:tcBorders>
              <w:top w:val="single" w:color="auto" w:sz="4" w:space="0"/>
              <w:left w:val="single" w:color="auto" w:sz="4" w:space="0"/>
              <w:bottom w:val="single" w:color="auto" w:sz="4" w:space="0"/>
              <w:right w:val="single" w:color="auto" w:sz="4" w:space="0"/>
            </w:tcBorders>
            <w:noWrap w:val="0"/>
            <w:vAlign w:val="center"/>
          </w:tcPr>
          <w:p w14:paraId="094EFC72">
            <w:pPr>
              <w:keepNext w:val="0"/>
              <w:keepLines w:val="0"/>
              <w:pageBreakBefore w:val="0"/>
              <w:tabs>
                <w:tab w:val="left" w:pos="3870"/>
                <w:tab w:val="left" w:pos="4085"/>
              </w:tabs>
              <w:kinsoku/>
              <w:wordWrap/>
              <w:overflowPunct/>
              <w:topLinePunct w:val="0"/>
              <w:bidi w:val="0"/>
              <w:snapToGrid w:val="0"/>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按招标文件相关要求执行</w:t>
            </w:r>
          </w:p>
        </w:tc>
      </w:tr>
      <w:tr w14:paraId="254F67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49DFA1DF">
            <w:pPr>
              <w:pStyle w:val="11"/>
              <w:keepNext w:val="0"/>
              <w:keepLines w:val="0"/>
              <w:pageBreakBefore w:val="0"/>
              <w:kinsoku/>
              <w:wordWrap/>
              <w:overflowPunct/>
              <w:topLinePunct w:val="0"/>
              <w:bidi w:val="0"/>
              <w:spacing w:line="240" w:lineRule="auto"/>
              <w:jc w:val="center"/>
              <w:textAlignment w:val="auto"/>
              <w:rPr>
                <w:rFonts w:hint="eastAsia" w:ascii="宋体" w:hAnsi="宋体" w:eastAsia="宋体" w:cs="宋体"/>
                <w:b/>
                <w:color w:val="auto"/>
                <w:kern w:val="2"/>
                <w:szCs w:val="24"/>
                <w:highlight w:val="none"/>
                <w:lang w:val="en-US" w:eastAsia="zh-CN"/>
              </w:rPr>
            </w:pPr>
            <w:r>
              <w:rPr>
                <w:rFonts w:hint="eastAsia" w:ascii="宋体" w:hAnsi="宋体" w:eastAsia="宋体" w:cs="宋体"/>
                <w:b/>
                <w:color w:val="auto"/>
                <w:kern w:val="2"/>
                <w:szCs w:val="24"/>
                <w:highlight w:val="none"/>
                <w:lang w:val="en-US" w:eastAsia="zh-CN"/>
              </w:rPr>
              <w:t>15</w:t>
            </w:r>
          </w:p>
        </w:tc>
        <w:tc>
          <w:tcPr>
            <w:tcW w:w="1776" w:type="dxa"/>
            <w:tcBorders>
              <w:top w:val="single" w:color="auto" w:sz="4" w:space="0"/>
              <w:left w:val="single" w:color="auto" w:sz="4" w:space="0"/>
              <w:bottom w:val="single" w:color="auto" w:sz="4" w:space="0"/>
              <w:right w:val="single" w:color="auto" w:sz="4" w:space="0"/>
            </w:tcBorders>
            <w:noWrap w:val="0"/>
            <w:vAlign w:val="center"/>
          </w:tcPr>
          <w:p w14:paraId="290CF6A5">
            <w:pPr>
              <w:pStyle w:val="11"/>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auto"/>
                <w:kern w:val="2"/>
                <w:szCs w:val="24"/>
                <w:highlight w:val="none"/>
                <w:lang w:val="en-US" w:eastAsia="zh-CN"/>
              </w:rPr>
            </w:pPr>
            <w:r>
              <w:rPr>
                <w:rFonts w:hint="eastAsia" w:ascii="宋体" w:hAnsi="宋体" w:eastAsia="宋体" w:cs="宋体"/>
                <w:color w:val="auto"/>
                <w:kern w:val="2"/>
                <w:szCs w:val="24"/>
                <w:highlight w:val="none"/>
                <w:lang w:val="en-US" w:eastAsia="zh-CN"/>
              </w:rPr>
              <w:t>投标样品</w:t>
            </w:r>
          </w:p>
        </w:tc>
        <w:tc>
          <w:tcPr>
            <w:tcW w:w="7589" w:type="dxa"/>
            <w:tcBorders>
              <w:top w:val="single" w:color="auto" w:sz="4" w:space="0"/>
              <w:left w:val="single" w:color="auto" w:sz="4" w:space="0"/>
              <w:bottom w:val="single" w:color="auto" w:sz="4" w:space="0"/>
              <w:right w:val="single" w:color="auto" w:sz="4" w:space="0"/>
            </w:tcBorders>
            <w:noWrap w:val="0"/>
            <w:vAlign w:val="center"/>
          </w:tcPr>
          <w:p w14:paraId="2644E0DB">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按招标文件相关要求执行</w:t>
            </w:r>
          </w:p>
        </w:tc>
      </w:tr>
      <w:tr w14:paraId="17EA44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5759BADC">
            <w:pPr>
              <w:pStyle w:val="11"/>
              <w:keepNext w:val="0"/>
              <w:keepLines w:val="0"/>
              <w:pageBreakBefore w:val="0"/>
              <w:kinsoku/>
              <w:wordWrap/>
              <w:overflowPunct/>
              <w:topLinePunct w:val="0"/>
              <w:bidi w:val="0"/>
              <w:spacing w:line="240" w:lineRule="auto"/>
              <w:jc w:val="center"/>
              <w:textAlignment w:val="auto"/>
              <w:rPr>
                <w:rFonts w:hint="eastAsia" w:ascii="宋体" w:hAnsi="宋体" w:eastAsia="宋体" w:cs="宋体"/>
                <w:b/>
                <w:color w:val="auto"/>
                <w:kern w:val="2"/>
                <w:szCs w:val="24"/>
                <w:highlight w:val="none"/>
                <w:lang w:val="en-US" w:eastAsia="zh-CN"/>
              </w:rPr>
            </w:pPr>
            <w:r>
              <w:rPr>
                <w:rFonts w:hint="eastAsia" w:ascii="宋体" w:hAnsi="宋体" w:eastAsia="宋体" w:cs="宋体"/>
                <w:b/>
                <w:color w:val="auto"/>
                <w:kern w:val="2"/>
                <w:szCs w:val="24"/>
                <w:highlight w:val="none"/>
                <w:lang w:val="en-US" w:eastAsia="zh-CN"/>
              </w:rPr>
              <w:t>16</w:t>
            </w:r>
          </w:p>
        </w:tc>
        <w:tc>
          <w:tcPr>
            <w:tcW w:w="1776" w:type="dxa"/>
            <w:tcBorders>
              <w:top w:val="single" w:color="auto" w:sz="4" w:space="0"/>
              <w:left w:val="single" w:color="auto" w:sz="4" w:space="0"/>
              <w:bottom w:val="single" w:color="auto" w:sz="4" w:space="0"/>
              <w:right w:val="single" w:color="auto" w:sz="4" w:space="0"/>
            </w:tcBorders>
            <w:noWrap w:val="0"/>
            <w:vAlign w:val="center"/>
          </w:tcPr>
          <w:p w14:paraId="085BA036">
            <w:pPr>
              <w:pStyle w:val="11"/>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auto"/>
                <w:kern w:val="2"/>
                <w:szCs w:val="24"/>
                <w:highlight w:val="none"/>
                <w:lang w:val="en-US" w:eastAsia="zh-CN"/>
              </w:rPr>
            </w:pPr>
            <w:r>
              <w:rPr>
                <w:rFonts w:hint="eastAsia" w:ascii="宋体" w:hAnsi="宋体" w:eastAsia="宋体" w:cs="宋体"/>
                <w:color w:val="auto"/>
                <w:kern w:val="2"/>
                <w:szCs w:val="24"/>
                <w:highlight w:val="none"/>
                <w:lang w:val="en-US" w:eastAsia="zh-CN"/>
              </w:rPr>
              <w:t>投标有效期</w:t>
            </w:r>
          </w:p>
        </w:tc>
        <w:tc>
          <w:tcPr>
            <w:tcW w:w="7589" w:type="dxa"/>
            <w:tcBorders>
              <w:top w:val="single" w:color="auto" w:sz="4" w:space="0"/>
              <w:left w:val="single" w:color="auto" w:sz="4" w:space="0"/>
              <w:bottom w:val="single" w:color="auto" w:sz="4" w:space="0"/>
              <w:right w:val="single" w:color="auto" w:sz="4" w:space="0"/>
            </w:tcBorders>
            <w:noWrap w:val="0"/>
            <w:vAlign w:val="center"/>
          </w:tcPr>
          <w:p w14:paraId="61240DCC">
            <w:pPr>
              <w:pStyle w:val="11"/>
              <w:keepNext w:val="0"/>
              <w:keepLines w:val="0"/>
              <w:pageBreakBefore w:val="0"/>
              <w:kinsoku/>
              <w:wordWrap/>
              <w:overflowPunct/>
              <w:topLinePunct w:val="0"/>
              <w:bidi w:val="0"/>
              <w:spacing w:line="240" w:lineRule="auto"/>
              <w:textAlignment w:val="auto"/>
              <w:rPr>
                <w:rFonts w:hint="eastAsia" w:ascii="宋体" w:hAnsi="宋体" w:eastAsia="宋体" w:cs="宋体"/>
                <w:color w:val="auto"/>
                <w:kern w:val="2"/>
                <w:szCs w:val="24"/>
                <w:highlight w:val="none"/>
                <w:lang w:val="en-US" w:eastAsia="zh-CN"/>
              </w:rPr>
            </w:pPr>
            <w:r>
              <w:rPr>
                <w:rFonts w:hint="eastAsia" w:ascii="宋体" w:hAnsi="宋体" w:eastAsia="宋体" w:cs="宋体"/>
                <w:color w:val="auto"/>
                <w:kern w:val="2"/>
                <w:szCs w:val="24"/>
                <w:highlight w:val="none"/>
                <w:lang w:val="en-US" w:eastAsia="zh-CN"/>
              </w:rPr>
              <w:t>自投标截止日起90天。如采购代理机构认为必要，可延长投标有效期。</w:t>
            </w:r>
          </w:p>
        </w:tc>
      </w:tr>
      <w:tr w14:paraId="15A290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1B7F04E0">
            <w:pPr>
              <w:pStyle w:val="11"/>
              <w:keepNext w:val="0"/>
              <w:keepLines w:val="0"/>
              <w:pageBreakBefore w:val="0"/>
              <w:kinsoku/>
              <w:wordWrap/>
              <w:overflowPunct/>
              <w:topLinePunct w:val="0"/>
              <w:bidi w:val="0"/>
              <w:spacing w:line="240" w:lineRule="auto"/>
              <w:jc w:val="center"/>
              <w:textAlignment w:val="auto"/>
              <w:rPr>
                <w:rFonts w:hint="eastAsia" w:ascii="宋体" w:hAnsi="宋体" w:eastAsia="宋体" w:cs="宋体"/>
                <w:b/>
                <w:color w:val="auto"/>
                <w:kern w:val="2"/>
                <w:szCs w:val="24"/>
                <w:highlight w:val="none"/>
                <w:lang w:val="en-US" w:eastAsia="zh-CN"/>
              </w:rPr>
            </w:pPr>
            <w:r>
              <w:rPr>
                <w:rFonts w:hint="eastAsia" w:ascii="宋体" w:hAnsi="宋体" w:eastAsia="宋体" w:cs="宋体"/>
                <w:b/>
                <w:color w:val="auto"/>
                <w:kern w:val="2"/>
                <w:szCs w:val="24"/>
                <w:highlight w:val="none"/>
                <w:lang w:val="en-US" w:eastAsia="zh-CN"/>
              </w:rPr>
              <w:t>17</w:t>
            </w:r>
          </w:p>
        </w:tc>
        <w:tc>
          <w:tcPr>
            <w:tcW w:w="1776" w:type="dxa"/>
            <w:tcBorders>
              <w:top w:val="single" w:color="auto" w:sz="4" w:space="0"/>
              <w:left w:val="single" w:color="auto" w:sz="4" w:space="0"/>
              <w:bottom w:val="single" w:color="auto" w:sz="4" w:space="0"/>
              <w:right w:val="single" w:color="auto" w:sz="4" w:space="0"/>
            </w:tcBorders>
            <w:noWrap w:val="0"/>
            <w:vAlign w:val="center"/>
          </w:tcPr>
          <w:p w14:paraId="521452FB">
            <w:pPr>
              <w:pStyle w:val="11"/>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auto"/>
                <w:kern w:val="2"/>
                <w:szCs w:val="24"/>
                <w:highlight w:val="none"/>
                <w:lang w:val="en-US" w:eastAsia="zh-CN"/>
              </w:rPr>
            </w:pPr>
            <w:r>
              <w:rPr>
                <w:rFonts w:hint="eastAsia" w:ascii="宋体" w:hAnsi="宋体" w:eastAsia="宋体" w:cs="宋体"/>
                <w:color w:val="auto"/>
                <w:kern w:val="2"/>
                <w:szCs w:val="24"/>
                <w:highlight w:val="none"/>
                <w:lang w:val="en-US" w:eastAsia="zh-CN"/>
              </w:rPr>
              <w:t>签订合同时间</w:t>
            </w:r>
          </w:p>
        </w:tc>
        <w:tc>
          <w:tcPr>
            <w:tcW w:w="7589" w:type="dxa"/>
            <w:tcBorders>
              <w:top w:val="single" w:color="auto" w:sz="4" w:space="0"/>
              <w:left w:val="single" w:color="auto" w:sz="4" w:space="0"/>
              <w:bottom w:val="single" w:color="auto" w:sz="4" w:space="0"/>
              <w:right w:val="single" w:color="auto" w:sz="4" w:space="0"/>
            </w:tcBorders>
            <w:noWrap w:val="0"/>
            <w:vAlign w:val="center"/>
          </w:tcPr>
          <w:p w14:paraId="7D8A950F">
            <w:pPr>
              <w:pStyle w:val="11"/>
              <w:keepNext w:val="0"/>
              <w:keepLines w:val="0"/>
              <w:pageBreakBefore w:val="0"/>
              <w:kinsoku/>
              <w:wordWrap/>
              <w:overflowPunct/>
              <w:topLinePunct w:val="0"/>
              <w:bidi w:val="0"/>
              <w:spacing w:line="240" w:lineRule="auto"/>
              <w:textAlignment w:val="auto"/>
              <w:rPr>
                <w:rFonts w:hint="eastAsia" w:ascii="宋体" w:hAnsi="宋体" w:eastAsia="宋体" w:cs="宋体"/>
                <w:color w:val="auto"/>
                <w:kern w:val="2"/>
                <w:szCs w:val="24"/>
                <w:highlight w:val="none"/>
                <w:lang w:val="en-US" w:eastAsia="zh-CN"/>
              </w:rPr>
            </w:pPr>
            <w:r>
              <w:rPr>
                <w:rFonts w:hint="eastAsia" w:ascii="宋体" w:hAnsi="宋体" w:eastAsia="宋体" w:cs="宋体"/>
                <w:color w:val="auto"/>
                <w:kern w:val="2"/>
                <w:szCs w:val="24"/>
                <w:highlight w:val="none"/>
                <w:lang w:val="en-US" w:eastAsia="zh-CN"/>
              </w:rPr>
              <w:t>中标通知书发出后30日内</w:t>
            </w:r>
          </w:p>
        </w:tc>
      </w:tr>
      <w:tr w14:paraId="350EEB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267CEF3A">
            <w:pPr>
              <w:pStyle w:val="11"/>
              <w:keepNext w:val="0"/>
              <w:keepLines w:val="0"/>
              <w:pageBreakBefore w:val="0"/>
              <w:kinsoku/>
              <w:wordWrap/>
              <w:overflowPunct/>
              <w:topLinePunct w:val="0"/>
              <w:bidi w:val="0"/>
              <w:spacing w:line="240" w:lineRule="auto"/>
              <w:jc w:val="center"/>
              <w:textAlignment w:val="auto"/>
              <w:rPr>
                <w:rFonts w:hint="eastAsia" w:ascii="宋体" w:hAnsi="宋体" w:eastAsia="宋体" w:cs="宋体"/>
                <w:b/>
                <w:color w:val="auto"/>
                <w:kern w:val="2"/>
                <w:szCs w:val="24"/>
                <w:highlight w:val="none"/>
                <w:lang w:val="en-US" w:eastAsia="zh-CN"/>
              </w:rPr>
            </w:pPr>
            <w:r>
              <w:rPr>
                <w:rFonts w:hint="eastAsia" w:ascii="宋体" w:hAnsi="宋体" w:eastAsia="宋体" w:cs="宋体"/>
                <w:b/>
                <w:color w:val="auto"/>
                <w:kern w:val="2"/>
                <w:szCs w:val="24"/>
                <w:highlight w:val="none"/>
                <w:lang w:val="en-US" w:eastAsia="zh-CN"/>
              </w:rPr>
              <w:t>18</w:t>
            </w:r>
          </w:p>
        </w:tc>
        <w:tc>
          <w:tcPr>
            <w:tcW w:w="1776" w:type="dxa"/>
            <w:tcBorders>
              <w:top w:val="single" w:color="auto" w:sz="4" w:space="0"/>
              <w:left w:val="single" w:color="auto" w:sz="4" w:space="0"/>
              <w:bottom w:val="single" w:color="auto" w:sz="4" w:space="0"/>
              <w:right w:val="single" w:color="auto" w:sz="4" w:space="0"/>
            </w:tcBorders>
            <w:noWrap w:val="0"/>
            <w:vAlign w:val="center"/>
          </w:tcPr>
          <w:p w14:paraId="2A4320EF">
            <w:pPr>
              <w:pStyle w:val="11"/>
              <w:keepNext w:val="0"/>
              <w:keepLines w:val="0"/>
              <w:pageBreakBefore w:val="0"/>
              <w:kinsoku/>
              <w:wordWrap/>
              <w:overflowPunct/>
              <w:topLinePunct w:val="0"/>
              <w:bidi w:val="0"/>
              <w:spacing w:line="240" w:lineRule="auto"/>
              <w:jc w:val="center"/>
              <w:textAlignment w:val="auto"/>
              <w:rPr>
                <w:rFonts w:hint="eastAsia" w:ascii="宋体" w:hAnsi="宋体" w:eastAsia="宋体" w:cs="宋体"/>
                <w:b/>
                <w:color w:val="auto"/>
                <w:kern w:val="2"/>
                <w:szCs w:val="24"/>
                <w:highlight w:val="none"/>
                <w:lang w:val="en-US" w:eastAsia="zh-CN"/>
              </w:rPr>
            </w:pPr>
            <w:r>
              <w:rPr>
                <w:rFonts w:hint="eastAsia" w:ascii="宋体" w:hAnsi="宋体" w:eastAsia="宋体" w:cs="宋体"/>
                <w:color w:val="auto"/>
                <w:kern w:val="2"/>
                <w:szCs w:val="24"/>
                <w:highlight w:val="none"/>
                <w:lang w:val="en-US" w:eastAsia="zh-CN"/>
              </w:rPr>
              <w:t>转包与分包</w:t>
            </w:r>
          </w:p>
        </w:tc>
        <w:tc>
          <w:tcPr>
            <w:tcW w:w="7589" w:type="dxa"/>
            <w:tcBorders>
              <w:top w:val="single" w:color="auto" w:sz="4" w:space="0"/>
              <w:left w:val="single" w:color="auto" w:sz="4" w:space="0"/>
              <w:bottom w:val="single" w:color="auto" w:sz="4" w:space="0"/>
              <w:right w:val="single" w:color="auto" w:sz="4" w:space="0"/>
            </w:tcBorders>
            <w:noWrap w:val="0"/>
            <w:vAlign w:val="center"/>
          </w:tcPr>
          <w:p w14:paraId="3C111873">
            <w:pPr>
              <w:pStyle w:val="11"/>
              <w:keepNext w:val="0"/>
              <w:keepLines w:val="0"/>
              <w:pageBreakBefore w:val="0"/>
              <w:kinsoku/>
              <w:wordWrap/>
              <w:overflowPunct/>
              <w:topLinePunct w:val="0"/>
              <w:bidi w:val="0"/>
              <w:spacing w:line="240" w:lineRule="auto"/>
              <w:textAlignment w:val="auto"/>
              <w:rPr>
                <w:rFonts w:hint="eastAsia" w:ascii="宋体" w:hAnsi="宋体" w:eastAsia="宋体" w:cs="宋体"/>
                <w:color w:val="auto"/>
                <w:kern w:val="2"/>
                <w:szCs w:val="24"/>
                <w:highlight w:val="none"/>
                <w:lang w:val="en-US" w:eastAsia="zh-CN"/>
              </w:rPr>
            </w:pPr>
            <w:r>
              <w:rPr>
                <w:rFonts w:hint="eastAsia" w:ascii="宋体" w:hAnsi="宋体" w:eastAsia="宋体" w:cs="宋体"/>
                <w:color w:val="auto"/>
                <w:kern w:val="2"/>
                <w:szCs w:val="24"/>
                <w:highlight w:val="none"/>
                <w:lang w:val="en-US" w:eastAsia="zh-CN"/>
              </w:rPr>
              <w:t>本项目不允许转包和分包</w:t>
            </w:r>
          </w:p>
        </w:tc>
      </w:tr>
      <w:tr w14:paraId="2E3539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51B23BCB">
            <w:pPr>
              <w:pStyle w:val="11"/>
              <w:keepNext w:val="0"/>
              <w:keepLines w:val="0"/>
              <w:pageBreakBefore w:val="0"/>
              <w:kinsoku/>
              <w:wordWrap/>
              <w:overflowPunct/>
              <w:topLinePunct w:val="0"/>
              <w:bidi w:val="0"/>
              <w:spacing w:line="240" w:lineRule="auto"/>
              <w:jc w:val="center"/>
              <w:textAlignment w:val="auto"/>
              <w:rPr>
                <w:rFonts w:hint="eastAsia" w:ascii="宋体" w:hAnsi="宋体" w:eastAsia="宋体" w:cs="宋体"/>
                <w:b/>
                <w:color w:val="auto"/>
                <w:kern w:val="2"/>
                <w:szCs w:val="24"/>
                <w:highlight w:val="none"/>
                <w:lang w:val="en-US" w:eastAsia="zh-CN"/>
              </w:rPr>
            </w:pPr>
            <w:r>
              <w:rPr>
                <w:rFonts w:hint="eastAsia" w:ascii="宋体" w:hAnsi="宋体" w:eastAsia="宋体" w:cs="宋体"/>
                <w:b/>
                <w:color w:val="auto"/>
                <w:kern w:val="2"/>
                <w:szCs w:val="24"/>
                <w:highlight w:val="none"/>
                <w:lang w:val="en-US" w:eastAsia="zh-CN"/>
              </w:rPr>
              <w:t>19</w:t>
            </w:r>
          </w:p>
        </w:tc>
        <w:tc>
          <w:tcPr>
            <w:tcW w:w="1776" w:type="dxa"/>
            <w:tcBorders>
              <w:top w:val="single" w:color="auto" w:sz="4" w:space="0"/>
              <w:left w:val="single" w:color="auto" w:sz="4" w:space="0"/>
              <w:bottom w:val="single" w:color="auto" w:sz="4" w:space="0"/>
              <w:right w:val="single" w:color="auto" w:sz="4" w:space="0"/>
            </w:tcBorders>
            <w:noWrap w:val="0"/>
            <w:vAlign w:val="center"/>
          </w:tcPr>
          <w:p w14:paraId="6A515CBC">
            <w:pPr>
              <w:pStyle w:val="11"/>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auto"/>
                <w:kern w:val="2"/>
                <w:szCs w:val="24"/>
                <w:highlight w:val="none"/>
                <w:lang w:val="en-US" w:eastAsia="zh-CN"/>
              </w:rPr>
            </w:pPr>
            <w:r>
              <w:rPr>
                <w:rFonts w:hint="eastAsia" w:ascii="宋体" w:hAnsi="宋体" w:eastAsia="宋体" w:cs="宋体"/>
                <w:color w:val="auto"/>
                <w:kern w:val="2"/>
                <w:szCs w:val="24"/>
                <w:highlight w:val="none"/>
                <w:lang w:val="en-US" w:eastAsia="zh-CN"/>
              </w:rPr>
              <w:t>履约保证金</w:t>
            </w:r>
          </w:p>
        </w:tc>
        <w:tc>
          <w:tcPr>
            <w:tcW w:w="7589" w:type="dxa"/>
            <w:tcBorders>
              <w:top w:val="single" w:color="auto" w:sz="4" w:space="0"/>
              <w:left w:val="single" w:color="auto" w:sz="4" w:space="0"/>
              <w:bottom w:val="single" w:color="auto" w:sz="4" w:space="0"/>
              <w:right w:val="single" w:color="auto" w:sz="4" w:space="0"/>
            </w:tcBorders>
            <w:noWrap w:val="0"/>
            <w:vAlign w:val="center"/>
          </w:tcPr>
          <w:p w14:paraId="7F6542D2">
            <w:pPr>
              <w:pStyle w:val="11"/>
              <w:keepNext w:val="0"/>
              <w:keepLines w:val="0"/>
              <w:pageBreakBefore w:val="0"/>
              <w:kinsoku/>
              <w:wordWrap/>
              <w:overflowPunct/>
              <w:topLinePunct w:val="0"/>
              <w:bidi w:val="0"/>
              <w:spacing w:line="240" w:lineRule="auto"/>
              <w:textAlignment w:val="auto"/>
              <w:rPr>
                <w:rFonts w:hint="eastAsia" w:ascii="宋体" w:hAnsi="宋体" w:eastAsia="宋体" w:cs="宋体"/>
                <w:color w:val="auto"/>
                <w:kern w:val="2"/>
                <w:szCs w:val="24"/>
                <w:highlight w:val="none"/>
                <w:lang w:val="en-US" w:eastAsia="zh-CN"/>
              </w:rPr>
            </w:pPr>
            <w:r>
              <w:rPr>
                <w:rFonts w:hint="eastAsia" w:ascii="宋体" w:hAnsi="宋体" w:eastAsia="宋体" w:cs="宋体"/>
                <w:color w:val="auto"/>
                <w:kern w:val="2"/>
                <w:szCs w:val="24"/>
                <w:highlight w:val="none"/>
                <w:lang w:val="en-US" w:eastAsia="zh-CN"/>
              </w:rPr>
              <w:t>签订合同前，中标人需向采购人缴纳合同总金额1%的履约保证金，项目终验合格无任何问题退回，不计息。</w:t>
            </w:r>
          </w:p>
        </w:tc>
      </w:tr>
      <w:tr w14:paraId="5DA535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2887455A">
            <w:pPr>
              <w:pStyle w:val="11"/>
              <w:keepNext w:val="0"/>
              <w:keepLines w:val="0"/>
              <w:pageBreakBefore w:val="0"/>
              <w:kinsoku/>
              <w:wordWrap/>
              <w:overflowPunct/>
              <w:topLinePunct w:val="0"/>
              <w:bidi w:val="0"/>
              <w:spacing w:line="240" w:lineRule="auto"/>
              <w:jc w:val="center"/>
              <w:textAlignment w:val="auto"/>
              <w:rPr>
                <w:rFonts w:hint="eastAsia" w:ascii="宋体" w:hAnsi="宋体" w:eastAsia="宋体" w:cs="宋体"/>
                <w:b/>
                <w:color w:val="auto"/>
                <w:kern w:val="2"/>
                <w:szCs w:val="24"/>
                <w:highlight w:val="none"/>
                <w:lang w:val="en-US" w:eastAsia="zh-CN"/>
              </w:rPr>
            </w:pPr>
            <w:r>
              <w:rPr>
                <w:rFonts w:hint="eastAsia" w:ascii="宋体" w:hAnsi="宋体" w:eastAsia="宋体" w:cs="宋体"/>
                <w:b/>
                <w:color w:val="auto"/>
                <w:kern w:val="2"/>
                <w:szCs w:val="24"/>
                <w:highlight w:val="none"/>
                <w:lang w:val="en-US" w:eastAsia="zh-CN"/>
              </w:rPr>
              <w:t>20</w:t>
            </w:r>
          </w:p>
        </w:tc>
        <w:tc>
          <w:tcPr>
            <w:tcW w:w="1776" w:type="dxa"/>
            <w:tcBorders>
              <w:top w:val="single" w:color="auto" w:sz="4" w:space="0"/>
              <w:left w:val="single" w:color="auto" w:sz="4" w:space="0"/>
              <w:bottom w:val="single" w:color="auto" w:sz="4" w:space="0"/>
              <w:right w:val="single" w:color="auto" w:sz="4" w:space="0"/>
            </w:tcBorders>
            <w:noWrap w:val="0"/>
            <w:vAlign w:val="center"/>
          </w:tcPr>
          <w:p w14:paraId="2C689EAA">
            <w:pPr>
              <w:pStyle w:val="11"/>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auto"/>
                <w:kern w:val="2"/>
                <w:szCs w:val="24"/>
                <w:highlight w:val="none"/>
                <w:lang w:val="en-US" w:eastAsia="zh-CN"/>
              </w:rPr>
            </w:pPr>
            <w:r>
              <w:rPr>
                <w:rFonts w:hint="eastAsia" w:ascii="宋体" w:hAnsi="宋体" w:eastAsia="宋体" w:cs="宋体"/>
                <w:color w:val="auto"/>
                <w:kern w:val="2"/>
                <w:szCs w:val="24"/>
                <w:highlight w:val="none"/>
                <w:lang w:val="en-US" w:eastAsia="zh-CN"/>
              </w:rPr>
              <w:t>投标文件递交截止时间</w:t>
            </w:r>
          </w:p>
        </w:tc>
        <w:tc>
          <w:tcPr>
            <w:tcW w:w="7589" w:type="dxa"/>
            <w:tcBorders>
              <w:top w:val="single" w:color="auto" w:sz="4" w:space="0"/>
              <w:left w:val="single" w:color="auto" w:sz="4" w:space="0"/>
              <w:bottom w:val="single" w:color="auto" w:sz="4" w:space="0"/>
              <w:right w:val="single" w:color="auto" w:sz="4" w:space="0"/>
            </w:tcBorders>
            <w:noWrap w:val="0"/>
            <w:vAlign w:val="center"/>
          </w:tcPr>
          <w:p w14:paraId="1680B844">
            <w:pPr>
              <w:keepNext w:val="0"/>
              <w:keepLines w:val="0"/>
              <w:pageBreakBefore w:val="0"/>
              <w:kinsoku/>
              <w:wordWrap/>
              <w:overflowPunct/>
              <w:topLinePunct w:val="0"/>
              <w:bidi w:val="0"/>
              <w:snapToGrid w:val="0"/>
              <w:spacing w:line="240" w:lineRule="auto"/>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sz w:val="24"/>
                <w:szCs w:val="24"/>
                <w:highlight w:val="none"/>
                <w:lang w:eastAsia="zh-CN"/>
              </w:rPr>
              <w:t>详见招标公告</w:t>
            </w:r>
          </w:p>
        </w:tc>
      </w:tr>
      <w:tr w14:paraId="404638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29765152">
            <w:pPr>
              <w:pStyle w:val="11"/>
              <w:keepNext w:val="0"/>
              <w:keepLines w:val="0"/>
              <w:pageBreakBefore w:val="0"/>
              <w:kinsoku/>
              <w:wordWrap/>
              <w:overflowPunct/>
              <w:topLinePunct w:val="0"/>
              <w:bidi w:val="0"/>
              <w:spacing w:line="240" w:lineRule="auto"/>
              <w:jc w:val="center"/>
              <w:textAlignment w:val="auto"/>
              <w:rPr>
                <w:rFonts w:hint="eastAsia" w:ascii="宋体" w:hAnsi="宋体" w:eastAsia="宋体" w:cs="宋体"/>
                <w:b/>
                <w:color w:val="auto"/>
                <w:kern w:val="2"/>
                <w:szCs w:val="24"/>
                <w:highlight w:val="none"/>
                <w:lang w:val="en-US" w:eastAsia="zh-CN"/>
              </w:rPr>
            </w:pPr>
            <w:r>
              <w:rPr>
                <w:rFonts w:hint="eastAsia" w:ascii="宋体" w:hAnsi="宋体" w:eastAsia="宋体" w:cs="宋体"/>
                <w:b/>
                <w:color w:val="auto"/>
                <w:kern w:val="2"/>
                <w:szCs w:val="24"/>
                <w:highlight w:val="none"/>
                <w:lang w:val="en-US" w:eastAsia="zh-CN"/>
              </w:rPr>
              <w:t>21</w:t>
            </w:r>
          </w:p>
        </w:tc>
        <w:tc>
          <w:tcPr>
            <w:tcW w:w="1776" w:type="dxa"/>
            <w:tcBorders>
              <w:top w:val="single" w:color="auto" w:sz="4" w:space="0"/>
              <w:left w:val="single" w:color="auto" w:sz="4" w:space="0"/>
              <w:bottom w:val="single" w:color="auto" w:sz="4" w:space="0"/>
              <w:right w:val="single" w:color="auto" w:sz="4" w:space="0"/>
            </w:tcBorders>
            <w:noWrap w:val="0"/>
            <w:vAlign w:val="center"/>
          </w:tcPr>
          <w:p w14:paraId="0FE8B294">
            <w:pPr>
              <w:pStyle w:val="11"/>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auto"/>
                <w:kern w:val="2"/>
                <w:szCs w:val="24"/>
                <w:highlight w:val="none"/>
                <w:lang w:val="en-US" w:eastAsia="zh-CN"/>
              </w:rPr>
            </w:pPr>
            <w:r>
              <w:rPr>
                <w:rFonts w:hint="eastAsia" w:ascii="宋体" w:hAnsi="宋体" w:eastAsia="宋体" w:cs="宋体"/>
                <w:color w:val="auto"/>
                <w:kern w:val="2"/>
                <w:szCs w:val="24"/>
                <w:highlight w:val="none"/>
                <w:lang w:val="en-US" w:eastAsia="zh-CN"/>
              </w:rPr>
              <w:t>投标文件递交地点</w:t>
            </w:r>
          </w:p>
        </w:tc>
        <w:tc>
          <w:tcPr>
            <w:tcW w:w="7589" w:type="dxa"/>
            <w:tcBorders>
              <w:top w:val="single" w:color="auto" w:sz="4" w:space="0"/>
              <w:left w:val="single" w:color="auto" w:sz="4" w:space="0"/>
              <w:bottom w:val="single" w:color="auto" w:sz="4" w:space="0"/>
              <w:right w:val="single" w:color="auto" w:sz="4" w:space="0"/>
            </w:tcBorders>
            <w:noWrap w:val="0"/>
            <w:vAlign w:val="center"/>
          </w:tcPr>
          <w:p w14:paraId="4807DCDD">
            <w:pPr>
              <w:keepNext w:val="0"/>
              <w:keepLines w:val="0"/>
              <w:pageBreakBefore w:val="0"/>
              <w:kinsoku/>
              <w:wordWrap/>
              <w:overflowPunct/>
              <w:topLinePunct w:val="0"/>
              <w:bidi w:val="0"/>
              <w:snapToGrid w:val="0"/>
              <w:spacing w:line="240" w:lineRule="auto"/>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乐采云平台（https://www.lecaiyun.com/）</w:t>
            </w:r>
          </w:p>
        </w:tc>
      </w:tr>
      <w:tr w14:paraId="4D122F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0A9F25CC">
            <w:pPr>
              <w:pStyle w:val="11"/>
              <w:keepNext w:val="0"/>
              <w:keepLines w:val="0"/>
              <w:pageBreakBefore w:val="0"/>
              <w:kinsoku/>
              <w:wordWrap/>
              <w:overflowPunct/>
              <w:topLinePunct w:val="0"/>
              <w:bidi w:val="0"/>
              <w:spacing w:line="240" w:lineRule="auto"/>
              <w:jc w:val="center"/>
              <w:textAlignment w:val="auto"/>
              <w:rPr>
                <w:rFonts w:hint="eastAsia" w:ascii="宋体" w:hAnsi="宋体" w:eastAsia="宋体" w:cs="宋体"/>
                <w:b/>
                <w:color w:val="auto"/>
                <w:kern w:val="2"/>
                <w:szCs w:val="24"/>
                <w:highlight w:val="none"/>
                <w:lang w:val="en-US" w:eastAsia="zh-CN"/>
              </w:rPr>
            </w:pPr>
            <w:r>
              <w:rPr>
                <w:rFonts w:hint="eastAsia" w:ascii="宋体" w:hAnsi="宋体" w:eastAsia="宋体" w:cs="宋体"/>
                <w:b/>
                <w:color w:val="auto"/>
                <w:kern w:val="2"/>
                <w:szCs w:val="24"/>
                <w:highlight w:val="none"/>
                <w:lang w:val="en-US" w:eastAsia="zh-CN"/>
              </w:rPr>
              <w:t>22</w:t>
            </w:r>
          </w:p>
        </w:tc>
        <w:tc>
          <w:tcPr>
            <w:tcW w:w="1776" w:type="dxa"/>
            <w:tcBorders>
              <w:top w:val="single" w:color="auto" w:sz="4" w:space="0"/>
              <w:left w:val="single" w:color="auto" w:sz="4" w:space="0"/>
              <w:bottom w:val="single" w:color="auto" w:sz="4" w:space="0"/>
              <w:right w:val="single" w:color="auto" w:sz="4" w:space="0"/>
            </w:tcBorders>
            <w:noWrap w:val="0"/>
            <w:vAlign w:val="center"/>
          </w:tcPr>
          <w:p w14:paraId="4CD8C249">
            <w:pPr>
              <w:pStyle w:val="11"/>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auto"/>
                <w:kern w:val="2"/>
                <w:szCs w:val="24"/>
                <w:highlight w:val="none"/>
                <w:lang w:val="en-US" w:eastAsia="zh-CN"/>
              </w:rPr>
            </w:pPr>
            <w:r>
              <w:rPr>
                <w:rFonts w:hint="eastAsia" w:ascii="宋体" w:hAnsi="宋体" w:eastAsia="宋体" w:cs="宋体"/>
                <w:color w:val="auto"/>
                <w:kern w:val="2"/>
                <w:szCs w:val="24"/>
                <w:highlight w:val="none"/>
                <w:lang w:val="en-US" w:eastAsia="zh-CN"/>
              </w:rPr>
              <w:t>开标时间</w:t>
            </w:r>
          </w:p>
        </w:tc>
        <w:tc>
          <w:tcPr>
            <w:tcW w:w="7589" w:type="dxa"/>
            <w:tcBorders>
              <w:top w:val="single" w:color="auto" w:sz="4" w:space="0"/>
              <w:left w:val="single" w:color="auto" w:sz="4" w:space="0"/>
              <w:bottom w:val="single" w:color="auto" w:sz="4" w:space="0"/>
              <w:right w:val="single" w:color="auto" w:sz="4" w:space="0"/>
            </w:tcBorders>
            <w:noWrap w:val="0"/>
            <w:vAlign w:val="center"/>
          </w:tcPr>
          <w:p w14:paraId="2863FF29">
            <w:pPr>
              <w:keepNext w:val="0"/>
              <w:keepLines w:val="0"/>
              <w:pageBreakBefore w:val="0"/>
              <w:kinsoku/>
              <w:wordWrap/>
              <w:overflowPunct/>
              <w:topLinePunct w:val="0"/>
              <w:bidi w:val="0"/>
              <w:snapToGrid w:val="0"/>
              <w:spacing w:line="240" w:lineRule="auto"/>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sz w:val="24"/>
                <w:szCs w:val="24"/>
                <w:highlight w:val="none"/>
                <w:lang w:eastAsia="zh-CN"/>
              </w:rPr>
              <w:t>详见招标公告</w:t>
            </w:r>
          </w:p>
        </w:tc>
      </w:tr>
      <w:tr w14:paraId="6046C0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222D79EA">
            <w:pPr>
              <w:pStyle w:val="11"/>
              <w:keepNext w:val="0"/>
              <w:keepLines w:val="0"/>
              <w:pageBreakBefore w:val="0"/>
              <w:kinsoku/>
              <w:wordWrap/>
              <w:overflowPunct/>
              <w:topLinePunct w:val="0"/>
              <w:bidi w:val="0"/>
              <w:spacing w:line="240" w:lineRule="auto"/>
              <w:jc w:val="center"/>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23</w:t>
            </w:r>
          </w:p>
        </w:tc>
        <w:tc>
          <w:tcPr>
            <w:tcW w:w="1776" w:type="dxa"/>
            <w:tcBorders>
              <w:top w:val="single" w:color="auto" w:sz="4" w:space="0"/>
              <w:left w:val="single" w:color="auto" w:sz="4" w:space="0"/>
              <w:bottom w:val="single" w:color="auto" w:sz="4" w:space="0"/>
              <w:right w:val="single" w:color="auto" w:sz="4" w:space="0"/>
            </w:tcBorders>
            <w:noWrap w:val="0"/>
            <w:vAlign w:val="center"/>
          </w:tcPr>
          <w:p w14:paraId="72C1B748">
            <w:pPr>
              <w:pStyle w:val="11"/>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auto"/>
                <w:kern w:val="2"/>
                <w:szCs w:val="24"/>
                <w:highlight w:val="none"/>
                <w:lang w:val="en-US" w:eastAsia="zh-CN"/>
              </w:rPr>
            </w:pPr>
            <w:r>
              <w:rPr>
                <w:rFonts w:hint="eastAsia" w:ascii="宋体" w:hAnsi="宋体" w:eastAsia="宋体" w:cs="宋体"/>
                <w:color w:val="auto"/>
                <w:kern w:val="2"/>
                <w:szCs w:val="24"/>
                <w:highlight w:val="none"/>
                <w:lang w:val="en-US" w:eastAsia="zh-CN"/>
              </w:rPr>
              <w:t>开标地点</w:t>
            </w:r>
          </w:p>
        </w:tc>
        <w:tc>
          <w:tcPr>
            <w:tcW w:w="7589" w:type="dxa"/>
            <w:tcBorders>
              <w:top w:val="single" w:color="auto" w:sz="4" w:space="0"/>
              <w:left w:val="single" w:color="auto" w:sz="4" w:space="0"/>
              <w:bottom w:val="single" w:color="auto" w:sz="4" w:space="0"/>
              <w:right w:val="single" w:color="auto" w:sz="4" w:space="0"/>
            </w:tcBorders>
            <w:noWrap w:val="0"/>
            <w:vAlign w:val="center"/>
          </w:tcPr>
          <w:p w14:paraId="6E74A230">
            <w:pPr>
              <w:keepNext w:val="0"/>
              <w:keepLines w:val="0"/>
              <w:pageBreakBefore w:val="0"/>
              <w:kinsoku/>
              <w:wordWrap/>
              <w:overflowPunct/>
              <w:topLinePunct w:val="0"/>
              <w:bidi w:val="0"/>
              <w:snapToGrid w:val="0"/>
              <w:spacing w:line="240" w:lineRule="auto"/>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lang w:eastAsia="zh-CN"/>
              </w:rPr>
              <w:t>详见招标公告</w:t>
            </w:r>
          </w:p>
        </w:tc>
      </w:tr>
      <w:tr w14:paraId="6A96F6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6D0CD99A">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24</w:t>
            </w:r>
          </w:p>
        </w:tc>
        <w:tc>
          <w:tcPr>
            <w:tcW w:w="1776" w:type="dxa"/>
            <w:tcBorders>
              <w:top w:val="single" w:color="auto" w:sz="4" w:space="0"/>
              <w:left w:val="single" w:color="auto" w:sz="4" w:space="0"/>
              <w:bottom w:val="single" w:color="auto" w:sz="4" w:space="0"/>
              <w:right w:val="single" w:color="auto" w:sz="4" w:space="0"/>
            </w:tcBorders>
            <w:noWrap w:val="0"/>
            <w:vAlign w:val="center"/>
          </w:tcPr>
          <w:p w14:paraId="4D6A7A66">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质疑与答疑时间</w:t>
            </w:r>
          </w:p>
        </w:tc>
        <w:tc>
          <w:tcPr>
            <w:tcW w:w="7589" w:type="dxa"/>
            <w:tcBorders>
              <w:top w:val="single" w:color="auto" w:sz="4" w:space="0"/>
              <w:left w:val="single" w:color="auto" w:sz="4" w:space="0"/>
              <w:bottom w:val="single" w:color="auto" w:sz="4" w:space="0"/>
              <w:right w:val="single" w:color="auto" w:sz="4" w:space="0"/>
            </w:tcBorders>
            <w:noWrap w:val="0"/>
            <w:vAlign w:val="center"/>
          </w:tcPr>
          <w:p w14:paraId="60AB1E33">
            <w:pPr>
              <w:keepNext w:val="0"/>
              <w:keepLines w:val="0"/>
              <w:pageBreakBefore w:val="0"/>
              <w:kinsoku/>
              <w:wordWrap/>
              <w:overflowPunct/>
              <w:topLinePunct w:val="0"/>
              <w:bidi w:val="0"/>
              <w:snapToGrid w:val="0"/>
              <w:spacing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投标人应在开标截止时间10日前以书面形式向采购代理机构提出质疑，逾期提出的，采购代理机构不予受理、答复。</w:t>
            </w:r>
          </w:p>
        </w:tc>
      </w:tr>
      <w:tr w14:paraId="59F669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27402E61">
            <w:pPr>
              <w:pStyle w:val="11"/>
              <w:keepNext w:val="0"/>
              <w:keepLines w:val="0"/>
              <w:pageBreakBefore w:val="0"/>
              <w:kinsoku/>
              <w:wordWrap/>
              <w:overflowPunct/>
              <w:topLinePunct w:val="0"/>
              <w:bidi w:val="0"/>
              <w:spacing w:line="240" w:lineRule="auto"/>
              <w:jc w:val="center"/>
              <w:textAlignment w:val="auto"/>
              <w:rPr>
                <w:rFonts w:hint="eastAsia" w:ascii="宋体" w:hAnsi="宋体" w:eastAsia="宋体" w:cs="宋体"/>
                <w:bCs/>
                <w:color w:val="auto"/>
                <w:kern w:val="2"/>
                <w:szCs w:val="24"/>
                <w:highlight w:val="none"/>
                <w:lang w:val="en-US" w:eastAsia="zh-CN"/>
              </w:rPr>
            </w:pPr>
            <w:r>
              <w:rPr>
                <w:rFonts w:hint="eastAsia" w:ascii="宋体" w:hAnsi="宋体" w:eastAsia="宋体" w:cs="宋体"/>
                <w:b/>
                <w:color w:val="auto"/>
                <w:kern w:val="2"/>
                <w:szCs w:val="24"/>
                <w:highlight w:val="none"/>
                <w:lang w:val="en-US" w:eastAsia="zh-CN"/>
              </w:rPr>
              <w:t>25</w:t>
            </w:r>
          </w:p>
        </w:tc>
        <w:tc>
          <w:tcPr>
            <w:tcW w:w="1776" w:type="dxa"/>
            <w:tcBorders>
              <w:top w:val="single" w:color="auto" w:sz="4" w:space="0"/>
              <w:left w:val="single" w:color="auto" w:sz="4" w:space="0"/>
              <w:bottom w:val="single" w:color="auto" w:sz="4" w:space="0"/>
              <w:right w:val="single" w:color="auto" w:sz="4" w:space="0"/>
            </w:tcBorders>
            <w:noWrap w:val="0"/>
            <w:vAlign w:val="center"/>
          </w:tcPr>
          <w:p w14:paraId="1A2268B4">
            <w:pPr>
              <w:pStyle w:val="11"/>
              <w:keepNext w:val="0"/>
              <w:keepLines w:val="0"/>
              <w:pageBreakBefore w:val="0"/>
              <w:kinsoku/>
              <w:wordWrap/>
              <w:overflowPunct/>
              <w:topLinePunct w:val="0"/>
              <w:bidi w:val="0"/>
              <w:spacing w:line="240" w:lineRule="auto"/>
              <w:jc w:val="center"/>
              <w:textAlignment w:val="auto"/>
              <w:rPr>
                <w:rFonts w:hint="eastAsia" w:ascii="宋体" w:hAnsi="宋体" w:eastAsia="宋体" w:cs="宋体"/>
                <w:bCs/>
                <w:color w:val="auto"/>
                <w:kern w:val="2"/>
                <w:szCs w:val="24"/>
                <w:highlight w:val="none"/>
                <w:lang w:val="en-US" w:eastAsia="zh-CN"/>
              </w:rPr>
            </w:pPr>
            <w:r>
              <w:rPr>
                <w:rFonts w:hint="eastAsia" w:ascii="宋体" w:hAnsi="宋体" w:eastAsia="宋体" w:cs="宋体"/>
                <w:bCs/>
                <w:color w:val="auto"/>
                <w:kern w:val="2"/>
                <w:szCs w:val="24"/>
                <w:highlight w:val="none"/>
                <w:lang w:val="en-US" w:eastAsia="zh-CN"/>
              </w:rPr>
              <w:t>招标代理费</w:t>
            </w:r>
          </w:p>
        </w:tc>
        <w:tc>
          <w:tcPr>
            <w:tcW w:w="7589" w:type="dxa"/>
            <w:tcBorders>
              <w:top w:val="single" w:color="auto" w:sz="4" w:space="0"/>
              <w:left w:val="single" w:color="auto" w:sz="4" w:space="0"/>
              <w:bottom w:val="single" w:color="auto" w:sz="4" w:space="0"/>
              <w:right w:val="single" w:color="auto" w:sz="4" w:space="0"/>
            </w:tcBorders>
            <w:noWrap w:val="0"/>
            <w:vAlign w:val="center"/>
          </w:tcPr>
          <w:p w14:paraId="727169B4">
            <w:pPr>
              <w:shd w:val="clear"/>
              <w:snapToGrid w:val="0"/>
              <w:spacing w:line="24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1、本项目招标代理费由中标方支付，具体收费标准参照国家发改委</w:t>
            </w: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2011</w:t>
            </w: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534号文件和国家计委</w:t>
            </w: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2002</w:t>
            </w: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1980号文件及诸国资办</w:t>
            </w: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2021</w:t>
            </w: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5号文件执行，收费基数为合同总金额</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不足</w:t>
            </w:r>
            <w:r>
              <w:rPr>
                <w:rFonts w:hint="eastAsia" w:ascii="宋体" w:hAnsi="宋体" w:eastAsia="宋体" w:cs="宋体"/>
                <w:b w:val="0"/>
                <w:bCs w:val="0"/>
                <w:color w:val="auto"/>
                <w:sz w:val="24"/>
                <w:szCs w:val="24"/>
                <w:highlight w:val="none"/>
                <w:lang w:val="en-US" w:eastAsia="zh-CN"/>
              </w:rPr>
              <w:t>叁仟</w:t>
            </w:r>
            <w:r>
              <w:rPr>
                <w:rFonts w:hint="eastAsia" w:ascii="宋体" w:hAnsi="宋体" w:eastAsia="宋体" w:cs="宋体"/>
                <w:b w:val="0"/>
                <w:bCs w:val="0"/>
                <w:color w:val="auto"/>
                <w:sz w:val="24"/>
                <w:szCs w:val="24"/>
                <w:highlight w:val="none"/>
              </w:rPr>
              <w:t>按</w:t>
            </w:r>
            <w:r>
              <w:rPr>
                <w:rFonts w:hint="eastAsia" w:ascii="宋体" w:hAnsi="宋体" w:eastAsia="宋体" w:cs="宋体"/>
                <w:b w:val="0"/>
                <w:bCs w:val="0"/>
                <w:color w:val="auto"/>
                <w:sz w:val="24"/>
                <w:szCs w:val="24"/>
                <w:highlight w:val="none"/>
                <w:lang w:val="en-US" w:eastAsia="zh-CN"/>
              </w:rPr>
              <w:t>叁仟元</w:t>
            </w:r>
            <w:r>
              <w:rPr>
                <w:rFonts w:hint="eastAsia" w:ascii="宋体" w:hAnsi="宋体" w:eastAsia="宋体" w:cs="宋体"/>
                <w:b w:val="0"/>
                <w:bCs w:val="0"/>
                <w:color w:val="auto"/>
                <w:sz w:val="24"/>
                <w:szCs w:val="24"/>
                <w:highlight w:val="none"/>
              </w:rPr>
              <w:t>收取</w:t>
            </w:r>
            <w:r>
              <w:rPr>
                <w:rFonts w:hint="eastAsia" w:ascii="宋体" w:hAnsi="宋体" w:cs="宋体"/>
                <w:b w:val="0"/>
                <w:bCs w:val="0"/>
                <w:color w:val="auto"/>
                <w:sz w:val="24"/>
                <w:szCs w:val="24"/>
                <w:highlight w:val="none"/>
                <w:lang w:val="en-US" w:eastAsia="zh-CN"/>
              </w:rPr>
              <w:t>;</w:t>
            </w:r>
          </w:p>
          <w:p w14:paraId="6102EC26">
            <w:pPr>
              <w:keepNext w:val="0"/>
              <w:keepLines w:val="0"/>
              <w:pageBreakBefore w:val="0"/>
              <w:kinsoku/>
              <w:wordWrap/>
              <w:overflowPunct/>
              <w:topLinePunct w:val="0"/>
              <w:bidi w:val="0"/>
              <w:snapToGrid w:val="0"/>
              <w:spacing w:line="24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val="0"/>
                <w:bCs w:val="0"/>
                <w:color w:val="auto"/>
                <w:sz w:val="24"/>
                <w:szCs w:val="24"/>
                <w:highlight w:val="none"/>
              </w:rPr>
              <w:t>2、以上费用在领取中标通知书前付清</w:t>
            </w:r>
            <w:r>
              <w:rPr>
                <w:rFonts w:hint="eastAsia" w:ascii="宋体" w:hAnsi="宋体" w:eastAsia="宋体" w:cs="宋体"/>
                <w:b w:val="0"/>
                <w:bCs w:val="0"/>
                <w:color w:val="auto"/>
                <w:sz w:val="24"/>
                <w:szCs w:val="24"/>
                <w:highlight w:val="none"/>
                <w:lang w:eastAsia="zh-CN"/>
              </w:rPr>
              <w:t>。</w:t>
            </w:r>
          </w:p>
        </w:tc>
      </w:tr>
      <w:tr w14:paraId="576373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543921FB">
            <w:pPr>
              <w:pStyle w:val="11"/>
              <w:keepNext w:val="0"/>
              <w:keepLines w:val="0"/>
              <w:pageBreakBefore w:val="0"/>
              <w:kinsoku/>
              <w:wordWrap/>
              <w:overflowPunct/>
              <w:topLinePunct w:val="0"/>
              <w:bidi w:val="0"/>
              <w:spacing w:line="240" w:lineRule="auto"/>
              <w:jc w:val="center"/>
              <w:textAlignment w:val="auto"/>
              <w:rPr>
                <w:rFonts w:hint="default" w:ascii="宋体" w:hAnsi="宋体" w:eastAsia="宋体" w:cs="宋体"/>
                <w:b/>
                <w:color w:val="auto"/>
                <w:kern w:val="2"/>
                <w:szCs w:val="24"/>
                <w:highlight w:val="none"/>
                <w:lang w:val="en-US" w:eastAsia="zh-CN"/>
              </w:rPr>
            </w:pPr>
            <w:r>
              <w:rPr>
                <w:rFonts w:hint="eastAsia" w:ascii="宋体" w:hAnsi="宋体" w:cs="宋体"/>
                <w:b/>
                <w:color w:val="auto"/>
                <w:kern w:val="2"/>
                <w:szCs w:val="24"/>
                <w:highlight w:val="none"/>
                <w:lang w:val="en-US" w:eastAsia="zh-CN"/>
              </w:rPr>
              <w:t>26</w:t>
            </w:r>
          </w:p>
        </w:tc>
        <w:tc>
          <w:tcPr>
            <w:tcW w:w="1776" w:type="dxa"/>
            <w:tcBorders>
              <w:top w:val="single" w:color="auto" w:sz="4" w:space="0"/>
              <w:left w:val="single" w:color="auto" w:sz="4" w:space="0"/>
              <w:bottom w:val="single" w:color="auto" w:sz="4" w:space="0"/>
              <w:right w:val="single" w:color="auto" w:sz="4" w:space="0"/>
            </w:tcBorders>
            <w:noWrap w:val="0"/>
            <w:vAlign w:val="center"/>
          </w:tcPr>
          <w:p w14:paraId="5008F7E5">
            <w:pPr>
              <w:pStyle w:val="11"/>
              <w:keepNext w:val="0"/>
              <w:keepLines w:val="0"/>
              <w:pageBreakBefore w:val="0"/>
              <w:kinsoku/>
              <w:wordWrap/>
              <w:overflowPunct/>
              <w:topLinePunct w:val="0"/>
              <w:bidi w:val="0"/>
              <w:spacing w:line="288" w:lineRule="auto"/>
              <w:jc w:val="center"/>
              <w:textAlignment w:val="auto"/>
              <w:rPr>
                <w:rFonts w:hint="default" w:ascii="宋体" w:hAnsi="宋体" w:eastAsia="宋体" w:cs="宋体"/>
                <w:bCs/>
                <w:color w:val="auto"/>
                <w:kern w:val="2"/>
                <w:szCs w:val="24"/>
                <w:highlight w:val="none"/>
                <w:lang w:val="en-US" w:eastAsia="zh-CN"/>
              </w:rPr>
            </w:pPr>
            <w:r>
              <w:rPr>
                <w:rFonts w:hint="eastAsia" w:ascii="宋体" w:hAnsi="宋体" w:eastAsia="宋体" w:cs="宋体"/>
                <w:b w:val="0"/>
                <w:bCs/>
                <w:color w:val="auto"/>
                <w:szCs w:val="24"/>
                <w:highlight w:val="none"/>
                <w:lang w:val="en-US" w:eastAsia="zh-CN"/>
              </w:rPr>
              <w:t>其他提醒</w:t>
            </w:r>
          </w:p>
        </w:tc>
        <w:tc>
          <w:tcPr>
            <w:tcW w:w="7589" w:type="dxa"/>
            <w:tcBorders>
              <w:top w:val="single" w:color="auto" w:sz="4" w:space="0"/>
              <w:left w:val="single" w:color="auto" w:sz="4" w:space="0"/>
              <w:bottom w:val="single" w:color="auto" w:sz="4" w:space="0"/>
              <w:right w:val="single" w:color="auto" w:sz="4" w:space="0"/>
            </w:tcBorders>
            <w:noWrap w:val="0"/>
            <w:vAlign w:val="center"/>
          </w:tcPr>
          <w:p w14:paraId="7BF52803">
            <w:pPr>
              <w:shd w:val="clear"/>
              <w:snapToGrid w:val="0"/>
              <w:spacing w:line="240" w:lineRule="auto"/>
              <w:jc w:val="left"/>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各供应商参与本项目电子招投标活动前应注册成为</w:t>
            </w:r>
            <w:r>
              <w:rPr>
                <w:rFonts w:hint="eastAsia" w:ascii="宋体" w:hAnsi="宋体" w:eastAsia="宋体" w:cs="宋体"/>
                <w:b w:val="0"/>
                <w:bCs w:val="0"/>
                <w:color w:val="auto"/>
                <w:sz w:val="24"/>
                <w:szCs w:val="24"/>
                <w:highlight w:val="none"/>
                <w:lang w:eastAsia="zh-CN"/>
              </w:rPr>
              <w:t>乐采云</w:t>
            </w:r>
            <w:r>
              <w:rPr>
                <w:rFonts w:hint="eastAsia" w:ascii="宋体" w:hAnsi="宋体" w:eastAsia="宋体" w:cs="宋体"/>
                <w:b w:val="0"/>
                <w:bCs w:val="0"/>
                <w:color w:val="auto"/>
                <w:sz w:val="24"/>
                <w:szCs w:val="24"/>
                <w:highlight w:val="none"/>
              </w:rPr>
              <w:t>平台供应商，并完成CA数字证书办理。因未注册或未办理CA数字证书等原因造成无法投标或投标失败等后果由供应商自行承担。</w:t>
            </w:r>
          </w:p>
          <w:p w14:paraId="4097E9E2">
            <w:pPr>
              <w:shd w:val="clear"/>
              <w:snapToGrid w:val="0"/>
              <w:spacing w:line="240" w:lineRule="auto"/>
              <w:jc w:val="left"/>
              <w:rPr>
                <w:rFonts w:hint="eastAsia" w:ascii="宋体" w:hAnsi="宋体" w:eastAsia="宋体" w:cs="宋体"/>
                <w:b/>
                <w:bCs/>
                <w:color w:val="auto"/>
                <w:sz w:val="24"/>
                <w:szCs w:val="24"/>
                <w:highlight w:val="none"/>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如本前附表规定与投标人须知条款的内容有不一致的，以本前附表为准。</w:t>
            </w:r>
          </w:p>
        </w:tc>
      </w:tr>
    </w:tbl>
    <w:p w14:paraId="19AE8A18">
      <w:pPr>
        <w:pStyle w:val="4"/>
        <w:pageBreakBefore w:val="0"/>
        <w:widowControl w:val="0"/>
        <w:shd w:val="clear"/>
        <w:kinsoku/>
        <w:wordWrap/>
        <w:overflowPunct/>
        <w:topLinePunct w:val="0"/>
        <w:bidi w:val="0"/>
        <w:spacing w:before="0" w:after="0" w:line="228"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cs="宋体"/>
          <w:b/>
          <w:bCs/>
          <w:color w:val="auto"/>
          <w:sz w:val="36"/>
          <w:szCs w:val="28"/>
          <w:highlight w:val="none"/>
          <w:lang w:val="en-US" w:eastAsia="zh-CN"/>
        </w:rPr>
        <w:br w:type="page"/>
      </w:r>
      <w:r>
        <w:rPr>
          <w:rFonts w:hint="eastAsia" w:ascii="宋体" w:hAnsi="宋体" w:eastAsia="宋体" w:cs="宋体"/>
          <w:color w:val="auto"/>
          <w:sz w:val="28"/>
          <w:szCs w:val="28"/>
          <w:highlight w:val="none"/>
          <w:lang w:val="en-US" w:eastAsia="zh-CN"/>
        </w:rPr>
        <w:t>一、总   则</w:t>
      </w:r>
    </w:p>
    <w:p w14:paraId="17034AC9">
      <w:pPr>
        <w:pageBreakBefore w:val="0"/>
        <w:widowControl w:val="0"/>
        <w:shd w:val="clear"/>
        <w:kinsoku/>
        <w:wordWrap/>
        <w:overflowPunct/>
        <w:topLinePunct w:val="0"/>
        <w:bidi w:val="0"/>
        <w:spacing w:line="228" w:lineRule="auto"/>
        <w:ind w:firstLine="482" w:firstLineChars="200"/>
        <w:textAlignment w:val="auto"/>
        <w:rPr>
          <w:rFonts w:hint="eastAsia" w:ascii="宋体" w:hAnsi="宋体" w:eastAsia="宋体" w:cs="宋体"/>
          <w:color w:val="auto"/>
          <w:highlight w:val="none"/>
        </w:rPr>
      </w:pPr>
      <w:r>
        <w:rPr>
          <w:rFonts w:hint="eastAsia" w:ascii="宋体" w:hAnsi="宋体" w:eastAsia="宋体" w:cs="宋体"/>
          <w:b/>
          <w:bCs/>
          <w:color w:val="auto"/>
          <w:sz w:val="24"/>
          <w:highlight w:val="none"/>
        </w:rPr>
        <w:t>1.</w:t>
      </w:r>
      <w:r>
        <w:rPr>
          <w:rFonts w:hint="eastAsia" w:ascii="宋体" w:hAnsi="宋体" w:eastAsia="宋体" w:cs="宋体"/>
          <w:b/>
          <w:color w:val="auto"/>
          <w:sz w:val="24"/>
          <w:highlight w:val="none"/>
        </w:rPr>
        <w:t>适用范围</w:t>
      </w:r>
    </w:p>
    <w:p w14:paraId="1CF49317">
      <w:pPr>
        <w:pageBreakBefore w:val="0"/>
        <w:widowControl w:val="0"/>
        <w:shd w:val="clear"/>
        <w:kinsoku/>
        <w:wordWrap/>
        <w:overflowPunct/>
        <w:topLinePunct w:val="0"/>
        <w:bidi w:val="0"/>
        <w:snapToGrid w:val="0"/>
        <w:spacing w:line="228"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本招标文件适用于本次所述项目的招标。</w:t>
      </w:r>
    </w:p>
    <w:p w14:paraId="200E9092">
      <w:pPr>
        <w:pageBreakBefore w:val="0"/>
        <w:widowControl w:val="0"/>
        <w:shd w:val="clear"/>
        <w:kinsoku/>
        <w:wordWrap/>
        <w:overflowPunct/>
        <w:topLinePunct w:val="0"/>
        <w:bidi w:val="0"/>
        <w:snapToGrid w:val="0"/>
        <w:spacing w:line="228" w:lineRule="auto"/>
        <w:ind w:firstLine="472" w:firstLineChars="196"/>
        <w:jc w:val="left"/>
        <w:textAlignment w:val="auto"/>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2.定义</w:t>
      </w:r>
    </w:p>
    <w:p w14:paraId="2B8E8984">
      <w:pPr>
        <w:pageBreakBefore w:val="0"/>
        <w:widowControl w:val="0"/>
        <w:shd w:val="clear"/>
        <w:kinsoku/>
        <w:wordWrap/>
        <w:overflowPunct/>
        <w:topLinePunct w:val="0"/>
        <w:bidi w:val="0"/>
        <w:snapToGrid w:val="0"/>
        <w:spacing w:line="228"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2.1“招标人”系指组织本次招标的采购单位和</w:t>
      </w:r>
      <w:r>
        <w:rPr>
          <w:rFonts w:hint="eastAsia" w:ascii="宋体" w:hAnsi="宋体" w:eastAsia="宋体" w:cs="宋体"/>
          <w:color w:val="auto"/>
          <w:sz w:val="24"/>
          <w:highlight w:val="none"/>
          <w:lang w:eastAsia="zh-CN"/>
        </w:rPr>
        <w:t>浙江博策工程项目管理有限公司</w:t>
      </w:r>
      <w:r>
        <w:rPr>
          <w:rFonts w:hint="eastAsia" w:ascii="宋体" w:hAnsi="宋体" w:eastAsia="宋体" w:cs="宋体"/>
          <w:color w:val="auto"/>
          <w:sz w:val="24"/>
          <w:highlight w:val="none"/>
        </w:rPr>
        <w:t>。</w:t>
      </w:r>
    </w:p>
    <w:p w14:paraId="2519AC93">
      <w:pPr>
        <w:pageBreakBefore w:val="0"/>
        <w:widowControl w:val="0"/>
        <w:shd w:val="clear"/>
        <w:kinsoku/>
        <w:wordWrap/>
        <w:overflowPunct/>
        <w:topLinePunct w:val="0"/>
        <w:bidi w:val="0"/>
        <w:snapToGrid w:val="0"/>
        <w:spacing w:line="228"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2.2“投标人”系指向招标方提交投标文件的供应商。</w:t>
      </w:r>
    </w:p>
    <w:p w14:paraId="08FB7B16">
      <w:pPr>
        <w:pageBreakBefore w:val="0"/>
        <w:widowControl w:val="0"/>
        <w:shd w:val="clear"/>
        <w:kinsoku/>
        <w:wordWrap/>
        <w:overflowPunct/>
        <w:topLinePunct w:val="0"/>
        <w:bidi w:val="0"/>
        <w:snapToGrid w:val="0"/>
        <w:spacing w:line="228"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2.3“产品”系指供方按招标文件规定，须向采购单位提供的一切设备、保险、税 金、备品备件、工具、手册</w:t>
      </w:r>
      <w:r>
        <w:rPr>
          <w:rFonts w:hint="eastAsia" w:ascii="宋体" w:hAnsi="宋体" w:cs="宋体"/>
          <w:color w:val="auto"/>
          <w:sz w:val="24"/>
          <w:highlight w:val="none"/>
          <w:lang w:eastAsia="zh-CN"/>
        </w:rPr>
        <w:t>及其他有关</w:t>
      </w:r>
      <w:r>
        <w:rPr>
          <w:rFonts w:hint="eastAsia" w:ascii="宋体" w:hAnsi="宋体" w:eastAsia="宋体" w:cs="宋体"/>
          <w:color w:val="auto"/>
          <w:sz w:val="24"/>
          <w:highlight w:val="none"/>
        </w:rPr>
        <w:t>技术资料和材料。</w:t>
      </w:r>
    </w:p>
    <w:p w14:paraId="46FB9A23">
      <w:pPr>
        <w:pageBreakBefore w:val="0"/>
        <w:widowControl w:val="0"/>
        <w:shd w:val="clear"/>
        <w:kinsoku/>
        <w:wordWrap/>
        <w:overflowPunct/>
        <w:topLinePunct w:val="0"/>
        <w:bidi w:val="0"/>
        <w:snapToGrid w:val="0"/>
        <w:spacing w:line="228"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2.4“服务”系指招标文件规定投标人须承担的安装、调试、技术协助、校准、培训、技术指导以及其他类似的义务。</w:t>
      </w:r>
    </w:p>
    <w:p w14:paraId="145ACBA5">
      <w:pPr>
        <w:pageBreakBefore w:val="0"/>
        <w:widowControl w:val="0"/>
        <w:shd w:val="clear"/>
        <w:kinsoku/>
        <w:wordWrap/>
        <w:overflowPunct/>
        <w:topLinePunct w:val="0"/>
        <w:bidi w:val="0"/>
        <w:snapToGrid w:val="0"/>
        <w:spacing w:line="228"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2.5“项目”系指投标人按招标文件规定向采购单位提供的产品和服务。</w:t>
      </w:r>
    </w:p>
    <w:p w14:paraId="2B8AA598">
      <w:pPr>
        <w:pageBreakBefore w:val="0"/>
        <w:widowControl w:val="0"/>
        <w:shd w:val="clear"/>
        <w:kinsoku/>
        <w:wordWrap/>
        <w:overflowPunct/>
        <w:topLinePunct w:val="0"/>
        <w:bidi w:val="0"/>
        <w:snapToGrid w:val="0"/>
        <w:spacing w:line="228"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2.6“书面形式”包括信函、传真、电报等。</w:t>
      </w:r>
    </w:p>
    <w:p w14:paraId="210E99F3">
      <w:pPr>
        <w:pageBreakBefore w:val="0"/>
        <w:widowControl w:val="0"/>
        <w:shd w:val="clear"/>
        <w:kinsoku/>
        <w:wordWrap/>
        <w:overflowPunct/>
        <w:topLinePunct w:val="0"/>
        <w:bidi w:val="0"/>
        <w:snapToGrid w:val="0"/>
        <w:spacing w:line="228"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2.7本招标文件所述设备品牌、型号是结合实际现有情况的推荐性参考方案，投标方也可根据招标文件</w:t>
      </w:r>
      <w:r>
        <w:rPr>
          <w:rFonts w:hint="eastAsia" w:ascii="宋体" w:hAnsi="宋体" w:cs="宋体"/>
          <w:color w:val="auto"/>
          <w:sz w:val="24"/>
          <w:highlight w:val="none"/>
          <w:lang w:eastAsia="zh-CN"/>
        </w:rPr>
        <w:t>的</w:t>
      </w:r>
      <w:r>
        <w:rPr>
          <w:rFonts w:hint="eastAsia" w:ascii="宋体" w:hAnsi="宋体" w:eastAsia="宋体" w:cs="宋体"/>
          <w:color w:val="auto"/>
          <w:sz w:val="24"/>
          <w:highlight w:val="none"/>
        </w:rPr>
        <w:t>要求参考性能相当或高于、服务条款相等或高于、符合招标方实际业务需求其他同档次优质品牌的产品，进行方案优化。所投产品不在参考品牌范围内的，是否符合招标文件要求由评标小组在投标文件评审时集体讨论决定。</w:t>
      </w:r>
    </w:p>
    <w:p w14:paraId="0D9D4CE0">
      <w:pPr>
        <w:pageBreakBefore w:val="0"/>
        <w:widowControl w:val="0"/>
        <w:shd w:val="clear"/>
        <w:kinsoku/>
        <w:wordWrap/>
        <w:overflowPunct/>
        <w:topLinePunct w:val="0"/>
        <w:bidi w:val="0"/>
        <w:snapToGrid w:val="0"/>
        <w:spacing w:line="228" w:lineRule="auto"/>
        <w:ind w:firstLine="482" w:firstLineChars="200"/>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3.采购方式</w:t>
      </w:r>
    </w:p>
    <w:p w14:paraId="651BFCA6">
      <w:pPr>
        <w:pageBreakBefore w:val="0"/>
        <w:widowControl w:val="0"/>
        <w:shd w:val="clear"/>
        <w:kinsoku/>
        <w:wordWrap/>
        <w:overflowPunct/>
        <w:topLinePunct w:val="0"/>
        <w:bidi w:val="0"/>
        <w:snapToGrid w:val="0"/>
        <w:spacing w:line="228"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本次采购采用公开招标方式进行。</w:t>
      </w:r>
    </w:p>
    <w:p w14:paraId="2DFDE204">
      <w:pPr>
        <w:pageBreakBefore w:val="0"/>
        <w:widowControl w:val="0"/>
        <w:shd w:val="clear"/>
        <w:kinsoku/>
        <w:wordWrap/>
        <w:overflowPunct/>
        <w:topLinePunct w:val="0"/>
        <w:bidi w:val="0"/>
        <w:snapToGrid w:val="0"/>
        <w:spacing w:line="228" w:lineRule="auto"/>
        <w:ind w:firstLine="472" w:firstLineChars="196"/>
        <w:jc w:val="left"/>
        <w:textAlignment w:val="auto"/>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4.投标人及投标委托有关说明</w:t>
      </w:r>
    </w:p>
    <w:p w14:paraId="48DC0882">
      <w:pPr>
        <w:pageBreakBefore w:val="0"/>
        <w:widowControl w:val="0"/>
        <w:shd w:val="clear"/>
        <w:kinsoku/>
        <w:wordWrap/>
        <w:overflowPunct/>
        <w:topLinePunct w:val="0"/>
        <w:bidi w:val="0"/>
        <w:snapToGrid w:val="0"/>
        <w:spacing w:line="228"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投标人代表不是法定代表人，须有法定代表人出具的授权委托书</w:t>
      </w:r>
      <w:r>
        <w:rPr>
          <w:rFonts w:hint="eastAsia" w:ascii="宋体" w:hAnsi="宋体" w:eastAsia="宋体" w:cs="宋体"/>
          <w:b/>
          <w:color w:val="auto"/>
          <w:sz w:val="24"/>
          <w:highlight w:val="none"/>
        </w:rPr>
        <w:t>。</w:t>
      </w:r>
    </w:p>
    <w:p w14:paraId="263B64C9">
      <w:pPr>
        <w:pageBreakBefore w:val="0"/>
        <w:widowControl w:val="0"/>
        <w:shd w:val="clear"/>
        <w:kinsoku/>
        <w:wordWrap/>
        <w:overflowPunct/>
        <w:topLinePunct w:val="0"/>
        <w:bidi w:val="0"/>
        <w:snapToGrid w:val="0"/>
        <w:spacing w:line="228" w:lineRule="auto"/>
        <w:ind w:firstLine="472" w:firstLineChars="196"/>
        <w:jc w:val="left"/>
        <w:textAlignment w:val="auto"/>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5.投标费用</w:t>
      </w:r>
    </w:p>
    <w:p w14:paraId="30624648">
      <w:pPr>
        <w:pageBreakBefore w:val="0"/>
        <w:widowControl w:val="0"/>
        <w:shd w:val="clear"/>
        <w:kinsoku/>
        <w:wordWrap/>
        <w:overflowPunct/>
        <w:topLinePunct w:val="0"/>
        <w:bidi w:val="0"/>
        <w:snapToGrid w:val="0"/>
        <w:spacing w:line="228" w:lineRule="auto"/>
        <w:ind w:firstLine="480" w:firstLineChars="200"/>
        <w:jc w:val="left"/>
        <w:textAlignment w:val="auto"/>
        <w:rPr>
          <w:rFonts w:hint="eastAsia" w:ascii="宋体" w:hAnsi="宋体" w:eastAsia="宋体" w:cs="宋体"/>
          <w:b w:val="0"/>
          <w:bCs/>
          <w:color w:val="auto"/>
          <w:sz w:val="24"/>
          <w:highlight w:val="none"/>
        </w:rPr>
      </w:pPr>
      <w:r>
        <w:rPr>
          <w:rFonts w:hint="eastAsia" w:ascii="宋体" w:hAnsi="宋体" w:eastAsia="宋体" w:cs="宋体"/>
          <w:color w:val="auto"/>
          <w:sz w:val="24"/>
          <w:highlight w:val="none"/>
        </w:rPr>
        <w:t>投标人应自行承担获得招标文件和编制、提交投标文件所涉及的一切费用。不论投标结果如何，投标人均应自行承担所有与投标有关的全部费用。</w:t>
      </w:r>
      <w:r>
        <w:rPr>
          <w:rFonts w:hint="eastAsia" w:ascii="宋体" w:hAnsi="宋体" w:eastAsia="宋体" w:cs="宋体"/>
          <w:b w:val="0"/>
          <w:bCs/>
          <w:color w:val="auto"/>
          <w:sz w:val="24"/>
          <w:highlight w:val="none"/>
        </w:rPr>
        <w:t>对中标人收取采购代理服务费。</w:t>
      </w:r>
    </w:p>
    <w:p w14:paraId="0E25D605">
      <w:pPr>
        <w:pageBreakBefore w:val="0"/>
        <w:widowControl w:val="0"/>
        <w:shd w:val="clear"/>
        <w:kinsoku/>
        <w:wordWrap/>
        <w:overflowPunct/>
        <w:topLinePunct w:val="0"/>
        <w:bidi w:val="0"/>
        <w:snapToGrid w:val="0"/>
        <w:spacing w:line="228" w:lineRule="auto"/>
        <w:ind w:firstLine="472" w:firstLineChars="196"/>
        <w:jc w:val="left"/>
        <w:textAlignment w:val="auto"/>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6.特别说明：</w:t>
      </w:r>
    </w:p>
    <w:p w14:paraId="47BF1FCF">
      <w:pPr>
        <w:pStyle w:val="11"/>
        <w:pageBreakBefore w:val="0"/>
        <w:widowControl w:val="0"/>
        <w:shd w:val="clear"/>
        <w:kinsoku/>
        <w:wordWrap/>
        <w:overflowPunct/>
        <w:topLinePunct w:val="0"/>
        <w:bidi w:val="0"/>
        <w:snapToGrid w:val="0"/>
        <w:spacing w:line="228" w:lineRule="auto"/>
        <w:ind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6.1投标人应仔细阅读招标文件的所有内容，按照招标文件的要求提交投标文件，并对所提供的全部资料的真实性承担法律责任。</w:t>
      </w:r>
    </w:p>
    <w:p w14:paraId="4F57E4C3">
      <w:pPr>
        <w:pStyle w:val="11"/>
        <w:pageBreakBefore w:val="0"/>
        <w:widowControl w:val="0"/>
        <w:shd w:val="clear"/>
        <w:kinsoku/>
        <w:wordWrap/>
        <w:overflowPunct/>
        <w:topLinePunct w:val="0"/>
        <w:bidi w:val="0"/>
        <w:snapToGrid w:val="0"/>
        <w:spacing w:line="228" w:lineRule="auto"/>
        <w:ind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6.2投标人在投标活动中提供任何虚假材料</w:t>
      </w:r>
      <w:r>
        <w:rPr>
          <w:rFonts w:hint="eastAsia" w:ascii="宋体" w:hAnsi="宋体" w:cs="宋体"/>
          <w:color w:val="auto"/>
          <w:highlight w:val="none"/>
          <w:lang w:eastAsia="zh-CN"/>
        </w:rPr>
        <w:t>，</w:t>
      </w:r>
      <w:r>
        <w:rPr>
          <w:rFonts w:hint="eastAsia" w:ascii="宋体" w:hAnsi="宋体" w:eastAsia="宋体" w:cs="宋体"/>
          <w:color w:val="auto"/>
          <w:highlight w:val="none"/>
        </w:rPr>
        <w:t>其投标无效，并报监管部门查处；中标后发现的</w:t>
      </w:r>
      <w:r>
        <w:rPr>
          <w:rFonts w:hint="eastAsia" w:ascii="宋体" w:hAnsi="宋体" w:cs="宋体"/>
          <w:color w:val="auto"/>
          <w:highlight w:val="none"/>
          <w:lang w:eastAsia="zh-CN"/>
        </w:rPr>
        <w:t>，</w:t>
      </w:r>
      <w:r>
        <w:rPr>
          <w:rFonts w:hint="eastAsia" w:ascii="宋体" w:hAnsi="宋体" w:eastAsia="宋体" w:cs="宋体"/>
          <w:color w:val="auto"/>
          <w:highlight w:val="none"/>
        </w:rPr>
        <w:t>中标人须依照《中华人民共和国消费者权益保护法》第49条之规定双倍赔偿采购人，且民事赔偿并不免除违法投标人的行政与刑事责任。</w:t>
      </w:r>
    </w:p>
    <w:p w14:paraId="40C1BD1B">
      <w:pPr>
        <w:pStyle w:val="11"/>
        <w:pageBreakBefore w:val="0"/>
        <w:widowControl w:val="0"/>
        <w:shd w:val="clear"/>
        <w:kinsoku/>
        <w:wordWrap/>
        <w:overflowPunct/>
        <w:topLinePunct w:val="0"/>
        <w:bidi w:val="0"/>
        <w:snapToGrid w:val="0"/>
        <w:spacing w:line="228" w:lineRule="auto"/>
        <w:ind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6.3投标人须对所投产品、方案、技术和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归采购人所有。</w:t>
      </w:r>
    </w:p>
    <w:p w14:paraId="60018A30">
      <w:pPr>
        <w:pStyle w:val="11"/>
        <w:pageBreakBefore w:val="0"/>
        <w:widowControl w:val="0"/>
        <w:shd w:val="clear"/>
        <w:kinsoku/>
        <w:wordWrap/>
        <w:overflowPunct/>
        <w:topLinePunct w:val="0"/>
        <w:bidi w:val="0"/>
        <w:snapToGrid w:val="0"/>
        <w:spacing w:line="228" w:lineRule="auto"/>
        <w:ind w:left="2" w:leftChars="1"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6.4供应商在采购项目投标过程中应诚实守信，不弄虚作假，不隐瞒真实情况，不围标串标，不恶意质疑投诉。如违反上述要求，经核实后，供应商的投标将作废，将该供应商列入不良记录名单并在网上曝光，同时提请</w:t>
      </w:r>
      <w:r>
        <w:rPr>
          <w:rFonts w:hint="eastAsia" w:ascii="宋体" w:hAnsi="宋体" w:eastAsia="宋体" w:cs="宋体"/>
          <w:color w:val="auto"/>
          <w:highlight w:val="none"/>
          <w:lang w:val="en-US" w:eastAsia="zh-CN"/>
        </w:rPr>
        <w:t>招投标</w:t>
      </w:r>
      <w:r>
        <w:rPr>
          <w:rFonts w:hint="eastAsia" w:ascii="宋体" w:hAnsi="宋体" w:eastAsia="宋体" w:cs="宋体"/>
          <w:color w:val="auto"/>
          <w:highlight w:val="none"/>
        </w:rPr>
        <w:t>监督管理部门给予一定年限内禁止参加采购活动的处罚或其他处罚。</w:t>
      </w:r>
    </w:p>
    <w:p w14:paraId="160323AA">
      <w:pPr>
        <w:pStyle w:val="11"/>
        <w:pageBreakBefore w:val="0"/>
        <w:widowControl w:val="0"/>
        <w:shd w:val="clear"/>
        <w:kinsoku/>
        <w:wordWrap/>
        <w:overflowPunct/>
        <w:topLinePunct w:val="0"/>
        <w:bidi w:val="0"/>
        <w:snapToGrid w:val="0"/>
        <w:spacing w:line="228" w:lineRule="auto"/>
        <w:ind w:left="2" w:leftChars="1"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6.5本项目涉及采购货物必须是全新、未使用过的原装合格正品（包括零部件），如安装或配置了软件的，须为正版软件。</w:t>
      </w:r>
    </w:p>
    <w:p w14:paraId="38A3F7E2">
      <w:pPr>
        <w:pStyle w:val="11"/>
        <w:pageBreakBefore w:val="0"/>
        <w:widowControl w:val="0"/>
        <w:shd w:val="clear"/>
        <w:kinsoku/>
        <w:wordWrap/>
        <w:overflowPunct/>
        <w:topLinePunct w:val="0"/>
        <w:bidi w:val="0"/>
        <w:snapToGrid w:val="0"/>
        <w:spacing w:line="228" w:lineRule="auto"/>
        <w:ind w:left="2" w:leftChars="1"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6.6国产的货物及其有关服务必须符合中华人民共和国的设计和制造生产标准或行业标准。招标公告有其他要求的，亦应符合其要求。</w:t>
      </w:r>
    </w:p>
    <w:p w14:paraId="21BAC497">
      <w:pPr>
        <w:pStyle w:val="11"/>
        <w:pageBreakBefore w:val="0"/>
        <w:widowControl w:val="0"/>
        <w:shd w:val="clear"/>
        <w:kinsoku/>
        <w:wordWrap/>
        <w:overflowPunct/>
        <w:topLinePunct w:val="0"/>
        <w:bidi w:val="0"/>
        <w:snapToGrid w:val="0"/>
        <w:spacing w:line="228" w:lineRule="auto"/>
        <w:ind w:left="2" w:leftChars="1"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6.7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7C1873DB">
      <w:pPr>
        <w:pStyle w:val="11"/>
        <w:pageBreakBefore w:val="0"/>
        <w:widowControl w:val="0"/>
        <w:shd w:val="clear"/>
        <w:kinsoku/>
        <w:wordWrap/>
        <w:overflowPunct/>
        <w:topLinePunct w:val="0"/>
        <w:bidi w:val="0"/>
        <w:snapToGrid w:val="0"/>
        <w:spacing w:line="228" w:lineRule="auto"/>
        <w:ind w:firstLine="472" w:firstLineChars="196"/>
        <w:textAlignment w:val="auto"/>
        <w:outlineLvl w:val="1"/>
        <w:rPr>
          <w:rFonts w:hint="eastAsia" w:ascii="宋体" w:hAnsi="宋体" w:eastAsia="宋体" w:cs="宋体"/>
          <w:b/>
          <w:bCs/>
          <w:color w:val="auto"/>
          <w:highlight w:val="none"/>
        </w:rPr>
      </w:pPr>
      <w:r>
        <w:rPr>
          <w:rFonts w:hint="eastAsia" w:ascii="宋体" w:hAnsi="宋体" w:eastAsia="宋体" w:cs="宋体"/>
          <w:b/>
          <w:color w:val="auto"/>
          <w:highlight w:val="none"/>
        </w:rPr>
        <w:t>7.</w:t>
      </w:r>
      <w:r>
        <w:rPr>
          <w:rFonts w:hint="eastAsia" w:ascii="宋体" w:hAnsi="宋体" w:eastAsia="宋体" w:cs="宋体"/>
          <w:b/>
          <w:bCs/>
          <w:color w:val="auto"/>
          <w:highlight w:val="none"/>
        </w:rPr>
        <w:t>质疑和投诉</w:t>
      </w:r>
    </w:p>
    <w:p w14:paraId="4581DFC8">
      <w:pPr>
        <w:pStyle w:val="11"/>
        <w:pageBreakBefore w:val="0"/>
        <w:widowControl w:val="0"/>
        <w:shd w:val="clear"/>
        <w:kinsoku/>
        <w:wordWrap/>
        <w:overflowPunct/>
        <w:topLinePunct w:val="0"/>
        <w:bidi w:val="0"/>
        <w:snapToGrid w:val="0"/>
        <w:spacing w:line="228" w:lineRule="auto"/>
        <w:ind w:left="1" w:firstLine="480" w:firstLineChars="200"/>
        <w:textAlignment w:val="auto"/>
        <w:rPr>
          <w:rFonts w:hint="eastAsia" w:ascii="宋体" w:hAnsi="宋体" w:eastAsia="宋体" w:cs="宋体"/>
          <w:color w:val="auto"/>
          <w:highlight w:val="none"/>
        </w:rPr>
      </w:pPr>
      <w:bookmarkStart w:id="21" w:name="_Toc125344504"/>
      <w:r>
        <w:rPr>
          <w:rFonts w:hint="eastAsia" w:ascii="宋体" w:hAnsi="宋体" w:eastAsia="宋体" w:cs="宋体"/>
          <w:bCs/>
          <w:color w:val="auto"/>
          <w:highlight w:val="none"/>
        </w:rPr>
        <w:t>7.1投标人认为招标文件、招标过程和中标结果使自己的合法权益受到损害的，应当在知道或者应知其权益受到损害之日起七个工作日内，以书面形式向采购单位、招标代理机构提出质疑。</w:t>
      </w:r>
      <w:r>
        <w:rPr>
          <w:rFonts w:hint="eastAsia" w:ascii="宋体" w:hAnsi="宋体" w:eastAsia="宋体" w:cs="宋体"/>
          <w:color w:val="auto"/>
          <w:highlight w:val="none"/>
        </w:rPr>
        <w:t>投标人对招标人的质疑答复不满意或者招标人未在规定时间内作出答复的，可以在答复期满后十五个工作日内向同级采购监管部门投诉。</w:t>
      </w:r>
      <w:r>
        <w:rPr>
          <w:rFonts w:hint="eastAsia" w:ascii="宋体" w:hAnsi="宋体" w:eastAsia="宋体" w:cs="宋体"/>
          <w:color w:val="auto"/>
          <w:szCs w:val="24"/>
          <w:highlight w:val="none"/>
        </w:rPr>
        <w:t>逾期提出的，采购代理机构不予受理、答复。</w:t>
      </w:r>
    </w:p>
    <w:p w14:paraId="4448B37D">
      <w:pPr>
        <w:pStyle w:val="11"/>
        <w:pageBreakBefore w:val="0"/>
        <w:widowControl w:val="0"/>
        <w:shd w:val="clear"/>
        <w:kinsoku/>
        <w:wordWrap/>
        <w:overflowPunct/>
        <w:topLinePunct w:val="0"/>
        <w:bidi w:val="0"/>
        <w:snapToGrid w:val="0"/>
        <w:spacing w:line="228" w:lineRule="auto"/>
        <w:ind w:left="1" w:firstLine="480" w:firstLineChars="200"/>
        <w:textAlignment w:val="auto"/>
        <w:rPr>
          <w:rFonts w:hint="eastAsia" w:ascii="宋体" w:hAnsi="宋体" w:eastAsia="宋体" w:cs="宋体"/>
          <w:color w:val="auto"/>
          <w:highlight w:val="none"/>
        </w:rPr>
      </w:pPr>
      <w:r>
        <w:rPr>
          <w:rFonts w:hint="eastAsia" w:ascii="宋体" w:hAnsi="宋体" w:eastAsia="宋体" w:cs="宋体"/>
          <w:bCs/>
          <w:color w:val="auto"/>
          <w:highlight w:val="none"/>
        </w:rPr>
        <w:t>7.2质疑、投诉应当采用书面形式，质疑书、投诉书均应明确阐述招标文件、招标过程和中标结果中使自己合法权益受到损害的实质性内容，提供相关事实、依据和证据及</w:t>
      </w:r>
      <w:r>
        <w:rPr>
          <w:rFonts w:hint="eastAsia" w:ascii="宋体" w:hAnsi="宋体" w:eastAsia="宋体" w:cs="宋体"/>
          <w:color w:val="auto"/>
          <w:highlight w:val="none"/>
        </w:rPr>
        <w:t>其来源或线索，便于有关单位调查、答复和处理。</w:t>
      </w:r>
    </w:p>
    <w:p w14:paraId="03770AFB">
      <w:pPr>
        <w:pStyle w:val="11"/>
        <w:pageBreakBefore w:val="0"/>
        <w:widowControl w:val="0"/>
        <w:shd w:val="clear"/>
        <w:kinsoku/>
        <w:wordWrap/>
        <w:overflowPunct/>
        <w:topLinePunct w:val="0"/>
        <w:bidi w:val="0"/>
        <w:snapToGrid w:val="0"/>
        <w:spacing w:line="228" w:lineRule="auto"/>
        <w:ind w:left="1"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highlight w:val="none"/>
        </w:rPr>
        <w:t>7.3</w:t>
      </w:r>
      <w:r>
        <w:rPr>
          <w:rFonts w:hint="eastAsia" w:ascii="宋体" w:hAnsi="宋体" w:eastAsia="宋体" w:cs="宋体"/>
          <w:color w:val="auto"/>
          <w:szCs w:val="24"/>
          <w:highlight w:val="none"/>
        </w:rPr>
        <w:t>采购代理机构与采购人研究后，对认为有必要回答的问题，采购人和采购代理机构将补充（更正）以网上发布公告的形式通知所有投标人，补充（更正）是招标文件的</w:t>
      </w:r>
      <w:r>
        <w:rPr>
          <w:rFonts w:hint="eastAsia" w:ascii="宋体" w:hAnsi="宋体" w:cs="宋体"/>
          <w:color w:val="auto"/>
          <w:szCs w:val="24"/>
          <w:highlight w:val="none"/>
          <w:lang w:eastAsia="zh-CN"/>
        </w:rPr>
        <w:t>组成部分</w:t>
      </w:r>
      <w:r>
        <w:rPr>
          <w:rFonts w:hint="eastAsia" w:ascii="宋体" w:hAnsi="宋体" w:eastAsia="宋体" w:cs="宋体"/>
          <w:color w:val="auto"/>
          <w:szCs w:val="24"/>
          <w:highlight w:val="none"/>
        </w:rPr>
        <w:t>。</w:t>
      </w:r>
    </w:p>
    <w:p w14:paraId="44961C8F">
      <w:pPr>
        <w:pStyle w:val="11"/>
        <w:pageBreakBefore w:val="0"/>
        <w:widowControl w:val="0"/>
        <w:shd w:val="clear"/>
        <w:kinsoku/>
        <w:wordWrap/>
        <w:overflowPunct/>
        <w:topLinePunct w:val="0"/>
        <w:bidi w:val="0"/>
        <w:snapToGrid w:val="0"/>
        <w:spacing w:line="228" w:lineRule="auto"/>
        <w:ind w:left="1"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7.4</w:t>
      </w:r>
      <w:r>
        <w:rPr>
          <w:rFonts w:hint="eastAsia" w:ascii="宋体" w:hAnsi="宋体" w:eastAsia="宋体" w:cs="宋体"/>
          <w:b/>
          <w:color w:val="auto"/>
          <w:highlight w:val="none"/>
          <w:u w:val="single"/>
        </w:rPr>
        <w:t>质疑供应商在收到该更正（补充）公告后应于1日内，以书面或传真形式（签署意见并加盖公章）向采购代理机构回函给予确认。过期未回复的，视为默认接受。</w:t>
      </w:r>
    </w:p>
    <w:p w14:paraId="20956E18">
      <w:pPr>
        <w:pStyle w:val="4"/>
        <w:pageBreakBefore w:val="0"/>
        <w:widowControl w:val="0"/>
        <w:shd w:val="clear"/>
        <w:kinsoku/>
        <w:wordWrap/>
        <w:overflowPunct/>
        <w:topLinePunct w:val="0"/>
        <w:bidi w:val="0"/>
        <w:spacing w:before="0" w:after="0" w:line="228"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二、招标文件</w:t>
      </w:r>
      <w:bookmarkEnd w:id="21"/>
    </w:p>
    <w:p w14:paraId="6012B6F3">
      <w:pPr>
        <w:pageBreakBefore w:val="0"/>
        <w:widowControl w:val="0"/>
        <w:shd w:val="clear"/>
        <w:kinsoku/>
        <w:wordWrap/>
        <w:overflowPunct/>
        <w:topLinePunct w:val="0"/>
        <w:bidi w:val="0"/>
        <w:snapToGrid w:val="0"/>
        <w:spacing w:line="228" w:lineRule="auto"/>
        <w:ind w:firstLine="472" w:firstLineChars="196"/>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8.招标文件的构成。</w:t>
      </w:r>
    </w:p>
    <w:p w14:paraId="7F675018">
      <w:pPr>
        <w:pageBreakBefore w:val="0"/>
        <w:widowControl w:val="0"/>
        <w:shd w:val="clear"/>
        <w:kinsoku/>
        <w:wordWrap/>
        <w:overflowPunct/>
        <w:topLinePunct w:val="0"/>
        <w:bidi w:val="0"/>
        <w:snapToGrid w:val="0"/>
        <w:spacing w:line="228"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本招标文件由以下</w:t>
      </w:r>
      <w:r>
        <w:rPr>
          <w:rFonts w:hint="eastAsia" w:ascii="宋体" w:hAnsi="宋体" w:cs="宋体"/>
          <w:color w:val="auto"/>
          <w:sz w:val="24"/>
          <w:highlight w:val="none"/>
          <w:lang w:eastAsia="zh-CN"/>
        </w:rPr>
        <w:t>部分</w:t>
      </w:r>
      <w:r>
        <w:rPr>
          <w:rFonts w:hint="eastAsia" w:ascii="宋体" w:hAnsi="宋体" w:eastAsia="宋体" w:cs="宋体"/>
          <w:color w:val="auto"/>
          <w:sz w:val="24"/>
          <w:highlight w:val="none"/>
        </w:rPr>
        <w:t>组成：</w:t>
      </w:r>
    </w:p>
    <w:p w14:paraId="5130F547">
      <w:pPr>
        <w:pageBreakBefore w:val="0"/>
        <w:widowControl w:val="0"/>
        <w:shd w:val="clear"/>
        <w:kinsoku/>
        <w:wordWrap/>
        <w:overflowPunct/>
        <w:topLinePunct w:val="0"/>
        <w:bidi w:val="0"/>
        <w:snapToGrid w:val="0"/>
        <w:spacing w:line="228"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8.1招标公告；</w:t>
      </w:r>
    </w:p>
    <w:p w14:paraId="76F4A59D">
      <w:pPr>
        <w:pageBreakBefore w:val="0"/>
        <w:widowControl w:val="0"/>
        <w:shd w:val="clear"/>
        <w:kinsoku/>
        <w:wordWrap/>
        <w:overflowPunct/>
        <w:topLinePunct w:val="0"/>
        <w:bidi w:val="0"/>
        <w:snapToGrid w:val="0"/>
        <w:spacing w:line="228"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8.2投标须知；</w:t>
      </w:r>
    </w:p>
    <w:p w14:paraId="6545AF25">
      <w:pPr>
        <w:pageBreakBefore w:val="0"/>
        <w:widowControl w:val="0"/>
        <w:shd w:val="clear"/>
        <w:kinsoku/>
        <w:wordWrap/>
        <w:overflowPunct/>
        <w:topLinePunct w:val="0"/>
        <w:bidi w:val="0"/>
        <w:snapToGrid w:val="0"/>
        <w:spacing w:line="228"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8.3评标办法；</w:t>
      </w:r>
    </w:p>
    <w:p w14:paraId="3A664EFA">
      <w:pPr>
        <w:pageBreakBefore w:val="0"/>
        <w:widowControl w:val="0"/>
        <w:shd w:val="clear"/>
        <w:kinsoku/>
        <w:wordWrap/>
        <w:overflowPunct/>
        <w:topLinePunct w:val="0"/>
        <w:bidi w:val="0"/>
        <w:snapToGrid w:val="0"/>
        <w:spacing w:line="228"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8.4采购需求；</w:t>
      </w:r>
    </w:p>
    <w:p w14:paraId="5BF63787">
      <w:pPr>
        <w:pageBreakBefore w:val="0"/>
        <w:widowControl w:val="0"/>
        <w:shd w:val="clear"/>
        <w:kinsoku/>
        <w:wordWrap/>
        <w:overflowPunct/>
        <w:topLinePunct w:val="0"/>
        <w:bidi w:val="0"/>
        <w:snapToGrid w:val="0"/>
        <w:spacing w:line="228"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8.5采购合同（参考格式）</w:t>
      </w:r>
    </w:p>
    <w:p w14:paraId="6BB3051A">
      <w:pPr>
        <w:pageBreakBefore w:val="0"/>
        <w:widowControl w:val="0"/>
        <w:shd w:val="clear"/>
        <w:kinsoku/>
        <w:wordWrap/>
        <w:overflowPunct/>
        <w:topLinePunct w:val="0"/>
        <w:bidi w:val="0"/>
        <w:snapToGrid w:val="0"/>
        <w:spacing w:line="228"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8.6</w:t>
      </w:r>
      <w:r>
        <w:rPr>
          <w:rFonts w:hint="eastAsia" w:ascii="宋体" w:hAnsi="宋体" w:eastAsia="宋体" w:cs="宋体"/>
          <w:color w:val="auto"/>
          <w:sz w:val="24"/>
          <w:highlight w:val="none"/>
        </w:rPr>
        <w:t>应提交的有关格式范例；</w:t>
      </w:r>
    </w:p>
    <w:p w14:paraId="109C91AF">
      <w:pPr>
        <w:pageBreakBefore w:val="0"/>
        <w:widowControl w:val="0"/>
        <w:shd w:val="clear"/>
        <w:kinsoku/>
        <w:wordWrap/>
        <w:overflowPunct/>
        <w:topLinePunct w:val="0"/>
        <w:bidi w:val="0"/>
        <w:snapToGrid w:val="0"/>
        <w:spacing w:line="228"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本项目招标文件的澄清、答复、修改、补充的内容。</w:t>
      </w:r>
    </w:p>
    <w:p w14:paraId="5621971E">
      <w:pPr>
        <w:pageBreakBefore w:val="0"/>
        <w:widowControl w:val="0"/>
        <w:shd w:val="clear"/>
        <w:kinsoku/>
        <w:wordWrap/>
        <w:overflowPunct/>
        <w:topLinePunct w:val="0"/>
        <w:bidi w:val="0"/>
        <w:snapToGrid w:val="0"/>
        <w:spacing w:line="228" w:lineRule="auto"/>
        <w:ind w:firstLine="472" w:firstLineChars="196"/>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9.投标人的风险</w:t>
      </w:r>
    </w:p>
    <w:p w14:paraId="4D465D98">
      <w:pPr>
        <w:pageBreakBefore w:val="0"/>
        <w:widowControl w:val="0"/>
        <w:shd w:val="clear"/>
        <w:kinsoku/>
        <w:wordWrap/>
        <w:overflowPunct/>
        <w:topLinePunct w:val="0"/>
        <w:bidi w:val="0"/>
        <w:snapToGrid w:val="0"/>
        <w:spacing w:line="228"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9.1投标人应仔细阅读招标文件的所有内容，并按照招标文件的要求提交投标文件。投标人没有按照招标文件要求提供全部资料，或者投标人没有对招标文件在各方面作出实质性响应是投标人的风险，并可能导致其投标被拒绝。</w:t>
      </w:r>
    </w:p>
    <w:p w14:paraId="54DB0664">
      <w:pPr>
        <w:pageBreakBefore w:val="0"/>
        <w:widowControl w:val="0"/>
        <w:shd w:val="clear"/>
        <w:kinsoku/>
        <w:wordWrap/>
        <w:overflowPunct/>
        <w:topLinePunct w:val="0"/>
        <w:bidi w:val="0"/>
        <w:snapToGrid w:val="0"/>
        <w:spacing w:line="228"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9.2任何人或任何组织向投标人提交的任何书面或口头资料，未经采购代理机构在网上发布或书面通知，均作无效处理，不得作为招标文件的组成部分。采购代理机构对投标人由此而做出的推论、理解和结论概不负责。</w:t>
      </w:r>
    </w:p>
    <w:p w14:paraId="421725A7">
      <w:pPr>
        <w:pStyle w:val="6"/>
        <w:keepNext w:val="0"/>
        <w:keepLines w:val="0"/>
        <w:pageBreakBefore w:val="0"/>
        <w:widowControl w:val="0"/>
        <w:numPr>
          <w:ilvl w:val="0"/>
          <w:numId w:val="0"/>
        </w:numPr>
        <w:shd w:val="clear"/>
        <w:tabs>
          <w:tab w:val="left" w:pos="720"/>
        </w:tabs>
        <w:kinsoku/>
        <w:wordWrap/>
        <w:overflowPunct/>
        <w:topLinePunct w:val="0"/>
        <w:autoSpaceDE/>
        <w:autoSpaceDN/>
        <w:bidi w:val="0"/>
        <w:adjustRightInd/>
        <w:snapToGrid w:val="0"/>
        <w:spacing w:after="0" w:afterLines="0" w:line="228" w:lineRule="auto"/>
        <w:ind w:left="0" w:leftChars="0" w:right="0" w:rightChars="0" w:firstLine="472" w:firstLineChars="196"/>
        <w:jc w:val="left"/>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10.招标文件的澄清与修改 </w:t>
      </w:r>
    </w:p>
    <w:p w14:paraId="4D824CD0">
      <w:pPr>
        <w:pStyle w:val="11"/>
        <w:pageBreakBefore w:val="0"/>
        <w:widowControl w:val="0"/>
        <w:shd w:val="clear"/>
        <w:kinsoku/>
        <w:wordWrap/>
        <w:overflowPunct/>
        <w:topLinePunct w:val="0"/>
        <w:bidi w:val="0"/>
        <w:snapToGrid w:val="0"/>
        <w:spacing w:line="228" w:lineRule="auto"/>
        <w:ind w:firstLine="480" w:firstLineChars="200"/>
        <w:textAlignment w:val="auto"/>
        <w:rPr>
          <w:rFonts w:hint="eastAsia" w:ascii="宋体" w:hAnsi="宋体" w:eastAsia="宋体" w:cs="宋体"/>
          <w:color w:val="auto"/>
          <w:szCs w:val="24"/>
          <w:highlight w:val="none"/>
        </w:rPr>
      </w:pPr>
      <w:bookmarkStart w:id="22" w:name="_Toc125344505"/>
      <w:r>
        <w:rPr>
          <w:rFonts w:hint="eastAsia" w:ascii="宋体" w:hAnsi="宋体" w:eastAsia="宋体" w:cs="宋体"/>
          <w:color w:val="auto"/>
          <w:highlight w:val="none"/>
        </w:rPr>
        <w:t>10.1</w:t>
      </w:r>
      <w:r>
        <w:rPr>
          <w:rFonts w:hint="eastAsia" w:ascii="宋体" w:hAnsi="宋体" w:eastAsia="宋体" w:cs="宋体"/>
          <w:bCs/>
          <w:color w:val="auto"/>
          <w:highlight w:val="none"/>
        </w:rPr>
        <w:t>投标人下载招标文件后，应认真阅读本招标文件的所有内容，发现其中有误或有不合理要求的，投标人必须按前附表规定的时间前以书面形式</w:t>
      </w:r>
      <w:r>
        <w:rPr>
          <w:rFonts w:hint="eastAsia" w:ascii="宋体" w:hAnsi="宋体" w:cs="宋体"/>
          <w:bCs/>
          <w:color w:val="auto"/>
          <w:highlight w:val="none"/>
          <w:lang w:eastAsia="zh-CN"/>
        </w:rPr>
        <w:t>（</w:t>
      </w:r>
      <w:r>
        <w:rPr>
          <w:rFonts w:hint="eastAsia" w:ascii="宋体" w:hAnsi="宋体" w:eastAsia="宋体" w:cs="宋体"/>
          <w:color w:val="auto"/>
          <w:highlight w:val="none"/>
        </w:rPr>
        <w:t>包括书面文字、传真等</w:t>
      </w:r>
      <w:r>
        <w:rPr>
          <w:rFonts w:hint="eastAsia" w:ascii="宋体" w:hAnsi="宋体" w:cs="宋体"/>
          <w:color w:val="auto"/>
          <w:highlight w:val="none"/>
          <w:lang w:eastAsia="zh-CN"/>
        </w:rPr>
        <w:t>）</w:t>
      </w:r>
      <w:r>
        <w:rPr>
          <w:rFonts w:hint="eastAsia" w:ascii="宋体" w:hAnsi="宋体" w:eastAsia="宋体" w:cs="宋体"/>
          <w:bCs/>
          <w:color w:val="auto"/>
          <w:highlight w:val="none"/>
        </w:rPr>
        <w:t>要求采购人澄清</w:t>
      </w:r>
      <w:r>
        <w:rPr>
          <w:rFonts w:hint="eastAsia" w:ascii="宋体" w:hAnsi="宋体" w:eastAsia="宋体" w:cs="宋体"/>
          <w:color w:val="auto"/>
          <w:highlight w:val="none"/>
        </w:rPr>
        <w:t>。逾期提出的，采购人将不予受理。</w:t>
      </w:r>
      <w:r>
        <w:rPr>
          <w:rFonts w:hint="eastAsia" w:ascii="宋体" w:hAnsi="宋体" w:eastAsia="宋体" w:cs="宋体"/>
          <w:color w:val="auto"/>
          <w:szCs w:val="24"/>
          <w:highlight w:val="none"/>
        </w:rPr>
        <w:t>采购代理机构与采购人研究后，对认为有必要回答的问题，采购人将补充（更正内容）以网上发布公告的形式通知所有投标人，补充（更正）内容是招标文件的</w:t>
      </w:r>
      <w:r>
        <w:rPr>
          <w:rFonts w:hint="eastAsia" w:ascii="宋体" w:hAnsi="宋体" w:cs="宋体"/>
          <w:color w:val="auto"/>
          <w:szCs w:val="24"/>
          <w:highlight w:val="none"/>
          <w:lang w:eastAsia="zh-CN"/>
        </w:rPr>
        <w:t>组成部分</w:t>
      </w:r>
      <w:r>
        <w:rPr>
          <w:rFonts w:hint="eastAsia" w:ascii="宋体" w:hAnsi="宋体" w:eastAsia="宋体" w:cs="宋体"/>
          <w:color w:val="auto"/>
          <w:szCs w:val="24"/>
          <w:highlight w:val="none"/>
        </w:rPr>
        <w:t>。投标人可以通过诸暨市公共资源交易网自行下载，以确认已阅知该澄清或修改内容，否则，由此导致的风险由投标人自行承担，采购人不承担任何责任。</w:t>
      </w:r>
    </w:p>
    <w:p w14:paraId="26D875A9">
      <w:pPr>
        <w:pStyle w:val="11"/>
        <w:pageBreakBefore w:val="0"/>
        <w:widowControl w:val="0"/>
        <w:shd w:val="clear"/>
        <w:kinsoku/>
        <w:wordWrap/>
        <w:overflowPunct/>
        <w:topLinePunct w:val="0"/>
        <w:bidi w:val="0"/>
        <w:snapToGrid w:val="0"/>
        <w:spacing w:line="228"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10.2</w:t>
      </w:r>
      <w:r>
        <w:rPr>
          <w:rFonts w:hint="eastAsia" w:ascii="宋体" w:hAnsi="宋体" w:eastAsia="宋体" w:cs="宋体"/>
          <w:color w:val="auto"/>
          <w:highlight w:val="none"/>
        </w:rPr>
        <w:t>招标文件澄清、答复、修改、补充的内容为招标文件的组成部分。当招标文件与招标文件的答复、澄清、修改、补充公告就同一内容的表述不一致时，以最后发出的文件或公告或通知为准。</w:t>
      </w:r>
    </w:p>
    <w:p w14:paraId="522C61DC">
      <w:pPr>
        <w:pStyle w:val="11"/>
        <w:pageBreakBefore w:val="0"/>
        <w:widowControl w:val="0"/>
        <w:shd w:val="clear"/>
        <w:kinsoku/>
        <w:wordWrap/>
        <w:overflowPunct/>
        <w:topLinePunct w:val="0"/>
        <w:bidi w:val="0"/>
        <w:snapToGrid w:val="0"/>
        <w:spacing w:line="228"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10.3在投标截止时间前，采购人有权修改招标文件，并以网站发布补充公告的形式通知所有投标人，通知中没有注明更改投标截止时间的视为截止时间不变。修改的文件作为招标文件的补充和组成部分，对所有投标人均有约束力。</w:t>
      </w:r>
    </w:p>
    <w:p w14:paraId="794EBF77">
      <w:pPr>
        <w:pStyle w:val="11"/>
        <w:pageBreakBefore w:val="0"/>
        <w:widowControl w:val="0"/>
        <w:shd w:val="clear"/>
        <w:kinsoku/>
        <w:wordWrap/>
        <w:overflowPunct/>
        <w:topLinePunct w:val="0"/>
        <w:bidi w:val="0"/>
        <w:snapToGrid w:val="0"/>
        <w:spacing w:line="228"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10.4为使投标人在编制投标文件时，把补充公告内容进行研究，采购代理机构可以酌情推迟递交投标文件的截止时间。</w:t>
      </w:r>
    </w:p>
    <w:p w14:paraId="70501F42">
      <w:pPr>
        <w:pStyle w:val="11"/>
        <w:pageBreakBefore w:val="0"/>
        <w:widowControl w:val="0"/>
        <w:shd w:val="clear"/>
        <w:kinsoku/>
        <w:wordWrap/>
        <w:overflowPunct/>
        <w:topLinePunct w:val="0"/>
        <w:bidi w:val="0"/>
        <w:snapToGrid w:val="0"/>
        <w:spacing w:line="228"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10.5投标人一旦参与本次招标活动，即被视为接受了本招标文件的所有内容，如有任何异议，均须在答疑截止时间前提出。</w:t>
      </w:r>
    </w:p>
    <w:p w14:paraId="46B2B00F">
      <w:pPr>
        <w:pStyle w:val="4"/>
        <w:pageBreakBefore w:val="0"/>
        <w:widowControl w:val="0"/>
        <w:shd w:val="clear"/>
        <w:kinsoku/>
        <w:wordWrap/>
        <w:overflowPunct/>
        <w:topLinePunct w:val="0"/>
        <w:bidi w:val="0"/>
        <w:spacing w:before="0" w:after="0" w:line="228"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三、投标文件编制</w:t>
      </w:r>
      <w:bookmarkEnd w:id="22"/>
      <w:r>
        <w:rPr>
          <w:rFonts w:hint="eastAsia" w:ascii="宋体" w:hAnsi="宋体" w:eastAsia="宋体" w:cs="宋体"/>
          <w:color w:val="auto"/>
          <w:sz w:val="28"/>
          <w:szCs w:val="28"/>
          <w:highlight w:val="none"/>
          <w:lang w:val="en-US" w:eastAsia="zh-CN"/>
        </w:rPr>
        <w:t>和提交</w:t>
      </w:r>
    </w:p>
    <w:p w14:paraId="027F97F8">
      <w:pPr>
        <w:pageBreakBefore w:val="0"/>
        <w:widowControl w:val="0"/>
        <w:shd w:val="clear"/>
        <w:kinsoku/>
        <w:wordWrap/>
        <w:overflowPunct/>
        <w:topLinePunct w:val="0"/>
        <w:bidi w:val="0"/>
        <w:snapToGrid w:val="0"/>
        <w:spacing w:line="228" w:lineRule="auto"/>
        <w:ind w:firstLine="472" w:firstLineChars="196"/>
        <w:jc w:val="left"/>
        <w:textAlignment w:val="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11.投标文件的组成</w:t>
      </w:r>
    </w:p>
    <w:p w14:paraId="509969A2">
      <w:pPr>
        <w:pageBreakBefore w:val="0"/>
        <w:widowControl w:val="0"/>
        <w:shd w:val="clear"/>
        <w:kinsoku/>
        <w:wordWrap/>
        <w:overflowPunct/>
        <w:topLinePunct w:val="0"/>
        <w:bidi w:val="0"/>
        <w:snapToGrid w:val="0"/>
        <w:spacing w:line="228"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投标文件的组成详见前附表。</w:t>
      </w:r>
    </w:p>
    <w:p w14:paraId="11FF78C6">
      <w:pPr>
        <w:pageBreakBefore w:val="0"/>
        <w:widowControl w:val="0"/>
        <w:shd w:val="clear"/>
        <w:kinsoku/>
        <w:wordWrap/>
        <w:overflowPunct/>
        <w:topLinePunct w:val="0"/>
        <w:bidi w:val="0"/>
        <w:snapToGrid w:val="0"/>
        <w:spacing w:line="228" w:lineRule="auto"/>
        <w:ind w:firstLine="472" w:firstLineChars="196"/>
        <w:jc w:val="left"/>
        <w:textAlignment w:val="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12.投标文件的语言及计量</w:t>
      </w:r>
    </w:p>
    <w:p w14:paraId="6B0A5684">
      <w:pPr>
        <w:pStyle w:val="11"/>
        <w:pageBreakBefore w:val="0"/>
        <w:widowControl w:val="0"/>
        <w:shd w:val="clear"/>
        <w:kinsoku/>
        <w:wordWrap/>
        <w:overflowPunct/>
        <w:topLinePunct w:val="0"/>
        <w:bidi w:val="0"/>
        <w:snapToGrid w:val="0"/>
        <w:spacing w:line="228"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12.1投标文件以及投标人与采购代理机构就有关投标事宜的所有往来通知、函电，均应以中文汉语书写。除签名、盖章、专用名称等特殊情形外，以中文汉语以外的文字表述的投标文件视同未提供。投标人随投标文件提供的证明文件和资料可以</w:t>
      </w:r>
      <w:r>
        <w:rPr>
          <w:rFonts w:hint="eastAsia" w:ascii="宋体" w:hAnsi="宋体" w:cs="宋体"/>
          <w:color w:val="auto"/>
          <w:highlight w:val="none"/>
          <w:lang w:eastAsia="zh-CN"/>
        </w:rPr>
        <w:t>为其他</w:t>
      </w:r>
      <w:r>
        <w:rPr>
          <w:rFonts w:hint="eastAsia" w:ascii="宋体" w:hAnsi="宋体" w:eastAsia="宋体" w:cs="宋体"/>
          <w:color w:val="auto"/>
          <w:highlight w:val="none"/>
        </w:rPr>
        <w:t>语言，但必须附中文译文。翻译的中文资料与外文资料如果出现差异时，以中文为准，但翻译错误的除外。</w:t>
      </w:r>
    </w:p>
    <w:p w14:paraId="562BC401">
      <w:pPr>
        <w:pStyle w:val="11"/>
        <w:pageBreakBefore w:val="0"/>
        <w:widowControl w:val="0"/>
        <w:shd w:val="clear"/>
        <w:kinsoku/>
        <w:wordWrap/>
        <w:overflowPunct/>
        <w:topLinePunct w:val="0"/>
        <w:bidi w:val="0"/>
        <w:snapToGrid w:val="0"/>
        <w:spacing w:line="228"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12.2投标计量单位，招标文件已有明确规定的，使用招标文件规定的计量单位；招标文件没有规定的，应采用中华人民共和国法定计量单位（货币单位：人民币元），否则视同未响应。</w:t>
      </w:r>
    </w:p>
    <w:p w14:paraId="03ABE5D1">
      <w:pPr>
        <w:pageBreakBefore w:val="0"/>
        <w:widowControl w:val="0"/>
        <w:shd w:val="clear"/>
        <w:kinsoku/>
        <w:wordWrap/>
        <w:overflowPunct/>
        <w:topLinePunct w:val="0"/>
        <w:bidi w:val="0"/>
        <w:snapToGrid w:val="0"/>
        <w:spacing w:line="228" w:lineRule="auto"/>
        <w:ind w:firstLine="472" w:firstLineChars="196"/>
        <w:jc w:val="left"/>
        <w:textAlignment w:val="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13.投标报价</w:t>
      </w:r>
    </w:p>
    <w:p w14:paraId="0212A053">
      <w:pPr>
        <w:pStyle w:val="11"/>
        <w:pageBreakBefore w:val="0"/>
        <w:widowControl w:val="0"/>
        <w:shd w:val="clear"/>
        <w:kinsoku/>
        <w:wordWrap/>
        <w:overflowPunct/>
        <w:topLinePunct w:val="0"/>
        <w:bidi w:val="0"/>
        <w:snapToGrid w:val="0"/>
        <w:spacing w:line="228"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13.1投标报价应按招标文件中相关附表格式填写。本项目的投标应以人民币计。</w:t>
      </w:r>
    </w:p>
    <w:p w14:paraId="6FCEBA33">
      <w:pPr>
        <w:pStyle w:val="11"/>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13.2投标报价应包括货款、标准附件、备品备件、专用工具、包装、运输、装卸、保险、税金、货到就位以及安装、调试、培训、保修等一切税金和费用。投标报价（包括单价、总价等）均保留到小数点后两位（如：100.88元）。投标人必须报有合理单价，其将作为设备增减的主要依据。如有漏项，视同已包含在</w:t>
      </w:r>
      <w:r>
        <w:rPr>
          <w:rFonts w:hint="eastAsia" w:ascii="宋体" w:hAnsi="宋体" w:cs="宋体"/>
          <w:color w:val="auto"/>
          <w:highlight w:val="none"/>
          <w:lang w:eastAsia="zh-CN"/>
        </w:rPr>
        <w:t>其他项目中</w:t>
      </w:r>
      <w:r>
        <w:rPr>
          <w:rFonts w:hint="eastAsia" w:ascii="宋体" w:hAnsi="宋体" w:eastAsia="宋体" w:cs="宋体"/>
          <w:color w:val="auto"/>
          <w:highlight w:val="none"/>
        </w:rPr>
        <w:t>，合同总价和单价</w:t>
      </w:r>
      <w:r>
        <w:rPr>
          <w:rFonts w:hint="eastAsia" w:ascii="宋体" w:hAnsi="宋体" w:cs="宋体"/>
          <w:color w:val="auto"/>
          <w:highlight w:val="none"/>
          <w:lang w:eastAsia="zh-CN"/>
        </w:rPr>
        <w:t>不作</w:t>
      </w:r>
      <w:r>
        <w:rPr>
          <w:rFonts w:hint="eastAsia" w:ascii="宋体" w:hAnsi="宋体" w:eastAsia="宋体" w:cs="宋体"/>
          <w:color w:val="auto"/>
          <w:highlight w:val="none"/>
        </w:rPr>
        <w:t>调整。</w:t>
      </w:r>
    </w:p>
    <w:p w14:paraId="5FD9AFE4">
      <w:pPr>
        <w:pStyle w:val="11"/>
        <w:pageBreakBefore w:val="0"/>
        <w:widowControl w:val="0"/>
        <w:shd w:val="clear"/>
        <w:kinsoku/>
        <w:wordWrap/>
        <w:overflowPunct/>
        <w:topLinePunct w:val="0"/>
        <w:bidi w:val="0"/>
        <w:snapToGrid w:val="0"/>
        <w:spacing w:line="228"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13.3投标文件只允许有一个报价，有选择的或有条件的报价将不予接受。</w:t>
      </w:r>
    </w:p>
    <w:p w14:paraId="4E5CDAD3">
      <w:pPr>
        <w:pStyle w:val="11"/>
        <w:pageBreakBefore w:val="0"/>
        <w:widowControl w:val="0"/>
        <w:shd w:val="clear"/>
        <w:kinsoku/>
        <w:wordWrap/>
        <w:overflowPunct/>
        <w:topLinePunct w:val="0"/>
        <w:bidi w:val="0"/>
        <w:snapToGrid w:val="0"/>
        <w:spacing w:line="228"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13.4招标文件未列明，而投标人认为必需的费用也需列入报价。</w:t>
      </w:r>
    </w:p>
    <w:p w14:paraId="54D65E48">
      <w:pPr>
        <w:pStyle w:val="11"/>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highlight w:val="none"/>
        </w:rPr>
        <w:t>13.5</w:t>
      </w:r>
      <w:r>
        <w:rPr>
          <w:rFonts w:hint="eastAsia" w:ascii="宋体" w:hAnsi="宋体" w:eastAsia="宋体" w:cs="宋体"/>
          <w:color w:val="auto"/>
          <w:szCs w:val="24"/>
          <w:highlight w:val="none"/>
        </w:rPr>
        <w:t>中标后，中标人所填写的单价在合同实施期间不因市场变化因素而变动，投标人在计算报价时应考虑一定的风险系数。</w:t>
      </w:r>
    </w:p>
    <w:p w14:paraId="36F8C10B">
      <w:pPr>
        <w:pStyle w:val="11"/>
        <w:pageBreakBefore w:val="0"/>
        <w:widowControl w:val="0"/>
        <w:shd w:val="clear"/>
        <w:kinsoku/>
        <w:wordWrap/>
        <w:overflowPunct/>
        <w:topLinePunct w:val="0"/>
        <w:bidi w:val="0"/>
        <w:snapToGrid w:val="0"/>
        <w:spacing w:line="228" w:lineRule="auto"/>
        <w:ind w:firstLine="482" w:firstLineChars="200"/>
        <w:textAlignment w:val="auto"/>
        <w:rPr>
          <w:rFonts w:hint="eastAsia" w:ascii="宋体" w:hAnsi="宋体" w:eastAsia="宋体" w:cs="宋体"/>
          <w:color w:val="auto"/>
          <w:highlight w:val="none"/>
        </w:rPr>
      </w:pPr>
      <w:r>
        <w:rPr>
          <w:rFonts w:hint="eastAsia" w:ascii="宋体" w:hAnsi="宋体" w:eastAsia="宋体" w:cs="宋体"/>
          <w:b/>
          <w:color w:val="auto"/>
          <w:highlight w:val="none"/>
        </w:rPr>
        <w:t>13.6投标人若有方案和报价未被唱标，应在开标时及时声明或提请采购代理机构宣读，否则是投标人自己的风险，采购代理机构对此不承担任何责任。</w:t>
      </w:r>
    </w:p>
    <w:p w14:paraId="4A553B97">
      <w:pPr>
        <w:pStyle w:val="6"/>
        <w:keepNext w:val="0"/>
        <w:keepLines w:val="0"/>
        <w:pageBreakBefore w:val="0"/>
        <w:widowControl w:val="0"/>
        <w:numPr>
          <w:ilvl w:val="0"/>
          <w:numId w:val="0"/>
        </w:numPr>
        <w:shd w:val="clear"/>
        <w:tabs>
          <w:tab w:val="left" w:pos="720"/>
        </w:tabs>
        <w:kinsoku/>
        <w:wordWrap/>
        <w:overflowPunct/>
        <w:topLinePunct w:val="0"/>
        <w:autoSpaceDE/>
        <w:autoSpaceDN/>
        <w:bidi w:val="0"/>
        <w:adjustRightInd/>
        <w:snapToGrid w:val="0"/>
        <w:spacing w:after="0" w:afterLines="0" w:line="228" w:lineRule="auto"/>
        <w:ind w:left="0" w:leftChars="0" w:right="0" w:rightChars="0" w:firstLine="413" w:firstLineChars="196"/>
        <w:jc w:val="left"/>
        <w:textAlignment w:val="auto"/>
        <w:outlineLvl w:val="9"/>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14.投标文件的有效期</w:t>
      </w:r>
    </w:p>
    <w:p w14:paraId="18E7C5F2">
      <w:pPr>
        <w:pStyle w:val="11"/>
        <w:pageBreakBefore w:val="0"/>
        <w:widowControl w:val="0"/>
        <w:shd w:val="clear"/>
        <w:kinsoku/>
        <w:wordWrap/>
        <w:overflowPunct/>
        <w:topLinePunct w:val="0"/>
        <w:bidi w:val="0"/>
        <w:snapToGrid w:val="0"/>
        <w:spacing w:line="228"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14.1自投标截止日起90天投标书应保持有效。如采购人认为必要，可延长投标有效期。有效期短于这个规定期限的投标将被拒绝。</w:t>
      </w:r>
    </w:p>
    <w:p w14:paraId="352ED40E">
      <w:pPr>
        <w:pStyle w:val="11"/>
        <w:pageBreakBefore w:val="0"/>
        <w:widowControl w:val="0"/>
        <w:shd w:val="clear"/>
        <w:kinsoku/>
        <w:wordWrap/>
        <w:overflowPunct/>
        <w:topLinePunct w:val="0"/>
        <w:bidi w:val="0"/>
        <w:snapToGrid w:val="0"/>
        <w:spacing w:line="228"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14.2在特殊情况下，招标人可与投标人协商延长投标书的有效期，这种要求和答复均以书面形式进行。</w:t>
      </w:r>
    </w:p>
    <w:p w14:paraId="64F662C3">
      <w:pPr>
        <w:pStyle w:val="11"/>
        <w:pageBreakBefore w:val="0"/>
        <w:widowControl w:val="0"/>
        <w:shd w:val="clear"/>
        <w:kinsoku/>
        <w:wordWrap/>
        <w:overflowPunct/>
        <w:topLinePunct w:val="0"/>
        <w:bidi w:val="0"/>
        <w:snapToGrid w:val="0"/>
        <w:spacing w:line="228"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14.3投标人可拒绝接受延期要求而不会导致投标保证金被没收。同意延长有效期的投标人需要相应延长投标保证金的有效期，但不能修改投标文件。 </w:t>
      </w:r>
    </w:p>
    <w:p w14:paraId="2CF01439">
      <w:pPr>
        <w:pStyle w:val="11"/>
        <w:pageBreakBefore w:val="0"/>
        <w:widowControl w:val="0"/>
        <w:shd w:val="clear"/>
        <w:kinsoku/>
        <w:wordWrap/>
        <w:overflowPunct/>
        <w:topLinePunct w:val="0"/>
        <w:bidi w:val="0"/>
        <w:snapToGrid w:val="0"/>
        <w:spacing w:line="228"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14.4中标人的投标文件自开标之日起至合同履行完毕止均应保持有效。</w:t>
      </w:r>
    </w:p>
    <w:p w14:paraId="7D063FC6">
      <w:pPr>
        <w:pageBreakBefore w:val="0"/>
        <w:widowControl w:val="0"/>
        <w:shd w:val="clear"/>
        <w:kinsoku/>
        <w:wordWrap/>
        <w:overflowPunct/>
        <w:topLinePunct w:val="0"/>
        <w:bidi w:val="0"/>
        <w:snapToGrid w:val="0"/>
        <w:spacing w:line="228" w:lineRule="auto"/>
        <w:ind w:firstLine="472" w:firstLineChars="196"/>
        <w:jc w:val="left"/>
        <w:textAlignment w:val="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15.投标保证金</w:t>
      </w:r>
    </w:p>
    <w:p w14:paraId="6F437167">
      <w:pPr>
        <w:pageBreakBefore w:val="0"/>
        <w:widowControl w:val="0"/>
        <w:shd w:val="clear"/>
        <w:kinsoku/>
        <w:wordWrap/>
        <w:overflowPunct/>
        <w:topLinePunct w:val="0"/>
        <w:bidi w:val="0"/>
        <w:snapToGrid w:val="0"/>
        <w:spacing w:line="228"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见前附表。</w:t>
      </w:r>
    </w:p>
    <w:p w14:paraId="5C910FE6">
      <w:pPr>
        <w:pageBreakBefore w:val="0"/>
        <w:widowControl w:val="0"/>
        <w:shd w:val="clear"/>
        <w:kinsoku/>
        <w:wordWrap/>
        <w:overflowPunct/>
        <w:topLinePunct w:val="0"/>
        <w:bidi w:val="0"/>
        <w:snapToGrid w:val="0"/>
        <w:spacing w:line="228" w:lineRule="auto"/>
        <w:ind w:firstLine="472" w:firstLineChars="196"/>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highlight w:val="none"/>
        </w:rPr>
        <w:t>16.</w:t>
      </w:r>
      <w:r>
        <w:rPr>
          <w:rFonts w:hint="eastAsia" w:ascii="宋体" w:hAnsi="宋体" w:eastAsia="宋体" w:cs="宋体"/>
          <w:b/>
          <w:color w:val="auto"/>
          <w:sz w:val="24"/>
          <w:szCs w:val="24"/>
          <w:highlight w:val="none"/>
        </w:rPr>
        <w:t>投标文件的制作</w:t>
      </w:r>
    </w:p>
    <w:p w14:paraId="57955773">
      <w:pPr>
        <w:pageBreakBefore w:val="0"/>
        <w:widowControl w:val="0"/>
        <w:shd w:val="clear"/>
        <w:kinsoku/>
        <w:wordWrap/>
        <w:overflowPunct/>
        <w:topLinePunct w:val="0"/>
        <w:bidi w:val="0"/>
        <w:snapToGrid w:val="0"/>
        <w:spacing w:line="228"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16.1投标人应按招标文件前附表规定的内容编制投标文件。</w:t>
      </w:r>
    </w:p>
    <w:p w14:paraId="19E97298">
      <w:pPr>
        <w:pageBreakBefore w:val="0"/>
        <w:widowControl w:val="0"/>
        <w:shd w:val="clear"/>
        <w:kinsoku/>
        <w:wordWrap/>
        <w:overflowPunct/>
        <w:topLinePunct w:val="0"/>
        <w:bidi w:val="0"/>
        <w:snapToGrid w:val="0"/>
        <w:spacing w:line="228"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16.2投标人应按本招标文件规定的格式和顺序编制投标文件并标注页码，投标文件内容不完整、编排混乱导致投标文件被误读、漏读或者查找不到相关内容的，是投标人的责任。</w:t>
      </w:r>
    </w:p>
    <w:p w14:paraId="58651A70">
      <w:pPr>
        <w:pageBreakBefore w:val="0"/>
        <w:widowControl w:val="0"/>
        <w:shd w:val="clear"/>
        <w:kinsoku/>
        <w:wordWrap/>
        <w:overflowPunct/>
        <w:topLinePunct w:val="0"/>
        <w:bidi w:val="0"/>
        <w:snapToGrid w:val="0"/>
        <w:spacing w:line="228" w:lineRule="auto"/>
        <w:ind w:firstLine="480" w:firstLineChars="200"/>
        <w:jc w:val="left"/>
        <w:textAlignment w:val="auto"/>
        <w:rPr>
          <w:rFonts w:hint="eastAsia" w:ascii="宋体" w:hAnsi="宋体" w:eastAsia="宋体" w:cs="宋体"/>
          <w:b/>
          <w:color w:val="auto"/>
          <w:highlight w:val="none"/>
          <w:u w:val="single"/>
        </w:rPr>
      </w:pPr>
      <w:r>
        <w:rPr>
          <w:rFonts w:hint="eastAsia" w:ascii="宋体" w:hAnsi="宋体" w:eastAsia="宋体" w:cs="宋体"/>
          <w:color w:val="auto"/>
          <w:sz w:val="24"/>
          <w:szCs w:val="24"/>
          <w:highlight w:val="none"/>
        </w:rPr>
        <w:t>16.3投标文件须由投标人在规定位置盖章并由法定代表人或法定代表授权人签署，投标人应写全称。</w:t>
      </w:r>
      <w:r>
        <w:rPr>
          <w:rFonts w:hint="eastAsia" w:ascii="宋体" w:hAnsi="宋体" w:eastAsia="宋体" w:cs="宋体"/>
          <w:b/>
          <w:color w:val="auto"/>
          <w:sz w:val="24"/>
          <w:szCs w:val="24"/>
          <w:highlight w:val="none"/>
        </w:rPr>
        <w:t>电子投标文件中所有加盖公章均采用CA签章。</w:t>
      </w:r>
    </w:p>
    <w:p w14:paraId="523816E3">
      <w:pPr>
        <w:pageBreakBefore w:val="0"/>
        <w:widowControl w:val="0"/>
        <w:shd w:val="clear"/>
        <w:kinsoku/>
        <w:wordWrap/>
        <w:overflowPunct/>
        <w:topLinePunct w:val="0"/>
        <w:bidi w:val="0"/>
        <w:snapToGrid w:val="0"/>
        <w:spacing w:line="228" w:lineRule="auto"/>
        <w:ind w:firstLine="480"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16.4投标文件不得涂改，若有修改错漏处，须加盖单位公章。投标文件因表达不清所引起的后果由投标人负责。</w:t>
      </w:r>
    </w:p>
    <w:p w14:paraId="5CC51C87">
      <w:pPr>
        <w:pageBreakBefore w:val="0"/>
        <w:widowControl w:val="0"/>
        <w:shd w:val="clear"/>
        <w:kinsoku/>
        <w:wordWrap/>
        <w:overflowPunct/>
        <w:topLinePunct w:val="0"/>
        <w:bidi w:val="0"/>
        <w:snapToGrid w:val="0"/>
        <w:spacing w:line="228" w:lineRule="auto"/>
        <w:ind w:firstLine="482" w:firstLineChars="200"/>
        <w:jc w:val="left"/>
        <w:textAlignment w:val="auto"/>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16.5投标人应认真阅读招标文件中所有的内容。如果投标人编制的投标文件实质上不响应招标文件的要求，其投标文件将作无效标处理。</w:t>
      </w:r>
    </w:p>
    <w:p w14:paraId="605AC38D">
      <w:pPr>
        <w:pageBreakBefore w:val="0"/>
        <w:widowControl w:val="0"/>
        <w:shd w:val="clear"/>
        <w:kinsoku/>
        <w:wordWrap/>
        <w:overflowPunct/>
        <w:topLinePunct w:val="0"/>
        <w:bidi w:val="0"/>
        <w:snapToGrid w:val="0"/>
        <w:spacing w:line="228" w:lineRule="auto"/>
        <w:ind w:firstLine="472" w:firstLineChars="196"/>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17.投标文件的包装、递交、修改和撤回</w:t>
      </w:r>
    </w:p>
    <w:p w14:paraId="057FC80D">
      <w:pPr>
        <w:pStyle w:val="7"/>
        <w:pageBreakBefore w:val="0"/>
        <w:widowControl w:val="0"/>
        <w:shd w:val="clear"/>
        <w:kinsoku/>
        <w:wordWrap/>
        <w:overflowPunct/>
        <w:topLinePunct w:val="0"/>
        <w:bidi w:val="0"/>
        <w:snapToGrid w:val="0"/>
        <w:spacing w:line="228"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17.</w:t>
      </w: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投标人应在开标前在“</w:t>
      </w:r>
      <w:r>
        <w:rPr>
          <w:rFonts w:hint="eastAsia" w:ascii="宋体" w:hAnsi="宋体" w:cs="宋体"/>
          <w:b/>
          <w:color w:val="auto"/>
          <w:sz w:val="24"/>
          <w:szCs w:val="24"/>
          <w:highlight w:val="none"/>
          <w:lang w:eastAsia="zh-CN"/>
        </w:rPr>
        <w:t>乐采云</w:t>
      </w:r>
      <w:r>
        <w:rPr>
          <w:rFonts w:hint="eastAsia" w:ascii="宋体" w:hAnsi="宋体" w:eastAsia="宋体" w:cs="宋体"/>
          <w:b/>
          <w:color w:val="auto"/>
          <w:sz w:val="24"/>
          <w:szCs w:val="24"/>
          <w:highlight w:val="none"/>
        </w:rPr>
        <w:t>”上自行加密上传电子投标文件，逾期上传或未按要求上传的投标文件将予以拒收。</w:t>
      </w:r>
    </w:p>
    <w:p w14:paraId="2A11C4B6">
      <w:pPr>
        <w:pStyle w:val="7"/>
        <w:pageBreakBefore w:val="0"/>
        <w:widowControl w:val="0"/>
        <w:shd w:val="clear"/>
        <w:kinsoku/>
        <w:wordWrap/>
        <w:overflowPunct/>
        <w:topLinePunct w:val="0"/>
        <w:bidi w:val="0"/>
        <w:snapToGrid w:val="0"/>
        <w:spacing w:line="228"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17.</w:t>
      </w:r>
      <w:r>
        <w:rPr>
          <w:rFonts w:hint="eastAsia" w:ascii="宋体" w:hAnsi="宋体" w:eastAsia="宋体" w:cs="宋体"/>
          <w:b/>
          <w:color w:val="auto"/>
          <w:sz w:val="24"/>
          <w:szCs w:val="24"/>
          <w:highlight w:val="none"/>
          <w:lang w:val="en-US" w:eastAsia="zh-CN"/>
        </w:rPr>
        <w:t>2</w:t>
      </w:r>
      <w:r>
        <w:rPr>
          <w:rFonts w:hint="eastAsia" w:ascii="宋体" w:hAnsi="宋体" w:eastAsia="宋体" w:cs="宋体"/>
          <w:color w:val="auto"/>
          <w:sz w:val="24"/>
          <w:szCs w:val="24"/>
          <w:highlight w:val="none"/>
        </w:rPr>
        <w:t>投标人在投标截止时间之前，可以对已提交的投标文件进行修改或撤回，补充、修改的内容为投标文件的组成部分。</w:t>
      </w:r>
    </w:p>
    <w:p w14:paraId="74E136E5">
      <w:pPr>
        <w:pStyle w:val="7"/>
        <w:pageBreakBefore w:val="0"/>
        <w:widowControl w:val="0"/>
        <w:shd w:val="clear"/>
        <w:kinsoku/>
        <w:wordWrap/>
        <w:overflowPunct/>
        <w:topLinePunct w:val="0"/>
        <w:bidi w:val="0"/>
        <w:snapToGrid w:val="0"/>
        <w:spacing w:line="22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投标截止时间后，投标人不得撤回、修改投标文件。</w:t>
      </w:r>
    </w:p>
    <w:p w14:paraId="08C75CB5">
      <w:pPr>
        <w:pStyle w:val="7"/>
        <w:pageBreakBefore w:val="0"/>
        <w:widowControl w:val="0"/>
        <w:shd w:val="clear"/>
        <w:kinsoku/>
        <w:wordWrap/>
        <w:overflowPunct/>
        <w:topLinePunct w:val="0"/>
        <w:bidi w:val="0"/>
        <w:snapToGrid w:val="0"/>
        <w:spacing w:line="22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不论投标人中标与否，投标人文件均不得撤回其投标。</w:t>
      </w:r>
    </w:p>
    <w:p w14:paraId="6B37E0E1">
      <w:pPr>
        <w:pStyle w:val="7"/>
        <w:pageBreakBefore w:val="0"/>
        <w:widowControl w:val="0"/>
        <w:shd w:val="clear"/>
        <w:kinsoku/>
        <w:wordWrap/>
        <w:overflowPunct/>
        <w:topLinePunct w:val="0"/>
        <w:bidi w:val="0"/>
        <w:snapToGrid w:val="0"/>
        <w:spacing w:line="228"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17.5未按时解密的，视为投标文件撤回。</w:t>
      </w:r>
    </w:p>
    <w:p w14:paraId="65923726">
      <w:pPr>
        <w:pageBreakBefore w:val="0"/>
        <w:widowControl w:val="0"/>
        <w:shd w:val="clear"/>
        <w:kinsoku/>
        <w:wordWrap/>
        <w:overflowPunct/>
        <w:topLinePunct w:val="0"/>
        <w:bidi w:val="0"/>
        <w:snapToGrid w:val="0"/>
        <w:spacing w:line="228" w:lineRule="auto"/>
        <w:ind w:firstLine="472" w:firstLineChars="196"/>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18.投标无效的情形</w:t>
      </w:r>
    </w:p>
    <w:p w14:paraId="0942ED99">
      <w:pPr>
        <w:pageBreakBefore w:val="0"/>
        <w:widowControl w:val="0"/>
        <w:shd w:val="clear"/>
        <w:kinsoku/>
        <w:wordWrap/>
        <w:overflowPunct/>
        <w:topLinePunct w:val="0"/>
        <w:bidi w:val="0"/>
        <w:snapToGrid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实质上没有响应招标文件要求的投标将被视为无效投标。投标人不得通过修正或</w:t>
      </w:r>
      <w:r>
        <w:rPr>
          <w:rFonts w:hint="eastAsia" w:ascii="宋体" w:hAnsi="宋体" w:cs="宋体"/>
          <w:color w:val="auto"/>
          <w:sz w:val="24"/>
          <w:highlight w:val="none"/>
          <w:lang w:eastAsia="zh-CN"/>
        </w:rPr>
        <w:t>撤销</w:t>
      </w:r>
      <w:r>
        <w:rPr>
          <w:rFonts w:hint="eastAsia" w:ascii="宋体" w:hAnsi="宋体" w:eastAsia="宋体" w:cs="宋体"/>
          <w:color w:val="auto"/>
          <w:sz w:val="24"/>
          <w:highlight w:val="none"/>
        </w:rPr>
        <w:t>不合要求的偏离或保留从而使其投标成为实质上响应的投标，但经评标委员会认定属于投标人疏忽、笔误所造成的差错，应当允许其在评标结束之前进行修改或者补正（可以是复印件、传真件等）。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14:paraId="6401D91A">
      <w:pPr>
        <w:pStyle w:val="8"/>
        <w:pageBreakBefore w:val="0"/>
        <w:widowControl w:val="0"/>
        <w:shd w:val="clear"/>
        <w:kinsoku/>
        <w:wordWrap/>
        <w:overflowPunct/>
        <w:topLinePunct w:val="0"/>
        <w:bidi w:val="0"/>
        <w:snapToGrid w:val="0"/>
        <w:spacing w:after="0" w:line="228" w:lineRule="auto"/>
        <w:ind w:left="0" w:leftChars="0" w:firstLine="472" w:firstLineChars="196"/>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18.1在符合性审查和资格性审查时，如发现下列情形之一的，投标文件将被视为无效投标：</w:t>
      </w:r>
    </w:p>
    <w:p w14:paraId="452B0970">
      <w:pPr>
        <w:keepNext w:val="0"/>
        <w:keepLines w:val="0"/>
        <w:pageBreakBefore w:val="0"/>
        <w:widowControl w:val="0"/>
        <w:shd w:val="clear"/>
        <w:kinsoku/>
        <w:wordWrap/>
        <w:overflowPunct/>
        <w:topLinePunct w:val="0"/>
        <w:autoSpaceDE w:val="0"/>
        <w:autoSpaceDN w:val="0"/>
        <w:bidi w:val="0"/>
        <w:adjustRightInd w:val="0"/>
        <w:snapToGrid w:val="0"/>
        <w:spacing w:line="228" w:lineRule="auto"/>
        <w:ind w:firstLine="470" w:firstLineChars="196"/>
        <w:textAlignment w:val="auto"/>
        <w:rPr>
          <w:rFonts w:hint="eastAsia" w:ascii="宋体" w:hAnsi="宋体" w:eastAsia="宋体" w:cs="宋体"/>
          <w:color w:val="auto"/>
          <w:sz w:val="24"/>
          <w:highlight w:val="none"/>
        </w:rPr>
      </w:pPr>
      <w:bookmarkStart w:id="23" w:name="_Toc125344507"/>
      <w:r>
        <w:rPr>
          <w:rFonts w:hint="eastAsia" w:ascii="宋体" w:hAnsi="宋体" w:eastAsia="宋体" w:cs="宋体"/>
          <w:color w:val="auto"/>
          <w:sz w:val="24"/>
          <w:highlight w:val="none"/>
        </w:rPr>
        <w:t>18.1.</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资格证明文件不全的，或者不符合招标文件标明的资格要求的；</w:t>
      </w:r>
    </w:p>
    <w:p w14:paraId="6CBE55D3">
      <w:pPr>
        <w:pStyle w:val="9"/>
        <w:keepNext w:val="0"/>
        <w:keepLines w:val="0"/>
        <w:pageBreakBefore w:val="0"/>
        <w:widowControl w:val="0"/>
        <w:shd w:val="clear"/>
        <w:kinsoku/>
        <w:wordWrap/>
        <w:overflowPunct/>
        <w:topLinePunct w:val="0"/>
        <w:autoSpaceDE w:val="0"/>
        <w:autoSpaceDN w:val="0"/>
        <w:bidi w:val="0"/>
        <w:adjustRightInd w:val="0"/>
        <w:spacing w:after="0" w:line="228"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rPr>
        <w:t>18.1.2未按照招标文件规定要求盖章</w:t>
      </w:r>
    </w:p>
    <w:p w14:paraId="0F7D2A6F">
      <w:pPr>
        <w:keepNext w:val="0"/>
        <w:keepLines w:val="0"/>
        <w:pageBreakBefore w:val="0"/>
        <w:widowControl w:val="0"/>
        <w:shd w:val="clear"/>
        <w:kinsoku/>
        <w:wordWrap/>
        <w:overflowPunct/>
        <w:topLinePunct w:val="0"/>
        <w:autoSpaceDE w:val="0"/>
        <w:autoSpaceDN w:val="0"/>
        <w:bidi w:val="0"/>
        <w:adjustRightInd w:val="0"/>
        <w:snapToGrid w:val="0"/>
        <w:spacing w:line="228" w:lineRule="auto"/>
        <w:ind w:firstLine="470" w:firstLineChars="196"/>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18.1.3投标文件项目不齐全或者内容虚假的；</w:t>
      </w:r>
    </w:p>
    <w:p w14:paraId="128BE1CB">
      <w:pPr>
        <w:keepNext w:val="0"/>
        <w:keepLines w:val="0"/>
        <w:pageBreakBefore w:val="0"/>
        <w:widowControl w:val="0"/>
        <w:shd w:val="clear"/>
        <w:kinsoku/>
        <w:wordWrap/>
        <w:overflowPunct/>
        <w:topLinePunct w:val="0"/>
        <w:autoSpaceDE w:val="0"/>
        <w:autoSpaceDN w:val="0"/>
        <w:bidi w:val="0"/>
        <w:adjustRightInd w:val="0"/>
        <w:snapToGrid w:val="0"/>
        <w:spacing w:line="228" w:lineRule="auto"/>
        <w:ind w:firstLine="470" w:firstLineChars="196"/>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18.1.4投标文件的实质性内容未使用中文表述、意思表述不明确、前后矛盾或者使用计量单位不符合招标文件要求的；</w:t>
      </w:r>
    </w:p>
    <w:p w14:paraId="0DF6F569">
      <w:pPr>
        <w:keepNext w:val="0"/>
        <w:keepLines w:val="0"/>
        <w:pageBreakBefore w:val="0"/>
        <w:widowControl w:val="0"/>
        <w:shd w:val="clear"/>
        <w:kinsoku/>
        <w:wordWrap/>
        <w:overflowPunct/>
        <w:topLinePunct w:val="0"/>
        <w:autoSpaceDE w:val="0"/>
        <w:autoSpaceDN w:val="0"/>
        <w:bidi w:val="0"/>
        <w:adjustRightInd w:val="0"/>
        <w:snapToGrid w:val="0"/>
        <w:spacing w:line="228" w:lineRule="auto"/>
        <w:ind w:firstLine="470" w:firstLineChars="196"/>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18.1.5投标有效期、交货时间、质保期、售后服务承诺等条款不能满足招标文件要求的；</w:t>
      </w:r>
    </w:p>
    <w:p w14:paraId="09FAD551">
      <w:pPr>
        <w:keepNext w:val="0"/>
        <w:keepLines w:val="0"/>
        <w:pageBreakBefore w:val="0"/>
        <w:widowControl w:val="0"/>
        <w:shd w:val="clear"/>
        <w:kinsoku/>
        <w:wordWrap/>
        <w:overflowPunct/>
        <w:topLinePunct w:val="0"/>
        <w:autoSpaceDE w:val="0"/>
        <w:autoSpaceDN w:val="0"/>
        <w:bidi w:val="0"/>
        <w:adjustRightInd w:val="0"/>
        <w:snapToGrid w:val="0"/>
        <w:spacing w:line="228" w:lineRule="auto"/>
        <w:ind w:firstLine="470" w:firstLineChars="196"/>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18.1.</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szCs w:val="24"/>
          <w:highlight w:val="none"/>
        </w:rPr>
        <w:t>商务条款存在偏离情况的；</w:t>
      </w:r>
    </w:p>
    <w:p w14:paraId="779D4BB8">
      <w:pPr>
        <w:keepNext w:val="0"/>
        <w:keepLines w:val="0"/>
        <w:pageBreakBefore w:val="0"/>
        <w:widowControl w:val="0"/>
        <w:shd w:val="clear"/>
        <w:kinsoku/>
        <w:wordWrap/>
        <w:overflowPunct/>
        <w:topLinePunct w:val="0"/>
        <w:autoSpaceDE w:val="0"/>
        <w:autoSpaceDN w:val="0"/>
        <w:bidi w:val="0"/>
        <w:adjustRightInd w:val="0"/>
        <w:snapToGrid w:val="0"/>
        <w:spacing w:line="228" w:lineRule="auto"/>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不符合</w:t>
      </w:r>
      <w:r>
        <w:rPr>
          <w:rFonts w:hint="eastAsia" w:ascii="宋体" w:hAnsi="宋体" w:cs="宋体"/>
          <w:color w:val="auto"/>
          <w:sz w:val="24"/>
          <w:szCs w:val="24"/>
          <w:highlight w:val="none"/>
          <w:lang w:eastAsia="zh-CN"/>
        </w:rPr>
        <w:t>法律法规</w:t>
      </w:r>
      <w:r>
        <w:rPr>
          <w:rFonts w:hint="eastAsia" w:ascii="宋体" w:hAnsi="宋体" w:eastAsia="宋体" w:cs="宋体"/>
          <w:color w:val="auto"/>
          <w:sz w:val="24"/>
          <w:szCs w:val="24"/>
          <w:highlight w:val="none"/>
        </w:rPr>
        <w:t>或未实质性响应招标文件要求或者投标文件有</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不能接受的附加条件的。</w:t>
      </w:r>
    </w:p>
    <w:p w14:paraId="19F5A19C">
      <w:pPr>
        <w:pStyle w:val="8"/>
        <w:pageBreakBefore w:val="0"/>
        <w:widowControl w:val="0"/>
        <w:shd w:val="clear"/>
        <w:kinsoku/>
        <w:wordWrap/>
        <w:overflowPunct/>
        <w:topLinePunct w:val="0"/>
        <w:bidi w:val="0"/>
        <w:snapToGrid w:val="0"/>
        <w:spacing w:after="0" w:line="228"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18.2在技术评审时，如发现下列情形之一的，投标文件将被视为无效：</w:t>
      </w:r>
    </w:p>
    <w:p w14:paraId="729C500D">
      <w:pPr>
        <w:pageBreakBefore w:val="0"/>
        <w:widowControl w:val="0"/>
        <w:shd w:val="clear"/>
        <w:kinsoku/>
        <w:wordWrap/>
        <w:overflowPunct/>
        <w:topLinePunct w:val="0"/>
        <w:bidi w:val="0"/>
        <w:snapToGrid w:val="0"/>
        <w:spacing w:line="228" w:lineRule="auto"/>
        <w:ind w:firstLine="470" w:firstLineChars="196"/>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18.2.1未提供或未如实提供投标货物的技术参数，或者投标文件标明的响应或偏离与事实不符或虚假投标的；</w:t>
      </w:r>
    </w:p>
    <w:p w14:paraId="20A5ABB8">
      <w:pPr>
        <w:pageBreakBefore w:val="0"/>
        <w:widowControl w:val="0"/>
        <w:shd w:val="clear"/>
        <w:kinsoku/>
        <w:wordWrap/>
        <w:overflowPunct/>
        <w:topLinePunct w:val="0"/>
        <w:bidi w:val="0"/>
        <w:snapToGrid w:val="0"/>
        <w:spacing w:line="228" w:lineRule="auto"/>
        <w:ind w:firstLine="470" w:firstLineChars="196"/>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18.2.2明显不符合招标文件要求的规格型号、质量标准，或者与招标文件中标“</w:t>
      </w:r>
      <w:r>
        <w:rPr>
          <w:rFonts w:hint="eastAsia" w:ascii="宋体" w:hAnsi="宋体" w:eastAsia="宋体" w:cs="宋体"/>
          <w:color w:val="auto"/>
          <w:sz w:val="24"/>
          <w:szCs w:val="24"/>
          <w:highlight w:val="none"/>
        </w:rPr>
        <w:t>★</w:t>
      </w:r>
      <w:r>
        <w:rPr>
          <w:rFonts w:hint="eastAsia" w:ascii="宋体" w:hAnsi="宋体" w:eastAsia="宋体" w:cs="宋体"/>
          <w:color w:val="auto"/>
          <w:sz w:val="24"/>
          <w:highlight w:val="none"/>
        </w:rPr>
        <w:t>”的技术指标、主要功能项目发生实质性偏离的；</w:t>
      </w:r>
    </w:p>
    <w:p w14:paraId="7FB76ABE">
      <w:pPr>
        <w:pageBreakBefore w:val="0"/>
        <w:widowControl w:val="0"/>
        <w:shd w:val="clear"/>
        <w:kinsoku/>
        <w:wordWrap/>
        <w:overflowPunct/>
        <w:topLinePunct w:val="0"/>
        <w:bidi w:val="0"/>
        <w:snapToGrid w:val="0"/>
        <w:spacing w:line="228" w:lineRule="auto"/>
        <w:ind w:firstLine="470" w:firstLineChars="196"/>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18.2.3允许偏离的技术、性能指标或者辅助功能项目发生负偏离达20项（含）以上的；</w:t>
      </w:r>
    </w:p>
    <w:p w14:paraId="1B281410">
      <w:pPr>
        <w:pageBreakBefore w:val="0"/>
        <w:widowControl w:val="0"/>
        <w:shd w:val="clear"/>
        <w:kinsoku/>
        <w:wordWrap/>
        <w:overflowPunct/>
        <w:topLinePunct w:val="0"/>
        <w:bidi w:val="0"/>
        <w:snapToGrid w:val="0"/>
        <w:spacing w:line="228" w:lineRule="auto"/>
        <w:ind w:firstLine="470" w:firstLineChars="196"/>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18.2.4投标技术方案不明确，存在一个或一个以上备选（替代）投标方案的；</w:t>
      </w:r>
    </w:p>
    <w:p w14:paraId="54E61E63">
      <w:pPr>
        <w:pageBreakBefore w:val="0"/>
        <w:widowControl w:val="0"/>
        <w:shd w:val="clear"/>
        <w:kinsoku/>
        <w:wordWrap/>
        <w:overflowPunct/>
        <w:topLinePunct w:val="0"/>
        <w:bidi w:val="0"/>
        <w:snapToGrid w:val="0"/>
        <w:spacing w:line="228" w:lineRule="auto"/>
        <w:ind w:firstLine="470" w:firstLineChars="196"/>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18.2.5</w:t>
      </w:r>
      <w:r>
        <w:rPr>
          <w:rFonts w:hint="eastAsia" w:ascii="宋体" w:hAnsi="宋体" w:eastAsia="宋体" w:cs="宋体"/>
          <w:b/>
          <w:color w:val="auto"/>
          <w:sz w:val="24"/>
          <w:highlight w:val="none"/>
        </w:rPr>
        <w:t>发现有二份及二份以上投标文件的相互之间有特别相同或相似之处，且经询标澄清投标人无令人信服的理由和可靠证据证明其合理性的，经评标委员会半数以上成员确认有串通投标嫌疑的，其投标文件按无效标处理，予以废除，不再对其进行评审，也不影响招标工作继续评标。</w:t>
      </w:r>
    </w:p>
    <w:p w14:paraId="0DE8F25C">
      <w:pPr>
        <w:pStyle w:val="8"/>
        <w:pageBreakBefore w:val="0"/>
        <w:widowControl w:val="0"/>
        <w:shd w:val="clear"/>
        <w:kinsoku/>
        <w:wordWrap/>
        <w:overflowPunct/>
        <w:topLinePunct w:val="0"/>
        <w:bidi w:val="0"/>
        <w:snapToGrid w:val="0"/>
        <w:spacing w:after="0" w:line="228"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18.3在报价评审时，如发现下列情形之一的，投标文件将被视为无效：</w:t>
      </w:r>
    </w:p>
    <w:p w14:paraId="3B642DF5">
      <w:pPr>
        <w:pageBreakBefore w:val="0"/>
        <w:widowControl w:val="0"/>
        <w:shd w:val="clear"/>
        <w:kinsoku/>
        <w:wordWrap/>
        <w:overflowPunct/>
        <w:topLinePunct w:val="0"/>
        <w:bidi w:val="0"/>
        <w:snapToGrid w:val="0"/>
        <w:spacing w:line="228" w:lineRule="auto"/>
        <w:ind w:firstLine="470" w:firstLineChars="196"/>
        <w:textAlignment w:val="auto"/>
        <w:rPr>
          <w:rFonts w:hint="eastAsia" w:ascii="宋体" w:hAnsi="宋体" w:eastAsia="宋体" w:cs="宋体"/>
          <w:color w:val="auto"/>
          <w:sz w:val="24"/>
          <w:highlight w:val="none"/>
        </w:rPr>
      </w:pPr>
      <w:bookmarkStart w:id="24" w:name="OLE_LINK5"/>
      <w:r>
        <w:rPr>
          <w:rFonts w:hint="eastAsia" w:ascii="宋体" w:hAnsi="宋体" w:eastAsia="宋体" w:cs="宋体"/>
          <w:color w:val="auto"/>
          <w:sz w:val="24"/>
          <w:highlight w:val="none"/>
        </w:rPr>
        <w:t>（1）未采用人民币报价或者未按照招标文件标明的币种报价的；</w:t>
      </w:r>
    </w:p>
    <w:bookmarkEnd w:id="24"/>
    <w:p w14:paraId="37C5F3A8">
      <w:pPr>
        <w:pageBreakBefore w:val="0"/>
        <w:widowControl w:val="0"/>
        <w:shd w:val="clear"/>
        <w:kinsoku/>
        <w:wordWrap/>
        <w:overflowPunct/>
        <w:topLinePunct w:val="0"/>
        <w:bidi w:val="0"/>
        <w:snapToGrid w:val="0"/>
        <w:spacing w:line="228" w:lineRule="auto"/>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（2）投标报价超过招标文件中规定的最高限价的；</w:t>
      </w:r>
    </w:p>
    <w:p w14:paraId="62A6987A">
      <w:pPr>
        <w:pageBreakBefore w:val="0"/>
        <w:widowControl w:val="0"/>
        <w:shd w:val="clear"/>
        <w:kinsoku/>
        <w:wordWrap/>
        <w:overflowPunct/>
        <w:topLinePunct w:val="0"/>
        <w:bidi w:val="0"/>
        <w:snapToGrid w:val="0"/>
        <w:spacing w:line="228" w:lineRule="auto"/>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（3）评标委员会认为投标人的报价明显低于其他通过符合性审查投标人的报价，有可能影响产品质量或者不能诚信履约，且投标人不能证明其报价合理性的；</w:t>
      </w:r>
    </w:p>
    <w:p w14:paraId="6B5219DE">
      <w:pPr>
        <w:pageBreakBefore w:val="0"/>
        <w:widowControl w:val="0"/>
        <w:shd w:val="clear"/>
        <w:kinsoku/>
        <w:wordWrap/>
        <w:overflowPunct/>
        <w:topLinePunct w:val="0"/>
        <w:bidi w:val="0"/>
        <w:snapToGrid w:val="0"/>
        <w:spacing w:line="228" w:lineRule="auto"/>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（4）投标人不接受报价文件中修正后的报价的；</w:t>
      </w:r>
    </w:p>
    <w:p w14:paraId="37E0273F">
      <w:pPr>
        <w:pageBreakBefore w:val="0"/>
        <w:widowControl w:val="0"/>
        <w:shd w:val="clear"/>
        <w:kinsoku/>
        <w:wordWrap/>
        <w:overflowPunct/>
        <w:topLinePunct w:val="0"/>
        <w:bidi w:val="0"/>
        <w:snapToGrid w:val="0"/>
        <w:spacing w:line="228" w:lineRule="auto"/>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（5）投标报价具有选择性。</w:t>
      </w:r>
    </w:p>
    <w:p w14:paraId="3232BAA7">
      <w:pPr>
        <w:pStyle w:val="8"/>
        <w:pageBreakBefore w:val="0"/>
        <w:widowControl w:val="0"/>
        <w:shd w:val="clear"/>
        <w:kinsoku/>
        <w:wordWrap/>
        <w:overflowPunct/>
        <w:topLinePunct w:val="0"/>
        <w:bidi w:val="0"/>
        <w:snapToGrid w:val="0"/>
        <w:spacing w:after="0" w:line="228"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18.4符合招标文件明确规定的其他无效投标条款的。</w:t>
      </w:r>
    </w:p>
    <w:p w14:paraId="01A801B1">
      <w:pPr>
        <w:pStyle w:val="4"/>
        <w:pageBreakBefore w:val="0"/>
        <w:widowControl w:val="0"/>
        <w:shd w:val="clear"/>
        <w:kinsoku/>
        <w:wordWrap/>
        <w:overflowPunct/>
        <w:topLinePunct w:val="0"/>
        <w:bidi w:val="0"/>
        <w:spacing w:before="0" w:after="0" w:line="228"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四、开  标</w:t>
      </w:r>
      <w:bookmarkEnd w:id="23"/>
    </w:p>
    <w:p w14:paraId="59C02317">
      <w:pPr>
        <w:pageBreakBefore w:val="0"/>
        <w:widowControl w:val="0"/>
        <w:shd w:val="clear"/>
        <w:kinsoku/>
        <w:wordWrap/>
        <w:overflowPunct/>
        <w:topLinePunct w:val="0"/>
        <w:bidi w:val="0"/>
        <w:spacing w:line="228"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bCs/>
          <w:color w:val="auto"/>
          <w:sz w:val="24"/>
          <w:highlight w:val="none"/>
        </w:rPr>
        <w:t>19.</w:t>
      </w:r>
      <w:r>
        <w:rPr>
          <w:rFonts w:hint="eastAsia" w:ascii="宋体" w:hAnsi="宋体" w:eastAsia="宋体" w:cs="宋体"/>
          <w:b/>
          <w:color w:val="auto"/>
          <w:sz w:val="24"/>
          <w:highlight w:val="none"/>
        </w:rPr>
        <w:t>开标</w:t>
      </w:r>
    </w:p>
    <w:p w14:paraId="6EBD3359">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19.1采购代理机构将在前附表规定的时间、地点进行开标。无关人员不得进入开标现场。</w:t>
      </w:r>
    </w:p>
    <w:p w14:paraId="1FACF8D5">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19.2本项目实行电子开评标，投标人无需前往开评标现场，只需在规定时间内在“</w:t>
      </w:r>
      <w:r>
        <w:rPr>
          <w:rFonts w:hint="eastAsia" w:ascii="宋体" w:hAnsi="宋体" w:cs="宋体"/>
          <w:color w:val="auto"/>
          <w:sz w:val="24"/>
          <w:highlight w:val="none"/>
          <w:lang w:eastAsia="zh-CN"/>
        </w:rPr>
        <w:t>乐采云</w:t>
      </w:r>
      <w:r>
        <w:rPr>
          <w:rFonts w:hint="eastAsia" w:ascii="宋体" w:hAnsi="宋体" w:eastAsia="宋体" w:cs="宋体"/>
          <w:color w:val="auto"/>
          <w:sz w:val="24"/>
          <w:highlight w:val="none"/>
        </w:rPr>
        <w:t xml:space="preserve">”平台上上传电子投标文件。 </w:t>
      </w:r>
    </w:p>
    <w:p w14:paraId="538AA268">
      <w:pPr>
        <w:pageBreakBefore w:val="0"/>
        <w:widowControl w:val="0"/>
        <w:shd w:val="clear"/>
        <w:kinsoku/>
        <w:wordWrap/>
        <w:overflowPunct/>
        <w:topLinePunct w:val="0"/>
        <w:bidi w:val="0"/>
        <w:spacing w:line="228"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20.开标程序</w:t>
      </w:r>
    </w:p>
    <w:p w14:paraId="48E3FF0F">
      <w:pPr>
        <w:pageBreakBefore w:val="0"/>
        <w:widowControl w:val="0"/>
        <w:shd w:val="clear"/>
        <w:kinsoku/>
        <w:wordWrap/>
        <w:overflowPunct/>
        <w:topLinePunct w:val="0"/>
        <w:bidi w:val="0"/>
        <w:spacing w:line="228" w:lineRule="auto"/>
        <w:ind w:firstLine="482" w:firstLineChars="200"/>
        <w:textAlignment w:val="auto"/>
        <w:rPr>
          <w:rFonts w:hint="eastAsia" w:ascii="宋体" w:hAnsi="宋体" w:eastAsia="宋体" w:cs="宋体"/>
          <w:b/>
          <w:color w:val="auto"/>
          <w:sz w:val="24"/>
          <w:highlight w:val="none"/>
        </w:rPr>
      </w:pPr>
      <w:bookmarkStart w:id="25" w:name="_Toc125344508"/>
      <w:r>
        <w:rPr>
          <w:rFonts w:hint="eastAsia" w:ascii="宋体" w:hAnsi="宋体" w:eastAsia="宋体" w:cs="宋体"/>
          <w:b/>
          <w:color w:val="auto"/>
          <w:sz w:val="24"/>
          <w:highlight w:val="none"/>
        </w:rPr>
        <w:t>20.1投标截止时间后的</w:t>
      </w:r>
      <w:r>
        <w:rPr>
          <w:rFonts w:hint="eastAsia" w:ascii="宋体" w:hAnsi="宋体" w:eastAsia="宋体" w:cs="宋体"/>
          <w:b/>
          <w:color w:val="auto"/>
          <w:sz w:val="24"/>
          <w:highlight w:val="none"/>
          <w:lang w:eastAsia="zh-CN"/>
        </w:rPr>
        <w:t>30分钟</w:t>
      </w:r>
      <w:r>
        <w:rPr>
          <w:rFonts w:hint="eastAsia" w:ascii="宋体" w:hAnsi="宋体" w:eastAsia="宋体" w:cs="宋体"/>
          <w:b/>
          <w:color w:val="auto"/>
          <w:sz w:val="24"/>
          <w:highlight w:val="none"/>
        </w:rPr>
        <w:t>内，由各投标人自行对电子投标文件进行解密（请各投标人务必在规定时间内完成电子投标文件的解密工作，在电子开评标期间，投标人（授权代表）需确保在各自所在的区域具备上网的技术条件并保持网络及联系方式畅通），同时为避免出现意外，建议全程由一台电脑进行操作（包括标书制作、上传、解密等），中途不要更换电脑；</w:t>
      </w:r>
    </w:p>
    <w:p w14:paraId="6907289E">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20.2评标委员会对投标人的资格和</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文件进行评审；</w:t>
      </w:r>
    </w:p>
    <w:p w14:paraId="1D340318">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20.3对有效的投标单位的投标报价在“</w:t>
      </w:r>
      <w:r>
        <w:rPr>
          <w:rFonts w:hint="eastAsia" w:ascii="宋体" w:hAnsi="宋体" w:cs="宋体"/>
          <w:color w:val="auto"/>
          <w:sz w:val="24"/>
          <w:highlight w:val="none"/>
          <w:lang w:eastAsia="zh-CN"/>
        </w:rPr>
        <w:t>乐采云</w:t>
      </w:r>
      <w:r>
        <w:rPr>
          <w:rFonts w:hint="eastAsia" w:ascii="宋体" w:hAnsi="宋体" w:eastAsia="宋体" w:cs="宋体"/>
          <w:color w:val="auto"/>
          <w:sz w:val="24"/>
          <w:highlight w:val="none"/>
        </w:rPr>
        <w:t>”平台上予以公开；</w:t>
      </w:r>
    </w:p>
    <w:p w14:paraId="4F331751">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20.4评标委员会对有效的投标单位进行投标报价评审，确定投标报价评审有效投标单位；</w:t>
      </w:r>
    </w:p>
    <w:p w14:paraId="60005AC5">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20.</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确定预中标人。</w:t>
      </w:r>
    </w:p>
    <w:p w14:paraId="6DB1FD57">
      <w:pPr>
        <w:pageBreakBefore w:val="0"/>
        <w:widowControl w:val="0"/>
        <w:shd w:val="clear"/>
        <w:kinsoku/>
        <w:wordWrap/>
        <w:overflowPunct/>
        <w:topLinePunct w:val="0"/>
        <w:bidi w:val="0"/>
        <w:spacing w:line="228"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p w14:paraId="1C8798C8">
      <w:pPr>
        <w:pageBreakBefore w:val="0"/>
        <w:widowControl w:val="0"/>
        <w:shd w:val="clear"/>
        <w:kinsoku/>
        <w:wordWrap/>
        <w:overflowPunct/>
        <w:topLinePunct w:val="0"/>
        <w:bidi w:val="0"/>
        <w:spacing w:line="228"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w:t>
      </w:r>
      <w:r>
        <w:rPr>
          <w:rFonts w:hint="eastAsia" w:ascii="宋体" w:hAnsi="宋体" w:cs="宋体"/>
          <w:b/>
          <w:color w:val="auto"/>
          <w:sz w:val="24"/>
          <w:highlight w:val="none"/>
          <w:lang w:eastAsia="zh-CN"/>
        </w:rPr>
        <w:t>乐采云</w:t>
      </w:r>
      <w:r>
        <w:rPr>
          <w:rFonts w:hint="eastAsia" w:ascii="宋体" w:hAnsi="宋体" w:eastAsia="宋体" w:cs="宋体"/>
          <w:b/>
          <w:color w:val="auto"/>
          <w:sz w:val="24"/>
          <w:highlight w:val="none"/>
        </w:rPr>
        <w:t>公司如对电子化开标及评审程序有调整的，按调整后的程序操作。</w:t>
      </w:r>
    </w:p>
    <w:p w14:paraId="4969D449">
      <w:pPr>
        <w:pageBreakBefore w:val="0"/>
        <w:widowControl w:val="0"/>
        <w:shd w:val="clear"/>
        <w:kinsoku/>
        <w:wordWrap/>
        <w:overflowPunct/>
        <w:topLinePunct w:val="0"/>
        <w:bidi w:val="0"/>
        <w:spacing w:line="228"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2、如中标单位投标文件和招标文件要求不一致，且评审过程中未发现的，履约应按有利于采购人的要求执行。</w:t>
      </w:r>
    </w:p>
    <w:p w14:paraId="452781F1">
      <w:pPr>
        <w:pageBreakBefore w:val="0"/>
        <w:widowControl w:val="0"/>
        <w:shd w:val="clear"/>
        <w:kinsoku/>
        <w:wordWrap/>
        <w:overflowPunct/>
        <w:topLinePunct w:val="0"/>
        <w:bidi w:val="0"/>
        <w:spacing w:line="228"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3、采购过程中出现以下情形，导致电子交易平台无法正常运行，或者无法保证电子交易的公平、公正和安全时，采购组织机构可中止电子交易活动：</w:t>
      </w:r>
    </w:p>
    <w:p w14:paraId="07E6FFDE">
      <w:pPr>
        <w:pStyle w:val="16"/>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（一）电子交易平台发生故障而无法登录访问的； </w:t>
      </w:r>
    </w:p>
    <w:p w14:paraId="58FC0CF9">
      <w:pPr>
        <w:pStyle w:val="16"/>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（二）电子交易平台应用或数据库出现错误，不能进行正常操作的；</w:t>
      </w:r>
    </w:p>
    <w:p w14:paraId="2AA4D486">
      <w:pPr>
        <w:pStyle w:val="16"/>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（三）电子交易平台发现严重安全漏洞，有潜在泄密危险的；</w:t>
      </w:r>
    </w:p>
    <w:p w14:paraId="2ECE8F20">
      <w:pPr>
        <w:pStyle w:val="16"/>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（四）病毒发作导致不能进行正常操作的； </w:t>
      </w:r>
    </w:p>
    <w:p w14:paraId="0AB0DAC5">
      <w:pPr>
        <w:pStyle w:val="16"/>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（五）其他无法保证电子交易的公平、公正和安全的情况。</w:t>
      </w:r>
    </w:p>
    <w:p w14:paraId="4CDC1BF5">
      <w:pPr>
        <w:pStyle w:val="16"/>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出现前款规定情形，不影响采购公平、公正性的，采购组织机构可以待上述情形消除后继续组织电子交易活动；影响或可能影响采购公平、公正性的，应当重新采购。</w:t>
      </w:r>
    </w:p>
    <w:p w14:paraId="037EB1AC">
      <w:pPr>
        <w:pStyle w:val="4"/>
        <w:pageBreakBefore w:val="0"/>
        <w:widowControl w:val="0"/>
        <w:shd w:val="clear"/>
        <w:kinsoku/>
        <w:wordWrap/>
        <w:overflowPunct/>
        <w:topLinePunct w:val="0"/>
        <w:bidi w:val="0"/>
        <w:spacing w:before="0" w:after="0" w:line="228" w:lineRule="auto"/>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五</w:t>
      </w:r>
      <w:r>
        <w:rPr>
          <w:rFonts w:hint="eastAsia" w:ascii="宋体" w:hAnsi="宋体" w:eastAsia="宋体" w:cs="宋体"/>
          <w:color w:val="auto"/>
          <w:sz w:val="28"/>
          <w:szCs w:val="28"/>
          <w:highlight w:val="none"/>
        </w:rPr>
        <w:t>、评</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标</w:t>
      </w:r>
      <w:bookmarkEnd w:id="25"/>
    </w:p>
    <w:p w14:paraId="26FB2CF5">
      <w:pPr>
        <w:pageBreakBefore w:val="0"/>
        <w:widowControl w:val="0"/>
        <w:shd w:val="clear"/>
        <w:kinsoku/>
        <w:wordWrap/>
        <w:overflowPunct/>
        <w:topLinePunct w:val="0"/>
        <w:bidi w:val="0"/>
        <w:spacing w:line="228"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 组建评标委员会</w:t>
      </w:r>
    </w:p>
    <w:p w14:paraId="104C0BEE">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评标委员会按照有关规定组建。</w:t>
      </w:r>
    </w:p>
    <w:p w14:paraId="717D748D">
      <w:pPr>
        <w:pageBreakBefore w:val="0"/>
        <w:widowControl w:val="0"/>
        <w:shd w:val="clear"/>
        <w:kinsoku/>
        <w:wordWrap/>
        <w:overflowPunct/>
        <w:topLinePunct w:val="0"/>
        <w:bidi w:val="0"/>
        <w:spacing w:line="228"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22.评标原则</w:t>
      </w:r>
    </w:p>
    <w:p w14:paraId="452FDED8">
      <w:pPr>
        <w:pStyle w:val="16"/>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22.1评标委员会必须公平、公正、客观，不带任何倾向性和启发性；</w:t>
      </w:r>
    </w:p>
    <w:p w14:paraId="7D821936">
      <w:pPr>
        <w:pStyle w:val="16"/>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22.2不得向外界透露任何与评标有关的内容；</w:t>
      </w:r>
    </w:p>
    <w:p w14:paraId="473C87B9">
      <w:pPr>
        <w:pStyle w:val="16"/>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22.3任何单位和个人不得干扰、影响评标的正常进行；</w:t>
      </w:r>
    </w:p>
    <w:p w14:paraId="59512BCF">
      <w:pPr>
        <w:pStyle w:val="16"/>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22.4评标委员会及有关工作人员不得私下与投标人接触。</w:t>
      </w:r>
    </w:p>
    <w:p w14:paraId="230EB49B">
      <w:pPr>
        <w:pStyle w:val="16"/>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22.5评审专家因回避、临时缺席或健康原因等特殊情况不能继续参加评审工作的，应按规定更换评审专家</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被更换的评审人员之前所作出的评审意见不再予以采纳，由更换后的评审人员重新进行评审。无法及时更换专家的，要立即停止评审工作、封存评审资料，并告知投标人择期重新评审的时间和地点。</w:t>
      </w:r>
    </w:p>
    <w:p w14:paraId="46F2A2B0">
      <w:pPr>
        <w:pageBreakBefore w:val="0"/>
        <w:widowControl w:val="0"/>
        <w:shd w:val="clear"/>
        <w:kinsoku/>
        <w:wordWrap/>
        <w:overflowPunct/>
        <w:topLinePunct w:val="0"/>
        <w:bidi w:val="0"/>
        <w:snapToGrid w:val="0"/>
        <w:spacing w:line="228" w:lineRule="auto"/>
        <w:ind w:firstLine="482" w:firstLineChars="200"/>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22.6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276055A">
      <w:pPr>
        <w:pageBreakBefore w:val="0"/>
        <w:widowControl w:val="0"/>
        <w:shd w:val="clear"/>
        <w:kinsoku/>
        <w:wordWrap/>
        <w:overflowPunct/>
        <w:topLinePunct w:val="0"/>
        <w:bidi w:val="0"/>
        <w:snapToGrid w:val="0"/>
        <w:spacing w:line="228" w:lineRule="auto"/>
        <w:ind w:firstLine="482" w:firstLineChars="200"/>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非单一产品采购项目，采购人应当根据采购项目技术构成、产品价格比重等合理确定核心产品，并在招标文件中载明。多家投标人提供的核心产品品牌相同的，按前款规定处理。</w:t>
      </w:r>
    </w:p>
    <w:p w14:paraId="5D162481">
      <w:pPr>
        <w:pageBreakBefore w:val="0"/>
        <w:widowControl w:val="0"/>
        <w:shd w:val="clear"/>
        <w:kinsoku/>
        <w:wordWrap/>
        <w:overflowPunct/>
        <w:topLinePunct w:val="0"/>
        <w:bidi w:val="0"/>
        <w:snapToGrid w:val="0"/>
        <w:spacing w:line="228" w:lineRule="auto"/>
        <w:ind w:firstLine="482" w:firstLineChars="200"/>
        <w:jc w:val="lef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22.7</w:t>
      </w:r>
      <w:r>
        <w:rPr>
          <w:rFonts w:hint="eastAsia" w:ascii="宋体" w:hAnsi="宋体" w:eastAsia="宋体" w:cs="宋体"/>
          <w:color w:val="auto"/>
          <w:sz w:val="24"/>
          <w:highlight w:val="none"/>
        </w:rPr>
        <w:t>以联合体形式参加采购活动的，联合体各方不得再单独参加或者与其他供应商另外组成联合体参加同一合同项下的采购活动。</w:t>
      </w:r>
    </w:p>
    <w:p w14:paraId="4D3E5949">
      <w:pPr>
        <w:pageBreakBefore w:val="0"/>
        <w:widowControl w:val="0"/>
        <w:shd w:val="clear"/>
        <w:kinsoku/>
        <w:wordWrap/>
        <w:overflowPunct/>
        <w:topLinePunct w:val="0"/>
        <w:bidi w:val="0"/>
        <w:snapToGrid w:val="0"/>
        <w:spacing w:line="228" w:lineRule="auto"/>
        <w:ind w:firstLine="482" w:firstLineChars="200"/>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22.8除单一来源采购以外，为采购项目提供整体设计、规范编制或者项目管理、监理、检测等服务的供应商，不得参加本采购项目。</w:t>
      </w:r>
    </w:p>
    <w:p w14:paraId="63D6DEF2">
      <w:pPr>
        <w:pageBreakBefore w:val="0"/>
        <w:widowControl w:val="0"/>
        <w:shd w:val="clear"/>
        <w:kinsoku/>
        <w:wordWrap/>
        <w:overflowPunct/>
        <w:topLinePunct w:val="0"/>
        <w:bidi w:val="0"/>
        <w:snapToGrid w:val="0"/>
        <w:spacing w:line="228" w:lineRule="auto"/>
        <w:ind w:firstLine="482" w:firstLineChars="200"/>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22.9单位负责人为同一人或者存在直接控股、管理关系的不同供应商，不得参加同一合同项下的采购活动。</w:t>
      </w:r>
    </w:p>
    <w:p w14:paraId="1ACC0F14">
      <w:pPr>
        <w:pStyle w:val="11"/>
        <w:pageBreakBefore w:val="0"/>
        <w:widowControl w:val="0"/>
        <w:shd w:val="clear"/>
        <w:kinsoku/>
        <w:wordWrap/>
        <w:overflowPunct/>
        <w:topLinePunct w:val="0"/>
        <w:bidi w:val="0"/>
        <w:snapToGrid w:val="0"/>
        <w:spacing w:line="228" w:lineRule="auto"/>
        <w:ind w:left="2" w:leftChars="1" w:firstLine="482" w:firstLineChars="20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22.10本项目涉及提供的有关资质证书，若原有资质证书处于年审期间，投标人提供年审证明的可按原资质投标；若投标人正在申报上一级别资质，在未获批准之前，仍按原级别资质投标。</w:t>
      </w:r>
    </w:p>
    <w:p w14:paraId="1B89CD82">
      <w:pPr>
        <w:pageBreakBefore w:val="0"/>
        <w:widowControl w:val="0"/>
        <w:shd w:val="clear"/>
        <w:kinsoku/>
        <w:wordWrap/>
        <w:overflowPunct/>
        <w:topLinePunct w:val="0"/>
        <w:bidi w:val="0"/>
        <w:spacing w:line="228"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23.评标程序</w:t>
      </w:r>
    </w:p>
    <w:p w14:paraId="3EECF47F">
      <w:pPr>
        <w:pageBreakBefore w:val="0"/>
        <w:widowControl w:val="0"/>
        <w:shd w:val="clear"/>
        <w:kinsoku/>
        <w:wordWrap/>
        <w:overflowPunct/>
        <w:topLinePunct w:val="0"/>
        <w:bidi w:val="0"/>
        <w:snapToGrid w:val="0"/>
        <w:spacing w:line="228" w:lineRule="auto"/>
        <w:ind w:firstLine="472" w:firstLineChars="196"/>
        <w:textAlignment w:val="auto"/>
        <w:rPr>
          <w:rFonts w:hint="eastAsia" w:ascii="宋体" w:hAnsi="宋体" w:eastAsia="宋体" w:cs="宋体"/>
          <w:b/>
          <w:bCs/>
          <w:color w:val="auto"/>
          <w:sz w:val="24"/>
          <w:szCs w:val="20"/>
          <w:highlight w:val="none"/>
        </w:rPr>
      </w:pPr>
      <w:r>
        <w:rPr>
          <w:rFonts w:hint="eastAsia" w:ascii="宋体" w:hAnsi="宋体" w:eastAsia="宋体" w:cs="宋体"/>
          <w:b/>
          <w:bCs/>
          <w:color w:val="auto"/>
          <w:sz w:val="24"/>
          <w:highlight w:val="none"/>
        </w:rPr>
        <w:t>23.1形式审查</w:t>
      </w:r>
    </w:p>
    <w:p w14:paraId="01E1E097">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评标委员会对投标人的投标文件的完整性、合法性等进行审查。</w:t>
      </w:r>
    </w:p>
    <w:p w14:paraId="4D1C25BE">
      <w:pPr>
        <w:pageBreakBefore w:val="0"/>
        <w:widowControl w:val="0"/>
        <w:shd w:val="clear"/>
        <w:kinsoku/>
        <w:wordWrap/>
        <w:overflowPunct/>
        <w:topLinePunct w:val="0"/>
        <w:bidi w:val="0"/>
        <w:snapToGrid w:val="0"/>
        <w:spacing w:line="228" w:lineRule="auto"/>
        <w:ind w:firstLine="472" w:firstLineChars="196"/>
        <w:textAlignment w:val="auto"/>
        <w:rPr>
          <w:rFonts w:hint="eastAsia" w:ascii="宋体" w:hAnsi="宋体" w:eastAsia="宋体" w:cs="宋体"/>
          <w:b/>
          <w:bCs/>
          <w:color w:val="auto"/>
          <w:sz w:val="24"/>
          <w:szCs w:val="20"/>
          <w:highlight w:val="none"/>
        </w:rPr>
      </w:pPr>
      <w:r>
        <w:rPr>
          <w:rFonts w:hint="eastAsia" w:ascii="宋体" w:hAnsi="宋体" w:eastAsia="宋体" w:cs="宋体"/>
          <w:b/>
          <w:bCs/>
          <w:color w:val="auto"/>
          <w:sz w:val="24"/>
          <w:highlight w:val="none"/>
        </w:rPr>
        <w:t>23.2实质审查与比较</w:t>
      </w:r>
    </w:p>
    <w:p w14:paraId="1BD59882">
      <w:pPr>
        <w:pStyle w:val="16"/>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23.2.1评标时，评标委员会将以招标文件为基本依据，首先评定每份投标文件是否在实质上响应了招标文件的要求。所谓实质上响应，是指投标文件应与招标文件的所有实质性条款、条件和要求相符，无显著差异或保留，或者对合同中约定的</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的权利和投标人的义务方面造成重大的限制，纠正这些显著差异或保留将会对其他实质上响应招标文件要求的投标文件的投标人的竞争地位产生不公平的影响。</w:t>
      </w:r>
    </w:p>
    <w:p w14:paraId="34A27D41">
      <w:pPr>
        <w:pStyle w:val="16"/>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23.2.2评标委员会将根据投标人的投标文件进行审查、核对</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如有疑问</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将对投标人进行询标</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投标人要向评标委员会澄清有关问题</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并最终以“</w:t>
      </w:r>
      <w:r>
        <w:rPr>
          <w:rFonts w:hint="eastAsia" w:ascii="宋体" w:hAnsi="宋体" w:cs="宋体"/>
          <w:color w:val="auto"/>
          <w:sz w:val="24"/>
          <w:highlight w:val="none"/>
          <w:lang w:eastAsia="zh-CN"/>
        </w:rPr>
        <w:t>乐采云</w:t>
      </w:r>
      <w:r>
        <w:rPr>
          <w:rFonts w:hint="eastAsia" w:ascii="宋体" w:hAnsi="宋体" w:eastAsia="宋体" w:cs="宋体"/>
          <w:color w:val="auto"/>
          <w:sz w:val="24"/>
          <w:highlight w:val="none"/>
        </w:rPr>
        <w:t>”在线询标或其他有效</w:t>
      </w:r>
      <w:r>
        <w:rPr>
          <w:rFonts w:hint="eastAsia" w:ascii="宋体" w:hAnsi="宋体" w:cs="宋体"/>
          <w:color w:val="auto"/>
          <w:sz w:val="24"/>
          <w:highlight w:val="none"/>
          <w:lang w:eastAsia="zh-CN"/>
        </w:rPr>
        <w:t>形式进行</w:t>
      </w:r>
      <w:r>
        <w:rPr>
          <w:rFonts w:hint="eastAsia" w:ascii="宋体" w:hAnsi="宋体" w:eastAsia="宋体" w:cs="宋体"/>
          <w:color w:val="auto"/>
          <w:sz w:val="24"/>
          <w:highlight w:val="none"/>
        </w:rPr>
        <w:t>答复。投标人代表拒绝澄清或者澄清的内容改变了投标文件的实质性内容的，评标委员会有权对该投标文件作出不利于投标人的评判。</w:t>
      </w:r>
    </w:p>
    <w:p w14:paraId="34868097">
      <w:pPr>
        <w:pStyle w:val="16"/>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23.2.3如果投标文件实质不响应招标文件的各项要求，评标委员会将予以拒绝，并且不允许投标人通过修改或撤销其不符合要求的差异或保留，使之成为具有响应性的投标。</w:t>
      </w:r>
    </w:p>
    <w:p w14:paraId="6C0F0D5B">
      <w:pPr>
        <w:pStyle w:val="16"/>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23.2.4评标委员会完成评标后</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按评标原则推荐中标候选人同时起草评标报告。</w:t>
      </w:r>
    </w:p>
    <w:p w14:paraId="6328F966">
      <w:pPr>
        <w:pStyle w:val="16"/>
        <w:pageBreakBefore w:val="0"/>
        <w:widowControl w:val="0"/>
        <w:shd w:val="clear"/>
        <w:kinsoku/>
        <w:wordWrap/>
        <w:overflowPunct/>
        <w:topLinePunct w:val="0"/>
        <w:bidi w:val="0"/>
        <w:spacing w:line="228"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23.3.</w:t>
      </w:r>
      <w:r>
        <w:rPr>
          <w:rFonts w:hint="eastAsia" w:ascii="宋体" w:hAnsi="宋体" w:eastAsia="宋体" w:cs="宋体"/>
          <w:b/>
          <w:color w:val="auto"/>
          <w:sz w:val="24"/>
          <w:highlight w:val="none"/>
          <w:lang w:val="en-US" w:eastAsia="zh-CN"/>
        </w:rPr>
        <w:t>5</w:t>
      </w:r>
      <w:r>
        <w:rPr>
          <w:rFonts w:hint="eastAsia" w:ascii="宋体" w:hAnsi="宋体" w:eastAsia="宋体" w:cs="宋体"/>
          <w:b/>
          <w:color w:val="auto"/>
          <w:sz w:val="24"/>
          <w:highlight w:val="none"/>
        </w:rPr>
        <w:t>评标委员会对明显不合理的投标报价，有权要求投标人在规定时间内提交说明，投标人不能提供的或提供的材料不能说明问题的，评标委员会可以判定其投标无效。</w:t>
      </w:r>
    </w:p>
    <w:p w14:paraId="0774245E">
      <w:pPr>
        <w:pStyle w:val="16"/>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23.3.</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评审人员对有关招标文件、投标文件、解释、要求、标准存在不同意见的，持不同意见的评审人员及其意见或理由应予以完整记录，并在评审过程中按照少数服从多数的原则表决执行。评审人员拒绝在评审报告中签字又不说明其不同意见或理由的，由现场监督员记录在案后，可视为同意评审结果。</w:t>
      </w:r>
    </w:p>
    <w:p w14:paraId="4FC9C0AF">
      <w:pPr>
        <w:pStyle w:val="16"/>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23.3.</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2BEC8507">
      <w:pPr>
        <w:pageBreakBefore w:val="0"/>
        <w:widowControl w:val="0"/>
        <w:shd w:val="clear"/>
        <w:kinsoku/>
        <w:wordWrap/>
        <w:overflowPunct/>
        <w:topLinePunct w:val="0"/>
        <w:bidi w:val="0"/>
        <w:spacing w:line="228" w:lineRule="auto"/>
        <w:ind w:firstLine="477" w:firstLineChars="19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如投标人或采购人有下列情形之一的，应按串通投标行为认定，禁止其一至三年内进入本市采购市场，情节严重的移送有关部门依法处理。</w:t>
      </w:r>
    </w:p>
    <w:p w14:paraId="014F35FF">
      <w:pPr>
        <w:pageBreakBefore w:val="0"/>
        <w:widowControl w:val="0"/>
        <w:shd w:val="clear"/>
        <w:kinsoku/>
        <w:wordWrap/>
        <w:overflowPunct/>
        <w:topLinePunct w:val="0"/>
        <w:bidi w:val="0"/>
        <w:spacing w:line="228" w:lineRule="auto"/>
        <w:ind w:firstLine="477" w:firstLineChars="19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24.1不同投标人的投标文件由同一单位或人员编制； </w:t>
      </w:r>
    </w:p>
    <w:p w14:paraId="120DFBD1">
      <w:pPr>
        <w:pageBreakBefore w:val="0"/>
        <w:widowControl w:val="0"/>
        <w:shd w:val="clear"/>
        <w:kinsoku/>
        <w:wordWrap/>
        <w:overflowPunct/>
        <w:topLinePunct w:val="0"/>
        <w:bidi w:val="0"/>
        <w:spacing w:line="228" w:lineRule="auto"/>
        <w:ind w:firstLine="477" w:firstLineChars="19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24.2不同投标人委托同一单位或个人办理投标事宜；</w:t>
      </w:r>
    </w:p>
    <w:p w14:paraId="2C215E16">
      <w:pPr>
        <w:pageBreakBefore w:val="0"/>
        <w:widowControl w:val="0"/>
        <w:shd w:val="clear"/>
        <w:kinsoku/>
        <w:wordWrap/>
        <w:overflowPunct/>
        <w:topLinePunct w:val="0"/>
        <w:bidi w:val="0"/>
        <w:spacing w:line="228" w:lineRule="auto"/>
        <w:ind w:firstLine="477" w:firstLineChars="19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24.3不同投标人的投标文件载明的项目管理或联系人员为同一人；</w:t>
      </w:r>
    </w:p>
    <w:p w14:paraId="3E8CC08A">
      <w:pPr>
        <w:pageBreakBefore w:val="0"/>
        <w:widowControl w:val="0"/>
        <w:shd w:val="clear"/>
        <w:kinsoku/>
        <w:wordWrap/>
        <w:overflowPunct/>
        <w:topLinePunct w:val="0"/>
        <w:bidi w:val="0"/>
        <w:spacing w:line="228" w:lineRule="auto"/>
        <w:ind w:firstLine="477" w:firstLineChars="19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24.4不同投标人的投标文件异常一致或者投标报价呈规律性差异； </w:t>
      </w:r>
    </w:p>
    <w:p w14:paraId="4AE76FBB">
      <w:pPr>
        <w:pageBreakBefore w:val="0"/>
        <w:widowControl w:val="0"/>
        <w:shd w:val="clear"/>
        <w:kinsoku/>
        <w:wordWrap/>
        <w:overflowPunct/>
        <w:topLinePunct w:val="0"/>
        <w:bidi w:val="0"/>
        <w:spacing w:line="228" w:lineRule="auto"/>
        <w:ind w:firstLine="477" w:firstLineChars="19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24.5不同投标人的投标文件遗留其他投标人不属于本投标人参加采购必需的信息资料的；</w:t>
      </w:r>
    </w:p>
    <w:p w14:paraId="58F52FF6">
      <w:pPr>
        <w:pageBreakBefore w:val="0"/>
        <w:widowControl w:val="0"/>
        <w:shd w:val="clear"/>
        <w:kinsoku/>
        <w:wordWrap/>
        <w:overflowPunct/>
        <w:topLinePunct w:val="0"/>
        <w:bidi w:val="0"/>
        <w:spacing w:line="228" w:lineRule="auto"/>
        <w:ind w:firstLine="477" w:firstLineChars="19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24.6不同投标人的授权代表为同一单位的工作人员的；   </w:t>
      </w:r>
    </w:p>
    <w:p w14:paraId="6238756F">
      <w:pPr>
        <w:pageBreakBefore w:val="0"/>
        <w:widowControl w:val="0"/>
        <w:shd w:val="clear"/>
        <w:kinsoku/>
        <w:wordWrap/>
        <w:overflowPunct/>
        <w:topLinePunct w:val="0"/>
        <w:bidi w:val="0"/>
        <w:spacing w:line="228" w:lineRule="auto"/>
        <w:ind w:firstLine="477" w:firstLineChars="19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24.7采购响应截止时间后，采购人协助投标人撤换或更改投标文件的；</w:t>
      </w:r>
    </w:p>
    <w:p w14:paraId="39673946">
      <w:pPr>
        <w:pageBreakBefore w:val="0"/>
        <w:widowControl w:val="0"/>
        <w:shd w:val="clear"/>
        <w:kinsoku/>
        <w:wordWrap/>
        <w:overflowPunct/>
        <w:topLinePunct w:val="0"/>
        <w:bidi w:val="0"/>
        <w:spacing w:line="228" w:lineRule="auto"/>
        <w:ind w:firstLine="477" w:firstLineChars="19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24.8采购人泄露有意向参加采购的投标人名称、数量等应当保密的事项的；</w:t>
      </w:r>
    </w:p>
    <w:p w14:paraId="6898232F">
      <w:pPr>
        <w:pageBreakBefore w:val="0"/>
        <w:widowControl w:val="0"/>
        <w:shd w:val="clear"/>
        <w:kinsoku/>
        <w:wordWrap/>
        <w:overflowPunct/>
        <w:topLinePunct w:val="0"/>
        <w:bidi w:val="0"/>
        <w:spacing w:line="228" w:lineRule="auto"/>
        <w:ind w:firstLine="477" w:firstLineChars="19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24.9不同投标人之间私下达成书面或口头协议，指定一家投标人中标或轮流中标的；</w:t>
      </w:r>
    </w:p>
    <w:p w14:paraId="283B4121">
      <w:pPr>
        <w:pageBreakBefore w:val="0"/>
        <w:widowControl w:val="0"/>
        <w:shd w:val="clear"/>
        <w:kinsoku/>
        <w:wordWrap/>
        <w:overflowPunct/>
        <w:topLinePunct w:val="0"/>
        <w:bidi w:val="0"/>
        <w:spacing w:line="228" w:lineRule="auto"/>
        <w:ind w:firstLine="477" w:firstLineChars="19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24.10属于同一集团、协会、商会等组织成员的投标人按照该组织要求协同的投标；</w:t>
      </w:r>
    </w:p>
    <w:p w14:paraId="28CAD4AC">
      <w:pPr>
        <w:pageBreakBefore w:val="0"/>
        <w:widowControl w:val="0"/>
        <w:shd w:val="clear"/>
        <w:kinsoku/>
        <w:wordWrap/>
        <w:overflowPunct/>
        <w:topLinePunct w:val="0"/>
        <w:bidi w:val="0"/>
        <w:spacing w:line="228" w:lineRule="auto"/>
        <w:ind w:firstLine="477" w:firstLineChars="19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24.11投标人之间为谋取中标或者排斥特定投标人而采取的其他联合行动；</w:t>
      </w:r>
    </w:p>
    <w:p w14:paraId="340D855D">
      <w:pPr>
        <w:pageBreakBefore w:val="0"/>
        <w:widowControl w:val="0"/>
        <w:shd w:val="clear"/>
        <w:kinsoku/>
        <w:wordWrap/>
        <w:overflowPunct/>
        <w:topLinePunct w:val="0"/>
        <w:bidi w:val="0"/>
        <w:spacing w:line="228" w:lineRule="auto"/>
        <w:ind w:firstLine="477" w:firstLineChars="19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24.12不同投标人与同一投标人联合投标的；</w:t>
      </w:r>
    </w:p>
    <w:p w14:paraId="28125C52">
      <w:pPr>
        <w:pageBreakBefore w:val="0"/>
        <w:widowControl w:val="0"/>
        <w:shd w:val="clear"/>
        <w:kinsoku/>
        <w:wordWrap/>
        <w:overflowPunct/>
        <w:topLinePunct w:val="0"/>
        <w:bidi w:val="0"/>
        <w:spacing w:line="228" w:lineRule="auto"/>
        <w:ind w:firstLine="477" w:firstLineChars="19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24.13采购人（或采购代理机构）明示或者暗示投标人压低或者抬高投标报价；</w:t>
      </w:r>
    </w:p>
    <w:p w14:paraId="0C2C9809">
      <w:pPr>
        <w:pageBreakBefore w:val="0"/>
        <w:widowControl w:val="0"/>
        <w:shd w:val="clear"/>
        <w:kinsoku/>
        <w:wordWrap/>
        <w:overflowPunct/>
        <w:topLinePunct w:val="0"/>
        <w:bidi w:val="0"/>
        <w:spacing w:line="228" w:lineRule="auto"/>
        <w:ind w:firstLine="477" w:firstLineChars="19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24.14采购人（或采购代理机构）明示或者暗示投标人为特定投标人中标提供方便；</w:t>
      </w:r>
    </w:p>
    <w:p w14:paraId="0C339915">
      <w:pPr>
        <w:pageBreakBefore w:val="0"/>
        <w:widowControl w:val="0"/>
        <w:shd w:val="clear"/>
        <w:kinsoku/>
        <w:wordWrap/>
        <w:overflowPunct/>
        <w:topLinePunct w:val="0"/>
        <w:bidi w:val="0"/>
        <w:spacing w:line="228" w:lineRule="auto"/>
        <w:ind w:firstLine="477" w:firstLineChars="19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24.15采购人（或采购代理机构）与投标人为谋求特定投标人中标而采取的其他串通行为；</w:t>
      </w:r>
    </w:p>
    <w:p w14:paraId="409A469B">
      <w:pPr>
        <w:pageBreakBefore w:val="0"/>
        <w:widowControl w:val="0"/>
        <w:shd w:val="clear"/>
        <w:kinsoku/>
        <w:wordWrap/>
        <w:overflowPunct/>
        <w:topLinePunct w:val="0"/>
        <w:bidi w:val="0"/>
        <w:snapToGrid w:val="0"/>
        <w:spacing w:line="228"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24.16</w:t>
      </w:r>
      <w:r>
        <w:rPr>
          <w:rFonts w:hint="eastAsia" w:ascii="宋体" w:hAnsi="宋体" w:cs="宋体"/>
          <w:color w:val="auto"/>
          <w:sz w:val="24"/>
          <w:szCs w:val="24"/>
          <w:highlight w:val="none"/>
          <w:lang w:eastAsia="zh-CN"/>
        </w:rPr>
        <w:t>法律法规</w:t>
      </w:r>
      <w:r>
        <w:rPr>
          <w:rFonts w:hint="eastAsia" w:ascii="宋体" w:hAnsi="宋体" w:eastAsia="宋体" w:cs="宋体"/>
          <w:color w:val="auto"/>
          <w:sz w:val="24"/>
          <w:szCs w:val="24"/>
          <w:highlight w:val="none"/>
        </w:rPr>
        <w:t>或规章规定的其他串通行为。</w:t>
      </w:r>
    </w:p>
    <w:p w14:paraId="416CC5EA">
      <w:pPr>
        <w:pageBreakBefore w:val="0"/>
        <w:widowControl w:val="0"/>
        <w:shd w:val="clear"/>
        <w:kinsoku/>
        <w:wordWrap/>
        <w:overflowPunct/>
        <w:topLinePunct w:val="0"/>
        <w:bidi w:val="0"/>
        <w:spacing w:line="228"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.投标文件的澄清</w:t>
      </w:r>
    </w:p>
    <w:p w14:paraId="0F40E9A0">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对投标文件中含义不明确、同类问题表述不一致或者有明显文字错误的内容，评标委员会可以在“</w:t>
      </w:r>
      <w:r>
        <w:rPr>
          <w:rFonts w:hint="eastAsia" w:ascii="宋体" w:hAnsi="宋体" w:cs="宋体"/>
          <w:color w:val="auto"/>
          <w:sz w:val="24"/>
          <w:highlight w:val="none"/>
          <w:lang w:eastAsia="zh-CN"/>
        </w:rPr>
        <w:t>乐采云</w:t>
      </w:r>
      <w:r>
        <w:rPr>
          <w:rFonts w:hint="eastAsia" w:ascii="宋体" w:hAnsi="宋体" w:eastAsia="宋体" w:cs="宋体"/>
          <w:color w:val="auto"/>
          <w:sz w:val="24"/>
          <w:highlight w:val="none"/>
        </w:rPr>
        <w:t>”平台在线询标或其他有效形式要求投标人对同一份投标文件含义不明确或同类问题表述不一致的内容（招标文件其它地方有规定处理方法的除外）作必要的澄清或说明，投标人应采用在线回复或其他有效形式在询标规定时间内进行澄清或说明（需盖电子签章或实体公章），但不得超出投标文件的范围或改变投标文件的实质性内容。凡属于评标小组在评标中发现的计算错误并进行核实的修改不在此列。投标人的澄清文件是其投标文件的组成部分。</w:t>
      </w:r>
    </w:p>
    <w:p w14:paraId="71631B23">
      <w:pPr>
        <w:pStyle w:val="11"/>
        <w:pageBreakBefore w:val="0"/>
        <w:widowControl w:val="0"/>
        <w:shd w:val="clear"/>
        <w:kinsoku/>
        <w:wordWrap/>
        <w:overflowPunct/>
        <w:topLinePunct w:val="0"/>
        <w:bidi w:val="0"/>
        <w:snapToGrid w:val="0"/>
        <w:spacing w:line="228" w:lineRule="auto"/>
        <w:ind w:left="720" w:leftChars="228" w:hanging="241" w:hangingChars="10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26.错误修正</w:t>
      </w:r>
    </w:p>
    <w:p w14:paraId="77CD9C3B">
      <w:pPr>
        <w:pStyle w:val="16"/>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投标文件报价出现前后不一致的，按照下列规定修正：</w:t>
      </w:r>
    </w:p>
    <w:p w14:paraId="25C17B1A">
      <w:pPr>
        <w:pStyle w:val="16"/>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26.1投标文件中开标一览表（报价表）内容与投标文件中相应内容不一致的，以开标一览表（报价表）为准。</w:t>
      </w:r>
    </w:p>
    <w:p w14:paraId="0A5A1ECB">
      <w:pPr>
        <w:pStyle w:val="16"/>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26.2大写金额和小写金额不一致的，以大写金额为准。</w:t>
      </w:r>
    </w:p>
    <w:p w14:paraId="4A7AD95F">
      <w:pPr>
        <w:pStyle w:val="16"/>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26.3单价金额小数点或者百分比有明显错位的，以开标一览表的总价为准，并修改单价。</w:t>
      </w:r>
    </w:p>
    <w:p w14:paraId="05196DEC">
      <w:pPr>
        <w:pStyle w:val="16"/>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26.4总价金额与按单价汇总金额不一致的，以单价金额计算结果为准。</w:t>
      </w:r>
    </w:p>
    <w:p w14:paraId="7D56C916">
      <w:pPr>
        <w:pStyle w:val="16"/>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同时出现两种以上不一致的，按照上述规定的顺序修正。</w:t>
      </w:r>
    </w:p>
    <w:p w14:paraId="03A83E90">
      <w:pPr>
        <w:pStyle w:val="16"/>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按上述修正错误的原则及方法调整或修正投标文件的投标报价，投标人同意并加盖公章确认，调整后的投标报价对投标人具有约束作用。如果投标人不接受修正后的报价，则其投标将作为无效投标处理。</w:t>
      </w:r>
    </w:p>
    <w:p w14:paraId="08148EEE">
      <w:pPr>
        <w:pStyle w:val="16"/>
        <w:pageBreakBefore w:val="0"/>
        <w:widowControl w:val="0"/>
        <w:shd w:val="clear"/>
        <w:kinsoku/>
        <w:wordWrap/>
        <w:overflowPunct/>
        <w:topLinePunct w:val="0"/>
        <w:bidi w:val="0"/>
        <w:spacing w:line="228"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b/>
          <w:color w:val="auto"/>
          <w:sz w:val="24"/>
          <w:highlight w:val="none"/>
          <w:lang w:val="en-US" w:eastAsia="zh-CN"/>
        </w:rPr>
        <w:t>7</w:t>
      </w:r>
      <w:r>
        <w:rPr>
          <w:rFonts w:hint="eastAsia" w:ascii="宋体" w:hAnsi="宋体" w:eastAsia="宋体" w:cs="宋体"/>
          <w:b/>
          <w:color w:val="auto"/>
          <w:sz w:val="24"/>
          <w:highlight w:val="none"/>
        </w:rPr>
        <w:t>.评标办法。</w:t>
      </w:r>
    </w:p>
    <w:p w14:paraId="160F673C">
      <w:pPr>
        <w:pStyle w:val="16"/>
        <w:shd w:val="clear" w:color="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.本项目评标办法是综合评分法，具体评标内容及评分标准等详见《第三章：评标办法及评分标准》。</w:t>
      </w:r>
    </w:p>
    <w:p w14:paraId="5EB28E6B">
      <w:pPr>
        <w:pageBreakBefore w:val="0"/>
        <w:widowControl w:val="0"/>
        <w:shd w:val="clear"/>
        <w:kinsoku/>
        <w:wordWrap/>
        <w:overflowPunct/>
        <w:topLinePunct w:val="0"/>
        <w:bidi w:val="0"/>
        <w:spacing w:line="228"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b/>
          <w:color w:val="auto"/>
          <w:sz w:val="24"/>
          <w:highlight w:val="none"/>
          <w:lang w:val="en-US" w:eastAsia="zh-CN"/>
        </w:rPr>
        <w:t>8</w:t>
      </w:r>
      <w:r>
        <w:rPr>
          <w:rFonts w:hint="eastAsia" w:ascii="宋体" w:hAnsi="宋体" w:eastAsia="宋体" w:cs="宋体"/>
          <w:b/>
          <w:color w:val="auto"/>
          <w:sz w:val="24"/>
          <w:highlight w:val="none"/>
        </w:rPr>
        <w:t>.</w:t>
      </w:r>
      <w:r>
        <w:rPr>
          <w:rFonts w:hint="eastAsia" w:ascii="宋体" w:hAnsi="宋体" w:eastAsia="宋体" w:cs="宋体"/>
          <w:b/>
          <w:bCs/>
          <w:color w:val="auto"/>
          <w:sz w:val="24"/>
          <w:highlight w:val="none"/>
        </w:rPr>
        <w:t>评标过程的保密</w:t>
      </w:r>
    </w:p>
    <w:p w14:paraId="18AB0AF8">
      <w:pPr>
        <w:pStyle w:val="16"/>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28.1开标后，直到宣布授予中标人合同为止，凡属于审查、澄清、评价和比较投标文件的有关资料和授予合同的信息，采购人、评标委员会成员都不应向投标人或与该过程无关的其他人员泄露。</w:t>
      </w:r>
    </w:p>
    <w:p w14:paraId="49D59CEC">
      <w:pPr>
        <w:pStyle w:val="16"/>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28.2任何单位和个人都不得干扰、影响评标活动的正常进行。投标人在评标过程中所进行的试图影响评标结果的一切不符合法律或招标规定的活动，都可能导致其被取消投标资格，并由其承担相应的法律责任。</w:t>
      </w:r>
    </w:p>
    <w:p w14:paraId="7162A130">
      <w:pPr>
        <w:pStyle w:val="16"/>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28.3中标人确定后，采购人不对未中标人就评标过程以及未能中标原因作出任何解释。未中标人不得向评标委员会或其他有关人员</w:t>
      </w:r>
      <w:r>
        <w:rPr>
          <w:rFonts w:hint="eastAsia" w:ascii="宋体" w:hAnsi="宋体" w:cs="宋体"/>
          <w:color w:val="auto"/>
          <w:sz w:val="24"/>
          <w:highlight w:val="none"/>
          <w:lang w:eastAsia="zh-CN"/>
        </w:rPr>
        <w:t>询问</w:t>
      </w:r>
      <w:r>
        <w:rPr>
          <w:rFonts w:hint="eastAsia" w:ascii="宋体" w:hAnsi="宋体" w:eastAsia="宋体" w:cs="宋体"/>
          <w:color w:val="auto"/>
          <w:sz w:val="24"/>
          <w:highlight w:val="none"/>
        </w:rPr>
        <w:t>评标过程的情况和材料。</w:t>
      </w:r>
    </w:p>
    <w:p w14:paraId="614CF8BC">
      <w:pPr>
        <w:pStyle w:val="4"/>
        <w:pageBreakBefore w:val="0"/>
        <w:widowControl w:val="0"/>
        <w:shd w:val="clear"/>
        <w:kinsoku/>
        <w:wordWrap/>
        <w:overflowPunct/>
        <w:topLinePunct w:val="0"/>
        <w:bidi w:val="0"/>
        <w:spacing w:before="0" w:after="0" w:line="228" w:lineRule="auto"/>
        <w:jc w:val="center"/>
        <w:textAlignment w:val="auto"/>
        <w:rPr>
          <w:rFonts w:hint="eastAsia" w:ascii="宋体" w:hAnsi="宋体" w:eastAsia="宋体" w:cs="宋体"/>
          <w:color w:val="auto"/>
          <w:sz w:val="28"/>
          <w:szCs w:val="28"/>
          <w:highlight w:val="none"/>
        </w:rPr>
      </w:pPr>
      <w:bookmarkStart w:id="26" w:name="_Toc125344509"/>
      <w:r>
        <w:rPr>
          <w:rFonts w:hint="eastAsia" w:ascii="宋体" w:hAnsi="宋体" w:eastAsia="宋体" w:cs="宋体"/>
          <w:color w:val="auto"/>
          <w:sz w:val="28"/>
          <w:szCs w:val="28"/>
          <w:highlight w:val="none"/>
          <w:lang w:val="en-US" w:eastAsia="zh-CN"/>
        </w:rPr>
        <w:t>六</w:t>
      </w:r>
      <w:r>
        <w:rPr>
          <w:rFonts w:hint="eastAsia" w:ascii="宋体" w:hAnsi="宋体" w:eastAsia="宋体" w:cs="宋体"/>
          <w:color w:val="auto"/>
          <w:sz w:val="28"/>
          <w:szCs w:val="28"/>
          <w:highlight w:val="none"/>
        </w:rPr>
        <w:t>、</w:t>
      </w:r>
      <w:bookmarkEnd w:id="26"/>
      <w:r>
        <w:rPr>
          <w:rFonts w:hint="eastAsia" w:ascii="宋体" w:hAnsi="宋体" w:eastAsia="宋体" w:cs="宋体"/>
          <w:color w:val="auto"/>
          <w:sz w:val="28"/>
          <w:szCs w:val="28"/>
          <w:highlight w:val="none"/>
        </w:rPr>
        <w:t>定标</w:t>
      </w:r>
    </w:p>
    <w:p w14:paraId="5F1172FC">
      <w:pPr>
        <w:pStyle w:val="16"/>
        <w:pageBreakBefore w:val="0"/>
        <w:widowControl w:val="0"/>
        <w:shd w:val="clear"/>
        <w:kinsoku/>
        <w:wordWrap/>
        <w:overflowPunct/>
        <w:topLinePunct w:val="0"/>
        <w:bidi w:val="0"/>
        <w:spacing w:line="228"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28.确定中标人。本项目由采购人确定中标人。</w:t>
      </w:r>
    </w:p>
    <w:p w14:paraId="7869FC6D">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1采购人应当自收到评标报告之日起５个工作日内，在评标报告确定的中标候选人名单中按顺序确定中标人。采购人在收到评标报告5个工作日内未按评标报告推荐的中标候选人顺序确定中标人，又不能说明合法理由的，视同按评标报告推荐的顺序确定排名</w:t>
      </w:r>
      <w:r>
        <w:rPr>
          <w:rFonts w:hint="eastAsia" w:ascii="宋体" w:hAnsi="宋体" w:cs="宋体"/>
          <w:color w:val="auto"/>
          <w:sz w:val="24"/>
          <w:highlight w:val="none"/>
          <w:lang w:val="en-US" w:eastAsia="zh-CN"/>
        </w:rPr>
        <w:t>第一</w:t>
      </w:r>
      <w:r>
        <w:rPr>
          <w:rFonts w:hint="eastAsia" w:ascii="宋体" w:hAnsi="宋体" w:eastAsia="宋体" w:cs="宋体"/>
          <w:color w:val="auto"/>
          <w:sz w:val="24"/>
          <w:highlight w:val="none"/>
        </w:rPr>
        <w:t>的中标候选人为中标人。</w:t>
      </w:r>
    </w:p>
    <w:p w14:paraId="032EBD77">
      <w:pPr>
        <w:pStyle w:val="16"/>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.2中标候选人无正当理由放弃中标成交或被取消中标资格的，除其投标保证金不予退还外，同时上报诸暨市公共资源交易管理委员会办公室，诸暨市公共资源交易管理委员会办公室将按有关</w:t>
      </w:r>
      <w:r>
        <w:rPr>
          <w:rFonts w:hint="eastAsia" w:ascii="宋体" w:hAnsi="宋体" w:cs="宋体"/>
          <w:color w:val="auto"/>
          <w:sz w:val="24"/>
          <w:highlight w:val="none"/>
          <w:lang w:eastAsia="zh-CN"/>
        </w:rPr>
        <w:t>法律法规</w:t>
      </w:r>
      <w:r>
        <w:rPr>
          <w:rFonts w:hint="eastAsia" w:ascii="宋体" w:hAnsi="宋体" w:eastAsia="宋体" w:cs="宋体"/>
          <w:color w:val="auto"/>
          <w:sz w:val="24"/>
          <w:highlight w:val="none"/>
        </w:rPr>
        <w:t>、制度进行处理。</w:t>
      </w:r>
    </w:p>
    <w:p w14:paraId="477B9890">
      <w:pPr>
        <w:pStyle w:val="16"/>
        <w:pageBreakBefore w:val="0"/>
        <w:widowControl w:val="0"/>
        <w:shd w:val="clear"/>
        <w:kinsoku/>
        <w:wordWrap/>
        <w:overflowPunct/>
        <w:topLinePunct w:val="0"/>
        <w:bidi w:val="0"/>
        <w:spacing w:line="228" w:lineRule="auto"/>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29.中标通知</w:t>
      </w:r>
    </w:p>
    <w:p w14:paraId="1A1129EB">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29</w:t>
      </w:r>
      <w:r>
        <w:rPr>
          <w:rFonts w:hint="eastAsia" w:ascii="宋体" w:hAnsi="宋体" w:eastAsia="宋体" w:cs="宋体"/>
          <w:color w:val="auto"/>
          <w:sz w:val="24"/>
          <w:highlight w:val="none"/>
        </w:rPr>
        <w:t>.1采购结果经采购人确认后，采购代理机构将于2个工作日内在浙江省政府采购网上发布中标公告，由采购代理机构通过“</w:t>
      </w:r>
      <w:r>
        <w:rPr>
          <w:rFonts w:hint="eastAsia" w:ascii="宋体" w:hAnsi="宋体" w:cs="宋体"/>
          <w:color w:val="auto"/>
          <w:sz w:val="24"/>
          <w:highlight w:val="none"/>
          <w:lang w:eastAsia="zh-CN"/>
        </w:rPr>
        <w:t>乐采云</w:t>
      </w:r>
      <w:r>
        <w:rPr>
          <w:rFonts w:hint="eastAsia" w:ascii="宋体" w:hAnsi="宋体" w:eastAsia="宋体" w:cs="宋体"/>
          <w:color w:val="auto"/>
          <w:sz w:val="24"/>
          <w:highlight w:val="none"/>
        </w:rPr>
        <w:t>”平台确认并签发《中标通知书》。《中标通知书》一经发出即发生法律效力。</w:t>
      </w:r>
    </w:p>
    <w:p w14:paraId="305078F8">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29</w:t>
      </w:r>
      <w:r>
        <w:rPr>
          <w:rFonts w:hint="eastAsia" w:ascii="宋体" w:hAnsi="宋体" w:eastAsia="宋体" w:cs="宋体"/>
          <w:color w:val="auto"/>
          <w:sz w:val="24"/>
          <w:highlight w:val="none"/>
        </w:rPr>
        <w:t>.2中标结果公告内容包括采购人及其委托的采购代理机构的名称、地址、联系方式，项目名称和项目编号，中标人名称、地址和中标金额，主要中标标的的名称、规格型号、数量、单价、服务要求，中标公告期限以及评审专家名单。</w:t>
      </w:r>
    </w:p>
    <w:p w14:paraId="3070A450">
      <w:pPr>
        <w:pageBreakBefore w:val="0"/>
        <w:widowControl w:val="0"/>
        <w:shd w:val="clear"/>
        <w:kinsoku/>
        <w:wordWrap/>
        <w:overflowPunct/>
        <w:topLinePunct w:val="0"/>
        <w:bidi w:val="0"/>
        <w:snapToGrid w:val="0"/>
        <w:spacing w:line="228" w:lineRule="auto"/>
        <w:ind w:firstLine="472" w:firstLineChars="196"/>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30. 中标无效情形</w:t>
      </w:r>
    </w:p>
    <w:p w14:paraId="26A70D52">
      <w:pPr>
        <w:pStyle w:val="16"/>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中标人存在下列情形之一的，中标无效：</w:t>
      </w:r>
    </w:p>
    <w:p w14:paraId="69A44383">
      <w:pPr>
        <w:pStyle w:val="16"/>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31.1提供虚假材料谋取中标的；</w:t>
      </w:r>
    </w:p>
    <w:p w14:paraId="6E4C2863">
      <w:pPr>
        <w:pStyle w:val="16"/>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31.2采取不正当手段诋毁、排挤其他投标人的；</w:t>
      </w:r>
    </w:p>
    <w:p w14:paraId="2AD1A313">
      <w:pPr>
        <w:pStyle w:val="16"/>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31.3与采购人、其他投标人恶意串通的；</w:t>
      </w:r>
    </w:p>
    <w:p w14:paraId="5350A713">
      <w:pPr>
        <w:pStyle w:val="16"/>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31.4向采购人、采购代理机构行贿或者提供其他不正当利益的；</w:t>
      </w:r>
    </w:p>
    <w:p w14:paraId="53EB1DCE">
      <w:pPr>
        <w:pStyle w:val="16"/>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31.5在招标过程中与采购人进行协商谈判；不按照招标文件和投标文件订立合同或者与采购人另行背离合同实质性内容的协议的；</w:t>
      </w:r>
    </w:p>
    <w:p w14:paraId="5286A139">
      <w:pPr>
        <w:pStyle w:val="16"/>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31.6拖延、拒签合同的；</w:t>
      </w:r>
    </w:p>
    <w:p w14:paraId="7E6456E0">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31.7存在</w:t>
      </w:r>
      <w:r>
        <w:rPr>
          <w:rFonts w:hint="eastAsia" w:ascii="宋体" w:hAnsi="宋体" w:cs="宋体"/>
          <w:color w:val="auto"/>
          <w:sz w:val="24"/>
          <w:highlight w:val="none"/>
          <w:lang w:eastAsia="zh-CN"/>
        </w:rPr>
        <w:t>法律法规</w:t>
      </w:r>
      <w:r>
        <w:rPr>
          <w:rFonts w:hint="eastAsia" w:ascii="宋体" w:hAnsi="宋体" w:eastAsia="宋体" w:cs="宋体"/>
          <w:color w:val="auto"/>
          <w:sz w:val="24"/>
          <w:highlight w:val="none"/>
        </w:rPr>
        <w:t>规定</w:t>
      </w:r>
      <w:r>
        <w:rPr>
          <w:rFonts w:hint="eastAsia" w:ascii="宋体" w:hAnsi="宋体" w:cs="宋体"/>
          <w:color w:val="auto"/>
          <w:sz w:val="24"/>
          <w:highlight w:val="none"/>
          <w:lang w:eastAsia="zh-CN"/>
        </w:rPr>
        <w:t>的其他</w:t>
      </w:r>
      <w:r>
        <w:rPr>
          <w:rFonts w:hint="eastAsia" w:ascii="宋体" w:hAnsi="宋体" w:eastAsia="宋体" w:cs="宋体"/>
          <w:color w:val="auto"/>
          <w:sz w:val="24"/>
          <w:highlight w:val="none"/>
        </w:rPr>
        <w:t>损害采购人或采购单位利益或社会公共利益的情形的</w:t>
      </w:r>
      <w:r>
        <w:rPr>
          <w:rFonts w:hint="eastAsia" w:ascii="宋体" w:hAnsi="宋体" w:eastAsia="宋体" w:cs="宋体"/>
          <w:color w:val="auto"/>
          <w:sz w:val="24"/>
          <w:szCs w:val="24"/>
          <w:highlight w:val="none"/>
        </w:rPr>
        <w:t>。</w:t>
      </w:r>
    </w:p>
    <w:p w14:paraId="57FC1810">
      <w:pPr>
        <w:pageBreakBefore w:val="0"/>
        <w:widowControl w:val="0"/>
        <w:shd w:val="clear"/>
        <w:kinsoku/>
        <w:wordWrap/>
        <w:overflowPunct/>
        <w:topLinePunct w:val="0"/>
        <w:bidi w:val="0"/>
        <w:snapToGrid w:val="0"/>
        <w:spacing w:line="228" w:lineRule="auto"/>
        <w:ind w:firstLine="472" w:firstLineChars="196"/>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31.重新招标</w:t>
      </w:r>
    </w:p>
    <w:p w14:paraId="19297DD8">
      <w:pPr>
        <w:pStyle w:val="18"/>
        <w:keepNext w:val="0"/>
        <w:keepLines w:val="0"/>
        <w:widowControl w:val="0"/>
        <w:suppressLineNumbers w:val="0"/>
        <w:shd w:val="clear"/>
        <w:autoSpaceDE/>
        <w:autoSpaceDN/>
        <w:adjustRightInd/>
        <w:spacing w:before="0" w:beforeAutospacing="0" w:after="0" w:afterAutospacing="0"/>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highlight w:val="none"/>
        </w:rPr>
        <w:t>投标截止时间及评审期间，出现有效供应商不足3家的，重新组织采购活动。</w:t>
      </w:r>
    </w:p>
    <w:p w14:paraId="47AE326E">
      <w:pPr>
        <w:pStyle w:val="4"/>
        <w:pageBreakBefore w:val="0"/>
        <w:widowControl w:val="0"/>
        <w:shd w:val="clear"/>
        <w:kinsoku/>
        <w:wordWrap/>
        <w:overflowPunct/>
        <w:topLinePunct w:val="0"/>
        <w:bidi w:val="0"/>
        <w:spacing w:before="0" w:after="0" w:line="228" w:lineRule="auto"/>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七</w:t>
      </w:r>
      <w:r>
        <w:rPr>
          <w:rFonts w:hint="eastAsia" w:ascii="宋体" w:hAnsi="宋体" w:eastAsia="宋体" w:cs="宋体"/>
          <w:color w:val="auto"/>
          <w:sz w:val="28"/>
          <w:szCs w:val="28"/>
          <w:highlight w:val="none"/>
        </w:rPr>
        <w:t>、授予合同</w:t>
      </w:r>
    </w:p>
    <w:p w14:paraId="09426C0C">
      <w:pPr>
        <w:pageBreakBefore w:val="0"/>
        <w:widowControl w:val="0"/>
        <w:shd w:val="clear"/>
        <w:kinsoku/>
        <w:wordWrap/>
        <w:overflowPunct/>
        <w:topLinePunct w:val="0"/>
        <w:bidi w:val="0"/>
        <w:snapToGrid w:val="0"/>
        <w:spacing w:line="228" w:lineRule="auto"/>
        <w:ind w:firstLine="472" w:firstLineChars="196"/>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32.签订合同</w:t>
      </w:r>
    </w:p>
    <w:p w14:paraId="505E42D3">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33.1采购人与中标人应当在《中标通知书》发出之日起30日内签订采购合同。</w:t>
      </w:r>
    </w:p>
    <w:p w14:paraId="20E40F5D">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33.2招标文件、中标人的投标文件和评标过程中投标人的询标时作出的承诺及其澄清文件等作为合同签订的依据和主要附件。</w:t>
      </w:r>
    </w:p>
    <w:p w14:paraId="3862D823">
      <w:pPr>
        <w:pageBreakBefore w:val="0"/>
        <w:widowControl w:val="0"/>
        <w:shd w:val="clear"/>
        <w:kinsoku/>
        <w:wordWrap/>
        <w:overflowPunct/>
        <w:topLinePunct w:val="0"/>
        <w:bidi w:val="0"/>
        <w:spacing w:line="228"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33.3采购人对合同内容负责。</w:t>
      </w:r>
    </w:p>
    <w:p w14:paraId="5B4CE132">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33.4合同一式</w:t>
      </w:r>
      <w:r>
        <w:rPr>
          <w:rFonts w:hint="eastAsia" w:ascii="宋体" w:hAnsi="宋体" w:cs="宋体"/>
          <w:color w:val="auto"/>
          <w:sz w:val="24"/>
          <w:highlight w:val="none"/>
          <w:lang w:val="en-US" w:eastAsia="zh-CN"/>
        </w:rPr>
        <w:t>八</w:t>
      </w:r>
      <w:r>
        <w:rPr>
          <w:rFonts w:hint="eastAsia" w:ascii="宋体" w:hAnsi="宋体" w:eastAsia="宋体" w:cs="宋体"/>
          <w:color w:val="auto"/>
          <w:sz w:val="24"/>
          <w:highlight w:val="none"/>
        </w:rPr>
        <w:t>份，采购单位和中标人各执</w:t>
      </w:r>
      <w:r>
        <w:rPr>
          <w:rFonts w:hint="eastAsia" w:ascii="宋体" w:hAnsi="宋体" w:cs="宋体"/>
          <w:color w:val="auto"/>
          <w:sz w:val="24"/>
          <w:highlight w:val="none"/>
          <w:lang w:val="en-US" w:eastAsia="zh-CN"/>
        </w:rPr>
        <w:t>三</w:t>
      </w:r>
      <w:r>
        <w:rPr>
          <w:rFonts w:hint="eastAsia" w:ascii="宋体" w:hAnsi="宋体" w:eastAsia="宋体" w:cs="宋体"/>
          <w:color w:val="auto"/>
          <w:sz w:val="24"/>
          <w:highlight w:val="none"/>
        </w:rPr>
        <w:t>份</w:t>
      </w:r>
      <w:r>
        <w:rPr>
          <w:rFonts w:hint="eastAsia" w:ascii="宋体" w:hAnsi="宋体" w:eastAsia="宋体" w:cs="宋体"/>
          <w:color w:val="auto"/>
          <w:sz w:val="24"/>
          <w:highlight w:val="none"/>
          <w:lang w:eastAsia="zh-CN"/>
        </w:rPr>
        <w:t>，代理公司、</w:t>
      </w:r>
      <w:r>
        <w:rPr>
          <w:rFonts w:hint="eastAsia" w:ascii="宋体" w:hAnsi="宋体" w:eastAsia="宋体" w:cs="宋体"/>
          <w:color w:val="auto"/>
          <w:sz w:val="24"/>
          <w:highlight w:val="none"/>
          <w:lang w:val="en-US" w:eastAsia="zh-CN"/>
        </w:rPr>
        <w:t>招标办</w:t>
      </w:r>
      <w:r>
        <w:rPr>
          <w:rFonts w:hint="eastAsia" w:ascii="宋体" w:hAnsi="宋体" w:eastAsia="宋体" w:cs="宋体"/>
          <w:color w:val="auto"/>
          <w:sz w:val="24"/>
          <w:highlight w:val="none"/>
          <w:lang w:eastAsia="zh-CN"/>
        </w:rPr>
        <w:t>存档一份</w:t>
      </w:r>
      <w:r>
        <w:rPr>
          <w:rFonts w:hint="eastAsia" w:ascii="宋体" w:hAnsi="宋体" w:eastAsia="宋体" w:cs="宋体"/>
          <w:color w:val="auto"/>
          <w:sz w:val="24"/>
          <w:highlight w:val="none"/>
        </w:rPr>
        <w:t>。</w:t>
      </w:r>
    </w:p>
    <w:p w14:paraId="7FAF5D1C">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33.5中标人和采购单位不得擅自变更、中止或者终止合同，不得另外订立背离合同实质性内容</w:t>
      </w:r>
      <w:r>
        <w:rPr>
          <w:rFonts w:hint="eastAsia" w:ascii="宋体" w:hAnsi="宋体" w:cs="宋体"/>
          <w:color w:val="auto"/>
          <w:sz w:val="24"/>
          <w:highlight w:val="none"/>
          <w:lang w:eastAsia="zh-CN"/>
        </w:rPr>
        <w:t>的其他</w:t>
      </w:r>
      <w:r>
        <w:rPr>
          <w:rFonts w:hint="eastAsia" w:ascii="宋体" w:hAnsi="宋体" w:eastAsia="宋体" w:cs="宋体"/>
          <w:color w:val="auto"/>
          <w:sz w:val="24"/>
          <w:highlight w:val="none"/>
        </w:rPr>
        <w:t>协议。</w:t>
      </w:r>
    </w:p>
    <w:p w14:paraId="4C6F1F66">
      <w:pPr>
        <w:pageBreakBefore w:val="0"/>
        <w:widowControl w:val="0"/>
        <w:shd w:val="clear"/>
        <w:kinsoku/>
        <w:wordWrap/>
        <w:overflowPunct/>
        <w:topLinePunct w:val="0"/>
        <w:bidi w:val="0"/>
        <w:snapToGrid w:val="0"/>
        <w:spacing w:line="228" w:lineRule="auto"/>
        <w:ind w:firstLine="472" w:firstLineChars="196"/>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33.履约保证金</w:t>
      </w:r>
    </w:p>
    <w:p w14:paraId="293B3E18">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34.1中标人在</w:t>
      </w:r>
      <w:r>
        <w:rPr>
          <w:rFonts w:hint="eastAsia" w:ascii="宋体" w:hAnsi="宋体" w:eastAsia="宋体" w:cs="宋体"/>
          <w:color w:val="auto"/>
          <w:sz w:val="24"/>
          <w:highlight w:val="none"/>
          <w:lang w:val="en-US" w:eastAsia="zh-CN"/>
        </w:rPr>
        <w:t>项目实施</w:t>
      </w:r>
      <w:r>
        <w:rPr>
          <w:rFonts w:hint="eastAsia" w:ascii="宋体" w:hAnsi="宋体" w:eastAsia="宋体" w:cs="宋体"/>
          <w:color w:val="auto"/>
          <w:sz w:val="24"/>
          <w:highlight w:val="none"/>
        </w:rPr>
        <w:t>前，应按招标文件要求向采购人提交履约保证金，履约保证金作为中标人在履行合同</w:t>
      </w:r>
      <w:r>
        <w:rPr>
          <w:rFonts w:hint="eastAsia" w:ascii="宋体" w:hAnsi="宋体" w:cs="宋体"/>
          <w:color w:val="auto"/>
          <w:sz w:val="24"/>
          <w:highlight w:val="none"/>
          <w:lang w:eastAsia="zh-CN"/>
        </w:rPr>
        <w:t>和</w:t>
      </w:r>
      <w:r>
        <w:rPr>
          <w:rFonts w:hint="eastAsia" w:ascii="宋体" w:hAnsi="宋体" w:eastAsia="宋体" w:cs="宋体"/>
          <w:color w:val="auto"/>
          <w:sz w:val="24"/>
          <w:highlight w:val="none"/>
        </w:rPr>
        <w:t>服务承诺的保证。</w:t>
      </w:r>
    </w:p>
    <w:p w14:paraId="54D02990">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34.2中标人应当以支票、汇票、本票等非现金形式提交。中标人在履行完合同约定事项后，采购人应及时退还履约保证金。履约保证金不计息。</w:t>
      </w:r>
    </w:p>
    <w:p w14:paraId="0912F737">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34.3签订合同后，如中标人不按双方合同约定履约，则没收其全部履约保证金，履约保证金不足以赔偿损失的，按实际损失赔偿。</w:t>
      </w:r>
    </w:p>
    <w:p w14:paraId="77A70E94">
      <w:pPr>
        <w:pageBreakBefore w:val="0"/>
        <w:widowControl w:val="0"/>
        <w:shd w:val="clear"/>
        <w:kinsoku/>
        <w:wordWrap/>
        <w:overflowPunct/>
        <w:topLinePunct w:val="0"/>
        <w:bidi w:val="0"/>
        <w:snapToGrid w:val="0"/>
        <w:spacing w:line="228" w:lineRule="auto"/>
        <w:ind w:firstLine="472" w:firstLineChars="196"/>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34.合同备案</w:t>
      </w:r>
    </w:p>
    <w:p w14:paraId="036F179C">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highlight w:val="none"/>
        </w:rPr>
      </w:pPr>
      <w:bookmarkStart w:id="27" w:name="_Toc352165696"/>
      <w:bookmarkStart w:id="28" w:name="_Toc339459646"/>
      <w:bookmarkStart w:id="29" w:name="_Toc125344511"/>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采购人应当自采购合同签订之日起七个工作日内，通过</w:t>
      </w:r>
      <w:r>
        <w:rPr>
          <w:rFonts w:hint="eastAsia" w:ascii="宋体" w:hAnsi="宋体" w:cs="宋体"/>
          <w:color w:val="auto"/>
          <w:sz w:val="24"/>
          <w:highlight w:val="none"/>
          <w:lang w:eastAsia="zh-CN"/>
        </w:rPr>
        <w:t>乐采云</w:t>
      </w:r>
      <w:r>
        <w:rPr>
          <w:rFonts w:hint="eastAsia" w:ascii="宋体" w:hAnsi="宋体" w:eastAsia="宋体" w:cs="宋体"/>
          <w:color w:val="auto"/>
          <w:sz w:val="24"/>
          <w:highlight w:val="none"/>
        </w:rPr>
        <w:t>系统上传合同进行备案。</w:t>
      </w:r>
    </w:p>
    <w:p w14:paraId="556C9178">
      <w:pPr>
        <w:pStyle w:val="11"/>
        <w:pageBreakBefore w:val="0"/>
        <w:widowControl w:val="0"/>
        <w:shd w:val="clear"/>
        <w:tabs>
          <w:tab w:val="left" w:pos="900"/>
        </w:tabs>
        <w:kinsoku/>
        <w:wordWrap/>
        <w:overflowPunct/>
        <w:topLinePunct w:val="0"/>
        <w:bidi w:val="0"/>
        <w:spacing w:line="228" w:lineRule="auto"/>
        <w:jc w:val="center"/>
        <w:textAlignment w:val="auto"/>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八、质疑和投诉</w:t>
      </w:r>
    </w:p>
    <w:p w14:paraId="353603A9">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.1开标过程中，投标人对开标有异议的，应当在“</w:t>
      </w:r>
      <w:r>
        <w:rPr>
          <w:rFonts w:hint="eastAsia" w:ascii="宋体" w:hAnsi="宋体" w:cs="宋体"/>
          <w:color w:val="auto"/>
          <w:sz w:val="24"/>
          <w:highlight w:val="none"/>
          <w:lang w:eastAsia="zh-CN"/>
        </w:rPr>
        <w:t>乐采云</w:t>
      </w:r>
      <w:r>
        <w:rPr>
          <w:rFonts w:hint="eastAsia" w:ascii="宋体" w:hAnsi="宋体" w:eastAsia="宋体" w:cs="宋体"/>
          <w:color w:val="auto"/>
          <w:sz w:val="24"/>
          <w:highlight w:val="none"/>
        </w:rPr>
        <w:t>”平台上及时提出，评审委员应对异常情况制作相关记录。</w:t>
      </w:r>
    </w:p>
    <w:p w14:paraId="1C2DB2CC">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2开评标结束后，投标人或者其他利害关系人对依法必须进行招标的项目的评标结果有异议的，应在采购结果公告期限结束之日（公告发布之日起至第2日24小时止）起7个工作日内依据招投标相关法律法规向采购人、招标代理机构提出质疑。采购人或招标代理机构将在收到书面质疑后7个工作日内对质疑内容作出答复。若投标人对采购人或招标代理机构的答复、处理结果不满意，应在收到采购人或招标代理机构的书面答复后十五个工作日内到招标投标管理部门投诉。</w:t>
      </w:r>
    </w:p>
    <w:p w14:paraId="25D3955E">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35</w:t>
      </w:r>
      <w:r>
        <w:rPr>
          <w:rFonts w:hint="eastAsia" w:ascii="宋体" w:hAnsi="宋体" w:eastAsia="宋体" w:cs="宋体"/>
          <w:color w:val="auto"/>
          <w:sz w:val="24"/>
          <w:highlight w:val="none"/>
        </w:rPr>
        <w:t>.3质疑投诉的相关规定</w:t>
      </w:r>
    </w:p>
    <w:p w14:paraId="4095F522">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（一）质疑投诉递交的资料需为书面材料。质疑投诉书面材料需法人代表人（或负责人）或授权代表签字并加盖公章。</w:t>
      </w:r>
    </w:p>
    <w:p w14:paraId="3691D68A">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（二）质疑投诉属于以下情况之一的，将不予受理：</w:t>
      </w:r>
    </w:p>
    <w:p w14:paraId="577EDE2D">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1</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质疑投诉人不是所投诉项目的参与者，或者与质疑投诉项目无任何利害关系。</w:t>
      </w:r>
    </w:p>
    <w:p w14:paraId="5E808180">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2</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质疑投诉事项不具体，且未提供有效线索，难以查证。</w:t>
      </w:r>
    </w:p>
    <w:p w14:paraId="509CA340">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未提供书面质疑或者质疑未加盖公章的；投诉人为法人或者其他组织，其投诉书未经法定代表人或者主要负责人签字并加盖公章的。</w:t>
      </w:r>
    </w:p>
    <w:p w14:paraId="4E1C7F2D">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4</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已超过招标文件规定质疑投诉提出期限的事项。</w:t>
      </w:r>
    </w:p>
    <w:p w14:paraId="39327DEC">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5</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投诉事项已作出处理决定，并且投诉人没有提出新的证据</w:t>
      </w:r>
    </w:p>
    <w:p w14:paraId="46187ACF">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6</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质疑投诉的事项已经进入行政复议或者行政诉讼程序的；投诉事项应先提出质疑而没有提出质疑的。</w:t>
      </w:r>
    </w:p>
    <w:p w14:paraId="051E7D69">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8"/>
          <w:szCs w:val="28"/>
          <w:highlight w:val="none"/>
        </w:rPr>
      </w:pP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7</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不符合</w:t>
      </w:r>
      <w:r>
        <w:rPr>
          <w:rFonts w:hint="eastAsia" w:ascii="宋体" w:hAnsi="宋体" w:eastAsia="宋体" w:cs="宋体"/>
          <w:color w:val="auto"/>
          <w:sz w:val="24"/>
          <w:highlight w:val="none"/>
          <w:lang w:val="en-US" w:eastAsia="zh-CN"/>
        </w:rPr>
        <w:t>有关法律法规</w:t>
      </w:r>
      <w:r>
        <w:rPr>
          <w:rFonts w:hint="eastAsia" w:ascii="宋体" w:hAnsi="宋体" w:eastAsia="宋体" w:cs="宋体"/>
          <w:color w:val="auto"/>
          <w:sz w:val="24"/>
          <w:highlight w:val="none"/>
        </w:rPr>
        <w:t>规定的投诉。</w:t>
      </w:r>
    </w:p>
    <w:p w14:paraId="3887235F">
      <w:pPr>
        <w:pStyle w:val="4"/>
        <w:pageBreakBefore w:val="0"/>
        <w:widowControl w:val="0"/>
        <w:shd w:val="clear"/>
        <w:kinsoku/>
        <w:wordWrap/>
        <w:overflowPunct/>
        <w:topLinePunct w:val="0"/>
        <w:bidi w:val="0"/>
        <w:spacing w:before="0" w:after="0" w:line="228" w:lineRule="auto"/>
        <w:ind w:firstLine="562" w:firstLineChars="200"/>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九、不良行为记录</w:t>
      </w:r>
      <w:bookmarkEnd w:id="27"/>
      <w:bookmarkEnd w:id="28"/>
    </w:p>
    <w:p w14:paraId="62CDADC6">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投标人在采购活动中出现下列违规行为的将记入</w:t>
      </w:r>
      <w:r>
        <w:rPr>
          <w:rFonts w:hint="eastAsia" w:ascii="宋体" w:hAnsi="宋体" w:eastAsia="宋体" w:cs="宋体"/>
          <w:color w:val="auto"/>
          <w:sz w:val="24"/>
          <w:highlight w:val="none"/>
        </w:rPr>
        <w:t>诸暨市</w:t>
      </w:r>
      <w:r>
        <w:rPr>
          <w:rFonts w:hint="eastAsia" w:ascii="宋体" w:hAnsi="宋体" w:eastAsia="宋体" w:cs="宋体"/>
          <w:color w:val="auto"/>
          <w:sz w:val="24"/>
          <w:szCs w:val="24"/>
          <w:highlight w:val="none"/>
          <w:lang w:val="en-US" w:eastAsia="zh-CN"/>
        </w:rPr>
        <w:t>招投标</w:t>
      </w:r>
      <w:r>
        <w:rPr>
          <w:rFonts w:hint="eastAsia" w:ascii="宋体" w:hAnsi="宋体" w:eastAsia="宋体" w:cs="宋体"/>
          <w:color w:val="auto"/>
          <w:sz w:val="24"/>
          <w:szCs w:val="24"/>
          <w:highlight w:val="none"/>
        </w:rPr>
        <w:t>不良行为记录，并在记录时限内暂停其</w:t>
      </w:r>
      <w:r>
        <w:rPr>
          <w:rFonts w:hint="eastAsia" w:ascii="宋体" w:hAnsi="宋体" w:eastAsia="宋体" w:cs="宋体"/>
          <w:color w:val="auto"/>
          <w:sz w:val="24"/>
          <w:szCs w:val="24"/>
          <w:highlight w:val="none"/>
          <w:lang w:eastAsia="zh-CN"/>
        </w:rPr>
        <w:t>在</w:t>
      </w:r>
      <w:r>
        <w:rPr>
          <w:rFonts w:hint="eastAsia" w:ascii="宋体" w:hAnsi="宋体" w:eastAsia="宋体" w:cs="宋体"/>
          <w:color w:val="auto"/>
          <w:sz w:val="24"/>
          <w:highlight w:val="none"/>
          <w:lang w:eastAsia="zh-CN"/>
        </w:rPr>
        <w:t>诸暨市</w:t>
      </w:r>
      <w:r>
        <w:rPr>
          <w:rFonts w:hint="eastAsia" w:ascii="宋体" w:hAnsi="宋体" w:eastAsia="宋体" w:cs="宋体"/>
          <w:color w:val="auto"/>
          <w:sz w:val="24"/>
          <w:szCs w:val="24"/>
          <w:highlight w:val="none"/>
        </w:rPr>
        <w:t>采购交易资格，同时不良行为在</w:t>
      </w:r>
      <w:r>
        <w:rPr>
          <w:rFonts w:hint="eastAsia" w:ascii="宋体" w:hAnsi="宋体" w:eastAsia="宋体" w:cs="宋体"/>
          <w:color w:val="auto"/>
          <w:sz w:val="24"/>
          <w:highlight w:val="none"/>
        </w:rPr>
        <w:t>诸暨市公共资源交易中心网站</w:t>
      </w:r>
      <w:r>
        <w:rPr>
          <w:rFonts w:hint="eastAsia" w:ascii="宋体" w:hAnsi="宋体" w:eastAsia="宋体" w:cs="宋体"/>
          <w:color w:val="auto"/>
          <w:sz w:val="24"/>
          <w:szCs w:val="24"/>
          <w:highlight w:val="none"/>
        </w:rPr>
        <w:t>公示。</w:t>
      </w:r>
    </w:p>
    <w:tbl>
      <w:tblPr>
        <w:tblStyle w:val="20"/>
        <w:tblW w:w="9517"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7082"/>
        <w:gridCol w:w="1488"/>
      </w:tblGrid>
      <w:tr w14:paraId="1A7EA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47" w:type="dxa"/>
            <w:noWrap w:val="0"/>
            <w:vAlign w:val="center"/>
          </w:tcPr>
          <w:p w14:paraId="7DE09B1A">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7082" w:type="dxa"/>
            <w:noWrap w:val="0"/>
            <w:vAlign w:val="center"/>
          </w:tcPr>
          <w:p w14:paraId="324EDA74">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不良行为</w:t>
            </w:r>
          </w:p>
        </w:tc>
        <w:tc>
          <w:tcPr>
            <w:tcW w:w="1488" w:type="dxa"/>
            <w:noWrap w:val="0"/>
            <w:vAlign w:val="center"/>
          </w:tcPr>
          <w:p w14:paraId="74D9FB73">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记录时限</w:t>
            </w:r>
          </w:p>
        </w:tc>
      </w:tr>
      <w:tr w14:paraId="4A723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14:paraId="4ADE11E0">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082" w:type="dxa"/>
            <w:noWrap w:val="0"/>
            <w:vAlign w:val="center"/>
          </w:tcPr>
          <w:p w14:paraId="0444BF7D">
            <w:pPr>
              <w:pageBreakBefore w:val="0"/>
              <w:widowControl w:val="0"/>
              <w:shd w:val="clear"/>
              <w:kinsoku/>
              <w:wordWrap/>
              <w:overflowPunct/>
              <w:topLinePunct w:val="0"/>
              <w:autoSpaceDE/>
              <w:autoSpaceDN/>
              <w:bidi w:val="0"/>
              <w:adjustRightInd/>
              <w:spacing w:line="22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在采购过程中，与采购人进行协商询价的</w:t>
            </w:r>
          </w:p>
        </w:tc>
        <w:tc>
          <w:tcPr>
            <w:tcW w:w="1488" w:type="dxa"/>
            <w:noWrap w:val="0"/>
            <w:vAlign w:val="center"/>
          </w:tcPr>
          <w:p w14:paraId="40461F09">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6个月</w:t>
            </w:r>
          </w:p>
        </w:tc>
      </w:tr>
      <w:tr w14:paraId="5483D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14:paraId="1C2E0345">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7082" w:type="dxa"/>
            <w:noWrap w:val="0"/>
            <w:vAlign w:val="center"/>
          </w:tcPr>
          <w:p w14:paraId="1B20348E">
            <w:pPr>
              <w:pageBreakBefore w:val="0"/>
              <w:widowControl w:val="0"/>
              <w:shd w:val="clear"/>
              <w:kinsoku/>
              <w:wordWrap/>
              <w:overflowPunct/>
              <w:topLinePunct w:val="0"/>
              <w:autoSpaceDE/>
              <w:autoSpaceDN/>
              <w:bidi w:val="0"/>
              <w:adjustRightInd/>
              <w:spacing w:line="22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询价有效期内撤回其采购响应文件的</w:t>
            </w:r>
          </w:p>
        </w:tc>
        <w:tc>
          <w:tcPr>
            <w:tcW w:w="1488" w:type="dxa"/>
            <w:noWrap w:val="0"/>
            <w:vAlign w:val="center"/>
          </w:tcPr>
          <w:p w14:paraId="7B17BBF7">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6个月</w:t>
            </w:r>
          </w:p>
        </w:tc>
      </w:tr>
      <w:tr w14:paraId="49D00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14:paraId="2FD61515">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7082" w:type="dxa"/>
            <w:noWrap w:val="0"/>
            <w:vAlign w:val="center"/>
          </w:tcPr>
          <w:p w14:paraId="1EF7A308">
            <w:pPr>
              <w:pageBreakBefore w:val="0"/>
              <w:widowControl w:val="0"/>
              <w:shd w:val="clear"/>
              <w:kinsoku/>
              <w:wordWrap/>
              <w:overflowPunct/>
              <w:topLinePunct w:val="0"/>
              <w:autoSpaceDE/>
              <w:autoSpaceDN/>
              <w:bidi w:val="0"/>
              <w:adjustRightInd/>
              <w:spacing w:line="22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拒绝有关部门监督检查或提供虚假情况的</w:t>
            </w:r>
          </w:p>
        </w:tc>
        <w:tc>
          <w:tcPr>
            <w:tcW w:w="1488" w:type="dxa"/>
            <w:noWrap w:val="0"/>
            <w:vAlign w:val="center"/>
          </w:tcPr>
          <w:p w14:paraId="03CA71DF">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6个月</w:t>
            </w:r>
          </w:p>
        </w:tc>
      </w:tr>
      <w:tr w14:paraId="013F5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14:paraId="639C1D18">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7082" w:type="dxa"/>
            <w:noWrap w:val="0"/>
            <w:vAlign w:val="center"/>
          </w:tcPr>
          <w:p w14:paraId="7B2ED454">
            <w:pPr>
              <w:pageBreakBefore w:val="0"/>
              <w:widowControl w:val="0"/>
              <w:shd w:val="clear"/>
              <w:kinsoku/>
              <w:wordWrap/>
              <w:overflowPunct/>
              <w:topLinePunct w:val="0"/>
              <w:autoSpaceDE/>
              <w:autoSpaceDN/>
              <w:bidi w:val="0"/>
              <w:adjustRightInd/>
              <w:spacing w:line="22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不积极配合采购单位做好标的验收工作的</w:t>
            </w:r>
          </w:p>
        </w:tc>
        <w:tc>
          <w:tcPr>
            <w:tcW w:w="1488" w:type="dxa"/>
            <w:noWrap w:val="0"/>
            <w:vAlign w:val="center"/>
          </w:tcPr>
          <w:p w14:paraId="6D490492">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6个月</w:t>
            </w:r>
          </w:p>
        </w:tc>
      </w:tr>
      <w:tr w14:paraId="6C54A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14:paraId="26DFBA56">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7082" w:type="dxa"/>
            <w:noWrap w:val="0"/>
            <w:vAlign w:val="center"/>
          </w:tcPr>
          <w:p w14:paraId="29034C51">
            <w:pPr>
              <w:pageBreakBefore w:val="0"/>
              <w:widowControl w:val="0"/>
              <w:shd w:val="clear"/>
              <w:kinsoku/>
              <w:wordWrap/>
              <w:overflowPunct/>
              <w:topLinePunct w:val="0"/>
              <w:autoSpaceDE/>
              <w:autoSpaceDN/>
              <w:bidi w:val="0"/>
              <w:adjustRightInd/>
              <w:spacing w:line="22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在有关部门的监督检查或考核中被通报批评或处以警告及以上处罚的</w:t>
            </w:r>
          </w:p>
        </w:tc>
        <w:tc>
          <w:tcPr>
            <w:tcW w:w="1488" w:type="dxa"/>
            <w:noWrap w:val="0"/>
            <w:vAlign w:val="center"/>
          </w:tcPr>
          <w:p w14:paraId="1153F579">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6个月</w:t>
            </w:r>
          </w:p>
        </w:tc>
      </w:tr>
      <w:tr w14:paraId="63F67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14:paraId="71B07D2F">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7082" w:type="dxa"/>
            <w:noWrap w:val="0"/>
            <w:vAlign w:val="center"/>
          </w:tcPr>
          <w:p w14:paraId="63CB817E">
            <w:pPr>
              <w:pageBreakBefore w:val="0"/>
              <w:widowControl w:val="0"/>
              <w:shd w:val="clear"/>
              <w:kinsoku/>
              <w:wordWrap/>
              <w:overflowPunct/>
              <w:topLinePunct w:val="0"/>
              <w:autoSpaceDE/>
              <w:autoSpaceDN/>
              <w:bidi w:val="0"/>
              <w:adjustRightInd/>
              <w:spacing w:line="22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不遵守投标会场纪律，无理取闹，扰乱交易秩序的</w:t>
            </w:r>
          </w:p>
        </w:tc>
        <w:tc>
          <w:tcPr>
            <w:tcW w:w="1488" w:type="dxa"/>
            <w:noWrap w:val="0"/>
            <w:vAlign w:val="center"/>
          </w:tcPr>
          <w:p w14:paraId="27F34262">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1年</w:t>
            </w:r>
          </w:p>
        </w:tc>
      </w:tr>
      <w:tr w14:paraId="2C71F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14:paraId="19BFC3AB">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7082" w:type="dxa"/>
            <w:noWrap w:val="0"/>
            <w:vAlign w:val="center"/>
          </w:tcPr>
          <w:p w14:paraId="2C63F9F1">
            <w:pPr>
              <w:pageBreakBefore w:val="0"/>
              <w:widowControl w:val="0"/>
              <w:shd w:val="clear"/>
              <w:kinsoku/>
              <w:wordWrap/>
              <w:overflowPunct/>
              <w:topLinePunct w:val="0"/>
              <w:autoSpaceDE/>
              <w:autoSpaceDN/>
              <w:bidi w:val="0"/>
              <w:adjustRightInd/>
              <w:spacing w:line="22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中标后无正当理由放弃中标，或在规定时间内不与采购人签订采购合同，或在签订合同时提出附加条件或更改合同实质性内容，或拒不提交所要求的履约保证金的</w:t>
            </w:r>
          </w:p>
        </w:tc>
        <w:tc>
          <w:tcPr>
            <w:tcW w:w="1488" w:type="dxa"/>
            <w:noWrap w:val="0"/>
            <w:vAlign w:val="center"/>
          </w:tcPr>
          <w:p w14:paraId="147A3A0C">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1年</w:t>
            </w:r>
          </w:p>
        </w:tc>
      </w:tr>
      <w:tr w14:paraId="35337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14:paraId="60300EE3">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7082" w:type="dxa"/>
            <w:noWrap w:val="0"/>
            <w:vAlign w:val="center"/>
          </w:tcPr>
          <w:p w14:paraId="44C16B9C">
            <w:pPr>
              <w:pageBreakBefore w:val="0"/>
              <w:widowControl w:val="0"/>
              <w:shd w:val="clear"/>
              <w:kinsoku/>
              <w:wordWrap/>
              <w:overflowPunct/>
              <w:topLinePunct w:val="0"/>
              <w:autoSpaceDE/>
              <w:autoSpaceDN/>
              <w:bidi w:val="0"/>
              <w:adjustRightInd/>
              <w:spacing w:line="22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不按照与采购人订立的合同履行义务（包括提供标的、售后服务、技术支持等），严重违反合同规定和廉政合同要求的</w:t>
            </w:r>
          </w:p>
        </w:tc>
        <w:tc>
          <w:tcPr>
            <w:tcW w:w="1488" w:type="dxa"/>
            <w:noWrap w:val="0"/>
            <w:vAlign w:val="center"/>
          </w:tcPr>
          <w:p w14:paraId="50EF4407">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1年</w:t>
            </w:r>
          </w:p>
        </w:tc>
      </w:tr>
      <w:tr w14:paraId="6444B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14:paraId="2C768DEF">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7082" w:type="dxa"/>
            <w:noWrap w:val="0"/>
            <w:vAlign w:val="center"/>
          </w:tcPr>
          <w:p w14:paraId="6AA6FD01">
            <w:pPr>
              <w:pageBreakBefore w:val="0"/>
              <w:widowControl w:val="0"/>
              <w:shd w:val="clear"/>
              <w:kinsoku/>
              <w:wordWrap/>
              <w:overflowPunct/>
              <w:topLinePunct w:val="0"/>
              <w:autoSpaceDE/>
              <w:autoSpaceDN/>
              <w:bidi w:val="0"/>
              <w:adjustRightInd/>
              <w:spacing w:line="22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项目负责人不到位，或擅自变换项目负责人，或不认真履行职责造成采购人损失的</w:t>
            </w:r>
          </w:p>
        </w:tc>
        <w:tc>
          <w:tcPr>
            <w:tcW w:w="1488" w:type="dxa"/>
            <w:noWrap w:val="0"/>
            <w:vAlign w:val="center"/>
          </w:tcPr>
          <w:p w14:paraId="30BF5C64">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1年</w:t>
            </w:r>
          </w:p>
        </w:tc>
      </w:tr>
      <w:tr w14:paraId="2290E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14:paraId="77B5ACA2">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7082" w:type="dxa"/>
            <w:noWrap w:val="0"/>
            <w:vAlign w:val="center"/>
          </w:tcPr>
          <w:p w14:paraId="67201A40">
            <w:pPr>
              <w:pageBreakBefore w:val="0"/>
              <w:widowControl w:val="0"/>
              <w:shd w:val="clear"/>
              <w:kinsoku/>
              <w:wordWrap/>
              <w:overflowPunct/>
              <w:topLinePunct w:val="0"/>
              <w:autoSpaceDE/>
              <w:autoSpaceDN/>
              <w:bidi w:val="0"/>
              <w:adjustRightInd/>
              <w:spacing w:line="22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发生经营状况重大变化以及重要担保、重大合同纠纷或诉讼、信用等级和资质变化等可能影响履约能力的重大事项，未及时向</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提供书面报告，因而造成采购人损失的</w:t>
            </w:r>
          </w:p>
        </w:tc>
        <w:tc>
          <w:tcPr>
            <w:tcW w:w="1488" w:type="dxa"/>
            <w:noWrap w:val="0"/>
            <w:vAlign w:val="center"/>
          </w:tcPr>
          <w:p w14:paraId="1A773412">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1年</w:t>
            </w:r>
          </w:p>
        </w:tc>
      </w:tr>
      <w:tr w14:paraId="7658D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14:paraId="3E166A5E">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7082" w:type="dxa"/>
            <w:noWrap w:val="0"/>
            <w:vAlign w:val="center"/>
          </w:tcPr>
          <w:p w14:paraId="7654498F">
            <w:pPr>
              <w:pageBreakBefore w:val="0"/>
              <w:widowControl w:val="0"/>
              <w:shd w:val="clear"/>
              <w:kinsoku/>
              <w:wordWrap/>
              <w:overflowPunct/>
              <w:topLinePunct w:val="0"/>
              <w:autoSpaceDE/>
              <w:autoSpaceDN/>
              <w:bidi w:val="0"/>
              <w:adjustRightInd/>
              <w:spacing w:line="22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与采购人、其他供应商或者采购代理机构相互串通的</w:t>
            </w:r>
          </w:p>
        </w:tc>
        <w:tc>
          <w:tcPr>
            <w:tcW w:w="1488" w:type="dxa"/>
            <w:noWrap w:val="0"/>
            <w:vAlign w:val="center"/>
          </w:tcPr>
          <w:p w14:paraId="431D62C5">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2年</w:t>
            </w:r>
          </w:p>
        </w:tc>
      </w:tr>
      <w:tr w14:paraId="20144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14:paraId="4C417D57">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7082" w:type="dxa"/>
            <w:noWrap w:val="0"/>
            <w:vAlign w:val="center"/>
          </w:tcPr>
          <w:p w14:paraId="249F99BD">
            <w:pPr>
              <w:pageBreakBefore w:val="0"/>
              <w:widowControl w:val="0"/>
              <w:shd w:val="clear"/>
              <w:kinsoku/>
              <w:wordWrap/>
              <w:overflowPunct/>
              <w:topLinePunct w:val="0"/>
              <w:autoSpaceDE/>
              <w:autoSpaceDN/>
              <w:bidi w:val="0"/>
              <w:adjustRightInd/>
              <w:spacing w:line="22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采取不正当手段排挤其他供应商，进行不公平竞争的</w:t>
            </w:r>
          </w:p>
        </w:tc>
        <w:tc>
          <w:tcPr>
            <w:tcW w:w="1488" w:type="dxa"/>
            <w:noWrap w:val="0"/>
            <w:vAlign w:val="center"/>
          </w:tcPr>
          <w:p w14:paraId="4FB2FD6C">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2年</w:t>
            </w:r>
          </w:p>
        </w:tc>
      </w:tr>
      <w:tr w14:paraId="2B306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14:paraId="0AAB7969">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7082" w:type="dxa"/>
            <w:noWrap w:val="0"/>
            <w:vAlign w:val="center"/>
          </w:tcPr>
          <w:p w14:paraId="6AE1D94E">
            <w:pPr>
              <w:pageBreakBefore w:val="0"/>
              <w:widowControl w:val="0"/>
              <w:shd w:val="clear"/>
              <w:kinsoku/>
              <w:wordWrap/>
              <w:overflowPunct/>
              <w:topLinePunct w:val="0"/>
              <w:autoSpaceDE/>
              <w:autoSpaceDN/>
              <w:bidi w:val="0"/>
              <w:adjustRightInd/>
              <w:spacing w:line="22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中标后与采购人另行订立背离合同实质内容的协议的</w:t>
            </w:r>
          </w:p>
        </w:tc>
        <w:tc>
          <w:tcPr>
            <w:tcW w:w="1488" w:type="dxa"/>
            <w:noWrap w:val="0"/>
            <w:vAlign w:val="center"/>
          </w:tcPr>
          <w:p w14:paraId="21CBF79F">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2年</w:t>
            </w:r>
          </w:p>
        </w:tc>
      </w:tr>
      <w:tr w14:paraId="4A081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14:paraId="35F555DE">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7082" w:type="dxa"/>
            <w:noWrap w:val="0"/>
            <w:vAlign w:val="center"/>
          </w:tcPr>
          <w:p w14:paraId="282E4BC5">
            <w:pPr>
              <w:pageBreakBefore w:val="0"/>
              <w:widowControl w:val="0"/>
              <w:shd w:val="clear"/>
              <w:kinsoku/>
              <w:wordWrap/>
              <w:overflowPunct/>
              <w:topLinePunct w:val="0"/>
              <w:autoSpaceDE/>
              <w:autoSpaceDN/>
              <w:bidi w:val="0"/>
              <w:adjustRightInd/>
              <w:spacing w:line="22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事先有承诺，而事后违反承诺内容的</w:t>
            </w:r>
          </w:p>
        </w:tc>
        <w:tc>
          <w:tcPr>
            <w:tcW w:w="1488" w:type="dxa"/>
            <w:noWrap w:val="0"/>
            <w:vAlign w:val="center"/>
          </w:tcPr>
          <w:p w14:paraId="6E22BB73">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2年</w:t>
            </w:r>
          </w:p>
        </w:tc>
      </w:tr>
      <w:tr w14:paraId="0D823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14:paraId="7DF907C8">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7082" w:type="dxa"/>
            <w:noWrap w:val="0"/>
            <w:vAlign w:val="center"/>
          </w:tcPr>
          <w:p w14:paraId="71441AB7">
            <w:pPr>
              <w:pageBreakBefore w:val="0"/>
              <w:widowControl w:val="0"/>
              <w:shd w:val="clear"/>
              <w:kinsoku/>
              <w:wordWrap/>
              <w:overflowPunct/>
              <w:topLinePunct w:val="0"/>
              <w:autoSpaceDE/>
              <w:autoSpaceDN/>
              <w:bidi w:val="0"/>
              <w:adjustRightInd/>
              <w:spacing w:line="22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将中标项目转包或违反规定进行分包的</w:t>
            </w:r>
          </w:p>
        </w:tc>
        <w:tc>
          <w:tcPr>
            <w:tcW w:w="1488" w:type="dxa"/>
            <w:noWrap w:val="0"/>
            <w:vAlign w:val="center"/>
          </w:tcPr>
          <w:p w14:paraId="6E8D0124">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2年</w:t>
            </w:r>
          </w:p>
        </w:tc>
      </w:tr>
      <w:tr w14:paraId="0A66D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14:paraId="34B4321D">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c>
          <w:tcPr>
            <w:tcW w:w="7082" w:type="dxa"/>
            <w:noWrap w:val="0"/>
            <w:vAlign w:val="center"/>
          </w:tcPr>
          <w:p w14:paraId="24241E57">
            <w:pPr>
              <w:pageBreakBefore w:val="0"/>
              <w:widowControl w:val="0"/>
              <w:shd w:val="clear"/>
              <w:kinsoku/>
              <w:wordWrap/>
              <w:overflowPunct/>
              <w:topLinePunct w:val="0"/>
              <w:autoSpaceDE/>
              <w:autoSpaceDN/>
              <w:bidi w:val="0"/>
              <w:adjustRightInd/>
              <w:spacing w:line="22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以他人名义投标或允许他人以自己名义投标，或者以其他方式弄虚作假的</w:t>
            </w:r>
          </w:p>
        </w:tc>
        <w:tc>
          <w:tcPr>
            <w:tcW w:w="1488" w:type="dxa"/>
            <w:noWrap w:val="0"/>
            <w:vAlign w:val="center"/>
          </w:tcPr>
          <w:p w14:paraId="57337BF7">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3年</w:t>
            </w:r>
          </w:p>
        </w:tc>
      </w:tr>
      <w:tr w14:paraId="79F82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14:paraId="6CA1C8D7">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p>
        </w:tc>
        <w:tc>
          <w:tcPr>
            <w:tcW w:w="7082" w:type="dxa"/>
            <w:noWrap w:val="0"/>
            <w:vAlign w:val="center"/>
          </w:tcPr>
          <w:p w14:paraId="2BB4086D">
            <w:pPr>
              <w:pageBreakBefore w:val="0"/>
              <w:widowControl w:val="0"/>
              <w:shd w:val="clear"/>
              <w:kinsoku/>
              <w:wordWrap/>
              <w:overflowPunct/>
              <w:topLinePunct w:val="0"/>
              <w:autoSpaceDE/>
              <w:autoSpaceDN/>
              <w:bidi w:val="0"/>
              <w:adjustRightInd/>
              <w:spacing w:line="22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未按照采购合同约定及时提供全部货物的，或无故拖延工期的</w:t>
            </w:r>
          </w:p>
        </w:tc>
        <w:tc>
          <w:tcPr>
            <w:tcW w:w="1488" w:type="dxa"/>
            <w:noWrap w:val="0"/>
            <w:vAlign w:val="center"/>
          </w:tcPr>
          <w:p w14:paraId="59396D82">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3年</w:t>
            </w:r>
          </w:p>
        </w:tc>
      </w:tr>
      <w:tr w14:paraId="7B23A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14:paraId="7A5259F4">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p>
        </w:tc>
        <w:tc>
          <w:tcPr>
            <w:tcW w:w="7082" w:type="dxa"/>
            <w:noWrap w:val="0"/>
            <w:vAlign w:val="center"/>
          </w:tcPr>
          <w:p w14:paraId="1E7D00F6">
            <w:pPr>
              <w:pageBreakBefore w:val="0"/>
              <w:widowControl w:val="0"/>
              <w:shd w:val="clear"/>
              <w:kinsoku/>
              <w:wordWrap/>
              <w:overflowPunct/>
              <w:topLinePunct w:val="0"/>
              <w:autoSpaceDE/>
              <w:autoSpaceDN/>
              <w:bidi w:val="0"/>
              <w:adjustRightInd/>
              <w:spacing w:line="22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无故不提供中标要求的型号、配置等产品的，或有拆换、调换、截留产品零部件和备品备件的行为的</w:t>
            </w:r>
          </w:p>
        </w:tc>
        <w:tc>
          <w:tcPr>
            <w:tcW w:w="1488" w:type="dxa"/>
            <w:noWrap w:val="0"/>
            <w:vAlign w:val="center"/>
          </w:tcPr>
          <w:p w14:paraId="57227A29">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3年</w:t>
            </w:r>
          </w:p>
        </w:tc>
      </w:tr>
      <w:tr w14:paraId="10D2D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14:paraId="3F83D6B0">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p>
        </w:tc>
        <w:tc>
          <w:tcPr>
            <w:tcW w:w="7082" w:type="dxa"/>
            <w:noWrap w:val="0"/>
            <w:vAlign w:val="center"/>
          </w:tcPr>
          <w:p w14:paraId="6815C5CA">
            <w:pPr>
              <w:pageBreakBefore w:val="0"/>
              <w:widowControl w:val="0"/>
              <w:shd w:val="clear"/>
              <w:kinsoku/>
              <w:wordWrap/>
              <w:overflowPunct/>
              <w:topLinePunct w:val="0"/>
              <w:autoSpaceDE/>
              <w:autoSpaceDN/>
              <w:bidi w:val="0"/>
              <w:adjustRightInd/>
              <w:spacing w:line="22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为获取自身利益，向采购人及其他有利害关系的单位或个人提供不正当利益的</w:t>
            </w:r>
          </w:p>
        </w:tc>
        <w:tc>
          <w:tcPr>
            <w:tcW w:w="1488" w:type="dxa"/>
            <w:noWrap w:val="0"/>
            <w:vAlign w:val="center"/>
          </w:tcPr>
          <w:p w14:paraId="48ACBD38">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3年</w:t>
            </w:r>
          </w:p>
        </w:tc>
      </w:tr>
      <w:tr w14:paraId="72D31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947" w:type="dxa"/>
            <w:noWrap w:val="0"/>
            <w:vAlign w:val="center"/>
          </w:tcPr>
          <w:p w14:paraId="0BBAC9F8">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7082" w:type="dxa"/>
            <w:noWrap w:val="0"/>
            <w:vAlign w:val="center"/>
          </w:tcPr>
          <w:p w14:paraId="1A876CF2">
            <w:pPr>
              <w:pageBreakBefore w:val="0"/>
              <w:widowControl w:val="0"/>
              <w:shd w:val="clear"/>
              <w:kinsoku/>
              <w:wordWrap/>
              <w:overflowPunct/>
              <w:topLinePunct w:val="0"/>
              <w:autoSpaceDE/>
              <w:autoSpaceDN/>
              <w:bidi w:val="0"/>
              <w:adjustRightInd/>
              <w:spacing w:line="22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投标人、采购相关利益人、自然人</w:t>
            </w:r>
            <w:r>
              <w:rPr>
                <w:rFonts w:hint="eastAsia" w:ascii="宋体" w:hAnsi="宋体" w:eastAsia="宋体" w:cs="宋体"/>
                <w:color w:val="auto"/>
                <w:sz w:val="24"/>
                <w:szCs w:val="24"/>
                <w:highlight w:val="none"/>
              </w:rPr>
              <w:t>不按程序、规定时间进行质疑投诉；</w:t>
            </w:r>
            <w:r>
              <w:rPr>
                <w:rFonts w:hint="eastAsia" w:ascii="宋体" w:hAnsi="宋体" w:eastAsia="宋体" w:cs="宋体"/>
                <w:color w:val="auto"/>
                <w:sz w:val="24"/>
                <w:highlight w:val="none"/>
              </w:rPr>
              <w:t>虚假质疑投诉；非正规渠道质疑投诉（信访、网络炒作等）；并对采购工作造成不利影响的</w:t>
            </w:r>
          </w:p>
        </w:tc>
        <w:tc>
          <w:tcPr>
            <w:tcW w:w="1488" w:type="dxa"/>
            <w:noWrap w:val="0"/>
            <w:vAlign w:val="center"/>
          </w:tcPr>
          <w:p w14:paraId="0D98CB7C">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3年</w:t>
            </w:r>
          </w:p>
        </w:tc>
      </w:tr>
      <w:tr w14:paraId="45846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47" w:type="dxa"/>
            <w:noWrap w:val="0"/>
            <w:vAlign w:val="center"/>
          </w:tcPr>
          <w:p w14:paraId="17B66F7A">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p>
        </w:tc>
        <w:tc>
          <w:tcPr>
            <w:tcW w:w="7082" w:type="dxa"/>
            <w:noWrap w:val="0"/>
            <w:vAlign w:val="center"/>
          </w:tcPr>
          <w:p w14:paraId="0F09F66B">
            <w:pPr>
              <w:pageBreakBefore w:val="0"/>
              <w:widowControl w:val="0"/>
              <w:shd w:val="clear"/>
              <w:kinsoku/>
              <w:wordWrap/>
              <w:overflowPunct/>
              <w:topLinePunct w:val="0"/>
              <w:bidi w:val="0"/>
              <w:spacing w:line="228"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投标人、采购相关利益人、自然人利用质疑投诉、非正规渠道质疑投诉达到自身目的，并对采购工作造成不利影响的</w:t>
            </w:r>
          </w:p>
        </w:tc>
        <w:tc>
          <w:tcPr>
            <w:tcW w:w="1488" w:type="dxa"/>
            <w:noWrap w:val="0"/>
            <w:vAlign w:val="center"/>
          </w:tcPr>
          <w:p w14:paraId="3A210BD4">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3年</w:t>
            </w:r>
          </w:p>
        </w:tc>
      </w:tr>
      <w:tr w14:paraId="236E5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14:paraId="1191CFEF">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p>
        </w:tc>
        <w:tc>
          <w:tcPr>
            <w:tcW w:w="7082" w:type="dxa"/>
            <w:noWrap w:val="0"/>
            <w:vAlign w:val="center"/>
          </w:tcPr>
          <w:p w14:paraId="4D7392F2">
            <w:pPr>
              <w:pageBreakBefore w:val="0"/>
              <w:widowControl w:val="0"/>
              <w:shd w:val="clear"/>
              <w:kinsoku/>
              <w:wordWrap/>
              <w:overflowPunct/>
              <w:topLinePunct w:val="0"/>
              <w:autoSpaceDE/>
              <w:autoSpaceDN/>
              <w:bidi w:val="0"/>
              <w:adjustRightInd/>
              <w:spacing w:line="22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提供假冒伪劣产品或走私物品的</w:t>
            </w:r>
          </w:p>
        </w:tc>
        <w:tc>
          <w:tcPr>
            <w:tcW w:w="1488" w:type="dxa"/>
            <w:noWrap w:val="0"/>
            <w:vAlign w:val="center"/>
          </w:tcPr>
          <w:p w14:paraId="7CC03E5D">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5年</w:t>
            </w:r>
          </w:p>
        </w:tc>
      </w:tr>
      <w:tr w14:paraId="61093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14:paraId="542C1E55">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w:t>
            </w:r>
          </w:p>
        </w:tc>
        <w:tc>
          <w:tcPr>
            <w:tcW w:w="7082" w:type="dxa"/>
            <w:noWrap w:val="0"/>
            <w:vAlign w:val="center"/>
          </w:tcPr>
          <w:p w14:paraId="198D69CA">
            <w:pPr>
              <w:pageBreakBefore w:val="0"/>
              <w:widowControl w:val="0"/>
              <w:shd w:val="clear"/>
              <w:kinsoku/>
              <w:wordWrap/>
              <w:overflowPunct/>
              <w:topLinePunct w:val="0"/>
              <w:autoSpaceDE/>
              <w:autoSpaceDN/>
              <w:bidi w:val="0"/>
              <w:adjustRightInd/>
              <w:spacing w:line="22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擅自变更、中止、终止或解除采购合同的</w:t>
            </w:r>
          </w:p>
        </w:tc>
        <w:tc>
          <w:tcPr>
            <w:tcW w:w="1488" w:type="dxa"/>
            <w:noWrap w:val="0"/>
            <w:vAlign w:val="center"/>
          </w:tcPr>
          <w:p w14:paraId="1C7D2E09">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5年</w:t>
            </w:r>
          </w:p>
        </w:tc>
      </w:tr>
      <w:tr w14:paraId="034EC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14:paraId="1E32C99F">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w:t>
            </w:r>
          </w:p>
        </w:tc>
        <w:tc>
          <w:tcPr>
            <w:tcW w:w="7082" w:type="dxa"/>
            <w:noWrap w:val="0"/>
            <w:vAlign w:val="center"/>
          </w:tcPr>
          <w:p w14:paraId="6B7E2225">
            <w:pPr>
              <w:pageBreakBefore w:val="0"/>
              <w:widowControl w:val="0"/>
              <w:shd w:val="clear"/>
              <w:kinsoku/>
              <w:wordWrap/>
              <w:overflowPunct/>
              <w:topLinePunct w:val="0"/>
              <w:autoSpaceDE/>
              <w:autoSpaceDN/>
              <w:bidi w:val="0"/>
              <w:adjustRightInd/>
              <w:spacing w:line="22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向有关人员行贿或者提供不正当利益谋取中标的</w:t>
            </w:r>
          </w:p>
        </w:tc>
        <w:tc>
          <w:tcPr>
            <w:tcW w:w="1488" w:type="dxa"/>
            <w:noWrap w:val="0"/>
            <w:vAlign w:val="center"/>
          </w:tcPr>
          <w:p w14:paraId="5C0F1901">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5年</w:t>
            </w:r>
          </w:p>
        </w:tc>
      </w:tr>
      <w:tr w14:paraId="5A200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14:paraId="7ADA9890">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w:t>
            </w:r>
          </w:p>
        </w:tc>
        <w:tc>
          <w:tcPr>
            <w:tcW w:w="7082" w:type="dxa"/>
            <w:noWrap w:val="0"/>
            <w:vAlign w:val="center"/>
          </w:tcPr>
          <w:p w14:paraId="13F1D453">
            <w:pPr>
              <w:pageBreakBefore w:val="0"/>
              <w:widowControl w:val="0"/>
              <w:shd w:val="clear"/>
              <w:kinsoku/>
              <w:wordWrap/>
              <w:overflowPunct/>
              <w:topLinePunct w:val="0"/>
              <w:autoSpaceDE/>
              <w:autoSpaceDN/>
              <w:bidi w:val="0"/>
              <w:adjustRightInd/>
              <w:spacing w:line="22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在采购活动期间，对管理机构、采购人、其他采购响应人、评标专家、中介机构等采购相关机构和人员，采取诋毁、诽谤、胁迫、暴力等不正当手段的</w:t>
            </w:r>
          </w:p>
        </w:tc>
        <w:tc>
          <w:tcPr>
            <w:tcW w:w="1488" w:type="dxa"/>
            <w:noWrap w:val="0"/>
            <w:vAlign w:val="center"/>
          </w:tcPr>
          <w:p w14:paraId="3FB04DDA">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5年</w:t>
            </w:r>
          </w:p>
        </w:tc>
      </w:tr>
      <w:tr w14:paraId="69FE7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14:paraId="1045A1AF">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w:t>
            </w:r>
          </w:p>
        </w:tc>
        <w:tc>
          <w:tcPr>
            <w:tcW w:w="7082" w:type="dxa"/>
            <w:noWrap w:val="0"/>
            <w:vAlign w:val="center"/>
          </w:tcPr>
          <w:p w14:paraId="1093EA64">
            <w:pPr>
              <w:pageBreakBefore w:val="0"/>
              <w:widowControl w:val="0"/>
              <w:shd w:val="clear"/>
              <w:kinsoku/>
              <w:wordWrap/>
              <w:overflowPunct/>
              <w:topLinePunct w:val="0"/>
              <w:autoSpaceDE/>
              <w:autoSpaceDN/>
              <w:bidi w:val="0"/>
              <w:adjustRightInd/>
              <w:spacing w:line="22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lang w:val="en-US" w:eastAsia="zh-CN"/>
              </w:rPr>
              <w:t>采购单位招投标管理部门</w:t>
            </w:r>
            <w:r>
              <w:rPr>
                <w:rFonts w:hint="eastAsia" w:ascii="宋体" w:hAnsi="宋体" w:eastAsia="宋体" w:cs="宋体"/>
                <w:color w:val="auto"/>
                <w:sz w:val="24"/>
                <w:szCs w:val="24"/>
                <w:highlight w:val="none"/>
                <w:lang w:eastAsia="zh-CN"/>
              </w:rPr>
              <w:t>认定</w:t>
            </w:r>
            <w:r>
              <w:rPr>
                <w:rFonts w:hint="eastAsia" w:ascii="宋体" w:hAnsi="宋体" w:eastAsia="宋体" w:cs="宋体"/>
                <w:color w:val="auto"/>
                <w:sz w:val="24"/>
                <w:szCs w:val="24"/>
                <w:highlight w:val="none"/>
              </w:rPr>
              <w:t>的其他违反采购管理的行为</w:t>
            </w:r>
          </w:p>
        </w:tc>
        <w:tc>
          <w:tcPr>
            <w:tcW w:w="1488" w:type="dxa"/>
            <w:noWrap w:val="0"/>
            <w:vAlign w:val="center"/>
          </w:tcPr>
          <w:p w14:paraId="2CCF76AF">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酌情处理</w:t>
            </w:r>
          </w:p>
        </w:tc>
      </w:tr>
    </w:tbl>
    <w:p w14:paraId="6E0E8A6B">
      <w:pPr>
        <w:pStyle w:val="4"/>
        <w:pageBreakBefore w:val="0"/>
        <w:widowControl w:val="0"/>
        <w:shd w:val="clear"/>
        <w:kinsoku/>
        <w:wordWrap/>
        <w:overflowPunct/>
        <w:topLinePunct w:val="0"/>
        <w:bidi w:val="0"/>
        <w:spacing w:before="0" w:after="0" w:line="228" w:lineRule="auto"/>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十、监督和解释</w:t>
      </w:r>
      <w:bookmarkEnd w:id="29"/>
    </w:p>
    <w:p w14:paraId="05BEC305">
      <w:pPr>
        <w:pageBreakBefore w:val="0"/>
        <w:widowControl w:val="0"/>
        <w:shd w:val="clear"/>
        <w:kinsoku/>
        <w:wordWrap/>
        <w:overflowPunct/>
        <w:topLinePunct w:val="0"/>
        <w:bidi w:val="0"/>
        <w:spacing w:line="228" w:lineRule="auto"/>
        <w:ind w:firstLine="482"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b/>
          <w:bCs/>
          <w:color w:val="auto"/>
          <w:sz w:val="24"/>
          <w:highlight w:val="none"/>
        </w:rPr>
        <w:t>35.</w:t>
      </w:r>
      <w:r>
        <w:rPr>
          <w:rFonts w:hint="eastAsia" w:ascii="宋体" w:hAnsi="宋体" w:eastAsia="宋体" w:cs="宋体"/>
          <w:color w:val="auto"/>
          <w:sz w:val="24"/>
          <w:highlight w:val="none"/>
        </w:rPr>
        <w:t>本次招标活动接受</w:t>
      </w:r>
      <w:r>
        <w:rPr>
          <w:rFonts w:hint="eastAsia" w:ascii="宋体" w:hAnsi="宋体" w:eastAsia="宋体" w:cs="宋体"/>
          <w:color w:val="auto"/>
          <w:sz w:val="24"/>
          <w:highlight w:val="none"/>
          <w:lang w:val="en-US" w:eastAsia="zh-CN"/>
        </w:rPr>
        <w:t>采购单位招投标管理部门及上级监管部门</w:t>
      </w:r>
      <w:r>
        <w:rPr>
          <w:rFonts w:hint="eastAsia" w:ascii="宋体" w:hAnsi="宋体" w:eastAsia="宋体" w:cs="宋体"/>
          <w:color w:val="auto"/>
          <w:sz w:val="24"/>
          <w:highlight w:val="none"/>
          <w:lang w:eastAsia="zh-CN"/>
        </w:rPr>
        <w:t>的监督。</w:t>
      </w:r>
    </w:p>
    <w:p w14:paraId="79306B08">
      <w:pPr>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36.</w:t>
      </w:r>
      <w:r>
        <w:rPr>
          <w:rFonts w:hint="eastAsia" w:ascii="宋体" w:hAnsi="宋体" w:eastAsia="宋体" w:cs="宋体"/>
          <w:color w:val="auto"/>
          <w:sz w:val="24"/>
          <w:highlight w:val="none"/>
        </w:rPr>
        <w:t>本招标文件的解释权属于采购单位和</w:t>
      </w:r>
      <w:r>
        <w:rPr>
          <w:rFonts w:hint="eastAsia" w:ascii="宋体" w:hAnsi="宋体" w:eastAsia="宋体" w:cs="宋体"/>
          <w:color w:val="auto"/>
          <w:sz w:val="24"/>
          <w:highlight w:val="none"/>
          <w:lang w:eastAsia="zh-CN"/>
        </w:rPr>
        <w:t>浙江博策工程项目管理有限公司</w:t>
      </w:r>
      <w:r>
        <w:rPr>
          <w:rFonts w:hint="eastAsia" w:ascii="宋体" w:hAnsi="宋体" w:eastAsia="宋体" w:cs="宋体"/>
          <w:color w:val="auto"/>
          <w:sz w:val="24"/>
          <w:highlight w:val="none"/>
        </w:rPr>
        <w:t>。</w:t>
      </w:r>
    </w:p>
    <w:p w14:paraId="32438524">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5C81449E">
      <w:pPr>
        <w:numPr>
          <w:ilvl w:val="0"/>
          <w:numId w:val="0"/>
        </w:numPr>
        <w:spacing w:line="240" w:lineRule="auto"/>
        <w:jc w:val="center"/>
        <w:rPr>
          <w:rFonts w:hint="eastAsia" w:ascii="宋体" w:hAnsi="宋体" w:eastAsia="宋体" w:cs="宋体"/>
          <w:b/>
          <w:bCs/>
          <w:color w:val="auto"/>
          <w:sz w:val="36"/>
          <w:szCs w:val="28"/>
          <w:highlight w:val="none"/>
        </w:rPr>
      </w:pPr>
      <w:r>
        <w:rPr>
          <w:rFonts w:hint="eastAsia" w:ascii="宋体" w:hAnsi="宋体" w:cs="宋体"/>
          <w:b/>
          <w:bCs/>
          <w:color w:val="auto"/>
          <w:sz w:val="36"/>
          <w:szCs w:val="28"/>
          <w:highlight w:val="none"/>
          <w:lang w:val="en-US" w:eastAsia="zh-CN"/>
        </w:rPr>
        <w:t xml:space="preserve">第三章  </w:t>
      </w:r>
      <w:r>
        <w:rPr>
          <w:rFonts w:hint="eastAsia" w:ascii="宋体" w:hAnsi="宋体" w:eastAsia="宋体" w:cs="宋体"/>
          <w:b/>
          <w:bCs/>
          <w:color w:val="auto"/>
          <w:sz w:val="36"/>
          <w:szCs w:val="28"/>
          <w:highlight w:val="none"/>
        </w:rPr>
        <w:t>评标办法及评分标准</w:t>
      </w:r>
    </w:p>
    <w:p w14:paraId="45EC6195">
      <w:pPr>
        <w:pageBreakBefore w:val="0"/>
        <w:widowControl w:val="0"/>
        <w:kinsoku/>
        <w:wordWrap/>
        <w:overflowPunct/>
        <w:topLinePunct w:val="0"/>
        <w:autoSpaceDE w:val="0"/>
        <w:autoSpaceDN w:val="0"/>
        <w:bidi w:val="0"/>
        <w:adjustRightInd w:val="0"/>
        <w:snapToGrid/>
        <w:spacing w:beforeLines="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1.采用</w:t>
      </w:r>
      <w:r>
        <w:rPr>
          <w:rFonts w:hint="eastAsia" w:ascii="宋体" w:hAnsi="宋体" w:cs="宋体"/>
          <w:color w:val="auto"/>
          <w:sz w:val="24"/>
          <w:highlight w:val="none"/>
          <w:u w:val="single"/>
        </w:rPr>
        <w:t>　综合评分法　</w:t>
      </w:r>
      <w:r>
        <w:rPr>
          <w:rFonts w:hint="eastAsia" w:ascii="宋体" w:hAnsi="宋体" w:cs="宋体"/>
          <w:color w:val="auto"/>
          <w:sz w:val="24"/>
          <w:highlight w:val="none"/>
        </w:rPr>
        <w:t>。即在符合招标文件要求的前提下，</w:t>
      </w:r>
      <w:r>
        <w:rPr>
          <w:rFonts w:hint="eastAsia" w:ascii="宋体" w:hAnsi="宋体" w:cs="宋体"/>
          <w:color w:val="auto"/>
          <w:sz w:val="24"/>
          <w:szCs w:val="24"/>
          <w:highlight w:val="none"/>
        </w:rPr>
        <w:t>择定最高得分者为第一中标候选人</w:t>
      </w:r>
      <w:r>
        <w:rPr>
          <w:rFonts w:hint="eastAsia" w:ascii="宋体" w:hAnsi="宋体" w:cs="宋体"/>
          <w:color w:val="auto"/>
          <w:sz w:val="24"/>
          <w:highlight w:val="none"/>
        </w:rPr>
        <w:t>，即预中标人。</w:t>
      </w:r>
    </w:p>
    <w:p w14:paraId="7F6AA51A">
      <w:pPr>
        <w:pageBreakBefore w:val="0"/>
        <w:widowControl w:val="0"/>
        <w:kinsoku/>
        <w:wordWrap/>
        <w:overflowPunct/>
        <w:topLinePunct w:val="0"/>
        <w:autoSpaceDE w:val="0"/>
        <w:autoSpaceDN w:val="0"/>
        <w:bidi w:val="0"/>
        <w:adjustRightInd w:val="0"/>
        <w:snapToGrid/>
        <w:spacing w:beforeLines="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合格投标人的评标得分为各项目汇总得分，中标候选资格按评标得分由高到低顺序排列，得分相同的，按投标报价由低到高顺序排列；得分且投标报价相同的，按技术指标由高到低顺序排列。排名第一的投标人为中标候选人。</w:t>
      </w:r>
      <w:r>
        <w:rPr>
          <w:rFonts w:hint="eastAsia" w:ascii="宋体" w:hAnsi="宋体" w:cs="宋体"/>
          <w:bCs/>
          <w:color w:val="auto"/>
          <w:sz w:val="24"/>
          <w:highlight w:val="none"/>
        </w:rPr>
        <w:t>评分过程中采</w:t>
      </w:r>
      <w:r>
        <w:rPr>
          <w:rFonts w:hint="eastAsia" w:ascii="宋体" w:hAnsi="宋体" w:cs="宋体"/>
          <w:color w:val="auto"/>
          <w:sz w:val="24"/>
          <w:highlight w:val="none"/>
        </w:rPr>
        <w:t>用四舍五入法，并保留小数2位。</w:t>
      </w:r>
    </w:p>
    <w:p w14:paraId="251AD5C7">
      <w:pPr>
        <w:pageBreakBefore w:val="0"/>
        <w:widowControl w:val="0"/>
        <w:kinsoku/>
        <w:wordWrap/>
        <w:overflowPunct/>
        <w:topLinePunct w:val="0"/>
        <w:autoSpaceDE w:val="0"/>
        <w:autoSpaceDN w:val="0"/>
        <w:bidi w:val="0"/>
        <w:adjustRightInd w:val="0"/>
        <w:snapToGrid/>
        <w:spacing w:beforeLines="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3.评分办法</w:t>
      </w:r>
    </w:p>
    <w:p w14:paraId="48E88F8A">
      <w:pPr>
        <w:pageBreakBefore w:val="0"/>
        <w:widowControl w:val="0"/>
        <w:kinsoku/>
        <w:wordWrap/>
        <w:overflowPunct/>
        <w:topLinePunct w:val="0"/>
        <w:autoSpaceDE w:val="0"/>
        <w:autoSpaceDN w:val="0"/>
        <w:bidi w:val="0"/>
        <w:adjustRightInd w:val="0"/>
        <w:snapToGrid/>
        <w:spacing w:beforeLines="0" w:line="360" w:lineRule="auto"/>
        <w:ind w:firstLine="200"/>
        <w:textAlignment w:val="auto"/>
        <w:rPr>
          <w:rFonts w:hint="eastAsia" w:ascii="宋体" w:hAnsi="宋体" w:cs="宋体"/>
          <w:color w:val="auto"/>
          <w:sz w:val="24"/>
          <w:highlight w:val="none"/>
        </w:rPr>
      </w:pPr>
      <w:r>
        <w:rPr>
          <w:rFonts w:hint="eastAsia" w:ascii="宋体" w:hAnsi="宋体" w:cs="宋体"/>
          <w:color w:val="auto"/>
          <w:sz w:val="24"/>
          <w:highlight w:val="none"/>
        </w:rPr>
        <w:t>（1）满分为100分。总得分=商务技术得分+报价得分。</w:t>
      </w:r>
    </w:p>
    <w:p w14:paraId="77E0F5A5">
      <w:pPr>
        <w:pageBreakBefore w:val="0"/>
        <w:widowControl w:val="0"/>
        <w:kinsoku/>
        <w:wordWrap/>
        <w:overflowPunct/>
        <w:topLinePunct w:val="0"/>
        <w:autoSpaceDE w:val="0"/>
        <w:autoSpaceDN w:val="0"/>
        <w:bidi w:val="0"/>
        <w:adjustRightInd w:val="0"/>
        <w:snapToGrid/>
        <w:spacing w:beforeLines="0" w:line="360" w:lineRule="auto"/>
        <w:ind w:firstLine="200"/>
        <w:textAlignment w:val="auto"/>
        <w:rPr>
          <w:rFonts w:hint="eastAsia" w:ascii="宋体" w:hAnsi="宋体" w:cs="宋体"/>
          <w:color w:val="auto"/>
          <w:sz w:val="24"/>
          <w:highlight w:val="none"/>
        </w:rPr>
      </w:pPr>
      <w:r>
        <w:rPr>
          <w:rFonts w:hint="eastAsia" w:ascii="宋体" w:hAnsi="宋体" w:cs="宋体"/>
          <w:color w:val="auto"/>
          <w:sz w:val="24"/>
          <w:highlight w:val="none"/>
        </w:rPr>
        <w:t>（2）商务技术得分=商务技术评分，商务技术评分=所有评委的有效评分的算术平均数。</w:t>
      </w:r>
    </w:p>
    <w:p w14:paraId="583CE398">
      <w:pPr>
        <w:pageBreakBefore w:val="0"/>
        <w:widowControl w:val="0"/>
        <w:kinsoku/>
        <w:wordWrap/>
        <w:overflowPunct/>
        <w:topLinePunct w:val="0"/>
        <w:autoSpaceDE w:val="0"/>
        <w:autoSpaceDN w:val="0"/>
        <w:bidi w:val="0"/>
        <w:adjustRightInd w:val="0"/>
        <w:snapToGrid/>
        <w:spacing w:beforeLines="0" w:line="360" w:lineRule="auto"/>
        <w:ind w:firstLine="240" w:firstLineChars="100"/>
        <w:textAlignment w:val="auto"/>
        <w:rPr>
          <w:rFonts w:hint="eastAsia" w:ascii="宋体" w:hAnsi="宋体" w:cs="宋体"/>
          <w:color w:val="auto"/>
          <w:sz w:val="24"/>
          <w:highlight w:val="none"/>
        </w:rPr>
      </w:pPr>
      <w:r>
        <w:rPr>
          <w:rFonts w:hint="eastAsia" w:ascii="宋体" w:hAnsi="宋体" w:cs="宋体"/>
          <w:color w:val="auto"/>
          <w:sz w:val="24"/>
          <w:highlight w:val="none"/>
        </w:rPr>
        <w:t>（3）报价得分=（评标基准价/投标报价）×价格权值×100，评标基准价=有效投标人的最低投标报价，价格权值=20%。</w:t>
      </w:r>
    </w:p>
    <w:p w14:paraId="51D3D773">
      <w:pPr>
        <w:pageBreakBefore w:val="0"/>
        <w:widowControl w:val="0"/>
        <w:kinsoku/>
        <w:wordWrap/>
        <w:overflowPunct/>
        <w:topLinePunct w:val="0"/>
        <w:autoSpaceDE w:val="0"/>
        <w:autoSpaceDN w:val="0"/>
        <w:bidi w:val="0"/>
        <w:adjustRightInd w:val="0"/>
        <w:snapToGrid/>
        <w:spacing w:beforeLines="0" w:line="360" w:lineRule="auto"/>
        <w:ind w:firstLine="240" w:firstLineChars="100"/>
        <w:textAlignment w:val="auto"/>
        <w:rPr>
          <w:rFonts w:ascii="宋体" w:hAnsi="宋体" w:cs="宋体"/>
          <w:color w:val="auto"/>
          <w:sz w:val="24"/>
          <w:highlight w:val="none"/>
        </w:rPr>
      </w:pPr>
      <w:r>
        <w:rPr>
          <w:rFonts w:hint="eastAsia" w:ascii="宋体" w:hAnsi="宋体" w:cs="宋体"/>
          <w:color w:val="auto"/>
          <w:sz w:val="24"/>
          <w:highlight w:val="none"/>
        </w:rPr>
        <w:t>（4）商务技术分评分细则（80分）</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050"/>
        <w:gridCol w:w="7130"/>
        <w:gridCol w:w="544"/>
      </w:tblGrid>
      <w:tr w14:paraId="55D4D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50" w:type="dxa"/>
            <w:tcBorders>
              <w:top w:val="single" w:color="auto" w:sz="4" w:space="0"/>
              <w:left w:val="single" w:color="auto" w:sz="4" w:space="0"/>
              <w:bottom w:val="single" w:color="auto" w:sz="4" w:space="0"/>
              <w:right w:val="single" w:color="auto" w:sz="4" w:space="0"/>
            </w:tcBorders>
            <w:noWrap w:val="0"/>
            <w:vAlign w:val="center"/>
          </w:tcPr>
          <w:p w14:paraId="1AB45B75">
            <w:pPr>
              <w:keepNext w:val="0"/>
              <w:keepLines w:val="0"/>
              <w:pageBreakBefore w:val="0"/>
              <w:kinsoku/>
              <w:wordWrap/>
              <w:overflowPunct/>
              <w:topLinePunct w:val="0"/>
              <w:autoSpaceDE/>
              <w:autoSpaceDN/>
              <w:bidi w:val="0"/>
              <w:spacing w:beforeLines="0" w:line="360" w:lineRule="auto"/>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序号</w:t>
            </w:r>
          </w:p>
        </w:tc>
        <w:tc>
          <w:tcPr>
            <w:tcW w:w="1050" w:type="dxa"/>
            <w:tcBorders>
              <w:top w:val="single" w:color="auto" w:sz="4" w:space="0"/>
              <w:left w:val="nil"/>
              <w:bottom w:val="single" w:color="auto" w:sz="4" w:space="0"/>
              <w:right w:val="single" w:color="auto" w:sz="4" w:space="0"/>
            </w:tcBorders>
            <w:noWrap w:val="0"/>
            <w:vAlign w:val="center"/>
          </w:tcPr>
          <w:p w14:paraId="174BC6BB">
            <w:pPr>
              <w:keepNext w:val="0"/>
              <w:keepLines w:val="0"/>
              <w:pageBreakBefore w:val="0"/>
              <w:kinsoku/>
              <w:wordWrap/>
              <w:overflowPunct/>
              <w:topLinePunct w:val="0"/>
              <w:autoSpaceDE/>
              <w:autoSpaceDN/>
              <w:bidi w:val="0"/>
              <w:spacing w:beforeLines="0" w:line="360" w:lineRule="auto"/>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评审</w:t>
            </w:r>
          </w:p>
          <w:p w14:paraId="4BAEE9E4">
            <w:pPr>
              <w:keepNext w:val="0"/>
              <w:keepLines w:val="0"/>
              <w:pageBreakBefore w:val="0"/>
              <w:kinsoku/>
              <w:wordWrap/>
              <w:overflowPunct/>
              <w:topLinePunct w:val="0"/>
              <w:autoSpaceDE/>
              <w:autoSpaceDN/>
              <w:bidi w:val="0"/>
              <w:spacing w:beforeLines="0" w:line="360" w:lineRule="auto"/>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项目</w:t>
            </w:r>
          </w:p>
        </w:tc>
        <w:tc>
          <w:tcPr>
            <w:tcW w:w="7130" w:type="dxa"/>
            <w:tcBorders>
              <w:top w:val="single" w:color="auto" w:sz="4" w:space="0"/>
              <w:left w:val="nil"/>
              <w:bottom w:val="single" w:color="auto" w:sz="4" w:space="0"/>
              <w:right w:val="single" w:color="auto" w:sz="4" w:space="0"/>
            </w:tcBorders>
            <w:noWrap w:val="0"/>
            <w:vAlign w:val="center"/>
          </w:tcPr>
          <w:p w14:paraId="146D888C">
            <w:pPr>
              <w:keepNext w:val="0"/>
              <w:keepLines w:val="0"/>
              <w:pageBreakBefore w:val="0"/>
              <w:kinsoku/>
              <w:wordWrap/>
              <w:overflowPunct/>
              <w:topLinePunct w:val="0"/>
              <w:autoSpaceDE/>
              <w:autoSpaceDN/>
              <w:bidi w:val="0"/>
              <w:spacing w:beforeLines="0" w:line="360" w:lineRule="auto"/>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评审标准</w:t>
            </w:r>
          </w:p>
        </w:tc>
        <w:tc>
          <w:tcPr>
            <w:tcW w:w="544" w:type="dxa"/>
            <w:tcBorders>
              <w:top w:val="single" w:color="auto" w:sz="4" w:space="0"/>
              <w:left w:val="nil"/>
              <w:bottom w:val="single" w:color="auto" w:sz="4" w:space="0"/>
              <w:right w:val="single" w:color="auto" w:sz="4" w:space="0"/>
            </w:tcBorders>
            <w:noWrap w:val="0"/>
            <w:vAlign w:val="center"/>
          </w:tcPr>
          <w:p w14:paraId="24788CA1">
            <w:pPr>
              <w:keepNext w:val="0"/>
              <w:keepLines w:val="0"/>
              <w:pageBreakBefore w:val="0"/>
              <w:kinsoku/>
              <w:wordWrap/>
              <w:overflowPunct/>
              <w:topLinePunct w:val="0"/>
              <w:autoSpaceDE/>
              <w:autoSpaceDN/>
              <w:bidi w:val="0"/>
              <w:spacing w:beforeLines="0" w:line="360" w:lineRule="auto"/>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分值</w:t>
            </w:r>
          </w:p>
        </w:tc>
      </w:tr>
      <w:tr w14:paraId="5743C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50" w:type="dxa"/>
            <w:tcBorders>
              <w:top w:val="single" w:color="auto" w:sz="4" w:space="0"/>
              <w:left w:val="single" w:color="auto" w:sz="4" w:space="0"/>
              <w:bottom w:val="single" w:color="auto" w:sz="4" w:space="0"/>
              <w:right w:val="single" w:color="auto" w:sz="4" w:space="0"/>
            </w:tcBorders>
            <w:noWrap w:val="0"/>
            <w:vAlign w:val="center"/>
          </w:tcPr>
          <w:p w14:paraId="35029309">
            <w:pPr>
              <w:keepNext w:val="0"/>
              <w:keepLines w:val="0"/>
              <w:pageBreakBefore w:val="0"/>
              <w:kinsoku/>
              <w:wordWrap/>
              <w:overflowPunct/>
              <w:topLinePunct w:val="0"/>
              <w:autoSpaceDE/>
              <w:autoSpaceDN/>
              <w:bidi w:val="0"/>
              <w:spacing w:beforeLines="0" w:line="360" w:lineRule="auto"/>
              <w:jc w:val="center"/>
              <w:rPr>
                <w:rFonts w:hint="eastAsia" w:ascii="宋体" w:hAnsi="宋体" w:cs="宋体"/>
                <w:color w:val="auto"/>
                <w:sz w:val="24"/>
                <w:szCs w:val="24"/>
                <w:highlight w:val="none"/>
              </w:rPr>
            </w:pPr>
            <w:r>
              <w:rPr>
                <w:rFonts w:hint="eastAsia" w:ascii="宋体" w:hAnsi="宋体" w:cs="宋体"/>
                <w:bCs/>
                <w:color w:val="auto"/>
                <w:sz w:val="24"/>
                <w:szCs w:val="24"/>
                <w:highlight w:val="none"/>
              </w:rPr>
              <w:t>1</w:t>
            </w:r>
          </w:p>
        </w:tc>
        <w:tc>
          <w:tcPr>
            <w:tcW w:w="1050" w:type="dxa"/>
            <w:tcBorders>
              <w:top w:val="single" w:color="auto" w:sz="4" w:space="0"/>
              <w:left w:val="nil"/>
              <w:bottom w:val="single" w:color="auto" w:sz="4" w:space="0"/>
              <w:right w:val="single" w:color="auto" w:sz="4" w:space="0"/>
            </w:tcBorders>
            <w:noWrap w:val="0"/>
            <w:vAlign w:val="center"/>
          </w:tcPr>
          <w:p w14:paraId="0E158F91">
            <w:pPr>
              <w:keepNext w:val="0"/>
              <w:keepLines w:val="0"/>
              <w:pageBreakBefore w:val="0"/>
              <w:widowControl/>
              <w:kinsoku/>
              <w:wordWrap/>
              <w:overflowPunct/>
              <w:topLinePunct w:val="0"/>
              <w:autoSpaceDE/>
              <w:autoSpaceDN/>
              <w:bidi w:val="0"/>
              <w:spacing w:beforeLines="0"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企业</w:t>
            </w:r>
          </w:p>
          <w:p w14:paraId="01CC9FF3">
            <w:pPr>
              <w:keepNext w:val="0"/>
              <w:keepLines w:val="0"/>
              <w:pageBreakBefore w:val="0"/>
              <w:widowControl/>
              <w:kinsoku/>
              <w:wordWrap/>
              <w:overflowPunct/>
              <w:topLinePunct w:val="0"/>
              <w:autoSpaceDE/>
              <w:autoSpaceDN/>
              <w:bidi w:val="0"/>
              <w:spacing w:beforeLines="0"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资质</w:t>
            </w:r>
          </w:p>
        </w:tc>
        <w:tc>
          <w:tcPr>
            <w:tcW w:w="7130" w:type="dxa"/>
            <w:tcBorders>
              <w:top w:val="single" w:color="auto" w:sz="4" w:space="0"/>
              <w:left w:val="nil"/>
              <w:bottom w:val="single" w:color="auto" w:sz="4" w:space="0"/>
              <w:right w:val="single" w:color="auto" w:sz="4" w:space="0"/>
            </w:tcBorders>
            <w:noWrap w:val="0"/>
            <w:vAlign w:val="center"/>
          </w:tcPr>
          <w:p w14:paraId="6AE57281">
            <w:pPr>
              <w:pStyle w:val="28"/>
              <w:keepNext w:val="0"/>
              <w:keepLines w:val="0"/>
              <w:pageBreakBefore w:val="0"/>
              <w:kinsoku/>
              <w:wordWrap/>
              <w:overflowPunct/>
              <w:topLinePunct w:val="0"/>
              <w:autoSpaceDE/>
              <w:autoSpaceDN/>
              <w:bidi w:val="0"/>
              <w:spacing w:beforeLines="0" w:after="0" w:line="360" w:lineRule="auto"/>
              <w:jc w:val="both"/>
              <w:rPr>
                <w:rFonts w:hint="eastAsia" w:ascii="宋体" w:hAnsi="宋体" w:cs="宋体"/>
                <w:color w:val="auto"/>
                <w:szCs w:val="24"/>
                <w:highlight w:val="none"/>
              </w:rPr>
            </w:pPr>
            <w:r>
              <w:rPr>
                <w:rFonts w:hint="eastAsia" w:ascii="宋体" w:hAnsi="宋体" w:cs="宋体"/>
                <w:color w:val="auto"/>
                <w:szCs w:val="24"/>
                <w:highlight w:val="none"/>
              </w:rPr>
              <w:t>投标人（或所投产品供应商）具有ISO9001质量管理体系认证证书、ISO27001信息安全管理体系认证证书、ISO27701隐私信息管理体系认证证书的，</w:t>
            </w:r>
            <w:r>
              <w:rPr>
                <w:rFonts w:hint="eastAsia" w:ascii="宋体" w:hAnsi="宋体" w:cs="宋体"/>
                <w:color w:val="auto"/>
                <w:szCs w:val="24"/>
                <w:highlight w:val="none"/>
                <w:lang w:val="en-US" w:eastAsia="zh-CN"/>
              </w:rPr>
              <w:t>每提供</w:t>
            </w:r>
            <w:r>
              <w:rPr>
                <w:rFonts w:hint="eastAsia" w:ascii="宋体" w:hAnsi="宋体" w:cs="宋体"/>
                <w:color w:val="auto"/>
                <w:szCs w:val="24"/>
                <w:highlight w:val="none"/>
              </w:rPr>
              <w:t>一个证书得1分，</w:t>
            </w:r>
            <w:r>
              <w:rPr>
                <w:rFonts w:hint="eastAsia" w:ascii="宋体" w:hAnsi="宋体" w:cs="宋体"/>
                <w:color w:val="auto"/>
                <w:szCs w:val="24"/>
                <w:highlight w:val="none"/>
                <w:lang w:val="en-US" w:eastAsia="zh-CN"/>
              </w:rPr>
              <w:t>不提供不得分，</w:t>
            </w:r>
            <w:r>
              <w:rPr>
                <w:rFonts w:hint="eastAsia" w:ascii="宋体" w:hAnsi="宋体" w:cs="宋体"/>
                <w:color w:val="auto"/>
                <w:szCs w:val="24"/>
                <w:highlight w:val="none"/>
              </w:rPr>
              <w:t>本项最高</w:t>
            </w:r>
            <w:r>
              <w:rPr>
                <w:rFonts w:hint="eastAsia" w:ascii="宋体" w:hAnsi="宋体" w:cs="宋体"/>
                <w:color w:val="auto"/>
                <w:szCs w:val="24"/>
                <w:highlight w:val="none"/>
                <w:lang w:val="en-US" w:eastAsia="zh-CN"/>
              </w:rPr>
              <w:t>得</w:t>
            </w:r>
            <w:r>
              <w:rPr>
                <w:rFonts w:ascii="宋体" w:hAnsi="宋体" w:cs="宋体"/>
                <w:color w:val="auto"/>
                <w:szCs w:val="24"/>
                <w:highlight w:val="none"/>
              </w:rPr>
              <w:t>3</w:t>
            </w:r>
            <w:r>
              <w:rPr>
                <w:rFonts w:hint="eastAsia" w:ascii="宋体" w:hAnsi="宋体" w:cs="宋体"/>
                <w:color w:val="auto"/>
                <w:szCs w:val="24"/>
                <w:highlight w:val="none"/>
              </w:rPr>
              <w:t>分。</w:t>
            </w:r>
          </w:p>
          <w:p w14:paraId="06E1688C">
            <w:pPr>
              <w:pStyle w:val="28"/>
              <w:keepNext w:val="0"/>
              <w:keepLines w:val="0"/>
              <w:pageBreakBefore w:val="0"/>
              <w:kinsoku/>
              <w:wordWrap/>
              <w:overflowPunct/>
              <w:topLinePunct w:val="0"/>
              <w:autoSpaceDE/>
              <w:autoSpaceDN/>
              <w:bidi w:val="0"/>
              <w:spacing w:beforeLines="0" w:after="0" w:line="360" w:lineRule="auto"/>
              <w:jc w:val="both"/>
              <w:rPr>
                <w:rFonts w:hint="eastAsia" w:ascii="宋体" w:hAnsi="宋体" w:cs="宋体"/>
                <w:b/>
                <w:color w:val="auto"/>
                <w:szCs w:val="24"/>
                <w:highlight w:val="none"/>
              </w:rPr>
            </w:pPr>
            <w:r>
              <w:rPr>
                <w:rFonts w:hint="eastAsia" w:ascii="宋体" w:hAnsi="宋体" w:cs="宋体"/>
                <w:color w:val="auto"/>
                <w:szCs w:val="24"/>
                <w:highlight w:val="none"/>
                <w:lang w:eastAsia="zh-CN"/>
              </w:rPr>
              <w:t>（</w:t>
            </w:r>
            <w:r>
              <w:rPr>
                <w:rFonts w:hint="eastAsia" w:ascii="宋体" w:hAnsi="宋体" w:eastAsia="宋体" w:cs="Times New Roman"/>
                <w:color w:val="auto"/>
                <w:highlight w:val="none"/>
                <w:lang w:val="en-US" w:eastAsia="zh-CN"/>
              </w:rPr>
              <w:t>注：须提供有效证书扫描件并加盖投标人公章</w:t>
            </w:r>
            <w:r>
              <w:rPr>
                <w:rFonts w:hint="eastAsia" w:ascii="宋体" w:hAnsi="宋体" w:cs="宋体"/>
                <w:color w:val="auto"/>
                <w:szCs w:val="24"/>
                <w:highlight w:val="none"/>
                <w:lang w:eastAsia="zh-CN"/>
              </w:rPr>
              <w:t>）</w:t>
            </w:r>
          </w:p>
        </w:tc>
        <w:tc>
          <w:tcPr>
            <w:tcW w:w="544" w:type="dxa"/>
            <w:tcBorders>
              <w:top w:val="single" w:color="auto" w:sz="4" w:space="0"/>
              <w:left w:val="nil"/>
              <w:bottom w:val="single" w:color="auto" w:sz="4" w:space="0"/>
              <w:right w:val="single" w:color="auto" w:sz="4" w:space="0"/>
            </w:tcBorders>
            <w:noWrap w:val="0"/>
            <w:vAlign w:val="center"/>
          </w:tcPr>
          <w:p w14:paraId="3B61AFAC">
            <w:pPr>
              <w:pStyle w:val="28"/>
              <w:keepNext w:val="0"/>
              <w:keepLines w:val="0"/>
              <w:pageBreakBefore w:val="0"/>
              <w:kinsoku/>
              <w:wordWrap/>
              <w:overflowPunct/>
              <w:topLinePunct w:val="0"/>
              <w:autoSpaceDE/>
              <w:autoSpaceDN/>
              <w:bidi w:val="0"/>
              <w:spacing w:beforeLines="0" w:after="0" w:line="360" w:lineRule="auto"/>
              <w:rPr>
                <w:rFonts w:hint="eastAsia" w:ascii="宋体" w:hAnsi="宋体" w:cs="宋体"/>
                <w:color w:val="auto"/>
                <w:szCs w:val="24"/>
                <w:highlight w:val="none"/>
              </w:rPr>
            </w:pPr>
            <w:r>
              <w:rPr>
                <w:rFonts w:hint="eastAsia" w:ascii="宋体" w:hAnsi="宋体" w:cs="宋体"/>
                <w:color w:val="auto"/>
                <w:szCs w:val="24"/>
                <w:highlight w:val="none"/>
              </w:rPr>
              <w:t>3</w:t>
            </w:r>
          </w:p>
        </w:tc>
      </w:tr>
      <w:tr w14:paraId="16DB6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50" w:type="dxa"/>
            <w:tcBorders>
              <w:top w:val="single" w:color="auto" w:sz="4" w:space="0"/>
              <w:left w:val="single" w:color="auto" w:sz="4" w:space="0"/>
              <w:bottom w:val="single" w:color="auto" w:sz="4" w:space="0"/>
              <w:right w:val="single" w:color="auto" w:sz="4" w:space="0"/>
            </w:tcBorders>
            <w:noWrap w:val="0"/>
            <w:vAlign w:val="center"/>
          </w:tcPr>
          <w:p w14:paraId="2B2FCBC7">
            <w:pPr>
              <w:keepNext w:val="0"/>
              <w:keepLines w:val="0"/>
              <w:pageBreakBefore w:val="0"/>
              <w:kinsoku/>
              <w:wordWrap/>
              <w:overflowPunct/>
              <w:topLinePunct w:val="0"/>
              <w:autoSpaceDE/>
              <w:autoSpaceDN/>
              <w:bidi w:val="0"/>
              <w:spacing w:beforeLines="0" w:line="360" w:lineRule="auto"/>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2</w:t>
            </w:r>
          </w:p>
        </w:tc>
        <w:tc>
          <w:tcPr>
            <w:tcW w:w="1050" w:type="dxa"/>
            <w:tcBorders>
              <w:top w:val="single" w:color="auto" w:sz="4" w:space="0"/>
              <w:left w:val="nil"/>
              <w:bottom w:val="single" w:color="auto" w:sz="4" w:space="0"/>
              <w:right w:val="single" w:color="auto" w:sz="4" w:space="0"/>
            </w:tcBorders>
            <w:noWrap w:val="0"/>
            <w:vAlign w:val="center"/>
          </w:tcPr>
          <w:p w14:paraId="248C0F17">
            <w:pPr>
              <w:keepNext w:val="0"/>
              <w:keepLines w:val="0"/>
              <w:pageBreakBefore w:val="0"/>
              <w:widowControl/>
              <w:kinsoku/>
              <w:wordWrap/>
              <w:overflowPunct/>
              <w:topLinePunct w:val="0"/>
              <w:autoSpaceDE/>
              <w:autoSpaceDN/>
              <w:bidi w:val="0"/>
              <w:spacing w:beforeLines="0"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产品稳定性</w:t>
            </w:r>
          </w:p>
        </w:tc>
        <w:tc>
          <w:tcPr>
            <w:tcW w:w="7130" w:type="dxa"/>
            <w:tcBorders>
              <w:top w:val="single" w:color="auto" w:sz="4" w:space="0"/>
              <w:left w:val="nil"/>
              <w:bottom w:val="single" w:color="auto" w:sz="4" w:space="0"/>
              <w:right w:val="single" w:color="auto" w:sz="4" w:space="0"/>
            </w:tcBorders>
            <w:noWrap w:val="0"/>
            <w:vAlign w:val="center"/>
          </w:tcPr>
          <w:p w14:paraId="0DE21A83">
            <w:pPr>
              <w:pStyle w:val="28"/>
              <w:keepNext w:val="0"/>
              <w:keepLines w:val="0"/>
              <w:pageBreakBefore w:val="0"/>
              <w:kinsoku/>
              <w:wordWrap/>
              <w:overflowPunct/>
              <w:topLinePunct w:val="0"/>
              <w:autoSpaceDE/>
              <w:autoSpaceDN/>
              <w:bidi w:val="0"/>
              <w:spacing w:beforeLines="0" w:after="0" w:line="360" w:lineRule="auto"/>
              <w:jc w:val="both"/>
              <w:rPr>
                <w:rFonts w:hint="eastAsia" w:ascii="宋体" w:hAnsi="宋体" w:cs="宋体"/>
                <w:color w:val="auto"/>
                <w:szCs w:val="24"/>
                <w:highlight w:val="none"/>
              </w:rPr>
            </w:pPr>
            <w:r>
              <w:rPr>
                <w:rFonts w:hint="eastAsia" w:ascii="宋体" w:hAnsi="宋体" w:cs="宋体"/>
                <w:color w:val="auto"/>
                <w:szCs w:val="24"/>
                <w:highlight w:val="none"/>
              </w:rPr>
              <w:t>投标人（或所投产品供应商）具有有效的软件过程及能力成熟度评估认证证书（SPCA），五级以下得1分，五级得2分，不提供不得分，本项最高</w:t>
            </w:r>
            <w:r>
              <w:rPr>
                <w:rFonts w:hint="eastAsia" w:ascii="宋体" w:hAnsi="宋体" w:cs="宋体"/>
                <w:color w:val="auto"/>
                <w:szCs w:val="24"/>
                <w:highlight w:val="none"/>
                <w:lang w:val="en-US" w:eastAsia="zh-CN"/>
              </w:rPr>
              <w:t>得</w:t>
            </w:r>
            <w:r>
              <w:rPr>
                <w:rFonts w:hint="eastAsia" w:ascii="宋体" w:hAnsi="宋体" w:cs="宋体"/>
                <w:color w:val="auto"/>
                <w:szCs w:val="24"/>
                <w:highlight w:val="none"/>
              </w:rPr>
              <w:t>2分。</w:t>
            </w:r>
          </w:p>
          <w:p w14:paraId="2A5DA755">
            <w:pPr>
              <w:pStyle w:val="28"/>
              <w:keepNext w:val="0"/>
              <w:keepLines w:val="0"/>
              <w:pageBreakBefore w:val="0"/>
              <w:kinsoku/>
              <w:wordWrap/>
              <w:overflowPunct/>
              <w:topLinePunct w:val="0"/>
              <w:autoSpaceDE/>
              <w:autoSpaceDN/>
              <w:bidi w:val="0"/>
              <w:spacing w:beforeLines="0" w:after="0" w:line="360" w:lineRule="auto"/>
              <w:jc w:val="both"/>
              <w:rPr>
                <w:rFonts w:hint="eastAsia" w:ascii="宋体" w:hAnsi="宋体" w:cs="宋体"/>
                <w:color w:val="auto"/>
                <w:szCs w:val="24"/>
                <w:highlight w:val="none"/>
              </w:rPr>
            </w:pPr>
            <w:r>
              <w:rPr>
                <w:rFonts w:hint="eastAsia" w:ascii="宋体" w:hAnsi="宋体" w:cs="宋体"/>
                <w:color w:val="auto"/>
                <w:szCs w:val="24"/>
                <w:highlight w:val="none"/>
                <w:lang w:eastAsia="zh-CN"/>
              </w:rPr>
              <w:t>（</w:t>
            </w:r>
            <w:r>
              <w:rPr>
                <w:rFonts w:hint="eastAsia" w:ascii="宋体" w:hAnsi="宋体" w:eastAsia="宋体" w:cs="Times New Roman"/>
                <w:color w:val="auto"/>
                <w:highlight w:val="none"/>
                <w:lang w:val="en-US" w:eastAsia="zh-CN"/>
              </w:rPr>
              <w:t>注：须提供有效证书扫描件并加盖投标人公章</w:t>
            </w:r>
            <w:r>
              <w:rPr>
                <w:rFonts w:hint="eastAsia" w:ascii="宋体" w:hAnsi="宋体" w:cs="宋体"/>
                <w:color w:val="auto"/>
                <w:szCs w:val="24"/>
                <w:highlight w:val="none"/>
                <w:lang w:eastAsia="zh-CN"/>
              </w:rPr>
              <w:t>）</w:t>
            </w:r>
          </w:p>
        </w:tc>
        <w:tc>
          <w:tcPr>
            <w:tcW w:w="544" w:type="dxa"/>
            <w:tcBorders>
              <w:top w:val="single" w:color="auto" w:sz="4" w:space="0"/>
              <w:left w:val="nil"/>
              <w:bottom w:val="single" w:color="auto" w:sz="4" w:space="0"/>
              <w:right w:val="single" w:color="auto" w:sz="4" w:space="0"/>
            </w:tcBorders>
            <w:noWrap w:val="0"/>
            <w:vAlign w:val="center"/>
          </w:tcPr>
          <w:p w14:paraId="065E9574">
            <w:pPr>
              <w:pStyle w:val="28"/>
              <w:keepNext w:val="0"/>
              <w:keepLines w:val="0"/>
              <w:pageBreakBefore w:val="0"/>
              <w:kinsoku/>
              <w:wordWrap/>
              <w:overflowPunct/>
              <w:topLinePunct w:val="0"/>
              <w:autoSpaceDE/>
              <w:autoSpaceDN/>
              <w:bidi w:val="0"/>
              <w:spacing w:beforeLines="0" w:after="0" w:line="360" w:lineRule="auto"/>
              <w:rPr>
                <w:rFonts w:hint="eastAsia" w:ascii="宋体" w:hAnsi="宋体" w:cs="宋体"/>
                <w:color w:val="auto"/>
                <w:szCs w:val="24"/>
                <w:highlight w:val="none"/>
              </w:rPr>
            </w:pPr>
            <w:r>
              <w:rPr>
                <w:rFonts w:hint="eastAsia" w:ascii="宋体" w:hAnsi="宋体" w:cs="宋体"/>
                <w:color w:val="auto"/>
                <w:szCs w:val="24"/>
                <w:highlight w:val="none"/>
              </w:rPr>
              <w:t>2</w:t>
            </w:r>
          </w:p>
        </w:tc>
      </w:tr>
      <w:tr w14:paraId="6A684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50" w:type="dxa"/>
            <w:tcBorders>
              <w:top w:val="single" w:color="auto" w:sz="4" w:space="0"/>
              <w:left w:val="single" w:color="auto" w:sz="4" w:space="0"/>
              <w:bottom w:val="single" w:color="auto" w:sz="4" w:space="0"/>
              <w:right w:val="single" w:color="auto" w:sz="4" w:space="0"/>
            </w:tcBorders>
            <w:noWrap w:val="0"/>
            <w:vAlign w:val="center"/>
          </w:tcPr>
          <w:p w14:paraId="2676099A">
            <w:pPr>
              <w:keepNext w:val="0"/>
              <w:keepLines w:val="0"/>
              <w:pageBreakBefore w:val="0"/>
              <w:kinsoku/>
              <w:wordWrap/>
              <w:overflowPunct/>
              <w:topLinePunct w:val="0"/>
              <w:autoSpaceDE/>
              <w:autoSpaceDN/>
              <w:bidi w:val="0"/>
              <w:spacing w:beforeLines="0" w:line="360" w:lineRule="auto"/>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3</w:t>
            </w:r>
          </w:p>
        </w:tc>
        <w:tc>
          <w:tcPr>
            <w:tcW w:w="1050" w:type="dxa"/>
            <w:tcBorders>
              <w:top w:val="single" w:color="auto" w:sz="4" w:space="0"/>
              <w:left w:val="nil"/>
              <w:bottom w:val="single" w:color="auto" w:sz="4" w:space="0"/>
              <w:right w:val="single" w:color="auto" w:sz="4" w:space="0"/>
            </w:tcBorders>
            <w:noWrap w:val="0"/>
            <w:vAlign w:val="center"/>
          </w:tcPr>
          <w:p w14:paraId="1816EF40">
            <w:pPr>
              <w:keepNext w:val="0"/>
              <w:keepLines w:val="0"/>
              <w:pageBreakBefore w:val="0"/>
              <w:widowControl/>
              <w:kinsoku/>
              <w:wordWrap/>
              <w:overflowPunct/>
              <w:topLinePunct w:val="0"/>
              <w:autoSpaceDE/>
              <w:autoSpaceDN/>
              <w:bidi w:val="0"/>
              <w:spacing w:beforeLines="0"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系统</w:t>
            </w:r>
          </w:p>
          <w:p w14:paraId="0C1F90FC">
            <w:pPr>
              <w:keepNext w:val="0"/>
              <w:keepLines w:val="0"/>
              <w:pageBreakBefore w:val="0"/>
              <w:widowControl/>
              <w:kinsoku/>
              <w:wordWrap/>
              <w:overflowPunct/>
              <w:topLinePunct w:val="0"/>
              <w:autoSpaceDE/>
              <w:autoSpaceDN/>
              <w:bidi w:val="0"/>
              <w:spacing w:beforeLines="0"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安全</w:t>
            </w:r>
            <w:r>
              <w:rPr>
                <w:rFonts w:hint="eastAsia" w:ascii="宋体" w:hAnsi="宋体" w:cs="宋体"/>
                <w:color w:val="auto"/>
                <w:sz w:val="24"/>
                <w:szCs w:val="24"/>
                <w:highlight w:val="none"/>
                <w:lang w:val="en-US" w:eastAsia="zh-CN"/>
              </w:rPr>
              <w:t>性</w:t>
            </w:r>
          </w:p>
        </w:tc>
        <w:tc>
          <w:tcPr>
            <w:tcW w:w="7130" w:type="dxa"/>
            <w:tcBorders>
              <w:top w:val="single" w:color="auto" w:sz="4" w:space="0"/>
              <w:left w:val="nil"/>
              <w:bottom w:val="single" w:color="auto" w:sz="4" w:space="0"/>
              <w:right w:val="single" w:color="auto" w:sz="4" w:space="0"/>
            </w:tcBorders>
            <w:noWrap w:val="0"/>
            <w:vAlign w:val="center"/>
          </w:tcPr>
          <w:p w14:paraId="0BFF8065">
            <w:pPr>
              <w:pStyle w:val="28"/>
              <w:keepNext w:val="0"/>
              <w:keepLines w:val="0"/>
              <w:pageBreakBefore w:val="0"/>
              <w:kinsoku/>
              <w:wordWrap/>
              <w:overflowPunct/>
              <w:topLinePunct w:val="0"/>
              <w:autoSpaceDE/>
              <w:autoSpaceDN/>
              <w:bidi w:val="0"/>
              <w:spacing w:beforeLines="0" w:after="0" w:line="360" w:lineRule="auto"/>
              <w:jc w:val="both"/>
              <w:rPr>
                <w:rFonts w:hint="eastAsia" w:ascii="宋体" w:hAnsi="宋体" w:cs="宋体"/>
                <w:color w:val="auto"/>
                <w:szCs w:val="24"/>
                <w:highlight w:val="none"/>
              </w:rPr>
            </w:pPr>
            <w:r>
              <w:rPr>
                <w:rFonts w:hint="eastAsia" w:ascii="宋体" w:hAnsi="宋体" w:cs="宋体"/>
                <w:color w:val="auto"/>
                <w:szCs w:val="24"/>
                <w:highlight w:val="none"/>
              </w:rPr>
              <w:t>投标人（或所投产品供应商）具有中国网络安全审查技术与认证中心颁发的信息系统安全集成服务资质二级及以上证书得</w:t>
            </w:r>
            <w:r>
              <w:rPr>
                <w:rFonts w:ascii="宋体" w:hAnsi="宋体" w:cs="宋体"/>
                <w:color w:val="auto"/>
                <w:szCs w:val="24"/>
                <w:highlight w:val="none"/>
              </w:rPr>
              <w:t>2</w:t>
            </w:r>
            <w:r>
              <w:rPr>
                <w:rFonts w:hint="eastAsia" w:ascii="宋体" w:hAnsi="宋体" w:cs="宋体"/>
                <w:color w:val="auto"/>
                <w:szCs w:val="24"/>
                <w:highlight w:val="none"/>
              </w:rPr>
              <w:t>分，不提供不得分，本项最高</w:t>
            </w:r>
            <w:r>
              <w:rPr>
                <w:rFonts w:hint="eastAsia" w:ascii="宋体" w:hAnsi="宋体" w:cs="宋体"/>
                <w:color w:val="auto"/>
                <w:szCs w:val="24"/>
                <w:highlight w:val="none"/>
                <w:lang w:val="en-US" w:eastAsia="zh-CN"/>
              </w:rPr>
              <w:t>得</w:t>
            </w:r>
            <w:r>
              <w:rPr>
                <w:rFonts w:ascii="宋体" w:hAnsi="宋体" w:cs="宋体"/>
                <w:color w:val="auto"/>
                <w:szCs w:val="24"/>
                <w:highlight w:val="none"/>
              </w:rPr>
              <w:t>2</w:t>
            </w:r>
            <w:r>
              <w:rPr>
                <w:rFonts w:hint="eastAsia" w:ascii="宋体" w:hAnsi="宋体" w:cs="宋体"/>
                <w:color w:val="auto"/>
                <w:szCs w:val="24"/>
                <w:highlight w:val="none"/>
              </w:rPr>
              <w:t>分。</w:t>
            </w:r>
          </w:p>
          <w:p w14:paraId="042DFA9E">
            <w:pPr>
              <w:pStyle w:val="28"/>
              <w:keepNext w:val="0"/>
              <w:keepLines w:val="0"/>
              <w:pageBreakBefore w:val="0"/>
              <w:kinsoku/>
              <w:wordWrap/>
              <w:overflowPunct/>
              <w:topLinePunct w:val="0"/>
              <w:autoSpaceDE/>
              <w:autoSpaceDN/>
              <w:bidi w:val="0"/>
              <w:spacing w:beforeLines="0" w:after="0" w:line="360" w:lineRule="auto"/>
              <w:jc w:val="both"/>
              <w:rPr>
                <w:rFonts w:hint="eastAsia" w:ascii="宋体" w:hAnsi="宋体" w:cs="宋体"/>
                <w:color w:val="auto"/>
                <w:szCs w:val="24"/>
                <w:highlight w:val="none"/>
              </w:rPr>
            </w:pPr>
            <w:r>
              <w:rPr>
                <w:rFonts w:hint="eastAsia" w:ascii="宋体" w:hAnsi="宋体" w:cs="宋体"/>
                <w:color w:val="auto"/>
                <w:szCs w:val="24"/>
                <w:highlight w:val="none"/>
                <w:lang w:eastAsia="zh-CN"/>
              </w:rPr>
              <w:t>（</w:t>
            </w:r>
            <w:r>
              <w:rPr>
                <w:rFonts w:hint="eastAsia" w:ascii="宋体" w:hAnsi="宋体" w:eastAsia="宋体" w:cs="Times New Roman"/>
                <w:color w:val="auto"/>
                <w:highlight w:val="none"/>
                <w:lang w:val="en-US" w:eastAsia="zh-CN"/>
              </w:rPr>
              <w:t>注：须提供有效证书扫描件并加盖投标人公章</w:t>
            </w:r>
            <w:r>
              <w:rPr>
                <w:rFonts w:hint="eastAsia" w:ascii="宋体" w:hAnsi="宋体" w:cs="宋体"/>
                <w:color w:val="auto"/>
                <w:szCs w:val="24"/>
                <w:highlight w:val="none"/>
                <w:lang w:eastAsia="zh-CN"/>
              </w:rPr>
              <w:t>）</w:t>
            </w:r>
          </w:p>
        </w:tc>
        <w:tc>
          <w:tcPr>
            <w:tcW w:w="544" w:type="dxa"/>
            <w:tcBorders>
              <w:top w:val="single" w:color="auto" w:sz="4" w:space="0"/>
              <w:left w:val="nil"/>
              <w:bottom w:val="single" w:color="auto" w:sz="4" w:space="0"/>
              <w:right w:val="single" w:color="auto" w:sz="4" w:space="0"/>
            </w:tcBorders>
            <w:noWrap w:val="0"/>
            <w:vAlign w:val="center"/>
          </w:tcPr>
          <w:p w14:paraId="5B8DB703">
            <w:pPr>
              <w:pStyle w:val="28"/>
              <w:keepNext w:val="0"/>
              <w:keepLines w:val="0"/>
              <w:pageBreakBefore w:val="0"/>
              <w:kinsoku/>
              <w:wordWrap/>
              <w:overflowPunct/>
              <w:topLinePunct w:val="0"/>
              <w:autoSpaceDE/>
              <w:autoSpaceDN/>
              <w:bidi w:val="0"/>
              <w:spacing w:beforeLines="0" w:after="0" w:line="360" w:lineRule="auto"/>
              <w:rPr>
                <w:rFonts w:hint="eastAsia" w:ascii="宋体" w:hAnsi="宋体" w:cs="宋体"/>
                <w:color w:val="auto"/>
                <w:szCs w:val="24"/>
                <w:highlight w:val="none"/>
              </w:rPr>
            </w:pPr>
            <w:r>
              <w:rPr>
                <w:rFonts w:ascii="宋体" w:hAnsi="宋体" w:cs="宋体"/>
                <w:color w:val="auto"/>
                <w:szCs w:val="24"/>
                <w:highlight w:val="none"/>
              </w:rPr>
              <w:t>2</w:t>
            </w:r>
          </w:p>
        </w:tc>
      </w:tr>
      <w:tr w14:paraId="20802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50" w:type="dxa"/>
            <w:tcBorders>
              <w:top w:val="single" w:color="auto" w:sz="4" w:space="0"/>
              <w:left w:val="single" w:color="auto" w:sz="4" w:space="0"/>
              <w:bottom w:val="single" w:color="auto" w:sz="4" w:space="0"/>
              <w:right w:val="single" w:color="auto" w:sz="4" w:space="0"/>
            </w:tcBorders>
            <w:noWrap w:val="0"/>
            <w:vAlign w:val="center"/>
          </w:tcPr>
          <w:p w14:paraId="1A207409">
            <w:pPr>
              <w:keepNext w:val="0"/>
              <w:keepLines w:val="0"/>
              <w:pageBreakBefore w:val="0"/>
              <w:kinsoku/>
              <w:wordWrap/>
              <w:overflowPunct/>
              <w:topLinePunct w:val="0"/>
              <w:autoSpaceDE/>
              <w:autoSpaceDN/>
              <w:bidi w:val="0"/>
              <w:spacing w:beforeLines="0" w:line="360" w:lineRule="auto"/>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4</w:t>
            </w:r>
          </w:p>
        </w:tc>
        <w:tc>
          <w:tcPr>
            <w:tcW w:w="1050" w:type="dxa"/>
            <w:tcBorders>
              <w:top w:val="single" w:color="auto" w:sz="4" w:space="0"/>
              <w:left w:val="nil"/>
              <w:bottom w:val="single" w:color="auto" w:sz="4" w:space="0"/>
              <w:right w:val="single" w:color="auto" w:sz="4" w:space="0"/>
            </w:tcBorders>
            <w:noWrap w:val="0"/>
            <w:vAlign w:val="center"/>
          </w:tcPr>
          <w:p w14:paraId="3F41A521">
            <w:pPr>
              <w:keepNext w:val="0"/>
              <w:keepLines w:val="0"/>
              <w:pageBreakBefore w:val="0"/>
              <w:widowControl/>
              <w:kinsoku/>
              <w:wordWrap/>
              <w:overflowPunct/>
              <w:topLinePunct w:val="0"/>
              <w:autoSpaceDE/>
              <w:autoSpaceDN/>
              <w:bidi w:val="0"/>
              <w:spacing w:beforeLines="0" w:line="360" w:lineRule="auto"/>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业绩</w:t>
            </w:r>
          </w:p>
          <w:p w14:paraId="139E3955">
            <w:pPr>
              <w:keepNext w:val="0"/>
              <w:keepLines w:val="0"/>
              <w:pageBreakBefore w:val="0"/>
              <w:widowControl/>
              <w:kinsoku/>
              <w:wordWrap/>
              <w:overflowPunct/>
              <w:topLinePunct w:val="0"/>
              <w:autoSpaceDE/>
              <w:autoSpaceDN/>
              <w:bidi w:val="0"/>
              <w:spacing w:beforeLines="0"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经验</w:t>
            </w:r>
          </w:p>
        </w:tc>
        <w:tc>
          <w:tcPr>
            <w:tcW w:w="7130" w:type="dxa"/>
            <w:tcBorders>
              <w:top w:val="single" w:color="auto" w:sz="4" w:space="0"/>
              <w:left w:val="nil"/>
              <w:bottom w:val="single" w:color="auto" w:sz="4" w:space="0"/>
              <w:right w:val="single" w:color="auto" w:sz="4" w:space="0"/>
            </w:tcBorders>
            <w:noWrap w:val="0"/>
            <w:vAlign w:val="center"/>
          </w:tcPr>
          <w:p w14:paraId="3A83C29D">
            <w:pPr>
              <w:pStyle w:val="28"/>
              <w:keepNext w:val="0"/>
              <w:keepLines w:val="0"/>
              <w:pageBreakBefore w:val="0"/>
              <w:kinsoku/>
              <w:wordWrap/>
              <w:overflowPunct/>
              <w:topLinePunct w:val="0"/>
              <w:autoSpaceDE/>
              <w:autoSpaceDN/>
              <w:bidi w:val="0"/>
              <w:spacing w:beforeLines="0" w:after="0" w:line="360" w:lineRule="auto"/>
              <w:jc w:val="both"/>
              <w:rPr>
                <w:rFonts w:hint="eastAsia" w:ascii="宋体" w:hAnsi="宋体"/>
                <w:color w:val="auto"/>
                <w:highlight w:val="none"/>
              </w:rPr>
            </w:pPr>
            <w:r>
              <w:rPr>
                <w:rFonts w:hint="eastAsia" w:ascii="宋体" w:hAnsi="宋体" w:cs="宋体"/>
                <w:color w:val="auto"/>
                <w:szCs w:val="24"/>
                <w:highlight w:val="none"/>
              </w:rPr>
              <w:t>投标人（或所投产品供应商）</w:t>
            </w:r>
            <w:r>
              <w:rPr>
                <w:rFonts w:ascii="宋体" w:hAnsi="宋体"/>
                <w:color w:val="auto"/>
                <w:highlight w:val="none"/>
              </w:rPr>
              <w:t>自2022年1月1日</w:t>
            </w:r>
            <w:r>
              <w:rPr>
                <w:rFonts w:hint="eastAsia" w:ascii="宋体" w:hAnsi="宋体"/>
                <w:color w:val="auto"/>
                <w:highlight w:val="none"/>
              </w:rPr>
              <w:t>（以合同签订日期为准）</w:t>
            </w:r>
            <w:r>
              <w:rPr>
                <w:rFonts w:ascii="宋体" w:hAnsi="宋体"/>
                <w:color w:val="auto"/>
                <w:highlight w:val="none"/>
              </w:rPr>
              <w:t>以来</w:t>
            </w:r>
            <w:r>
              <w:rPr>
                <w:rFonts w:hint="eastAsia" w:ascii="宋体" w:hAnsi="宋体"/>
                <w:color w:val="auto"/>
                <w:highlight w:val="none"/>
              </w:rPr>
              <w:t>承担过</w:t>
            </w:r>
            <w:r>
              <w:rPr>
                <w:rFonts w:ascii="宋体" w:hAnsi="宋体"/>
                <w:color w:val="auto"/>
                <w:highlight w:val="none"/>
              </w:rPr>
              <w:t>与本项目</w:t>
            </w:r>
            <w:r>
              <w:rPr>
                <w:rFonts w:hint="eastAsia" w:ascii="宋体" w:hAnsi="宋体"/>
                <w:color w:val="auto"/>
                <w:highlight w:val="none"/>
              </w:rPr>
              <w:t>类似的</w:t>
            </w:r>
            <w:r>
              <w:rPr>
                <w:rFonts w:ascii="宋体" w:hAnsi="宋体"/>
                <w:color w:val="auto"/>
                <w:highlight w:val="none"/>
              </w:rPr>
              <w:t>项目业绩</w:t>
            </w:r>
            <w:r>
              <w:rPr>
                <w:rFonts w:hint="eastAsia" w:ascii="宋体" w:hAnsi="宋体"/>
                <w:color w:val="auto"/>
                <w:highlight w:val="none"/>
              </w:rPr>
              <w:t>，</w:t>
            </w:r>
            <w:r>
              <w:rPr>
                <w:rFonts w:hint="eastAsia" w:ascii="宋体" w:hAnsi="宋体"/>
                <w:color w:val="auto"/>
                <w:highlight w:val="none"/>
                <w:lang w:val="en-US" w:eastAsia="zh-CN"/>
              </w:rPr>
              <w:t>每提供</w:t>
            </w:r>
            <w:r>
              <w:rPr>
                <w:rFonts w:hint="eastAsia" w:ascii="宋体" w:hAnsi="宋体"/>
                <w:color w:val="auto"/>
                <w:highlight w:val="none"/>
              </w:rPr>
              <w:t>一个得</w:t>
            </w:r>
            <w:r>
              <w:rPr>
                <w:rFonts w:ascii="宋体" w:hAnsi="宋体"/>
                <w:color w:val="auto"/>
                <w:highlight w:val="none"/>
              </w:rPr>
              <w:t>1</w:t>
            </w:r>
            <w:r>
              <w:rPr>
                <w:rFonts w:hint="eastAsia" w:ascii="宋体" w:hAnsi="宋体"/>
                <w:color w:val="auto"/>
                <w:highlight w:val="none"/>
              </w:rPr>
              <w:t>分，</w:t>
            </w:r>
            <w:r>
              <w:rPr>
                <w:rFonts w:hint="eastAsia" w:ascii="宋体" w:hAnsi="宋体"/>
                <w:color w:val="auto"/>
                <w:highlight w:val="none"/>
                <w:lang w:val="en-US" w:eastAsia="zh-CN"/>
              </w:rPr>
              <w:t>本项</w:t>
            </w:r>
            <w:r>
              <w:rPr>
                <w:rFonts w:hint="eastAsia" w:ascii="宋体" w:hAnsi="宋体"/>
                <w:color w:val="auto"/>
                <w:highlight w:val="none"/>
              </w:rPr>
              <w:t>最高得</w:t>
            </w:r>
            <w:r>
              <w:rPr>
                <w:rFonts w:ascii="宋体" w:hAnsi="宋体"/>
                <w:color w:val="auto"/>
                <w:highlight w:val="none"/>
              </w:rPr>
              <w:t>2</w:t>
            </w:r>
            <w:r>
              <w:rPr>
                <w:rFonts w:hint="eastAsia" w:ascii="宋体" w:hAnsi="宋体"/>
                <w:color w:val="auto"/>
                <w:highlight w:val="none"/>
              </w:rPr>
              <w:t>分。</w:t>
            </w:r>
          </w:p>
          <w:p w14:paraId="4F0AA779">
            <w:pPr>
              <w:pStyle w:val="28"/>
              <w:keepNext w:val="0"/>
              <w:keepLines w:val="0"/>
              <w:pageBreakBefore w:val="0"/>
              <w:kinsoku/>
              <w:wordWrap/>
              <w:overflowPunct/>
              <w:topLinePunct w:val="0"/>
              <w:autoSpaceDE/>
              <w:autoSpaceDN/>
              <w:bidi w:val="0"/>
              <w:spacing w:beforeLines="0" w:after="0" w:line="360" w:lineRule="auto"/>
              <w:jc w:val="both"/>
              <w:rPr>
                <w:rFonts w:hint="eastAsia" w:ascii="宋体" w:hAnsi="宋体" w:cs="宋体"/>
                <w:color w:val="auto"/>
                <w:szCs w:val="24"/>
                <w:highlight w:val="none"/>
              </w:rPr>
            </w:pPr>
            <w:r>
              <w:rPr>
                <w:rFonts w:hint="eastAsia" w:ascii="宋体" w:hAnsi="宋体"/>
                <w:color w:val="auto"/>
                <w:highlight w:val="none"/>
              </w:rPr>
              <w:t>（</w:t>
            </w:r>
            <w:r>
              <w:rPr>
                <w:rFonts w:hint="eastAsia" w:ascii="宋体" w:hAnsi="宋体" w:eastAsia="宋体" w:cs="Times New Roman"/>
                <w:color w:val="auto"/>
                <w:highlight w:val="none"/>
                <w:lang w:val="en-US" w:eastAsia="zh-CN"/>
              </w:rPr>
              <w:t>注：</w:t>
            </w:r>
            <w:r>
              <w:rPr>
                <w:rFonts w:hint="eastAsia" w:ascii="宋体" w:hAnsi="宋体" w:eastAsia="宋体"/>
                <w:color w:val="auto"/>
                <w:highlight w:val="none"/>
                <w:lang w:val="en-US" w:eastAsia="zh-CN"/>
              </w:rPr>
              <w:t>须</w:t>
            </w:r>
            <w:r>
              <w:rPr>
                <w:rFonts w:hint="eastAsia" w:ascii="宋体" w:hAnsi="宋体"/>
                <w:color w:val="auto"/>
                <w:highlight w:val="none"/>
              </w:rPr>
              <w:t>提供中标通知书、合同协议书和验收报告</w:t>
            </w:r>
            <w:r>
              <w:rPr>
                <w:rFonts w:hint="eastAsia" w:ascii="宋体" w:hAnsi="宋体"/>
                <w:color w:val="auto"/>
                <w:highlight w:val="none"/>
                <w:lang w:val="en-US" w:eastAsia="zh-CN"/>
              </w:rPr>
              <w:t>扫描</w:t>
            </w:r>
            <w:r>
              <w:rPr>
                <w:rFonts w:hint="eastAsia" w:ascii="宋体" w:hAnsi="宋体"/>
                <w:color w:val="auto"/>
                <w:highlight w:val="none"/>
              </w:rPr>
              <w:t>件</w:t>
            </w:r>
            <w:r>
              <w:rPr>
                <w:rFonts w:hint="eastAsia" w:ascii="宋体" w:hAnsi="宋体"/>
                <w:color w:val="auto"/>
                <w:highlight w:val="none"/>
                <w:lang w:val="en-US" w:eastAsia="zh-CN"/>
              </w:rPr>
              <w:t>并</w:t>
            </w:r>
            <w:r>
              <w:rPr>
                <w:rFonts w:hint="eastAsia" w:ascii="宋体" w:hAnsi="宋体"/>
                <w:color w:val="auto"/>
                <w:highlight w:val="none"/>
              </w:rPr>
              <w:t>加盖</w:t>
            </w:r>
            <w:r>
              <w:rPr>
                <w:rFonts w:hint="eastAsia" w:ascii="宋体" w:hAnsi="宋体"/>
                <w:color w:val="auto"/>
                <w:highlight w:val="none"/>
                <w:lang w:val="en-US" w:eastAsia="zh-CN"/>
              </w:rPr>
              <w:t>投标人</w:t>
            </w:r>
            <w:r>
              <w:rPr>
                <w:rFonts w:hint="eastAsia" w:ascii="宋体" w:hAnsi="宋体"/>
                <w:color w:val="auto"/>
                <w:highlight w:val="none"/>
              </w:rPr>
              <w:t>公章，</w:t>
            </w:r>
            <w:r>
              <w:rPr>
                <w:rFonts w:hint="eastAsia" w:ascii="宋体" w:hAnsi="宋体"/>
                <w:color w:val="auto"/>
                <w:highlight w:val="none"/>
                <w:lang w:val="en-US" w:eastAsia="zh-CN"/>
              </w:rPr>
              <w:t>不提供或提供不全的不得分</w:t>
            </w:r>
            <w:r>
              <w:rPr>
                <w:rFonts w:hint="eastAsia" w:ascii="宋体" w:hAnsi="宋体"/>
                <w:color w:val="auto"/>
                <w:highlight w:val="none"/>
              </w:rPr>
              <w:t>）</w:t>
            </w:r>
          </w:p>
        </w:tc>
        <w:tc>
          <w:tcPr>
            <w:tcW w:w="544" w:type="dxa"/>
            <w:tcBorders>
              <w:top w:val="single" w:color="auto" w:sz="4" w:space="0"/>
              <w:left w:val="nil"/>
              <w:bottom w:val="single" w:color="auto" w:sz="4" w:space="0"/>
              <w:right w:val="single" w:color="auto" w:sz="4" w:space="0"/>
            </w:tcBorders>
            <w:noWrap w:val="0"/>
            <w:vAlign w:val="center"/>
          </w:tcPr>
          <w:p w14:paraId="537B2B62">
            <w:pPr>
              <w:pStyle w:val="28"/>
              <w:keepNext w:val="0"/>
              <w:keepLines w:val="0"/>
              <w:pageBreakBefore w:val="0"/>
              <w:kinsoku/>
              <w:wordWrap/>
              <w:overflowPunct/>
              <w:topLinePunct w:val="0"/>
              <w:autoSpaceDE/>
              <w:autoSpaceDN/>
              <w:bidi w:val="0"/>
              <w:spacing w:beforeLines="0" w:after="0" w:line="360" w:lineRule="auto"/>
              <w:rPr>
                <w:rFonts w:hint="eastAsia" w:ascii="宋体" w:hAnsi="宋体" w:cs="宋体"/>
                <w:color w:val="auto"/>
                <w:szCs w:val="24"/>
                <w:highlight w:val="none"/>
              </w:rPr>
            </w:pPr>
            <w:r>
              <w:rPr>
                <w:rFonts w:ascii="宋体" w:hAnsi="宋体" w:cs="宋体"/>
                <w:color w:val="auto"/>
                <w:szCs w:val="24"/>
                <w:highlight w:val="none"/>
              </w:rPr>
              <w:t>2</w:t>
            </w:r>
          </w:p>
        </w:tc>
      </w:tr>
      <w:tr w14:paraId="08C5D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50" w:type="dxa"/>
            <w:tcBorders>
              <w:top w:val="single" w:color="auto" w:sz="4" w:space="0"/>
              <w:left w:val="single" w:color="auto" w:sz="4" w:space="0"/>
              <w:bottom w:val="single" w:color="auto" w:sz="4" w:space="0"/>
              <w:right w:val="single" w:color="auto" w:sz="4" w:space="0"/>
            </w:tcBorders>
            <w:noWrap w:val="0"/>
            <w:vAlign w:val="center"/>
          </w:tcPr>
          <w:p w14:paraId="2D9AA812">
            <w:pPr>
              <w:keepNext w:val="0"/>
              <w:keepLines w:val="0"/>
              <w:pageBreakBefore w:val="0"/>
              <w:kinsoku/>
              <w:wordWrap/>
              <w:overflowPunct/>
              <w:topLinePunct w:val="0"/>
              <w:autoSpaceDE/>
              <w:autoSpaceDN/>
              <w:bidi w:val="0"/>
              <w:spacing w:beforeLines="0" w:line="360" w:lineRule="auto"/>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5</w:t>
            </w:r>
          </w:p>
        </w:tc>
        <w:tc>
          <w:tcPr>
            <w:tcW w:w="1050" w:type="dxa"/>
            <w:tcBorders>
              <w:top w:val="single" w:color="auto" w:sz="4" w:space="0"/>
              <w:left w:val="nil"/>
              <w:bottom w:val="single" w:color="auto" w:sz="4" w:space="0"/>
              <w:right w:val="single" w:color="auto" w:sz="4" w:space="0"/>
            </w:tcBorders>
            <w:noWrap w:val="0"/>
            <w:vAlign w:val="center"/>
          </w:tcPr>
          <w:p w14:paraId="00BDC684">
            <w:pPr>
              <w:keepNext w:val="0"/>
              <w:keepLines w:val="0"/>
              <w:pageBreakBefore w:val="0"/>
              <w:widowControl/>
              <w:kinsoku/>
              <w:wordWrap/>
              <w:overflowPunct/>
              <w:topLinePunct w:val="0"/>
              <w:autoSpaceDE/>
              <w:autoSpaceDN/>
              <w:bidi w:val="0"/>
              <w:spacing w:beforeLines="0"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自主知识产权</w:t>
            </w:r>
          </w:p>
        </w:tc>
        <w:tc>
          <w:tcPr>
            <w:tcW w:w="7130" w:type="dxa"/>
            <w:tcBorders>
              <w:top w:val="single" w:color="auto" w:sz="4" w:space="0"/>
              <w:left w:val="nil"/>
              <w:bottom w:val="single" w:color="auto" w:sz="4" w:space="0"/>
              <w:right w:val="single" w:color="auto" w:sz="4" w:space="0"/>
            </w:tcBorders>
            <w:noWrap w:val="0"/>
            <w:vAlign w:val="center"/>
          </w:tcPr>
          <w:p w14:paraId="4FDD7B0B">
            <w:pPr>
              <w:pStyle w:val="28"/>
              <w:keepNext w:val="0"/>
              <w:keepLines w:val="0"/>
              <w:pageBreakBefore w:val="0"/>
              <w:kinsoku/>
              <w:wordWrap/>
              <w:overflowPunct/>
              <w:topLinePunct w:val="0"/>
              <w:autoSpaceDE/>
              <w:autoSpaceDN/>
              <w:bidi w:val="0"/>
              <w:spacing w:beforeLines="0" w:after="0" w:line="360" w:lineRule="auto"/>
              <w:jc w:val="both"/>
              <w:rPr>
                <w:rFonts w:hint="eastAsia" w:ascii="宋体" w:hAnsi="宋体" w:cs="宋体"/>
                <w:color w:val="auto"/>
                <w:szCs w:val="24"/>
                <w:highlight w:val="none"/>
              </w:rPr>
            </w:pPr>
            <w:r>
              <w:rPr>
                <w:rFonts w:hint="eastAsia" w:ascii="宋体" w:hAnsi="宋体" w:cs="宋体"/>
                <w:color w:val="auto"/>
                <w:szCs w:val="24"/>
                <w:highlight w:val="none"/>
              </w:rPr>
              <w:t>投标人（或所投产品供应商）具有</w:t>
            </w:r>
            <w:r>
              <w:rPr>
                <w:rFonts w:hint="eastAsia" w:ascii="宋体" w:hAnsi="宋体" w:cs="宋体"/>
                <w:color w:val="auto"/>
                <w:szCs w:val="24"/>
                <w:highlight w:val="none"/>
                <w:lang w:val="en-US" w:eastAsia="zh-CN"/>
              </w:rPr>
              <w:t>与本项目实施相关的</w:t>
            </w:r>
            <w:r>
              <w:rPr>
                <w:rFonts w:hint="eastAsia" w:ascii="宋体" w:hAnsi="宋体" w:cs="宋体"/>
                <w:color w:val="auto"/>
                <w:szCs w:val="24"/>
                <w:highlight w:val="none"/>
              </w:rPr>
              <w:t>计算机软件著作权登记证书</w:t>
            </w:r>
            <w:r>
              <w:rPr>
                <w:rFonts w:hint="eastAsia" w:ascii="宋体" w:hAnsi="宋体" w:cs="宋体"/>
                <w:color w:val="auto"/>
                <w:szCs w:val="24"/>
                <w:highlight w:val="none"/>
                <w:lang w:val="en-US" w:eastAsia="zh-CN"/>
              </w:rPr>
              <w:t>的</w:t>
            </w:r>
            <w:r>
              <w:rPr>
                <w:rFonts w:hint="eastAsia" w:ascii="宋体" w:hAnsi="宋体" w:cs="宋体"/>
                <w:color w:val="auto"/>
                <w:szCs w:val="24"/>
                <w:highlight w:val="none"/>
              </w:rPr>
              <w:t>，</w:t>
            </w:r>
            <w:r>
              <w:rPr>
                <w:rFonts w:hint="eastAsia" w:ascii="宋体" w:hAnsi="宋体" w:cs="宋体"/>
                <w:color w:val="auto"/>
                <w:szCs w:val="24"/>
                <w:highlight w:val="none"/>
                <w:lang w:val="en-US" w:eastAsia="zh-CN"/>
              </w:rPr>
              <w:t>每</w:t>
            </w:r>
            <w:r>
              <w:rPr>
                <w:rFonts w:hint="eastAsia" w:ascii="宋体" w:hAnsi="宋体" w:cs="宋体"/>
                <w:color w:val="auto"/>
                <w:szCs w:val="24"/>
                <w:highlight w:val="none"/>
              </w:rPr>
              <w:t>提供一个得1分，</w:t>
            </w:r>
            <w:r>
              <w:rPr>
                <w:rFonts w:hint="eastAsia" w:ascii="宋体" w:hAnsi="宋体" w:cs="宋体"/>
                <w:color w:val="auto"/>
                <w:szCs w:val="24"/>
                <w:highlight w:val="none"/>
                <w:lang w:val="en-US" w:eastAsia="zh-CN"/>
              </w:rPr>
              <w:t>不提供不得分，</w:t>
            </w:r>
            <w:r>
              <w:rPr>
                <w:rFonts w:hint="eastAsia" w:ascii="宋体" w:hAnsi="宋体" w:cs="宋体"/>
                <w:color w:val="auto"/>
                <w:szCs w:val="24"/>
                <w:highlight w:val="none"/>
              </w:rPr>
              <w:t>本项最高</w:t>
            </w:r>
            <w:r>
              <w:rPr>
                <w:rFonts w:hint="eastAsia" w:ascii="宋体" w:hAnsi="宋体" w:cs="宋体"/>
                <w:color w:val="auto"/>
                <w:szCs w:val="24"/>
                <w:highlight w:val="none"/>
                <w:lang w:val="en-US" w:eastAsia="zh-CN"/>
              </w:rPr>
              <w:t>得</w:t>
            </w:r>
            <w:r>
              <w:rPr>
                <w:rFonts w:hint="eastAsia" w:ascii="宋体" w:hAnsi="宋体" w:cs="宋体"/>
                <w:color w:val="auto"/>
                <w:szCs w:val="24"/>
                <w:highlight w:val="none"/>
              </w:rPr>
              <w:t>2分。</w:t>
            </w:r>
          </w:p>
          <w:p w14:paraId="3BB37CF3">
            <w:pPr>
              <w:pStyle w:val="28"/>
              <w:keepNext w:val="0"/>
              <w:keepLines w:val="0"/>
              <w:pageBreakBefore w:val="0"/>
              <w:kinsoku/>
              <w:wordWrap/>
              <w:overflowPunct/>
              <w:topLinePunct w:val="0"/>
              <w:autoSpaceDE/>
              <w:autoSpaceDN/>
              <w:bidi w:val="0"/>
              <w:spacing w:beforeLines="0" w:after="0" w:line="360" w:lineRule="auto"/>
              <w:jc w:val="both"/>
              <w:rPr>
                <w:rFonts w:hint="eastAsia" w:ascii="宋体" w:hAnsi="宋体" w:eastAsia="宋体" w:cs="宋体"/>
                <w:color w:val="auto"/>
                <w:szCs w:val="24"/>
                <w:highlight w:val="none"/>
                <w:lang w:eastAsia="zh-CN"/>
              </w:rPr>
            </w:pPr>
            <w:r>
              <w:rPr>
                <w:rFonts w:hint="eastAsia" w:ascii="宋体" w:hAnsi="宋体" w:cs="宋体"/>
                <w:color w:val="auto"/>
                <w:szCs w:val="24"/>
                <w:highlight w:val="none"/>
                <w:lang w:eastAsia="zh-CN"/>
              </w:rPr>
              <w:t>（</w:t>
            </w:r>
            <w:r>
              <w:rPr>
                <w:rFonts w:hint="eastAsia" w:ascii="宋体" w:hAnsi="宋体" w:eastAsia="宋体" w:cs="Times New Roman"/>
                <w:color w:val="auto"/>
                <w:highlight w:val="none"/>
                <w:lang w:val="en-US" w:eastAsia="zh-CN"/>
              </w:rPr>
              <w:t>注：须提供有效证书扫描件并加盖投标人公章</w:t>
            </w:r>
            <w:r>
              <w:rPr>
                <w:rFonts w:hint="eastAsia" w:ascii="宋体" w:hAnsi="宋体" w:cs="宋体"/>
                <w:color w:val="auto"/>
                <w:szCs w:val="24"/>
                <w:highlight w:val="none"/>
                <w:lang w:eastAsia="zh-CN"/>
              </w:rPr>
              <w:t>）</w:t>
            </w:r>
          </w:p>
        </w:tc>
        <w:tc>
          <w:tcPr>
            <w:tcW w:w="544" w:type="dxa"/>
            <w:tcBorders>
              <w:top w:val="single" w:color="auto" w:sz="4" w:space="0"/>
              <w:left w:val="nil"/>
              <w:bottom w:val="single" w:color="auto" w:sz="4" w:space="0"/>
              <w:right w:val="single" w:color="auto" w:sz="4" w:space="0"/>
            </w:tcBorders>
            <w:noWrap w:val="0"/>
            <w:vAlign w:val="center"/>
          </w:tcPr>
          <w:p w14:paraId="0B3884A6">
            <w:pPr>
              <w:pStyle w:val="28"/>
              <w:keepNext w:val="0"/>
              <w:keepLines w:val="0"/>
              <w:pageBreakBefore w:val="0"/>
              <w:kinsoku/>
              <w:wordWrap/>
              <w:overflowPunct/>
              <w:topLinePunct w:val="0"/>
              <w:autoSpaceDE/>
              <w:autoSpaceDN/>
              <w:bidi w:val="0"/>
              <w:spacing w:beforeLines="0" w:after="0" w:line="360" w:lineRule="auto"/>
              <w:rPr>
                <w:rFonts w:hint="eastAsia" w:ascii="宋体" w:hAnsi="宋体" w:cs="宋体"/>
                <w:color w:val="auto"/>
                <w:szCs w:val="24"/>
                <w:highlight w:val="none"/>
              </w:rPr>
            </w:pPr>
            <w:r>
              <w:rPr>
                <w:rFonts w:hint="eastAsia" w:ascii="宋体" w:hAnsi="宋体" w:cs="宋体"/>
                <w:color w:val="auto"/>
                <w:szCs w:val="24"/>
                <w:highlight w:val="none"/>
              </w:rPr>
              <w:t>2</w:t>
            </w:r>
          </w:p>
        </w:tc>
      </w:tr>
      <w:tr w14:paraId="55640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50" w:type="dxa"/>
            <w:tcBorders>
              <w:top w:val="single" w:color="auto" w:sz="4" w:space="0"/>
              <w:left w:val="single" w:color="auto" w:sz="4" w:space="0"/>
              <w:bottom w:val="single" w:color="auto" w:sz="4" w:space="0"/>
              <w:right w:val="single" w:color="auto" w:sz="4" w:space="0"/>
            </w:tcBorders>
            <w:noWrap w:val="0"/>
            <w:vAlign w:val="center"/>
          </w:tcPr>
          <w:p w14:paraId="32801205">
            <w:pPr>
              <w:keepNext w:val="0"/>
              <w:keepLines w:val="0"/>
              <w:pageBreakBefore w:val="0"/>
              <w:kinsoku/>
              <w:wordWrap/>
              <w:overflowPunct/>
              <w:topLinePunct w:val="0"/>
              <w:autoSpaceDE/>
              <w:autoSpaceDN/>
              <w:bidi w:val="0"/>
              <w:spacing w:beforeLines="0" w:line="360" w:lineRule="auto"/>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6</w:t>
            </w:r>
          </w:p>
        </w:tc>
        <w:tc>
          <w:tcPr>
            <w:tcW w:w="1050" w:type="dxa"/>
            <w:tcBorders>
              <w:top w:val="single" w:color="auto" w:sz="4" w:space="0"/>
              <w:left w:val="nil"/>
              <w:bottom w:val="single" w:color="auto" w:sz="4" w:space="0"/>
              <w:right w:val="single" w:color="auto" w:sz="4" w:space="0"/>
            </w:tcBorders>
            <w:noWrap w:val="0"/>
            <w:vAlign w:val="center"/>
          </w:tcPr>
          <w:p w14:paraId="3D36C665">
            <w:pPr>
              <w:keepNext w:val="0"/>
              <w:keepLines w:val="0"/>
              <w:pageBreakBefore w:val="0"/>
              <w:widowControl/>
              <w:kinsoku/>
              <w:wordWrap/>
              <w:overflowPunct/>
              <w:topLinePunct w:val="0"/>
              <w:autoSpaceDE/>
              <w:autoSpaceDN/>
              <w:bidi w:val="0"/>
              <w:spacing w:beforeLines="0"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团队</w:t>
            </w:r>
          </w:p>
          <w:p w14:paraId="07CCA8B0">
            <w:pPr>
              <w:keepNext w:val="0"/>
              <w:keepLines w:val="0"/>
              <w:pageBreakBefore w:val="0"/>
              <w:widowControl/>
              <w:kinsoku/>
              <w:wordWrap/>
              <w:overflowPunct/>
              <w:topLinePunct w:val="0"/>
              <w:autoSpaceDE/>
              <w:autoSpaceDN/>
              <w:bidi w:val="0"/>
              <w:spacing w:beforeLines="0"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实力</w:t>
            </w:r>
          </w:p>
        </w:tc>
        <w:tc>
          <w:tcPr>
            <w:tcW w:w="7130" w:type="dxa"/>
            <w:tcBorders>
              <w:top w:val="single" w:color="auto" w:sz="4" w:space="0"/>
              <w:left w:val="nil"/>
              <w:bottom w:val="single" w:color="auto" w:sz="4" w:space="0"/>
              <w:right w:val="single" w:color="auto" w:sz="4" w:space="0"/>
            </w:tcBorders>
            <w:noWrap w:val="0"/>
            <w:vAlign w:val="center"/>
          </w:tcPr>
          <w:p w14:paraId="5C2C0229">
            <w:pPr>
              <w:pStyle w:val="28"/>
              <w:keepNext w:val="0"/>
              <w:keepLines w:val="0"/>
              <w:pageBreakBefore w:val="0"/>
              <w:widowControl w:val="0"/>
              <w:kinsoku/>
              <w:wordWrap/>
              <w:overflowPunct/>
              <w:topLinePunct w:val="0"/>
              <w:autoSpaceDE/>
              <w:autoSpaceDN/>
              <w:bidi w:val="0"/>
              <w:spacing w:beforeLines="0" w:after="0" w:line="360" w:lineRule="auto"/>
              <w:jc w:val="both"/>
              <w:rPr>
                <w:rFonts w:hint="eastAsia" w:ascii="宋体" w:hAnsi="宋体"/>
                <w:color w:val="auto"/>
                <w:highlight w:val="none"/>
              </w:rPr>
            </w:pPr>
            <w:r>
              <w:rPr>
                <w:rFonts w:hint="eastAsia" w:ascii="宋体" w:hAnsi="宋体"/>
                <w:color w:val="auto"/>
                <w:highlight w:val="none"/>
              </w:rPr>
              <w:t>（1）项目经理</w:t>
            </w:r>
            <w:r>
              <w:rPr>
                <w:rFonts w:hint="eastAsia" w:ascii="宋体" w:hAnsi="宋体"/>
                <w:color w:val="auto"/>
                <w:highlight w:val="none"/>
                <w:lang w:eastAsia="zh-CN"/>
              </w:rPr>
              <w:t>（</w:t>
            </w:r>
            <w:r>
              <w:rPr>
                <w:rFonts w:hint="eastAsia" w:ascii="宋体" w:hAnsi="宋体"/>
                <w:color w:val="auto"/>
                <w:highlight w:val="none"/>
                <w:lang w:val="en-US" w:eastAsia="zh-CN"/>
              </w:rPr>
              <w:t>本项最高得6分</w:t>
            </w:r>
            <w:r>
              <w:rPr>
                <w:rFonts w:hint="eastAsia" w:ascii="宋体" w:hAnsi="宋体"/>
                <w:color w:val="auto"/>
                <w:highlight w:val="none"/>
                <w:lang w:eastAsia="zh-CN"/>
              </w:rPr>
              <w:t>）</w:t>
            </w:r>
            <w:r>
              <w:rPr>
                <w:rFonts w:hint="eastAsia" w:ascii="宋体" w:hAnsi="宋体"/>
                <w:color w:val="auto"/>
                <w:highlight w:val="none"/>
              </w:rPr>
              <w:t>：</w:t>
            </w:r>
          </w:p>
          <w:p w14:paraId="55C6B0C9">
            <w:pPr>
              <w:pStyle w:val="28"/>
              <w:keepNext w:val="0"/>
              <w:keepLines w:val="0"/>
              <w:pageBreakBefore w:val="0"/>
              <w:widowControl w:val="0"/>
              <w:kinsoku/>
              <w:wordWrap/>
              <w:overflowPunct/>
              <w:topLinePunct w:val="0"/>
              <w:autoSpaceDE/>
              <w:autoSpaceDN/>
              <w:bidi w:val="0"/>
              <w:spacing w:beforeLines="0" w:after="0" w:line="360" w:lineRule="auto"/>
              <w:jc w:val="both"/>
              <w:rPr>
                <w:rFonts w:hint="eastAsia" w:ascii="宋体" w:hAnsi="宋体"/>
                <w:color w:val="auto"/>
                <w:highlight w:val="none"/>
              </w:rPr>
            </w:pPr>
            <w:r>
              <w:rPr>
                <w:rFonts w:hint="eastAsia" w:ascii="宋体" w:hAnsi="宋体"/>
                <w:color w:val="auto"/>
                <w:highlight w:val="none"/>
              </w:rPr>
              <w:t>①具备</w:t>
            </w:r>
            <w:r>
              <w:rPr>
                <w:rFonts w:hint="eastAsia" w:ascii="宋体" w:hAnsi="宋体" w:cs="宋体"/>
                <w:color w:val="auto"/>
                <w:highlight w:val="none"/>
              </w:rPr>
              <w:t>信息系统项目管理师</w:t>
            </w:r>
            <w:r>
              <w:rPr>
                <w:rFonts w:hint="eastAsia" w:ascii="宋体" w:hAnsi="宋体"/>
                <w:color w:val="auto"/>
                <w:highlight w:val="none"/>
              </w:rPr>
              <w:t>证书</w:t>
            </w:r>
            <w:r>
              <w:rPr>
                <w:rFonts w:hint="eastAsia" w:ascii="宋体" w:hAnsi="宋体"/>
                <w:color w:val="auto"/>
                <w:highlight w:val="none"/>
                <w:lang w:val="en-US" w:eastAsia="zh-CN"/>
              </w:rPr>
              <w:t>的</w:t>
            </w:r>
            <w:r>
              <w:rPr>
                <w:rFonts w:hint="eastAsia" w:ascii="宋体" w:hAnsi="宋体"/>
                <w:color w:val="auto"/>
                <w:highlight w:val="none"/>
              </w:rPr>
              <w:t>，得3分；</w:t>
            </w:r>
          </w:p>
          <w:p w14:paraId="2E7E6022">
            <w:pPr>
              <w:pStyle w:val="28"/>
              <w:keepNext w:val="0"/>
              <w:keepLines w:val="0"/>
              <w:pageBreakBefore w:val="0"/>
              <w:widowControl w:val="0"/>
              <w:kinsoku/>
              <w:wordWrap/>
              <w:overflowPunct/>
              <w:topLinePunct w:val="0"/>
              <w:autoSpaceDE/>
              <w:autoSpaceDN/>
              <w:bidi w:val="0"/>
              <w:spacing w:beforeLines="0" w:after="0" w:line="360" w:lineRule="auto"/>
              <w:jc w:val="both"/>
              <w:rPr>
                <w:rFonts w:hint="eastAsia" w:ascii="宋体" w:hAnsi="宋体"/>
                <w:color w:val="auto"/>
                <w:highlight w:val="none"/>
              </w:rPr>
            </w:pPr>
            <w:r>
              <w:rPr>
                <w:rFonts w:hint="eastAsia" w:ascii="宋体" w:hAnsi="宋体"/>
                <w:color w:val="auto"/>
                <w:highlight w:val="none"/>
              </w:rPr>
              <w:t>②具备3个</w:t>
            </w:r>
            <w:r>
              <w:rPr>
                <w:rFonts w:hint="eastAsia" w:ascii="宋体" w:hAnsi="宋体"/>
                <w:color w:val="auto"/>
                <w:highlight w:val="none"/>
                <w:lang w:val="en-US" w:eastAsia="zh-CN"/>
              </w:rPr>
              <w:t>及以上</w:t>
            </w:r>
            <w:r>
              <w:rPr>
                <w:rFonts w:hint="eastAsia" w:ascii="宋体" w:hAnsi="宋体"/>
                <w:color w:val="auto"/>
                <w:highlight w:val="none"/>
              </w:rPr>
              <w:t>类似项目管理经验</w:t>
            </w:r>
            <w:r>
              <w:rPr>
                <w:rFonts w:hint="eastAsia" w:ascii="宋体" w:hAnsi="宋体"/>
                <w:color w:val="auto"/>
                <w:highlight w:val="none"/>
                <w:lang w:eastAsia="zh-CN"/>
              </w:rPr>
              <w:t>（</w:t>
            </w:r>
            <w:r>
              <w:rPr>
                <w:rFonts w:hint="eastAsia" w:ascii="宋体" w:hAnsi="宋体"/>
                <w:color w:val="auto"/>
                <w:highlight w:val="none"/>
                <w:lang w:val="en-US" w:eastAsia="zh-CN"/>
              </w:rPr>
              <w:t>以项目经理或项目负责人身份</w:t>
            </w:r>
            <w:r>
              <w:rPr>
                <w:rFonts w:hint="eastAsia" w:ascii="宋体" w:hAnsi="宋体"/>
                <w:color w:val="auto"/>
                <w:highlight w:val="none"/>
                <w:lang w:eastAsia="zh-CN"/>
              </w:rPr>
              <w:t>）</w:t>
            </w:r>
            <w:r>
              <w:rPr>
                <w:rFonts w:hint="eastAsia" w:ascii="宋体" w:hAnsi="宋体"/>
                <w:color w:val="auto"/>
                <w:highlight w:val="none"/>
              </w:rPr>
              <w:t>，</w:t>
            </w:r>
            <w:r>
              <w:rPr>
                <w:rFonts w:hint="eastAsia" w:ascii="宋体" w:hAnsi="宋体"/>
                <w:color w:val="auto"/>
                <w:highlight w:val="none"/>
                <w:lang w:val="en-US" w:eastAsia="zh-CN"/>
              </w:rPr>
              <w:t>提供合同扫描件</w:t>
            </w:r>
            <w:r>
              <w:rPr>
                <w:rFonts w:hint="eastAsia" w:ascii="宋体" w:hAnsi="宋体"/>
                <w:color w:val="auto"/>
                <w:highlight w:val="none"/>
              </w:rPr>
              <w:t>，</w:t>
            </w:r>
            <w:r>
              <w:rPr>
                <w:rFonts w:hint="eastAsia" w:ascii="宋体" w:hAnsi="宋体"/>
                <w:color w:val="auto"/>
                <w:highlight w:val="none"/>
                <w:lang w:val="en-US" w:eastAsia="zh-CN"/>
              </w:rPr>
              <w:t>合同内不能体现项目经理（项目负责人）信息的还需出具合同甲方盖章的证明材料，全部符合最高</w:t>
            </w:r>
            <w:r>
              <w:rPr>
                <w:rFonts w:hint="eastAsia" w:ascii="宋体" w:hAnsi="宋体"/>
                <w:color w:val="auto"/>
                <w:highlight w:val="none"/>
              </w:rPr>
              <w:t>得3分。</w:t>
            </w:r>
          </w:p>
          <w:p w14:paraId="27A09A44">
            <w:pPr>
              <w:keepNext w:val="0"/>
              <w:keepLines w:val="0"/>
              <w:pageBreakBefore w:val="0"/>
              <w:widowControl w:val="0"/>
              <w:kinsoku/>
              <w:wordWrap/>
              <w:overflowPunct/>
              <w:topLinePunct w:val="0"/>
              <w:autoSpaceDE/>
              <w:autoSpaceDN/>
              <w:bidi w:val="0"/>
              <w:spacing w:beforeLines="0" w:line="360" w:lineRule="auto"/>
              <w:rPr>
                <w:rFonts w:ascii="宋体" w:hAnsi="宋体"/>
                <w:color w:val="auto"/>
                <w:sz w:val="24"/>
                <w:highlight w:val="none"/>
              </w:rPr>
            </w:pPr>
            <w:r>
              <w:rPr>
                <w:rFonts w:hint="eastAsia"/>
                <w:color w:val="auto"/>
                <w:sz w:val="24"/>
                <w:szCs w:val="22"/>
                <w:highlight w:val="none"/>
              </w:rPr>
              <w:t>（2）</w:t>
            </w:r>
            <w:r>
              <w:rPr>
                <w:rFonts w:hint="eastAsia" w:ascii="宋体" w:hAnsi="宋体"/>
                <w:color w:val="auto"/>
                <w:sz w:val="24"/>
                <w:highlight w:val="none"/>
              </w:rPr>
              <w:t>项目</w:t>
            </w:r>
            <w:r>
              <w:rPr>
                <w:rFonts w:hint="eastAsia" w:ascii="宋体" w:hAnsi="宋体"/>
                <w:color w:val="auto"/>
                <w:sz w:val="24"/>
                <w:highlight w:val="none"/>
                <w:lang w:val="en-US" w:eastAsia="zh-CN"/>
              </w:rPr>
              <w:t>团队</w:t>
            </w:r>
            <w:r>
              <w:rPr>
                <w:rFonts w:hint="eastAsia" w:ascii="宋体" w:hAnsi="宋体"/>
                <w:color w:val="auto"/>
                <w:sz w:val="24"/>
                <w:highlight w:val="none"/>
              </w:rPr>
              <w:t>成员</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除项目经理外</w:t>
            </w:r>
            <w:r>
              <w:rPr>
                <w:rFonts w:hint="eastAsia" w:ascii="宋体" w:hAnsi="宋体"/>
                <w:color w:val="auto"/>
                <w:sz w:val="24"/>
                <w:highlight w:val="none"/>
                <w:lang w:eastAsia="zh-CN"/>
              </w:rPr>
              <w:t>）</w:t>
            </w:r>
            <w:r>
              <w:rPr>
                <w:rFonts w:hint="eastAsia" w:ascii="宋体" w:hAnsi="宋体"/>
                <w:color w:val="auto"/>
                <w:sz w:val="24"/>
                <w:highlight w:val="none"/>
              </w:rPr>
              <w:t>：</w:t>
            </w:r>
          </w:p>
          <w:p w14:paraId="2FA2AF1A">
            <w:pPr>
              <w:pStyle w:val="28"/>
              <w:keepNext w:val="0"/>
              <w:keepLines w:val="0"/>
              <w:pageBreakBefore w:val="0"/>
              <w:widowControl w:val="0"/>
              <w:kinsoku/>
              <w:wordWrap/>
              <w:overflowPunct/>
              <w:topLinePunct w:val="0"/>
              <w:autoSpaceDE/>
              <w:autoSpaceDN/>
              <w:bidi w:val="0"/>
              <w:spacing w:beforeLines="0" w:after="0" w:line="360" w:lineRule="auto"/>
              <w:jc w:val="both"/>
              <w:rPr>
                <w:rFonts w:hint="eastAsia" w:ascii="宋体" w:hAnsi="宋体" w:eastAsia="宋体" w:cs="Times New Roman"/>
                <w:color w:val="auto"/>
                <w:highlight w:val="none"/>
                <w:lang w:val="en-US" w:eastAsia="zh-CN"/>
              </w:rPr>
            </w:pPr>
            <w:r>
              <w:rPr>
                <w:rFonts w:hint="eastAsia" w:ascii="宋体" w:hAnsi="宋体"/>
                <w:color w:val="auto"/>
                <w:highlight w:val="none"/>
              </w:rPr>
              <w:t>项目组成员</w:t>
            </w:r>
            <w:r>
              <w:rPr>
                <w:rFonts w:hint="eastAsia" w:ascii="宋体" w:hAnsi="宋体"/>
                <w:color w:val="auto"/>
                <w:highlight w:val="none"/>
                <w:lang w:val="en-US" w:eastAsia="zh-CN"/>
              </w:rPr>
              <w:t>具</w:t>
            </w:r>
            <w:r>
              <w:rPr>
                <w:rFonts w:hint="eastAsia" w:ascii="宋体" w:hAnsi="宋体"/>
                <w:color w:val="auto"/>
                <w:highlight w:val="none"/>
              </w:rPr>
              <w:t>有</w:t>
            </w:r>
            <w:r>
              <w:rPr>
                <w:rFonts w:hint="eastAsia" w:ascii="宋体" w:hAnsi="宋体" w:cs="宋体"/>
                <w:color w:val="auto"/>
                <w:highlight w:val="none"/>
              </w:rPr>
              <w:t>系统架构设计师、数据库系统工程师、</w:t>
            </w:r>
            <w:r>
              <w:rPr>
                <w:rFonts w:hint="eastAsia" w:ascii="宋体" w:hAnsi="宋体" w:cs="仿宋"/>
                <w:color w:val="auto"/>
                <w:highlight w:val="none"/>
                <w:lang w:val="zh-CN"/>
              </w:rPr>
              <w:t>信息安全管</w:t>
            </w:r>
            <w:r>
              <w:rPr>
                <w:rFonts w:hint="eastAsia" w:ascii="宋体" w:hAnsi="宋体" w:eastAsia="宋体" w:cs="Times New Roman"/>
                <w:color w:val="auto"/>
                <w:highlight w:val="none"/>
                <w:lang w:val="zh-CN" w:eastAsia="zh-CN"/>
              </w:rPr>
              <w:t>理工程师</w:t>
            </w:r>
            <w:r>
              <w:rPr>
                <w:rFonts w:hint="eastAsia" w:ascii="宋体" w:hAnsi="宋体" w:eastAsia="宋体" w:cs="Times New Roman"/>
                <w:color w:val="auto"/>
                <w:highlight w:val="none"/>
                <w:lang w:val="en-US" w:eastAsia="zh-CN"/>
              </w:rPr>
              <w:t>证书的（满足其中之一即可），每提供一人得1分（相同证书不重复计分），本项最高得3分。</w:t>
            </w:r>
          </w:p>
          <w:p w14:paraId="075616CA">
            <w:pPr>
              <w:pStyle w:val="28"/>
              <w:keepNext w:val="0"/>
              <w:keepLines w:val="0"/>
              <w:pageBreakBefore w:val="0"/>
              <w:widowControl w:val="0"/>
              <w:kinsoku/>
              <w:wordWrap/>
              <w:overflowPunct/>
              <w:topLinePunct w:val="0"/>
              <w:autoSpaceDE/>
              <w:autoSpaceDN/>
              <w:bidi w:val="0"/>
              <w:spacing w:beforeLines="0" w:after="0" w:line="360" w:lineRule="auto"/>
              <w:jc w:val="both"/>
              <w:rPr>
                <w:rFonts w:hint="eastAsia" w:eastAsia="宋体"/>
                <w:color w:val="auto"/>
                <w:highlight w:val="none"/>
                <w:lang w:eastAsia="zh-CN"/>
              </w:rPr>
            </w:pPr>
            <w:r>
              <w:rPr>
                <w:rFonts w:hint="eastAsia" w:ascii="宋体" w:hAnsi="宋体" w:eastAsia="宋体" w:cs="Times New Roman"/>
                <w:color w:val="auto"/>
                <w:highlight w:val="none"/>
                <w:lang w:val="en-US" w:eastAsia="zh-CN"/>
              </w:rPr>
              <w:t>（注：须提供团队人员清单（格式自拟），有效证书扫描件并加盖投标人公章，不提供或提供不全不得分）</w:t>
            </w:r>
          </w:p>
        </w:tc>
        <w:tc>
          <w:tcPr>
            <w:tcW w:w="544" w:type="dxa"/>
            <w:tcBorders>
              <w:top w:val="single" w:color="auto" w:sz="4" w:space="0"/>
              <w:left w:val="nil"/>
              <w:bottom w:val="single" w:color="auto" w:sz="4" w:space="0"/>
              <w:right w:val="single" w:color="auto" w:sz="4" w:space="0"/>
            </w:tcBorders>
            <w:noWrap w:val="0"/>
            <w:vAlign w:val="center"/>
          </w:tcPr>
          <w:p w14:paraId="2B5DA8B7">
            <w:pPr>
              <w:pStyle w:val="28"/>
              <w:keepNext w:val="0"/>
              <w:keepLines w:val="0"/>
              <w:pageBreakBefore w:val="0"/>
              <w:kinsoku/>
              <w:wordWrap/>
              <w:overflowPunct/>
              <w:topLinePunct w:val="0"/>
              <w:autoSpaceDE/>
              <w:autoSpaceDN/>
              <w:bidi w:val="0"/>
              <w:spacing w:beforeLines="0" w:after="0" w:line="360" w:lineRule="auto"/>
              <w:rPr>
                <w:rFonts w:hint="eastAsia" w:ascii="宋体" w:hAnsi="宋体" w:cs="宋体"/>
                <w:color w:val="auto"/>
                <w:szCs w:val="24"/>
                <w:highlight w:val="none"/>
              </w:rPr>
            </w:pPr>
            <w:r>
              <w:rPr>
                <w:rFonts w:hint="eastAsia" w:ascii="宋体" w:hAnsi="宋体" w:cs="宋体"/>
                <w:color w:val="auto"/>
                <w:szCs w:val="24"/>
                <w:highlight w:val="none"/>
              </w:rPr>
              <w:t>9</w:t>
            </w:r>
          </w:p>
        </w:tc>
      </w:tr>
      <w:tr w14:paraId="17CC8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50" w:type="dxa"/>
            <w:tcBorders>
              <w:top w:val="single" w:color="auto" w:sz="4" w:space="0"/>
              <w:left w:val="single" w:color="auto" w:sz="4" w:space="0"/>
              <w:bottom w:val="single" w:color="auto" w:sz="4" w:space="0"/>
              <w:right w:val="single" w:color="auto" w:sz="4" w:space="0"/>
            </w:tcBorders>
            <w:noWrap w:val="0"/>
            <w:vAlign w:val="center"/>
          </w:tcPr>
          <w:p w14:paraId="2304DDDA">
            <w:pPr>
              <w:keepNext w:val="0"/>
              <w:keepLines w:val="0"/>
              <w:pageBreakBefore w:val="0"/>
              <w:kinsoku/>
              <w:wordWrap/>
              <w:overflowPunct/>
              <w:topLinePunct w:val="0"/>
              <w:autoSpaceDE/>
              <w:autoSpaceDN/>
              <w:bidi w:val="0"/>
              <w:spacing w:beforeLines="0" w:line="360" w:lineRule="auto"/>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7</w:t>
            </w:r>
          </w:p>
        </w:tc>
        <w:tc>
          <w:tcPr>
            <w:tcW w:w="1050" w:type="dxa"/>
            <w:tcBorders>
              <w:top w:val="single" w:color="auto" w:sz="4" w:space="0"/>
              <w:left w:val="nil"/>
              <w:bottom w:val="single" w:color="auto" w:sz="4" w:space="0"/>
              <w:right w:val="single" w:color="auto" w:sz="4" w:space="0"/>
            </w:tcBorders>
            <w:noWrap w:val="0"/>
            <w:vAlign w:val="center"/>
          </w:tcPr>
          <w:p w14:paraId="78D7985E">
            <w:pPr>
              <w:keepNext w:val="0"/>
              <w:keepLines w:val="0"/>
              <w:pageBreakBefore w:val="0"/>
              <w:widowControl/>
              <w:kinsoku/>
              <w:wordWrap/>
              <w:overflowPunct/>
              <w:topLinePunct w:val="0"/>
              <w:autoSpaceDE/>
              <w:autoSpaceDN/>
              <w:bidi w:val="0"/>
              <w:spacing w:beforeLines="0"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服务人员配备</w:t>
            </w:r>
          </w:p>
        </w:tc>
        <w:tc>
          <w:tcPr>
            <w:tcW w:w="7130" w:type="dxa"/>
            <w:tcBorders>
              <w:top w:val="single" w:color="auto" w:sz="4" w:space="0"/>
              <w:left w:val="nil"/>
              <w:bottom w:val="single" w:color="auto" w:sz="4" w:space="0"/>
              <w:right w:val="single" w:color="auto" w:sz="4" w:space="0"/>
            </w:tcBorders>
            <w:noWrap w:val="0"/>
            <w:vAlign w:val="center"/>
          </w:tcPr>
          <w:p w14:paraId="4BACCD2D">
            <w:pPr>
              <w:pStyle w:val="28"/>
              <w:keepNext w:val="0"/>
              <w:keepLines w:val="0"/>
              <w:pageBreakBefore w:val="0"/>
              <w:kinsoku/>
              <w:wordWrap/>
              <w:overflowPunct/>
              <w:topLinePunct w:val="0"/>
              <w:autoSpaceDE/>
              <w:autoSpaceDN/>
              <w:bidi w:val="0"/>
              <w:spacing w:beforeLines="0" w:after="0" w:line="360" w:lineRule="auto"/>
              <w:jc w:val="both"/>
              <w:rPr>
                <w:rFonts w:hint="eastAsia" w:ascii="宋体" w:hAnsi="宋体" w:cs="仿宋"/>
                <w:color w:val="auto"/>
                <w:highlight w:val="none"/>
                <w:lang w:val="zh-CN"/>
              </w:rPr>
            </w:pPr>
            <w:r>
              <w:rPr>
                <w:rFonts w:hint="eastAsia" w:ascii="宋体" w:hAnsi="宋体" w:cs="仿宋"/>
                <w:color w:val="auto"/>
                <w:highlight w:val="none"/>
                <w:lang w:val="zh-CN"/>
              </w:rPr>
              <w:t>为保证本项目医疗应用系统的专业性，</w:t>
            </w:r>
            <w:r>
              <w:rPr>
                <w:rFonts w:hint="eastAsia" w:ascii="宋体" w:hAnsi="宋体" w:cs="宋体"/>
                <w:color w:val="auto"/>
                <w:szCs w:val="24"/>
                <w:highlight w:val="none"/>
              </w:rPr>
              <w:t>投标人（或所投产品供应商）</w:t>
            </w:r>
            <w:r>
              <w:rPr>
                <w:rFonts w:hint="eastAsia" w:ascii="宋体" w:hAnsi="宋体"/>
                <w:color w:val="auto"/>
                <w:highlight w:val="none"/>
              </w:rPr>
              <w:t>为本项目配备的</w:t>
            </w:r>
            <w:r>
              <w:rPr>
                <w:rFonts w:hint="eastAsia" w:ascii="宋体" w:hAnsi="宋体" w:cs="仿宋"/>
                <w:color w:val="auto"/>
                <w:highlight w:val="none"/>
                <w:lang w:val="zh-CN"/>
              </w:rPr>
              <w:t>服务人员应具备“医师资格证书”，每提供一名符合要求的人员得1分，本项最高得4分。</w:t>
            </w:r>
          </w:p>
          <w:p w14:paraId="6AC036DE">
            <w:pPr>
              <w:pStyle w:val="28"/>
              <w:keepNext w:val="0"/>
              <w:keepLines w:val="0"/>
              <w:pageBreakBefore w:val="0"/>
              <w:kinsoku/>
              <w:wordWrap/>
              <w:overflowPunct/>
              <w:topLinePunct w:val="0"/>
              <w:autoSpaceDE/>
              <w:autoSpaceDN/>
              <w:bidi w:val="0"/>
              <w:spacing w:beforeLines="0" w:after="0" w:line="360" w:lineRule="auto"/>
              <w:jc w:val="both"/>
              <w:rPr>
                <w:rFonts w:hint="eastAsia" w:ascii="宋体" w:hAnsi="宋体" w:cs="宋体"/>
                <w:color w:val="auto"/>
                <w:szCs w:val="24"/>
                <w:highlight w:val="none"/>
              </w:rPr>
            </w:pPr>
            <w:r>
              <w:rPr>
                <w:rFonts w:hint="eastAsia" w:ascii="宋体" w:hAnsi="宋体" w:eastAsia="宋体" w:cs="Times New Roman"/>
                <w:color w:val="auto"/>
                <w:highlight w:val="none"/>
                <w:lang w:val="en-US" w:eastAsia="zh-CN"/>
              </w:rPr>
              <w:t>（注：须提供有效证书扫描件并加盖投标人公章，不提供或提供不全不得分）</w:t>
            </w:r>
          </w:p>
        </w:tc>
        <w:tc>
          <w:tcPr>
            <w:tcW w:w="544" w:type="dxa"/>
            <w:tcBorders>
              <w:top w:val="single" w:color="auto" w:sz="4" w:space="0"/>
              <w:left w:val="nil"/>
              <w:bottom w:val="single" w:color="auto" w:sz="4" w:space="0"/>
              <w:right w:val="single" w:color="auto" w:sz="4" w:space="0"/>
            </w:tcBorders>
            <w:noWrap w:val="0"/>
            <w:vAlign w:val="center"/>
          </w:tcPr>
          <w:p w14:paraId="244516CA">
            <w:pPr>
              <w:pStyle w:val="28"/>
              <w:keepNext w:val="0"/>
              <w:keepLines w:val="0"/>
              <w:pageBreakBefore w:val="0"/>
              <w:kinsoku/>
              <w:wordWrap/>
              <w:overflowPunct/>
              <w:topLinePunct w:val="0"/>
              <w:autoSpaceDE/>
              <w:autoSpaceDN/>
              <w:bidi w:val="0"/>
              <w:spacing w:beforeLines="0" w:after="0" w:line="360" w:lineRule="auto"/>
              <w:rPr>
                <w:rFonts w:hint="eastAsia" w:ascii="宋体" w:hAnsi="宋体" w:cs="宋体"/>
                <w:color w:val="auto"/>
                <w:szCs w:val="24"/>
                <w:highlight w:val="none"/>
              </w:rPr>
            </w:pPr>
            <w:r>
              <w:rPr>
                <w:rFonts w:hint="eastAsia" w:ascii="宋体" w:hAnsi="宋体" w:cs="宋体"/>
                <w:color w:val="auto"/>
                <w:szCs w:val="24"/>
                <w:highlight w:val="none"/>
              </w:rPr>
              <w:t>4</w:t>
            </w:r>
          </w:p>
        </w:tc>
      </w:tr>
      <w:tr w14:paraId="69D49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50" w:type="dxa"/>
            <w:tcBorders>
              <w:top w:val="single" w:color="auto" w:sz="4" w:space="0"/>
              <w:left w:val="single" w:color="auto" w:sz="4" w:space="0"/>
              <w:bottom w:val="single" w:color="auto" w:sz="4" w:space="0"/>
              <w:right w:val="single" w:color="auto" w:sz="4" w:space="0"/>
            </w:tcBorders>
            <w:noWrap w:val="0"/>
            <w:vAlign w:val="center"/>
          </w:tcPr>
          <w:p w14:paraId="65BD884C">
            <w:pPr>
              <w:keepNext w:val="0"/>
              <w:keepLines w:val="0"/>
              <w:pageBreakBefore w:val="0"/>
              <w:kinsoku/>
              <w:wordWrap/>
              <w:overflowPunct/>
              <w:topLinePunct w:val="0"/>
              <w:autoSpaceDE/>
              <w:autoSpaceDN/>
              <w:bidi w:val="0"/>
              <w:spacing w:beforeLines="0" w:line="360" w:lineRule="auto"/>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8</w:t>
            </w:r>
          </w:p>
        </w:tc>
        <w:tc>
          <w:tcPr>
            <w:tcW w:w="1050" w:type="dxa"/>
            <w:tcBorders>
              <w:top w:val="single" w:color="auto" w:sz="4" w:space="0"/>
              <w:left w:val="nil"/>
              <w:bottom w:val="single" w:color="auto" w:sz="4" w:space="0"/>
              <w:right w:val="single" w:color="auto" w:sz="4" w:space="0"/>
            </w:tcBorders>
            <w:noWrap w:val="0"/>
            <w:vAlign w:val="center"/>
          </w:tcPr>
          <w:p w14:paraId="5AE6CCAF">
            <w:pPr>
              <w:keepNext w:val="0"/>
              <w:keepLines w:val="0"/>
              <w:pageBreakBefore w:val="0"/>
              <w:widowControl/>
              <w:kinsoku/>
              <w:wordWrap/>
              <w:overflowPunct/>
              <w:topLinePunct w:val="0"/>
              <w:autoSpaceDE/>
              <w:autoSpaceDN/>
              <w:bidi w:val="0"/>
              <w:spacing w:beforeLines="0" w:line="360" w:lineRule="auto"/>
              <w:jc w:val="center"/>
              <w:rPr>
                <w:rFonts w:hint="eastAsia" w:ascii="宋体" w:hAnsi="宋体" w:cs="宋体"/>
                <w:color w:val="auto"/>
                <w:sz w:val="24"/>
                <w:szCs w:val="24"/>
                <w:highlight w:val="none"/>
              </w:rPr>
            </w:pPr>
            <w:bookmarkStart w:id="30" w:name="_Hlk122007764"/>
            <w:r>
              <w:rPr>
                <w:rFonts w:hint="eastAsia" w:ascii="宋体" w:hAnsi="宋体" w:cs="宋体"/>
                <w:color w:val="auto"/>
                <w:sz w:val="24"/>
                <w:szCs w:val="24"/>
                <w:highlight w:val="none"/>
              </w:rPr>
              <w:t>总体方案设计</w:t>
            </w:r>
            <w:bookmarkEnd w:id="30"/>
          </w:p>
        </w:tc>
        <w:tc>
          <w:tcPr>
            <w:tcW w:w="7130" w:type="dxa"/>
            <w:tcBorders>
              <w:top w:val="single" w:color="auto" w:sz="4" w:space="0"/>
              <w:left w:val="nil"/>
              <w:bottom w:val="single" w:color="auto" w:sz="4" w:space="0"/>
              <w:right w:val="single" w:color="auto" w:sz="4" w:space="0"/>
            </w:tcBorders>
            <w:noWrap w:val="0"/>
            <w:vAlign w:val="center"/>
          </w:tcPr>
          <w:p w14:paraId="239539DD">
            <w:pPr>
              <w:keepNext w:val="0"/>
              <w:keepLines w:val="0"/>
              <w:pageBreakBefore w:val="0"/>
              <w:kinsoku/>
              <w:wordWrap/>
              <w:overflowPunct/>
              <w:topLinePunct w:val="0"/>
              <w:autoSpaceDE/>
              <w:autoSpaceDN/>
              <w:bidi w:val="0"/>
              <w:spacing w:beforeLines="0" w:line="360" w:lineRule="auto"/>
              <w:rPr>
                <w:rFonts w:ascii="宋体" w:hAnsi="宋体" w:cs="仿宋_GB2312"/>
                <w:bCs/>
                <w:color w:val="auto"/>
                <w:sz w:val="24"/>
                <w:szCs w:val="24"/>
                <w:highlight w:val="none"/>
              </w:rPr>
            </w:pPr>
            <w:r>
              <w:rPr>
                <w:rFonts w:hint="eastAsia" w:ascii="宋体" w:hAnsi="宋体" w:cs="仿宋_GB2312"/>
                <w:bCs/>
                <w:color w:val="auto"/>
                <w:sz w:val="24"/>
                <w:szCs w:val="24"/>
                <w:highlight w:val="none"/>
              </w:rPr>
              <w:t>根据所投产品技术指标对采购需求中“</w:t>
            </w:r>
            <w:r>
              <w:rPr>
                <w:rFonts w:ascii="宋体" w:hAnsi="宋体" w:cs="仿宋_GB2312"/>
                <w:bCs/>
                <w:color w:val="auto"/>
                <w:sz w:val="24"/>
                <w:szCs w:val="24"/>
                <w:highlight w:val="none"/>
              </w:rPr>
              <w:t>3.</w:t>
            </w:r>
            <w:r>
              <w:rPr>
                <w:rFonts w:hint="eastAsia" w:ascii="宋体" w:hAnsi="宋体" w:cs="仿宋_GB2312"/>
                <w:bCs/>
                <w:color w:val="auto"/>
                <w:sz w:val="24"/>
                <w:szCs w:val="24"/>
                <w:highlight w:val="none"/>
              </w:rPr>
              <w:t>2技术指标要求”的响应情况进行评价：</w:t>
            </w:r>
          </w:p>
          <w:p w14:paraId="688F6645">
            <w:pPr>
              <w:pStyle w:val="28"/>
              <w:keepNext w:val="0"/>
              <w:keepLines w:val="0"/>
              <w:pageBreakBefore w:val="0"/>
              <w:kinsoku/>
              <w:wordWrap/>
              <w:overflowPunct/>
              <w:topLinePunct w:val="0"/>
              <w:autoSpaceDE/>
              <w:autoSpaceDN/>
              <w:bidi w:val="0"/>
              <w:spacing w:beforeLines="0" w:after="0" w:line="360" w:lineRule="auto"/>
              <w:jc w:val="both"/>
              <w:rPr>
                <w:rFonts w:hint="eastAsia" w:ascii="宋体" w:hAnsi="宋体" w:eastAsia="宋体" w:cs="宋体"/>
                <w:bCs/>
                <w:color w:val="auto"/>
                <w:szCs w:val="24"/>
                <w:highlight w:val="none"/>
              </w:rPr>
            </w:pPr>
            <w:r>
              <w:rPr>
                <w:rFonts w:hint="eastAsia" w:ascii="宋体" w:hAnsi="宋体" w:cs="仿宋_GB2312"/>
                <w:bCs/>
                <w:color w:val="auto"/>
                <w:szCs w:val="24"/>
                <w:highlight w:val="none"/>
              </w:rPr>
              <w:t>全部满足招标文件要求的得满分20分；</w:t>
            </w:r>
            <w:r>
              <w:rPr>
                <w:rFonts w:hint="eastAsia" w:ascii="宋体" w:hAnsi="宋体" w:cs="宋体"/>
                <w:bCs/>
                <w:color w:val="auto"/>
                <w:szCs w:val="24"/>
                <w:highlight w:val="none"/>
              </w:rPr>
              <w:t>带“▲”关键技术参数要求，需提供截图证明，存在负偏离或缺漏项或与实际系统不相符的每项扣2分；其</w:t>
            </w:r>
            <w:r>
              <w:rPr>
                <w:rFonts w:hint="eastAsia" w:ascii="宋体" w:hAnsi="宋体" w:eastAsia="宋体" w:cs="宋体"/>
                <w:bCs/>
                <w:color w:val="auto"/>
                <w:szCs w:val="24"/>
                <w:highlight w:val="none"/>
              </w:rPr>
              <w:t>他技术指标有负偏离或与实际系统不相符的，每项扣1分；扣完为止。</w:t>
            </w:r>
          </w:p>
          <w:p w14:paraId="42CC441F">
            <w:pPr>
              <w:pStyle w:val="28"/>
              <w:keepNext w:val="0"/>
              <w:keepLines w:val="0"/>
              <w:pageBreakBefore w:val="0"/>
              <w:kinsoku/>
              <w:wordWrap/>
              <w:overflowPunct/>
              <w:topLinePunct w:val="0"/>
              <w:autoSpaceDE/>
              <w:autoSpaceDN/>
              <w:bidi w:val="0"/>
              <w:spacing w:beforeLines="0" w:after="0" w:line="360" w:lineRule="auto"/>
              <w:jc w:val="both"/>
              <w:rPr>
                <w:rFonts w:hint="eastAsia"/>
                <w:color w:val="auto"/>
                <w:highlight w:val="none"/>
              </w:rPr>
            </w:pPr>
            <w:r>
              <w:rPr>
                <w:rFonts w:hint="eastAsia" w:ascii="宋体" w:hAnsi="宋体" w:eastAsia="宋体" w:cs="宋体"/>
                <w:bCs/>
                <w:color w:val="auto"/>
                <w:szCs w:val="24"/>
                <w:highlight w:val="none"/>
                <w:lang w:val="en-US" w:eastAsia="zh-CN"/>
              </w:rPr>
              <w:t>（注：须提供所投产品的</w:t>
            </w:r>
            <w:r>
              <w:rPr>
                <w:rFonts w:hint="eastAsia" w:ascii="宋体" w:hAnsi="宋体" w:cs="仿宋_GB2312"/>
                <w:bCs/>
                <w:color w:val="auto"/>
                <w:sz w:val="24"/>
                <w:szCs w:val="24"/>
                <w:highlight w:val="none"/>
              </w:rPr>
              <w:t>技术指标</w:t>
            </w:r>
            <w:r>
              <w:rPr>
                <w:rFonts w:hint="eastAsia" w:ascii="宋体" w:hAnsi="宋体" w:eastAsia="宋体" w:cs="宋体"/>
                <w:bCs/>
                <w:color w:val="auto"/>
                <w:szCs w:val="24"/>
                <w:highlight w:val="none"/>
                <w:lang w:val="en-US" w:eastAsia="zh-CN"/>
              </w:rPr>
              <w:t>并如实填写入技术偏离表中；要求提供相关</w:t>
            </w:r>
            <w:r>
              <w:rPr>
                <w:rFonts w:hint="eastAsia" w:ascii="宋体" w:hAnsi="宋体" w:cs="仿宋_GB2312"/>
                <w:bCs/>
                <w:color w:val="auto"/>
                <w:sz w:val="24"/>
                <w:szCs w:val="24"/>
                <w:highlight w:val="none"/>
              </w:rPr>
              <w:t>技术指标</w:t>
            </w:r>
            <w:r>
              <w:rPr>
                <w:rFonts w:hint="eastAsia" w:ascii="宋体" w:hAnsi="宋体" w:eastAsia="宋体" w:cs="宋体"/>
                <w:bCs/>
                <w:color w:val="auto"/>
                <w:szCs w:val="24"/>
                <w:highlight w:val="none"/>
                <w:lang w:val="en-US" w:eastAsia="zh-CN"/>
              </w:rPr>
              <w:t>证明材料的，投标人应按要求提供，不提供或证明材料不足以证明</w:t>
            </w:r>
            <w:r>
              <w:rPr>
                <w:rFonts w:hint="eastAsia" w:ascii="宋体" w:hAnsi="宋体" w:cs="仿宋_GB2312"/>
                <w:bCs/>
                <w:color w:val="auto"/>
                <w:sz w:val="24"/>
                <w:szCs w:val="24"/>
                <w:highlight w:val="none"/>
              </w:rPr>
              <w:t>技术指标</w:t>
            </w:r>
            <w:r>
              <w:rPr>
                <w:rFonts w:hint="eastAsia" w:ascii="宋体" w:hAnsi="宋体" w:eastAsia="宋体" w:cs="宋体"/>
                <w:bCs/>
                <w:color w:val="auto"/>
                <w:szCs w:val="24"/>
                <w:highlight w:val="none"/>
                <w:lang w:val="en-US" w:eastAsia="zh-CN"/>
              </w:rPr>
              <w:t>符合要求的不得分。）</w:t>
            </w:r>
          </w:p>
        </w:tc>
        <w:tc>
          <w:tcPr>
            <w:tcW w:w="544" w:type="dxa"/>
            <w:tcBorders>
              <w:top w:val="single" w:color="auto" w:sz="4" w:space="0"/>
              <w:left w:val="nil"/>
              <w:bottom w:val="single" w:color="auto" w:sz="4" w:space="0"/>
              <w:right w:val="single" w:color="auto" w:sz="4" w:space="0"/>
            </w:tcBorders>
            <w:noWrap w:val="0"/>
            <w:vAlign w:val="center"/>
          </w:tcPr>
          <w:p w14:paraId="292CD33C">
            <w:pPr>
              <w:pStyle w:val="28"/>
              <w:keepNext w:val="0"/>
              <w:keepLines w:val="0"/>
              <w:pageBreakBefore w:val="0"/>
              <w:kinsoku/>
              <w:wordWrap/>
              <w:overflowPunct/>
              <w:topLinePunct w:val="0"/>
              <w:autoSpaceDE/>
              <w:autoSpaceDN/>
              <w:bidi w:val="0"/>
              <w:spacing w:beforeLines="0" w:after="0" w:line="360" w:lineRule="auto"/>
              <w:rPr>
                <w:rFonts w:hint="eastAsia" w:ascii="宋体" w:hAnsi="宋体" w:cs="宋体"/>
                <w:color w:val="auto"/>
                <w:szCs w:val="24"/>
                <w:highlight w:val="none"/>
              </w:rPr>
            </w:pPr>
            <w:r>
              <w:rPr>
                <w:rFonts w:hint="eastAsia" w:ascii="宋体" w:hAnsi="宋体" w:cs="宋体"/>
                <w:bCs/>
                <w:color w:val="auto"/>
                <w:szCs w:val="24"/>
                <w:highlight w:val="none"/>
              </w:rPr>
              <w:t>20</w:t>
            </w:r>
          </w:p>
        </w:tc>
      </w:tr>
      <w:tr w14:paraId="3F914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50" w:type="dxa"/>
            <w:tcBorders>
              <w:top w:val="single" w:color="auto" w:sz="4" w:space="0"/>
              <w:left w:val="single" w:color="auto" w:sz="4" w:space="0"/>
              <w:bottom w:val="single" w:color="auto" w:sz="4" w:space="0"/>
              <w:right w:val="single" w:color="auto" w:sz="4" w:space="0"/>
            </w:tcBorders>
            <w:noWrap w:val="0"/>
            <w:vAlign w:val="center"/>
          </w:tcPr>
          <w:p w14:paraId="7B404A96">
            <w:pPr>
              <w:keepNext w:val="0"/>
              <w:keepLines w:val="0"/>
              <w:pageBreakBefore w:val="0"/>
              <w:kinsoku/>
              <w:wordWrap/>
              <w:overflowPunct/>
              <w:topLinePunct w:val="0"/>
              <w:autoSpaceDE/>
              <w:autoSpaceDN/>
              <w:bidi w:val="0"/>
              <w:spacing w:beforeLines="0" w:line="360" w:lineRule="auto"/>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9</w:t>
            </w:r>
          </w:p>
        </w:tc>
        <w:tc>
          <w:tcPr>
            <w:tcW w:w="1050" w:type="dxa"/>
            <w:tcBorders>
              <w:top w:val="single" w:color="auto" w:sz="4" w:space="0"/>
              <w:left w:val="nil"/>
              <w:bottom w:val="single" w:color="auto" w:sz="4" w:space="0"/>
              <w:right w:val="single" w:color="auto" w:sz="4" w:space="0"/>
            </w:tcBorders>
            <w:noWrap w:val="0"/>
            <w:vAlign w:val="center"/>
          </w:tcPr>
          <w:p w14:paraId="6868969D">
            <w:pPr>
              <w:keepNext w:val="0"/>
              <w:keepLines w:val="0"/>
              <w:pageBreakBefore w:val="0"/>
              <w:widowControl/>
              <w:kinsoku/>
              <w:wordWrap/>
              <w:overflowPunct/>
              <w:topLinePunct w:val="0"/>
              <w:autoSpaceDE/>
              <w:autoSpaceDN/>
              <w:bidi w:val="0"/>
              <w:spacing w:beforeLines="0" w:line="360" w:lineRule="auto"/>
              <w:jc w:val="center"/>
              <w:rPr>
                <w:rFonts w:hint="eastAsia" w:ascii="宋体" w:hAnsi="宋体" w:cs="仿宋"/>
                <w:color w:val="auto"/>
                <w:sz w:val="24"/>
                <w:highlight w:val="none"/>
              </w:rPr>
            </w:pPr>
            <w:r>
              <w:rPr>
                <w:rFonts w:hint="eastAsia" w:ascii="宋体" w:hAnsi="宋体" w:cs="仿宋"/>
                <w:color w:val="auto"/>
                <w:sz w:val="24"/>
                <w:highlight w:val="none"/>
              </w:rPr>
              <w:t>实施</w:t>
            </w:r>
          </w:p>
          <w:p w14:paraId="687EA3EE">
            <w:pPr>
              <w:keepNext w:val="0"/>
              <w:keepLines w:val="0"/>
              <w:pageBreakBefore w:val="0"/>
              <w:widowControl/>
              <w:kinsoku/>
              <w:wordWrap/>
              <w:overflowPunct/>
              <w:topLinePunct w:val="0"/>
              <w:autoSpaceDE/>
              <w:autoSpaceDN/>
              <w:bidi w:val="0"/>
              <w:spacing w:beforeLines="0" w:line="360" w:lineRule="auto"/>
              <w:jc w:val="center"/>
              <w:rPr>
                <w:rFonts w:hint="eastAsia" w:ascii="宋体" w:hAnsi="宋体" w:cs="宋体"/>
                <w:color w:val="auto"/>
                <w:sz w:val="24"/>
                <w:szCs w:val="24"/>
                <w:highlight w:val="none"/>
              </w:rPr>
            </w:pPr>
            <w:r>
              <w:rPr>
                <w:rFonts w:hint="eastAsia" w:ascii="宋体" w:hAnsi="宋体" w:cs="仿宋"/>
                <w:color w:val="auto"/>
                <w:sz w:val="24"/>
                <w:highlight w:val="none"/>
              </w:rPr>
              <w:t>方案</w:t>
            </w:r>
          </w:p>
        </w:tc>
        <w:tc>
          <w:tcPr>
            <w:tcW w:w="7130" w:type="dxa"/>
            <w:tcBorders>
              <w:top w:val="single" w:color="auto" w:sz="4" w:space="0"/>
              <w:left w:val="nil"/>
              <w:bottom w:val="single" w:color="auto" w:sz="4" w:space="0"/>
              <w:right w:val="single" w:color="auto" w:sz="4" w:space="0"/>
            </w:tcBorders>
            <w:noWrap w:val="0"/>
            <w:vAlign w:val="center"/>
          </w:tcPr>
          <w:p w14:paraId="405919AB">
            <w:pPr>
              <w:pStyle w:val="28"/>
              <w:keepNext w:val="0"/>
              <w:keepLines w:val="0"/>
              <w:pageBreakBefore w:val="0"/>
              <w:widowControl w:val="0"/>
              <w:kinsoku/>
              <w:wordWrap/>
              <w:overflowPunct/>
              <w:topLinePunct w:val="0"/>
              <w:autoSpaceDE/>
              <w:autoSpaceDN/>
              <w:bidi w:val="0"/>
              <w:adjustRightInd w:val="0"/>
              <w:snapToGrid w:val="0"/>
              <w:spacing w:beforeLines="0" w:after="0" w:line="360" w:lineRule="auto"/>
              <w:jc w:val="both"/>
              <w:textAlignment w:val="baseline"/>
              <w:rPr>
                <w:rFonts w:hint="eastAsia" w:ascii="宋体" w:hAnsi="宋体" w:cs="仿宋"/>
                <w:bCs/>
                <w:color w:val="auto"/>
                <w:highlight w:val="none"/>
                <w:lang w:val="zh-CN"/>
              </w:rPr>
            </w:pPr>
            <w:r>
              <w:rPr>
                <w:rFonts w:hint="eastAsia" w:ascii="宋体" w:hAnsi="宋体" w:cs="仿宋"/>
                <w:bCs/>
                <w:color w:val="auto"/>
                <w:highlight w:val="none"/>
              </w:rPr>
              <w:t>投标文件中提供对本项目的实施方案，评审专家根据实施计划</w:t>
            </w:r>
            <w:r>
              <w:rPr>
                <w:rFonts w:hint="eastAsia" w:ascii="宋体" w:hAnsi="宋体" w:cs="仿宋"/>
                <w:bCs/>
                <w:color w:val="auto"/>
                <w:highlight w:val="none"/>
                <w:lang w:val="en-US" w:eastAsia="zh-CN"/>
              </w:rPr>
              <w:t>的</w:t>
            </w:r>
            <w:r>
              <w:rPr>
                <w:rFonts w:hint="eastAsia" w:ascii="宋体" w:hAnsi="宋体" w:cs="仿宋"/>
                <w:bCs/>
                <w:color w:val="auto"/>
                <w:highlight w:val="none"/>
              </w:rPr>
              <w:t>完整程度、人员配备</w:t>
            </w:r>
            <w:r>
              <w:rPr>
                <w:rFonts w:hint="eastAsia" w:ascii="宋体" w:hAnsi="宋体" w:cs="仿宋"/>
                <w:bCs/>
                <w:color w:val="auto"/>
                <w:highlight w:val="none"/>
                <w:lang w:val="en-US" w:eastAsia="zh-CN"/>
              </w:rPr>
              <w:t>的</w:t>
            </w:r>
            <w:r>
              <w:rPr>
                <w:rFonts w:hint="eastAsia" w:ascii="宋体" w:hAnsi="宋体" w:cs="仿宋"/>
                <w:bCs/>
                <w:color w:val="auto"/>
                <w:highlight w:val="none"/>
              </w:rPr>
              <w:t>合理分工情况、质量保障思路</w:t>
            </w:r>
            <w:r>
              <w:rPr>
                <w:rFonts w:hint="eastAsia" w:ascii="宋体" w:hAnsi="宋体" w:cs="仿宋"/>
                <w:bCs/>
                <w:color w:val="auto"/>
                <w:highlight w:val="none"/>
                <w:lang w:val="en-US" w:eastAsia="zh-CN"/>
              </w:rPr>
              <w:t>的</w:t>
            </w:r>
            <w:r>
              <w:rPr>
                <w:rFonts w:hint="eastAsia" w:ascii="宋体" w:hAnsi="宋体" w:cs="仿宋"/>
                <w:bCs/>
                <w:color w:val="auto"/>
                <w:highlight w:val="none"/>
              </w:rPr>
              <w:t>清晰情况、工期进度安排</w:t>
            </w:r>
            <w:r>
              <w:rPr>
                <w:rFonts w:hint="eastAsia" w:ascii="宋体" w:hAnsi="宋体" w:cs="仿宋"/>
                <w:bCs/>
                <w:color w:val="auto"/>
                <w:highlight w:val="none"/>
                <w:lang w:val="en-US" w:eastAsia="zh-CN"/>
              </w:rPr>
              <w:t>的</w:t>
            </w:r>
            <w:r>
              <w:rPr>
                <w:rFonts w:hint="eastAsia" w:ascii="宋体" w:hAnsi="宋体" w:cs="仿宋"/>
                <w:bCs/>
                <w:color w:val="auto"/>
                <w:highlight w:val="none"/>
              </w:rPr>
              <w:t>合理程度进行</w:t>
            </w:r>
            <w:r>
              <w:rPr>
                <w:rFonts w:hint="eastAsia" w:ascii="宋体" w:hAnsi="宋体" w:cs="仿宋"/>
                <w:bCs/>
                <w:color w:val="auto"/>
                <w:kern w:val="0"/>
                <w:sz w:val="24"/>
                <w:szCs w:val="24"/>
                <w:highlight w:val="none"/>
                <w:lang w:val="en-US" w:eastAsia="zh-CN"/>
              </w:rPr>
              <w:t>综合对比打分</w:t>
            </w:r>
            <w:r>
              <w:rPr>
                <w:rFonts w:hint="eastAsia" w:ascii="宋体" w:hAnsi="宋体" w:cs="仿宋"/>
                <w:bCs/>
                <w:color w:val="auto"/>
                <w:highlight w:val="none"/>
                <w:lang w:val="zh-CN"/>
              </w:rPr>
              <w:t>，本项最高得7分。</w:t>
            </w:r>
          </w:p>
          <w:p w14:paraId="2B4C7D05">
            <w:pPr>
              <w:keepNext w:val="0"/>
              <w:keepLines w:val="0"/>
              <w:pageBreakBefore w:val="0"/>
              <w:widowControl w:val="0"/>
              <w:kinsoku/>
              <w:wordWrap/>
              <w:overflowPunct/>
              <w:topLinePunct w:val="0"/>
              <w:autoSpaceDE/>
              <w:autoSpaceDN/>
              <w:bidi w:val="0"/>
              <w:adjustRightInd/>
              <w:snapToGrid/>
              <w:spacing w:beforeLines="0" w:line="360" w:lineRule="auto"/>
              <w:textAlignment w:val="auto"/>
              <w:rPr>
                <w:rFonts w:hint="eastAsia" w:ascii="宋体" w:hAnsi="宋体" w:eastAsia="宋体" w:cs="Times New Roman"/>
                <w:color w:val="auto"/>
                <w:kern w:val="0"/>
                <w:sz w:val="24"/>
                <w:highlight w:val="none"/>
                <w:lang w:val="en-US" w:eastAsia="zh-CN" w:bidi="ar-SA"/>
              </w:rPr>
            </w:pPr>
            <w:r>
              <w:rPr>
                <w:rFonts w:hint="eastAsia" w:ascii="宋体" w:hAnsi="宋体" w:eastAsia="宋体" w:cs="Times New Roman"/>
                <w:color w:val="auto"/>
                <w:kern w:val="0"/>
                <w:sz w:val="24"/>
                <w:highlight w:val="none"/>
                <w:lang w:val="en-US" w:eastAsia="zh-CN" w:bidi="ar-SA"/>
              </w:rPr>
              <w:t>①内容阐述详尽、准确且合理可行的，得（5-7］分；</w:t>
            </w:r>
          </w:p>
          <w:p w14:paraId="3E484374">
            <w:pPr>
              <w:keepNext w:val="0"/>
              <w:keepLines w:val="0"/>
              <w:pageBreakBefore w:val="0"/>
              <w:widowControl w:val="0"/>
              <w:kinsoku/>
              <w:wordWrap/>
              <w:overflowPunct/>
              <w:topLinePunct w:val="0"/>
              <w:autoSpaceDE/>
              <w:autoSpaceDN/>
              <w:bidi w:val="0"/>
              <w:adjustRightInd/>
              <w:snapToGrid/>
              <w:spacing w:beforeLines="0" w:line="360" w:lineRule="auto"/>
              <w:textAlignment w:val="auto"/>
              <w:rPr>
                <w:rFonts w:hint="eastAsia" w:ascii="宋体" w:hAnsi="宋体" w:eastAsia="宋体" w:cs="Times New Roman"/>
                <w:color w:val="auto"/>
                <w:kern w:val="0"/>
                <w:sz w:val="24"/>
                <w:highlight w:val="none"/>
                <w:lang w:val="en-US" w:eastAsia="zh-CN" w:bidi="ar-SA"/>
              </w:rPr>
            </w:pPr>
            <w:r>
              <w:rPr>
                <w:rFonts w:hint="eastAsia" w:ascii="宋体" w:hAnsi="宋体" w:eastAsia="宋体" w:cs="Times New Roman"/>
                <w:color w:val="auto"/>
                <w:kern w:val="0"/>
                <w:sz w:val="24"/>
                <w:highlight w:val="none"/>
                <w:lang w:val="en-US" w:eastAsia="zh-CN" w:bidi="ar-SA"/>
              </w:rPr>
              <w:t>②内容阐述较为详尽、准确且较合理可行的，得（3-5］分；</w:t>
            </w:r>
          </w:p>
          <w:p w14:paraId="275A26AF">
            <w:pPr>
              <w:keepNext w:val="0"/>
              <w:keepLines w:val="0"/>
              <w:pageBreakBefore w:val="0"/>
              <w:widowControl w:val="0"/>
              <w:kinsoku/>
              <w:wordWrap/>
              <w:overflowPunct/>
              <w:topLinePunct w:val="0"/>
              <w:autoSpaceDE/>
              <w:autoSpaceDN/>
              <w:bidi w:val="0"/>
              <w:adjustRightInd/>
              <w:snapToGrid/>
              <w:spacing w:beforeLines="0" w:line="360" w:lineRule="auto"/>
              <w:textAlignment w:val="auto"/>
              <w:rPr>
                <w:rFonts w:hint="eastAsia" w:ascii="宋体" w:hAnsi="宋体" w:eastAsia="宋体" w:cs="Times New Roman"/>
                <w:color w:val="auto"/>
                <w:kern w:val="0"/>
                <w:sz w:val="24"/>
                <w:highlight w:val="none"/>
                <w:lang w:val="en-US" w:eastAsia="zh-CN" w:bidi="ar-SA"/>
              </w:rPr>
            </w:pPr>
            <w:r>
              <w:rPr>
                <w:rFonts w:hint="eastAsia" w:ascii="宋体" w:hAnsi="宋体" w:eastAsia="宋体" w:cs="Times New Roman"/>
                <w:color w:val="auto"/>
                <w:kern w:val="0"/>
                <w:sz w:val="24"/>
                <w:highlight w:val="none"/>
                <w:lang w:val="en-US" w:eastAsia="zh-CN" w:bidi="ar-SA"/>
              </w:rPr>
              <w:t>③内容阐述粗略、缺陷较多，部分合理可行的，得（0-3］分；</w:t>
            </w:r>
          </w:p>
          <w:p w14:paraId="027D2F90">
            <w:pPr>
              <w:keepNext w:val="0"/>
              <w:keepLines w:val="0"/>
              <w:pageBreakBefore w:val="0"/>
              <w:widowControl w:val="0"/>
              <w:kinsoku/>
              <w:wordWrap/>
              <w:overflowPunct/>
              <w:topLinePunct w:val="0"/>
              <w:autoSpaceDE/>
              <w:autoSpaceDN/>
              <w:bidi w:val="0"/>
              <w:adjustRightInd/>
              <w:snapToGrid/>
              <w:spacing w:beforeLines="0" w:line="360" w:lineRule="auto"/>
              <w:textAlignment w:val="auto"/>
              <w:rPr>
                <w:rFonts w:hint="eastAsia"/>
                <w:color w:val="auto"/>
                <w:highlight w:val="none"/>
              </w:rPr>
            </w:pPr>
            <w:r>
              <w:rPr>
                <w:rFonts w:hint="eastAsia" w:ascii="宋体" w:hAnsi="宋体" w:eastAsia="宋体" w:cs="Times New Roman"/>
                <w:color w:val="auto"/>
                <w:kern w:val="0"/>
                <w:sz w:val="24"/>
                <w:highlight w:val="none"/>
                <w:lang w:val="en-US" w:eastAsia="zh-CN" w:bidi="ar-SA"/>
              </w:rPr>
              <w:t>④无相关内容阐述或不符合项目的不得分。</w:t>
            </w:r>
          </w:p>
        </w:tc>
        <w:tc>
          <w:tcPr>
            <w:tcW w:w="544" w:type="dxa"/>
            <w:tcBorders>
              <w:top w:val="single" w:color="auto" w:sz="4" w:space="0"/>
              <w:left w:val="nil"/>
              <w:bottom w:val="single" w:color="auto" w:sz="4" w:space="0"/>
              <w:right w:val="single" w:color="auto" w:sz="4" w:space="0"/>
            </w:tcBorders>
            <w:noWrap w:val="0"/>
            <w:vAlign w:val="center"/>
          </w:tcPr>
          <w:p w14:paraId="6BFCE1FF">
            <w:pPr>
              <w:pStyle w:val="28"/>
              <w:keepNext w:val="0"/>
              <w:keepLines w:val="0"/>
              <w:pageBreakBefore w:val="0"/>
              <w:kinsoku/>
              <w:wordWrap/>
              <w:overflowPunct/>
              <w:topLinePunct w:val="0"/>
              <w:autoSpaceDE/>
              <w:autoSpaceDN/>
              <w:bidi w:val="0"/>
              <w:spacing w:beforeLines="0" w:after="0" w:line="360" w:lineRule="auto"/>
              <w:rPr>
                <w:rFonts w:hint="eastAsia" w:ascii="宋体" w:hAnsi="宋体" w:cs="宋体"/>
                <w:color w:val="auto"/>
                <w:szCs w:val="24"/>
                <w:highlight w:val="none"/>
              </w:rPr>
            </w:pPr>
            <w:r>
              <w:rPr>
                <w:rFonts w:hint="eastAsia" w:ascii="宋体" w:hAnsi="宋体" w:cs="宋体"/>
                <w:color w:val="auto"/>
                <w:szCs w:val="24"/>
                <w:highlight w:val="none"/>
              </w:rPr>
              <w:t>7</w:t>
            </w:r>
          </w:p>
        </w:tc>
      </w:tr>
      <w:tr w14:paraId="0D6E3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50" w:type="dxa"/>
            <w:tcBorders>
              <w:top w:val="single" w:color="auto" w:sz="4" w:space="0"/>
              <w:left w:val="single" w:color="auto" w:sz="4" w:space="0"/>
              <w:bottom w:val="single" w:color="auto" w:sz="4" w:space="0"/>
              <w:right w:val="single" w:color="auto" w:sz="4" w:space="0"/>
            </w:tcBorders>
            <w:noWrap w:val="0"/>
            <w:vAlign w:val="center"/>
          </w:tcPr>
          <w:p w14:paraId="35BBB7E4">
            <w:pPr>
              <w:keepNext w:val="0"/>
              <w:keepLines w:val="0"/>
              <w:pageBreakBefore w:val="0"/>
              <w:kinsoku/>
              <w:wordWrap/>
              <w:overflowPunct/>
              <w:topLinePunct w:val="0"/>
              <w:autoSpaceDE/>
              <w:autoSpaceDN/>
              <w:bidi w:val="0"/>
              <w:spacing w:beforeLines="0" w:line="360" w:lineRule="auto"/>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10</w:t>
            </w:r>
          </w:p>
        </w:tc>
        <w:tc>
          <w:tcPr>
            <w:tcW w:w="1050" w:type="dxa"/>
            <w:tcBorders>
              <w:top w:val="single" w:color="auto" w:sz="4" w:space="0"/>
              <w:left w:val="nil"/>
              <w:bottom w:val="single" w:color="auto" w:sz="4" w:space="0"/>
              <w:right w:val="single" w:color="auto" w:sz="4" w:space="0"/>
            </w:tcBorders>
            <w:noWrap w:val="0"/>
            <w:vAlign w:val="center"/>
          </w:tcPr>
          <w:p w14:paraId="09842E5C">
            <w:pPr>
              <w:keepNext w:val="0"/>
              <w:keepLines w:val="0"/>
              <w:pageBreakBefore w:val="0"/>
              <w:widowControl/>
              <w:kinsoku/>
              <w:wordWrap/>
              <w:overflowPunct/>
              <w:topLinePunct w:val="0"/>
              <w:autoSpaceDE/>
              <w:autoSpaceDN/>
              <w:bidi w:val="0"/>
              <w:spacing w:beforeLines="0" w:line="360" w:lineRule="auto"/>
              <w:jc w:val="center"/>
              <w:rPr>
                <w:rFonts w:hint="eastAsia" w:ascii="宋体" w:hAnsi="宋体" w:cs="宋体"/>
                <w:color w:val="auto"/>
                <w:sz w:val="24"/>
                <w:szCs w:val="24"/>
                <w:highlight w:val="none"/>
              </w:rPr>
            </w:pPr>
            <w:r>
              <w:rPr>
                <w:rFonts w:hint="eastAsia" w:ascii="宋体" w:hAnsi="宋体" w:cs="仿宋"/>
                <w:color w:val="auto"/>
                <w:sz w:val="24"/>
                <w:highlight w:val="none"/>
              </w:rPr>
              <w:t>售后服务方案</w:t>
            </w:r>
          </w:p>
        </w:tc>
        <w:tc>
          <w:tcPr>
            <w:tcW w:w="7130" w:type="dxa"/>
            <w:tcBorders>
              <w:top w:val="single" w:color="auto" w:sz="4" w:space="0"/>
              <w:left w:val="nil"/>
              <w:bottom w:val="single" w:color="auto" w:sz="4" w:space="0"/>
              <w:right w:val="single" w:color="auto" w:sz="4" w:space="0"/>
            </w:tcBorders>
            <w:noWrap w:val="0"/>
            <w:vAlign w:val="center"/>
          </w:tcPr>
          <w:p w14:paraId="288CA84E">
            <w:pPr>
              <w:pStyle w:val="28"/>
              <w:keepNext w:val="0"/>
              <w:keepLines w:val="0"/>
              <w:pageBreakBefore w:val="0"/>
              <w:kinsoku/>
              <w:wordWrap/>
              <w:overflowPunct/>
              <w:topLinePunct w:val="0"/>
              <w:autoSpaceDE/>
              <w:autoSpaceDN/>
              <w:bidi w:val="0"/>
              <w:spacing w:beforeLines="0" w:after="0" w:line="360" w:lineRule="auto"/>
              <w:jc w:val="both"/>
              <w:rPr>
                <w:rFonts w:hint="eastAsia" w:ascii="宋体" w:hAnsi="宋体" w:cs="仿宋"/>
                <w:bCs/>
                <w:color w:val="auto"/>
                <w:highlight w:val="none"/>
                <w:lang w:val="zh-CN"/>
              </w:rPr>
            </w:pPr>
            <w:r>
              <w:rPr>
                <w:rFonts w:hint="eastAsia" w:ascii="宋体" w:hAnsi="宋体" w:cs="仿宋"/>
                <w:bCs/>
                <w:color w:val="auto"/>
                <w:highlight w:val="none"/>
              </w:rPr>
              <w:t>投标文件中提供对本项目的售后服务方案，评审专家根据售后服务体系、服务人员数量</w:t>
            </w:r>
            <w:r>
              <w:rPr>
                <w:rFonts w:hint="eastAsia" w:ascii="宋体" w:hAnsi="宋体" w:cs="仿宋"/>
                <w:bCs/>
                <w:color w:val="auto"/>
                <w:highlight w:val="none"/>
                <w:lang w:val="en-US" w:eastAsia="zh-CN"/>
              </w:rPr>
              <w:t>的</w:t>
            </w:r>
            <w:r>
              <w:rPr>
                <w:rFonts w:hint="eastAsia" w:ascii="宋体" w:hAnsi="宋体" w:cs="仿宋"/>
                <w:bCs/>
                <w:color w:val="auto"/>
                <w:highlight w:val="none"/>
              </w:rPr>
              <w:t>配备和分工、响应时间、售后服务措施等内容的合理性和可行性进行</w:t>
            </w:r>
            <w:r>
              <w:rPr>
                <w:rFonts w:hint="eastAsia" w:ascii="宋体" w:hAnsi="宋体" w:cs="仿宋"/>
                <w:bCs/>
                <w:color w:val="auto"/>
                <w:kern w:val="0"/>
                <w:sz w:val="24"/>
                <w:szCs w:val="24"/>
                <w:highlight w:val="none"/>
                <w:lang w:val="en-US" w:eastAsia="zh-CN"/>
              </w:rPr>
              <w:t>综合对比打分</w:t>
            </w:r>
            <w:r>
              <w:rPr>
                <w:rFonts w:hint="eastAsia" w:ascii="宋体" w:hAnsi="宋体" w:cs="仿宋"/>
                <w:bCs/>
                <w:color w:val="auto"/>
                <w:highlight w:val="none"/>
                <w:lang w:val="zh-CN"/>
              </w:rPr>
              <w:t>，本项最高得7分。</w:t>
            </w:r>
          </w:p>
          <w:p w14:paraId="414F497C">
            <w:pPr>
              <w:keepNext w:val="0"/>
              <w:keepLines w:val="0"/>
              <w:pageBreakBefore w:val="0"/>
              <w:widowControl w:val="0"/>
              <w:kinsoku/>
              <w:wordWrap/>
              <w:overflowPunct/>
              <w:topLinePunct w:val="0"/>
              <w:autoSpaceDE/>
              <w:autoSpaceDN/>
              <w:bidi w:val="0"/>
              <w:adjustRightInd/>
              <w:snapToGrid/>
              <w:spacing w:beforeLines="0" w:line="360" w:lineRule="auto"/>
              <w:textAlignment w:val="auto"/>
              <w:rPr>
                <w:rFonts w:hint="eastAsia" w:ascii="宋体" w:hAnsi="宋体" w:eastAsia="宋体" w:cs="Times New Roman"/>
                <w:color w:val="auto"/>
                <w:kern w:val="0"/>
                <w:sz w:val="24"/>
                <w:highlight w:val="none"/>
                <w:lang w:val="en-US" w:eastAsia="zh-CN" w:bidi="ar-SA"/>
              </w:rPr>
            </w:pPr>
            <w:r>
              <w:rPr>
                <w:rFonts w:hint="eastAsia" w:ascii="宋体" w:hAnsi="宋体" w:eastAsia="宋体" w:cs="Times New Roman"/>
                <w:color w:val="auto"/>
                <w:kern w:val="0"/>
                <w:sz w:val="24"/>
                <w:highlight w:val="none"/>
                <w:lang w:val="en-US" w:eastAsia="zh-CN" w:bidi="ar-SA"/>
              </w:rPr>
              <w:t>①内容阐述详尽、准确且合理可行的，得（5-7］分；</w:t>
            </w:r>
          </w:p>
          <w:p w14:paraId="2FB63E8F">
            <w:pPr>
              <w:keepNext w:val="0"/>
              <w:keepLines w:val="0"/>
              <w:pageBreakBefore w:val="0"/>
              <w:widowControl w:val="0"/>
              <w:kinsoku/>
              <w:wordWrap/>
              <w:overflowPunct/>
              <w:topLinePunct w:val="0"/>
              <w:autoSpaceDE/>
              <w:autoSpaceDN/>
              <w:bidi w:val="0"/>
              <w:adjustRightInd/>
              <w:snapToGrid/>
              <w:spacing w:beforeLines="0" w:line="360" w:lineRule="auto"/>
              <w:textAlignment w:val="auto"/>
              <w:rPr>
                <w:rFonts w:hint="eastAsia" w:ascii="宋体" w:hAnsi="宋体" w:eastAsia="宋体" w:cs="Times New Roman"/>
                <w:color w:val="auto"/>
                <w:kern w:val="0"/>
                <w:sz w:val="24"/>
                <w:highlight w:val="none"/>
                <w:lang w:val="en-US" w:eastAsia="zh-CN" w:bidi="ar-SA"/>
              </w:rPr>
            </w:pPr>
            <w:r>
              <w:rPr>
                <w:rFonts w:hint="eastAsia" w:ascii="宋体" w:hAnsi="宋体" w:eastAsia="宋体" w:cs="Times New Roman"/>
                <w:color w:val="auto"/>
                <w:kern w:val="0"/>
                <w:sz w:val="24"/>
                <w:highlight w:val="none"/>
                <w:lang w:val="en-US" w:eastAsia="zh-CN" w:bidi="ar-SA"/>
              </w:rPr>
              <w:t>②内容阐述较为详尽、准确且较合理可行的，得（3-5］分；</w:t>
            </w:r>
          </w:p>
          <w:p w14:paraId="23AC3E86">
            <w:pPr>
              <w:keepNext w:val="0"/>
              <w:keepLines w:val="0"/>
              <w:pageBreakBefore w:val="0"/>
              <w:widowControl w:val="0"/>
              <w:kinsoku/>
              <w:wordWrap/>
              <w:overflowPunct/>
              <w:topLinePunct w:val="0"/>
              <w:autoSpaceDE/>
              <w:autoSpaceDN/>
              <w:bidi w:val="0"/>
              <w:adjustRightInd/>
              <w:snapToGrid/>
              <w:spacing w:beforeLines="0" w:line="360" w:lineRule="auto"/>
              <w:textAlignment w:val="auto"/>
              <w:rPr>
                <w:rFonts w:hint="eastAsia" w:ascii="宋体" w:hAnsi="宋体" w:eastAsia="宋体" w:cs="Times New Roman"/>
                <w:color w:val="auto"/>
                <w:kern w:val="0"/>
                <w:sz w:val="24"/>
                <w:highlight w:val="none"/>
                <w:lang w:val="en-US" w:eastAsia="zh-CN" w:bidi="ar-SA"/>
              </w:rPr>
            </w:pPr>
            <w:r>
              <w:rPr>
                <w:rFonts w:hint="eastAsia" w:ascii="宋体" w:hAnsi="宋体" w:eastAsia="宋体" w:cs="Times New Roman"/>
                <w:color w:val="auto"/>
                <w:kern w:val="0"/>
                <w:sz w:val="24"/>
                <w:highlight w:val="none"/>
                <w:lang w:val="en-US" w:eastAsia="zh-CN" w:bidi="ar-SA"/>
              </w:rPr>
              <w:t>③内容阐述粗略、缺陷较多，部分合理可行的，得（0-3］分；</w:t>
            </w:r>
          </w:p>
          <w:p w14:paraId="1F21FC70">
            <w:pPr>
              <w:keepNext w:val="0"/>
              <w:keepLines w:val="0"/>
              <w:pageBreakBefore w:val="0"/>
              <w:widowControl w:val="0"/>
              <w:kinsoku/>
              <w:wordWrap/>
              <w:overflowPunct/>
              <w:topLinePunct w:val="0"/>
              <w:autoSpaceDE/>
              <w:autoSpaceDN/>
              <w:bidi w:val="0"/>
              <w:adjustRightInd/>
              <w:snapToGrid/>
              <w:spacing w:beforeLines="0" w:line="360" w:lineRule="auto"/>
              <w:textAlignment w:val="auto"/>
              <w:rPr>
                <w:rFonts w:hint="eastAsia"/>
                <w:color w:val="auto"/>
                <w:highlight w:val="none"/>
              </w:rPr>
            </w:pPr>
            <w:r>
              <w:rPr>
                <w:rFonts w:hint="eastAsia" w:ascii="宋体" w:hAnsi="宋体" w:eastAsia="宋体" w:cs="Times New Roman"/>
                <w:color w:val="auto"/>
                <w:kern w:val="0"/>
                <w:sz w:val="24"/>
                <w:highlight w:val="none"/>
                <w:lang w:val="en-US" w:eastAsia="zh-CN" w:bidi="ar-SA"/>
              </w:rPr>
              <w:t>④无相关内容阐述或不符合项目的不得分。</w:t>
            </w:r>
          </w:p>
        </w:tc>
        <w:tc>
          <w:tcPr>
            <w:tcW w:w="544" w:type="dxa"/>
            <w:tcBorders>
              <w:top w:val="single" w:color="auto" w:sz="4" w:space="0"/>
              <w:left w:val="nil"/>
              <w:bottom w:val="single" w:color="auto" w:sz="4" w:space="0"/>
              <w:right w:val="single" w:color="auto" w:sz="4" w:space="0"/>
            </w:tcBorders>
            <w:noWrap w:val="0"/>
            <w:vAlign w:val="center"/>
          </w:tcPr>
          <w:p w14:paraId="1D829158">
            <w:pPr>
              <w:pStyle w:val="28"/>
              <w:keepNext w:val="0"/>
              <w:keepLines w:val="0"/>
              <w:pageBreakBefore w:val="0"/>
              <w:kinsoku/>
              <w:wordWrap/>
              <w:overflowPunct/>
              <w:topLinePunct w:val="0"/>
              <w:autoSpaceDE/>
              <w:autoSpaceDN/>
              <w:bidi w:val="0"/>
              <w:spacing w:beforeLines="0" w:after="0" w:line="360" w:lineRule="auto"/>
              <w:rPr>
                <w:rFonts w:hint="eastAsia" w:ascii="宋体" w:hAnsi="宋体" w:cs="宋体"/>
                <w:color w:val="auto"/>
                <w:szCs w:val="24"/>
                <w:highlight w:val="none"/>
              </w:rPr>
            </w:pPr>
            <w:r>
              <w:rPr>
                <w:rFonts w:hint="eastAsia" w:ascii="宋体" w:hAnsi="宋体" w:cs="宋体"/>
                <w:color w:val="auto"/>
                <w:szCs w:val="24"/>
                <w:highlight w:val="none"/>
              </w:rPr>
              <w:t>7</w:t>
            </w:r>
          </w:p>
        </w:tc>
      </w:tr>
      <w:tr w14:paraId="7AFC9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50" w:type="dxa"/>
            <w:tcBorders>
              <w:top w:val="single" w:color="auto" w:sz="4" w:space="0"/>
              <w:left w:val="single" w:color="auto" w:sz="4" w:space="0"/>
              <w:bottom w:val="single" w:color="auto" w:sz="4" w:space="0"/>
              <w:right w:val="single" w:color="auto" w:sz="4" w:space="0"/>
            </w:tcBorders>
            <w:noWrap w:val="0"/>
            <w:vAlign w:val="center"/>
          </w:tcPr>
          <w:p w14:paraId="14219429">
            <w:pPr>
              <w:keepNext w:val="0"/>
              <w:keepLines w:val="0"/>
              <w:pageBreakBefore w:val="0"/>
              <w:kinsoku/>
              <w:wordWrap/>
              <w:overflowPunct/>
              <w:topLinePunct w:val="0"/>
              <w:autoSpaceDE/>
              <w:autoSpaceDN/>
              <w:bidi w:val="0"/>
              <w:spacing w:beforeLines="0" w:line="360" w:lineRule="auto"/>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11</w:t>
            </w:r>
          </w:p>
        </w:tc>
        <w:tc>
          <w:tcPr>
            <w:tcW w:w="1050" w:type="dxa"/>
            <w:tcBorders>
              <w:top w:val="single" w:color="auto" w:sz="4" w:space="0"/>
              <w:left w:val="nil"/>
              <w:bottom w:val="single" w:color="auto" w:sz="4" w:space="0"/>
              <w:right w:val="single" w:color="auto" w:sz="4" w:space="0"/>
            </w:tcBorders>
            <w:noWrap w:val="0"/>
            <w:vAlign w:val="center"/>
          </w:tcPr>
          <w:p w14:paraId="64B9EB95">
            <w:pPr>
              <w:keepNext w:val="0"/>
              <w:keepLines w:val="0"/>
              <w:pageBreakBefore w:val="0"/>
              <w:widowControl/>
              <w:kinsoku/>
              <w:wordWrap/>
              <w:overflowPunct/>
              <w:topLinePunct w:val="0"/>
              <w:autoSpaceDE/>
              <w:autoSpaceDN/>
              <w:bidi w:val="0"/>
              <w:spacing w:beforeLines="0" w:line="360" w:lineRule="auto"/>
              <w:jc w:val="center"/>
              <w:rPr>
                <w:rFonts w:ascii="宋体" w:hAnsi="宋体" w:cs="宋体"/>
                <w:color w:val="auto"/>
                <w:sz w:val="24"/>
                <w:szCs w:val="24"/>
                <w:highlight w:val="none"/>
              </w:rPr>
            </w:pPr>
            <w:r>
              <w:rPr>
                <w:rFonts w:ascii="宋体" w:hAnsi="宋体" w:cs="宋体"/>
                <w:color w:val="auto"/>
                <w:sz w:val="24"/>
                <w:szCs w:val="24"/>
                <w:highlight w:val="none"/>
              </w:rPr>
              <w:t>培训</w:t>
            </w:r>
          </w:p>
          <w:p w14:paraId="6614C3B3">
            <w:pPr>
              <w:keepNext w:val="0"/>
              <w:keepLines w:val="0"/>
              <w:pageBreakBefore w:val="0"/>
              <w:widowControl/>
              <w:kinsoku/>
              <w:wordWrap/>
              <w:overflowPunct/>
              <w:topLinePunct w:val="0"/>
              <w:autoSpaceDE/>
              <w:autoSpaceDN/>
              <w:bidi w:val="0"/>
              <w:spacing w:beforeLines="0" w:line="360" w:lineRule="auto"/>
              <w:jc w:val="center"/>
              <w:rPr>
                <w:rFonts w:hint="eastAsia" w:ascii="宋体" w:hAnsi="宋体" w:cs="宋体"/>
                <w:color w:val="auto"/>
                <w:sz w:val="24"/>
                <w:szCs w:val="24"/>
                <w:highlight w:val="none"/>
              </w:rPr>
            </w:pPr>
            <w:r>
              <w:rPr>
                <w:rFonts w:ascii="宋体" w:hAnsi="宋体" w:cs="宋体"/>
                <w:color w:val="auto"/>
                <w:sz w:val="24"/>
                <w:szCs w:val="24"/>
                <w:highlight w:val="none"/>
              </w:rPr>
              <w:t>方案</w:t>
            </w:r>
          </w:p>
        </w:tc>
        <w:tc>
          <w:tcPr>
            <w:tcW w:w="7130" w:type="dxa"/>
            <w:tcBorders>
              <w:top w:val="single" w:color="auto" w:sz="4" w:space="0"/>
              <w:left w:val="nil"/>
              <w:bottom w:val="single" w:color="auto" w:sz="4" w:space="0"/>
              <w:right w:val="single" w:color="auto" w:sz="4" w:space="0"/>
            </w:tcBorders>
            <w:noWrap w:val="0"/>
            <w:vAlign w:val="center"/>
          </w:tcPr>
          <w:p w14:paraId="0AFC5A69">
            <w:pPr>
              <w:keepNext w:val="0"/>
              <w:keepLines w:val="0"/>
              <w:pageBreakBefore w:val="0"/>
              <w:widowControl/>
              <w:kinsoku/>
              <w:wordWrap/>
              <w:overflowPunct/>
              <w:topLinePunct w:val="0"/>
              <w:autoSpaceDE/>
              <w:autoSpaceDN/>
              <w:bidi w:val="0"/>
              <w:spacing w:beforeLines="0" w:line="360" w:lineRule="auto"/>
              <w:jc w:val="left"/>
              <w:rPr>
                <w:rFonts w:hint="eastAsia" w:ascii="宋体" w:hAnsi="宋体" w:cs="仿宋"/>
                <w:bCs/>
                <w:color w:val="auto"/>
                <w:sz w:val="24"/>
                <w:szCs w:val="24"/>
                <w:highlight w:val="none"/>
                <w:lang w:val="zh-CN"/>
              </w:rPr>
            </w:pPr>
            <w:r>
              <w:rPr>
                <w:rFonts w:hint="eastAsia" w:ascii="宋体" w:hAnsi="宋体" w:cs="仿宋"/>
                <w:bCs/>
                <w:color w:val="auto"/>
                <w:sz w:val="24"/>
                <w:szCs w:val="24"/>
                <w:highlight w:val="none"/>
              </w:rPr>
              <w:t>投标文件中提供对本项目的培</w:t>
            </w:r>
            <w:r>
              <w:rPr>
                <w:rFonts w:hint="eastAsia" w:ascii="宋体" w:hAnsi="宋体" w:cs="仿宋"/>
                <w:bCs/>
                <w:color w:val="auto"/>
                <w:kern w:val="0"/>
                <w:sz w:val="24"/>
                <w:szCs w:val="24"/>
                <w:highlight w:val="none"/>
              </w:rPr>
              <w:t>训方案，评审专家根据</w:t>
            </w:r>
            <w:r>
              <w:rPr>
                <w:rFonts w:ascii="宋体" w:hAnsi="宋体" w:cs="仿宋"/>
                <w:bCs/>
                <w:color w:val="auto"/>
                <w:kern w:val="0"/>
                <w:sz w:val="24"/>
                <w:szCs w:val="24"/>
                <w:highlight w:val="none"/>
              </w:rPr>
              <w:t>培训计划、培训内容、培训对象、培训地点、培训时间、培训形式</w:t>
            </w:r>
            <w:r>
              <w:rPr>
                <w:rFonts w:hint="eastAsia" w:ascii="宋体" w:hAnsi="宋体" w:cs="仿宋"/>
                <w:bCs/>
                <w:color w:val="auto"/>
                <w:kern w:val="0"/>
                <w:sz w:val="24"/>
                <w:szCs w:val="24"/>
                <w:highlight w:val="none"/>
                <w:lang w:val="en-US" w:eastAsia="zh-CN"/>
              </w:rPr>
              <w:t>等进行综合对比打分</w:t>
            </w:r>
            <w:r>
              <w:rPr>
                <w:rFonts w:hint="eastAsia" w:ascii="宋体" w:hAnsi="宋体" w:cs="仿宋"/>
                <w:bCs/>
                <w:color w:val="auto"/>
                <w:kern w:val="0"/>
                <w:sz w:val="24"/>
                <w:szCs w:val="24"/>
                <w:highlight w:val="none"/>
              </w:rPr>
              <w:t>，</w:t>
            </w:r>
            <w:r>
              <w:rPr>
                <w:rFonts w:hint="eastAsia" w:ascii="宋体" w:hAnsi="宋体" w:cs="仿宋"/>
                <w:bCs/>
                <w:color w:val="auto"/>
                <w:sz w:val="24"/>
                <w:szCs w:val="24"/>
                <w:highlight w:val="none"/>
                <w:lang w:val="zh-CN"/>
              </w:rPr>
              <w:t>本项最高得7分。</w:t>
            </w:r>
          </w:p>
          <w:p w14:paraId="4C9D7B3F">
            <w:pPr>
              <w:keepNext w:val="0"/>
              <w:keepLines w:val="0"/>
              <w:pageBreakBefore w:val="0"/>
              <w:widowControl w:val="0"/>
              <w:kinsoku/>
              <w:wordWrap/>
              <w:overflowPunct/>
              <w:topLinePunct w:val="0"/>
              <w:autoSpaceDE/>
              <w:autoSpaceDN/>
              <w:bidi w:val="0"/>
              <w:adjustRightInd/>
              <w:snapToGrid/>
              <w:spacing w:beforeLines="0" w:line="360" w:lineRule="auto"/>
              <w:textAlignment w:val="auto"/>
              <w:rPr>
                <w:rFonts w:hint="eastAsia" w:ascii="宋体" w:hAnsi="宋体" w:eastAsia="宋体" w:cs="Times New Roman"/>
                <w:color w:val="auto"/>
                <w:kern w:val="0"/>
                <w:sz w:val="24"/>
                <w:highlight w:val="none"/>
                <w:lang w:val="en-US" w:eastAsia="zh-CN" w:bidi="ar-SA"/>
              </w:rPr>
            </w:pPr>
            <w:r>
              <w:rPr>
                <w:rFonts w:hint="eastAsia" w:ascii="宋体" w:hAnsi="宋体" w:eastAsia="宋体" w:cs="Times New Roman"/>
                <w:color w:val="auto"/>
                <w:kern w:val="0"/>
                <w:sz w:val="24"/>
                <w:highlight w:val="none"/>
                <w:lang w:val="en-US" w:eastAsia="zh-CN" w:bidi="ar-SA"/>
              </w:rPr>
              <w:t>①内容阐述详尽、准确且合理可行的，得（5-7］分；</w:t>
            </w:r>
          </w:p>
          <w:p w14:paraId="0C4FF21C">
            <w:pPr>
              <w:keepNext w:val="0"/>
              <w:keepLines w:val="0"/>
              <w:pageBreakBefore w:val="0"/>
              <w:widowControl w:val="0"/>
              <w:kinsoku/>
              <w:wordWrap/>
              <w:overflowPunct/>
              <w:topLinePunct w:val="0"/>
              <w:autoSpaceDE/>
              <w:autoSpaceDN/>
              <w:bidi w:val="0"/>
              <w:adjustRightInd/>
              <w:snapToGrid/>
              <w:spacing w:beforeLines="0" w:line="360" w:lineRule="auto"/>
              <w:textAlignment w:val="auto"/>
              <w:rPr>
                <w:rFonts w:hint="eastAsia" w:ascii="宋体" w:hAnsi="宋体" w:eastAsia="宋体" w:cs="Times New Roman"/>
                <w:color w:val="auto"/>
                <w:kern w:val="0"/>
                <w:sz w:val="24"/>
                <w:highlight w:val="none"/>
                <w:lang w:val="en-US" w:eastAsia="zh-CN" w:bidi="ar-SA"/>
              </w:rPr>
            </w:pPr>
            <w:r>
              <w:rPr>
                <w:rFonts w:hint="eastAsia" w:ascii="宋体" w:hAnsi="宋体" w:eastAsia="宋体" w:cs="Times New Roman"/>
                <w:color w:val="auto"/>
                <w:kern w:val="0"/>
                <w:sz w:val="24"/>
                <w:highlight w:val="none"/>
                <w:lang w:val="en-US" w:eastAsia="zh-CN" w:bidi="ar-SA"/>
              </w:rPr>
              <w:t>②内容阐述较为详尽、准确且较合理可行的，得（3-5］分；</w:t>
            </w:r>
          </w:p>
          <w:p w14:paraId="7C8F1A26">
            <w:pPr>
              <w:keepNext w:val="0"/>
              <w:keepLines w:val="0"/>
              <w:pageBreakBefore w:val="0"/>
              <w:widowControl w:val="0"/>
              <w:kinsoku/>
              <w:wordWrap/>
              <w:overflowPunct/>
              <w:topLinePunct w:val="0"/>
              <w:autoSpaceDE/>
              <w:autoSpaceDN/>
              <w:bidi w:val="0"/>
              <w:adjustRightInd/>
              <w:snapToGrid/>
              <w:spacing w:beforeLines="0" w:line="360" w:lineRule="auto"/>
              <w:textAlignment w:val="auto"/>
              <w:rPr>
                <w:rFonts w:hint="eastAsia" w:ascii="宋体" w:hAnsi="宋体" w:eastAsia="宋体" w:cs="Times New Roman"/>
                <w:color w:val="auto"/>
                <w:kern w:val="0"/>
                <w:sz w:val="24"/>
                <w:highlight w:val="none"/>
                <w:lang w:val="en-US" w:eastAsia="zh-CN" w:bidi="ar-SA"/>
              </w:rPr>
            </w:pPr>
            <w:r>
              <w:rPr>
                <w:rFonts w:hint="eastAsia" w:ascii="宋体" w:hAnsi="宋体" w:eastAsia="宋体" w:cs="Times New Roman"/>
                <w:color w:val="auto"/>
                <w:kern w:val="0"/>
                <w:sz w:val="24"/>
                <w:highlight w:val="none"/>
                <w:lang w:val="en-US" w:eastAsia="zh-CN" w:bidi="ar-SA"/>
              </w:rPr>
              <w:t>③内容阐述粗略、缺陷较多，部分合理可行的，得（0-3］分；</w:t>
            </w:r>
          </w:p>
          <w:p w14:paraId="65322439">
            <w:pPr>
              <w:keepNext w:val="0"/>
              <w:keepLines w:val="0"/>
              <w:pageBreakBefore w:val="0"/>
              <w:widowControl w:val="0"/>
              <w:kinsoku/>
              <w:wordWrap/>
              <w:overflowPunct/>
              <w:topLinePunct w:val="0"/>
              <w:autoSpaceDE/>
              <w:autoSpaceDN/>
              <w:bidi w:val="0"/>
              <w:adjustRightInd/>
              <w:snapToGrid/>
              <w:spacing w:beforeLines="0" w:line="360" w:lineRule="auto"/>
              <w:textAlignment w:val="auto"/>
              <w:rPr>
                <w:rFonts w:hint="eastAsia"/>
                <w:color w:val="auto"/>
                <w:highlight w:val="none"/>
              </w:rPr>
            </w:pPr>
            <w:r>
              <w:rPr>
                <w:rFonts w:hint="eastAsia" w:ascii="宋体" w:hAnsi="宋体" w:eastAsia="宋体" w:cs="Times New Roman"/>
                <w:color w:val="auto"/>
                <w:kern w:val="0"/>
                <w:sz w:val="24"/>
                <w:highlight w:val="none"/>
                <w:lang w:val="en-US" w:eastAsia="zh-CN" w:bidi="ar-SA"/>
              </w:rPr>
              <w:t>④无相关内容阐述或不符合项目的不得分。</w:t>
            </w:r>
          </w:p>
        </w:tc>
        <w:tc>
          <w:tcPr>
            <w:tcW w:w="544" w:type="dxa"/>
            <w:tcBorders>
              <w:top w:val="single" w:color="auto" w:sz="4" w:space="0"/>
              <w:left w:val="nil"/>
              <w:bottom w:val="single" w:color="auto" w:sz="4" w:space="0"/>
              <w:right w:val="single" w:color="auto" w:sz="4" w:space="0"/>
            </w:tcBorders>
            <w:noWrap w:val="0"/>
            <w:vAlign w:val="center"/>
          </w:tcPr>
          <w:p w14:paraId="05495485">
            <w:pPr>
              <w:pStyle w:val="28"/>
              <w:keepNext w:val="0"/>
              <w:keepLines w:val="0"/>
              <w:pageBreakBefore w:val="0"/>
              <w:kinsoku/>
              <w:wordWrap/>
              <w:overflowPunct/>
              <w:topLinePunct w:val="0"/>
              <w:autoSpaceDE/>
              <w:autoSpaceDN/>
              <w:bidi w:val="0"/>
              <w:spacing w:beforeLines="0" w:after="0" w:line="360" w:lineRule="auto"/>
              <w:rPr>
                <w:rFonts w:hint="eastAsia" w:ascii="宋体" w:hAnsi="宋体" w:cs="宋体"/>
                <w:color w:val="auto"/>
                <w:szCs w:val="24"/>
                <w:highlight w:val="none"/>
              </w:rPr>
            </w:pPr>
            <w:r>
              <w:rPr>
                <w:rFonts w:hint="eastAsia" w:ascii="宋体" w:hAnsi="宋体" w:cs="宋体"/>
                <w:color w:val="auto"/>
                <w:szCs w:val="24"/>
                <w:highlight w:val="none"/>
              </w:rPr>
              <w:t>7</w:t>
            </w:r>
          </w:p>
        </w:tc>
      </w:tr>
      <w:tr w14:paraId="136DF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50" w:type="dxa"/>
            <w:tcBorders>
              <w:top w:val="single" w:color="auto" w:sz="4" w:space="0"/>
              <w:left w:val="single" w:color="auto" w:sz="4" w:space="0"/>
              <w:bottom w:val="single" w:color="auto" w:sz="4" w:space="0"/>
              <w:right w:val="single" w:color="auto" w:sz="4" w:space="0"/>
            </w:tcBorders>
            <w:noWrap w:val="0"/>
            <w:vAlign w:val="center"/>
          </w:tcPr>
          <w:p w14:paraId="289A0C1B">
            <w:pPr>
              <w:keepNext w:val="0"/>
              <w:keepLines w:val="0"/>
              <w:pageBreakBefore w:val="0"/>
              <w:kinsoku/>
              <w:wordWrap/>
              <w:overflowPunct/>
              <w:topLinePunct w:val="0"/>
              <w:autoSpaceDE/>
              <w:autoSpaceDN/>
              <w:bidi w:val="0"/>
              <w:spacing w:beforeLines="0" w:line="360" w:lineRule="auto"/>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12</w:t>
            </w:r>
          </w:p>
        </w:tc>
        <w:tc>
          <w:tcPr>
            <w:tcW w:w="1050" w:type="dxa"/>
            <w:tcBorders>
              <w:left w:val="nil"/>
              <w:right w:val="single" w:color="auto" w:sz="4" w:space="0"/>
            </w:tcBorders>
            <w:noWrap w:val="0"/>
            <w:vAlign w:val="center"/>
          </w:tcPr>
          <w:p w14:paraId="592849EA">
            <w:pPr>
              <w:keepNext w:val="0"/>
              <w:keepLines w:val="0"/>
              <w:pageBreakBefore w:val="0"/>
              <w:kinsoku/>
              <w:wordWrap/>
              <w:overflowPunct/>
              <w:topLinePunct w:val="0"/>
              <w:autoSpaceDE/>
              <w:autoSpaceDN/>
              <w:bidi w:val="0"/>
              <w:snapToGrid w:val="0"/>
              <w:spacing w:beforeLines="0" w:line="360" w:lineRule="auto"/>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系统</w:t>
            </w:r>
          </w:p>
          <w:p w14:paraId="00614487">
            <w:pPr>
              <w:keepNext w:val="0"/>
              <w:keepLines w:val="0"/>
              <w:pageBreakBefore w:val="0"/>
              <w:kinsoku/>
              <w:wordWrap/>
              <w:overflowPunct/>
              <w:topLinePunct w:val="0"/>
              <w:autoSpaceDE/>
              <w:autoSpaceDN/>
              <w:bidi w:val="0"/>
              <w:snapToGrid w:val="0"/>
              <w:spacing w:beforeLines="0" w:line="36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rPr>
              <w:t>演示</w:t>
            </w:r>
          </w:p>
        </w:tc>
        <w:tc>
          <w:tcPr>
            <w:tcW w:w="7130" w:type="dxa"/>
            <w:tcBorders>
              <w:top w:val="single" w:color="auto" w:sz="4" w:space="0"/>
              <w:left w:val="nil"/>
              <w:bottom w:val="single" w:color="auto" w:sz="4" w:space="0"/>
              <w:right w:val="single" w:color="auto" w:sz="4" w:space="0"/>
            </w:tcBorders>
            <w:noWrap w:val="0"/>
            <w:vAlign w:val="center"/>
          </w:tcPr>
          <w:p w14:paraId="2563E682">
            <w:pPr>
              <w:keepNext w:val="0"/>
              <w:keepLines w:val="0"/>
              <w:pageBreakBefore w:val="0"/>
              <w:kinsoku/>
              <w:wordWrap/>
              <w:overflowPunct/>
              <w:topLinePunct w:val="0"/>
              <w:autoSpaceDE/>
              <w:autoSpaceDN/>
              <w:bidi w:val="0"/>
              <w:spacing w:beforeLines="0" w:line="360" w:lineRule="auto"/>
              <w:rPr>
                <w:rFonts w:hint="default" w:ascii="宋体" w:hAnsi="宋体" w:eastAsia="宋体" w:cs="仿宋"/>
                <w:b w:val="0"/>
                <w:bCs w:val="0"/>
                <w:color w:val="auto"/>
                <w:sz w:val="24"/>
                <w:szCs w:val="24"/>
                <w:highlight w:val="none"/>
                <w:lang w:val="en-US" w:eastAsia="zh-CN"/>
              </w:rPr>
            </w:pPr>
            <w:r>
              <w:rPr>
                <w:rFonts w:hint="eastAsia" w:ascii="宋体" w:hAnsi="宋体" w:cs="仿宋"/>
                <w:color w:val="auto"/>
                <w:sz w:val="24"/>
                <w:szCs w:val="24"/>
                <w:highlight w:val="none"/>
                <w:lang w:val="zh-CN"/>
              </w:rPr>
              <w:t>投标人对应用系统功能以</w:t>
            </w:r>
            <w:r>
              <w:rPr>
                <w:rFonts w:hint="eastAsia" w:ascii="宋体" w:hAnsi="宋体" w:eastAsia="宋体" w:cs="仿宋"/>
                <w:color w:val="auto"/>
                <w:sz w:val="24"/>
                <w:szCs w:val="24"/>
                <w:highlight w:val="none"/>
                <w:lang w:val="zh-CN"/>
              </w:rPr>
              <w:t>真实软件系统和设备进行视频演示，演示相关要求详见本表后</w:t>
            </w:r>
            <w:r>
              <w:rPr>
                <w:rFonts w:hint="eastAsia" w:ascii="宋体" w:hAnsi="宋体" w:eastAsia="宋体" w:cs="仿宋"/>
                <w:b/>
                <w:bCs/>
                <w:color w:val="auto"/>
                <w:sz w:val="24"/>
                <w:szCs w:val="24"/>
                <w:highlight w:val="none"/>
                <w:lang w:val="zh-CN"/>
              </w:rPr>
              <w:t>“视频演示相关要求”</w:t>
            </w:r>
            <w:r>
              <w:rPr>
                <w:rFonts w:hint="eastAsia" w:ascii="宋体" w:hAnsi="宋体" w:eastAsia="宋体" w:cs="仿宋"/>
                <w:b w:val="0"/>
                <w:bCs w:val="0"/>
                <w:color w:val="auto"/>
                <w:sz w:val="24"/>
                <w:szCs w:val="24"/>
                <w:highlight w:val="none"/>
                <w:lang w:val="zh-CN"/>
              </w:rPr>
              <w:t>，</w:t>
            </w:r>
            <w:r>
              <w:rPr>
                <w:rFonts w:hint="eastAsia" w:ascii="宋体" w:hAnsi="宋体" w:eastAsia="宋体" w:cs="仿宋"/>
                <w:b w:val="0"/>
                <w:bCs w:val="0"/>
                <w:color w:val="auto"/>
                <w:sz w:val="24"/>
                <w:szCs w:val="24"/>
                <w:highlight w:val="none"/>
                <w:lang w:val="en-US" w:eastAsia="zh-CN"/>
              </w:rPr>
              <w:t>演示内容包括以下功能：</w:t>
            </w:r>
          </w:p>
          <w:p w14:paraId="129636D3">
            <w:pPr>
              <w:keepNext w:val="0"/>
              <w:keepLines w:val="0"/>
              <w:pageBreakBefore w:val="0"/>
              <w:kinsoku/>
              <w:wordWrap/>
              <w:overflowPunct/>
              <w:topLinePunct w:val="0"/>
              <w:autoSpaceDE/>
              <w:autoSpaceDN/>
              <w:bidi w:val="0"/>
              <w:spacing w:beforeLines="0" w:line="360" w:lineRule="auto"/>
              <w:rPr>
                <w:rFonts w:hint="eastAsia" w:ascii="宋体" w:hAnsi="宋体" w:cs="仿宋"/>
                <w:color w:val="auto"/>
                <w:sz w:val="24"/>
                <w:szCs w:val="24"/>
                <w:highlight w:val="none"/>
                <w:lang w:val="zh-CN"/>
              </w:rPr>
            </w:pPr>
            <w:r>
              <w:rPr>
                <w:rFonts w:hint="eastAsia" w:ascii="宋体" w:hAnsi="宋体" w:cs="仿宋"/>
                <w:color w:val="auto"/>
                <w:sz w:val="24"/>
                <w:szCs w:val="24"/>
                <w:highlight w:val="none"/>
                <w:lang w:val="zh-CN"/>
              </w:rPr>
              <w:t>（1）“慢病医防融合系统”支持对多种题型的问卷模板进行增加、修改、删除及预览。</w:t>
            </w:r>
          </w:p>
          <w:p w14:paraId="7ECD0444">
            <w:pPr>
              <w:keepNext w:val="0"/>
              <w:keepLines w:val="0"/>
              <w:pageBreakBefore w:val="0"/>
              <w:kinsoku/>
              <w:wordWrap/>
              <w:overflowPunct/>
              <w:topLinePunct w:val="0"/>
              <w:autoSpaceDE/>
              <w:autoSpaceDN/>
              <w:bidi w:val="0"/>
              <w:spacing w:beforeLines="0" w:line="360" w:lineRule="auto"/>
              <w:rPr>
                <w:rFonts w:hint="eastAsia" w:ascii="宋体" w:hAnsi="宋体" w:cs="仿宋"/>
                <w:color w:val="auto"/>
                <w:sz w:val="24"/>
                <w:szCs w:val="24"/>
                <w:highlight w:val="none"/>
                <w:lang w:val="zh-CN"/>
              </w:rPr>
            </w:pPr>
            <w:r>
              <w:rPr>
                <w:rFonts w:hint="eastAsia" w:ascii="宋体" w:hAnsi="宋体" w:cs="仿宋"/>
                <w:color w:val="auto"/>
                <w:sz w:val="24"/>
                <w:szCs w:val="24"/>
                <w:highlight w:val="none"/>
                <w:lang w:val="zh-CN"/>
              </w:rPr>
              <w:t>（2）“慢病医防融合系统”支持血脂异常高危人群的集中展示，支持按姓名、身份证号等条件进行检索。</w:t>
            </w:r>
          </w:p>
          <w:p w14:paraId="1E7707E4">
            <w:pPr>
              <w:keepNext w:val="0"/>
              <w:keepLines w:val="0"/>
              <w:pageBreakBefore w:val="0"/>
              <w:kinsoku/>
              <w:wordWrap/>
              <w:overflowPunct/>
              <w:topLinePunct w:val="0"/>
              <w:autoSpaceDE/>
              <w:autoSpaceDN/>
              <w:bidi w:val="0"/>
              <w:spacing w:beforeLines="0" w:line="360" w:lineRule="auto"/>
              <w:rPr>
                <w:rFonts w:hint="eastAsia" w:ascii="宋体" w:hAnsi="宋体" w:cs="仿宋"/>
                <w:color w:val="auto"/>
                <w:sz w:val="24"/>
                <w:szCs w:val="24"/>
                <w:highlight w:val="none"/>
                <w:lang w:val="zh-CN"/>
              </w:rPr>
            </w:pPr>
            <w:r>
              <w:rPr>
                <w:rFonts w:hint="eastAsia" w:ascii="宋体" w:hAnsi="宋体" w:cs="仿宋"/>
                <w:color w:val="auto"/>
                <w:sz w:val="24"/>
                <w:szCs w:val="24"/>
                <w:highlight w:val="none"/>
                <w:lang w:val="zh-CN"/>
              </w:rPr>
              <w:t>（3）“慢病医防融合系统”支持血脂异常高危人群专项档案登记表详细内容的展示，支持表单内容的二次编辑。</w:t>
            </w:r>
          </w:p>
          <w:p w14:paraId="76246B6D">
            <w:pPr>
              <w:keepNext w:val="0"/>
              <w:keepLines w:val="0"/>
              <w:pageBreakBefore w:val="0"/>
              <w:kinsoku/>
              <w:wordWrap/>
              <w:overflowPunct/>
              <w:topLinePunct w:val="0"/>
              <w:autoSpaceDE/>
              <w:autoSpaceDN/>
              <w:bidi w:val="0"/>
              <w:spacing w:beforeLines="0" w:line="360" w:lineRule="auto"/>
              <w:rPr>
                <w:rFonts w:hint="eastAsia" w:ascii="宋体" w:hAnsi="宋体" w:cs="仿宋"/>
                <w:color w:val="auto"/>
                <w:sz w:val="24"/>
                <w:szCs w:val="24"/>
                <w:highlight w:val="none"/>
                <w:lang w:val="zh-CN"/>
              </w:rPr>
            </w:pPr>
            <w:r>
              <w:rPr>
                <w:rFonts w:hint="eastAsia" w:ascii="宋体" w:hAnsi="宋体" w:cs="仿宋"/>
                <w:color w:val="auto"/>
                <w:sz w:val="24"/>
                <w:szCs w:val="24"/>
                <w:highlight w:val="none"/>
                <w:lang w:val="zh-CN"/>
              </w:rPr>
              <w:t>（4）“体检报告AI智能分析系统”支持根据个体的身体状况和营养需求，制定出合理的饮食计划，包括食物名称、摄入量等。</w:t>
            </w:r>
          </w:p>
          <w:p w14:paraId="43029969">
            <w:pPr>
              <w:keepNext w:val="0"/>
              <w:keepLines w:val="0"/>
              <w:pageBreakBefore w:val="0"/>
              <w:kinsoku/>
              <w:wordWrap/>
              <w:overflowPunct/>
              <w:topLinePunct w:val="0"/>
              <w:autoSpaceDE/>
              <w:autoSpaceDN/>
              <w:bidi w:val="0"/>
              <w:spacing w:beforeLines="0" w:line="360" w:lineRule="auto"/>
              <w:rPr>
                <w:rFonts w:hint="eastAsia" w:ascii="宋体" w:hAnsi="宋体" w:cs="仿宋"/>
                <w:color w:val="auto"/>
                <w:sz w:val="24"/>
                <w:szCs w:val="24"/>
                <w:highlight w:val="none"/>
                <w:lang w:val="zh-CN"/>
              </w:rPr>
            </w:pPr>
            <w:r>
              <w:rPr>
                <w:rFonts w:hint="eastAsia" w:ascii="宋体" w:hAnsi="宋体" w:cs="仿宋"/>
                <w:color w:val="auto"/>
                <w:sz w:val="24"/>
                <w:szCs w:val="24"/>
                <w:highlight w:val="none"/>
                <w:lang w:val="zh-CN"/>
              </w:rPr>
              <w:t>（5）“体检报告AI智能分析系统”支持根据个体的身体状况和运动能力，制定出适合其个人的运动计划，包括运动类型、强度和频率等。</w:t>
            </w:r>
          </w:p>
          <w:p w14:paraId="3C9E3478">
            <w:pPr>
              <w:keepNext w:val="0"/>
              <w:keepLines w:val="0"/>
              <w:pageBreakBefore w:val="0"/>
              <w:kinsoku/>
              <w:wordWrap/>
              <w:overflowPunct/>
              <w:topLinePunct w:val="0"/>
              <w:autoSpaceDE/>
              <w:autoSpaceDN/>
              <w:bidi w:val="0"/>
              <w:spacing w:beforeLines="0" w:line="360" w:lineRule="auto"/>
              <w:rPr>
                <w:rFonts w:hint="eastAsia" w:ascii="宋体" w:hAnsi="宋体" w:eastAsia="宋体" w:cs="仿宋"/>
                <w:b/>
                <w:bCs/>
                <w:color w:val="auto"/>
                <w:sz w:val="24"/>
                <w:szCs w:val="24"/>
                <w:highlight w:val="none"/>
                <w:lang w:val="zh-CN"/>
              </w:rPr>
            </w:pPr>
            <w:r>
              <w:rPr>
                <w:rFonts w:hint="eastAsia" w:ascii="宋体" w:hAnsi="宋体" w:eastAsia="宋体" w:cs="仿宋"/>
                <w:b/>
                <w:bCs/>
                <w:color w:val="auto"/>
                <w:sz w:val="24"/>
                <w:szCs w:val="24"/>
                <w:highlight w:val="none"/>
                <w:lang w:val="zh-CN"/>
              </w:rPr>
              <w:t>得分标准</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每项功能演示最高得3分，本项最高得15分</w:t>
            </w:r>
            <w:r>
              <w:rPr>
                <w:rFonts w:hint="eastAsia" w:ascii="宋体" w:hAnsi="宋体" w:eastAsia="宋体" w:cs="宋体"/>
                <w:b/>
                <w:bCs/>
                <w:color w:val="auto"/>
                <w:sz w:val="24"/>
                <w:szCs w:val="24"/>
                <w:highlight w:val="none"/>
                <w:lang w:eastAsia="zh-CN"/>
              </w:rPr>
              <w:t>）</w:t>
            </w:r>
            <w:r>
              <w:rPr>
                <w:rFonts w:hint="eastAsia" w:ascii="宋体" w:hAnsi="宋体" w:eastAsia="宋体" w:cs="仿宋"/>
                <w:b/>
                <w:bCs/>
                <w:color w:val="auto"/>
                <w:sz w:val="24"/>
                <w:szCs w:val="24"/>
                <w:highlight w:val="none"/>
                <w:lang w:val="zh-CN"/>
              </w:rPr>
              <w:t>：</w:t>
            </w:r>
          </w:p>
          <w:p w14:paraId="5E572D90">
            <w:pPr>
              <w:keepNext w:val="0"/>
              <w:keepLines w:val="0"/>
              <w:pageBreakBefore w:val="0"/>
              <w:kinsoku/>
              <w:wordWrap/>
              <w:overflowPunct/>
              <w:topLinePunct w:val="0"/>
              <w:autoSpaceDE/>
              <w:autoSpaceDN/>
              <w:bidi w:val="0"/>
              <w:spacing w:beforeLines="0" w:line="360" w:lineRule="auto"/>
              <w:rPr>
                <w:rFonts w:hint="eastAsia" w:ascii="宋体" w:hAnsi="宋体" w:eastAsia="宋体" w:cs="仿宋"/>
                <w:color w:val="auto"/>
                <w:sz w:val="24"/>
                <w:szCs w:val="24"/>
                <w:highlight w:val="none"/>
                <w:lang w:val="en-US" w:eastAsia="zh-CN"/>
              </w:rPr>
            </w:pPr>
            <w:r>
              <w:rPr>
                <w:rFonts w:hint="eastAsia" w:ascii="宋体" w:hAnsi="宋体" w:eastAsia="宋体" w:cs="仿宋"/>
                <w:color w:val="auto"/>
                <w:sz w:val="24"/>
                <w:szCs w:val="24"/>
                <w:highlight w:val="none"/>
                <w:lang w:val="zh-CN"/>
              </w:rPr>
              <w:t>以上每一项功能演示时</w:t>
            </w:r>
            <w:r>
              <w:rPr>
                <w:rFonts w:hint="eastAsia" w:ascii="宋体" w:hAnsi="宋体" w:eastAsia="宋体" w:cs="仿宋"/>
                <w:color w:val="auto"/>
                <w:sz w:val="24"/>
                <w:szCs w:val="24"/>
                <w:highlight w:val="none"/>
                <w:lang w:val="en-US" w:eastAsia="zh-CN"/>
              </w:rPr>
              <w:t>:</w:t>
            </w:r>
          </w:p>
          <w:p w14:paraId="64B74DA0">
            <w:pPr>
              <w:keepNext w:val="0"/>
              <w:keepLines w:val="0"/>
              <w:pageBreakBefore w:val="0"/>
              <w:kinsoku/>
              <w:wordWrap/>
              <w:overflowPunct/>
              <w:topLinePunct w:val="0"/>
              <w:autoSpaceDE/>
              <w:autoSpaceDN/>
              <w:bidi w:val="0"/>
              <w:spacing w:beforeLines="0" w:line="360" w:lineRule="auto"/>
              <w:rPr>
                <w:rFonts w:hint="eastAsia" w:ascii="宋体" w:hAnsi="宋体" w:eastAsia="宋体" w:cs="仿宋"/>
                <w:color w:val="auto"/>
                <w:sz w:val="24"/>
                <w:szCs w:val="24"/>
                <w:highlight w:val="none"/>
                <w:lang w:val="zh-CN"/>
              </w:rPr>
            </w:pPr>
            <w:r>
              <w:rPr>
                <w:rFonts w:hint="eastAsia" w:ascii="宋体" w:hAnsi="宋体" w:eastAsia="宋体" w:cs="仿宋"/>
                <w:color w:val="auto"/>
                <w:sz w:val="24"/>
                <w:szCs w:val="24"/>
                <w:highlight w:val="none"/>
                <w:lang w:val="en-US" w:eastAsia="zh-CN"/>
              </w:rPr>
              <w:t>（1）</w:t>
            </w:r>
            <w:r>
              <w:rPr>
                <w:rFonts w:hint="eastAsia" w:ascii="宋体" w:hAnsi="宋体" w:eastAsia="宋体" w:cs="仿宋"/>
                <w:color w:val="auto"/>
                <w:sz w:val="24"/>
                <w:szCs w:val="24"/>
                <w:highlight w:val="none"/>
                <w:lang w:val="zh-CN"/>
              </w:rPr>
              <w:t>功能完善、实现流程和操作衔接紧凑、完整清晰，同时设计风格简洁、界面美观、操作便捷实用的得(1</w:t>
            </w:r>
            <w:r>
              <w:rPr>
                <w:rFonts w:hint="eastAsia" w:ascii="宋体" w:hAnsi="宋体" w:eastAsia="宋体" w:cs="仿宋"/>
                <w:color w:val="auto"/>
                <w:sz w:val="24"/>
                <w:szCs w:val="24"/>
                <w:highlight w:val="none"/>
                <w:lang w:val="en-US" w:eastAsia="zh-CN"/>
              </w:rPr>
              <w:t>.5</w:t>
            </w:r>
            <w:r>
              <w:rPr>
                <w:rFonts w:hint="eastAsia" w:ascii="宋体" w:hAnsi="宋体" w:eastAsia="宋体" w:cs="仿宋"/>
                <w:color w:val="auto"/>
                <w:sz w:val="24"/>
                <w:szCs w:val="24"/>
                <w:highlight w:val="none"/>
                <w:lang w:val="zh-CN"/>
              </w:rPr>
              <w:t>-</w:t>
            </w:r>
            <w:r>
              <w:rPr>
                <w:rFonts w:hint="eastAsia" w:ascii="宋体" w:hAnsi="宋体" w:eastAsia="宋体" w:cs="仿宋"/>
                <w:color w:val="auto"/>
                <w:sz w:val="24"/>
                <w:szCs w:val="24"/>
                <w:highlight w:val="none"/>
                <w:lang w:val="en-US" w:eastAsia="zh-CN"/>
              </w:rPr>
              <w:t>3</w:t>
            </w:r>
            <w:r>
              <w:rPr>
                <w:rFonts w:hint="eastAsia" w:ascii="宋体" w:hAnsi="宋体" w:eastAsia="宋体" w:cs="仿宋"/>
                <w:color w:val="auto"/>
                <w:sz w:val="24"/>
                <w:szCs w:val="24"/>
                <w:highlight w:val="none"/>
                <w:lang w:val="zh-CN"/>
              </w:rPr>
              <w:t>]分；</w:t>
            </w:r>
          </w:p>
          <w:p w14:paraId="5B8736A0">
            <w:pPr>
              <w:keepNext w:val="0"/>
              <w:keepLines w:val="0"/>
              <w:pageBreakBefore w:val="0"/>
              <w:kinsoku/>
              <w:wordWrap/>
              <w:overflowPunct/>
              <w:topLinePunct w:val="0"/>
              <w:autoSpaceDE/>
              <w:autoSpaceDN/>
              <w:bidi w:val="0"/>
              <w:spacing w:beforeLines="0" w:line="360" w:lineRule="auto"/>
              <w:rPr>
                <w:rFonts w:hint="eastAsia" w:ascii="宋体" w:hAnsi="宋体" w:eastAsia="宋体" w:cs="仿宋"/>
                <w:color w:val="auto"/>
                <w:sz w:val="24"/>
                <w:szCs w:val="24"/>
                <w:highlight w:val="none"/>
                <w:lang w:val="zh-CN"/>
              </w:rPr>
            </w:pPr>
            <w:r>
              <w:rPr>
                <w:rFonts w:hint="eastAsia" w:ascii="宋体" w:hAnsi="宋体" w:eastAsia="宋体" w:cs="仿宋"/>
                <w:color w:val="auto"/>
                <w:sz w:val="24"/>
                <w:szCs w:val="24"/>
                <w:highlight w:val="none"/>
                <w:lang w:val="zh-CN" w:eastAsia="zh-CN"/>
              </w:rPr>
              <w:t>（</w:t>
            </w:r>
            <w:r>
              <w:rPr>
                <w:rFonts w:hint="eastAsia" w:ascii="宋体" w:hAnsi="宋体" w:eastAsia="宋体" w:cs="仿宋"/>
                <w:color w:val="auto"/>
                <w:sz w:val="24"/>
                <w:szCs w:val="24"/>
                <w:highlight w:val="none"/>
                <w:lang w:val="en-US" w:eastAsia="zh-CN"/>
              </w:rPr>
              <w:t>2</w:t>
            </w:r>
            <w:r>
              <w:rPr>
                <w:rFonts w:hint="eastAsia" w:ascii="宋体" w:hAnsi="宋体" w:eastAsia="宋体" w:cs="仿宋"/>
                <w:color w:val="auto"/>
                <w:sz w:val="24"/>
                <w:szCs w:val="24"/>
                <w:highlight w:val="none"/>
                <w:lang w:val="zh-CN" w:eastAsia="zh-CN"/>
              </w:rPr>
              <w:t>）</w:t>
            </w:r>
            <w:r>
              <w:rPr>
                <w:rFonts w:hint="eastAsia" w:ascii="宋体" w:hAnsi="宋体" w:eastAsia="宋体" w:cs="仿宋"/>
                <w:color w:val="auto"/>
                <w:sz w:val="24"/>
                <w:szCs w:val="24"/>
                <w:highlight w:val="none"/>
                <w:lang w:val="zh-CN"/>
              </w:rPr>
              <w:t>功能实现但操作流程不够完整清晰，界面设计基本合理、操作较为便捷的得(0-1</w:t>
            </w:r>
            <w:r>
              <w:rPr>
                <w:rFonts w:hint="eastAsia" w:ascii="宋体" w:hAnsi="宋体" w:eastAsia="宋体" w:cs="仿宋"/>
                <w:color w:val="auto"/>
                <w:sz w:val="24"/>
                <w:szCs w:val="24"/>
                <w:highlight w:val="none"/>
                <w:lang w:val="en-US" w:eastAsia="zh-CN"/>
              </w:rPr>
              <w:t>.5</w:t>
            </w:r>
            <w:r>
              <w:rPr>
                <w:rFonts w:hint="eastAsia" w:ascii="宋体" w:hAnsi="宋体" w:eastAsia="宋体" w:cs="仿宋"/>
                <w:color w:val="auto"/>
                <w:sz w:val="24"/>
                <w:szCs w:val="24"/>
                <w:highlight w:val="none"/>
                <w:lang w:val="zh-CN"/>
              </w:rPr>
              <w:t>]分；</w:t>
            </w:r>
          </w:p>
          <w:p w14:paraId="5AB75D31">
            <w:pPr>
              <w:keepNext w:val="0"/>
              <w:keepLines w:val="0"/>
              <w:pageBreakBefore w:val="0"/>
              <w:kinsoku/>
              <w:wordWrap/>
              <w:overflowPunct/>
              <w:topLinePunct w:val="0"/>
              <w:autoSpaceDE/>
              <w:autoSpaceDN/>
              <w:bidi w:val="0"/>
              <w:spacing w:beforeLines="0" w:line="360" w:lineRule="auto"/>
              <w:rPr>
                <w:rFonts w:hint="eastAsia"/>
                <w:color w:val="auto"/>
                <w:highlight w:val="none"/>
                <w:lang w:val="zh-CN"/>
              </w:rPr>
            </w:pPr>
            <w:r>
              <w:rPr>
                <w:rFonts w:hint="eastAsia" w:ascii="宋体" w:hAnsi="宋体" w:eastAsia="宋体" w:cs="仿宋"/>
                <w:color w:val="auto"/>
                <w:sz w:val="24"/>
                <w:szCs w:val="24"/>
                <w:highlight w:val="none"/>
                <w:lang w:val="zh-CN" w:eastAsia="zh-CN"/>
              </w:rPr>
              <w:t>（</w:t>
            </w:r>
            <w:r>
              <w:rPr>
                <w:rFonts w:hint="eastAsia" w:ascii="宋体" w:hAnsi="宋体" w:eastAsia="宋体" w:cs="仿宋"/>
                <w:color w:val="auto"/>
                <w:sz w:val="24"/>
                <w:szCs w:val="24"/>
                <w:highlight w:val="none"/>
                <w:lang w:val="en-US" w:eastAsia="zh-CN"/>
              </w:rPr>
              <w:t>3</w:t>
            </w:r>
            <w:r>
              <w:rPr>
                <w:rFonts w:hint="eastAsia" w:ascii="宋体" w:hAnsi="宋体" w:eastAsia="宋体" w:cs="仿宋"/>
                <w:color w:val="auto"/>
                <w:sz w:val="24"/>
                <w:szCs w:val="24"/>
                <w:highlight w:val="none"/>
                <w:lang w:val="zh-CN" w:eastAsia="zh-CN"/>
              </w:rPr>
              <w:t>）</w:t>
            </w:r>
            <w:r>
              <w:rPr>
                <w:rFonts w:hint="eastAsia" w:ascii="宋体" w:hAnsi="宋体" w:eastAsia="宋体" w:cs="仿宋"/>
                <w:color w:val="auto"/>
                <w:sz w:val="24"/>
                <w:szCs w:val="24"/>
                <w:highlight w:val="none"/>
                <w:lang w:val="zh-CN"/>
              </w:rPr>
              <w:t>功能不符或未提供的不得分。</w:t>
            </w:r>
          </w:p>
        </w:tc>
        <w:tc>
          <w:tcPr>
            <w:tcW w:w="544" w:type="dxa"/>
            <w:tcBorders>
              <w:top w:val="single" w:color="auto" w:sz="4" w:space="0"/>
              <w:left w:val="nil"/>
              <w:bottom w:val="single" w:color="auto" w:sz="4" w:space="0"/>
              <w:right w:val="single" w:color="auto" w:sz="4" w:space="0"/>
            </w:tcBorders>
            <w:noWrap w:val="0"/>
            <w:vAlign w:val="center"/>
          </w:tcPr>
          <w:p w14:paraId="48E075D8">
            <w:pPr>
              <w:keepNext w:val="0"/>
              <w:keepLines w:val="0"/>
              <w:pageBreakBefore w:val="0"/>
              <w:kinsoku/>
              <w:wordWrap/>
              <w:overflowPunct/>
              <w:topLinePunct w:val="0"/>
              <w:autoSpaceDE/>
              <w:autoSpaceDN/>
              <w:bidi w:val="0"/>
              <w:spacing w:beforeLines="0"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15</w:t>
            </w:r>
          </w:p>
        </w:tc>
      </w:tr>
      <w:tr w14:paraId="6C6AB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374" w:type="dxa"/>
            <w:gridSpan w:val="4"/>
            <w:tcBorders>
              <w:top w:val="single" w:color="auto" w:sz="4" w:space="0"/>
              <w:left w:val="single" w:color="auto" w:sz="4" w:space="0"/>
              <w:bottom w:val="single" w:color="auto" w:sz="4" w:space="0"/>
              <w:right w:val="single" w:color="auto" w:sz="4" w:space="0"/>
            </w:tcBorders>
            <w:noWrap w:val="0"/>
            <w:vAlign w:val="center"/>
          </w:tcPr>
          <w:p w14:paraId="67EE4B9A">
            <w:pPr>
              <w:keepNext w:val="0"/>
              <w:keepLines w:val="0"/>
              <w:pageBreakBefore w:val="0"/>
              <w:widowControl w:val="0"/>
              <w:kinsoku/>
              <w:wordWrap/>
              <w:overflowPunct/>
              <w:topLinePunct w:val="0"/>
              <w:autoSpaceDE/>
              <w:autoSpaceDN/>
              <w:bidi w:val="0"/>
              <w:adjustRightInd/>
              <w:snapToGrid w:val="0"/>
              <w:spacing w:beforeLines="0" w:line="360" w:lineRule="auto"/>
              <w:textAlignment w:val="auto"/>
              <w:rPr>
                <w:rFonts w:hint="eastAsia"/>
                <w:b/>
                <w:bCs/>
                <w:iCs/>
                <w:color w:val="auto"/>
                <w:sz w:val="24"/>
                <w:szCs w:val="24"/>
                <w:highlight w:val="none"/>
              </w:rPr>
            </w:pPr>
            <w:r>
              <w:rPr>
                <w:rFonts w:hint="eastAsia"/>
                <w:b/>
                <w:bCs/>
                <w:color w:val="auto"/>
                <w:sz w:val="24"/>
                <w:szCs w:val="24"/>
                <w:highlight w:val="none"/>
                <w:lang w:bidi="ar"/>
              </w:rPr>
              <w:t>视频</w:t>
            </w:r>
            <w:r>
              <w:rPr>
                <w:rFonts w:hint="eastAsia"/>
                <w:b/>
                <w:bCs/>
                <w:iCs/>
                <w:color w:val="auto"/>
                <w:sz w:val="24"/>
                <w:szCs w:val="24"/>
                <w:highlight w:val="none"/>
              </w:rPr>
              <w:t>演示相关要求：</w:t>
            </w:r>
          </w:p>
          <w:p w14:paraId="75FB169C">
            <w:pPr>
              <w:keepNext w:val="0"/>
              <w:keepLines w:val="0"/>
              <w:pageBreakBefore w:val="0"/>
              <w:widowControl w:val="0"/>
              <w:kinsoku/>
              <w:wordWrap/>
              <w:overflowPunct/>
              <w:topLinePunct w:val="0"/>
              <w:autoSpaceDE/>
              <w:autoSpaceDN/>
              <w:bidi w:val="0"/>
              <w:adjustRightInd/>
              <w:spacing w:beforeLines="0" w:line="360" w:lineRule="auto"/>
              <w:ind w:firstLine="470" w:firstLineChars="196"/>
              <w:jc w:val="left"/>
              <w:textAlignment w:val="auto"/>
              <w:outlineLvl w:val="1"/>
              <w:rPr>
                <w:rFonts w:hint="eastAsia"/>
                <w:color w:val="auto"/>
                <w:sz w:val="24"/>
                <w:szCs w:val="24"/>
                <w:highlight w:val="none"/>
              </w:rPr>
            </w:pPr>
            <w:r>
              <w:rPr>
                <w:rFonts w:hint="eastAsia"/>
                <w:color w:val="auto"/>
                <w:sz w:val="24"/>
                <w:szCs w:val="24"/>
                <w:highlight w:val="none"/>
              </w:rPr>
              <w:t>各投标人投标时需提供符合本项目要求的软件系统功能演示。</w:t>
            </w:r>
            <w:r>
              <w:rPr>
                <w:rFonts w:hint="eastAsia"/>
                <w:color w:val="auto"/>
                <w:sz w:val="24"/>
                <w:szCs w:val="24"/>
                <w:highlight w:val="none"/>
                <w:u w:val="single"/>
              </w:rPr>
              <w:t>本项目采用“不见面”演示方式，以投标人自行录制的可播放的“视频演示文件”为依据</w:t>
            </w:r>
            <w:r>
              <w:rPr>
                <w:rFonts w:hint="eastAsia"/>
                <w:color w:val="auto"/>
                <w:sz w:val="24"/>
                <w:szCs w:val="24"/>
                <w:highlight w:val="none"/>
              </w:rPr>
              <w:t>，相关要求如下：</w:t>
            </w:r>
          </w:p>
          <w:p w14:paraId="1CE10A4C">
            <w:pPr>
              <w:keepNext w:val="0"/>
              <w:keepLines w:val="0"/>
              <w:pageBreakBefore w:val="0"/>
              <w:widowControl w:val="0"/>
              <w:kinsoku/>
              <w:wordWrap/>
              <w:overflowPunct/>
              <w:topLinePunct w:val="0"/>
              <w:autoSpaceDE/>
              <w:autoSpaceDN/>
              <w:bidi w:val="0"/>
              <w:adjustRightInd/>
              <w:spacing w:beforeLines="0" w:line="360" w:lineRule="auto"/>
              <w:ind w:firstLine="470" w:firstLineChars="196"/>
              <w:jc w:val="left"/>
              <w:textAlignment w:val="auto"/>
              <w:outlineLvl w:val="1"/>
              <w:rPr>
                <w:rFonts w:hint="eastAsia"/>
                <w:color w:val="auto"/>
                <w:sz w:val="24"/>
                <w:szCs w:val="24"/>
                <w:highlight w:val="none"/>
              </w:rPr>
            </w:pPr>
            <w:r>
              <w:rPr>
                <w:rFonts w:hint="eastAsia"/>
                <w:color w:val="auto"/>
                <w:sz w:val="24"/>
                <w:szCs w:val="24"/>
                <w:highlight w:val="none"/>
              </w:rPr>
              <w:t>1、“视频演示文件”演示内容及时长：</w:t>
            </w:r>
            <w:r>
              <w:rPr>
                <w:rFonts w:hint="eastAsia"/>
                <w:color w:val="auto"/>
                <w:sz w:val="24"/>
                <w:szCs w:val="24"/>
                <w:highlight w:val="none"/>
                <w:lang w:bidi="ar"/>
              </w:rPr>
              <w:t>演示须使用基于</w:t>
            </w:r>
            <w:r>
              <w:rPr>
                <w:rFonts w:hint="eastAsia"/>
                <w:b/>
                <w:bCs/>
                <w:color w:val="auto"/>
                <w:sz w:val="24"/>
                <w:szCs w:val="24"/>
                <w:highlight w:val="none"/>
                <w:u w:val="single"/>
                <w:lang w:bidi="ar"/>
              </w:rPr>
              <w:t>针对本项目需求开发的真实系统</w:t>
            </w:r>
            <w:r>
              <w:rPr>
                <w:rFonts w:hint="eastAsia"/>
                <w:color w:val="auto"/>
                <w:sz w:val="24"/>
                <w:szCs w:val="24"/>
                <w:highlight w:val="none"/>
                <w:lang w:bidi="ar"/>
              </w:rPr>
              <w:t>进行视频演示，采用其他形式（包括但不限于系统原型、demo视频、PPT、图片演示的）均不得分，总时长不超过</w:t>
            </w:r>
            <w:r>
              <w:rPr>
                <w:rFonts w:hint="eastAsia"/>
                <w:b/>
                <w:bCs/>
                <w:color w:val="auto"/>
                <w:sz w:val="24"/>
                <w:szCs w:val="24"/>
                <w:highlight w:val="none"/>
                <w:u w:val="single"/>
                <w:lang w:val="en-US" w:eastAsia="zh-CN" w:bidi="ar"/>
              </w:rPr>
              <w:t>20</w:t>
            </w:r>
            <w:r>
              <w:rPr>
                <w:rFonts w:hint="eastAsia"/>
                <w:b/>
                <w:bCs/>
                <w:color w:val="auto"/>
                <w:sz w:val="24"/>
                <w:szCs w:val="24"/>
                <w:highlight w:val="none"/>
                <w:u w:val="single"/>
                <w:lang w:bidi="ar"/>
              </w:rPr>
              <w:t>分钟</w:t>
            </w:r>
            <w:r>
              <w:rPr>
                <w:rFonts w:hint="eastAsia"/>
                <w:b w:val="0"/>
                <w:bCs w:val="0"/>
                <w:color w:val="auto"/>
                <w:sz w:val="24"/>
                <w:szCs w:val="24"/>
                <w:highlight w:val="none"/>
                <w:u w:val="none"/>
                <w:lang w:bidi="ar"/>
              </w:rPr>
              <w:t>。</w:t>
            </w:r>
          </w:p>
          <w:p w14:paraId="671BFC65">
            <w:pPr>
              <w:keepNext w:val="0"/>
              <w:keepLines w:val="0"/>
              <w:pageBreakBefore w:val="0"/>
              <w:widowControl w:val="0"/>
              <w:kinsoku/>
              <w:wordWrap/>
              <w:overflowPunct/>
              <w:topLinePunct w:val="0"/>
              <w:autoSpaceDE/>
              <w:autoSpaceDN/>
              <w:bidi w:val="0"/>
              <w:adjustRightInd/>
              <w:spacing w:beforeLines="0" w:line="360" w:lineRule="auto"/>
              <w:ind w:firstLine="470" w:firstLineChars="196"/>
              <w:jc w:val="left"/>
              <w:textAlignment w:val="auto"/>
              <w:outlineLvl w:val="1"/>
              <w:rPr>
                <w:rFonts w:hint="eastAsia"/>
                <w:color w:val="auto"/>
                <w:sz w:val="24"/>
                <w:szCs w:val="24"/>
                <w:highlight w:val="none"/>
              </w:rPr>
            </w:pPr>
            <w:r>
              <w:rPr>
                <w:rFonts w:hint="eastAsia"/>
                <w:color w:val="auto"/>
                <w:sz w:val="24"/>
                <w:szCs w:val="24"/>
                <w:highlight w:val="none"/>
              </w:rPr>
              <w:t>2、“视频演示文件”格式：建议使用</w:t>
            </w:r>
            <w:r>
              <w:rPr>
                <w:rFonts w:hint="eastAsia"/>
                <w:b/>
                <w:bCs/>
                <w:color w:val="auto"/>
                <w:sz w:val="24"/>
                <w:szCs w:val="24"/>
                <w:highlight w:val="none"/>
                <w:u w:val="single"/>
              </w:rPr>
              <w:t>MP4格式</w:t>
            </w:r>
            <w:r>
              <w:rPr>
                <w:rFonts w:hint="eastAsia"/>
                <w:color w:val="auto"/>
                <w:sz w:val="24"/>
                <w:szCs w:val="24"/>
                <w:highlight w:val="none"/>
              </w:rPr>
              <w:t>，若因格式问题导致无法打开的，后果由投标人自行承担。</w:t>
            </w:r>
          </w:p>
          <w:p w14:paraId="39FF49D6">
            <w:pPr>
              <w:keepNext w:val="0"/>
              <w:keepLines w:val="0"/>
              <w:pageBreakBefore w:val="0"/>
              <w:widowControl w:val="0"/>
              <w:kinsoku/>
              <w:wordWrap/>
              <w:overflowPunct/>
              <w:topLinePunct w:val="0"/>
              <w:autoSpaceDE/>
              <w:autoSpaceDN/>
              <w:bidi w:val="0"/>
              <w:adjustRightInd/>
              <w:spacing w:beforeLines="0" w:line="360" w:lineRule="auto"/>
              <w:ind w:firstLine="470" w:firstLineChars="196"/>
              <w:textAlignment w:val="auto"/>
              <w:rPr>
                <w:rFonts w:hint="eastAsia"/>
                <w:color w:val="auto"/>
                <w:sz w:val="24"/>
                <w:szCs w:val="24"/>
                <w:highlight w:val="none"/>
              </w:rPr>
            </w:pPr>
            <w:r>
              <w:rPr>
                <w:rFonts w:hint="eastAsia"/>
                <w:color w:val="auto"/>
                <w:sz w:val="24"/>
                <w:szCs w:val="24"/>
                <w:highlight w:val="none"/>
              </w:rPr>
              <w:t>3、U盘存储介质规格：建议使用标准</w:t>
            </w:r>
            <w:r>
              <w:rPr>
                <w:rFonts w:hint="eastAsia"/>
                <w:color w:val="auto"/>
                <w:sz w:val="24"/>
                <w:szCs w:val="24"/>
                <w:highlight w:val="none"/>
                <w:u w:val="single"/>
              </w:rPr>
              <w:t>USB3.0/2.0 Type-A规格</w:t>
            </w:r>
            <w:r>
              <w:rPr>
                <w:rFonts w:hint="eastAsia"/>
                <w:color w:val="auto"/>
                <w:sz w:val="24"/>
                <w:szCs w:val="24"/>
                <w:highlight w:val="none"/>
              </w:rPr>
              <w:t>的U盘存储介质，若因存储介质规格或质量问题而导致演示文件损坏或无法正常读取的，全部风险与责任由投标人自行承担。</w:t>
            </w:r>
          </w:p>
          <w:p w14:paraId="571DF77C">
            <w:pPr>
              <w:keepNext w:val="0"/>
              <w:keepLines w:val="0"/>
              <w:pageBreakBefore w:val="0"/>
              <w:widowControl w:val="0"/>
              <w:kinsoku/>
              <w:wordWrap/>
              <w:overflowPunct/>
              <w:topLinePunct w:val="0"/>
              <w:autoSpaceDE/>
              <w:autoSpaceDN/>
              <w:bidi w:val="0"/>
              <w:adjustRightInd/>
              <w:spacing w:beforeLines="0" w:line="360" w:lineRule="auto"/>
              <w:ind w:firstLine="470" w:firstLineChars="196"/>
              <w:textAlignment w:val="auto"/>
              <w:rPr>
                <w:rFonts w:hint="eastAsia"/>
                <w:color w:val="auto"/>
                <w:sz w:val="24"/>
                <w:szCs w:val="24"/>
                <w:highlight w:val="none"/>
              </w:rPr>
            </w:pPr>
            <w:r>
              <w:rPr>
                <w:rFonts w:hint="eastAsia"/>
                <w:color w:val="auto"/>
                <w:sz w:val="24"/>
                <w:szCs w:val="24"/>
                <w:highlight w:val="none"/>
              </w:rPr>
              <w:t>4、“视频演示文件”存储、密封、标识：</w:t>
            </w:r>
          </w:p>
          <w:p w14:paraId="6B6CC043">
            <w:pPr>
              <w:keepNext w:val="0"/>
              <w:keepLines w:val="0"/>
              <w:pageBreakBefore w:val="0"/>
              <w:widowControl w:val="0"/>
              <w:kinsoku/>
              <w:wordWrap/>
              <w:overflowPunct/>
              <w:topLinePunct w:val="0"/>
              <w:autoSpaceDE/>
              <w:autoSpaceDN/>
              <w:bidi w:val="0"/>
              <w:adjustRightInd/>
              <w:spacing w:beforeLines="0" w:line="360" w:lineRule="auto"/>
              <w:ind w:firstLine="470" w:firstLineChars="196"/>
              <w:textAlignment w:val="auto"/>
              <w:rPr>
                <w:rFonts w:hint="eastAsia"/>
                <w:color w:val="auto"/>
                <w:sz w:val="24"/>
                <w:szCs w:val="24"/>
                <w:highlight w:val="none"/>
              </w:rPr>
            </w:pPr>
            <w:r>
              <w:rPr>
                <w:rFonts w:hint="eastAsia"/>
                <w:color w:val="auto"/>
                <w:sz w:val="24"/>
                <w:szCs w:val="24"/>
                <w:highlight w:val="none"/>
              </w:rPr>
              <w:t>① 存储方式：采用U盘（1份）存储介质，投标人须将“视频演示文件”以压缩包加密的形式存储于U盘中，同时在“商务技术文件”中提供解密密码。</w:t>
            </w:r>
          </w:p>
          <w:p w14:paraId="6206E5C9">
            <w:pPr>
              <w:keepNext w:val="0"/>
              <w:keepLines w:val="0"/>
              <w:pageBreakBefore w:val="0"/>
              <w:widowControl w:val="0"/>
              <w:kinsoku/>
              <w:wordWrap/>
              <w:overflowPunct/>
              <w:topLinePunct w:val="0"/>
              <w:autoSpaceDE/>
              <w:autoSpaceDN/>
              <w:bidi w:val="0"/>
              <w:adjustRightInd/>
              <w:spacing w:beforeLines="0" w:line="360" w:lineRule="auto"/>
              <w:ind w:firstLine="470" w:firstLineChars="196"/>
              <w:textAlignment w:val="auto"/>
              <w:rPr>
                <w:rFonts w:hint="eastAsia"/>
                <w:color w:val="auto"/>
                <w:sz w:val="24"/>
                <w:szCs w:val="24"/>
                <w:highlight w:val="none"/>
              </w:rPr>
            </w:pPr>
            <w:r>
              <w:rPr>
                <w:rFonts w:hint="eastAsia"/>
                <w:color w:val="auto"/>
                <w:sz w:val="24"/>
                <w:szCs w:val="24"/>
                <w:highlight w:val="none"/>
              </w:rPr>
              <w:t>② 密封、标识方式：存储“视频演示文件”的U盘须单独密封包装，同时在外包装上注明：</w:t>
            </w:r>
            <w:r>
              <w:rPr>
                <w:rFonts w:hint="eastAsia"/>
                <w:color w:val="auto"/>
                <w:sz w:val="24"/>
                <w:szCs w:val="24"/>
                <w:highlight w:val="none"/>
                <w:u w:val="single"/>
              </w:rPr>
              <w:t>项目名称</w:t>
            </w:r>
            <w:r>
              <w:rPr>
                <w:rFonts w:hint="eastAsia"/>
                <w:color w:val="auto"/>
                <w:sz w:val="24"/>
                <w:szCs w:val="24"/>
                <w:highlight w:val="none"/>
              </w:rPr>
              <w:t>、</w:t>
            </w:r>
            <w:r>
              <w:rPr>
                <w:rFonts w:hint="eastAsia"/>
                <w:color w:val="auto"/>
                <w:sz w:val="24"/>
                <w:szCs w:val="24"/>
                <w:highlight w:val="none"/>
                <w:u w:val="single"/>
              </w:rPr>
              <w:t>项目编号</w:t>
            </w:r>
            <w:r>
              <w:rPr>
                <w:rFonts w:hint="eastAsia"/>
                <w:color w:val="auto"/>
                <w:sz w:val="24"/>
                <w:szCs w:val="24"/>
                <w:highlight w:val="none"/>
              </w:rPr>
              <w:t>、</w:t>
            </w:r>
            <w:r>
              <w:rPr>
                <w:rFonts w:hint="eastAsia"/>
                <w:color w:val="auto"/>
                <w:sz w:val="24"/>
                <w:szCs w:val="24"/>
                <w:highlight w:val="none"/>
                <w:u w:val="single"/>
              </w:rPr>
              <w:t>视频演示文件</w:t>
            </w:r>
            <w:r>
              <w:rPr>
                <w:rFonts w:hint="eastAsia"/>
                <w:color w:val="auto"/>
                <w:sz w:val="24"/>
                <w:szCs w:val="24"/>
                <w:highlight w:val="none"/>
              </w:rPr>
              <w:t>、</w:t>
            </w:r>
            <w:r>
              <w:rPr>
                <w:rFonts w:hint="eastAsia"/>
                <w:color w:val="auto"/>
                <w:sz w:val="24"/>
                <w:szCs w:val="24"/>
                <w:highlight w:val="none"/>
                <w:u w:val="single"/>
              </w:rPr>
              <w:t>投标人名称</w:t>
            </w:r>
            <w:r>
              <w:rPr>
                <w:rFonts w:hint="eastAsia"/>
                <w:color w:val="auto"/>
                <w:sz w:val="24"/>
                <w:szCs w:val="24"/>
                <w:highlight w:val="none"/>
              </w:rPr>
              <w:t>，并加盖投标人公章。未按规定进行密封和标识的“视频演示文件”不予接收。</w:t>
            </w:r>
          </w:p>
          <w:p w14:paraId="736936B1">
            <w:pPr>
              <w:keepNext w:val="0"/>
              <w:keepLines w:val="0"/>
              <w:pageBreakBefore w:val="0"/>
              <w:widowControl w:val="0"/>
              <w:kinsoku/>
              <w:wordWrap/>
              <w:overflowPunct/>
              <w:topLinePunct w:val="0"/>
              <w:autoSpaceDE/>
              <w:autoSpaceDN/>
              <w:bidi w:val="0"/>
              <w:adjustRightInd/>
              <w:spacing w:beforeLines="0" w:line="360" w:lineRule="auto"/>
              <w:ind w:firstLine="470" w:firstLineChars="196"/>
              <w:textAlignment w:val="auto"/>
              <w:rPr>
                <w:rFonts w:hint="eastAsia"/>
                <w:color w:val="auto"/>
                <w:sz w:val="24"/>
                <w:szCs w:val="24"/>
                <w:highlight w:val="none"/>
              </w:rPr>
            </w:pPr>
            <w:r>
              <w:rPr>
                <w:rFonts w:hint="eastAsia"/>
                <w:color w:val="auto"/>
                <w:sz w:val="24"/>
                <w:szCs w:val="24"/>
                <w:highlight w:val="none"/>
              </w:rPr>
              <w:t>5、“视频演示文件”的递交：</w:t>
            </w:r>
          </w:p>
          <w:p w14:paraId="3F4A9CF5">
            <w:pPr>
              <w:keepNext w:val="0"/>
              <w:keepLines w:val="0"/>
              <w:pageBreakBefore w:val="0"/>
              <w:widowControl w:val="0"/>
              <w:kinsoku/>
              <w:wordWrap/>
              <w:overflowPunct/>
              <w:topLinePunct w:val="0"/>
              <w:autoSpaceDE/>
              <w:autoSpaceDN/>
              <w:bidi w:val="0"/>
              <w:adjustRightInd/>
              <w:spacing w:beforeLines="0" w:line="360" w:lineRule="auto"/>
              <w:ind w:firstLine="470" w:firstLineChars="196"/>
              <w:textAlignment w:val="auto"/>
              <w:rPr>
                <w:rFonts w:hint="eastAsia"/>
                <w:color w:val="auto"/>
                <w:sz w:val="24"/>
                <w:szCs w:val="24"/>
                <w:highlight w:val="none"/>
              </w:rPr>
            </w:pPr>
            <w:r>
              <w:rPr>
                <w:rFonts w:hint="eastAsia"/>
                <w:color w:val="auto"/>
                <w:sz w:val="24"/>
                <w:szCs w:val="24"/>
                <w:highlight w:val="none"/>
              </w:rPr>
              <w:t>① 递交地点：浙江博策工程项目管理有限公司（地址：浙江省诸暨市暨南路21号乐家大厦2号楼东17楼；接收人：宣晨阳；联系电话：18258559388）；</w:t>
            </w:r>
          </w:p>
          <w:p w14:paraId="7CD18B1C">
            <w:pPr>
              <w:keepNext w:val="0"/>
              <w:keepLines w:val="0"/>
              <w:pageBreakBefore w:val="0"/>
              <w:widowControl w:val="0"/>
              <w:kinsoku/>
              <w:wordWrap/>
              <w:overflowPunct/>
              <w:topLinePunct w:val="0"/>
              <w:autoSpaceDE/>
              <w:autoSpaceDN/>
              <w:bidi w:val="0"/>
              <w:adjustRightInd/>
              <w:spacing w:beforeLines="0" w:line="360" w:lineRule="auto"/>
              <w:ind w:firstLine="470" w:firstLineChars="196"/>
              <w:textAlignment w:val="auto"/>
              <w:rPr>
                <w:rFonts w:hint="eastAsia"/>
                <w:color w:val="auto"/>
                <w:sz w:val="24"/>
                <w:szCs w:val="24"/>
                <w:highlight w:val="none"/>
              </w:rPr>
            </w:pPr>
            <w:r>
              <w:rPr>
                <w:rFonts w:hint="eastAsia"/>
                <w:color w:val="auto"/>
                <w:sz w:val="24"/>
                <w:szCs w:val="24"/>
                <w:highlight w:val="none"/>
              </w:rPr>
              <w:t>② 递交方式：</w:t>
            </w:r>
            <w:r>
              <w:rPr>
                <w:rFonts w:hint="eastAsia"/>
                <w:color w:val="auto"/>
                <w:sz w:val="24"/>
                <w:szCs w:val="24"/>
                <w:highlight w:val="none"/>
                <w:u w:val="single"/>
              </w:rPr>
              <w:t>现场递交</w:t>
            </w:r>
            <w:r>
              <w:rPr>
                <w:rFonts w:hint="eastAsia"/>
                <w:color w:val="auto"/>
                <w:sz w:val="24"/>
                <w:szCs w:val="24"/>
                <w:highlight w:val="none"/>
              </w:rPr>
              <w:t>；</w:t>
            </w:r>
            <w:r>
              <w:rPr>
                <w:rFonts w:hint="eastAsia"/>
                <w:color w:val="auto"/>
                <w:sz w:val="24"/>
                <w:szCs w:val="24"/>
                <w:highlight w:val="none"/>
                <w:u w:val="single"/>
              </w:rPr>
              <w:t>邮寄递交（建议采用EMS或顺丰邮寄）</w:t>
            </w:r>
            <w:r>
              <w:rPr>
                <w:rFonts w:hint="eastAsia"/>
                <w:color w:val="auto"/>
                <w:sz w:val="24"/>
                <w:szCs w:val="24"/>
                <w:highlight w:val="none"/>
              </w:rPr>
              <w:t>。</w:t>
            </w:r>
          </w:p>
          <w:p w14:paraId="671077F6">
            <w:pPr>
              <w:keepNext w:val="0"/>
              <w:keepLines w:val="0"/>
              <w:pageBreakBefore w:val="0"/>
              <w:widowControl w:val="0"/>
              <w:kinsoku/>
              <w:wordWrap/>
              <w:overflowPunct/>
              <w:topLinePunct w:val="0"/>
              <w:autoSpaceDE/>
              <w:autoSpaceDN/>
              <w:bidi w:val="0"/>
              <w:adjustRightInd/>
              <w:spacing w:beforeLines="0" w:line="360" w:lineRule="auto"/>
              <w:ind w:firstLine="470" w:firstLineChars="196"/>
              <w:textAlignment w:val="auto"/>
              <w:rPr>
                <w:rFonts w:hint="eastAsia"/>
                <w:color w:val="auto"/>
                <w:sz w:val="24"/>
                <w:szCs w:val="24"/>
                <w:highlight w:val="none"/>
              </w:rPr>
            </w:pPr>
            <w:r>
              <w:rPr>
                <w:rFonts w:hint="eastAsia"/>
                <w:color w:val="auto"/>
                <w:sz w:val="24"/>
                <w:szCs w:val="24"/>
                <w:highlight w:val="none"/>
              </w:rPr>
              <w:t>（采用邮寄方式的，各投标人邮寄时应充分考虑邮寄时间的长短、邮寄中可能发生的破损、遗失等风险。邮寄过程中可能造成“视频演示文件”（U盘存储）泄露、遗失、损坏、逾期送达等情况的，全部风险与责任由投标人自行承担。）</w:t>
            </w:r>
          </w:p>
          <w:p w14:paraId="460C1812">
            <w:pPr>
              <w:keepNext w:val="0"/>
              <w:keepLines w:val="0"/>
              <w:pageBreakBefore w:val="0"/>
              <w:widowControl w:val="0"/>
              <w:kinsoku/>
              <w:wordWrap/>
              <w:overflowPunct/>
              <w:topLinePunct w:val="0"/>
              <w:autoSpaceDE/>
              <w:autoSpaceDN/>
              <w:bidi w:val="0"/>
              <w:adjustRightInd/>
              <w:spacing w:beforeLines="0" w:line="360" w:lineRule="auto"/>
              <w:ind w:firstLine="470" w:firstLineChars="196"/>
              <w:jc w:val="left"/>
              <w:textAlignment w:val="auto"/>
              <w:outlineLvl w:val="1"/>
              <w:rPr>
                <w:rFonts w:hint="eastAsia"/>
                <w:color w:val="auto"/>
                <w:sz w:val="24"/>
                <w:szCs w:val="24"/>
                <w:highlight w:val="none"/>
                <w:u w:val="single"/>
              </w:rPr>
            </w:pPr>
            <w:r>
              <w:rPr>
                <w:rFonts w:hint="eastAsia"/>
                <w:color w:val="auto"/>
                <w:sz w:val="24"/>
                <w:szCs w:val="24"/>
                <w:highlight w:val="none"/>
              </w:rPr>
              <w:t>③ 递交时间：投标人应当在投标截止时间（等同投标文件提交截止时间）前将“视频演示文件”密封送达（以代理机构签收时间为准），逾期送达不予接收，开标后不予更换或退还。</w:t>
            </w:r>
          </w:p>
          <w:p w14:paraId="06F73284">
            <w:pPr>
              <w:keepNext w:val="0"/>
              <w:keepLines w:val="0"/>
              <w:pageBreakBefore w:val="0"/>
              <w:widowControl w:val="0"/>
              <w:kinsoku/>
              <w:wordWrap/>
              <w:overflowPunct/>
              <w:topLinePunct w:val="0"/>
              <w:autoSpaceDE/>
              <w:autoSpaceDN/>
              <w:bidi w:val="0"/>
              <w:adjustRightInd/>
              <w:spacing w:beforeLines="0" w:line="360" w:lineRule="auto"/>
              <w:ind w:firstLine="470" w:firstLineChars="196"/>
              <w:jc w:val="left"/>
              <w:textAlignment w:val="auto"/>
              <w:outlineLvl w:val="1"/>
              <w:rPr>
                <w:rFonts w:hint="eastAsia"/>
                <w:color w:val="auto"/>
                <w:sz w:val="24"/>
                <w:szCs w:val="24"/>
                <w:highlight w:val="none"/>
              </w:rPr>
            </w:pPr>
            <w:r>
              <w:rPr>
                <w:rFonts w:hint="eastAsia"/>
                <w:color w:val="auto"/>
                <w:sz w:val="24"/>
                <w:szCs w:val="24"/>
                <w:highlight w:val="none"/>
              </w:rPr>
              <w:t>6、“视频演示文件”的解密、演示次序：</w:t>
            </w:r>
          </w:p>
          <w:p w14:paraId="097A40F8">
            <w:pPr>
              <w:keepNext w:val="0"/>
              <w:keepLines w:val="0"/>
              <w:pageBreakBefore w:val="0"/>
              <w:widowControl w:val="0"/>
              <w:kinsoku/>
              <w:wordWrap/>
              <w:overflowPunct/>
              <w:topLinePunct w:val="0"/>
              <w:autoSpaceDE/>
              <w:autoSpaceDN/>
              <w:bidi w:val="0"/>
              <w:adjustRightInd/>
              <w:spacing w:beforeLines="0" w:line="360" w:lineRule="auto"/>
              <w:ind w:firstLine="470" w:firstLineChars="196"/>
              <w:jc w:val="left"/>
              <w:textAlignment w:val="auto"/>
              <w:outlineLvl w:val="1"/>
              <w:rPr>
                <w:rFonts w:hint="eastAsia"/>
                <w:color w:val="auto"/>
                <w:sz w:val="24"/>
                <w:szCs w:val="24"/>
                <w:highlight w:val="none"/>
              </w:rPr>
            </w:pPr>
            <w:r>
              <w:rPr>
                <w:rFonts w:hint="eastAsia"/>
                <w:color w:val="auto"/>
                <w:sz w:val="24"/>
                <w:szCs w:val="24"/>
                <w:highlight w:val="none"/>
              </w:rPr>
              <w:t>① “视频演示文件”的解密：</w:t>
            </w:r>
            <w:r>
              <w:rPr>
                <w:rFonts w:hint="eastAsia"/>
                <w:color w:val="auto"/>
                <w:sz w:val="24"/>
                <w:szCs w:val="24"/>
                <w:highlight w:val="none"/>
                <w:u w:val="single"/>
              </w:rPr>
              <w:t>在商务技术评审时，以投标人在“商务技术文件”中提供的解密密码进行解密</w:t>
            </w:r>
            <w:r>
              <w:rPr>
                <w:rFonts w:hint="eastAsia"/>
                <w:color w:val="auto"/>
                <w:sz w:val="24"/>
                <w:szCs w:val="24"/>
                <w:highlight w:val="none"/>
              </w:rPr>
              <w:t>。</w:t>
            </w:r>
          </w:p>
          <w:p w14:paraId="3D461633">
            <w:pPr>
              <w:keepNext w:val="0"/>
              <w:keepLines w:val="0"/>
              <w:pageBreakBefore w:val="0"/>
              <w:widowControl w:val="0"/>
              <w:kinsoku/>
              <w:wordWrap/>
              <w:overflowPunct/>
              <w:topLinePunct w:val="0"/>
              <w:autoSpaceDE/>
              <w:autoSpaceDN/>
              <w:bidi w:val="0"/>
              <w:adjustRightInd/>
              <w:spacing w:beforeLines="0" w:line="360" w:lineRule="auto"/>
              <w:jc w:val="center"/>
              <w:textAlignment w:val="auto"/>
              <w:rPr>
                <w:rFonts w:hint="eastAsia" w:ascii="宋体" w:hAnsi="宋体" w:cs="宋体"/>
                <w:color w:val="auto"/>
                <w:sz w:val="24"/>
                <w:szCs w:val="24"/>
                <w:highlight w:val="none"/>
              </w:rPr>
            </w:pPr>
            <w:r>
              <w:rPr>
                <w:rFonts w:hint="eastAsia"/>
                <w:color w:val="auto"/>
                <w:sz w:val="24"/>
                <w:szCs w:val="24"/>
                <w:highlight w:val="none"/>
              </w:rPr>
              <w:t>② “视频演示文件”的演示次序：以投标人电子投标文件解密时间先后次序为准。</w:t>
            </w:r>
          </w:p>
        </w:tc>
      </w:tr>
    </w:tbl>
    <w:p w14:paraId="07DF6F1F">
      <w:pPr>
        <w:autoSpaceDN w:val="0"/>
        <w:spacing w:before="156" w:line="460" w:lineRule="exact"/>
        <w:ind w:firstLine="480" w:firstLineChars="200"/>
        <w:rPr>
          <w:rFonts w:ascii="宋体" w:hAnsi="宋体" w:cs="宋体"/>
          <w:bCs/>
          <w:color w:val="auto"/>
          <w:kern w:val="0"/>
          <w:sz w:val="24"/>
          <w:highlight w:val="none"/>
        </w:rPr>
      </w:pPr>
      <w:r>
        <w:rPr>
          <w:rFonts w:hint="eastAsia" w:ascii="宋体" w:hAnsi="宋体" w:cs="宋体"/>
          <w:iCs/>
          <w:color w:val="auto"/>
          <w:sz w:val="24"/>
          <w:highlight w:val="none"/>
        </w:rPr>
        <w:t>注：</w:t>
      </w:r>
      <w:r>
        <w:rPr>
          <w:rFonts w:hint="eastAsia" w:ascii="宋体" w:hAnsi="宋体" w:cs="宋体"/>
          <w:color w:val="auto"/>
          <w:sz w:val="24"/>
          <w:highlight w:val="none"/>
          <w:lang w:bidi="ar"/>
        </w:rPr>
        <w:t>上述评审细则中要求提供的相关证书等证明材料需加盖投标人公章的均为CA签章，且相关资质证书等证明材料具备有效期限的均需在有效期内，未按要求提供的不得分。</w:t>
      </w:r>
    </w:p>
    <w:p w14:paraId="29221DC0">
      <w:pPr>
        <w:autoSpaceDN w:val="0"/>
        <w:spacing w:before="156" w:line="460" w:lineRule="exact"/>
        <w:ind w:firstLine="480" w:firstLineChars="200"/>
        <w:rPr>
          <w:rFonts w:hint="eastAsia" w:ascii="宋体" w:hAnsi="宋体" w:cs="宋体"/>
          <w:bCs/>
          <w:color w:val="auto"/>
          <w:kern w:val="0"/>
          <w:sz w:val="24"/>
          <w:highlight w:val="none"/>
        </w:rPr>
      </w:pPr>
      <w:r>
        <w:rPr>
          <w:rFonts w:hint="eastAsia" w:ascii="宋体" w:hAnsi="宋体" w:cs="宋体"/>
          <w:bCs/>
          <w:color w:val="auto"/>
          <w:kern w:val="0"/>
          <w:sz w:val="24"/>
          <w:highlight w:val="none"/>
        </w:rPr>
        <w:t>（5）通过资格评审和符合性评审的投标人全部入围进行报价评审。</w:t>
      </w:r>
    </w:p>
    <w:p w14:paraId="50A46F1D">
      <w:pPr>
        <w:numPr>
          <w:ilvl w:val="0"/>
          <w:numId w:val="0"/>
        </w:numPr>
        <w:spacing w:line="360" w:lineRule="auto"/>
        <w:jc w:val="center"/>
        <w:rPr>
          <w:rFonts w:hint="default" w:ascii="宋体" w:hAnsi="宋体" w:cs="宋体"/>
          <w:b/>
          <w:bCs/>
          <w:color w:val="auto"/>
          <w:sz w:val="36"/>
          <w:szCs w:val="28"/>
          <w:highlight w:val="none"/>
          <w:lang w:val="en-US" w:eastAsia="zh-CN"/>
        </w:rPr>
      </w:pPr>
      <w:r>
        <w:rPr>
          <w:rFonts w:hint="eastAsia" w:ascii="Calibri" w:hAnsi="Calibri"/>
          <w:b/>
          <w:bCs/>
          <w:color w:val="auto"/>
          <w:kern w:val="44"/>
          <w:sz w:val="24"/>
          <w:szCs w:val="24"/>
          <w:highlight w:val="none"/>
          <w:lang w:val="en-US" w:eastAsia="zh-CN" w:bidi="ar-SA"/>
        </w:rPr>
        <w:br w:type="page"/>
      </w:r>
      <w:r>
        <w:rPr>
          <w:rFonts w:hint="eastAsia" w:ascii="宋体" w:hAnsi="宋体" w:cs="宋体"/>
          <w:b/>
          <w:bCs/>
          <w:color w:val="auto"/>
          <w:sz w:val="36"/>
          <w:szCs w:val="28"/>
          <w:highlight w:val="none"/>
          <w:lang w:val="en-US" w:eastAsia="zh-CN"/>
        </w:rPr>
        <w:t>第四章 采购需求</w:t>
      </w:r>
    </w:p>
    <w:p w14:paraId="55C0AA9E">
      <w:pPr>
        <w:pStyle w:val="4"/>
        <w:numPr>
          <w:ilvl w:val="0"/>
          <w:numId w:val="0"/>
        </w:numPr>
        <w:autoSpaceDE/>
        <w:autoSpaceDN/>
        <w:adjustRightInd/>
        <w:spacing w:before="0" w:afterLines="-2147483648"/>
        <w:ind w:left="420" w:leftChars="0" w:firstLine="0" w:firstLineChars="0"/>
        <w:rPr>
          <w:rFonts w:hint="eastAsia" w:ascii="Arial" w:hAnsi="Arial" w:eastAsia="宋体" w:cs="Times New Roman"/>
          <w:b/>
          <w:bCs/>
          <w:color w:val="auto"/>
          <w:kern w:val="0"/>
          <w:sz w:val="24"/>
          <w:szCs w:val="32"/>
          <w:highlight w:val="none"/>
          <w:lang w:val="en-US" w:eastAsia="zh-CN" w:bidi="ar-SA"/>
        </w:rPr>
      </w:pPr>
      <w:bookmarkStart w:id="31" w:name="_Hlk183015478"/>
      <w:r>
        <w:rPr>
          <w:rFonts w:hint="eastAsia" w:ascii="Arial" w:hAnsi="Arial" w:eastAsia="宋体" w:cs="Times New Roman"/>
          <w:b/>
          <w:bCs/>
          <w:color w:val="auto"/>
          <w:kern w:val="0"/>
          <w:sz w:val="24"/>
          <w:szCs w:val="32"/>
          <w:highlight w:val="none"/>
          <w:lang w:val="en-US" w:eastAsia="zh-CN" w:bidi="ar-SA"/>
        </w:rPr>
        <w:t>一</w:t>
      </w:r>
      <w:r>
        <w:rPr>
          <w:rFonts w:hint="eastAsia" w:eastAsia="宋体" w:cs="Times New Roman"/>
          <w:b/>
          <w:bCs/>
          <w:color w:val="auto"/>
          <w:kern w:val="0"/>
          <w:sz w:val="24"/>
          <w:szCs w:val="32"/>
          <w:highlight w:val="none"/>
          <w:lang w:val="en-US" w:eastAsia="zh-CN" w:bidi="ar-SA"/>
        </w:rPr>
        <w:t>、</w:t>
      </w:r>
      <w:r>
        <w:rPr>
          <w:rFonts w:hint="eastAsia" w:ascii="Arial" w:hAnsi="Arial" w:eastAsia="宋体" w:cs="Times New Roman"/>
          <w:b/>
          <w:bCs/>
          <w:color w:val="auto"/>
          <w:kern w:val="0"/>
          <w:sz w:val="24"/>
          <w:szCs w:val="32"/>
          <w:highlight w:val="none"/>
          <w:lang w:val="en-US" w:eastAsia="zh-CN" w:bidi="ar-SA"/>
        </w:rPr>
        <w:t>项目背景</w:t>
      </w:r>
    </w:p>
    <w:p w14:paraId="3355D12D">
      <w:pPr>
        <w:spacing w:before="156"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本项目将从顶层规划的视角出发，围绕“数字化改革”和“共同富裕”的战略定位，</w:t>
      </w:r>
      <w:r>
        <w:rPr>
          <w:rFonts w:hint="eastAsia" w:ascii="宋体" w:hAnsi="宋体" w:cs="宋体"/>
          <w:color w:val="auto"/>
          <w:sz w:val="24"/>
          <w:szCs w:val="24"/>
          <w:highlight w:val="none"/>
          <w:lang w:eastAsia="zh-CN"/>
        </w:rPr>
        <w:t>锚定</w:t>
      </w:r>
      <w:r>
        <w:rPr>
          <w:rFonts w:hint="eastAsia" w:ascii="宋体" w:hAnsi="宋体" w:cs="宋体"/>
          <w:color w:val="auto"/>
          <w:sz w:val="24"/>
          <w:szCs w:val="24"/>
          <w:highlight w:val="none"/>
        </w:rPr>
        <w:t>诸暨市十四五规划和远景目标，进一步深化融合新型人工智能、大数据等研发应用，着重打造“人工智能+医疗”领域新质生产力先发地，持续深化人工智能提升基层服务能力，实现基本公共卫生服务提质增效。同时通过本项目的建设，进一步提升全市食源性疾病数据采集上报效率，提升慢病管理质量，持续增强群众就医获得感、满意度和幸福感，为全面推动县域卫生健康现代化建设走前列作示范。</w:t>
      </w:r>
      <w:bookmarkStart w:id="32" w:name="_ZH-CN_TOPIC_0101200360-chtext"/>
      <w:bookmarkStart w:id="33" w:name="_Toc520363314"/>
      <w:bookmarkStart w:id="34" w:name="_Toc5474"/>
    </w:p>
    <w:p w14:paraId="32FCF42E">
      <w:pPr>
        <w:pStyle w:val="4"/>
        <w:numPr>
          <w:ilvl w:val="0"/>
          <w:numId w:val="0"/>
        </w:numPr>
        <w:autoSpaceDE/>
        <w:autoSpaceDN/>
        <w:adjustRightInd/>
        <w:spacing w:before="0" w:afterLines="-2147483648"/>
        <w:ind w:left="420" w:leftChars="0" w:firstLine="0" w:firstLineChars="0"/>
        <w:rPr>
          <w:rFonts w:hint="eastAsia" w:ascii="Arial" w:hAnsi="Arial" w:eastAsia="宋体" w:cs="Times New Roman"/>
          <w:b/>
          <w:bCs/>
          <w:color w:val="auto"/>
          <w:kern w:val="0"/>
          <w:sz w:val="24"/>
          <w:szCs w:val="32"/>
          <w:highlight w:val="none"/>
          <w:lang w:val="en-US" w:eastAsia="zh-CN" w:bidi="ar-SA"/>
        </w:rPr>
      </w:pPr>
      <w:r>
        <w:rPr>
          <w:rFonts w:hint="eastAsia" w:ascii="Arial" w:hAnsi="Arial" w:eastAsia="宋体" w:cs="Times New Roman"/>
          <w:b/>
          <w:bCs/>
          <w:color w:val="auto"/>
          <w:kern w:val="0"/>
          <w:sz w:val="24"/>
          <w:szCs w:val="32"/>
          <w:highlight w:val="none"/>
          <w:lang w:val="en-US" w:eastAsia="zh-CN" w:bidi="ar-SA"/>
        </w:rPr>
        <w:t>二</w:t>
      </w:r>
      <w:r>
        <w:rPr>
          <w:rFonts w:hint="eastAsia" w:eastAsia="宋体" w:cs="Times New Roman"/>
          <w:b/>
          <w:bCs/>
          <w:color w:val="auto"/>
          <w:kern w:val="0"/>
          <w:sz w:val="24"/>
          <w:szCs w:val="32"/>
          <w:highlight w:val="none"/>
          <w:lang w:val="en-US" w:eastAsia="zh-CN" w:bidi="ar-SA"/>
        </w:rPr>
        <w:t>、</w:t>
      </w:r>
      <w:r>
        <w:rPr>
          <w:rFonts w:hint="eastAsia" w:ascii="Arial" w:hAnsi="Arial" w:eastAsia="宋体" w:cs="Times New Roman"/>
          <w:b/>
          <w:bCs/>
          <w:color w:val="auto"/>
          <w:kern w:val="0"/>
          <w:sz w:val="24"/>
          <w:szCs w:val="32"/>
          <w:highlight w:val="none"/>
          <w:lang w:val="en-US" w:eastAsia="zh-CN" w:bidi="ar-SA"/>
        </w:rPr>
        <w:t>建设目标</w:t>
      </w:r>
    </w:p>
    <w:bookmarkEnd w:id="32"/>
    <w:bookmarkEnd w:id="33"/>
    <w:p w14:paraId="66D2522F">
      <w:pPr>
        <w:spacing w:before="156"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rPr>
        <w:tab/>
      </w:r>
      <w:r>
        <w:rPr>
          <w:rFonts w:hint="eastAsia" w:ascii="宋体" w:hAnsi="宋体" w:cs="宋体"/>
          <w:color w:val="auto"/>
          <w:sz w:val="24"/>
          <w:szCs w:val="24"/>
          <w:highlight w:val="none"/>
        </w:rPr>
        <w:t>完善食源性数据上报业务</w:t>
      </w:r>
    </w:p>
    <w:p w14:paraId="40D51CF0">
      <w:pPr>
        <w:spacing w:before="156"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按照《浙江省疾病预防控制信息平台食源性疾病数据交换技术规范2021版v1.0》及《关于印发绍兴市加快推进食源性疾病病例监测直报工作实施方案的通知》文件要求，完成辖区内食源性疾病监测医疗机构自动采集交换，打通医疗机构到绍兴市市级平台数据传输通道，完成辖区内食源性疾病监测医疗机构自动采集交换</w:t>
      </w:r>
      <w:r>
        <w:rPr>
          <w:rFonts w:hint="eastAsia" w:ascii="宋体" w:hAnsi="宋体" w:cs="宋体"/>
          <w:color w:val="auto"/>
          <w:sz w:val="24"/>
          <w:szCs w:val="24"/>
          <w:highlight w:val="none"/>
          <w:lang w:val="en-US" w:eastAsia="zh-CN"/>
        </w:rPr>
        <w:t>率</w:t>
      </w:r>
      <w:r>
        <w:rPr>
          <w:rFonts w:hint="eastAsia" w:ascii="宋体" w:hAnsi="宋体" w:cs="宋体"/>
          <w:color w:val="auto"/>
          <w:sz w:val="24"/>
          <w:szCs w:val="24"/>
          <w:highlight w:val="none"/>
        </w:rPr>
        <w:t>100%。及时发现食源性疾病暴发线索，提高食源性疾病暴发和食品安全隐患的早期识别、预警与防控能力，为研究全市主要食源性疾病的流行规律，</w:t>
      </w:r>
      <w:r>
        <w:rPr>
          <w:rFonts w:hint="eastAsia" w:ascii="宋体" w:hAnsi="宋体" w:cs="宋体"/>
          <w:color w:val="auto"/>
          <w:sz w:val="24"/>
          <w:szCs w:val="24"/>
          <w:highlight w:val="none"/>
          <w:lang w:val="en-US" w:eastAsia="zh-CN"/>
        </w:rPr>
        <w:t>以及</w:t>
      </w:r>
      <w:r>
        <w:rPr>
          <w:rFonts w:hint="eastAsia" w:ascii="宋体" w:hAnsi="宋体" w:cs="宋体"/>
          <w:color w:val="auto"/>
          <w:sz w:val="24"/>
          <w:szCs w:val="24"/>
          <w:highlight w:val="none"/>
        </w:rPr>
        <w:t>追溯病因性食品的污染来源提供技术支持。</w:t>
      </w:r>
    </w:p>
    <w:p w14:paraId="22EE68FC">
      <w:pPr>
        <w:spacing w:before="156"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rPr>
        <w:tab/>
      </w:r>
      <w:r>
        <w:rPr>
          <w:rFonts w:hint="eastAsia" w:ascii="宋体" w:hAnsi="宋体" w:cs="宋体"/>
          <w:color w:val="auto"/>
          <w:sz w:val="24"/>
          <w:szCs w:val="24"/>
          <w:highlight w:val="none"/>
        </w:rPr>
        <w:t>完善慢病医防融合业务</w:t>
      </w:r>
    </w:p>
    <w:p w14:paraId="6FFADDF3">
      <w:pPr>
        <w:spacing w:before="156"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开展慢阻肺、血脂异常疾病等的专项信息化管理，致力于为更多慢病人群提供系统化、专业化健康管理方案，同时为更好地服务慢性病确诊人群、高危人群，遵循国家和浙江省相关规范，重点在乡镇卫生院（社区卫生服务中心）设立慢性病一体化门诊，与患者日常诊疗流程相融合，满足“诊前、诊中、诊后”一站式服务流程要求，提供一站式便捷服务，积极探索临床诊疗和慢病管理一体化路径，持续改进基层慢性病诊疗同质化水平和诊间管理规范化水平，实现医防有效融合。</w:t>
      </w:r>
    </w:p>
    <w:p w14:paraId="2BFE9F2D">
      <w:pPr>
        <w:spacing w:before="156"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rPr>
        <w:tab/>
      </w:r>
      <w:r>
        <w:rPr>
          <w:rFonts w:hint="eastAsia" w:ascii="宋体" w:hAnsi="宋体" w:cs="宋体"/>
          <w:color w:val="auto"/>
          <w:sz w:val="24"/>
          <w:szCs w:val="24"/>
          <w:highlight w:val="none"/>
        </w:rPr>
        <w:t>完善体检报告智能分析业务</w:t>
      </w:r>
    </w:p>
    <w:p w14:paraId="2C164F45">
      <w:pPr>
        <w:spacing w:before="156" w:line="360" w:lineRule="auto"/>
        <w:ind w:firstLine="480" w:firstLineChars="200"/>
        <w:rPr>
          <w:rFonts w:hint="eastAsia" w:ascii="宋体" w:hAnsi="宋体" w:cs="宋体"/>
          <w:b/>
          <w:color w:val="auto"/>
          <w:sz w:val="24"/>
          <w:szCs w:val="24"/>
          <w:highlight w:val="none"/>
        </w:rPr>
      </w:pPr>
      <w:r>
        <w:rPr>
          <w:rFonts w:hint="eastAsia" w:ascii="宋体" w:hAnsi="宋体" w:cs="宋体"/>
          <w:color w:val="auto"/>
          <w:sz w:val="24"/>
          <w:szCs w:val="24"/>
          <w:highlight w:val="none"/>
        </w:rPr>
        <w:t>通过运用大模型技术，实现体检报告的自动化、精准化分析，以提升医疗服务的质量和效率。一是提高分析效率：系统能迅速处理大量的体检报告数据，减轻医护人员的手工负担，降低因人力限制造成的处理延误，从而加快患者获取体检结果的速度。二是增强分析准确性：通过深度学习和大数据分析，系统能精确识别并标注出异常指标和潜在健康风险，避免人为错误或疏忽，提升诊断的准确性</w:t>
      </w:r>
      <w:r>
        <w:rPr>
          <w:rFonts w:hint="eastAsia" w:ascii="宋体" w:hAnsi="宋体" w:cs="宋体"/>
          <w:color w:val="auto"/>
          <w:sz w:val="24"/>
          <w:szCs w:val="24"/>
          <w:highlight w:val="none"/>
          <w:lang w:eastAsia="zh-Hans"/>
        </w:rPr>
        <w:t>。</w:t>
      </w:r>
    </w:p>
    <w:p w14:paraId="242A271A">
      <w:pPr>
        <w:pStyle w:val="4"/>
        <w:numPr>
          <w:ilvl w:val="0"/>
          <w:numId w:val="0"/>
        </w:numPr>
        <w:autoSpaceDE/>
        <w:autoSpaceDN/>
        <w:adjustRightInd/>
        <w:spacing w:before="0" w:afterLines="-2147483648"/>
        <w:ind w:left="420" w:leftChars="0" w:firstLine="0" w:firstLineChars="0"/>
        <w:rPr>
          <w:rFonts w:hint="eastAsia" w:ascii="Arial" w:hAnsi="Arial" w:eastAsia="宋体" w:cs="Times New Roman"/>
          <w:b/>
          <w:bCs/>
          <w:color w:val="auto"/>
          <w:kern w:val="0"/>
          <w:sz w:val="24"/>
          <w:szCs w:val="32"/>
          <w:highlight w:val="none"/>
          <w:lang w:val="en-US" w:eastAsia="zh-CN" w:bidi="ar-SA"/>
        </w:rPr>
      </w:pPr>
      <w:r>
        <w:rPr>
          <w:rFonts w:hint="eastAsia" w:ascii="Arial" w:hAnsi="Arial" w:eastAsia="宋体" w:cs="Times New Roman"/>
          <w:b/>
          <w:bCs/>
          <w:color w:val="auto"/>
          <w:kern w:val="0"/>
          <w:sz w:val="24"/>
          <w:szCs w:val="32"/>
          <w:highlight w:val="none"/>
          <w:lang w:val="en-US" w:eastAsia="zh-CN" w:bidi="ar-SA"/>
        </w:rPr>
        <w:t>三</w:t>
      </w:r>
      <w:r>
        <w:rPr>
          <w:rFonts w:hint="eastAsia" w:eastAsia="宋体" w:cs="Times New Roman"/>
          <w:b/>
          <w:bCs/>
          <w:color w:val="auto"/>
          <w:kern w:val="0"/>
          <w:sz w:val="24"/>
          <w:szCs w:val="32"/>
          <w:highlight w:val="none"/>
          <w:lang w:val="en-US" w:eastAsia="zh-CN" w:bidi="ar-SA"/>
        </w:rPr>
        <w:t>、</w:t>
      </w:r>
      <w:r>
        <w:rPr>
          <w:rFonts w:hint="eastAsia" w:ascii="Arial" w:hAnsi="Arial" w:eastAsia="宋体" w:cs="Times New Roman"/>
          <w:b/>
          <w:bCs/>
          <w:color w:val="auto"/>
          <w:kern w:val="0"/>
          <w:sz w:val="24"/>
          <w:szCs w:val="32"/>
          <w:highlight w:val="none"/>
          <w:lang w:val="en-US" w:eastAsia="zh-CN" w:bidi="ar-SA"/>
        </w:rPr>
        <w:t>采购</w:t>
      </w:r>
      <w:bookmarkEnd w:id="34"/>
      <w:r>
        <w:rPr>
          <w:rFonts w:hint="eastAsia" w:ascii="Arial" w:hAnsi="Arial" w:eastAsia="宋体" w:cs="Times New Roman"/>
          <w:b/>
          <w:bCs/>
          <w:color w:val="auto"/>
          <w:kern w:val="0"/>
          <w:sz w:val="24"/>
          <w:szCs w:val="32"/>
          <w:highlight w:val="none"/>
          <w:lang w:val="en-US" w:eastAsia="zh-CN" w:bidi="ar-SA"/>
        </w:rPr>
        <w:t>清单及技术指标要求</w:t>
      </w:r>
    </w:p>
    <w:p w14:paraId="00ED81DC">
      <w:pPr>
        <w:autoSpaceDE/>
        <w:autoSpaceDN/>
        <w:adjustRightInd/>
        <w:spacing w:beforeLines="0" w:line="360" w:lineRule="auto"/>
        <w:ind w:firstLine="482" w:firstLineChars="200"/>
        <w:outlineLvl w:val="2"/>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3.1 采购服务清单</w:t>
      </w:r>
    </w:p>
    <w:bookmarkEnd w:id="31"/>
    <w:tbl>
      <w:tblPr>
        <w:tblStyle w:val="20"/>
        <w:tblW w:w="916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1745"/>
        <w:gridCol w:w="806"/>
        <w:gridCol w:w="2261"/>
        <w:gridCol w:w="1134"/>
        <w:gridCol w:w="709"/>
        <w:gridCol w:w="708"/>
        <w:gridCol w:w="993"/>
      </w:tblGrid>
      <w:tr w14:paraId="5CA1E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0"/>
            <w:vAlign w:val="center"/>
          </w:tcPr>
          <w:p w14:paraId="01D8FCCA">
            <w:pPr>
              <w:widowControl/>
              <w:spacing w:beforeLines="0"/>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序号</w:t>
            </w:r>
          </w:p>
        </w:tc>
        <w:tc>
          <w:tcPr>
            <w:tcW w:w="1745" w:type="dxa"/>
            <w:noWrap w:val="0"/>
            <w:vAlign w:val="center"/>
          </w:tcPr>
          <w:p w14:paraId="669EBD6B">
            <w:pPr>
              <w:widowControl/>
              <w:spacing w:beforeLines="0"/>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设备及软件名称</w:t>
            </w:r>
          </w:p>
        </w:tc>
        <w:tc>
          <w:tcPr>
            <w:tcW w:w="806" w:type="dxa"/>
            <w:noWrap w:val="0"/>
            <w:vAlign w:val="center"/>
          </w:tcPr>
          <w:p w14:paraId="0C81FA79">
            <w:pPr>
              <w:widowControl/>
              <w:spacing w:beforeLines="0"/>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子系统</w:t>
            </w:r>
          </w:p>
        </w:tc>
        <w:tc>
          <w:tcPr>
            <w:tcW w:w="2261" w:type="dxa"/>
            <w:noWrap w:val="0"/>
            <w:vAlign w:val="center"/>
          </w:tcPr>
          <w:p w14:paraId="69A5A77F">
            <w:pPr>
              <w:widowControl/>
              <w:spacing w:beforeLines="0"/>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功能模块</w:t>
            </w:r>
          </w:p>
        </w:tc>
        <w:tc>
          <w:tcPr>
            <w:tcW w:w="1134" w:type="dxa"/>
            <w:noWrap w:val="0"/>
            <w:vAlign w:val="center"/>
          </w:tcPr>
          <w:p w14:paraId="724BD391">
            <w:pPr>
              <w:widowControl/>
              <w:spacing w:beforeLines="0"/>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部署位置</w:t>
            </w:r>
          </w:p>
        </w:tc>
        <w:tc>
          <w:tcPr>
            <w:tcW w:w="709" w:type="dxa"/>
            <w:noWrap w:val="0"/>
            <w:vAlign w:val="center"/>
          </w:tcPr>
          <w:p w14:paraId="376742A3">
            <w:pPr>
              <w:widowControl/>
              <w:spacing w:beforeLines="0"/>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数量</w:t>
            </w:r>
          </w:p>
        </w:tc>
        <w:tc>
          <w:tcPr>
            <w:tcW w:w="708" w:type="dxa"/>
            <w:noWrap w:val="0"/>
            <w:vAlign w:val="center"/>
          </w:tcPr>
          <w:p w14:paraId="74B1D284">
            <w:pPr>
              <w:widowControl/>
              <w:spacing w:beforeLines="0"/>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单位</w:t>
            </w:r>
          </w:p>
        </w:tc>
        <w:tc>
          <w:tcPr>
            <w:tcW w:w="993" w:type="dxa"/>
            <w:noWrap w:val="0"/>
            <w:vAlign w:val="center"/>
          </w:tcPr>
          <w:p w14:paraId="7C06A07E">
            <w:pPr>
              <w:widowControl/>
              <w:spacing w:beforeLines="0"/>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说明</w:t>
            </w:r>
          </w:p>
        </w:tc>
      </w:tr>
      <w:tr w14:paraId="3B02D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0E7F946B">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一</w:t>
            </w:r>
          </w:p>
        </w:tc>
        <w:tc>
          <w:tcPr>
            <w:tcW w:w="1745" w:type="dxa"/>
            <w:noWrap/>
            <w:vAlign w:val="center"/>
          </w:tcPr>
          <w:p w14:paraId="35E0D197">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软件</w:t>
            </w:r>
          </w:p>
        </w:tc>
        <w:tc>
          <w:tcPr>
            <w:tcW w:w="806" w:type="dxa"/>
            <w:noWrap/>
            <w:vAlign w:val="center"/>
          </w:tcPr>
          <w:p w14:paraId="69444450">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261" w:type="dxa"/>
            <w:noWrap/>
            <w:vAlign w:val="center"/>
          </w:tcPr>
          <w:p w14:paraId="6EF38D59">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134" w:type="dxa"/>
            <w:noWrap w:val="0"/>
            <w:vAlign w:val="center"/>
          </w:tcPr>
          <w:p w14:paraId="744A2A87">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709" w:type="dxa"/>
            <w:noWrap/>
            <w:vAlign w:val="center"/>
          </w:tcPr>
          <w:p w14:paraId="2B0A6B22">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708" w:type="dxa"/>
            <w:noWrap/>
            <w:vAlign w:val="center"/>
          </w:tcPr>
          <w:p w14:paraId="6C629CBE">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993" w:type="dxa"/>
            <w:noWrap w:val="0"/>
            <w:vAlign w:val="center"/>
          </w:tcPr>
          <w:p w14:paraId="49B26247">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14:paraId="517B3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06" w:type="dxa"/>
            <w:noWrap/>
            <w:vAlign w:val="center"/>
          </w:tcPr>
          <w:p w14:paraId="681A76BD">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745" w:type="dxa"/>
            <w:vMerge w:val="restart"/>
            <w:noWrap w:val="0"/>
            <w:vAlign w:val="center"/>
          </w:tcPr>
          <w:p w14:paraId="14ED626C">
            <w:pPr>
              <w:widowControl/>
              <w:spacing w:beforeLines="0"/>
              <w:jc w:val="center"/>
              <w:rPr>
                <w:rFonts w:hint="eastAsia" w:ascii="宋体" w:hAnsi="宋体" w:cs="宋体"/>
                <w:color w:val="auto"/>
                <w:kern w:val="0"/>
                <w:sz w:val="22"/>
                <w:szCs w:val="22"/>
                <w:highlight w:val="none"/>
              </w:rPr>
            </w:pPr>
            <w:bookmarkStart w:id="35" w:name="OLE_LINK1"/>
            <w:r>
              <w:rPr>
                <w:rFonts w:hint="eastAsia" w:ascii="宋体" w:hAnsi="宋体" w:cs="宋体"/>
                <w:color w:val="auto"/>
                <w:kern w:val="0"/>
                <w:sz w:val="22"/>
                <w:szCs w:val="22"/>
                <w:highlight w:val="none"/>
              </w:rPr>
              <w:t>食源性疾病数据采集上报</w:t>
            </w:r>
            <w:bookmarkEnd w:id="35"/>
          </w:p>
        </w:tc>
        <w:tc>
          <w:tcPr>
            <w:tcW w:w="806" w:type="dxa"/>
            <w:vMerge w:val="restart"/>
            <w:noWrap w:val="0"/>
            <w:vAlign w:val="center"/>
          </w:tcPr>
          <w:p w14:paraId="1ACCC03D">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数据采集</w:t>
            </w:r>
          </w:p>
        </w:tc>
        <w:tc>
          <w:tcPr>
            <w:tcW w:w="2261" w:type="dxa"/>
            <w:noWrap w:val="0"/>
            <w:vAlign w:val="center"/>
          </w:tcPr>
          <w:p w14:paraId="737FA821">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疾病病例监测报卡（非哨点）</w:t>
            </w:r>
          </w:p>
        </w:tc>
        <w:tc>
          <w:tcPr>
            <w:tcW w:w="1134" w:type="dxa"/>
            <w:vMerge w:val="restart"/>
            <w:noWrap w:val="0"/>
            <w:vAlign w:val="center"/>
          </w:tcPr>
          <w:p w14:paraId="4B20AB8E">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绍兴政务云卫生专网</w:t>
            </w:r>
          </w:p>
        </w:tc>
        <w:tc>
          <w:tcPr>
            <w:tcW w:w="709" w:type="dxa"/>
            <w:vMerge w:val="restart"/>
            <w:noWrap w:val="0"/>
            <w:vAlign w:val="center"/>
          </w:tcPr>
          <w:p w14:paraId="0D5A9F71">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708" w:type="dxa"/>
            <w:vMerge w:val="restart"/>
            <w:noWrap w:val="0"/>
            <w:vAlign w:val="center"/>
          </w:tcPr>
          <w:p w14:paraId="57BB11EC">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993" w:type="dxa"/>
            <w:vMerge w:val="restart"/>
            <w:noWrap w:val="0"/>
            <w:vAlign w:val="center"/>
          </w:tcPr>
          <w:p w14:paraId="57A6EC49">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覆盖全市医疗机构（诸暨市第五人民医院除外）</w:t>
            </w:r>
          </w:p>
        </w:tc>
      </w:tr>
      <w:tr w14:paraId="224A8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06" w:type="dxa"/>
            <w:noWrap/>
            <w:vAlign w:val="center"/>
          </w:tcPr>
          <w:p w14:paraId="12E16EA1">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1745" w:type="dxa"/>
            <w:vMerge w:val="continue"/>
            <w:noWrap w:val="0"/>
            <w:vAlign w:val="center"/>
          </w:tcPr>
          <w:p w14:paraId="0CB0A9E8">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1BF14E20">
            <w:pPr>
              <w:widowControl/>
              <w:spacing w:beforeLines="0"/>
              <w:jc w:val="left"/>
              <w:rPr>
                <w:rFonts w:ascii="宋体" w:hAnsi="宋体" w:cs="宋体"/>
                <w:color w:val="auto"/>
                <w:kern w:val="0"/>
                <w:sz w:val="22"/>
                <w:szCs w:val="22"/>
                <w:highlight w:val="none"/>
              </w:rPr>
            </w:pPr>
          </w:p>
        </w:tc>
        <w:tc>
          <w:tcPr>
            <w:tcW w:w="2261" w:type="dxa"/>
            <w:noWrap w:val="0"/>
            <w:vAlign w:val="center"/>
          </w:tcPr>
          <w:p w14:paraId="660D3F83">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疾病主动监测病例报卡（哨点）</w:t>
            </w:r>
          </w:p>
        </w:tc>
        <w:tc>
          <w:tcPr>
            <w:tcW w:w="1134" w:type="dxa"/>
            <w:vMerge w:val="continue"/>
            <w:noWrap w:val="0"/>
            <w:vAlign w:val="center"/>
          </w:tcPr>
          <w:p w14:paraId="4F3E1760">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2A227E8F">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20082D37">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28C20554">
            <w:pPr>
              <w:widowControl/>
              <w:spacing w:beforeLines="0"/>
              <w:jc w:val="left"/>
              <w:rPr>
                <w:rFonts w:ascii="宋体" w:hAnsi="宋体" w:cs="宋体"/>
                <w:color w:val="auto"/>
                <w:kern w:val="0"/>
                <w:sz w:val="22"/>
                <w:szCs w:val="22"/>
                <w:highlight w:val="none"/>
              </w:rPr>
            </w:pPr>
          </w:p>
        </w:tc>
      </w:tr>
      <w:tr w14:paraId="02E8F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1D959601">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1745" w:type="dxa"/>
            <w:vMerge w:val="continue"/>
            <w:noWrap w:val="0"/>
            <w:vAlign w:val="center"/>
          </w:tcPr>
          <w:p w14:paraId="768CACB3">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056C41BF">
            <w:pPr>
              <w:widowControl/>
              <w:spacing w:beforeLines="0"/>
              <w:jc w:val="left"/>
              <w:rPr>
                <w:rFonts w:ascii="宋体" w:hAnsi="宋体" w:cs="宋体"/>
                <w:color w:val="auto"/>
                <w:kern w:val="0"/>
                <w:sz w:val="22"/>
                <w:szCs w:val="22"/>
                <w:highlight w:val="none"/>
              </w:rPr>
            </w:pPr>
          </w:p>
        </w:tc>
        <w:tc>
          <w:tcPr>
            <w:tcW w:w="2261" w:type="dxa"/>
            <w:noWrap w:val="0"/>
            <w:vAlign w:val="center"/>
          </w:tcPr>
          <w:p w14:paraId="18CFB945">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防漏报监测</w:t>
            </w:r>
          </w:p>
        </w:tc>
        <w:tc>
          <w:tcPr>
            <w:tcW w:w="1134" w:type="dxa"/>
            <w:vMerge w:val="continue"/>
            <w:noWrap w:val="0"/>
            <w:vAlign w:val="center"/>
          </w:tcPr>
          <w:p w14:paraId="52BDA713">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49A1A23D">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5F38733B">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0561E983">
            <w:pPr>
              <w:widowControl/>
              <w:spacing w:beforeLines="0"/>
              <w:jc w:val="left"/>
              <w:rPr>
                <w:rFonts w:ascii="宋体" w:hAnsi="宋体" w:cs="宋体"/>
                <w:color w:val="auto"/>
                <w:kern w:val="0"/>
                <w:sz w:val="22"/>
                <w:szCs w:val="22"/>
                <w:highlight w:val="none"/>
              </w:rPr>
            </w:pPr>
          </w:p>
        </w:tc>
      </w:tr>
      <w:tr w14:paraId="02D58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06" w:type="dxa"/>
            <w:noWrap/>
            <w:vAlign w:val="center"/>
          </w:tcPr>
          <w:p w14:paraId="242C998C">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1745" w:type="dxa"/>
            <w:vMerge w:val="continue"/>
            <w:noWrap w:val="0"/>
            <w:vAlign w:val="center"/>
          </w:tcPr>
          <w:p w14:paraId="105A8F24">
            <w:pPr>
              <w:widowControl/>
              <w:spacing w:beforeLines="0"/>
              <w:jc w:val="left"/>
              <w:rPr>
                <w:rFonts w:ascii="宋体" w:hAnsi="宋体" w:cs="宋体"/>
                <w:color w:val="auto"/>
                <w:kern w:val="0"/>
                <w:sz w:val="22"/>
                <w:szCs w:val="22"/>
                <w:highlight w:val="none"/>
              </w:rPr>
            </w:pPr>
          </w:p>
        </w:tc>
        <w:tc>
          <w:tcPr>
            <w:tcW w:w="806" w:type="dxa"/>
            <w:vMerge w:val="restart"/>
            <w:noWrap w:val="0"/>
            <w:vAlign w:val="center"/>
          </w:tcPr>
          <w:p w14:paraId="1861DBAC">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数据交换</w:t>
            </w:r>
          </w:p>
        </w:tc>
        <w:tc>
          <w:tcPr>
            <w:tcW w:w="2261" w:type="dxa"/>
            <w:noWrap w:val="0"/>
            <w:vAlign w:val="center"/>
          </w:tcPr>
          <w:p w14:paraId="5509F7A4">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食源性疾病监测上报接口</w:t>
            </w:r>
          </w:p>
        </w:tc>
        <w:tc>
          <w:tcPr>
            <w:tcW w:w="1134" w:type="dxa"/>
            <w:vMerge w:val="continue"/>
            <w:noWrap w:val="0"/>
            <w:vAlign w:val="center"/>
          </w:tcPr>
          <w:p w14:paraId="677290AD">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0AEB0BB7">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6ADC521E">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0A353782">
            <w:pPr>
              <w:widowControl/>
              <w:spacing w:beforeLines="0"/>
              <w:jc w:val="left"/>
              <w:rPr>
                <w:rFonts w:ascii="宋体" w:hAnsi="宋体" w:cs="宋体"/>
                <w:color w:val="auto"/>
                <w:kern w:val="0"/>
                <w:sz w:val="22"/>
                <w:szCs w:val="22"/>
                <w:highlight w:val="none"/>
              </w:rPr>
            </w:pPr>
          </w:p>
        </w:tc>
      </w:tr>
      <w:tr w14:paraId="0E7D7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06" w:type="dxa"/>
            <w:noWrap/>
            <w:vAlign w:val="center"/>
          </w:tcPr>
          <w:p w14:paraId="22817210">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w:t>
            </w:r>
          </w:p>
        </w:tc>
        <w:tc>
          <w:tcPr>
            <w:tcW w:w="1745" w:type="dxa"/>
            <w:vMerge w:val="continue"/>
            <w:noWrap w:val="0"/>
            <w:vAlign w:val="center"/>
          </w:tcPr>
          <w:p w14:paraId="6DF648D4">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5117BA9A">
            <w:pPr>
              <w:widowControl/>
              <w:spacing w:beforeLines="0"/>
              <w:jc w:val="left"/>
              <w:rPr>
                <w:rFonts w:ascii="宋体" w:hAnsi="宋体" w:cs="宋体"/>
                <w:color w:val="auto"/>
                <w:kern w:val="0"/>
                <w:sz w:val="22"/>
                <w:szCs w:val="22"/>
                <w:highlight w:val="none"/>
              </w:rPr>
            </w:pPr>
          </w:p>
        </w:tc>
        <w:tc>
          <w:tcPr>
            <w:tcW w:w="2261" w:type="dxa"/>
            <w:noWrap w:val="0"/>
            <w:vAlign w:val="center"/>
          </w:tcPr>
          <w:p w14:paraId="42B652C6">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食源性疾病主动病例监测上报接口</w:t>
            </w:r>
          </w:p>
        </w:tc>
        <w:tc>
          <w:tcPr>
            <w:tcW w:w="1134" w:type="dxa"/>
            <w:vMerge w:val="continue"/>
            <w:noWrap w:val="0"/>
            <w:vAlign w:val="center"/>
          </w:tcPr>
          <w:p w14:paraId="3FDE0B0A">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5549BAD5">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038B535E">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538AD2D0">
            <w:pPr>
              <w:widowControl/>
              <w:spacing w:beforeLines="0"/>
              <w:jc w:val="left"/>
              <w:rPr>
                <w:rFonts w:ascii="宋体" w:hAnsi="宋体" w:cs="宋体"/>
                <w:color w:val="auto"/>
                <w:kern w:val="0"/>
                <w:sz w:val="22"/>
                <w:szCs w:val="22"/>
                <w:highlight w:val="none"/>
              </w:rPr>
            </w:pPr>
          </w:p>
        </w:tc>
      </w:tr>
      <w:tr w14:paraId="6140F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06" w:type="dxa"/>
            <w:noWrap/>
            <w:vAlign w:val="center"/>
          </w:tcPr>
          <w:p w14:paraId="530C570B">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6</w:t>
            </w:r>
          </w:p>
        </w:tc>
        <w:tc>
          <w:tcPr>
            <w:tcW w:w="1745" w:type="dxa"/>
            <w:vMerge w:val="continue"/>
            <w:noWrap w:val="0"/>
            <w:vAlign w:val="center"/>
          </w:tcPr>
          <w:p w14:paraId="1B37AE20">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2D9CCABD">
            <w:pPr>
              <w:widowControl/>
              <w:spacing w:beforeLines="0"/>
              <w:jc w:val="left"/>
              <w:rPr>
                <w:rFonts w:ascii="宋体" w:hAnsi="宋体" w:cs="宋体"/>
                <w:color w:val="auto"/>
                <w:kern w:val="0"/>
                <w:sz w:val="22"/>
                <w:szCs w:val="22"/>
                <w:highlight w:val="none"/>
              </w:rPr>
            </w:pPr>
          </w:p>
        </w:tc>
        <w:tc>
          <w:tcPr>
            <w:tcW w:w="2261" w:type="dxa"/>
            <w:noWrap w:val="0"/>
            <w:vAlign w:val="center"/>
          </w:tcPr>
          <w:p w14:paraId="6F539906">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省内腹泻信息汇总相关接口</w:t>
            </w:r>
          </w:p>
        </w:tc>
        <w:tc>
          <w:tcPr>
            <w:tcW w:w="1134" w:type="dxa"/>
            <w:vMerge w:val="continue"/>
            <w:noWrap w:val="0"/>
            <w:vAlign w:val="center"/>
          </w:tcPr>
          <w:p w14:paraId="744E15A9">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12355605">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259C8C45">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4F31B836">
            <w:pPr>
              <w:widowControl/>
              <w:spacing w:beforeLines="0"/>
              <w:jc w:val="left"/>
              <w:rPr>
                <w:rFonts w:ascii="宋体" w:hAnsi="宋体" w:cs="宋体"/>
                <w:color w:val="auto"/>
                <w:kern w:val="0"/>
                <w:sz w:val="22"/>
                <w:szCs w:val="22"/>
                <w:highlight w:val="none"/>
              </w:rPr>
            </w:pPr>
          </w:p>
        </w:tc>
      </w:tr>
      <w:tr w14:paraId="004E3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06" w:type="dxa"/>
            <w:noWrap/>
            <w:vAlign w:val="center"/>
          </w:tcPr>
          <w:p w14:paraId="4D12F9AE">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7</w:t>
            </w:r>
          </w:p>
        </w:tc>
        <w:tc>
          <w:tcPr>
            <w:tcW w:w="1745" w:type="dxa"/>
            <w:vMerge w:val="continue"/>
            <w:noWrap w:val="0"/>
            <w:vAlign w:val="center"/>
          </w:tcPr>
          <w:p w14:paraId="6E8BD9E9">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30BC1CF4">
            <w:pPr>
              <w:widowControl/>
              <w:spacing w:beforeLines="0"/>
              <w:jc w:val="left"/>
              <w:rPr>
                <w:rFonts w:ascii="宋体" w:hAnsi="宋体" w:cs="宋体"/>
                <w:color w:val="auto"/>
                <w:kern w:val="0"/>
                <w:sz w:val="22"/>
                <w:szCs w:val="22"/>
                <w:highlight w:val="none"/>
              </w:rPr>
            </w:pPr>
          </w:p>
        </w:tc>
        <w:tc>
          <w:tcPr>
            <w:tcW w:w="2261" w:type="dxa"/>
            <w:noWrap w:val="0"/>
            <w:vAlign w:val="center"/>
          </w:tcPr>
          <w:p w14:paraId="3EE85125">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国家腹泻信息汇总相关接口</w:t>
            </w:r>
          </w:p>
        </w:tc>
        <w:tc>
          <w:tcPr>
            <w:tcW w:w="1134" w:type="dxa"/>
            <w:vMerge w:val="continue"/>
            <w:noWrap w:val="0"/>
            <w:vAlign w:val="center"/>
          </w:tcPr>
          <w:p w14:paraId="5DB2CCF9">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52AAEB77">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4787BB63">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1DB6ED52">
            <w:pPr>
              <w:widowControl/>
              <w:spacing w:beforeLines="0"/>
              <w:jc w:val="left"/>
              <w:rPr>
                <w:rFonts w:ascii="宋体" w:hAnsi="宋体" w:cs="宋体"/>
                <w:color w:val="auto"/>
                <w:kern w:val="0"/>
                <w:sz w:val="22"/>
                <w:szCs w:val="22"/>
                <w:highlight w:val="none"/>
              </w:rPr>
            </w:pPr>
          </w:p>
        </w:tc>
      </w:tr>
      <w:tr w14:paraId="46836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06" w:type="dxa"/>
            <w:noWrap/>
            <w:vAlign w:val="center"/>
          </w:tcPr>
          <w:p w14:paraId="3296C42B">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8</w:t>
            </w:r>
          </w:p>
        </w:tc>
        <w:tc>
          <w:tcPr>
            <w:tcW w:w="1745" w:type="dxa"/>
            <w:vMerge w:val="continue"/>
            <w:noWrap w:val="0"/>
            <w:vAlign w:val="center"/>
          </w:tcPr>
          <w:p w14:paraId="34AFC32A">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5ECC6CCF">
            <w:pPr>
              <w:widowControl/>
              <w:spacing w:beforeLines="0"/>
              <w:jc w:val="left"/>
              <w:rPr>
                <w:rFonts w:ascii="宋体" w:hAnsi="宋体" w:cs="宋体"/>
                <w:color w:val="auto"/>
                <w:kern w:val="0"/>
                <w:sz w:val="22"/>
                <w:szCs w:val="22"/>
                <w:highlight w:val="none"/>
              </w:rPr>
            </w:pPr>
          </w:p>
        </w:tc>
        <w:tc>
          <w:tcPr>
            <w:tcW w:w="2261" w:type="dxa"/>
            <w:noWrap w:val="0"/>
            <w:vAlign w:val="center"/>
          </w:tcPr>
          <w:p w14:paraId="253CBA25">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食源性上级接口对账管理</w:t>
            </w:r>
          </w:p>
        </w:tc>
        <w:tc>
          <w:tcPr>
            <w:tcW w:w="1134" w:type="dxa"/>
            <w:vMerge w:val="continue"/>
            <w:noWrap w:val="0"/>
            <w:vAlign w:val="center"/>
          </w:tcPr>
          <w:p w14:paraId="5D29EDFA">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4F033911">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4452C41D">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41BFDD08">
            <w:pPr>
              <w:widowControl/>
              <w:spacing w:beforeLines="0"/>
              <w:jc w:val="left"/>
              <w:rPr>
                <w:rFonts w:ascii="宋体" w:hAnsi="宋体" w:cs="宋体"/>
                <w:color w:val="auto"/>
                <w:kern w:val="0"/>
                <w:sz w:val="22"/>
                <w:szCs w:val="22"/>
                <w:highlight w:val="none"/>
              </w:rPr>
            </w:pPr>
          </w:p>
        </w:tc>
      </w:tr>
      <w:tr w14:paraId="36901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06" w:type="dxa"/>
            <w:noWrap/>
            <w:vAlign w:val="center"/>
          </w:tcPr>
          <w:p w14:paraId="7511A8E0">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9</w:t>
            </w:r>
          </w:p>
        </w:tc>
        <w:tc>
          <w:tcPr>
            <w:tcW w:w="1745" w:type="dxa"/>
            <w:vMerge w:val="continue"/>
            <w:noWrap w:val="0"/>
            <w:vAlign w:val="center"/>
          </w:tcPr>
          <w:p w14:paraId="593F247E">
            <w:pPr>
              <w:widowControl/>
              <w:spacing w:beforeLines="0"/>
              <w:jc w:val="left"/>
              <w:rPr>
                <w:rFonts w:ascii="宋体" w:hAnsi="宋体" w:cs="宋体"/>
                <w:color w:val="auto"/>
                <w:kern w:val="0"/>
                <w:sz w:val="22"/>
                <w:szCs w:val="22"/>
                <w:highlight w:val="none"/>
              </w:rPr>
            </w:pPr>
          </w:p>
        </w:tc>
        <w:tc>
          <w:tcPr>
            <w:tcW w:w="806" w:type="dxa"/>
            <w:vMerge w:val="restart"/>
            <w:noWrap w:val="0"/>
            <w:vAlign w:val="center"/>
          </w:tcPr>
          <w:p w14:paraId="41BFBA43">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食源性疾病病例管理</w:t>
            </w:r>
          </w:p>
        </w:tc>
        <w:tc>
          <w:tcPr>
            <w:tcW w:w="2261" w:type="dxa"/>
            <w:noWrap w:val="0"/>
            <w:vAlign w:val="center"/>
          </w:tcPr>
          <w:p w14:paraId="60232ED5">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病例上报查询</w:t>
            </w:r>
          </w:p>
        </w:tc>
        <w:tc>
          <w:tcPr>
            <w:tcW w:w="1134" w:type="dxa"/>
            <w:vMerge w:val="continue"/>
            <w:noWrap w:val="0"/>
            <w:vAlign w:val="center"/>
          </w:tcPr>
          <w:p w14:paraId="6F676047">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7415F38D">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798FE060">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1F66E758">
            <w:pPr>
              <w:widowControl/>
              <w:spacing w:beforeLines="0"/>
              <w:jc w:val="left"/>
              <w:rPr>
                <w:rFonts w:ascii="宋体" w:hAnsi="宋体" w:cs="宋体"/>
                <w:color w:val="auto"/>
                <w:kern w:val="0"/>
                <w:sz w:val="22"/>
                <w:szCs w:val="22"/>
                <w:highlight w:val="none"/>
              </w:rPr>
            </w:pPr>
          </w:p>
        </w:tc>
      </w:tr>
      <w:tr w14:paraId="5F777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6CBC136C">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10</w:t>
            </w:r>
          </w:p>
        </w:tc>
        <w:tc>
          <w:tcPr>
            <w:tcW w:w="1745" w:type="dxa"/>
            <w:vMerge w:val="continue"/>
            <w:noWrap w:val="0"/>
            <w:vAlign w:val="center"/>
          </w:tcPr>
          <w:p w14:paraId="7EC802D2">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2D2CAD33">
            <w:pPr>
              <w:widowControl/>
              <w:spacing w:beforeLines="0"/>
              <w:jc w:val="left"/>
              <w:rPr>
                <w:rFonts w:ascii="宋体" w:hAnsi="宋体" w:cs="宋体"/>
                <w:color w:val="auto"/>
                <w:kern w:val="0"/>
                <w:sz w:val="22"/>
                <w:szCs w:val="22"/>
                <w:highlight w:val="none"/>
              </w:rPr>
            </w:pPr>
          </w:p>
        </w:tc>
        <w:tc>
          <w:tcPr>
            <w:tcW w:w="2261" w:type="dxa"/>
            <w:noWrap w:val="0"/>
            <w:vAlign w:val="center"/>
          </w:tcPr>
          <w:p w14:paraId="5BDB6286">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病例上报查重</w:t>
            </w:r>
          </w:p>
        </w:tc>
        <w:tc>
          <w:tcPr>
            <w:tcW w:w="1134" w:type="dxa"/>
            <w:vMerge w:val="continue"/>
            <w:noWrap w:val="0"/>
            <w:vAlign w:val="center"/>
          </w:tcPr>
          <w:p w14:paraId="44707D62">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24AE37FA">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079F527E">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1471881D">
            <w:pPr>
              <w:widowControl/>
              <w:spacing w:beforeLines="0"/>
              <w:jc w:val="left"/>
              <w:rPr>
                <w:rFonts w:ascii="宋体" w:hAnsi="宋体" w:cs="宋体"/>
                <w:color w:val="auto"/>
                <w:kern w:val="0"/>
                <w:sz w:val="22"/>
                <w:szCs w:val="22"/>
                <w:highlight w:val="none"/>
              </w:rPr>
            </w:pPr>
          </w:p>
        </w:tc>
      </w:tr>
      <w:tr w14:paraId="23139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2B00EE57">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11</w:t>
            </w:r>
          </w:p>
        </w:tc>
        <w:tc>
          <w:tcPr>
            <w:tcW w:w="1745" w:type="dxa"/>
            <w:vMerge w:val="continue"/>
            <w:noWrap w:val="0"/>
            <w:vAlign w:val="center"/>
          </w:tcPr>
          <w:p w14:paraId="0D37D03D">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5B80402F">
            <w:pPr>
              <w:widowControl/>
              <w:spacing w:beforeLines="0"/>
              <w:jc w:val="left"/>
              <w:rPr>
                <w:rFonts w:ascii="宋体" w:hAnsi="宋体" w:cs="宋体"/>
                <w:color w:val="auto"/>
                <w:kern w:val="0"/>
                <w:sz w:val="22"/>
                <w:szCs w:val="22"/>
                <w:highlight w:val="none"/>
              </w:rPr>
            </w:pPr>
          </w:p>
        </w:tc>
        <w:tc>
          <w:tcPr>
            <w:tcW w:w="2261" w:type="dxa"/>
            <w:noWrap w:val="0"/>
            <w:vAlign w:val="center"/>
          </w:tcPr>
          <w:p w14:paraId="3FADA1E9">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病例上报审核</w:t>
            </w:r>
          </w:p>
        </w:tc>
        <w:tc>
          <w:tcPr>
            <w:tcW w:w="1134" w:type="dxa"/>
            <w:vMerge w:val="continue"/>
            <w:noWrap w:val="0"/>
            <w:vAlign w:val="center"/>
          </w:tcPr>
          <w:p w14:paraId="2D5F666C">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58F8F207">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52F52641">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1F8995C0">
            <w:pPr>
              <w:widowControl/>
              <w:spacing w:beforeLines="0"/>
              <w:jc w:val="left"/>
              <w:rPr>
                <w:rFonts w:ascii="宋体" w:hAnsi="宋体" w:cs="宋体"/>
                <w:color w:val="auto"/>
                <w:kern w:val="0"/>
                <w:sz w:val="22"/>
                <w:szCs w:val="22"/>
                <w:highlight w:val="none"/>
              </w:rPr>
            </w:pPr>
          </w:p>
        </w:tc>
      </w:tr>
      <w:tr w14:paraId="68925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1C551C13">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12</w:t>
            </w:r>
          </w:p>
        </w:tc>
        <w:tc>
          <w:tcPr>
            <w:tcW w:w="1745" w:type="dxa"/>
            <w:vMerge w:val="continue"/>
            <w:noWrap w:val="0"/>
            <w:vAlign w:val="center"/>
          </w:tcPr>
          <w:p w14:paraId="31E9C069">
            <w:pPr>
              <w:widowControl/>
              <w:spacing w:beforeLines="0"/>
              <w:jc w:val="left"/>
              <w:rPr>
                <w:rFonts w:ascii="宋体" w:hAnsi="宋体" w:cs="宋体"/>
                <w:color w:val="auto"/>
                <w:kern w:val="0"/>
                <w:sz w:val="22"/>
                <w:szCs w:val="22"/>
                <w:highlight w:val="none"/>
              </w:rPr>
            </w:pPr>
          </w:p>
        </w:tc>
        <w:tc>
          <w:tcPr>
            <w:tcW w:w="806" w:type="dxa"/>
            <w:vMerge w:val="restart"/>
            <w:noWrap w:val="0"/>
            <w:vAlign w:val="center"/>
          </w:tcPr>
          <w:p w14:paraId="33538544">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统计分析</w:t>
            </w:r>
          </w:p>
        </w:tc>
        <w:tc>
          <w:tcPr>
            <w:tcW w:w="2261" w:type="dxa"/>
            <w:noWrap w:val="0"/>
            <w:vAlign w:val="center"/>
          </w:tcPr>
          <w:p w14:paraId="5B35EE74">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病例信息统计</w:t>
            </w:r>
          </w:p>
        </w:tc>
        <w:tc>
          <w:tcPr>
            <w:tcW w:w="1134" w:type="dxa"/>
            <w:vMerge w:val="continue"/>
            <w:noWrap w:val="0"/>
            <w:vAlign w:val="center"/>
          </w:tcPr>
          <w:p w14:paraId="006335C3">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0A402E5B">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2EE7B933">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6F17ECC7">
            <w:pPr>
              <w:widowControl/>
              <w:spacing w:beforeLines="0"/>
              <w:jc w:val="left"/>
              <w:rPr>
                <w:rFonts w:ascii="宋体" w:hAnsi="宋体" w:cs="宋体"/>
                <w:color w:val="auto"/>
                <w:kern w:val="0"/>
                <w:sz w:val="22"/>
                <w:szCs w:val="22"/>
                <w:highlight w:val="none"/>
              </w:rPr>
            </w:pPr>
          </w:p>
        </w:tc>
      </w:tr>
      <w:tr w14:paraId="6A0F5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7EBE49A0">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13</w:t>
            </w:r>
          </w:p>
        </w:tc>
        <w:tc>
          <w:tcPr>
            <w:tcW w:w="1745" w:type="dxa"/>
            <w:vMerge w:val="continue"/>
            <w:noWrap w:val="0"/>
            <w:vAlign w:val="center"/>
          </w:tcPr>
          <w:p w14:paraId="6BE9F4BB">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7AB965BE">
            <w:pPr>
              <w:widowControl/>
              <w:spacing w:beforeLines="0"/>
              <w:jc w:val="left"/>
              <w:rPr>
                <w:rFonts w:ascii="宋体" w:hAnsi="宋体" w:cs="宋体"/>
                <w:color w:val="auto"/>
                <w:kern w:val="0"/>
                <w:sz w:val="22"/>
                <w:szCs w:val="22"/>
                <w:highlight w:val="none"/>
              </w:rPr>
            </w:pPr>
          </w:p>
        </w:tc>
        <w:tc>
          <w:tcPr>
            <w:tcW w:w="2261" w:type="dxa"/>
            <w:noWrap w:val="0"/>
            <w:vAlign w:val="center"/>
          </w:tcPr>
          <w:p w14:paraId="246A266B">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暴露食品统计</w:t>
            </w:r>
          </w:p>
        </w:tc>
        <w:tc>
          <w:tcPr>
            <w:tcW w:w="1134" w:type="dxa"/>
            <w:vMerge w:val="continue"/>
            <w:noWrap w:val="0"/>
            <w:vAlign w:val="center"/>
          </w:tcPr>
          <w:p w14:paraId="410E946E">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4E407B4F">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2D647F31">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2EA5B7A2">
            <w:pPr>
              <w:widowControl/>
              <w:spacing w:beforeLines="0"/>
              <w:jc w:val="left"/>
              <w:rPr>
                <w:rFonts w:ascii="宋体" w:hAnsi="宋体" w:cs="宋体"/>
                <w:color w:val="auto"/>
                <w:kern w:val="0"/>
                <w:sz w:val="22"/>
                <w:szCs w:val="22"/>
                <w:highlight w:val="none"/>
              </w:rPr>
            </w:pPr>
          </w:p>
        </w:tc>
      </w:tr>
      <w:tr w14:paraId="277BA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136DEB08">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14</w:t>
            </w:r>
          </w:p>
        </w:tc>
        <w:tc>
          <w:tcPr>
            <w:tcW w:w="1745" w:type="dxa"/>
            <w:vMerge w:val="continue"/>
            <w:noWrap w:val="0"/>
            <w:vAlign w:val="center"/>
          </w:tcPr>
          <w:p w14:paraId="27A31480">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4BBC1F41">
            <w:pPr>
              <w:widowControl/>
              <w:spacing w:beforeLines="0"/>
              <w:jc w:val="left"/>
              <w:rPr>
                <w:rFonts w:ascii="宋体" w:hAnsi="宋体" w:cs="宋体"/>
                <w:color w:val="auto"/>
                <w:kern w:val="0"/>
                <w:sz w:val="22"/>
                <w:szCs w:val="22"/>
                <w:highlight w:val="none"/>
              </w:rPr>
            </w:pPr>
          </w:p>
        </w:tc>
        <w:tc>
          <w:tcPr>
            <w:tcW w:w="2261" w:type="dxa"/>
            <w:noWrap w:val="0"/>
            <w:vAlign w:val="center"/>
          </w:tcPr>
          <w:p w14:paraId="5B415FAA">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病原体信息统计</w:t>
            </w:r>
          </w:p>
        </w:tc>
        <w:tc>
          <w:tcPr>
            <w:tcW w:w="1134" w:type="dxa"/>
            <w:vMerge w:val="continue"/>
            <w:noWrap w:val="0"/>
            <w:vAlign w:val="center"/>
          </w:tcPr>
          <w:p w14:paraId="114CAFBC">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1747FFE0">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01C84E1C">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0A7B86F5">
            <w:pPr>
              <w:widowControl/>
              <w:spacing w:beforeLines="0"/>
              <w:jc w:val="left"/>
              <w:rPr>
                <w:rFonts w:ascii="宋体" w:hAnsi="宋体" w:cs="宋体"/>
                <w:color w:val="auto"/>
                <w:kern w:val="0"/>
                <w:sz w:val="22"/>
                <w:szCs w:val="22"/>
                <w:highlight w:val="none"/>
              </w:rPr>
            </w:pPr>
          </w:p>
        </w:tc>
      </w:tr>
      <w:tr w14:paraId="3D415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15469BDC">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15</w:t>
            </w:r>
          </w:p>
        </w:tc>
        <w:tc>
          <w:tcPr>
            <w:tcW w:w="1745" w:type="dxa"/>
            <w:vMerge w:val="continue"/>
            <w:noWrap w:val="0"/>
            <w:vAlign w:val="center"/>
          </w:tcPr>
          <w:p w14:paraId="24B74D7E">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47A920CC">
            <w:pPr>
              <w:widowControl/>
              <w:spacing w:beforeLines="0"/>
              <w:jc w:val="left"/>
              <w:rPr>
                <w:rFonts w:ascii="宋体" w:hAnsi="宋体" w:cs="宋体"/>
                <w:color w:val="auto"/>
                <w:kern w:val="0"/>
                <w:sz w:val="22"/>
                <w:szCs w:val="22"/>
                <w:highlight w:val="none"/>
              </w:rPr>
            </w:pPr>
          </w:p>
        </w:tc>
        <w:tc>
          <w:tcPr>
            <w:tcW w:w="2261" w:type="dxa"/>
            <w:noWrap w:val="0"/>
            <w:vAlign w:val="center"/>
          </w:tcPr>
          <w:p w14:paraId="7146723C">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样本信息统计</w:t>
            </w:r>
          </w:p>
        </w:tc>
        <w:tc>
          <w:tcPr>
            <w:tcW w:w="1134" w:type="dxa"/>
            <w:vMerge w:val="continue"/>
            <w:noWrap w:val="0"/>
            <w:vAlign w:val="center"/>
          </w:tcPr>
          <w:p w14:paraId="30BDAF0C">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75F68336">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0506887E">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36F3DD3E">
            <w:pPr>
              <w:widowControl/>
              <w:spacing w:beforeLines="0"/>
              <w:jc w:val="left"/>
              <w:rPr>
                <w:rFonts w:ascii="宋体" w:hAnsi="宋体" w:cs="宋体"/>
                <w:color w:val="auto"/>
                <w:kern w:val="0"/>
                <w:sz w:val="22"/>
                <w:szCs w:val="22"/>
                <w:highlight w:val="none"/>
              </w:rPr>
            </w:pPr>
          </w:p>
        </w:tc>
      </w:tr>
      <w:tr w14:paraId="46AB4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2964A2C7">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16</w:t>
            </w:r>
          </w:p>
        </w:tc>
        <w:tc>
          <w:tcPr>
            <w:tcW w:w="1745" w:type="dxa"/>
            <w:vMerge w:val="restart"/>
            <w:noWrap w:val="0"/>
            <w:vAlign w:val="center"/>
          </w:tcPr>
          <w:p w14:paraId="374C352A">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慢病医防融合</w:t>
            </w:r>
          </w:p>
        </w:tc>
        <w:tc>
          <w:tcPr>
            <w:tcW w:w="806" w:type="dxa"/>
            <w:vMerge w:val="restart"/>
            <w:noWrap w:val="0"/>
            <w:vAlign w:val="center"/>
          </w:tcPr>
          <w:p w14:paraId="39631FA0">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慢病一体化门诊管理信息系统</w:t>
            </w:r>
          </w:p>
        </w:tc>
        <w:tc>
          <w:tcPr>
            <w:tcW w:w="2261" w:type="dxa"/>
            <w:noWrap w:val="0"/>
            <w:vAlign w:val="center"/>
          </w:tcPr>
          <w:p w14:paraId="09A93AF3">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候诊列表</w:t>
            </w:r>
          </w:p>
        </w:tc>
        <w:tc>
          <w:tcPr>
            <w:tcW w:w="1134" w:type="dxa"/>
            <w:vMerge w:val="restart"/>
            <w:noWrap w:val="0"/>
            <w:vAlign w:val="center"/>
          </w:tcPr>
          <w:p w14:paraId="66C97093">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绍兴政务云卫生专网</w:t>
            </w:r>
          </w:p>
        </w:tc>
        <w:tc>
          <w:tcPr>
            <w:tcW w:w="709" w:type="dxa"/>
            <w:vMerge w:val="restart"/>
            <w:noWrap w:val="0"/>
            <w:vAlign w:val="center"/>
          </w:tcPr>
          <w:p w14:paraId="6CF41E14">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708" w:type="dxa"/>
            <w:vMerge w:val="restart"/>
            <w:noWrap w:val="0"/>
            <w:vAlign w:val="center"/>
          </w:tcPr>
          <w:p w14:paraId="5D2C3729">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993" w:type="dxa"/>
            <w:vMerge w:val="restart"/>
            <w:noWrap w:val="0"/>
            <w:vAlign w:val="center"/>
          </w:tcPr>
          <w:p w14:paraId="74C43F34">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覆盖全市所有基层医疗机构</w:t>
            </w:r>
          </w:p>
        </w:tc>
      </w:tr>
      <w:tr w14:paraId="431A5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61530509">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17</w:t>
            </w:r>
          </w:p>
        </w:tc>
        <w:tc>
          <w:tcPr>
            <w:tcW w:w="1745" w:type="dxa"/>
            <w:vMerge w:val="continue"/>
            <w:noWrap w:val="0"/>
            <w:vAlign w:val="center"/>
          </w:tcPr>
          <w:p w14:paraId="3EFF5447">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225C6FBC">
            <w:pPr>
              <w:widowControl/>
              <w:spacing w:beforeLines="0"/>
              <w:jc w:val="left"/>
              <w:rPr>
                <w:rFonts w:ascii="宋体" w:hAnsi="宋体" w:cs="宋体"/>
                <w:color w:val="auto"/>
                <w:kern w:val="0"/>
                <w:sz w:val="22"/>
                <w:szCs w:val="22"/>
                <w:highlight w:val="none"/>
              </w:rPr>
            </w:pPr>
          </w:p>
        </w:tc>
        <w:tc>
          <w:tcPr>
            <w:tcW w:w="2261" w:type="dxa"/>
            <w:noWrap w:val="0"/>
            <w:vAlign w:val="center"/>
          </w:tcPr>
          <w:p w14:paraId="46889AC6">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患者检索</w:t>
            </w:r>
          </w:p>
        </w:tc>
        <w:tc>
          <w:tcPr>
            <w:tcW w:w="1134" w:type="dxa"/>
            <w:vMerge w:val="continue"/>
            <w:noWrap w:val="0"/>
            <w:vAlign w:val="center"/>
          </w:tcPr>
          <w:p w14:paraId="54062E7C">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40817CDF">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7EE07D1B">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0169A14C">
            <w:pPr>
              <w:widowControl/>
              <w:spacing w:beforeLines="0"/>
              <w:jc w:val="left"/>
              <w:rPr>
                <w:rFonts w:ascii="宋体" w:hAnsi="宋体" w:cs="宋体"/>
                <w:color w:val="auto"/>
                <w:kern w:val="0"/>
                <w:sz w:val="22"/>
                <w:szCs w:val="22"/>
                <w:highlight w:val="none"/>
              </w:rPr>
            </w:pPr>
          </w:p>
        </w:tc>
      </w:tr>
      <w:tr w14:paraId="11992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52BAF2C1">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18</w:t>
            </w:r>
          </w:p>
        </w:tc>
        <w:tc>
          <w:tcPr>
            <w:tcW w:w="1745" w:type="dxa"/>
            <w:vMerge w:val="continue"/>
            <w:noWrap w:val="0"/>
            <w:vAlign w:val="center"/>
          </w:tcPr>
          <w:p w14:paraId="17A7E922">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575A7F0F">
            <w:pPr>
              <w:widowControl/>
              <w:spacing w:beforeLines="0"/>
              <w:jc w:val="left"/>
              <w:rPr>
                <w:rFonts w:ascii="宋体" w:hAnsi="宋体" w:cs="宋体"/>
                <w:color w:val="auto"/>
                <w:kern w:val="0"/>
                <w:sz w:val="22"/>
                <w:szCs w:val="22"/>
                <w:highlight w:val="none"/>
              </w:rPr>
            </w:pPr>
          </w:p>
        </w:tc>
        <w:tc>
          <w:tcPr>
            <w:tcW w:w="2261" w:type="dxa"/>
            <w:noWrap w:val="0"/>
            <w:vAlign w:val="center"/>
          </w:tcPr>
          <w:p w14:paraId="7BF5F67D">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患者识别</w:t>
            </w:r>
          </w:p>
        </w:tc>
        <w:tc>
          <w:tcPr>
            <w:tcW w:w="1134" w:type="dxa"/>
            <w:vMerge w:val="continue"/>
            <w:noWrap w:val="0"/>
            <w:vAlign w:val="center"/>
          </w:tcPr>
          <w:p w14:paraId="1621F156">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485AD918">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19547DFC">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2833E581">
            <w:pPr>
              <w:widowControl/>
              <w:spacing w:beforeLines="0"/>
              <w:jc w:val="left"/>
              <w:rPr>
                <w:rFonts w:ascii="宋体" w:hAnsi="宋体" w:cs="宋体"/>
                <w:color w:val="auto"/>
                <w:kern w:val="0"/>
                <w:sz w:val="22"/>
                <w:szCs w:val="22"/>
                <w:highlight w:val="none"/>
              </w:rPr>
            </w:pPr>
          </w:p>
        </w:tc>
      </w:tr>
      <w:tr w14:paraId="19927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295C7C23">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19</w:t>
            </w:r>
          </w:p>
        </w:tc>
        <w:tc>
          <w:tcPr>
            <w:tcW w:w="1745" w:type="dxa"/>
            <w:vMerge w:val="continue"/>
            <w:noWrap w:val="0"/>
            <w:vAlign w:val="center"/>
          </w:tcPr>
          <w:p w14:paraId="65FF561B">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2D99345D">
            <w:pPr>
              <w:widowControl/>
              <w:spacing w:beforeLines="0"/>
              <w:jc w:val="left"/>
              <w:rPr>
                <w:rFonts w:ascii="宋体" w:hAnsi="宋体" w:cs="宋体"/>
                <w:color w:val="auto"/>
                <w:kern w:val="0"/>
                <w:sz w:val="22"/>
                <w:szCs w:val="22"/>
                <w:highlight w:val="none"/>
              </w:rPr>
            </w:pPr>
          </w:p>
        </w:tc>
        <w:tc>
          <w:tcPr>
            <w:tcW w:w="2261" w:type="dxa"/>
            <w:noWrap w:val="0"/>
            <w:vAlign w:val="center"/>
          </w:tcPr>
          <w:p w14:paraId="02DD8F51">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画像查看</w:t>
            </w:r>
          </w:p>
        </w:tc>
        <w:tc>
          <w:tcPr>
            <w:tcW w:w="1134" w:type="dxa"/>
            <w:vMerge w:val="continue"/>
            <w:noWrap w:val="0"/>
            <w:vAlign w:val="center"/>
          </w:tcPr>
          <w:p w14:paraId="61B854C9">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33044EB7">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7F5D2226">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46BB5D0A">
            <w:pPr>
              <w:widowControl/>
              <w:spacing w:beforeLines="0"/>
              <w:jc w:val="left"/>
              <w:rPr>
                <w:rFonts w:ascii="宋体" w:hAnsi="宋体" w:cs="宋体"/>
                <w:color w:val="auto"/>
                <w:kern w:val="0"/>
                <w:sz w:val="22"/>
                <w:szCs w:val="22"/>
                <w:highlight w:val="none"/>
              </w:rPr>
            </w:pPr>
          </w:p>
        </w:tc>
      </w:tr>
      <w:tr w14:paraId="66019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5A0207E0">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20</w:t>
            </w:r>
          </w:p>
        </w:tc>
        <w:tc>
          <w:tcPr>
            <w:tcW w:w="1745" w:type="dxa"/>
            <w:vMerge w:val="continue"/>
            <w:noWrap w:val="0"/>
            <w:vAlign w:val="center"/>
          </w:tcPr>
          <w:p w14:paraId="71FE2855">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472942C8">
            <w:pPr>
              <w:widowControl/>
              <w:spacing w:beforeLines="0"/>
              <w:jc w:val="left"/>
              <w:rPr>
                <w:rFonts w:ascii="宋体" w:hAnsi="宋体" w:cs="宋体"/>
                <w:color w:val="auto"/>
                <w:kern w:val="0"/>
                <w:sz w:val="22"/>
                <w:szCs w:val="22"/>
                <w:highlight w:val="none"/>
              </w:rPr>
            </w:pPr>
          </w:p>
        </w:tc>
        <w:tc>
          <w:tcPr>
            <w:tcW w:w="2261" w:type="dxa"/>
            <w:noWrap w:val="0"/>
            <w:vAlign w:val="center"/>
          </w:tcPr>
          <w:p w14:paraId="567A2942">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体征测量</w:t>
            </w:r>
          </w:p>
        </w:tc>
        <w:tc>
          <w:tcPr>
            <w:tcW w:w="1134" w:type="dxa"/>
            <w:vMerge w:val="continue"/>
            <w:noWrap w:val="0"/>
            <w:vAlign w:val="center"/>
          </w:tcPr>
          <w:p w14:paraId="22157699">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41F6F05A">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09B01BCF">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1C605F90">
            <w:pPr>
              <w:widowControl/>
              <w:spacing w:beforeLines="0"/>
              <w:jc w:val="left"/>
              <w:rPr>
                <w:rFonts w:ascii="宋体" w:hAnsi="宋体" w:cs="宋体"/>
                <w:color w:val="auto"/>
                <w:kern w:val="0"/>
                <w:sz w:val="22"/>
                <w:szCs w:val="22"/>
                <w:highlight w:val="none"/>
              </w:rPr>
            </w:pPr>
          </w:p>
        </w:tc>
      </w:tr>
      <w:tr w14:paraId="333F1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76C36B91">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21</w:t>
            </w:r>
          </w:p>
        </w:tc>
        <w:tc>
          <w:tcPr>
            <w:tcW w:w="1745" w:type="dxa"/>
            <w:vMerge w:val="continue"/>
            <w:noWrap w:val="0"/>
            <w:vAlign w:val="center"/>
          </w:tcPr>
          <w:p w14:paraId="18CFBA3A">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67F6B880">
            <w:pPr>
              <w:widowControl/>
              <w:spacing w:beforeLines="0"/>
              <w:jc w:val="left"/>
              <w:rPr>
                <w:rFonts w:ascii="宋体" w:hAnsi="宋体" w:cs="宋体"/>
                <w:color w:val="auto"/>
                <w:kern w:val="0"/>
                <w:sz w:val="22"/>
                <w:szCs w:val="22"/>
                <w:highlight w:val="none"/>
              </w:rPr>
            </w:pPr>
          </w:p>
        </w:tc>
        <w:tc>
          <w:tcPr>
            <w:tcW w:w="2261" w:type="dxa"/>
            <w:noWrap w:val="0"/>
            <w:vAlign w:val="center"/>
          </w:tcPr>
          <w:p w14:paraId="20B1F367">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异常提醒</w:t>
            </w:r>
          </w:p>
        </w:tc>
        <w:tc>
          <w:tcPr>
            <w:tcW w:w="1134" w:type="dxa"/>
            <w:vMerge w:val="continue"/>
            <w:noWrap w:val="0"/>
            <w:vAlign w:val="center"/>
          </w:tcPr>
          <w:p w14:paraId="4734B0DE">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7B81253B">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0105371A">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2DE67193">
            <w:pPr>
              <w:widowControl/>
              <w:spacing w:beforeLines="0"/>
              <w:jc w:val="left"/>
              <w:rPr>
                <w:rFonts w:ascii="宋体" w:hAnsi="宋体" w:cs="宋体"/>
                <w:color w:val="auto"/>
                <w:kern w:val="0"/>
                <w:sz w:val="22"/>
                <w:szCs w:val="22"/>
                <w:highlight w:val="none"/>
              </w:rPr>
            </w:pPr>
          </w:p>
        </w:tc>
      </w:tr>
      <w:tr w14:paraId="71CD6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433F880C">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22</w:t>
            </w:r>
          </w:p>
        </w:tc>
        <w:tc>
          <w:tcPr>
            <w:tcW w:w="1745" w:type="dxa"/>
            <w:vMerge w:val="continue"/>
            <w:noWrap w:val="0"/>
            <w:vAlign w:val="center"/>
          </w:tcPr>
          <w:p w14:paraId="7332614A">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5FA20472">
            <w:pPr>
              <w:widowControl/>
              <w:spacing w:beforeLines="0"/>
              <w:jc w:val="left"/>
              <w:rPr>
                <w:rFonts w:ascii="宋体" w:hAnsi="宋体" w:cs="宋体"/>
                <w:color w:val="auto"/>
                <w:kern w:val="0"/>
                <w:sz w:val="22"/>
                <w:szCs w:val="22"/>
                <w:highlight w:val="none"/>
              </w:rPr>
            </w:pPr>
          </w:p>
        </w:tc>
        <w:tc>
          <w:tcPr>
            <w:tcW w:w="2261" w:type="dxa"/>
            <w:noWrap w:val="0"/>
            <w:vAlign w:val="center"/>
          </w:tcPr>
          <w:p w14:paraId="5E872C07">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数据同步</w:t>
            </w:r>
          </w:p>
        </w:tc>
        <w:tc>
          <w:tcPr>
            <w:tcW w:w="1134" w:type="dxa"/>
            <w:vMerge w:val="continue"/>
            <w:noWrap w:val="0"/>
            <w:vAlign w:val="center"/>
          </w:tcPr>
          <w:p w14:paraId="73025F75">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3E6A4C2E">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29413C1A">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45F9CA75">
            <w:pPr>
              <w:widowControl/>
              <w:spacing w:beforeLines="0"/>
              <w:jc w:val="left"/>
              <w:rPr>
                <w:rFonts w:ascii="宋体" w:hAnsi="宋体" w:cs="宋体"/>
                <w:color w:val="auto"/>
                <w:kern w:val="0"/>
                <w:sz w:val="22"/>
                <w:szCs w:val="22"/>
                <w:highlight w:val="none"/>
              </w:rPr>
            </w:pPr>
          </w:p>
        </w:tc>
      </w:tr>
      <w:tr w14:paraId="08839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2D27D230">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23</w:t>
            </w:r>
          </w:p>
        </w:tc>
        <w:tc>
          <w:tcPr>
            <w:tcW w:w="1745" w:type="dxa"/>
            <w:vMerge w:val="continue"/>
            <w:noWrap w:val="0"/>
            <w:vAlign w:val="center"/>
          </w:tcPr>
          <w:p w14:paraId="636C04C2">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171FDB59">
            <w:pPr>
              <w:widowControl/>
              <w:spacing w:beforeLines="0"/>
              <w:jc w:val="left"/>
              <w:rPr>
                <w:rFonts w:ascii="宋体" w:hAnsi="宋体" w:cs="宋体"/>
                <w:color w:val="auto"/>
                <w:kern w:val="0"/>
                <w:sz w:val="22"/>
                <w:szCs w:val="22"/>
                <w:highlight w:val="none"/>
              </w:rPr>
            </w:pPr>
          </w:p>
        </w:tc>
        <w:tc>
          <w:tcPr>
            <w:tcW w:w="2261" w:type="dxa"/>
            <w:noWrap w:val="0"/>
            <w:vAlign w:val="center"/>
          </w:tcPr>
          <w:p w14:paraId="5AB5A673">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上次测量记录</w:t>
            </w:r>
          </w:p>
        </w:tc>
        <w:tc>
          <w:tcPr>
            <w:tcW w:w="1134" w:type="dxa"/>
            <w:vMerge w:val="continue"/>
            <w:noWrap w:val="0"/>
            <w:vAlign w:val="center"/>
          </w:tcPr>
          <w:p w14:paraId="525DB78D">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045ACAE2">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2465009E">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21FF8AA8">
            <w:pPr>
              <w:widowControl/>
              <w:spacing w:beforeLines="0"/>
              <w:jc w:val="left"/>
              <w:rPr>
                <w:rFonts w:ascii="宋体" w:hAnsi="宋体" w:cs="宋体"/>
                <w:color w:val="auto"/>
                <w:kern w:val="0"/>
                <w:sz w:val="22"/>
                <w:szCs w:val="22"/>
                <w:highlight w:val="none"/>
              </w:rPr>
            </w:pPr>
          </w:p>
        </w:tc>
      </w:tr>
      <w:tr w14:paraId="6695F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24987562">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24</w:t>
            </w:r>
          </w:p>
        </w:tc>
        <w:tc>
          <w:tcPr>
            <w:tcW w:w="1745" w:type="dxa"/>
            <w:vMerge w:val="continue"/>
            <w:noWrap w:val="0"/>
            <w:vAlign w:val="center"/>
          </w:tcPr>
          <w:p w14:paraId="1E2E470E">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252325F4">
            <w:pPr>
              <w:widowControl/>
              <w:spacing w:beforeLines="0"/>
              <w:jc w:val="left"/>
              <w:rPr>
                <w:rFonts w:ascii="宋体" w:hAnsi="宋体" w:cs="宋体"/>
                <w:color w:val="auto"/>
                <w:kern w:val="0"/>
                <w:sz w:val="22"/>
                <w:szCs w:val="22"/>
                <w:highlight w:val="none"/>
              </w:rPr>
            </w:pPr>
          </w:p>
        </w:tc>
        <w:tc>
          <w:tcPr>
            <w:tcW w:w="2261" w:type="dxa"/>
            <w:noWrap w:val="0"/>
            <w:vAlign w:val="center"/>
          </w:tcPr>
          <w:p w14:paraId="3FEF8378">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数据更新</w:t>
            </w:r>
          </w:p>
        </w:tc>
        <w:tc>
          <w:tcPr>
            <w:tcW w:w="1134" w:type="dxa"/>
            <w:vMerge w:val="continue"/>
            <w:noWrap w:val="0"/>
            <w:vAlign w:val="center"/>
          </w:tcPr>
          <w:p w14:paraId="588D9F45">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52EF9D17">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0F55D99B">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55235A65">
            <w:pPr>
              <w:widowControl/>
              <w:spacing w:beforeLines="0"/>
              <w:jc w:val="left"/>
              <w:rPr>
                <w:rFonts w:ascii="宋体" w:hAnsi="宋体" w:cs="宋体"/>
                <w:color w:val="auto"/>
                <w:kern w:val="0"/>
                <w:sz w:val="22"/>
                <w:szCs w:val="22"/>
                <w:highlight w:val="none"/>
              </w:rPr>
            </w:pPr>
          </w:p>
        </w:tc>
      </w:tr>
      <w:tr w14:paraId="39AB2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71DECDD8">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25</w:t>
            </w:r>
          </w:p>
        </w:tc>
        <w:tc>
          <w:tcPr>
            <w:tcW w:w="1745" w:type="dxa"/>
            <w:vMerge w:val="continue"/>
            <w:noWrap w:val="0"/>
            <w:vAlign w:val="center"/>
          </w:tcPr>
          <w:p w14:paraId="24C81B7A">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57B0578B">
            <w:pPr>
              <w:widowControl/>
              <w:spacing w:beforeLines="0"/>
              <w:jc w:val="left"/>
              <w:rPr>
                <w:rFonts w:ascii="宋体" w:hAnsi="宋体" w:cs="宋体"/>
                <w:color w:val="auto"/>
                <w:kern w:val="0"/>
                <w:sz w:val="22"/>
                <w:szCs w:val="22"/>
                <w:highlight w:val="none"/>
              </w:rPr>
            </w:pPr>
          </w:p>
        </w:tc>
        <w:tc>
          <w:tcPr>
            <w:tcW w:w="2261" w:type="dxa"/>
            <w:noWrap w:val="0"/>
            <w:vAlign w:val="center"/>
          </w:tcPr>
          <w:p w14:paraId="67A96805">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信息引入</w:t>
            </w:r>
          </w:p>
        </w:tc>
        <w:tc>
          <w:tcPr>
            <w:tcW w:w="1134" w:type="dxa"/>
            <w:vMerge w:val="continue"/>
            <w:noWrap w:val="0"/>
            <w:vAlign w:val="center"/>
          </w:tcPr>
          <w:p w14:paraId="4D1CD0E1">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6B4C3F07">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08022CC6">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28512D75">
            <w:pPr>
              <w:widowControl/>
              <w:spacing w:beforeLines="0"/>
              <w:jc w:val="left"/>
              <w:rPr>
                <w:rFonts w:ascii="宋体" w:hAnsi="宋体" w:cs="宋体"/>
                <w:color w:val="auto"/>
                <w:kern w:val="0"/>
                <w:sz w:val="22"/>
                <w:szCs w:val="22"/>
                <w:highlight w:val="none"/>
              </w:rPr>
            </w:pPr>
          </w:p>
        </w:tc>
      </w:tr>
      <w:tr w14:paraId="2E144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36E9EAF9">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26</w:t>
            </w:r>
          </w:p>
        </w:tc>
        <w:tc>
          <w:tcPr>
            <w:tcW w:w="1745" w:type="dxa"/>
            <w:vMerge w:val="continue"/>
            <w:noWrap w:val="0"/>
            <w:vAlign w:val="center"/>
          </w:tcPr>
          <w:p w14:paraId="5CEE5B8A">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5AF75302">
            <w:pPr>
              <w:widowControl/>
              <w:spacing w:beforeLines="0"/>
              <w:jc w:val="left"/>
              <w:rPr>
                <w:rFonts w:ascii="宋体" w:hAnsi="宋体" w:cs="宋体"/>
                <w:color w:val="auto"/>
                <w:kern w:val="0"/>
                <w:sz w:val="22"/>
                <w:szCs w:val="22"/>
                <w:highlight w:val="none"/>
              </w:rPr>
            </w:pPr>
          </w:p>
        </w:tc>
        <w:tc>
          <w:tcPr>
            <w:tcW w:w="2261" w:type="dxa"/>
            <w:noWrap w:val="0"/>
            <w:vAlign w:val="center"/>
          </w:tcPr>
          <w:p w14:paraId="2A47C32E">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信息核验</w:t>
            </w:r>
          </w:p>
        </w:tc>
        <w:tc>
          <w:tcPr>
            <w:tcW w:w="1134" w:type="dxa"/>
            <w:vMerge w:val="continue"/>
            <w:noWrap w:val="0"/>
            <w:vAlign w:val="center"/>
          </w:tcPr>
          <w:p w14:paraId="64D6158D">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3215FE57">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111ACF38">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0E093BDB">
            <w:pPr>
              <w:widowControl/>
              <w:spacing w:beforeLines="0"/>
              <w:jc w:val="left"/>
              <w:rPr>
                <w:rFonts w:ascii="宋体" w:hAnsi="宋体" w:cs="宋体"/>
                <w:color w:val="auto"/>
                <w:kern w:val="0"/>
                <w:sz w:val="22"/>
                <w:szCs w:val="22"/>
                <w:highlight w:val="none"/>
              </w:rPr>
            </w:pPr>
          </w:p>
        </w:tc>
      </w:tr>
      <w:tr w14:paraId="10DAF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7E30E9A3">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27</w:t>
            </w:r>
          </w:p>
        </w:tc>
        <w:tc>
          <w:tcPr>
            <w:tcW w:w="1745" w:type="dxa"/>
            <w:vMerge w:val="continue"/>
            <w:noWrap w:val="0"/>
            <w:vAlign w:val="center"/>
          </w:tcPr>
          <w:p w14:paraId="00D4DD11">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5F708F35">
            <w:pPr>
              <w:widowControl/>
              <w:spacing w:beforeLines="0"/>
              <w:jc w:val="left"/>
              <w:rPr>
                <w:rFonts w:ascii="宋体" w:hAnsi="宋体" w:cs="宋体"/>
                <w:color w:val="auto"/>
                <w:kern w:val="0"/>
                <w:sz w:val="22"/>
                <w:szCs w:val="22"/>
                <w:highlight w:val="none"/>
              </w:rPr>
            </w:pPr>
          </w:p>
        </w:tc>
        <w:tc>
          <w:tcPr>
            <w:tcW w:w="2261" w:type="dxa"/>
            <w:noWrap w:val="0"/>
            <w:vAlign w:val="center"/>
          </w:tcPr>
          <w:p w14:paraId="664CA208">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症状同步</w:t>
            </w:r>
          </w:p>
        </w:tc>
        <w:tc>
          <w:tcPr>
            <w:tcW w:w="1134" w:type="dxa"/>
            <w:vMerge w:val="continue"/>
            <w:noWrap w:val="0"/>
            <w:vAlign w:val="center"/>
          </w:tcPr>
          <w:p w14:paraId="3D70C3E0">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67C22556">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1F83F53F">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03E0D8C0">
            <w:pPr>
              <w:widowControl/>
              <w:spacing w:beforeLines="0"/>
              <w:jc w:val="left"/>
              <w:rPr>
                <w:rFonts w:ascii="宋体" w:hAnsi="宋体" w:cs="宋体"/>
                <w:color w:val="auto"/>
                <w:kern w:val="0"/>
                <w:sz w:val="22"/>
                <w:szCs w:val="22"/>
                <w:highlight w:val="none"/>
              </w:rPr>
            </w:pPr>
          </w:p>
        </w:tc>
      </w:tr>
      <w:tr w14:paraId="25B91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6669DEB3">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28</w:t>
            </w:r>
          </w:p>
        </w:tc>
        <w:tc>
          <w:tcPr>
            <w:tcW w:w="1745" w:type="dxa"/>
            <w:vMerge w:val="continue"/>
            <w:noWrap w:val="0"/>
            <w:vAlign w:val="center"/>
          </w:tcPr>
          <w:p w14:paraId="14714257">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10A99171">
            <w:pPr>
              <w:widowControl/>
              <w:spacing w:beforeLines="0"/>
              <w:jc w:val="left"/>
              <w:rPr>
                <w:rFonts w:ascii="宋体" w:hAnsi="宋体" w:cs="宋体"/>
                <w:color w:val="auto"/>
                <w:kern w:val="0"/>
                <w:sz w:val="22"/>
                <w:szCs w:val="22"/>
                <w:highlight w:val="none"/>
              </w:rPr>
            </w:pPr>
          </w:p>
        </w:tc>
        <w:tc>
          <w:tcPr>
            <w:tcW w:w="2261" w:type="dxa"/>
            <w:noWrap w:val="0"/>
            <w:vAlign w:val="center"/>
          </w:tcPr>
          <w:p w14:paraId="2431C8DC">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症状采集</w:t>
            </w:r>
          </w:p>
        </w:tc>
        <w:tc>
          <w:tcPr>
            <w:tcW w:w="1134" w:type="dxa"/>
            <w:vMerge w:val="continue"/>
            <w:noWrap w:val="0"/>
            <w:vAlign w:val="center"/>
          </w:tcPr>
          <w:p w14:paraId="32787EFC">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5ED42A0D">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58BF03F4">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5B86EA92">
            <w:pPr>
              <w:widowControl/>
              <w:spacing w:beforeLines="0"/>
              <w:jc w:val="left"/>
              <w:rPr>
                <w:rFonts w:ascii="宋体" w:hAnsi="宋体" w:cs="宋体"/>
                <w:color w:val="auto"/>
                <w:kern w:val="0"/>
                <w:sz w:val="22"/>
                <w:szCs w:val="22"/>
                <w:highlight w:val="none"/>
              </w:rPr>
            </w:pPr>
          </w:p>
        </w:tc>
      </w:tr>
      <w:tr w14:paraId="053A3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344CB7F3">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29</w:t>
            </w:r>
          </w:p>
        </w:tc>
        <w:tc>
          <w:tcPr>
            <w:tcW w:w="1745" w:type="dxa"/>
            <w:vMerge w:val="continue"/>
            <w:noWrap w:val="0"/>
            <w:vAlign w:val="center"/>
          </w:tcPr>
          <w:p w14:paraId="3B344C0B">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66572DE1">
            <w:pPr>
              <w:widowControl/>
              <w:spacing w:beforeLines="0"/>
              <w:jc w:val="left"/>
              <w:rPr>
                <w:rFonts w:ascii="宋体" w:hAnsi="宋体" w:cs="宋体"/>
                <w:color w:val="auto"/>
                <w:kern w:val="0"/>
                <w:sz w:val="22"/>
                <w:szCs w:val="22"/>
                <w:highlight w:val="none"/>
              </w:rPr>
            </w:pPr>
          </w:p>
        </w:tc>
        <w:tc>
          <w:tcPr>
            <w:tcW w:w="2261" w:type="dxa"/>
            <w:noWrap w:val="0"/>
            <w:vAlign w:val="center"/>
          </w:tcPr>
          <w:p w14:paraId="0602B36C">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用药信息采集</w:t>
            </w:r>
          </w:p>
        </w:tc>
        <w:tc>
          <w:tcPr>
            <w:tcW w:w="1134" w:type="dxa"/>
            <w:vMerge w:val="continue"/>
            <w:noWrap w:val="0"/>
            <w:vAlign w:val="center"/>
          </w:tcPr>
          <w:p w14:paraId="2A9E2B32">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6B99A815">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747287E3">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0602972F">
            <w:pPr>
              <w:widowControl/>
              <w:spacing w:beforeLines="0"/>
              <w:jc w:val="left"/>
              <w:rPr>
                <w:rFonts w:ascii="宋体" w:hAnsi="宋体" w:cs="宋体"/>
                <w:color w:val="auto"/>
                <w:kern w:val="0"/>
                <w:sz w:val="22"/>
                <w:szCs w:val="22"/>
                <w:highlight w:val="none"/>
              </w:rPr>
            </w:pPr>
          </w:p>
        </w:tc>
      </w:tr>
      <w:tr w14:paraId="6D515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2F4E29DA">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30</w:t>
            </w:r>
          </w:p>
        </w:tc>
        <w:tc>
          <w:tcPr>
            <w:tcW w:w="1745" w:type="dxa"/>
            <w:vMerge w:val="continue"/>
            <w:noWrap w:val="0"/>
            <w:vAlign w:val="center"/>
          </w:tcPr>
          <w:p w14:paraId="35C9DA32">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2DE2C5BC">
            <w:pPr>
              <w:widowControl/>
              <w:spacing w:beforeLines="0"/>
              <w:jc w:val="left"/>
              <w:rPr>
                <w:rFonts w:ascii="宋体" w:hAnsi="宋体" w:cs="宋体"/>
                <w:color w:val="auto"/>
                <w:kern w:val="0"/>
                <w:sz w:val="22"/>
                <w:szCs w:val="22"/>
                <w:highlight w:val="none"/>
              </w:rPr>
            </w:pPr>
          </w:p>
        </w:tc>
        <w:tc>
          <w:tcPr>
            <w:tcW w:w="2261" w:type="dxa"/>
            <w:noWrap w:val="0"/>
            <w:vAlign w:val="center"/>
          </w:tcPr>
          <w:p w14:paraId="35E98120">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随访用药采集</w:t>
            </w:r>
          </w:p>
        </w:tc>
        <w:tc>
          <w:tcPr>
            <w:tcW w:w="1134" w:type="dxa"/>
            <w:vMerge w:val="continue"/>
            <w:noWrap w:val="0"/>
            <w:vAlign w:val="center"/>
          </w:tcPr>
          <w:p w14:paraId="6B180751">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5DADB3F9">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4B791681">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33797756">
            <w:pPr>
              <w:widowControl/>
              <w:spacing w:beforeLines="0"/>
              <w:jc w:val="left"/>
              <w:rPr>
                <w:rFonts w:ascii="宋体" w:hAnsi="宋体" w:cs="宋体"/>
                <w:color w:val="auto"/>
                <w:kern w:val="0"/>
                <w:sz w:val="22"/>
                <w:szCs w:val="22"/>
                <w:highlight w:val="none"/>
              </w:rPr>
            </w:pPr>
          </w:p>
        </w:tc>
      </w:tr>
      <w:tr w14:paraId="47B4A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77E1A315">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31</w:t>
            </w:r>
          </w:p>
        </w:tc>
        <w:tc>
          <w:tcPr>
            <w:tcW w:w="1745" w:type="dxa"/>
            <w:vMerge w:val="continue"/>
            <w:noWrap w:val="0"/>
            <w:vAlign w:val="center"/>
          </w:tcPr>
          <w:p w14:paraId="21DBFEE4">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3DBA62B9">
            <w:pPr>
              <w:widowControl/>
              <w:spacing w:beforeLines="0"/>
              <w:jc w:val="left"/>
              <w:rPr>
                <w:rFonts w:ascii="宋体" w:hAnsi="宋体" w:cs="宋体"/>
                <w:color w:val="auto"/>
                <w:kern w:val="0"/>
                <w:sz w:val="22"/>
                <w:szCs w:val="22"/>
                <w:highlight w:val="none"/>
              </w:rPr>
            </w:pPr>
          </w:p>
        </w:tc>
        <w:tc>
          <w:tcPr>
            <w:tcW w:w="2261" w:type="dxa"/>
            <w:noWrap w:val="0"/>
            <w:vAlign w:val="center"/>
          </w:tcPr>
          <w:p w14:paraId="1A572A8A">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门诊用药采集</w:t>
            </w:r>
          </w:p>
        </w:tc>
        <w:tc>
          <w:tcPr>
            <w:tcW w:w="1134" w:type="dxa"/>
            <w:vMerge w:val="continue"/>
            <w:noWrap w:val="0"/>
            <w:vAlign w:val="center"/>
          </w:tcPr>
          <w:p w14:paraId="787374BB">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4A57F3B0">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6B076000">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0143DFE2">
            <w:pPr>
              <w:widowControl/>
              <w:spacing w:beforeLines="0"/>
              <w:jc w:val="left"/>
              <w:rPr>
                <w:rFonts w:ascii="宋体" w:hAnsi="宋体" w:cs="宋体"/>
                <w:color w:val="auto"/>
                <w:kern w:val="0"/>
                <w:sz w:val="22"/>
                <w:szCs w:val="22"/>
                <w:highlight w:val="none"/>
              </w:rPr>
            </w:pPr>
          </w:p>
        </w:tc>
      </w:tr>
      <w:tr w14:paraId="6F841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1DF44A5E">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32</w:t>
            </w:r>
          </w:p>
        </w:tc>
        <w:tc>
          <w:tcPr>
            <w:tcW w:w="1745" w:type="dxa"/>
            <w:vMerge w:val="continue"/>
            <w:noWrap w:val="0"/>
            <w:vAlign w:val="center"/>
          </w:tcPr>
          <w:p w14:paraId="6819A343">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5BEEDD9D">
            <w:pPr>
              <w:widowControl/>
              <w:spacing w:beforeLines="0"/>
              <w:jc w:val="left"/>
              <w:rPr>
                <w:rFonts w:ascii="宋体" w:hAnsi="宋体" w:cs="宋体"/>
                <w:color w:val="auto"/>
                <w:kern w:val="0"/>
                <w:sz w:val="22"/>
                <w:szCs w:val="22"/>
                <w:highlight w:val="none"/>
              </w:rPr>
            </w:pPr>
          </w:p>
        </w:tc>
        <w:tc>
          <w:tcPr>
            <w:tcW w:w="2261" w:type="dxa"/>
            <w:noWrap w:val="0"/>
            <w:vAlign w:val="center"/>
          </w:tcPr>
          <w:p w14:paraId="5E91FC3B">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中医体质辨识</w:t>
            </w:r>
          </w:p>
        </w:tc>
        <w:tc>
          <w:tcPr>
            <w:tcW w:w="1134" w:type="dxa"/>
            <w:vMerge w:val="continue"/>
            <w:noWrap w:val="0"/>
            <w:vAlign w:val="center"/>
          </w:tcPr>
          <w:p w14:paraId="42EDCF4E">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7217A1E2">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778D8E83">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10AF0777">
            <w:pPr>
              <w:widowControl/>
              <w:spacing w:beforeLines="0"/>
              <w:jc w:val="left"/>
              <w:rPr>
                <w:rFonts w:ascii="宋体" w:hAnsi="宋体" w:cs="宋体"/>
                <w:color w:val="auto"/>
                <w:kern w:val="0"/>
                <w:sz w:val="22"/>
                <w:szCs w:val="22"/>
                <w:highlight w:val="none"/>
              </w:rPr>
            </w:pPr>
          </w:p>
        </w:tc>
      </w:tr>
      <w:tr w14:paraId="1BB33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1F927471">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33</w:t>
            </w:r>
          </w:p>
        </w:tc>
        <w:tc>
          <w:tcPr>
            <w:tcW w:w="1745" w:type="dxa"/>
            <w:vMerge w:val="continue"/>
            <w:noWrap w:val="0"/>
            <w:vAlign w:val="center"/>
          </w:tcPr>
          <w:p w14:paraId="3F011EAD">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3282BEE2">
            <w:pPr>
              <w:widowControl/>
              <w:spacing w:beforeLines="0"/>
              <w:jc w:val="left"/>
              <w:rPr>
                <w:rFonts w:ascii="宋体" w:hAnsi="宋体" w:cs="宋体"/>
                <w:color w:val="auto"/>
                <w:kern w:val="0"/>
                <w:sz w:val="22"/>
                <w:szCs w:val="22"/>
                <w:highlight w:val="none"/>
              </w:rPr>
            </w:pPr>
          </w:p>
        </w:tc>
        <w:tc>
          <w:tcPr>
            <w:tcW w:w="2261" w:type="dxa"/>
            <w:noWrap w:val="0"/>
            <w:vAlign w:val="center"/>
          </w:tcPr>
          <w:p w14:paraId="6EBAE4AA">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其他信息采集</w:t>
            </w:r>
          </w:p>
        </w:tc>
        <w:tc>
          <w:tcPr>
            <w:tcW w:w="1134" w:type="dxa"/>
            <w:vMerge w:val="continue"/>
            <w:noWrap w:val="0"/>
            <w:vAlign w:val="center"/>
          </w:tcPr>
          <w:p w14:paraId="485A763D">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5F4AE35B">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455ECFE1">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003573B3">
            <w:pPr>
              <w:widowControl/>
              <w:spacing w:beforeLines="0"/>
              <w:jc w:val="left"/>
              <w:rPr>
                <w:rFonts w:ascii="宋体" w:hAnsi="宋体" w:cs="宋体"/>
                <w:color w:val="auto"/>
                <w:kern w:val="0"/>
                <w:sz w:val="22"/>
                <w:szCs w:val="22"/>
                <w:highlight w:val="none"/>
              </w:rPr>
            </w:pPr>
          </w:p>
        </w:tc>
      </w:tr>
      <w:tr w14:paraId="65B4F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20A271D1">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34</w:t>
            </w:r>
          </w:p>
        </w:tc>
        <w:tc>
          <w:tcPr>
            <w:tcW w:w="1745" w:type="dxa"/>
            <w:vMerge w:val="continue"/>
            <w:noWrap w:val="0"/>
            <w:vAlign w:val="center"/>
          </w:tcPr>
          <w:p w14:paraId="5D2BE143">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15D0BB45">
            <w:pPr>
              <w:widowControl/>
              <w:spacing w:beforeLines="0"/>
              <w:jc w:val="left"/>
              <w:rPr>
                <w:rFonts w:ascii="宋体" w:hAnsi="宋体" w:cs="宋体"/>
                <w:color w:val="auto"/>
                <w:kern w:val="0"/>
                <w:sz w:val="22"/>
                <w:szCs w:val="22"/>
                <w:highlight w:val="none"/>
              </w:rPr>
            </w:pPr>
          </w:p>
        </w:tc>
        <w:tc>
          <w:tcPr>
            <w:tcW w:w="2261" w:type="dxa"/>
            <w:noWrap w:val="0"/>
            <w:vAlign w:val="center"/>
          </w:tcPr>
          <w:p w14:paraId="0E9F7519">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路径查看</w:t>
            </w:r>
          </w:p>
        </w:tc>
        <w:tc>
          <w:tcPr>
            <w:tcW w:w="1134" w:type="dxa"/>
            <w:vMerge w:val="continue"/>
            <w:noWrap w:val="0"/>
            <w:vAlign w:val="center"/>
          </w:tcPr>
          <w:p w14:paraId="3792131F">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47A7DF46">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5925111B">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3633EF02">
            <w:pPr>
              <w:widowControl/>
              <w:spacing w:beforeLines="0"/>
              <w:jc w:val="left"/>
              <w:rPr>
                <w:rFonts w:ascii="宋体" w:hAnsi="宋体" w:cs="宋体"/>
                <w:color w:val="auto"/>
                <w:kern w:val="0"/>
                <w:sz w:val="22"/>
                <w:szCs w:val="22"/>
                <w:highlight w:val="none"/>
              </w:rPr>
            </w:pPr>
          </w:p>
        </w:tc>
      </w:tr>
      <w:tr w14:paraId="35D48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5FB761C4">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35</w:t>
            </w:r>
          </w:p>
        </w:tc>
        <w:tc>
          <w:tcPr>
            <w:tcW w:w="1745" w:type="dxa"/>
            <w:vMerge w:val="continue"/>
            <w:noWrap w:val="0"/>
            <w:vAlign w:val="center"/>
          </w:tcPr>
          <w:p w14:paraId="4AB7BB01">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02A03245">
            <w:pPr>
              <w:widowControl/>
              <w:spacing w:beforeLines="0"/>
              <w:jc w:val="left"/>
              <w:rPr>
                <w:rFonts w:ascii="宋体" w:hAnsi="宋体" w:cs="宋体"/>
                <w:color w:val="auto"/>
                <w:kern w:val="0"/>
                <w:sz w:val="22"/>
                <w:szCs w:val="22"/>
                <w:highlight w:val="none"/>
              </w:rPr>
            </w:pPr>
          </w:p>
        </w:tc>
        <w:tc>
          <w:tcPr>
            <w:tcW w:w="2261" w:type="dxa"/>
            <w:noWrap w:val="0"/>
            <w:vAlign w:val="center"/>
          </w:tcPr>
          <w:p w14:paraId="72A2340A">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路径提示</w:t>
            </w:r>
          </w:p>
        </w:tc>
        <w:tc>
          <w:tcPr>
            <w:tcW w:w="1134" w:type="dxa"/>
            <w:vMerge w:val="continue"/>
            <w:noWrap w:val="0"/>
            <w:vAlign w:val="center"/>
          </w:tcPr>
          <w:p w14:paraId="5DC97380">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24F8DBE3">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1B7BD1B6">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25ECD8ED">
            <w:pPr>
              <w:widowControl/>
              <w:spacing w:beforeLines="0"/>
              <w:jc w:val="left"/>
              <w:rPr>
                <w:rFonts w:ascii="宋体" w:hAnsi="宋体" w:cs="宋体"/>
                <w:color w:val="auto"/>
                <w:kern w:val="0"/>
                <w:sz w:val="22"/>
                <w:szCs w:val="22"/>
                <w:highlight w:val="none"/>
              </w:rPr>
            </w:pPr>
          </w:p>
        </w:tc>
      </w:tr>
      <w:tr w14:paraId="5DAB9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4C9E8A61">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36</w:t>
            </w:r>
          </w:p>
        </w:tc>
        <w:tc>
          <w:tcPr>
            <w:tcW w:w="1745" w:type="dxa"/>
            <w:vMerge w:val="continue"/>
            <w:noWrap w:val="0"/>
            <w:vAlign w:val="center"/>
          </w:tcPr>
          <w:p w14:paraId="6E9FC295">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1D2173E2">
            <w:pPr>
              <w:widowControl/>
              <w:spacing w:beforeLines="0"/>
              <w:jc w:val="left"/>
              <w:rPr>
                <w:rFonts w:ascii="宋体" w:hAnsi="宋体" w:cs="宋体"/>
                <w:color w:val="auto"/>
                <w:kern w:val="0"/>
                <w:sz w:val="22"/>
                <w:szCs w:val="22"/>
                <w:highlight w:val="none"/>
              </w:rPr>
            </w:pPr>
          </w:p>
        </w:tc>
        <w:tc>
          <w:tcPr>
            <w:tcW w:w="2261" w:type="dxa"/>
            <w:noWrap w:val="0"/>
            <w:vAlign w:val="center"/>
          </w:tcPr>
          <w:p w14:paraId="4D24D423">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体检提示</w:t>
            </w:r>
          </w:p>
        </w:tc>
        <w:tc>
          <w:tcPr>
            <w:tcW w:w="1134" w:type="dxa"/>
            <w:vMerge w:val="continue"/>
            <w:noWrap w:val="0"/>
            <w:vAlign w:val="center"/>
          </w:tcPr>
          <w:p w14:paraId="7C8B5B42">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33E79F1D">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1D5842D2">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79A716CC">
            <w:pPr>
              <w:widowControl/>
              <w:spacing w:beforeLines="0"/>
              <w:jc w:val="left"/>
              <w:rPr>
                <w:rFonts w:ascii="宋体" w:hAnsi="宋体" w:cs="宋体"/>
                <w:color w:val="auto"/>
                <w:kern w:val="0"/>
                <w:sz w:val="22"/>
                <w:szCs w:val="22"/>
                <w:highlight w:val="none"/>
              </w:rPr>
            </w:pPr>
          </w:p>
        </w:tc>
      </w:tr>
      <w:tr w14:paraId="245ED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352F0091">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37</w:t>
            </w:r>
          </w:p>
        </w:tc>
        <w:tc>
          <w:tcPr>
            <w:tcW w:w="1745" w:type="dxa"/>
            <w:vMerge w:val="continue"/>
            <w:noWrap w:val="0"/>
            <w:vAlign w:val="center"/>
          </w:tcPr>
          <w:p w14:paraId="78524E43">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715DC1D5">
            <w:pPr>
              <w:widowControl/>
              <w:spacing w:beforeLines="0"/>
              <w:jc w:val="left"/>
              <w:rPr>
                <w:rFonts w:ascii="宋体" w:hAnsi="宋体" w:cs="宋体"/>
                <w:color w:val="auto"/>
                <w:kern w:val="0"/>
                <w:sz w:val="22"/>
                <w:szCs w:val="22"/>
                <w:highlight w:val="none"/>
              </w:rPr>
            </w:pPr>
          </w:p>
        </w:tc>
        <w:tc>
          <w:tcPr>
            <w:tcW w:w="2261" w:type="dxa"/>
            <w:noWrap w:val="0"/>
            <w:vAlign w:val="center"/>
          </w:tcPr>
          <w:p w14:paraId="326355F6">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并发症提示</w:t>
            </w:r>
          </w:p>
        </w:tc>
        <w:tc>
          <w:tcPr>
            <w:tcW w:w="1134" w:type="dxa"/>
            <w:vMerge w:val="continue"/>
            <w:noWrap w:val="0"/>
            <w:vAlign w:val="center"/>
          </w:tcPr>
          <w:p w14:paraId="1FE454BE">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32FCFE65">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498CABD5">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1711ACCC">
            <w:pPr>
              <w:widowControl/>
              <w:spacing w:beforeLines="0"/>
              <w:jc w:val="left"/>
              <w:rPr>
                <w:rFonts w:ascii="宋体" w:hAnsi="宋体" w:cs="宋体"/>
                <w:color w:val="auto"/>
                <w:kern w:val="0"/>
                <w:sz w:val="22"/>
                <w:szCs w:val="22"/>
                <w:highlight w:val="none"/>
              </w:rPr>
            </w:pPr>
          </w:p>
        </w:tc>
      </w:tr>
      <w:tr w14:paraId="1EC7F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6DF60D33">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38</w:t>
            </w:r>
          </w:p>
        </w:tc>
        <w:tc>
          <w:tcPr>
            <w:tcW w:w="1745" w:type="dxa"/>
            <w:vMerge w:val="continue"/>
            <w:noWrap w:val="0"/>
            <w:vAlign w:val="center"/>
          </w:tcPr>
          <w:p w14:paraId="153BC4A2">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0DCA3548">
            <w:pPr>
              <w:widowControl/>
              <w:spacing w:beforeLines="0"/>
              <w:jc w:val="left"/>
              <w:rPr>
                <w:rFonts w:ascii="宋体" w:hAnsi="宋体" w:cs="宋体"/>
                <w:color w:val="auto"/>
                <w:kern w:val="0"/>
                <w:sz w:val="22"/>
                <w:szCs w:val="22"/>
                <w:highlight w:val="none"/>
              </w:rPr>
            </w:pPr>
          </w:p>
        </w:tc>
        <w:tc>
          <w:tcPr>
            <w:tcW w:w="2261" w:type="dxa"/>
            <w:noWrap w:val="0"/>
            <w:vAlign w:val="center"/>
          </w:tcPr>
          <w:p w14:paraId="5B851376">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管理级别提示</w:t>
            </w:r>
          </w:p>
        </w:tc>
        <w:tc>
          <w:tcPr>
            <w:tcW w:w="1134" w:type="dxa"/>
            <w:vMerge w:val="continue"/>
            <w:noWrap w:val="0"/>
            <w:vAlign w:val="center"/>
          </w:tcPr>
          <w:p w14:paraId="499A7382">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367E47CF">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085C62C8">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4F47540A">
            <w:pPr>
              <w:widowControl/>
              <w:spacing w:beforeLines="0"/>
              <w:jc w:val="left"/>
              <w:rPr>
                <w:rFonts w:ascii="宋体" w:hAnsi="宋体" w:cs="宋体"/>
                <w:color w:val="auto"/>
                <w:kern w:val="0"/>
                <w:sz w:val="22"/>
                <w:szCs w:val="22"/>
                <w:highlight w:val="none"/>
              </w:rPr>
            </w:pPr>
          </w:p>
        </w:tc>
      </w:tr>
      <w:tr w14:paraId="644C8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02A5DCCB">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39</w:t>
            </w:r>
          </w:p>
        </w:tc>
        <w:tc>
          <w:tcPr>
            <w:tcW w:w="1745" w:type="dxa"/>
            <w:vMerge w:val="continue"/>
            <w:noWrap w:val="0"/>
            <w:vAlign w:val="center"/>
          </w:tcPr>
          <w:p w14:paraId="76D16F6C">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000E1BEB">
            <w:pPr>
              <w:widowControl/>
              <w:spacing w:beforeLines="0"/>
              <w:jc w:val="left"/>
              <w:rPr>
                <w:rFonts w:ascii="宋体" w:hAnsi="宋体" w:cs="宋体"/>
                <w:color w:val="auto"/>
                <w:kern w:val="0"/>
                <w:sz w:val="22"/>
                <w:szCs w:val="22"/>
                <w:highlight w:val="none"/>
              </w:rPr>
            </w:pPr>
          </w:p>
        </w:tc>
        <w:tc>
          <w:tcPr>
            <w:tcW w:w="2261" w:type="dxa"/>
            <w:noWrap w:val="0"/>
            <w:vAlign w:val="center"/>
          </w:tcPr>
          <w:p w14:paraId="72AA1D16">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浮窗设置</w:t>
            </w:r>
          </w:p>
        </w:tc>
        <w:tc>
          <w:tcPr>
            <w:tcW w:w="1134" w:type="dxa"/>
            <w:vMerge w:val="continue"/>
            <w:noWrap w:val="0"/>
            <w:vAlign w:val="center"/>
          </w:tcPr>
          <w:p w14:paraId="41860401">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0E096B71">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22F275D4">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57340ED4">
            <w:pPr>
              <w:widowControl/>
              <w:spacing w:beforeLines="0"/>
              <w:jc w:val="left"/>
              <w:rPr>
                <w:rFonts w:ascii="宋体" w:hAnsi="宋体" w:cs="宋体"/>
                <w:color w:val="auto"/>
                <w:kern w:val="0"/>
                <w:sz w:val="22"/>
                <w:szCs w:val="22"/>
                <w:highlight w:val="none"/>
              </w:rPr>
            </w:pPr>
          </w:p>
        </w:tc>
      </w:tr>
      <w:tr w14:paraId="57E08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2D8FE987">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40</w:t>
            </w:r>
          </w:p>
        </w:tc>
        <w:tc>
          <w:tcPr>
            <w:tcW w:w="1745" w:type="dxa"/>
            <w:vMerge w:val="continue"/>
            <w:noWrap w:val="0"/>
            <w:vAlign w:val="center"/>
          </w:tcPr>
          <w:p w14:paraId="7FA86AE4">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00C5BD88">
            <w:pPr>
              <w:widowControl/>
              <w:spacing w:beforeLines="0"/>
              <w:jc w:val="left"/>
              <w:rPr>
                <w:rFonts w:ascii="宋体" w:hAnsi="宋体" w:cs="宋体"/>
                <w:color w:val="auto"/>
                <w:kern w:val="0"/>
                <w:sz w:val="22"/>
                <w:szCs w:val="22"/>
                <w:highlight w:val="none"/>
              </w:rPr>
            </w:pPr>
          </w:p>
        </w:tc>
        <w:tc>
          <w:tcPr>
            <w:tcW w:w="2261" w:type="dxa"/>
            <w:noWrap w:val="0"/>
            <w:vAlign w:val="center"/>
          </w:tcPr>
          <w:p w14:paraId="571FB28C">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健康指数</w:t>
            </w:r>
          </w:p>
        </w:tc>
        <w:tc>
          <w:tcPr>
            <w:tcW w:w="1134" w:type="dxa"/>
            <w:vMerge w:val="continue"/>
            <w:noWrap w:val="0"/>
            <w:vAlign w:val="center"/>
          </w:tcPr>
          <w:p w14:paraId="5DF63A89">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0E294B12">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573AB29B">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03124D4A">
            <w:pPr>
              <w:widowControl/>
              <w:spacing w:beforeLines="0"/>
              <w:jc w:val="left"/>
              <w:rPr>
                <w:rFonts w:ascii="宋体" w:hAnsi="宋体" w:cs="宋体"/>
                <w:color w:val="auto"/>
                <w:kern w:val="0"/>
                <w:sz w:val="22"/>
                <w:szCs w:val="22"/>
                <w:highlight w:val="none"/>
              </w:rPr>
            </w:pPr>
          </w:p>
        </w:tc>
      </w:tr>
      <w:tr w14:paraId="64BC8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3B223C7C">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41</w:t>
            </w:r>
          </w:p>
        </w:tc>
        <w:tc>
          <w:tcPr>
            <w:tcW w:w="1745" w:type="dxa"/>
            <w:vMerge w:val="continue"/>
            <w:noWrap w:val="0"/>
            <w:vAlign w:val="center"/>
          </w:tcPr>
          <w:p w14:paraId="3E9B915F">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10DCDC37">
            <w:pPr>
              <w:widowControl/>
              <w:spacing w:beforeLines="0"/>
              <w:jc w:val="left"/>
              <w:rPr>
                <w:rFonts w:ascii="宋体" w:hAnsi="宋体" w:cs="宋体"/>
                <w:color w:val="auto"/>
                <w:kern w:val="0"/>
                <w:sz w:val="22"/>
                <w:szCs w:val="22"/>
                <w:highlight w:val="none"/>
              </w:rPr>
            </w:pPr>
          </w:p>
        </w:tc>
        <w:tc>
          <w:tcPr>
            <w:tcW w:w="2261" w:type="dxa"/>
            <w:noWrap w:val="0"/>
            <w:vAlign w:val="center"/>
          </w:tcPr>
          <w:p w14:paraId="10D4EA13">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诊前提示</w:t>
            </w:r>
          </w:p>
        </w:tc>
        <w:tc>
          <w:tcPr>
            <w:tcW w:w="1134" w:type="dxa"/>
            <w:vMerge w:val="continue"/>
            <w:noWrap w:val="0"/>
            <w:vAlign w:val="center"/>
          </w:tcPr>
          <w:p w14:paraId="480AAEFD">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2BED1DA4">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3E2BC50B">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3A35F0FA">
            <w:pPr>
              <w:widowControl/>
              <w:spacing w:beforeLines="0"/>
              <w:jc w:val="left"/>
              <w:rPr>
                <w:rFonts w:ascii="宋体" w:hAnsi="宋体" w:cs="宋体"/>
                <w:color w:val="auto"/>
                <w:kern w:val="0"/>
                <w:sz w:val="22"/>
                <w:szCs w:val="22"/>
                <w:highlight w:val="none"/>
              </w:rPr>
            </w:pPr>
          </w:p>
        </w:tc>
      </w:tr>
      <w:tr w14:paraId="4B35C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50C1BAEA">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42</w:t>
            </w:r>
          </w:p>
        </w:tc>
        <w:tc>
          <w:tcPr>
            <w:tcW w:w="1745" w:type="dxa"/>
            <w:vMerge w:val="continue"/>
            <w:noWrap w:val="0"/>
            <w:vAlign w:val="center"/>
          </w:tcPr>
          <w:p w14:paraId="627AAFC8">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131A7605">
            <w:pPr>
              <w:widowControl/>
              <w:spacing w:beforeLines="0"/>
              <w:jc w:val="left"/>
              <w:rPr>
                <w:rFonts w:ascii="宋体" w:hAnsi="宋体" w:cs="宋体"/>
                <w:color w:val="auto"/>
                <w:kern w:val="0"/>
                <w:sz w:val="22"/>
                <w:szCs w:val="22"/>
                <w:highlight w:val="none"/>
              </w:rPr>
            </w:pPr>
          </w:p>
        </w:tc>
        <w:tc>
          <w:tcPr>
            <w:tcW w:w="2261" w:type="dxa"/>
            <w:noWrap w:val="0"/>
            <w:vAlign w:val="center"/>
          </w:tcPr>
          <w:p w14:paraId="3EEB9954">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患病标签</w:t>
            </w:r>
          </w:p>
        </w:tc>
        <w:tc>
          <w:tcPr>
            <w:tcW w:w="1134" w:type="dxa"/>
            <w:vMerge w:val="continue"/>
            <w:noWrap w:val="0"/>
            <w:vAlign w:val="center"/>
          </w:tcPr>
          <w:p w14:paraId="6B09BCDB">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02A3BDA5">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301991B1">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1A199CEC">
            <w:pPr>
              <w:widowControl/>
              <w:spacing w:beforeLines="0"/>
              <w:jc w:val="left"/>
              <w:rPr>
                <w:rFonts w:ascii="宋体" w:hAnsi="宋体" w:cs="宋体"/>
                <w:color w:val="auto"/>
                <w:kern w:val="0"/>
                <w:sz w:val="22"/>
                <w:szCs w:val="22"/>
                <w:highlight w:val="none"/>
              </w:rPr>
            </w:pPr>
          </w:p>
        </w:tc>
      </w:tr>
      <w:tr w14:paraId="09D6E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3584D32C">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43</w:t>
            </w:r>
          </w:p>
        </w:tc>
        <w:tc>
          <w:tcPr>
            <w:tcW w:w="1745" w:type="dxa"/>
            <w:vMerge w:val="continue"/>
            <w:noWrap w:val="0"/>
            <w:vAlign w:val="center"/>
          </w:tcPr>
          <w:p w14:paraId="2A7FD9C7">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444EB30E">
            <w:pPr>
              <w:widowControl/>
              <w:spacing w:beforeLines="0"/>
              <w:jc w:val="left"/>
              <w:rPr>
                <w:rFonts w:ascii="宋体" w:hAnsi="宋体" w:cs="宋体"/>
                <w:color w:val="auto"/>
                <w:kern w:val="0"/>
                <w:sz w:val="22"/>
                <w:szCs w:val="22"/>
                <w:highlight w:val="none"/>
              </w:rPr>
            </w:pPr>
          </w:p>
        </w:tc>
        <w:tc>
          <w:tcPr>
            <w:tcW w:w="2261" w:type="dxa"/>
            <w:noWrap w:val="0"/>
            <w:vAlign w:val="center"/>
          </w:tcPr>
          <w:p w14:paraId="62AC09B9">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诊前信息</w:t>
            </w:r>
          </w:p>
        </w:tc>
        <w:tc>
          <w:tcPr>
            <w:tcW w:w="1134" w:type="dxa"/>
            <w:vMerge w:val="continue"/>
            <w:noWrap w:val="0"/>
            <w:vAlign w:val="center"/>
          </w:tcPr>
          <w:p w14:paraId="01BC7EDC">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77434433">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5CE70377">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6C17A2F4">
            <w:pPr>
              <w:widowControl/>
              <w:spacing w:beforeLines="0"/>
              <w:jc w:val="left"/>
              <w:rPr>
                <w:rFonts w:ascii="宋体" w:hAnsi="宋体" w:cs="宋体"/>
                <w:color w:val="auto"/>
                <w:kern w:val="0"/>
                <w:sz w:val="22"/>
                <w:szCs w:val="22"/>
                <w:highlight w:val="none"/>
              </w:rPr>
            </w:pPr>
          </w:p>
        </w:tc>
      </w:tr>
      <w:tr w14:paraId="19181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009636E2">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44</w:t>
            </w:r>
          </w:p>
        </w:tc>
        <w:tc>
          <w:tcPr>
            <w:tcW w:w="1745" w:type="dxa"/>
            <w:vMerge w:val="continue"/>
            <w:noWrap w:val="0"/>
            <w:vAlign w:val="center"/>
          </w:tcPr>
          <w:p w14:paraId="5E5E3286">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39CEA14F">
            <w:pPr>
              <w:widowControl/>
              <w:spacing w:beforeLines="0"/>
              <w:jc w:val="left"/>
              <w:rPr>
                <w:rFonts w:ascii="宋体" w:hAnsi="宋体" w:cs="宋体"/>
                <w:color w:val="auto"/>
                <w:kern w:val="0"/>
                <w:sz w:val="22"/>
                <w:szCs w:val="22"/>
                <w:highlight w:val="none"/>
              </w:rPr>
            </w:pPr>
          </w:p>
        </w:tc>
        <w:tc>
          <w:tcPr>
            <w:tcW w:w="2261" w:type="dxa"/>
            <w:noWrap w:val="0"/>
            <w:vAlign w:val="center"/>
          </w:tcPr>
          <w:p w14:paraId="0A8F5FCE">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随访计划</w:t>
            </w:r>
          </w:p>
        </w:tc>
        <w:tc>
          <w:tcPr>
            <w:tcW w:w="1134" w:type="dxa"/>
            <w:vMerge w:val="continue"/>
            <w:noWrap w:val="0"/>
            <w:vAlign w:val="center"/>
          </w:tcPr>
          <w:p w14:paraId="26CA6DFE">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6B1F7A08">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25616C7E">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77F12DCD">
            <w:pPr>
              <w:widowControl/>
              <w:spacing w:beforeLines="0"/>
              <w:jc w:val="left"/>
              <w:rPr>
                <w:rFonts w:ascii="宋体" w:hAnsi="宋体" w:cs="宋体"/>
                <w:color w:val="auto"/>
                <w:kern w:val="0"/>
                <w:sz w:val="22"/>
                <w:szCs w:val="22"/>
                <w:highlight w:val="none"/>
              </w:rPr>
            </w:pPr>
          </w:p>
        </w:tc>
      </w:tr>
      <w:tr w14:paraId="7F910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4D51D13A">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45</w:t>
            </w:r>
          </w:p>
        </w:tc>
        <w:tc>
          <w:tcPr>
            <w:tcW w:w="1745" w:type="dxa"/>
            <w:vMerge w:val="continue"/>
            <w:noWrap w:val="0"/>
            <w:vAlign w:val="center"/>
          </w:tcPr>
          <w:p w14:paraId="51E7025D">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424877EE">
            <w:pPr>
              <w:widowControl/>
              <w:spacing w:beforeLines="0"/>
              <w:jc w:val="left"/>
              <w:rPr>
                <w:rFonts w:ascii="宋体" w:hAnsi="宋体" w:cs="宋体"/>
                <w:color w:val="auto"/>
                <w:kern w:val="0"/>
                <w:sz w:val="22"/>
                <w:szCs w:val="22"/>
                <w:highlight w:val="none"/>
              </w:rPr>
            </w:pPr>
          </w:p>
        </w:tc>
        <w:tc>
          <w:tcPr>
            <w:tcW w:w="2261" w:type="dxa"/>
            <w:noWrap w:val="0"/>
            <w:vAlign w:val="center"/>
          </w:tcPr>
          <w:p w14:paraId="1F977153">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关键体征</w:t>
            </w:r>
          </w:p>
        </w:tc>
        <w:tc>
          <w:tcPr>
            <w:tcW w:w="1134" w:type="dxa"/>
            <w:vMerge w:val="continue"/>
            <w:noWrap w:val="0"/>
            <w:vAlign w:val="center"/>
          </w:tcPr>
          <w:p w14:paraId="61DF6B22">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4792471A">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06B0D374">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46A767D2">
            <w:pPr>
              <w:widowControl/>
              <w:spacing w:beforeLines="0"/>
              <w:jc w:val="left"/>
              <w:rPr>
                <w:rFonts w:ascii="宋体" w:hAnsi="宋体" w:cs="宋体"/>
                <w:color w:val="auto"/>
                <w:kern w:val="0"/>
                <w:sz w:val="22"/>
                <w:szCs w:val="22"/>
                <w:highlight w:val="none"/>
              </w:rPr>
            </w:pPr>
          </w:p>
        </w:tc>
      </w:tr>
      <w:tr w14:paraId="6B384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22168B83">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46</w:t>
            </w:r>
          </w:p>
        </w:tc>
        <w:tc>
          <w:tcPr>
            <w:tcW w:w="1745" w:type="dxa"/>
            <w:vMerge w:val="continue"/>
            <w:noWrap w:val="0"/>
            <w:vAlign w:val="center"/>
          </w:tcPr>
          <w:p w14:paraId="4FC76AE0">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38B50A5C">
            <w:pPr>
              <w:widowControl/>
              <w:spacing w:beforeLines="0"/>
              <w:jc w:val="left"/>
              <w:rPr>
                <w:rFonts w:ascii="宋体" w:hAnsi="宋体" w:cs="宋体"/>
                <w:color w:val="auto"/>
                <w:kern w:val="0"/>
                <w:sz w:val="22"/>
                <w:szCs w:val="22"/>
                <w:highlight w:val="none"/>
              </w:rPr>
            </w:pPr>
          </w:p>
        </w:tc>
        <w:tc>
          <w:tcPr>
            <w:tcW w:w="2261" w:type="dxa"/>
            <w:noWrap w:val="0"/>
            <w:vAlign w:val="center"/>
          </w:tcPr>
          <w:p w14:paraId="6A30518F">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项目推荐</w:t>
            </w:r>
          </w:p>
        </w:tc>
        <w:tc>
          <w:tcPr>
            <w:tcW w:w="1134" w:type="dxa"/>
            <w:vMerge w:val="continue"/>
            <w:noWrap w:val="0"/>
            <w:vAlign w:val="center"/>
          </w:tcPr>
          <w:p w14:paraId="234315C9">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25117D4F">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4767E72B">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5A646DE9">
            <w:pPr>
              <w:widowControl/>
              <w:spacing w:beforeLines="0"/>
              <w:jc w:val="left"/>
              <w:rPr>
                <w:rFonts w:ascii="宋体" w:hAnsi="宋体" w:cs="宋体"/>
                <w:color w:val="auto"/>
                <w:kern w:val="0"/>
                <w:sz w:val="22"/>
                <w:szCs w:val="22"/>
                <w:highlight w:val="none"/>
              </w:rPr>
            </w:pPr>
          </w:p>
        </w:tc>
      </w:tr>
      <w:tr w14:paraId="7BFCE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25B51E8F">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47</w:t>
            </w:r>
          </w:p>
        </w:tc>
        <w:tc>
          <w:tcPr>
            <w:tcW w:w="1745" w:type="dxa"/>
            <w:vMerge w:val="continue"/>
            <w:noWrap w:val="0"/>
            <w:vAlign w:val="center"/>
          </w:tcPr>
          <w:p w14:paraId="1C9D15A5">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3CB417CA">
            <w:pPr>
              <w:widowControl/>
              <w:spacing w:beforeLines="0"/>
              <w:jc w:val="left"/>
              <w:rPr>
                <w:rFonts w:ascii="宋体" w:hAnsi="宋体" w:cs="宋体"/>
                <w:color w:val="auto"/>
                <w:kern w:val="0"/>
                <w:sz w:val="22"/>
                <w:szCs w:val="22"/>
                <w:highlight w:val="none"/>
              </w:rPr>
            </w:pPr>
          </w:p>
        </w:tc>
        <w:tc>
          <w:tcPr>
            <w:tcW w:w="2261" w:type="dxa"/>
            <w:noWrap w:val="0"/>
            <w:vAlign w:val="center"/>
          </w:tcPr>
          <w:p w14:paraId="4ED0956E">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数据同步</w:t>
            </w:r>
          </w:p>
        </w:tc>
        <w:tc>
          <w:tcPr>
            <w:tcW w:w="1134" w:type="dxa"/>
            <w:vMerge w:val="continue"/>
            <w:noWrap w:val="0"/>
            <w:vAlign w:val="center"/>
          </w:tcPr>
          <w:p w14:paraId="6DD782E0">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2C42B4FB">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71D30250">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5A3A60C4">
            <w:pPr>
              <w:widowControl/>
              <w:spacing w:beforeLines="0"/>
              <w:jc w:val="left"/>
              <w:rPr>
                <w:rFonts w:ascii="宋体" w:hAnsi="宋体" w:cs="宋体"/>
                <w:color w:val="auto"/>
                <w:kern w:val="0"/>
                <w:sz w:val="22"/>
                <w:szCs w:val="22"/>
                <w:highlight w:val="none"/>
              </w:rPr>
            </w:pPr>
          </w:p>
        </w:tc>
      </w:tr>
      <w:tr w14:paraId="1FAB5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219AB88B">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48</w:t>
            </w:r>
          </w:p>
        </w:tc>
        <w:tc>
          <w:tcPr>
            <w:tcW w:w="1745" w:type="dxa"/>
            <w:vMerge w:val="continue"/>
            <w:noWrap w:val="0"/>
            <w:vAlign w:val="center"/>
          </w:tcPr>
          <w:p w14:paraId="2A076CD2">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7E4526A6">
            <w:pPr>
              <w:widowControl/>
              <w:spacing w:beforeLines="0"/>
              <w:jc w:val="left"/>
              <w:rPr>
                <w:rFonts w:ascii="宋体" w:hAnsi="宋体" w:cs="宋体"/>
                <w:color w:val="auto"/>
                <w:kern w:val="0"/>
                <w:sz w:val="22"/>
                <w:szCs w:val="22"/>
                <w:highlight w:val="none"/>
              </w:rPr>
            </w:pPr>
          </w:p>
        </w:tc>
        <w:tc>
          <w:tcPr>
            <w:tcW w:w="2261" w:type="dxa"/>
            <w:noWrap w:val="0"/>
            <w:vAlign w:val="center"/>
          </w:tcPr>
          <w:p w14:paraId="4BC32536">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异常提示</w:t>
            </w:r>
          </w:p>
        </w:tc>
        <w:tc>
          <w:tcPr>
            <w:tcW w:w="1134" w:type="dxa"/>
            <w:vMerge w:val="continue"/>
            <w:noWrap w:val="0"/>
            <w:vAlign w:val="center"/>
          </w:tcPr>
          <w:p w14:paraId="7C5AAB6F">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38DEE278">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6F243FF3">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5C144F3C">
            <w:pPr>
              <w:widowControl/>
              <w:spacing w:beforeLines="0"/>
              <w:jc w:val="left"/>
              <w:rPr>
                <w:rFonts w:ascii="宋体" w:hAnsi="宋体" w:cs="宋体"/>
                <w:color w:val="auto"/>
                <w:kern w:val="0"/>
                <w:sz w:val="22"/>
                <w:szCs w:val="22"/>
                <w:highlight w:val="none"/>
              </w:rPr>
            </w:pPr>
          </w:p>
        </w:tc>
      </w:tr>
      <w:tr w14:paraId="7F07B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77E5390B">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49</w:t>
            </w:r>
          </w:p>
        </w:tc>
        <w:tc>
          <w:tcPr>
            <w:tcW w:w="1745" w:type="dxa"/>
            <w:vMerge w:val="continue"/>
            <w:noWrap w:val="0"/>
            <w:vAlign w:val="center"/>
          </w:tcPr>
          <w:p w14:paraId="190F4794">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64797E3E">
            <w:pPr>
              <w:widowControl/>
              <w:spacing w:beforeLines="0"/>
              <w:jc w:val="left"/>
              <w:rPr>
                <w:rFonts w:ascii="宋体" w:hAnsi="宋体" w:cs="宋体"/>
                <w:color w:val="auto"/>
                <w:kern w:val="0"/>
                <w:sz w:val="22"/>
                <w:szCs w:val="22"/>
                <w:highlight w:val="none"/>
              </w:rPr>
            </w:pPr>
          </w:p>
        </w:tc>
        <w:tc>
          <w:tcPr>
            <w:tcW w:w="2261" w:type="dxa"/>
            <w:noWrap w:val="0"/>
            <w:vAlign w:val="center"/>
          </w:tcPr>
          <w:p w14:paraId="7C82E5E4">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推荐项目</w:t>
            </w:r>
          </w:p>
        </w:tc>
        <w:tc>
          <w:tcPr>
            <w:tcW w:w="1134" w:type="dxa"/>
            <w:vMerge w:val="continue"/>
            <w:noWrap w:val="0"/>
            <w:vAlign w:val="center"/>
          </w:tcPr>
          <w:p w14:paraId="5E6A210E">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69C7B855">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7A6A641C">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04132B39">
            <w:pPr>
              <w:widowControl/>
              <w:spacing w:beforeLines="0"/>
              <w:jc w:val="left"/>
              <w:rPr>
                <w:rFonts w:ascii="宋体" w:hAnsi="宋体" w:cs="宋体"/>
                <w:color w:val="auto"/>
                <w:kern w:val="0"/>
                <w:sz w:val="22"/>
                <w:szCs w:val="22"/>
                <w:highlight w:val="none"/>
              </w:rPr>
            </w:pPr>
          </w:p>
        </w:tc>
      </w:tr>
      <w:tr w14:paraId="7A082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2D71A106">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50</w:t>
            </w:r>
          </w:p>
        </w:tc>
        <w:tc>
          <w:tcPr>
            <w:tcW w:w="1745" w:type="dxa"/>
            <w:vMerge w:val="continue"/>
            <w:noWrap w:val="0"/>
            <w:vAlign w:val="center"/>
          </w:tcPr>
          <w:p w14:paraId="6237519C">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1B37E784">
            <w:pPr>
              <w:widowControl/>
              <w:spacing w:beforeLines="0"/>
              <w:jc w:val="left"/>
              <w:rPr>
                <w:rFonts w:ascii="宋体" w:hAnsi="宋体" w:cs="宋体"/>
                <w:color w:val="auto"/>
                <w:kern w:val="0"/>
                <w:sz w:val="22"/>
                <w:szCs w:val="22"/>
                <w:highlight w:val="none"/>
              </w:rPr>
            </w:pPr>
          </w:p>
        </w:tc>
        <w:tc>
          <w:tcPr>
            <w:tcW w:w="2261" w:type="dxa"/>
            <w:noWrap w:val="0"/>
            <w:vAlign w:val="center"/>
          </w:tcPr>
          <w:p w14:paraId="1024E13B">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随访提示</w:t>
            </w:r>
          </w:p>
        </w:tc>
        <w:tc>
          <w:tcPr>
            <w:tcW w:w="1134" w:type="dxa"/>
            <w:vMerge w:val="continue"/>
            <w:noWrap w:val="0"/>
            <w:vAlign w:val="center"/>
          </w:tcPr>
          <w:p w14:paraId="05453D1E">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75883B76">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3C8DC1EC">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423D347D">
            <w:pPr>
              <w:widowControl/>
              <w:spacing w:beforeLines="0"/>
              <w:jc w:val="left"/>
              <w:rPr>
                <w:rFonts w:ascii="宋体" w:hAnsi="宋体" w:cs="宋体"/>
                <w:color w:val="auto"/>
                <w:kern w:val="0"/>
                <w:sz w:val="22"/>
                <w:szCs w:val="22"/>
                <w:highlight w:val="none"/>
              </w:rPr>
            </w:pPr>
          </w:p>
        </w:tc>
      </w:tr>
      <w:tr w14:paraId="1AC0F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54B38A6A">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51</w:t>
            </w:r>
          </w:p>
        </w:tc>
        <w:tc>
          <w:tcPr>
            <w:tcW w:w="1745" w:type="dxa"/>
            <w:vMerge w:val="continue"/>
            <w:noWrap w:val="0"/>
            <w:vAlign w:val="center"/>
          </w:tcPr>
          <w:p w14:paraId="47391B46">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3CAC0198">
            <w:pPr>
              <w:widowControl/>
              <w:spacing w:beforeLines="0"/>
              <w:jc w:val="left"/>
              <w:rPr>
                <w:rFonts w:ascii="宋体" w:hAnsi="宋体" w:cs="宋体"/>
                <w:color w:val="auto"/>
                <w:kern w:val="0"/>
                <w:sz w:val="22"/>
                <w:szCs w:val="22"/>
                <w:highlight w:val="none"/>
              </w:rPr>
            </w:pPr>
          </w:p>
        </w:tc>
        <w:tc>
          <w:tcPr>
            <w:tcW w:w="2261" w:type="dxa"/>
            <w:noWrap w:val="0"/>
            <w:vAlign w:val="center"/>
          </w:tcPr>
          <w:p w14:paraId="55D8D259">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随访任务</w:t>
            </w:r>
          </w:p>
        </w:tc>
        <w:tc>
          <w:tcPr>
            <w:tcW w:w="1134" w:type="dxa"/>
            <w:vMerge w:val="continue"/>
            <w:noWrap w:val="0"/>
            <w:vAlign w:val="center"/>
          </w:tcPr>
          <w:p w14:paraId="073D44F2">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477E4DCF">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7CFC5E03">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6F2981C2">
            <w:pPr>
              <w:widowControl/>
              <w:spacing w:beforeLines="0"/>
              <w:jc w:val="left"/>
              <w:rPr>
                <w:rFonts w:ascii="宋体" w:hAnsi="宋体" w:cs="宋体"/>
                <w:color w:val="auto"/>
                <w:kern w:val="0"/>
                <w:sz w:val="22"/>
                <w:szCs w:val="22"/>
                <w:highlight w:val="none"/>
              </w:rPr>
            </w:pPr>
          </w:p>
        </w:tc>
      </w:tr>
      <w:tr w14:paraId="20371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0E93F70A">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52</w:t>
            </w:r>
          </w:p>
        </w:tc>
        <w:tc>
          <w:tcPr>
            <w:tcW w:w="1745" w:type="dxa"/>
            <w:vMerge w:val="continue"/>
            <w:noWrap w:val="0"/>
            <w:vAlign w:val="center"/>
          </w:tcPr>
          <w:p w14:paraId="0F407BF3">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23603CA7">
            <w:pPr>
              <w:widowControl/>
              <w:spacing w:beforeLines="0"/>
              <w:jc w:val="left"/>
              <w:rPr>
                <w:rFonts w:ascii="宋体" w:hAnsi="宋体" w:cs="宋体"/>
                <w:color w:val="auto"/>
                <w:kern w:val="0"/>
                <w:sz w:val="22"/>
                <w:szCs w:val="22"/>
                <w:highlight w:val="none"/>
              </w:rPr>
            </w:pPr>
          </w:p>
        </w:tc>
        <w:tc>
          <w:tcPr>
            <w:tcW w:w="2261" w:type="dxa"/>
            <w:noWrap w:val="0"/>
            <w:vAlign w:val="center"/>
          </w:tcPr>
          <w:p w14:paraId="0DDC7BFB">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末次用药分析</w:t>
            </w:r>
          </w:p>
        </w:tc>
        <w:tc>
          <w:tcPr>
            <w:tcW w:w="1134" w:type="dxa"/>
            <w:vMerge w:val="continue"/>
            <w:noWrap w:val="0"/>
            <w:vAlign w:val="center"/>
          </w:tcPr>
          <w:p w14:paraId="0BDB4AC7">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265F3496">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48F2A6C8">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6E8F2E59">
            <w:pPr>
              <w:widowControl/>
              <w:spacing w:beforeLines="0"/>
              <w:jc w:val="left"/>
              <w:rPr>
                <w:rFonts w:ascii="宋体" w:hAnsi="宋体" w:cs="宋体"/>
                <w:color w:val="auto"/>
                <w:kern w:val="0"/>
                <w:sz w:val="22"/>
                <w:szCs w:val="22"/>
                <w:highlight w:val="none"/>
              </w:rPr>
            </w:pPr>
          </w:p>
        </w:tc>
      </w:tr>
      <w:tr w14:paraId="4E3B5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627C9F2E">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53</w:t>
            </w:r>
          </w:p>
        </w:tc>
        <w:tc>
          <w:tcPr>
            <w:tcW w:w="1745" w:type="dxa"/>
            <w:vMerge w:val="continue"/>
            <w:noWrap w:val="0"/>
            <w:vAlign w:val="center"/>
          </w:tcPr>
          <w:p w14:paraId="7EEECA06">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0BC20A04">
            <w:pPr>
              <w:widowControl/>
              <w:spacing w:beforeLines="0"/>
              <w:jc w:val="left"/>
              <w:rPr>
                <w:rFonts w:ascii="宋体" w:hAnsi="宋体" w:cs="宋体"/>
                <w:color w:val="auto"/>
                <w:kern w:val="0"/>
                <w:sz w:val="22"/>
                <w:szCs w:val="22"/>
                <w:highlight w:val="none"/>
              </w:rPr>
            </w:pPr>
          </w:p>
        </w:tc>
        <w:tc>
          <w:tcPr>
            <w:tcW w:w="2261" w:type="dxa"/>
            <w:noWrap w:val="0"/>
            <w:vAlign w:val="center"/>
          </w:tcPr>
          <w:p w14:paraId="31E9B3E5">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辅助用药决策</w:t>
            </w:r>
          </w:p>
        </w:tc>
        <w:tc>
          <w:tcPr>
            <w:tcW w:w="1134" w:type="dxa"/>
            <w:vMerge w:val="continue"/>
            <w:noWrap w:val="0"/>
            <w:vAlign w:val="center"/>
          </w:tcPr>
          <w:p w14:paraId="0208B8BF">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096AE67F">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601DD3F4">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2740CB99">
            <w:pPr>
              <w:widowControl/>
              <w:spacing w:beforeLines="0"/>
              <w:jc w:val="left"/>
              <w:rPr>
                <w:rFonts w:ascii="宋体" w:hAnsi="宋体" w:cs="宋体"/>
                <w:color w:val="auto"/>
                <w:kern w:val="0"/>
                <w:sz w:val="22"/>
                <w:szCs w:val="22"/>
                <w:highlight w:val="none"/>
              </w:rPr>
            </w:pPr>
          </w:p>
        </w:tc>
      </w:tr>
      <w:tr w14:paraId="64317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738F481B">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54</w:t>
            </w:r>
          </w:p>
        </w:tc>
        <w:tc>
          <w:tcPr>
            <w:tcW w:w="1745" w:type="dxa"/>
            <w:vMerge w:val="continue"/>
            <w:noWrap w:val="0"/>
            <w:vAlign w:val="center"/>
          </w:tcPr>
          <w:p w14:paraId="42CC5B54">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7EE9AD8D">
            <w:pPr>
              <w:widowControl/>
              <w:spacing w:beforeLines="0"/>
              <w:jc w:val="left"/>
              <w:rPr>
                <w:rFonts w:ascii="宋体" w:hAnsi="宋体" w:cs="宋体"/>
                <w:color w:val="auto"/>
                <w:kern w:val="0"/>
                <w:sz w:val="22"/>
                <w:szCs w:val="22"/>
                <w:highlight w:val="none"/>
              </w:rPr>
            </w:pPr>
          </w:p>
        </w:tc>
        <w:tc>
          <w:tcPr>
            <w:tcW w:w="2261" w:type="dxa"/>
            <w:noWrap w:val="0"/>
            <w:vAlign w:val="center"/>
          </w:tcPr>
          <w:p w14:paraId="538C5B3A">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处方查看</w:t>
            </w:r>
          </w:p>
        </w:tc>
        <w:tc>
          <w:tcPr>
            <w:tcW w:w="1134" w:type="dxa"/>
            <w:vMerge w:val="continue"/>
            <w:noWrap w:val="0"/>
            <w:vAlign w:val="center"/>
          </w:tcPr>
          <w:p w14:paraId="37AE12E5">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66F97F4C">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0B491364">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49456DC6">
            <w:pPr>
              <w:widowControl/>
              <w:spacing w:beforeLines="0"/>
              <w:jc w:val="left"/>
              <w:rPr>
                <w:rFonts w:ascii="宋体" w:hAnsi="宋体" w:cs="宋体"/>
                <w:color w:val="auto"/>
                <w:kern w:val="0"/>
                <w:sz w:val="22"/>
                <w:szCs w:val="22"/>
                <w:highlight w:val="none"/>
              </w:rPr>
            </w:pPr>
          </w:p>
        </w:tc>
      </w:tr>
      <w:tr w14:paraId="2FA45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7E3AC834">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55</w:t>
            </w:r>
          </w:p>
        </w:tc>
        <w:tc>
          <w:tcPr>
            <w:tcW w:w="1745" w:type="dxa"/>
            <w:vMerge w:val="continue"/>
            <w:noWrap w:val="0"/>
            <w:vAlign w:val="center"/>
          </w:tcPr>
          <w:p w14:paraId="20A303DC">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607204DA">
            <w:pPr>
              <w:widowControl/>
              <w:spacing w:beforeLines="0"/>
              <w:jc w:val="left"/>
              <w:rPr>
                <w:rFonts w:ascii="宋体" w:hAnsi="宋体" w:cs="宋体"/>
                <w:color w:val="auto"/>
                <w:kern w:val="0"/>
                <w:sz w:val="22"/>
                <w:szCs w:val="22"/>
                <w:highlight w:val="none"/>
              </w:rPr>
            </w:pPr>
          </w:p>
        </w:tc>
        <w:tc>
          <w:tcPr>
            <w:tcW w:w="2261" w:type="dxa"/>
            <w:noWrap w:val="0"/>
            <w:vAlign w:val="center"/>
          </w:tcPr>
          <w:p w14:paraId="34739CFA">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处方开具</w:t>
            </w:r>
          </w:p>
        </w:tc>
        <w:tc>
          <w:tcPr>
            <w:tcW w:w="1134" w:type="dxa"/>
            <w:vMerge w:val="continue"/>
            <w:noWrap w:val="0"/>
            <w:vAlign w:val="center"/>
          </w:tcPr>
          <w:p w14:paraId="2F57FD02">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334F22F5">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3CE39E4F">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5E271A33">
            <w:pPr>
              <w:widowControl/>
              <w:spacing w:beforeLines="0"/>
              <w:jc w:val="left"/>
              <w:rPr>
                <w:rFonts w:ascii="宋体" w:hAnsi="宋体" w:cs="宋体"/>
                <w:color w:val="auto"/>
                <w:kern w:val="0"/>
                <w:sz w:val="22"/>
                <w:szCs w:val="22"/>
                <w:highlight w:val="none"/>
              </w:rPr>
            </w:pPr>
          </w:p>
        </w:tc>
      </w:tr>
      <w:tr w14:paraId="46F20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37784A75">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56</w:t>
            </w:r>
          </w:p>
        </w:tc>
        <w:tc>
          <w:tcPr>
            <w:tcW w:w="1745" w:type="dxa"/>
            <w:vMerge w:val="continue"/>
            <w:noWrap w:val="0"/>
            <w:vAlign w:val="center"/>
          </w:tcPr>
          <w:p w14:paraId="56D86868">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5E1E10E4">
            <w:pPr>
              <w:widowControl/>
              <w:spacing w:beforeLines="0"/>
              <w:jc w:val="left"/>
              <w:rPr>
                <w:rFonts w:ascii="宋体" w:hAnsi="宋体" w:cs="宋体"/>
                <w:color w:val="auto"/>
                <w:kern w:val="0"/>
                <w:sz w:val="22"/>
                <w:szCs w:val="22"/>
                <w:highlight w:val="none"/>
              </w:rPr>
            </w:pPr>
          </w:p>
        </w:tc>
        <w:tc>
          <w:tcPr>
            <w:tcW w:w="2261" w:type="dxa"/>
            <w:noWrap w:val="0"/>
            <w:vAlign w:val="center"/>
          </w:tcPr>
          <w:p w14:paraId="4D6DE64F">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管理级别</w:t>
            </w:r>
          </w:p>
        </w:tc>
        <w:tc>
          <w:tcPr>
            <w:tcW w:w="1134" w:type="dxa"/>
            <w:vMerge w:val="continue"/>
            <w:noWrap w:val="0"/>
            <w:vAlign w:val="center"/>
          </w:tcPr>
          <w:p w14:paraId="66571B7A">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776B6295">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3C22B835">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2F7AD1E7">
            <w:pPr>
              <w:widowControl/>
              <w:spacing w:beforeLines="0"/>
              <w:jc w:val="left"/>
              <w:rPr>
                <w:rFonts w:ascii="宋体" w:hAnsi="宋体" w:cs="宋体"/>
                <w:color w:val="auto"/>
                <w:kern w:val="0"/>
                <w:sz w:val="22"/>
                <w:szCs w:val="22"/>
                <w:highlight w:val="none"/>
              </w:rPr>
            </w:pPr>
          </w:p>
        </w:tc>
      </w:tr>
      <w:tr w14:paraId="0C3F7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50480962">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57</w:t>
            </w:r>
          </w:p>
        </w:tc>
        <w:tc>
          <w:tcPr>
            <w:tcW w:w="1745" w:type="dxa"/>
            <w:vMerge w:val="continue"/>
            <w:noWrap w:val="0"/>
            <w:vAlign w:val="center"/>
          </w:tcPr>
          <w:p w14:paraId="7796A14A">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6A450A57">
            <w:pPr>
              <w:widowControl/>
              <w:spacing w:beforeLines="0"/>
              <w:jc w:val="left"/>
              <w:rPr>
                <w:rFonts w:ascii="宋体" w:hAnsi="宋体" w:cs="宋体"/>
                <w:color w:val="auto"/>
                <w:kern w:val="0"/>
                <w:sz w:val="22"/>
                <w:szCs w:val="22"/>
                <w:highlight w:val="none"/>
              </w:rPr>
            </w:pPr>
          </w:p>
        </w:tc>
        <w:tc>
          <w:tcPr>
            <w:tcW w:w="2261" w:type="dxa"/>
            <w:noWrap w:val="0"/>
            <w:vAlign w:val="center"/>
          </w:tcPr>
          <w:p w14:paraId="58D5BA94">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转诊指征</w:t>
            </w:r>
          </w:p>
        </w:tc>
        <w:tc>
          <w:tcPr>
            <w:tcW w:w="1134" w:type="dxa"/>
            <w:vMerge w:val="continue"/>
            <w:noWrap w:val="0"/>
            <w:vAlign w:val="center"/>
          </w:tcPr>
          <w:p w14:paraId="125C541B">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2974C8C4">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14E39500">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0CD9562B">
            <w:pPr>
              <w:widowControl/>
              <w:spacing w:beforeLines="0"/>
              <w:jc w:val="left"/>
              <w:rPr>
                <w:rFonts w:ascii="宋体" w:hAnsi="宋体" w:cs="宋体"/>
                <w:color w:val="auto"/>
                <w:kern w:val="0"/>
                <w:sz w:val="22"/>
                <w:szCs w:val="22"/>
                <w:highlight w:val="none"/>
              </w:rPr>
            </w:pPr>
          </w:p>
        </w:tc>
      </w:tr>
      <w:tr w14:paraId="46F5D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56C30B37">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58</w:t>
            </w:r>
          </w:p>
        </w:tc>
        <w:tc>
          <w:tcPr>
            <w:tcW w:w="1745" w:type="dxa"/>
            <w:vMerge w:val="continue"/>
            <w:noWrap w:val="0"/>
            <w:vAlign w:val="center"/>
          </w:tcPr>
          <w:p w14:paraId="67992411">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2A089B18">
            <w:pPr>
              <w:widowControl/>
              <w:spacing w:beforeLines="0"/>
              <w:jc w:val="left"/>
              <w:rPr>
                <w:rFonts w:ascii="宋体" w:hAnsi="宋体" w:cs="宋体"/>
                <w:color w:val="auto"/>
                <w:kern w:val="0"/>
                <w:sz w:val="22"/>
                <w:szCs w:val="22"/>
                <w:highlight w:val="none"/>
              </w:rPr>
            </w:pPr>
          </w:p>
        </w:tc>
        <w:tc>
          <w:tcPr>
            <w:tcW w:w="2261" w:type="dxa"/>
            <w:noWrap w:val="0"/>
            <w:vAlign w:val="center"/>
          </w:tcPr>
          <w:p w14:paraId="0566EA00">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就诊报告</w:t>
            </w:r>
          </w:p>
        </w:tc>
        <w:tc>
          <w:tcPr>
            <w:tcW w:w="1134" w:type="dxa"/>
            <w:vMerge w:val="continue"/>
            <w:noWrap w:val="0"/>
            <w:vAlign w:val="center"/>
          </w:tcPr>
          <w:p w14:paraId="7A82511D">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0DEFD43D">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0B7745F2">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294E5094">
            <w:pPr>
              <w:widowControl/>
              <w:spacing w:beforeLines="0"/>
              <w:jc w:val="left"/>
              <w:rPr>
                <w:rFonts w:ascii="宋体" w:hAnsi="宋体" w:cs="宋体"/>
                <w:color w:val="auto"/>
                <w:kern w:val="0"/>
                <w:sz w:val="22"/>
                <w:szCs w:val="22"/>
                <w:highlight w:val="none"/>
              </w:rPr>
            </w:pPr>
          </w:p>
        </w:tc>
      </w:tr>
      <w:tr w14:paraId="56763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42980049">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59</w:t>
            </w:r>
          </w:p>
        </w:tc>
        <w:tc>
          <w:tcPr>
            <w:tcW w:w="1745" w:type="dxa"/>
            <w:vMerge w:val="continue"/>
            <w:noWrap w:val="0"/>
            <w:vAlign w:val="center"/>
          </w:tcPr>
          <w:p w14:paraId="3BEBE033">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150D27F0">
            <w:pPr>
              <w:widowControl/>
              <w:spacing w:beforeLines="0"/>
              <w:jc w:val="left"/>
              <w:rPr>
                <w:rFonts w:ascii="宋体" w:hAnsi="宋体" w:cs="宋体"/>
                <w:color w:val="auto"/>
                <w:kern w:val="0"/>
                <w:sz w:val="22"/>
                <w:szCs w:val="22"/>
                <w:highlight w:val="none"/>
              </w:rPr>
            </w:pPr>
          </w:p>
        </w:tc>
        <w:tc>
          <w:tcPr>
            <w:tcW w:w="2261" w:type="dxa"/>
            <w:noWrap w:val="0"/>
            <w:vAlign w:val="center"/>
          </w:tcPr>
          <w:p w14:paraId="2EB8DAB0">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管理路径</w:t>
            </w:r>
          </w:p>
        </w:tc>
        <w:tc>
          <w:tcPr>
            <w:tcW w:w="1134" w:type="dxa"/>
            <w:vMerge w:val="continue"/>
            <w:noWrap w:val="0"/>
            <w:vAlign w:val="center"/>
          </w:tcPr>
          <w:p w14:paraId="6766A923">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1FA754FE">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56B6BDB9">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238C2AB3">
            <w:pPr>
              <w:widowControl/>
              <w:spacing w:beforeLines="0"/>
              <w:jc w:val="left"/>
              <w:rPr>
                <w:rFonts w:ascii="宋体" w:hAnsi="宋体" w:cs="宋体"/>
                <w:color w:val="auto"/>
                <w:kern w:val="0"/>
                <w:sz w:val="22"/>
                <w:szCs w:val="22"/>
                <w:highlight w:val="none"/>
              </w:rPr>
            </w:pPr>
          </w:p>
        </w:tc>
      </w:tr>
      <w:tr w14:paraId="7523A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4F290380">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60</w:t>
            </w:r>
          </w:p>
        </w:tc>
        <w:tc>
          <w:tcPr>
            <w:tcW w:w="1745" w:type="dxa"/>
            <w:vMerge w:val="continue"/>
            <w:noWrap w:val="0"/>
            <w:vAlign w:val="center"/>
          </w:tcPr>
          <w:p w14:paraId="35727A07">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7B0FB9FF">
            <w:pPr>
              <w:widowControl/>
              <w:spacing w:beforeLines="0"/>
              <w:jc w:val="left"/>
              <w:rPr>
                <w:rFonts w:ascii="宋体" w:hAnsi="宋体" w:cs="宋体"/>
                <w:color w:val="auto"/>
                <w:kern w:val="0"/>
                <w:sz w:val="22"/>
                <w:szCs w:val="22"/>
                <w:highlight w:val="none"/>
              </w:rPr>
            </w:pPr>
          </w:p>
        </w:tc>
        <w:tc>
          <w:tcPr>
            <w:tcW w:w="2261" w:type="dxa"/>
            <w:noWrap w:val="0"/>
            <w:vAlign w:val="center"/>
          </w:tcPr>
          <w:p w14:paraId="4D4DBBD8">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画像查阅</w:t>
            </w:r>
          </w:p>
        </w:tc>
        <w:tc>
          <w:tcPr>
            <w:tcW w:w="1134" w:type="dxa"/>
            <w:vMerge w:val="continue"/>
            <w:noWrap w:val="0"/>
            <w:vAlign w:val="center"/>
          </w:tcPr>
          <w:p w14:paraId="2F64CDCE">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066B5337">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0CFF9036">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3D1C3858">
            <w:pPr>
              <w:widowControl/>
              <w:spacing w:beforeLines="0"/>
              <w:jc w:val="left"/>
              <w:rPr>
                <w:rFonts w:ascii="宋体" w:hAnsi="宋体" w:cs="宋体"/>
                <w:color w:val="auto"/>
                <w:kern w:val="0"/>
                <w:sz w:val="22"/>
                <w:szCs w:val="22"/>
                <w:highlight w:val="none"/>
              </w:rPr>
            </w:pPr>
          </w:p>
        </w:tc>
      </w:tr>
      <w:tr w14:paraId="45F1F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1FAB3875">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61</w:t>
            </w:r>
          </w:p>
        </w:tc>
        <w:tc>
          <w:tcPr>
            <w:tcW w:w="1745" w:type="dxa"/>
            <w:vMerge w:val="continue"/>
            <w:noWrap w:val="0"/>
            <w:vAlign w:val="center"/>
          </w:tcPr>
          <w:p w14:paraId="3A58DB51">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05808584">
            <w:pPr>
              <w:widowControl/>
              <w:spacing w:beforeLines="0"/>
              <w:jc w:val="left"/>
              <w:rPr>
                <w:rFonts w:ascii="宋体" w:hAnsi="宋体" w:cs="宋体"/>
                <w:color w:val="auto"/>
                <w:kern w:val="0"/>
                <w:sz w:val="22"/>
                <w:szCs w:val="22"/>
                <w:highlight w:val="none"/>
              </w:rPr>
            </w:pPr>
          </w:p>
        </w:tc>
        <w:tc>
          <w:tcPr>
            <w:tcW w:w="2261" w:type="dxa"/>
            <w:noWrap w:val="0"/>
            <w:vAlign w:val="center"/>
          </w:tcPr>
          <w:p w14:paraId="6148B9E3">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高血压智能评估</w:t>
            </w:r>
          </w:p>
        </w:tc>
        <w:tc>
          <w:tcPr>
            <w:tcW w:w="1134" w:type="dxa"/>
            <w:vMerge w:val="continue"/>
            <w:noWrap w:val="0"/>
            <w:vAlign w:val="center"/>
          </w:tcPr>
          <w:p w14:paraId="7360C3C5">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2EEC79B3">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55D312BB">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68AB86B9">
            <w:pPr>
              <w:widowControl/>
              <w:spacing w:beforeLines="0"/>
              <w:jc w:val="left"/>
              <w:rPr>
                <w:rFonts w:ascii="宋体" w:hAnsi="宋体" w:cs="宋体"/>
                <w:color w:val="auto"/>
                <w:kern w:val="0"/>
                <w:sz w:val="22"/>
                <w:szCs w:val="22"/>
                <w:highlight w:val="none"/>
              </w:rPr>
            </w:pPr>
          </w:p>
        </w:tc>
      </w:tr>
      <w:tr w14:paraId="132FD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6B6D175E">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62</w:t>
            </w:r>
          </w:p>
        </w:tc>
        <w:tc>
          <w:tcPr>
            <w:tcW w:w="1745" w:type="dxa"/>
            <w:vMerge w:val="continue"/>
            <w:noWrap w:val="0"/>
            <w:vAlign w:val="center"/>
          </w:tcPr>
          <w:p w14:paraId="25DF35C1">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3AE9B73D">
            <w:pPr>
              <w:widowControl/>
              <w:spacing w:beforeLines="0"/>
              <w:jc w:val="left"/>
              <w:rPr>
                <w:rFonts w:ascii="宋体" w:hAnsi="宋体" w:cs="宋体"/>
                <w:color w:val="auto"/>
                <w:kern w:val="0"/>
                <w:sz w:val="22"/>
                <w:szCs w:val="22"/>
                <w:highlight w:val="none"/>
              </w:rPr>
            </w:pPr>
          </w:p>
        </w:tc>
        <w:tc>
          <w:tcPr>
            <w:tcW w:w="2261" w:type="dxa"/>
            <w:noWrap w:val="0"/>
            <w:vAlign w:val="center"/>
          </w:tcPr>
          <w:p w14:paraId="0B1F7B6E">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糖尿病智能评估</w:t>
            </w:r>
          </w:p>
        </w:tc>
        <w:tc>
          <w:tcPr>
            <w:tcW w:w="1134" w:type="dxa"/>
            <w:vMerge w:val="continue"/>
            <w:noWrap w:val="0"/>
            <w:vAlign w:val="center"/>
          </w:tcPr>
          <w:p w14:paraId="11AAA53D">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657D65EB">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5A8E77DC">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4DD69AE1">
            <w:pPr>
              <w:widowControl/>
              <w:spacing w:beforeLines="0"/>
              <w:jc w:val="left"/>
              <w:rPr>
                <w:rFonts w:ascii="宋体" w:hAnsi="宋体" w:cs="宋体"/>
                <w:color w:val="auto"/>
                <w:kern w:val="0"/>
                <w:sz w:val="22"/>
                <w:szCs w:val="22"/>
                <w:highlight w:val="none"/>
              </w:rPr>
            </w:pPr>
          </w:p>
        </w:tc>
      </w:tr>
      <w:tr w14:paraId="6F6F2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4678118B">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63</w:t>
            </w:r>
          </w:p>
        </w:tc>
        <w:tc>
          <w:tcPr>
            <w:tcW w:w="1745" w:type="dxa"/>
            <w:vMerge w:val="continue"/>
            <w:noWrap w:val="0"/>
            <w:vAlign w:val="center"/>
          </w:tcPr>
          <w:p w14:paraId="4CF4B421">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426EFB06">
            <w:pPr>
              <w:widowControl/>
              <w:spacing w:beforeLines="0"/>
              <w:jc w:val="left"/>
              <w:rPr>
                <w:rFonts w:ascii="宋体" w:hAnsi="宋体" w:cs="宋体"/>
                <w:color w:val="auto"/>
                <w:kern w:val="0"/>
                <w:sz w:val="22"/>
                <w:szCs w:val="22"/>
                <w:highlight w:val="none"/>
              </w:rPr>
            </w:pPr>
          </w:p>
        </w:tc>
        <w:tc>
          <w:tcPr>
            <w:tcW w:w="2261" w:type="dxa"/>
            <w:noWrap w:val="0"/>
            <w:vAlign w:val="center"/>
          </w:tcPr>
          <w:p w14:paraId="2E96E852">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检查检验记录</w:t>
            </w:r>
          </w:p>
        </w:tc>
        <w:tc>
          <w:tcPr>
            <w:tcW w:w="1134" w:type="dxa"/>
            <w:vMerge w:val="continue"/>
            <w:noWrap w:val="0"/>
            <w:vAlign w:val="center"/>
          </w:tcPr>
          <w:p w14:paraId="2821BE25">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41036707">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1FE97D2E">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2BA7D3C7">
            <w:pPr>
              <w:widowControl/>
              <w:spacing w:beforeLines="0"/>
              <w:jc w:val="left"/>
              <w:rPr>
                <w:rFonts w:ascii="宋体" w:hAnsi="宋体" w:cs="宋体"/>
                <w:color w:val="auto"/>
                <w:kern w:val="0"/>
                <w:sz w:val="22"/>
                <w:szCs w:val="22"/>
                <w:highlight w:val="none"/>
              </w:rPr>
            </w:pPr>
          </w:p>
        </w:tc>
      </w:tr>
      <w:tr w14:paraId="707C9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2B4A12F6">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64</w:t>
            </w:r>
          </w:p>
        </w:tc>
        <w:tc>
          <w:tcPr>
            <w:tcW w:w="1745" w:type="dxa"/>
            <w:vMerge w:val="continue"/>
            <w:noWrap w:val="0"/>
            <w:vAlign w:val="center"/>
          </w:tcPr>
          <w:p w14:paraId="7263AD98">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1C27B629">
            <w:pPr>
              <w:widowControl/>
              <w:spacing w:beforeLines="0"/>
              <w:jc w:val="left"/>
              <w:rPr>
                <w:rFonts w:ascii="宋体" w:hAnsi="宋体" w:cs="宋体"/>
                <w:color w:val="auto"/>
                <w:kern w:val="0"/>
                <w:sz w:val="22"/>
                <w:szCs w:val="22"/>
                <w:highlight w:val="none"/>
              </w:rPr>
            </w:pPr>
          </w:p>
        </w:tc>
        <w:tc>
          <w:tcPr>
            <w:tcW w:w="2261" w:type="dxa"/>
            <w:noWrap w:val="0"/>
            <w:vAlign w:val="center"/>
          </w:tcPr>
          <w:p w14:paraId="54314A23">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推荐项目</w:t>
            </w:r>
          </w:p>
        </w:tc>
        <w:tc>
          <w:tcPr>
            <w:tcW w:w="1134" w:type="dxa"/>
            <w:vMerge w:val="continue"/>
            <w:noWrap w:val="0"/>
            <w:vAlign w:val="center"/>
          </w:tcPr>
          <w:p w14:paraId="30AE1180">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6E7210A7">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4EFED92C">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7A5EEAA7">
            <w:pPr>
              <w:widowControl/>
              <w:spacing w:beforeLines="0"/>
              <w:jc w:val="left"/>
              <w:rPr>
                <w:rFonts w:ascii="宋体" w:hAnsi="宋体" w:cs="宋体"/>
                <w:color w:val="auto"/>
                <w:kern w:val="0"/>
                <w:sz w:val="22"/>
                <w:szCs w:val="22"/>
                <w:highlight w:val="none"/>
              </w:rPr>
            </w:pPr>
          </w:p>
        </w:tc>
      </w:tr>
      <w:tr w14:paraId="6CAA2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367899CE">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65</w:t>
            </w:r>
          </w:p>
        </w:tc>
        <w:tc>
          <w:tcPr>
            <w:tcW w:w="1745" w:type="dxa"/>
            <w:vMerge w:val="continue"/>
            <w:noWrap w:val="0"/>
            <w:vAlign w:val="center"/>
          </w:tcPr>
          <w:p w14:paraId="15397A06">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278AE19B">
            <w:pPr>
              <w:widowControl/>
              <w:spacing w:beforeLines="0"/>
              <w:jc w:val="left"/>
              <w:rPr>
                <w:rFonts w:ascii="宋体" w:hAnsi="宋体" w:cs="宋体"/>
                <w:color w:val="auto"/>
                <w:kern w:val="0"/>
                <w:sz w:val="22"/>
                <w:szCs w:val="22"/>
                <w:highlight w:val="none"/>
              </w:rPr>
            </w:pPr>
          </w:p>
        </w:tc>
        <w:tc>
          <w:tcPr>
            <w:tcW w:w="2261" w:type="dxa"/>
            <w:noWrap w:val="0"/>
            <w:vAlign w:val="center"/>
          </w:tcPr>
          <w:p w14:paraId="733A0B15">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诊间随访提示</w:t>
            </w:r>
          </w:p>
        </w:tc>
        <w:tc>
          <w:tcPr>
            <w:tcW w:w="1134" w:type="dxa"/>
            <w:vMerge w:val="continue"/>
            <w:noWrap w:val="0"/>
            <w:vAlign w:val="center"/>
          </w:tcPr>
          <w:p w14:paraId="66BF96E5">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1EA199B3">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1B31EBB3">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13A97D24">
            <w:pPr>
              <w:widowControl/>
              <w:spacing w:beforeLines="0"/>
              <w:jc w:val="left"/>
              <w:rPr>
                <w:rFonts w:ascii="宋体" w:hAnsi="宋体" w:cs="宋体"/>
                <w:color w:val="auto"/>
                <w:kern w:val="0"/>
                <w:sz w:val="22"/>
                <w:szCs w:val="22"/>
                <w:highlight w:val="none"/>
              </w:rPr>
            </w:pPr>
          </w:p>
        </w:tc>
      </w:tr>
      <w:tr w14:paraId="66B34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60797F3D">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66</w:t>
            </w:r>
          </w:p>
        </w:tc>
        <w:tc>
          <w:tcPr>
            <w:tcW w:w="1745" w:type="dxa"/>
            <w:vMerge w:val="continue"/>
            <w:noWrap w:val="0"/>
            <w:vAlign w:val="center"/>
          </w:tcPr>
          <w:p w14:paraId="519D5E98">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798D36D2">
            <w:pPr>
              <w:widowControl/>
              <w:spacing w:beforeLines="0"/>
              <w:jc w:val="left"/>
              <w:rPr>
                <w:rFonts w:ascii="宋体" w:hAnsi="宋体" w:cs="宋体"/>
                <w:color w:val="auto"/>
                <w:kern w:val="0"/>
                <w:sz w:val="22"/>
                <w:szCs w:val="22"/>
                <w:highlight w:val="none"/>
              </w:rPr>
            </w:pPr>
          </w:p>
        </w:tc>
        <w:tc>
          <w:tcPr>
            <w:tcW w:w="2261" w:type="dxa"/>
            <w:noWrap w:val="0"/>
            <w:vAlign w:val="center"/>
          </w:tcPr>
          <w:p w14:paraId="1C48AF26">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随访任务</w:t>
            </w:r>
          </w:p>
        </w:tc>
        <w:tc>
          <w:tcPr>
            <w:tcW w:w="1134" w:type="dxa"/>
            <w:vMerge w:val="continue"/>
            <w:noWrap w:val="0"/>
            <w:vAlign w:val="center"/>
          </w:tcPr>
          <w:p w14:paraId="14785C20">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4D4CE572">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052C2334">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5FFA30FF">
            <w:pPr>
              <w:widowControl/>
              <w:spacing w:beforeLines="0"/>
              <w:jc w:val="left"/>
              <w:rPr>
                <w:rFonts w:ascii="宋体" w:hAnsi="宋体" w:cs="宋体"/>
                <w:color w:val="auto"/>
                <w:kern w:val="0"/>
                <w:sz w:val="22"/>
                <w:szCs w:val="22"/>
                <w:highlight w:val="none"/>
              </w:rPr>
            </w:pPr>
          </w:p>
        </w:tc>
      </w:tr>
      <w:tr w14:paraId="3CF54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5F1E540A">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67</w:t>
            </w:r>
          </w:p>
        </w:tc>
        <w:tc>
          <w:tcPr>
            <w:tcW w:w="1745" w:type="dxa"/>
            <w:vMerge w:val="continue"/>
            <w:noWrap w:val="0"/>
            <w:vAlign w:val="center"/>
          </w:tcPr>
          <w:p w14:paraId="2670D1F5">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09F41D72">
            <w:pPr>
              <w:widowControl/>
              <w:spacing w:beforeLines="0"/>
              <w:jc w:val="left"/>
              <w:rPr>
                <w:rFonts w:ascii="宋体" w:hAnsi="宋体" w:cs="宋体"/>
                <w:color w:val="auto"/>
                <w:kern w:val="0"/>
                <w:sz w:val="22"/>
                <w:szCs w:val="22"/>
                <w:highlight w:val="none"/>
              </w:rPr>
            </w:pPr>
          </w:p>
        </w:tc>
        <w:tc>
          <w:tcPr>
            <w:tcW w:w="2261" w:type="dxa"/>
            <w:noWrap w:val="0"/>
            <w:vAlign w:val="center"/>
          </w:tcPr>
          <w:p w14:paraId="5C2BA81D">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任务制定</w:t>
            </w:r>
          </w:p>
        </w:tc>
        <w:tc>
          <w:tcPr>
            <w:tcW w:w="1134" w:type="dxa"/>
            <w:vMerge w:val="continue"/>
            <w:noWrap w:val="0"/>
            <w:vAlign w:val="center"/>
          </w:tcPr>
          <w:p w14:paraId="2118D335">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3A6C7EA3">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62508A3B">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6264FABD">
            <w:pPr>
              <w:widowControl/>
              <w:spacing w:beforeLines="0"/>
              <w:jc w:val="left"/>
              <w:rPr>
                <w:rFonts w:ascii="宋体" w:hAnsi="宋体" w:cs="宋体"/>
                <w:color w:val="auto"/>
                <w:kern w:val="0"/>
                <w:sz w:val="22"/>
                <w:szCs w:val="22"/>
                <w:highlight w:val="none"/>
              </w:rPr>
            </w:pPr>
          </w:p>
        </w:tc>
      </w:tr>
      <w:tr w14:paraId="2FB41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0AFFE34A">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68</w:t>
            </w:r>
          </w:p>
        </w:tc>
        <w:tc>
          <w:tcPr>
            <w:tcW w:w="1745" w:type="dxa"/>
            <w:vMerge w:val="continue"/>
            <w:noWrap w:val="0"/>
            <w:vAlign w:val="center"/>
          </w:tcPr>
          <w:p w14:paraId="7CEB128A">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54AA0B84">
            <w:pPr>
              <w:widowControl/>
              <w:spacing w:beforeLines="0"/>
              <w:jc w:val="left"/>
              <w:rPr>
                <w:rFonts w:ascii="宋体" w:hAnsi="宋体" w:cs="宋体"/>
                <w:color w:val="auto"/>
                <w:kern w:val="0"/>
                <w:sz w:val="22"/>
                <w:szCs w:val="22"/>
                <w:highlight w:val="none"/>
              </w:rPr>
            </w:pPr>
          </w:p>
        </w:tc>
        <w:tc>
          <w:tcPr>
            <w:tcW w:w="2261" w:type="dxa"/>
            <w:noWrap w:val="0"/>
            <w:vAlign w:val="center"/>
          </w:tcPr>
          <w:p w14:paraId="2B77CB8E">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跟进随访任务</w:t>
            </w:r>
          </w:p>
        </w:tc>
        <w:tc>
          <w:tcPr>
            <w:tcW w:w="1134" w:type="dxa"/>
            <w:vMerge w:val="continue"/>
            <w:noWrap w:val="0"/>
            <w:vAlign w:val="center"/>
          </w:tcPr>
          <w:p w14:paraId="6DE26EEF">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584CC62D">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0799C0EC">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1D34AC79">
            <w:pPr>
              <w:widowControl/>
              <w:spacing w:beforeLines="0"/>
              <w:jc w:val="left"/>
              <w:rPr>
                <w:rFonts w:ascii="宋体" w:hAnsi="宋体" w:cs="宋体"/>
                <w:color w:val="auto"/>
                <w:kern w:val="0"/>
                <w:sz w:val="22"/>
                <w:szCs w:val="22"/>
                <w:highlight w:val="none"/>
              </w:rPr>
            </w:pPr>
          </w:p>
        </w:tc>
      </w:tr>
      <w:tr w14:paraId="7A50C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65C12B98">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69</w:t>
            </w:r>
          </w:p>
        </w:tc>
        <w:tc>
          <w:tcPr>
            <w:tcW w:w="1745" w:type="dxa"/>
            <w:vMerge w:val="continue"/>
            <w:noWrap w:val="0"/>
            <w:vAlign w:val="center"/>
          </w:tcPr>
          <w:p w14:paraId="567C146E">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06448EDD">
            <w:pPr>
              <w:widowControl/>
              <w:spacing w:beforeLines="0"/>
              <w:jc w:val="left"/>
              <w:rPr>
                <w:rFonts w:ascii="宋体" w:hAnsi="宋体" w:cs="宋体"/>
                <w:color w:val="auto"/>
                <w:kern w:val="0"/>
                <w:sz w:val="22"/>
                <w:szCs w:val="22"/>
                <w:highlight w:val="none"/>
              </w:rPr>
            </w:pPr>
          </w:p>
        </w:tc>
        <w:tc>
          <w:tcPr>
            <w:tcW w:w="2261" w:type="dxa"/>
            <w:noWrap w:val="0"/>
            <w:vAlign w:val="center"/>
          </w:tcPr>
          <w:p w14:paraId="66C6F96B">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血压测量任务</w:t>
            </w:r>
          </w:p>
        </w:tc>
        <w:tc>
          <w:tcPr>
            <w:tcW w:w="1134" w:type="dxa"/>
            <w:vMerge w:val="continue"/>
            <w:noWrap w:val="0"/>
            <w:vAlign w:val="center"/>
          </w:tcPr>
          <w:p w14:paraId="3A62CCEB">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7C832620">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4699EC3A">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1F422A4C">
            <w:pPr>
              <w:widowControl/>
              <w:spacing w:beforeLines="0"/>
              <w:jc w:val="left"/>
              <w:rPr>
                <w:rFonts w:ascii="宋体" w:hAnsi="宋体" w:cs="宋体"/>
                <w:color w:val="auto"/>
                <w:kern w:val="0"/>
                <w:sz w:val="22"/>
                <w:szCs w:val="22"/>
                <w:highlight w:val="none"/>
              </w:rPr>
            </w:pPr>
          </w:p>
        </w:tc>
      </w:tr>
      <w:tr w14:paraId="2531D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2774AF10">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70</w:t>
            </w:r>
          </w:p>
        </w:tc>
        <w:tc>
          <w:tcPr>
            <w:tcW w:w="1745" w:type="dxa"/>
            <w:vMerge w:val="continue"/>
            <w:noWrap w:val="0"/>
            <w:vAlign w:val="center"/>
          </w:tcPr>
          <w:p w14:paraId="220B58D6">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28BFB97C">
            <w:pPr>
              <w:widowControl/>
              <w:spacing w:beforeLines="0"/>
              <w:jc w:val="left"/>
              <w:rPr>
                <w:rFonts w:ascii="宋体" w:hAnsi="宋体" w:cs="宋体"/>
                <w:color w:val="auto"/>
                <w:kern w:val="0"/>
                <w:sz w:val="22"/>
                <w:szCs w:val="22"/>
                <w:highlight w:val="none"/>
              </w:rPr>
            </w:pPr>
          </w:p>
        </w:tc>
        <w:tc>
          <w:tcPr>
            <w:tcW w:w="2261" w:type="dxa"/>
            <w:noWrap w:val="0"/>
            <w:vAlign w:val="center"/>
          </w:tcPr>
          <w:p w14:paraId="5DE3E16E">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空腹血糖测量任务</w:t>
            </w:r>
          </w:p>
        </w:tc>
        <w:tc>
          <w:tcPr>
            <w:tcW w:w="1134" w:type="dxa"/>
            <w:vMerge w:val="continue"/>
            <w:noWrap w:val="0"/>
            <w:vAlign w:val="center"/>
          </w:tcPr>
          <w:p w14:paraId="48587E0F">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55EC3BCF">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42AD107F">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7EDBBB2F">
            <w:pPr>
              <w:widowControl/>
              <w:spacing w:beforeLines="0"/>
              <w:jc w:val="left"/>
              <w:rPr>
                <w:rFonts w:ascii="宋体" w:hAnsi="宋体" w:cs="宋体"/>
                <w:color w:val="auto"/>
                <w:kern w:val="0"/>
                <w:sz w:val="22"/>
                <w:szCs w:val="22"/>
                <w:highlight w:val="none"/>
              </w:rPr>
            </w:pPr>
          </w:p>
        </w:tc>
      </w:tr>
      <w:tr w14:paraId="35B7B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06" w:type="dxa"/>
            <w:noWrap/>
            <w:vAlign w:val="center"/>
          </w:tcPr>
          <w:p w14:paraId="23800773">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71</w:t>
            </w:r>
          </w:p>
        </w:tc>
        <w:tc>
          <w:tcPr>
            <w:tcW w:w="1745" w:type="dxa"/>
            <w:vMerge w:val="continue"/>
            <w:noWrap w:val="0"/>
            <w:vAlign w:val="center"/>
          </w:tcPr>
          <w:p w14:paraId="53674C95">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059A9776">
            <w:pPr>
              <w:widowControl/>
              <w:spacing w:beforeLines="0"/>
              <w:jc w:val="left"/>
              <w:rPr>
                <w:rFonts w:ascii="宋体" w:hAnsi="宋体" w:cs="宋体"/>
                <w:color w:val="auto"/>
                <w:kern w:val="0"/>
                <w:sz w:val="22"/>
                <w:szCs w:val="22"/>
                <w:highlight w:val="none"/>
              </w:rPr>
            </w:pPr>
          </w:p>
        </w:tc>
        <w:tc>
          <w:tcPr>
            <w:tcW w:w="2261" w:type="dxa"/>
            <w:noWrap w:val="0"/>
            <w:vAlign w:val="center"/>
          </w:tcPr>
          <w:p w14:paraId="7D3D851A">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餐后2小时血糖测量任务</w:t>
            </w:r>
          </w:p>
        </w:tc>
        <w:tc>
          <w:tcPr>
            <w:tcW w:w="1134" w:type="dxa"/>
            <w:vMerge w:val="continue"/>
            <w:noWrap w:val="0"/>
            <w:vAlign w:val="center"/>
          </w:tcPr>
          <w:p w14:paraId="6695AA0B">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5CBA7BB8">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01F7F302">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7DD64C28">
            <w:pPr>
              <w:widowControl/>
              <w:spacing w:beforeLines="0"/>
              <w:jc w:val="left"/>
              <w:rPr>
                <w:rFonts w:ascii="宋体" w:hAnsi="宋体" w:cs="宋体"/>
                <w:color w:val="auto"/>
                <w:kern w:val="0"/>
                <w:sz w:val="22"/>
                <w:szCs w:val="22"/>
                <w:highlight w:val="none"/>
              </w:rPr>
            </w:pPr>
          </w:p>
        </w:tc>
      </w:tr>
      <w:tr w14:paraId="2F24E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39241F5C">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72</w:t>
            </w:r>
          </w:p>
        </w:tc>
        <w:tc>
          <w:tcPr>
            <w:tcW w:w="1745" w:type="dxa"/>
            <w:vMerge w:val="continue"/>
            <w:noWrap w:val="0"/>
            <w:vAlign w:val="center"/>
          </w:tcPr>
          <w:p w14:paraId="5A5AC0BC">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1ED9DFF3">
            <w:pPr>
              <w:widowControl/>
              <w:spacing w:beforeLines="0"/>
              <w:jc w:val="left"/>
              <w:rPr>
                <w:rFonts w:ascii="宋体" w:hAnsi="宋体" w:cs="宋体"/>
                <w:color w:val="auto"/>
                <w:kern w:val="0"/>
                <w:sz w:val="22"/>
                <w:szCs w:val="22"/>
                <w:highlight w:val="none"/>
              </w:rPr>
            </w:pPr>
          </w:p>
        </w:tc>
        <w:tc>
          <w:tcPr>
            <w:tcW w:w="2261" w:type="dxa"/>
            <w:noWrap w:val="0"/>
            <w:vAlign w:val="center"/>
          </w:tcPr>
          <w:p w14:paraId="47667820">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糖化血红蛋白测量任务</w:t>
            </w:r>
          </w:p>
        </w:tc>
        <w:tc>
          <w:tcPr>
            <w:tcW w:w="1134" w:type="dxa"/>
            <w:vMerge w:val="continue"/>
            <w:noWrap w:val="0"/>
            <w:vAlign w:val="center"/>
          </w:tcPr>
          <w:p w14:paraId="3BC2DD3A">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09971A19">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531FDCF2">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056497E8">
            <w:pPr>
              <w:widowControl/>
              <w:spacing w:beforeLines="0"/>
              <w:jc w:val="left"/>
              <w:rPr>
                <w:rFonts w:ascii="宋体" w:hAnsi="宋体" w:cs="宋体"/>
                <w:color w:val="auto"/>
                <w:kern w:val="0"/>
                <w:sz w:val="22"/>
                <w:szCs w:val="22"/>
                <w:highlight w:val="none"/>
              </w:rPr>
            </w:pPr>
          </w:p>
        </w:tc>
      </w:tr>
      <w:tr w14:paraId="2D53D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40151F44">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73</w:t>
            </w:r>
          </w:p>
        </w:tc>
        <w:tc>
          <w:tcPr>
            <w:tcW w:w="1745" w:type="dxa"/>
            <w:vMerge w:val="continue"/>
            <w:noWrap w:val="0"/>
            <w:vAlign w:val="center"/>
          </w:tcPr>
          <w:p w14:paraId="272E515F">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2EA34CB4">
            <w:pPr>
              <w:widowControl/>
              <w:spacing w:beforeLines="0"/>
              <w:jc w:val="left"/>
              <w:rPr>
                <w:rFonts w:ascii="宋体" w:hAnsi="宋体" w:cs="宋体"/>
                <w:color w:val="auto"/>
                <w:kern w:val="0"/>
                <w:sz w:val="22"/>
                <w:szCs w:val="22"/>
                <w:highlight w:val="none"/>
              </w:rPr>
            </w:pPr>
          </w:p>
        </w:tc>
        <w:tc>
          <w:tcPr>
            <w:tcW w:w="2261" w:type="dxa"/>
            <w:noWrap w:val="0"/>
            <w:vAlign w:val="center"/>
          </w:tcPr>
          <w:p w14:paraId="00E1777A">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任务追踪</w:t>
            </w:r>
          </w:p>
        </w:tc>
        <w:tc>
          <w:tcPr>
            <w:tcW w:w="1134" w:type="dxa"/>
            <w:vMerge w:val="continue"/>
            <w:noWrap w:val="0"/>
            <w:vAlign w:val="center"/>
          </w:tcPr>
          <w:p w14:paraId="16CDA66B">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349CEB31">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6F6A2F63">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4D6962E3">
            <w:pPr>
              <w:widowControl/>
              <w:spacing w:beforeLines="0"/>
              <w:jc w:val="left"/>
              <w:rPr>
                <w:rFonts w:ascii="宋体" w:hAnsi="宋体" w:cs="宋体"/>
                <w:color w:val="auto"/>
                <w:kern w:val="0"/>
                <w:sz w:val="22"/>
                <w:szCs w:val="22"/>
                <w:highlight w:val="none"/>
              </w:rPr>
            </w:pPr>
          </w:p>
        </w:tc>
      </w:tr>
      <w:tr w14:paraId="0D54F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3484230F">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74</w:t>
            </w:r>
          </w:p>
        </w:tc>
        <w:tc>
          <w:tcPr>
            <w:tcW w:w="1745" w:type="dxa"/>
            <w:vMerge w:val="continue"/>
            <w:noWrap w:val="0"/>
            <w:vAlign w:val="center"/>
          </w:tcPr>
          <w:p w14:paraId="1509658E">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77CCE5C9">
            <w:pPr>
              <w:widowControl/>
              <w:spacing w:beforeLines="0"/>
              <w:jc w:val="left"/>
              <w:rPr>
                <w:rFonts w:ascii="宋体" w:hAnsi="宋体" w:cs="宋体"/>
                <w:color w:val="auto"/>
                <w:kern w:val="0"/>
                <w:sz w:val="22"/>
                <w:szCs w:val="22"/>
                <w:highlight w:val="none"/>
              </w:rPr>
            </w:pPr>
          </w:p>
        </w:tc>
        <w:tc>
          <w:tcPr>
            <w:tcW w:w="2261" w:type="dxa"/>
            <w:noWrap w:val="0"/>
            <w:vAlign w:val="center"/>
          </w:tcPr>
          <w:p w14:paraId="7794A66B">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记录查看</w:t>
            </w:r>
          </w:p>
        </w:tc>
        <w:tc>
          <w:tcPr>
            <w:tcW w:w="1134" w:type="dxa"/>
            <w:vMerge w:val="continue"/>
            <w:noWrap w:val="0"/>
            <w:vAlign w:val="center"/>
          </w:tcPr>
          <w:p w14:paraId="3A7514B4">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1736C754">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706165D3">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10AFB898">
            <w:pPr>
              <w:widowControl/>
              <w:spacing w:beforeLines="0"/>
              <w:jc w:val="left"/>
              <w:rPr>
                <w:rFonts w:ascii="宋体" w:hAnsi="宋体" w:cs="宋体"/>
                <w:color w:val="auto"/>
                <w:kern w:val="0"/>
                <w:sz w:val="22"/>
                <w:szCs w:val="22"/>
                <w:highlight w:val="none"/>
              </w:rPr>
            </w:pPr>
          </w:p>
        </w:tc>
      </w:tr>
      <w:tr w14:paraId="59B9D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572A0AD0">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75</w:t>
            </w:r>
          </w:p>
        </w:tc>
        <w:tc>
          <w:tcPr>
            <w:tcW w:w="1745" w:type="dxa"/>
            <w:vMerge w:val="continue"/>
            <w:noWrap w:val="0"/>
            <w:vAlign w:val="center"/>
          </w:tcPr>
          <w:p w14:paraId="5E365FE2">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3BA19DC8">
            <w:pPr>
              <w:widowControl/>
              <w:spacing w:beforeLines="0"/>
              <w:jc w:val="left"/>
              <w:rPr>
                <w:rFonts w:ascii="宋体" w:hAnsi="宋体" w:cs="宋体"/>
                <w:color w:val="auto"/>
                <w:kern w:val="0"/>
                <w:sz w:val="22"/>
                <w:szCs w:val="22"/>
                <w:highlight w:val="none"/>
              </w:rPr>
            </w:pPr>
          </w:p>
        </w:tc>
        <w:tc>
          <w:tcPr>
            <w:tcW w:w="2261" w:type="dxa"/>
            <w:noWrap w:val="0"/>
            <w:vAlign w:val="center"/>
          </w:tcPr>
          <w:p w14:paraId="4CD4158E">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新增健康指导</w:t>
            </w:r>
          </w:p>
        </w:tc>
        <w:tc>
          <w:tcPr>
            <w:tcW w:w="1134" w:type="dxa"/>
            <w:vMerge w:val="continue"/>
            <w:noWrap w:val="0"/>
            <w:vAlign w:val="center"/>
          </w:tcPr>
          <w:p w14:paraId="62C7C5D7">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6DB6FC91">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56FF3C8B">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327393BE">
            <w:pPr>
              <w:widowControl/>
              <w:spacing w:beforeLines="0"/>
              <w:jc w:val="left"/>
              <w:rPr>
                <w:rFonts w:ascii="宋体" w:hAnsi="宋体" w:cs="宋体"/>
                <w:color w:val="auto"/>
                <w:kern w:val="0"/>
                <w:sz w:val="22"/>
                <w:szCs w:val="22"/>
                <w:highlight w:val="none"/>
              </w:rPr>
            </w:pPr>
          </w:p>
        </w:tc>
      </w:tr>
      <w:tr w14:paraId="61760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41E59677">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76</w:t>
            </w:r>
          </w:p>
        </w:tc>
        <w:tc>
          <w:tcPr>
            <w:tcW w:w="1745" w:type="dxa"/>
            <w:vMerge w:val="continue"/>
            <w:noWrap w:val="0"/>
            <w:vAlign w:val="center"/>
          </w:tcPr>
          <w:p w14:paraId="23E8A48F">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3ADAD599">
            <w:pPr>
              <w:widowControl/>
              <w:spacing w:beforeLines="0"/>
              <w:jc w:val="left"/>
              <w:rPr>
                <w:rFonts w:ascii="宋体" w:hAnsi="宋体" w:cs="宋体"/>
                <w:color w:val="auto"/>
                <w:kern w:val="0"/>
                <w:sz w:val="22"/>
                <w:szCs w:val="22"/>
                <w:highlight w:val="none"/>
              </w:rPr>
            </w:pPr>
          </w:p>
        </w:tc>
        <w:tc>
          <w:tcPr>
            <w:tcW w:w="2261" w:type="dxa"/>
            <w:noWrap w:val="0"/>
            <w:vAlign w:val="center"/>
          </w:tcPr>
          <w:p w14:paraId="38DE5B51">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膳食方案</w:t>
            </w:r>
          </w:p>
        </w:tc>
        <w:tc>
          <w:tcPr>
            <w:tcW w:w="1134" w:type="dxa"/>
            <w:vMerge w:val="continue"/>
            <w:noWrap w:val="0"/>
            <w:vAlign w:val="center"/>
          </w:tcPr>
          <w:p w14:paraId="5ACD0845">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457C9E28">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39207764">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4AECF376">
            <w:pPr>
              <w:widowControl/>
              <w:spacing w:beforeLines="0"/>
              <w:jc w:val="left"/>
              <w:rPr>
                <w:rFonts w:ascii="宋体" w:hAnsi="宋体" w:cs="宋体"/>
                <w:color w:val="auto"/>
                <w:kern w:val="0"/>
                <w:sz w:val="22"/>
                <w:szCs w:val="22"/>
                <w:highlight w:val="none"/>
              </w:rPr>
            </w:pPr>
          </w:p>
        </w:tc>
      </w:tr>
      <w:tr w14:paraId="49E3D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0D9B96F1">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77</w:t>
            </w:r>
          </w:p>
        </w:tc>
        <w:tc>
          <w:tcPr>
            <w:tcW w:w="1745" w:type="dxa"/>
            <w:vMerge w:val="continue"/>
            <w:noWrap w:val="0"/>
            <w:vAlign w:val="center"/>
          </w:tcPr>
          <w:p w14:paraId="4A31D326">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567892CF">
            <w:pPr>
              <w:widowControl/>
              <w:spacing w:beforeLines="0"/>
              <w:jc w:val="left"/>
              <w:rPr>
                <w:rFonts w:ascii="宋体" w:hAnsi="宋体" w:cs="宋体"/>
                <w:color w:val="auto"/>
                <w:kern w:val="0"/>
                <w:sz w:val="22"/>
                <w:szCs w:val="22"/>
                <w:highlight w:val="none"/>
              </w:rPr>
            </w:pPr>
          </w:p>
        </w:tc>
        <w:tc>
          <w:tcPr>
            <w:tcW w:w="2261" w:type="dxa"/>
            <w:noWrap w:val="0"/>
            <w:vAlign w:val="center"/>
          </w:tcPr>
          <w:p w14:paraId="685EE5FE">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健康处方打印</w:t>
            </w:r>
          </w:p>
        </w:tc>
        <w:tc>
          <w:tcPr>
            <w:tcW w:w="1134" w:type="dxa"/>
            <w:vMerge w:val="continue"/>
            <w:noWrap w:val="0"/>
            <w:vAlign w:val="center"/>
          </w:tcPr>
          <w:p w14:paraId="31785C67">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00D84F4E">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39CB28A0">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02E48676">
            <w:pPr>
              <w:widowControl/>
              <w:spacing w:beforeLines="0"/>
              <w:jc w:val="left"/>
              <w:rPr>
                <w:rFonts w:ascii="宋体" w:hAnsi="宋体" w:cs="宋体"/>
                <w:color w:val="auto"/>
                <w:kern w:val="0"/>
                <w:sz w:val="22"/>
                <w:szCs w:val="22"/>
                <w:highlight w:val="none"/>
              </w:rPr>
            </w:pPr>
          </w:p>
        </w:tc>
      </w:tr>
      <w:tr w14:paraId="0CCB0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7153F8B4">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78</w:t>
            </w:r>
          </w:p>
        </w:tc>
        <w:tc>
          <w:tcPr>
            <w:tcW w:w="1745" w:type="dxa"/>
            <w:vMerge w:val="continue"/>
            <w:noWrap w:val="0"/>
            <w:vAlign w:val="center"/>
          </w:tcPr>
          <w:p w14:paraId="497E501C">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62D06E4B">
            <w:pPr>
              <w:widowControl/>
              <w:spacing w:beforeLines="0"/>
              <w:jc w:val="left"/>
              <w:rPr>
                <w:rFonts w:ascii="宋体" w:hAnsi="宋体" w:cs="宋体"/>
                <w:color w:val="auto"/>
                <w:kern w:val="0"/>
                <w:sz w:val="22"/>
                <w:szCs w:val="22"/>
                <w:highlight w:val="none"/>
              </w:rPr>
            </w:pPr>
          </w:p>
        </w:tc>
        <w:tc>
          <w:tcPr>
            <w:tcW w:w="2261" w:type="dxa"/>
            <w:noWrap w:val="0"/>
            <w:vAlign w:val="center"/>
          </w:tcPr>
          <w:p w14:paraId="4A52E0F8">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报告查看</w:t>
            </w:r>
          </w:p>
        </w:tc>
        <w:tc>
          <w:tcPr>
            <w:tcW w:w="1134" w:type="dxa"/>
            <w:vMerge w:val="continue"/>
            <w:noWrap w:val="0"/>
            <w:vAlign w:val="center"/>
          </w:tcPr>
          <w:p w14:paraId="72E20867">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010EDBD2">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770047B4">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7A108585">
            <w:pPr>
              <w:widowControl/>
              <w:spacing w:beforeLines="0"/>
              <w:jc w:val="left"/>
              <w:rPr>
                <w:rFonts w:ascii="宋体" w:hAnsi="宋体" w:cs="宋体"/>
                <w:color w:val="auto"/>
                <w:kern w:val="0"/>
                <w:sz w:val="22"/>
                <w:szCs w:val="22"/>
                <w:highlight w:val="none"/>
              </w:rPr>
            </w:pPr>
          </w:p>
        </w:tc>
      </w:tr>
      <w:tr w14:paraId="0486A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4DD3BDD8">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79</w:t>
            </w:r>
          </w:p>
        </w:tc>
        <w:tc>
          <w:tcPr>
            <w:tcW w:w="1745" w:type="dxa"/>
            <w:vMerge w:val="continue"/>
            <w:noWrap w:val="0"/>
            <w:vAlign w:val="center"/>
          </w:tcPr>
          <w:p w14:paraId="76C91D4A">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00E6BB5A">
            <w:pPr>
              <w:widowControl/>
              <w:spacing w:beforeLines="0"/>
              <w:jc w:val="left"/>
              <w:rPr>
                <w:rFonts w:ascii="宋体" w:hAnsi="宋体" w:cs="宋体"/>
                <w:color w:val="auto"/>
                <w:kern w:val="0"/>
                <w:sz w:val="22"/>
                <w:szCs w:val="22"/>
                <w:highlight w:val="none"/>
              </w:rPr>
            </w:pPr>
          </w:p>
        </w:tc>
        <w:tc>
          <w:tcPr>
            <w:tcW w:w="2261" w:type="dxa"/>
            <w:noWrap w:val="0"/>
            <w:vAlign w:val="center"/>
          </w:tcPr>
          <w:p w14:paraId="47DB7DBC">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报告打印</w:t>
            </w:r>
          </w:p>
        </w:tc>
        <w:tc>
          <w:tcPr>
            <w:tcW w:w="1134" w:type="dxa"/>
            <w:vMerge w:val="continue"/>
            <w:noWrap w:val="0"/>
            <w:vAlign w:val="center"/>
          </w:tcPr>
          <w:p w14:paraId="63B13F07">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212FDC97">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600D975B">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51010F96">
            <w:pPr>
              <w:widowControl/>
              <w:spacing w:beforeLines="0"/>
              <w:jc w:val="left"/>
              <w:rPr>
                <w:rFonts w:ascii="宋体" w:hAnsi="宋体" w:cs="宋体"/>
                <w:color w:val="auto"/>
                <w:kern w:val="0"/>
                <w:sz w:val="22"/>
                <w:szCs w:val="22"/>
                <w:highlight w:val="none"/>
              </w:rPr>
            </w:pPr>
          </w:p>
        </w:tc>
      </w:tr>
      <w:tr w14:paraId="52332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627CC69B">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80</w:t>
            </w:r>
          </w:p>
        </w:tc>
        <w:tc>
          <w:tcPr>
            <w:tcW w:w="1745" w:type="dxa"/>
            <w:vMerge w:val="continue"/>
            <w:noWrap w:val="0"/>
            <w:vAlign w:val="center"/>
          </w:tcPr>
          <w:p w14:paraId="504558CF">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31DF56F0">
            <w:pPr>
              <w:widowControl/>
              <w:spacing w:beforeLines="0"/>
              <w:jc w:val="left"/>
              <w:rPr>
                <w:rFonts w:ascii="宋体" w:hAnsi="宋体" w:cs="宋体"/>
                <w:color w:val="auto"/>
                <w:kern w:val="0"/>
                <w:sz w:val="22"/>
                <w:szCs w:val="22"/>
                <w:highlight w:val="none"/>
              </w:rPr>
            </w:pPr>
          </w:p>
        </w:tc>
        <w:tc>
          <w:tcPr>
            <w:tcW w:w="2261" w:type="dxa"/>
            <w:noWrap w:val="0"/>
            <w:vAlign w:val="center"/>
          </w:tcPr>
          <w:p w14:paraId="0DE3C0FA">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指南查看</w:t>
            </w:r>
          </w:p>
        </w:tc>
        <w:tc>
          <w:tcPr>
            <w:tcW w:w="1134" w:type="dxa"/>
            <w:vMerge w:val="continue"/>
            <w:noWrap w:val="0"/>
            <w:vAlign w:val="center"/>
          </w:tcPr>
          <w:p w14:paraId="0306195D">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0E32AFF5">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23143506">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559E3625">
            <w:pPr>
              <w:widowControl/>
              <w:spacing w:beforeLines="0"/>
              <w:jc w:val="left"/>
              <w:rPr>
                <w:rFonts w:ascii="宋体" w:hAnsi="宋体" w:cs="宋体"/>
                <w:color w:val="auto"/>
                <w:kern w:val="0"/>
                <w:sz w:val="22"/>
                <w:szCs w:val="22"/>
                <w:highlight w:val="none"/>
              </w:rPr>
            </w:pPr>
          </w:p>
        </w:tc>
      </w:tr>
      <w:tr w14:paraId="4B253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21B4D961">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81</w:t>
            </w:r>
          </w:p>
        </w:tc>
        <w:tc>
          <w:tcPr>
            <w:tcW w:w="1745" w:type="dxa"/>
            <w:vMerge w:val="continue"/>
            <w:noWrap w:val="0"/>
            <w:vAlign w:val="center"/>
          </w:tcPr>
          <w:p w14:paraId="2155FB5D">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0190E7D8">
            <w:pPr>
              <w:widowControl/>
              <w:spacing w:beforeLines="0"/>
              <w:jc w:val="left"/>
              <w:rPr>
                <w:rFonts w:ascii="宋体" w:hAnsi="宋体" w:cs="宋体"/>
                <w:color w:val="auto"/>
                <w:kern w:val="0"/>
                <w:sz w:val="22"/>
                <w:szCs w:val="22"/>
                <w:highlight w:val="none"/>
              </w:rPr>
            </w:pPr>
          </w:p>
        </w:tc>
        <w:tc>
          <w:tcPr>
            <w:tcW w:w="2261" w:type="dxa"/>
            <w:noWrap w:val="0"/>
            <w:vAlign w:val="center"/>
          </w:tcPr>
          <w:p w14:paraId="42CD96BF">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指南检索</w:t>
            </w:r>
          </w:p>
        </w:tc>
        <w:tc>
          <w:tcPr>
            <w:tcW w:w="1134" w:type="dxa"/>
            <w:vMerge w:val="continue"/>
            <w:noWrap w:val="0"/>
            <w:vAlign w:val="center"/>
          </w:tcPr>
          <w:p w14:paraId="3126AB4F">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79A0EECB">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7FEA2EB9">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239AED93">
            <w:pPr>
              <w:widowControl/>
              <w:spacing w:beforeLines="0"/>
              <w:jc w:val="left"/>
              <w:rPr>
                <w:rFonts w:ascii="宋体" w:hAnsi="宋体" w:cs="宋体"/>
                <w:color w:val="auto"/>
                <w:kern w:val="0"/>
                <w:sz w:val="22"/>
                <w:szCs w:val="22"/>
                <w:highlight w:val="none"/>
              </w:rPr>
            </w:pPr>
          </w:p>
        </w:tc>
      </w:tr>
      <w:tr w14:paraId="453E1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614725D5">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82</w:t>
            </w:r>
          </w:p>
        </w:tc>
        <w:tc>
          <w:tcPr>
            <w:tcW w:w="1745" w:type="dxa"/>
            <w:vMerge w:val="continue"/>
            <w:noWrap w:val="0"/>
            <w:vAlign w:val="center"/>
          </w:tcPr>
          <w:p w14:paraId="4D441C04">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02EC9AB2">
            <w:pPr>
              <w:widowControl/>
              <w:spacing w:beforeLines="0"/>
              <w:jc w:val="left"/>
              <w:rPr>
                <w:rFonts w:ascii="宋体" w:hAnsi="宋体" w:cs="宋体"/>
                <w:color w:val="auto"/>
                <w:kern w:val="0"/>
                <w:sz w:val="22"/>
                <w:szCs w:val="22"/>
                <w:highlight w:val="none"/>
              </w:rPr>
            </w:pPr>
          </w:p>
        </w:tc>
        <w:tc>
          <w:tcPr>
            <w:tcW w:w="2261" w:type="dxa"/>
            <w:noWrap w:val="0"/>
            <w:vAlign w:val="center"/>
          </w:tcPr>
          <w:p w14:paraId="304430F8">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诊后患者</w:t>
            </w:r>
          </w:p>
        </w:tc>
        <w:tc>
          <w:tcPr>
            <w:tcW w:w="1134" w:type="dxa"/>
            <w:vMerge w:val="continue"/>
            <w:noWrap w:val="0"/>
            <w:vAlign w:val="center"/>
          </w:tcPr>
          <w:p w14:paraId="284C9F74">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020D3859">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4E62A932">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1D42580B">
            <w:pPr>
              <w:widowControl/>
              <w:spacing w:beforeLines="0"/>
              <w:jc w:val="left"/>
              <w:rPr>
                <w:rFonts w:ascii="宋体" w:hAnsi="宋体" w:cs="宋体"/>
                <w:color w:val="auto"/>
                <w:kern w:val="0"/>
                <w:sz w:val="22"/>
                <w:szCs w:val="22"/>
                <w:highlight w:val="none"/>
              </w:rPr>
            </w:pPr>
          </w:p>
        </w:tc>
      </w:tr>
      <w:tr w14:paraId="0EF9C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570351DB">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83</w:t>
            </w:r>
          </w:p>
        </w:tc>
        <w:tc>
          <w:tcPr>
            <w:tcW w:w="1745" w:type="dxa"/>
            <w:vMerge w:val="continue"/>
            <w:noWrap w:val="0"/>
            <w:vAlign w:val="center"/>
          </w:tcPr>
          <w:p w14:paraId="3D1DC650">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19344D4C">
            <w:pPr>
              <w:widowControl/>
              <w:spacing w:beforeLines="0"/>
              <w:jc w:val="left"/>
              <w:rPr>
                <w:rFonts w:ascii="宋体" w:hAnsi="宋体" w:cs="宋体"/>
                <w:color w:val="auto"/>
                <w:kern w:val="0"/>
                <w:sz w:val="22"/>
                <w:szCs w:val="22"/>
                <w:highlight w:val="none"/>
              </w:rPr>
            </w:pPr>
          </w:p>
        </w:tc>
        <w:tc>
          <w:tcPr>
            <w:tcW w:w="2261" w:type="dxa"/>
            <w:noWrap w:val="0"/>
            <w:vAlign w:val="center"/>
          </w:tcPr>
          <w:p w14:paraId="2A99F678">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诊后随访</w:t>
            </w:r>
          </w:p>
        </w:tc>
        <w:tc>
          <w:tcPr>
            <w:tcW w:w="1134" w:type="dxa"/>
            <w:vMerge w:val="continue"/>
            <w:noWrap w:val="0"/>
            <w:vAlign w:val="center"/>
          </w:tcPr>
          <w:p w14:paraId="0939EA4D">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3BB168A6">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0A832ECC">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3085720B">
            <w:pPr>
              <w:widowControl/>
              <w:spacing w:beforeLines="0"/>
              <w:jc w:val="left"/>
              <w:rPr>
                <w:rFonts w:ascii="宋体" w:hAnsi="宋体" w:cs="宋体"/>
                <w:color w:val="auto"/>
                <w:kern w:val="0"/>
                <w:sz w:val="22"/>
                <w:szCs w:val="22"/>
                <w:highlight w:val="none"/>
              </w:rPr>
            </w:pPr>
          </w:p>
        </w:tc>
      </w:tr>
      <w:tr w14:paraId="79A63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2358AFEA">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84</w:t>
            </w:r>
          </w:p>
        </w:tc>
        <w:tc>
          <w:tcPr>
            <w:tcW w:w="1745" w:type="dxa"/>
            <w:vMerge w:val="continue"/>
            <w:noWrap w:val="0"/>
            <w:vAlign w:val="center"/>
          </w:tcPr>
          <w:p w14:paraId="510103E3">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6BF61D26">
            <w:pPr>
              <w:widowControl/>
              <w:spacing w:beforeLines="0"/>
              <w:jc w:val="left"/>
              <w:rPr>
                <w:rFonts w:ascii="宋体" w:hAnsi="宋体" w:cs="宋体"/>
                <w:color w:val="auto"/>
                <w:kern w:val="0"/>
                <w:sz w:val="22"/>
                <w:szCs w:val="22"/>
                <w:highlight w:val="none"/>
              </w:rPr>
            </w:pPr>
          </w:p>
        </w:tc>
        <w:tc>
          <w:tcPr>
            <w:tcW w:w="2261" w:type="dxa"/>
            <w:noWrap w:val="0"/>
            <w:vAlign w:val="center"/>
          </w:tcPr>
          <w:p w14:paraId="7C806C83">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患者检索</w:t>
            </w:r>
          </w:p>
        </w:tc>
        <w:tc>
          <w:tcPr>
            <w:tcW w:w="1134" w:type="dxa"/>
            <w:vMerge w:val="continue"/>
            <w:noWrap w:val="0"/>
            <w:vAlign w:val="center"/>
          </w:tcPr>
          <w:p w14:paraId="665C7792">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7D46816B">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73F69808">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72B7308D">
            <w:pPr>
              <w:widowControl/>
              <w:spacing w:beforeLines="0"/>
              <w:jc w:val="left"/>
              <w:rPr>
                <w:rFonts w:ascii="宋体" w:hAnsi="宋体" w:cs="宋体"/>
                <w:color w:val="auto"/>
                <w:kern w:val="0"/>
                <w:sz w:val="22"/>
                <w:szCs w:val="22"/>
                <w:highlight w:val="none"/>
              </w:rPr>
            </w:pPr>
          </w:p>
        </w:tc>
      </w:tr>
      <w:tr w14:paraId="0CCCF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684BE236">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85</w:t>
            </w:r>
          </w:p>
        </w:tc>
        <w:tc>
          <w:tcPr>
            <w:tcW w:w="1745" w:type="dxa"/>
            <w:vMerge w:val="continue"/>
            <w:noWrap w:val="0"/>
            <w:vAlign w:val="center"/>
          </w:tcPr>
          <w:p w14:paraId="4C8974B1">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2ACDE577">
            <w:pPr>
              <w:widowControl/>
              <w:spacing w:beforeLines="0"/>
              <w:jc w:val="left"/>
              <w:rPr>
                <w:rFonts w:ascii="宋体" w:hAnsi="宋体" w:cs="宋体"/>
                <w:color w:val="auto"/>
                <w:kern w:val="0"/>
                <w:sz w:val="22"/>
                <w:szCs w:val="22"/>
                <w:highlight w:val="none"/>
              </w:rPr>
            </w:pPr>
          </w:p>
        </w:tc>
        <w:tc>
          <w:tcPr>
            <w:tcW w:w="2261" w:type="dxa"/>
            <w:noWrap w:val="0"/>
            <w:vAlign w:val="center"/>
          </w:tcPr>
          <w:p w14:paraId="62641E75">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信息核验</w:t>
            </w:r>
          </w:p>
        </w:tc>
        <w:tc>
          <w:tcPr>
            <w:tcW w:w="1134" w:type="dxa"/>
            <w:vMerge w:val="continue"/>
            <w:noWrap w:val="0"/>
            <w:vAlign w:val="center"/>
          </w:tcPr>
          <w:p w14:paraId="268086E6">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16D2EFF7">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434EC613">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69E88B6C">
            <w:pPr>
              <w:widowControl/>
              <w:spacing w:beforeLines="0"/>
              <w:jc w:val="left"/>
              <w:rPr>
                <w:rFonts w:ascii="宋体" w:hAnsi="宋体" w:cs="宋体"/>
                <w:color w:val="auto"/>
                <w:kern w:val="0"/>
                <w:sz w:val="22"/>
                <w:szCs w:val="22"/>
                <w:highlight w:val="none"/>
              </w:rPr>
            </w:pPr>
          </w:p>
        </w:tc>
      </w:tr>
      <w:tr w14:paraId="00416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0B91FDB0">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86</w:t>
            </w:r>
          </w:p>
        </w:tc>
        <w:tc>
          <w:tcPr>
            <w:tcW w:w="1745" w:type="dxa"/>
            <w:vMerge w:val="continue"/>
            <w:noWrap w:val="0"/>
            <w:vAlign w:val="center"/>
          </w:tcPr>
          <w:p w14:paraId="05BE2F40">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053A5C99">
            <w:pPr>
              <w:widowControl/>
              <w:spacing w:beforeLines="0"/>
              <w:jc w:val="left"/>
              <w:rPr>
                <w:rFonts w:ascii="宋体" w:hAnsi="宋体" w:cs="宋体"/>
                <w:color w:val="auto"/>
                <w:kern w:val="0"/>
                <w:sz w:val="22"/>
                <w:szCs w:val="22"/>
                <w:highlight w:val="none"/>
              </w:rPr>
            </w:pPr>
          </w:p>
        </w:tc>
        <w:tc>
          <w:tcPr>
            <w:tcW w:w="2261" w:type="dxa"/>
            <w:noWrap w:val="0"/>
            <w:vAlign w:val="center"/>
          </w:tcPr>
          <w:p w14:paraId="4E49AFBC">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信息归档</w:t>
            </w:r>
          </w:p>
        </w:tc>
        <w:tc>
          <w:tcPr>
            <w:tcW w:w="1134" w:type="dxa"/>
            <w:vMerge w:val="continue"/>
            <w:noWrap w:val="0"/>
            <w:vAlign w:val="center"/>
          </w:tcPr>
          <w:p w14:paraId="06D286D4">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7FCFFFAE">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76472741">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5B7B9645">
            <w:pPr>
              <w:widowControl/>
              <w:spacing w:beforeLines="0"/>
              <w:jc w:val="left"/>
              <w:rPr>
                <w:rFonts w:ascii="宋体" w:hAnsi="宋体" w:cs="宋体"/>
                <w:color w:val="auto"/>
                <w:kern w:val="0"/>
                <w:sz w:val="22"/>
                <w:szCs w:val="22"/>
                <w:highlight w:val="none"/>
              </w:rPr>
            </w:pPr>
          </w:p>
        </w:tc>
      </w:tr>
      <w:tr w14:paraId="2E698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5FE604B4">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87</w:t>
            </w:r>
          </w:p>
        </w:tc>
        <w:tc>
          <w:tcPr>
            <w:tcW w:w="1745" w:type="dxa"/>
            <w:vMerge w:val="continue"/>
            <w:noWrap w:val="0"/>
            <w:vAlign w:val="center"/>
          </w:tcPr>
          <w:p w14:paraId="35BE29E5">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036A2D96">
            <w:pPr>
              <w:widowControl/>
              <w:spacing w:beforeLines="0"/>
              <w:jc w:val="left"/>
              <w:rPr>
                <w:rFonts w:ascii="宋体" w:hAnsi="宋体" w:cs="宋体"/>
                <w:color w:val="auto"/>
                <w:kern w:val="0"/>
                <w:sz w:val="22"/>
                <w:szCs w:val="22"/>
                <w:highlight w:val="none"/>
              </w:rPr>
            </w:pPr>
          </w:p>
        </w:tc>
        <w:tc>
          <w:tcPr>
            <w:tcW w:w="2261" w:type="dxa"/>
            <w:noWrap w:val="0"/>
            <w:vAlign w:val="center"/>
          </w:tcPr>
          <w:p w14:paraId="795A7CEB">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评估报告查看</w:t>
            </w:r>
          </w:p>
        </w:tc>
        <w:tc>
          <w:tcPr>
            <w:tcW w:w="1134" w:type="dxa"/>
            <w:vMerge w:val="continue"/>
            <w:noWrap w:val="0"/>
            <w:vAlign w:val="center"/>
          </w:tcPr>
          <w:p w14:paraId="4B983CDC">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402B3106">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3E8F6B3A">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6A6221D9">
            <w:pPr>
              <w:widowControl/>
              <w:spacing w:beforeLines="0"/>
              <w:jc w:val="left"/>
              <w:rPr>
                <w:rFonts w:ascii="宋体" w:hAnsi="宋体" w:cs="宋体"/>
                <w:color w:val="auto"/>
                <w:kern w:val="0"/>
                <w:sz w:val="22"/>
                <w:szCs w:val="22"/>
                <w:highlight w:val="none"/>
              </w:rPr>
            </w:pPr>
          </w:p>
        </w:tc>
      </w:tr>
      <w:tr w14:paraId="0E1B2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34F43372">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88</w:t>
            </w:r>
          </w:p>
        </w:tc>
        <w:tc>
          <w:tcPr>
            <w:tcW w:w="1745" w:type="dxa"/>
            <w:vMerge w:val="continue"/>
            <w:noWrap w:val="0"/>
            <w:vAlign w:val="center"/>
          </w:tcPr>
          <w:p w14:paraId="20863DF3">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7674F9A3">
            <w:pPr>
              <w:widowControl/>
              <w:spacing w:beforeLines="0"/>
              <w:jc w:val="left"/>
              <w:rPr>
                <w:rFonts w:ascii="宋体" w:hAnsi="宋体" w:cs="宋体"/>
                <w:color w:val="auto"/>
                <w:kern w:val="0"/>
                <w:sz w:val="22"/>
                <w:szCs w:val="22"/>
                <w:highlight w:val="none"/>
              </w:rPr>
            </w:pPr>
          </w:p>
        </w:tc>
        <w:tc>
          <w:tcPr>
            <w:tcW w:w="2261" w:type="dxa"/>
            <w:noWrap w:val="0"/>
            <w:vAlign w:val="center"/>
          </w:tcPr>
          <w:p w14:paraId="06D339AE">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路径查看</w:t>
            </w:r>
          </w:p>
        </w:tc>
        <w:tc>
          <w:tcPr>
            <w:tcW w:w="1134" w:type="dxa"/>
            <w:vMerge w:val="continue"/>
            <w:noWrap w:val="0"/>
            <w:vAlign w:val="center"/>
          </w:tcPr>
          <w:p w14:paraId="31079689">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0DD2C626">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7B8FAB08">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2F19BDB9">
            <w:pPr>
              <w:widowControl/>
              <w:spacing w:beforeLines="0"/>
              <w:jc w:val="left"/>
              <w:rPr>
                <w:rFonts w:ascii="宋体" w:hAnsi="宋体" w:cs="宋体"/>
                <w:color w:val="auto"/>
                <w:kern w:val="0"/>
                <w:sz w:val="22"/>
                <w:szCs w:val="22"/>
                <w:highlight w:val="none"/>
              </w:rPr>
            </w:pPr>
          </w:p>
        </w:tc>
      </w:tr>
      <w:tr w14:paraId="00B6E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591353B7">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89</w:t>
            </w:r>
          </w:p>
        </w:tc>
        <w:tc>
          <w:tcPr>
            <w:tcW w:w="1745" w:type="dxa"/>
            <w:vMerge w:val="continue"/>
            <w:noWrap w:val="0"/>
            <w:vAlign w:val="center"/>
          </w:tcPr>
          <w:p w14:paraId="3A83AC72">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4D3BC0BC">
            <w:pPr>
              <w:widowControl/>
              <w:spacing w:beforeLines="0"/>
              <w:jc w:val="left"/>
              <w:rPr>
                <w:rFonts w:ascii="宋体" w:hAnsi="宋体" w:cs="宋体"/>
                <w:color w:val="auto"/>
                <w:kern w:val="0"/>
                <w:sz w:val="22"/>
                <w:szCs w:val="22"/>
                <w:highlight w:val="none"/>
              </w:rPr>
            </w:pPr>
          </w:p>
        </w:tc>
        <w:tc>
          <w:tcPr>
            <w:tcW w:w="2261" w:type="dxa"/>
            <w:noWrap w:val="0"/>
            <w:vAlign w:val="center"/>
          </w:tcPr>
          <w:p w14:paraId="48992FDC">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任务追踪</w:t>
            </w:r>
          </w:p>
        </w:tc>
        <w:tc>
          <w:tcPr>
            <w:tcW w:w="1134" w:type="dxa"/>
            <w:vMerge w:val="continue"/>
            <w:noWrap w:val="0"/>
            <w:vAlign w:val="center"/>
          </w:tcPr>
          <w:p w14:paraId="46FD07C8">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08F97390">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370AD7FD">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11F69AAE">
            <w:pPr>
              <w:widowControl/>
              <w:spacing w:beforeLines="0"/>
              <w:jc w:val="left"/>
              <w:rPr>
                <w:rFonts w:ascii="宋体" w:hAnsi="宋体" w:cs="宋体"/>
                <w:color w:val="auto"/>
                <w:kern w:val="0"/>
                <w:sz w:val="22"/>
                <w:szCs w:val="22"/>
                <w:highlight w:val="none"/>
              </w:rPr>
            </w:pPr>
          </w:p>
        </w:tc>
      </w:tr>
      <w:tr w14:paraId="11B97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1570528D">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90</w:t>
            </w:r>
          </w:p>
        </w:tc>
        <w:tc>
          <w:tcPr>
            <w:tcW w:w="1745" w:type="dxa"/>
            <w:vMerge w:val="continue"/>
            <w:noWrap w:val="0"/>
            <w:vAlign w:val="center"/>
          </w:tcPr>
          <w:p w14:paraId="37C8AA93">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4A620A90">
            <w:pPr>
              <w:widowControl/>
              <w:spacing w:beforeLines="0"/>
              <w:jc w:val="left"/>
              <w:rPr>
                <w:rFonts w:ascii="宋体" w:hAnsi="宋体" w:cs="宋体"/>
                <w:color w:val="auto"/>
                <w:kern w:val="0"/>
                <w:sz w:val="22"/>
                <w:szCs w:val="22"/>
                <w:highlight w:val="none"/>
              </w:rPr>
            </w:pPr>
          </w:p>
        </w:tc>
        <w:tc>
          <w:tcPr>
            <w:tcW w:w="2261" w:type="dxa"/>
            <w:noWrap w:val="0"/>
            <w:vAlign w:val="center"/>
          </w:tcPr>
          <w:p w14:paraId="1DBFBC5A">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患者提醒</w:t>
            </w:r>
          </w:p>
        </w:tc>
        <w:tc>
          <w:tcPr>
            <w:tcW w:w="1134" w:type="dxa"/>
            <w:vMerge w:val="continue"/>
            <w:noWrap w:val="0"/>
            <w:vAlign w:val="center"/>
          </w:tcPr>
          <w:p w14:paraId="6FEC41DE">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02953565">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21AD91D1">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6F3EE381">
            <w:pPr>
              <w:widowControl/>
              <w:spacing w:beforeLines="0"/>
              <w:jc w:val="left"/>
              <w:rPr>
                <w:rFonts w:ascii="宋体" w:hAnsi="宋体" w:cs="宋体"/>
                <w:color w:val="auto"/>
                <w:kern w:val="0"/>
                <w:sz w:val="22"/>
                <w:szCs w:val="22"/>
                <w:highlight w:val="none"/>
              </w:rPr>
            </w:pPr>
          </w:p>
        </w:tc>
      </w:tr>
      <w:tr w14:paraId="60A69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6AD5C3C4">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91</w:t>
            </w:r>
          </w:p>
        </w:tc>
        <w:tc>
          <w:tcPr>
            <w:tcW w:w="1745" w:type="dxa"/>
            <w:vMerge w:val="continue"/>
            <w:noWrap w:val="0"/>
            <w:vAlign w:val="center"/>
          </w:tcPr>
          <w:p w14:paraId="61B50A7C">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2FDFEDA9">
            <w:pPr>
              <w:widowControl/>
              <w:spacing w:beforeLines="0"/>
              <w:jc w:val="left"/>
              <w:rPr>
                <w:rFonts w:ascii="宋体" w:hAnsi="宋体" w:cs="宋体"/>
                <w:color w:val="auto"/>
                <w:kern w:val="0"/>
                <w:sz w:val="22"/>
                <w:szCs w:val="22"/>
                <w:highlight w:val="none"/>
              </w:rPr>
            </w:pPr>
          </w:p>
        </w:tc>
        <w:tc>
          <w:tcPr>
            <w:tcW w:w="2261" w:type="dxa"/>
            <w:noWrap w:val="0"/>
            <w:vAlign w:val="center"/>
          </w:tcPr>
          <w:p w14:paraId="16A87E37">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逾期患者</w:t>
            </w:r>
          </w:p>
        </w:tc>
        <w:tc>
          <w:tcPr>
            <w:tcW w:w="1134" w:type="dxa"/>
            <w:vMerge w:val="continue"/>
            <w:noWrap w:val="0"/>
            <w:vAlign w:val="center"/>
          </w:tcPr>
          <w:p w14:paraId="686E7E07">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60BF370F">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6ADC3304">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362C3BF3">
            <w:pPr>
              <w:widowControl/>
              <w:spacing w:beforeLines="0"/>
              <w:jc w:val="left"/>
              <w:rPr>
                <w:rFonts w:ascii="宋体" w:hAnsi="宋体" w:cs="宋体"/>
                <w:color w:val="auto"/>
                <w:kern w:val="0"/>
                <w:sz w:val="22"/>
                <w:szCs w:val="22"/>
                <w:highlight w:val="none"/>
              </w:rPr>
            </w:pPr>
          </w:p>
        </w:tc>
      </w:tr>
      <w:tr w14:paraId="6BF04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6D101883">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92</w:t>
            </w:r>
          </w:p>
        </w:tc>
        <w:tc>
          <w:tcPr>
            <w:tcW w:w="1745" w:type="dxa"/>
            <w:vMerge w:val="continue"/>
            <w:noWrap w:val="0"/>
            <w:vAlign w:val="center"/>
          </w:tcPr>
          <w:p w14:paraId="02793795">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0E0412F4">
            <w:pPr>
              <w:widowControl/>
              <w:spacing w:beforeLines="0"/>
              <w:jc w:val="left"/>
              <w:rPr>
                <w:rFonts w:ascii="宋体" w:hAnsi="宋体" w:cs="宋体"/>
                <w:color w:val="auto"/>
                <w:kern w:val="0"/>
                <w:sz w:val="22"/>
                <w:szCs w:val="22"/>
                <w:highlight w:val="none"/>
              </w:rPr>
            </w:pPr>
          </w:p>
        </w:tc>
        <w:tc>
          <w:tcPr>
            <w:tcW w:w="2261" w:type="dxa"/>
            <w:noWrap w:val="0"/>
            <w:vAlign w:val="center"/>
          </w:tcPr>
          <w:p w14:paraId="178D3DA0">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重新预约</w:t>
            </w:r>
          </w:p>
        </w:tc>
        <w:tc>
          <w:tcPr>
            <w:tcW w:w="1134" w:type="dxa"/>
            <w:vMerge w:val="continue"/>
            <w:noWrap w:val="0"/>
            <w:vAlign w:val="center"/>
          </w:tcPr>
          <w:p w14:paraId="52D7A968">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123075D9">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322AA31F">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6B430E4C">
            <w:pPr>
              <w:widowControl/>
              <w:spacing w:beforeLines="0"/>
              <w:jc w:val="left"/>
              <w:rPr>
                <w:rFonts w:ascii="宋体" w:hAnsi="宋体" w:cs="宋体"/>
                <w:color w:val="auto"/>
                <w:kern w:val="0"/>
                <w:sz w:val="22"/>
                <w:szCs w:val="22"/>
                <w:highlight w:val="none"/>
              </w:rPr>
            </w:pPr>
          </w:p>
        </w:tc>
      </w:tr>
      <w:tr w14:paraId="6DF63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55F29656">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93</w:t>
            </w:r>
          </w:p>
        </w:tc>
        <w:tc>
          <w:tcPr>
            <w:tcW w:w="1745" w:type="dxa"/>
            <w:vMerge w:val="continue"/>
            <w:noWrap w:val="0"/>
            <w:vAlign w:val="center"/>
          </w:tcPr>
          <w:p w14:paraId="29852D9F">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4E00BA62">
            <w:pPr>
              <w:widowControl/>
              <w:spacing w:beforeLines="0"/>
              <w:jc w:val="left"/>
              <w:rPr>
                <w:rFonts w:ascii="宋体" w:hAnsi="宋体" w:cs="宋体"/>
                <w:color w:val="auto"/>
                <w:kern w:val="0"/>
                <w:sz w:val="22"/>
                <w:szCs w:val="22"/>
                <w:highlight w:val="none"/>
              </w:rPr>
            </w:pPr>
          </w:p>
        </w:tc>
        <w:tc>
          <w:tcPr>
            <w:tcW w:w="2261" w:type="dxa"/>
            <w:noWrap w:val="0"/>
            <w:vAlign w:val="center"/>
          </w:tcPr>
          <w:p w14:paraId="573CEA59">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医务人员工作量统计</w:t>
            </w:r>
          </w:p>
        </w:tc>
        <w:tc>
          <w:tcPr>
            <w:tcW w:w="1134" w:type="dxa"/>
            <w:vMerge w:val="continue"/>
            <w:noWrap w:val="0"/>
            <w:vAlign w:val="center"/>
          </w:tcPr>
          <w:p w14:paraId="74F1A209">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4EC1DF9E">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15B68DAC">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48558EEE">
            <w:pPr>
              <w:widowControl/>
              <w:spacing w:beforeLines="0"/>
              <w:jc w:val="left"/>
              <w:rPr>
                <w:rFonts w:ascii="宋体" w:hAnsi="宋体" w:cs="宋体"/>
                <w:color w:val="auto"/>
                <w:kern w:val="0"/>
                <w:sz w:val="22"/>
                <w:szCs w:val="22"/>
                <w:highlight w:val="none"/>
              </w:rPr>
            </w:pPr>
          </w:p>
        </w:tc>
      </w:tr>
      <w:tr w14:paraId="4567F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4DB62F35">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94</w:t>
            </w:r>
          </w:p>
        </w:tc>
        <w:tc>
          <w:tcPr>
            <w:tcW w:w="1745" w:type="dxa"/>
            <w:vMerge w:val="continue"/>
            <w:noWrap w:val="0"/>
            <w:vAlign w:val="center"/>
          </w:tcPr>
          <w:p w14:paraId="7E0FFE36">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0F4E806D">
            <w:pPr>
              <w:widowControl/>
              <w:spacing w:beforeLines="0"/>
              <w:jc w:val="left"/>
              <w:rPr>
                <w:rFonts w:ascii="宋体" w:hAnsi="宋体" w:cs="宋体"/>
                <w:color w:val="auto"/>
                <w:kern w:val="0"/>
                <w:sz w:val="22"/>
                <w:szCs w:val="22"/>
                <w:highlight w:val="none"/>
              </w:rPr>
            </w:pPr>
          </w:p>
        </w:tc>
        <w:tc>
          <w:tcPr>
            <w:tcW w:w="2261" w:type="dxa"/>
            <w:noWrap w:val="0"/>
            <w:vAlign w:val="center"/>
          </w:tcPr>
          <w:p w14:paraId="21656E9C">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乡镇工作量统计</w:t>
            </w:r>
          </w:p>
        </w:tc>
        <w:tc>
          <w:tcPr>
            <w:tcW w:w="1134" w:type="dxa"/>
            <w:vMerge w:val="continue"/>
            <w:noWrap w:val="0"/>
            <w:vAlign w:val="center"/>
          </w:tcPr>
          <w:p w14:paraId="7D9DC0A0">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6CEE9235">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4A95A8AF">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64207821">
            <w:pPr>
              <w:widowControl/>
              <w:spacing w:beforeLines="0"/>
              <w:jc w:val="left"/>
              <w:rPr>
                <w:rFonts w:ascii="宋体" w:hAnsi="宋体" w:cs="宋体"/>
                <w:color w:val="auto"/>
                <w:kern w:val="0"/>
                <w:sz w:val="22"/>
                <w:szCs w:val="22"/>
                <w:highlight w:val="none"/>
              </w:rPr>
            </w:pPr>
          </w:p>
        </w:tc>
      </w:tr>
      <w:tr w14:paraId="2BC4F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00778236">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95</w:t>
            </w:r>
          </w:p>
        </w:tc>
        <w:tc>
          <w:tcPr>
            <w:tcW w:w="1745" w:type="dxa"/>
            <w:vMerge w:val="continue"/>
            <w:noWrap w:val="0"/>
            <w:vAlign w:val="center"/>
          </w:tcPr>
          <w:p w14:paraId="3604FA5D">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4C30B613">
            <w:pPr>
              <w:widowControl/>
              <w:spacing w:beforeLines="0"/>
              <w:jc w:val="left"/>
              <w:rPr>
                <w:rFonts w:ascii="宋体" w:hAnsi="宋体" w:cs="宋体"/>
                <w:color w:val="auto"/>
                <w:kern w:val="0"/>
                <w:sz w:val="22"/>
                <w:szCs w:val="22"/>
                <w:highlight w:val="none"/>
              </w:rPr>
            </w:pPr>
          </w:p>
        </w:tc>
        <w:tc>
          <w:tcPr>
            <w:tcW w:w="2261" w:type="dxa"/>
            <w:noWrap w:val="0"/>
            <w:vAlign w:val="center"/>
          </w:tcPr>
          <w:p w14:paraId="6D822F27">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区域工作量统计</w:t>
            </w:r>
          </w:p>
        </w:tc>
        <w:tc>
          <w:tcPr>
            <w:tcW w:w="1134" w:type="dxa"/>
            <w:vMerge w:val="continue"/>
            <w:noWrap w:val="0"/>
            <w:vAlign w:val="center"/>
          </w:tcPr>
          <w:p w14:paraId="0A8403EB">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0206FB5E">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41D77E3A">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290F6BE8">
            <w:pPr>
              <w:widowControl/>
              <w:spacing w:beforeLines="0"/>
              <w:jc w:val="left"/>
              <w:rPr>
                <w:rFonts w:ascii="宋体" w:hAnsi="宋体" w:cs="宋体"/>
                <w:color w:val="auto"/>
                <w:kern w:val="0"/>
                <w:sz w:val="22"/>
                <w:szCs w:val="22"/>
                <w:highlight w:val="none"/>
              </w:rPr>
            </w:pPr>
          </w:p>
        </w:tc>
      </w:tr>
      <w:tr w14:paraId="7415A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4BEEB31D">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96</w:t>
            </w:r>
          </w:p>
        </w:tc>
        <w:tc>
          <w:tcPr>
            <w:tcW w:w="1745" w:type="dxa"/>
            <w:vMerge w:val="continue"/>
            <w:noWrap w:val="0"/>
            <w:vAlign w:val="center"/>
          </w:tcPr>
          <w:p w14:paraId="48025088">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73323CBB">
            <w:pPr>
              <w:widowControl/>
              <w:spacing w:beforeLines="0"/>
              <w:jc w:val="left"/>
              <w:rPr>
                <w:rFonts w:ascii="宋体" w:hAnsi="宋体" w:cs="宋体"/>
                <w:color w:val="auto"/>
                <w:kern w:val="0"/>
                <w:sz w:val="22"/>
                <w:szCs w:val="22"/>
                <w:highlight w:val="none"/>
              </w:rPr>
            </w:pPr>
          </w:p>
        </w:tc>
        <w:tc>
          <w:tcPr>
            <w:tcW w:w="2261" w:type="dxa"/>
            <w:noWrap w:val="0"/>
            <w:vAlign w:val="center"/>
          </w:tcPr>
          <w:p w14:paraId="5005705A">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乡镇当量设置</w:t>
            </w:r>
          </w:p>
        </w:tc>
        <w:tc>
          <w:tcPr>
            <w:tcW w:w="1134" w:type="dxa"/>
            <w:vMerge w:val="continue"/>
            <w:noWrap w:val="0"/>
            <w:vAlign w:val="center"/>
          </w:tcPr>
          <w:p w14:paraId="3CA06721">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14A50A9B">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78B96C89">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2C430461">
            <w:pPr>
              <w:widowControl/>
              <w:spacing w:beforeLines="0"/>
              <w:jc w:val="left"/>
              <w:rPr>
                <w:rFonts w:ascii="宋体" w:hAnsi="宋体" w:cs="宋体"/>
                <w:color w:val="auto"/>
                <w:kern w:val="0"/>
                <w:sz w:val="22"/>
                <w:szCs w:val="22"/>
                <w:highlight w:val="none"/>
              </w:rPr>
            </w:pPr>
          </w:p>
        </w:tc>
      </w:tr>
      <w:tr w14:paraId="49953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75FA24E4">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97</w:t>
            </w:r>
          </w:p>
        </w:tc>
        <w:tc>
          <w:tcPr>
            <w:tcW w:w="1745" w:type="dxa"/>
            <w:vMerge w:val="continue"/>
            <w:noWrap w:val="0"/>
            <w:vAlign w:val="center"/>
          </w:tcPr>
          <w:p w14:paraId="0B2756BD">
            <w:pPr>
              <w:widowControl/>
              <w:spacing w:beforeLines="0"/>
              <w:jc w:val="left"/>
              <w:rPr>
                <w:rFonts w:ascii="宋体" w:hAnsi="宋体" w:cs="宋体"/>
                <w:color w:val="auto"/>
                <w:kern w:val="0"/>
                <w:sz w:val="22"/>
                <w:szCs w:val="22"/>
                <w:highlight w:val="none"/>
              </w:rPr>
            </w:pPr>
          </w:p>
        </w:tc>
        <w:tc>
          <w:tcPr>
            <w:tcW w:w="806" w:type="dxa"/>
            <w:vMerge w:val="restart"/>
            <w:noWrap w:val="0"/>
            <w:vAlign w:val="center"/>
          </w:tcPr>
          <w:p w14:paraId="0F7844A2">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慢阻肺管理系统</w:t>
            </w:r>
          </w:p>
        </w:tc>
        <w:tc>
          <w:tcPr>
            <w:tcW w:w="2261" w:type="dxa"/>
            <w:noWrap w:val="0"/>
            <w:vAlign w:val="center"/>
          </w:tcPr>
          <w:p w14:paraId="6DEC4532">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风险筛查</w:t>
            </w:r>
          </w:p>
        </w:tc>
        <w:tc>
          <w:tcPr>
            <w:tcW w:w="1134" w:type="dxa"/>
            <w:vMerge w:val="continue"/>
            <w:noWrap w:val="0"/>
            <w:vAlign w:val="center"/>
          </w:tcPr>
          <w:p w14:paraId="565411EA">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44887B65">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4BD1B63A">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74619641">
            <w:pPr>
              <w:widowControl/>
              <w:spacing w:beforeLines="0"/>
              <w:jc w:val="left"/>
              <w:rPr>
                <w:rFonts w:ascii="宋体" w:hAnsi="宋体" w:cs="宋体"/>
                <w:color w:val="auto"/>
                <w:kern w:val="0"/>
                <w:sz w:val="22"/>
                <w:szCs w:val="22"/>
                <w:highlight w:val="none"/>
              </w:rPr>
            </w:pPr>
          </w:p>
        </w:tc>
      </w:tr>
      <w:tr w14:paraId="4B5D1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6A3046E1">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98</w:t>
            </w:r>
          </w:p>
        </w:tc>
        <w:tc>
          <w:tcPr>
            <w:tcW w:w="1745" w:type="dxa"/>
            <w:vMerge w:val="continue"/>
            <w:noWrap w:val="0"/>
            <w:vAlign w:val="center"/>
          </w:tcPr>
          <w:p w14:paraId="53BD72EC">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55AF945B">
            <w:pPr>
              <w:widowControl/>
              <w:spacing w:beforeLines="0"/>
              <w:jc w:val="left"/>
              <w:rPr>
                <w:rFonts w:ascii="宋体" w:hAnsi="宋体" w:cs="宋体"/>
                <w:color w:val="auto"/>
                <w:kern w:val="0"/>
                <w:sz w:val="22"/>
                <w:szCs w:val="22"/>
                <w:highlight w:val="none"/>
              </w:rPr>
            </w:pPr>
          </w:p>
        </w:tc>
        <w:tc>
          <w:tcPr>
            <w:tcW w:w="2261" w:type="dxa"/>
            <w:noWrap w:val="0"/>
            <w:vAlign w:val="center"/>
          </w:tcPr>
          <w:p w14:paraId="6905452A">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风险评估</w:t>
            </w:r>
          </w:p>
        </w:tc>
        <w:tc>
          <w:tcPr>
            <w:tcW w:w="1134" w:type="dxa"/>
            <w:vMerge w:val="continue"/>
            <w:noWrap w:val="0"/>
            <w:vAlign w:val="center"/>
          </w:tcPr>
          <w:p w14:paraId="44849271">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0D0B50BD">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40ED2D36">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49A9E1D2">
            <w:pPr>
              <w:widowControl/>
              <w:spacing w:beforeLines="0"/>
              <w:jc w:val="left"/>
              <w:rPr>
                <w:rFonts w:ascii="宋体" w:hAnsi="宋体" w:cs="宋体"/>
                <w:color w:val="auto"/>
                <w:kern w:val="0"/>
                <w:sz w:val="22"/>
                <w:szCs w:val="22"/>
                <w:highlight w:val="none"/>
              </w:rPr>
            </w:pPr>
          </w:p>
        </w:tc>
      </w:tr>
      <w:tr w14:paraId="33C47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4868B4B7">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99</w:t>
            </w:r>
          </w:p>
        </w:tc>
        <w:tc>
          <w:tcPr>
            <w:tcW w:w="1745" w:type="dxa"/>
            <w:vMerge w:val="continue"/>
            <w:noWrap w:val="0"/>
            <w:vAlign w:val="center"/>
          </w:tcPr>
          <w:p w14:paraId="53677512">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7B3B03E8">
            <w:pPr>
              <w:widowControl/>
              <w:spacing w:beforeLines="0"/>
              <w:jc w:val="left"/>
              <w:rPr>
                <w:rFonts w:ascii="宋体" w:hAnsi="宋体" w:cs="宋体"/>
                <w:color w:val="auto"/>
                <w:kern w:val="0"/>
                <w:sz w:val="22"/>
                <w:szCs w:val="22"/>
                <w:highlight w:val="none"/>
              </w:rPr>
            </w:pPr>
          </w:p>
        </w:tc>
        <w:tc>
          <w:tcPr>
            <w:tcW w:w="2261" w:type="dxa"/>
            <w:noWrap w:val="0"/>
            <w:vAlign w:val="center"/>
          </w:tcPr>
          <w:p w14:paraId="7713627F">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管理人群</w:t>
            </w:r>
          </w:p>
        </w:tc>
        <w:tc>
          <w:tcPr>
            <w:tcW w:w="1134" w:type="dxa"/>
            <w:vMerge w:val="continue"/>
            <w:noWrap w:val="0"/>
            <w:vAlign w:val="center"/>
          </w:tcPr>
          <w:p w14:paraId="237C2127">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3148EEC0">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2818B9FF">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55FC2C28">
            <w:pPr>
              <w:widowControl/>
              <w:spacing w:beforeLines="0"/>
              <w:jc w:val="left"/>
              <w:rPr>
                <w:rFonts w:ascii="宋体" w:hAnsi="宋体" w:cs="宋体"/>
                <w:color w:val="auto"/>
                <w:kern w:val="0"/>
                <w:sz w:val="22"/>
                <w:szCs w:val="22"/>
                <w:highlight w:val="none"/>
              </w:rPr>
            </w:pPr>
          </w:p>
        </w:tc>
      </w:tr>
      <w:tr w14:paraId="792F4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433F8F7A">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100</w:t>
            </w:r>
          </w:p>
        </w:tc>
        <w:tc>
          <w:tcPr>
            <w:tcW w:w="1745" w:type="dxa"/>
            <w:vMerge w:val="continue"/>
            <w:noWrap w:val="0"/>
            <w:vAlign w:val="center"/>
          </w:tcPr>
          <w:p w14:paraId="0C9F95D3">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5E038EB3">
            <w:pPr>
              <w:widowControl/>
              <w:spacing w:beforeLines="0"/>
              <w:jc w:val="left"/>
              <w:rPr>
                <w:rFonts w:ascii="宋体" w:hAnsi="宋体" w:cs="宋体"/>
                <w:color w:val="auto"/>
                <w:kern w:val="0"/>
                <w:sz w:val="22"/>
                <w:szCs w:val="22"/>
                <w:highlight w:val="none"/>
              </w:rPr>
            </w:pPr>
          </w:p>
        </w:tc>
        <w:tc>
          <w:tcPr>
            <w:tcW w:w="2261" w:type="dxa"/>
            <w:noWrap w:val="0"/>
            <w:vAlign w:val="center"/>
          </w:tcPr>
          <w:p w14:paraId="1B2417F7">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管理档案</w:t>
            </w:r>
          </w:p>
        </w:tc>
        <w:tc>
          <w:tcPr>
            <w:tcW w:w="1134" w:type="dxa"/>
            <w:vMerge w:val="continue"/>
            <w:noWrap w:val="0"/>
            <w:vAlign w:val="center"/>
          </w:tcPr>
          <w:p w14:paraId="7EA7793C">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1ED2555E">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485EA379">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2E540252">
            <w:pPr>
              <w:widowControl/>
              <w:spacing w:beforeLines="0"/>
              <w:jc w:val="left"/>
              <w:rPr>
                <w:rFonts w:ascii="宋体" w:hAnsi="宋体" w:cs="宋体"/>
                <w:color w:val="auto"/>
                <w:kern w:val="0"/>
                <w:sz w:val="22"/>
                <w:szCs w:val="22"/>
                <w:highlight w:val="none"/>
              </w:rPr>
            </w:pPr>
          </w:p>
        </w:tc>
      </w:tr>
      <w:tr w14:paraId="7FE7F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2EA54BF7">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101</w:t>
            </w:r>
          </w:p>
        </w:tc>
        <w:tc>
          <w:tcPr>
            <w:tcW w:w="1745" w:type="dxa"/>
            <w:vMerge w:val="continue"/>
            <w:noWrap w:val="0"/>
            <w:vAlign w:val="center"/>
          </w:tcPr>
          <w:p w14:paraId="268729F7">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783FD5C0">
            <w:pPr>
              <w:widowControl/>
              <w:spacing w:beforeLines="0"/>
              <w:jc w:val="left"/>
              <w:rPr>
                <w:rFonts w:ascii="宋体" w:hAnsi="宋体" w:cs="宋体"/>
                <w:color w:val="auto"/>
                <w:kern w:val="0"/>
                <w:sz w:val="22"/>
                <w:szCs w:val="22"/>
                <w:highlight w:val="none"/>
              </w:rPr>
            </w:pPr>
          </w:p>
        </w:tc>
        <w:tc>
          <w:tcPr>
            <w:tcW w:w="2261" w:type="dxa"/>
            <w:noWrap w:val="0"/>
            <w:vAlign w:val="center"/>
          </w:tcPr>
          <w:p w14:paraId="2A0CF88D">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慢阻肺病历</w:t>
            </w:r>
          </w:p>
        </w:tc>
        <w:tc>
          <w:tcPr>
            <w:tcW w:w="1134" w:type="dxa"/>
            <w:vMerge w:val="continue"/>
            <w:noWrap w:val="0"/>
            <w:vAlign w:val="center"/>
          </w:tcPr>
          <w:p w14:paraId="6C9D48C5">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041DC0D4">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5489EB2A">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4ECE87D6">
            <w:pPr>
              <w:widowControl/>
              <w:spacing w:beforeLines="0"/>
              <w:jc w:val="left"/>
              <w:rPr>
                <w:rFonts w:ascii="宋体" w:hAnsi="宋体" w:cs="宋体"/>
                <w:color w:val="auto"/>
                <w:kern w:val="0"/>
                <w:sz w:val="22"/>
                <w:szCs w:val="22"/>
                <w:highlight w:val="none"/>
              </w:rPr>
            </w:pPr>
          </w:p>
        </w:tc>
      </w:tr>
      <w:tr w14:paraId="3AF3C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01A7009D">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102</w:t>
            </w:r>
          </w:p>
        </w:tc>
        <w:tc>
          <w:tcPr>
            <w:tcW w:w="1745" w:type="dxa"/>
            <w:vMerge w:val="continue"/>
            <w:noWrap w:val="0"/>
            <w:vAlign w:val="center"/>
          </w:tcPr>
          <w:p w14:paraId="3E00F555">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166FA529">
            <w:pPr>
              <w:widowControl/>
              <w:spacing w:beforeLines="0"/>
              <w:jc w:val="left"/>
              <w:rPr>
                <w:rFonts w:ascii="宋体" w:hAnsi="宋体" w:cs="宋体"/>
                <w:color w:val="auto"/>
                <w:kern w:val="0"/>
                <w:sz w:val="22"/>
                <w:szCs w:val="22"/>
                <w:highlight w:val="none"/>
              </w:rPr>
            </w:pPr>
          </w:p>
        </w:tc>
        <w:tc>
          <w:tcPr>
            <w:tcW w:w="2261" w:type="dxa"/>
            <w:noWrap w:val="0"/>
            <w:vAlign w:val="center"/>
          </w:tcPr>
          <w:p w14:paraId="235AE29A">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管理方案模板</w:t>
            </w:r>
          </w:p>
        </w:tc>
        <w:tc>
          <w:tcPr>
            <w:tcW w:w="1134" w:type="dxa"/>
            <w:vMerge w:val="continue"/>
            <w:noWrap w:val="0"/>
            <w:vAlign w:val="center"/>
          </w:tcPr>
          <w:p w14:paraId="69ADF14D">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41F60525">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7A69C97B">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318DDB69">
            <w:pPr>
              <w:widowControl/>
              <w:spacing w:beforeLines="0"/>
              <w:jc w:val="left"/>
              <w:rPr>
                <w:rFonts w:ascii="宋体" w:hAnsi="宋体" w:cs="宋体"/>
                <w:color w:val="auto"/>
                <w:kern w:val="0"/>
                <w:sz w:val="22"/>
                <w:szCs w:val="22"/>
                <w:highlight w:val="none"/>
              </w:rPr>
            </w:pPr>
          </w:p>
        </w:tc>
      </w:tr>
      <w:tr w14:paraId="39406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337B0C1F">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103</w:t>
            </w:r>
          </w:p>
        </w:tc>
        <w:tc>
          <w:tcPr>
            <w:tcW w:w="1745" w:type="dxa"/>
            <w:vMerge w:val="continue"/>
            <w:noWrap w:val="0"/>
            <w:vAlign w:val="center"/>
          </w:tcPr>
          <w:p w14:paraId="5D3E3426">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0AED539D">
            <w:pPr>
              <w:widowControl/>
              <w:spacing w:beforeLines="0"/>
              <w:jc w:val="left"/>
              <w:rPr>
                <w:rFonts w:ascii="宋体" w:hAnsi="宋体" w:cs="宋体"/>
                <w:color w:val="auto"/>
                <w:kern w:val="0"/>
                <w:sz w:val="22"/>
                <w:szCs w:val="22"/>
                <w:highlight w:val="none"/>
              </w:rPr>
            </w:pPr>
          </w:p>
        </w:tc>
        <w:tc>
          <w:tcPr>
            <w:tcW w:w="2261" w:type="dxa"/>
            <w:noWrap w:val="0"/>
            <w:vAlign w:val="center"/>
          </w:tcPr>
          <w:p w14:paraId="27AEEB43">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管理方案制定</w:t>
            </w:r>
          </w:p>
        </w:tc>
        <w:tc>
          <w:tcPr>
            <w:tcW w:w="1134" w:type="dxa"/>
            <w:vMerge w:val="continue"/>
            <w:noWrap w:val="0"/>
            <w:vAlign w:val="center"/>
          </w:tcPr>
          <w:p w14:paraId="5BF2BCA1">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65F938D0">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1579B223">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24CF0DD4">
            <w:pPr>
              <w:widowControl/>
              <w:spacing w:beforeLines="0"/>
              <w:jc w:val="left"/>
              <w:rPr>
                <w:rFonts w:ascii="宋体" w:hAnsi="宋体" w:cs="宋体"/>
                <w:color w:val="auto"/>
                <w:kern w:val="0"/>
                <w:sz w:val="22"/>
                <w:szCs w:val="22"/>
                <w:highlight w:val="none"/>
              </w:rPr>
            </w:pPr>
          </w:p>
        </w:tc>
      </w:tr>
      <w:tr w14:paraId="614C2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1465997C">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104</w:t>
            </w:r>
          </w:p>
        </w:tc>
        <w:tc>
          <w:tcPr>
            <w:tcW w:w="1745" w:type="dxa"/>
            <w:vMerge w:val="continue"/>
            <w:noWrap w:val="0"/>
            <w:vAlign w:val="center"/>
          </w:tcPr>
          <w:p w14:paraId="1819EBB8">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715A5114">
            <w:pPr>
              <w:widowControl/>
              <w:spacing w:beforeLines="0"/>
              <w:jc w:val="left"/>
              <w:rPr>
                <w:rFonts w:ascii="宋体" w:hAnsi="宋体" w:cs="宋体"/>
                <w:color w:val="auto"/>
                <w:kern w:val="0"/>
                <w:sz w:val="22"/>
                <w:szCs w:val="22"/>
                <w:highlight w:val="none"/>
              </w:rPr>
            </w:pPr>
          </w:p>
        </w:tc>
        <w:tc>
          <w:tcPr>
            <w:tcW w:w="2261" w:type="dxa"/>
            <w:noWrap w:val="0"/>
            <w:vAlign w:val="center"/>
          </w:tcPr>
          <w:p w14:paraId="23E18059">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健康教育模板</w:t>
            </w:r>
          </w:p>
        </w:tc>
        <w:tc>
          <w:tcPr>
            <w:tcW w:w="1134" w:type="dxa"/>
            <w:vMerge w:val="continue"/>
            <w:noWrap w:val="0"/>
            <w:vAlign w:val="center"/>
          </w:tcPr>
          <w:p w14:paraId="79B5687F">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4D7A1C39">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2E6E5E82">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75986B9F">
            <w:pPr>
              <w:widowControl/>
              <w:spacing w:beforeLines="0"/>
              <w:jc w:val="left"/>
              <w:rPr>
                <w:rFonts w:ascii="宋体" w:hAnsi="宋体" w:cs="宋体"/>
                <w:color w:val="auto"/>
                <w:kern w:val="0"/>
                <w:sz w:val="22"/>
                <w:szCs w:val="22"/>
                <w:highlight w:val="none"/>
              </w:rPr>
            </w:pPr>
          </w:p>
        </w:tc>
      </w:tr>
      <w:tr w14:paraId="0753D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5FBF4B05">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105</w:t>
            </w:r>
          </w:p>
        </w:tc>
        <w:tc>
          <w:tcPr>
            <w:tcW w:w="1745" w:type="dxa"/>
            <w:vMerge w:val="continue"/>
            <w:noWrap w:val="0"/>
            <w:vAlign w:val="center"/>
          </w:tcPr>
          <w:p w14:paraId="3BA27B34">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648D302E">
            <w:pPr>
              <w:widowControl/>
              <w:spacing w:beforeLines="0"/>
              <w:jc w:val="left"/>
              <w:rPr>
                <w:rFonts w:ascii="宋体" w:hAnsi="宋体" w:cs="宋体"/>
                <w:color w:val="auto"/>
                <w:kern w:val="0"/>
                <w:sz w:val="22"/>
                <w:szCs w:val="22"/>
                <w:highlight w:val="none"/>
              </w:rPr>
            </w:pPr>
          </w:p>
        </w:tc>
        <w:tc>
          <w:tcPr>
            <w:tcW w:w="2261" w:type="dxa"/>
            <w:noWrap w:val="0"/>
            <w:vAlign w:val="center"/>
          </w:tcPr>
          <w:p w14:paraId="27860DF0">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健康宣教模板</w:t>
            </w:r>
          </w:p>
        </w:tc>
        <w:tc>
          <w:tcPr>
            <w:tcW w:w="1134" w:type="dxa"/>
            <w:vMerge w:val="continue"/>
            <w:noWrap w:val="0"/>
            <w:vAlign w:val="center"/>
          </w:tcPr>
          <w:p w14:paraId="6945569E">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30265770">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5D516FCE">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26D68A67">
            <w:pPr>
              <w:widowControl/>
              <w:spacing w:beforeLines="0"/>
              <w:jc w:val="left"/>
              <w:rPr>
                <w:rFonts w:ascii="宋体" w:hAnsi="宋体" w:cs="宋体"/>
                <w:color w:val="auto"/>
                <w:kern w:val="0"/>
                <w:sz w:val="22"/>
                <w:szCs w:val="22"/>
                <w:highlight w:val="none"/>
              </w:rPr>
            </w:pPr>
          </w:p>
        </w:tc>
      </w:tr>
      <w:tr w14:paraId="6AB59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4D46A03F">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106</w:t>
            </w:r>
          </w:p>
        </w:tc>
        <w:tc>
          <w:tcPr>
            <w:tcW w:w="1745" w:type="dxa"/>
            <w:vMerge w:val="continue"/>
            <w:noWrap w:val="0"/>
            <w:vAlign w:val="center"/>
          </w:tcPr>
          <w:p w14:paraId="47B5C446">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17B302D4">
            <w:pPr>
              <w:widowControl/>
              <w:spacing w:beforeLines="0"/>
              <w:jc w:val="left"/>
              <w:rPr>
                <w:rFonts w:ascii="宋体" w:hAnsi="宋体" w:cs="宋体"/>
                <w:color w:val="auto"/>
                <w:kern w:val="0"/>
                <w:sz w:val="22"/>
                <w:szCs w:val="22"/>
                <w:highlight w:val="none"/>
              </w:rPr>
            </w:pPr>
          </w:p>
        </w:tc>
        <w:tc>
          <w:tcPr>
            <w:tcW w:w="2261" w:type="dxa"/>
            <w:noWrap w:val="0"/>
            <w:vAlign w:val="center"/>
          </w:tcPr>
          <w:p w14:paraId="74D7A2A7">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健康教育制定</w:t>
            </w:r>
          </w:p>
        </w:tc>
        <w:tc>
          <w:tcPr>
            <w:tcW w:w="1134" w:type="dxa"/>
            <w:vMerge w:val="continue"/>
            <w:noWrap w:val="0"/>
            <w:vAlign w:val="center"/>
          </w:tcPr>
          <w:p w14:paraId="412A708A">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34A6894E">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42016E2C">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4DC03B67">
            <w:pPr>
              <w:widowControl/>
              <w:spacing w:beforeLines="0"/>
              <w:jc w:val="left"/>
              <w:rPr>
                <w:rFonts w:ascii="宋体" w:hAnsi="宋体" w:cs="宋体"/>
                <w:color w:val="auto"/>
                <w:kern w:val="0"/>
                <w:sz w:val="22"/>
                <w:szCs w:val="22"/>
                <w:highlight w:val="none"/>
              </w:rPr>
            </w:pPr>
          </w:p>
        </w:tc>
      </w:tr>
      <w:tr w14:paraId="0F6C0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0CB1478A">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107</w:t>
            </w:r>
          </w:p>
        </w:tc>
        <w:tc>
          <w:tcPr>
            <w:tcW w:w="1745" w:type="dxa"/>
            <w:vMerge w:val="continue"/>
            <w:noWrap w:val="0"/>
            <w:vAlign w:val="center"/>
          </w:tcPr>
          <w:p w14:paraId="04D4793D">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31491C38">
            <w:pPr>
              <w:widowControl/>
              <w:spacing w:beforeLines="0"/>
              <w:jc w:val="left"/>
              <w:rPr>
                <w:rFonts w:ascii="宋体" w:hAnsi="宋体" w:cs="宋体"/>
                <w:color w:val="auto"/>
                <w:kern w:val="0"/>
                <w:sz w:val="22"/>
                <w:szCs w:val="22"/>
                <w:highlight w:val="none"/>
              </w:rPr>
            </w:pPr>
          </w:p>
        </w:tc>
        <w:tc>
          <w:tcPr>
            <w:tcW w:w="2261" w:type="dxa"/>
            <w:noWrap w:val="0"/>
            <w:vAlign w:val="center"/>
          </w:tcPr>
          <w:p w14:paraId="11496521">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随访问卷模板</w:t>
            </w:r>
          </w:p>
        </w:tc>
        <w:tc>
          <w:tcPr>
            <w:tcW w:w="1134" w:type="dxa"/>
            <w:vMerge w:val="continue"/>
            <w:noWrap w:val="0"/>
            <w:vAlign w:val="center"/>
          </w:tcPr>
          <w:p w14:paraId="1D3F3C0C">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6F4D24A7">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440BD955">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626EF5D0">
            <w:pPr>
              <w:widowControl/>
              <w:spacing w:beforeLines="0"/>
              <w:jc w:val="left"/>
              <w:rPr>
                <w:rFonts w:ascii="宋体" w:hAnsi="宋体" w:cs="宋体"/>
                <w:color w:val="auto"/>
                <w:kern w:val="0"/>
                <w:sz w:val="22"/>
                <w:szCs w:val="22"/>
                <w:highlight w:val="none"/>
              </w:rPr>
            </w:pPr>
          </w:p>
        </w:tc>
      </w:tr>
      <w:tr w14:paraId="78375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249B5103">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108</w:t>
            </w:r>
          </w:p>
        </w:tc>
        <w:tc>
          <w:tcPr>
            <w:tcW w:w="1745" w:type="dxa"/>
            <w:vMerge w:val="continue"/>
            <w:noWrap w:val="0"/>
            <w:vAlign w:val="center"/>
          </w:tcPr>
          <w:p w14:paraId="1B7C13C0">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035748B0">
            <w:pPr>
              <w:widowControl/>
              <w:spacing w:beforeLines="0"/>
              <w:jc w:val="left"/>
              <w:rPr>
                <w:rFonts w:ascii="宋体" w:hAnsi="宋体" w:cs="宋体"/>
                <w:color w:val="auto"/>
                <w:kern w:val="0"/>
                <w:sz w:val="22"/>
                <w:szCs w:val="22"/>
                <w:highlight w:val="none"/>
              </w:rPr>
            </w:pPr>
          </w:p>
        </w:tc>
        <w:tc>
          <w:tcPr>
            <w:tcW w:w="2261" w:type="dxa"/>
            <w:noWrap w:val="0"/>
            <w:vAlign w:val="center"/>
          </w:tcPr>
          <w:p w14:paraId="3FC65F32">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随访结果查询</w:t>
            </w:r>
          </w:p>
        </w:tc>
        <w:tc>
          <w:tcPr>
            <w:tcW w:w="1134" w:type="dxa"/>
            <w:vMerge w:val="continue"/>
            <w:noWrap w:val="0"/>
            <w:vAlign w:val="center"/>
          </w:tcPr>
          <w:p w14:paraId="22795FA9">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4322E91E">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7A91B3CF">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4F21D8EF">
            <w:pPr>
              <w:widowControl/>
              <w:spacing w:beforeLines="0"/>
              <w:jc w:val="left"/>
              <w:rPr>
                <w:rFonts w:ascii="宋体" w:hAnsi="宋体" w:cs="宋体"/>
                <w:color w:val="auto"/>
                <w:kern w:val="0"/>
                <w:sz w:val="22"/>
                <w:szCs w:val="22"/>
                <w:highlight w:val="none"/>
              </w:rPr>
            </w:pPr>
          </w:p>
        </w:tc>
      </w:tr>
      <w:tr w14:paraId="3A659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3A137EA6">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109</w:t>
            </w:r>
          </w:p>
        </w:tc>
        <w:tc>
          <w:tcPr>
            <w:tcW w:w="1745" w:type="dxa"/>
            <w:vMerge w:val="continue"/>
            <w:noWrap w:val="0"/>
            <w:vAlign w:val="center"/>
          </w:tcPr>
          <w:p w14:paraId="4AF3841F">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1EB169DC">
            <w:pPr>
              <w:widowControl/>
              <w:spacing w:beforeLines="0"/>
              <w:jc w:val="left"/>
              <w:rPr>
                <w:rFonts w:ascii="宋体" w:hAnsi="宋体" w:cs="宋体"/>
                <w:color w:val="auto"/>
                <w:kern w:val="0"/>
                <w:sz w:val="22"/>
                <w:szCs w:val="22"/>
                <w:highlight w:val="none"/>
              </w:rPr>
            </w:pPr>
          </w:p>
        </w:tc>
        <w:tc>
          <w:tcPr>
            <w:tcW w:w="2261" w:type="dxa"/>
            <w:noWrap w:val="0"/>
            <w:vAlign w:val="center"/>
          </w:tcPr>
          <w:p w14:paraId="27221EF1">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随访数据收集</w:t>
            </w:r>
          </w:p>
        </w:tc>
        <w:tc>
          <w:tcPr>
            <w:tcW w:w="1134" w:type="dxa"/>
            <w:vMerge w:val="continue"/>
            <w:noWrap w:val="0"/>
            <w:vAlign w:val="center"/>
          </w:tcPr>
          <w:p w14:paraId="79B7FB4F">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10D275A7">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43A4F31A">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5F730DFF">
            <w:pPr>
              <w:widowControl/>
              <w:spacing w:beforeLines="0"/>
              <w:jc w:val="left"/>
              <w:rPr>
                <w:rFonts w:ascii="宋体" w:hAnsi="宋体" w:cs="宋体"/>
                <w:color w:val="auto"/>
                <w:kern w:val="0"/>
                <w:sz w:val="22"/>
                <w:szCs w:val="22"/>
                <w:highlight w:val="none"/>
              </w:rPr>
            </w:pPr>
          </w:p>
        </w:tc>
      </w:tr>
      <w:tr w14:paraId="0369F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7E071600">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110</w:t>
            </w:r>
          </w:p>
        </w:tc>
        <w:tc>
          <w:tcPr>
            <w:tcW w:w="1745" w:type="dxa"/>
            <w:vMerge w:val="continue"/>
            <w:noWrap w:val="0"/>
            <w:vAlign w:val="center"/>
          </w:tcPr>
          <w:p w14:paraId="301FFD82">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67DAFD0D">
            <w:pPr>
              <w:widowControl/>
              <w:spacing w:beforeLines="0"/>
              <w:jc w:val="left"/>
              <w:rPr>
                <w:rFonts w:ascii="宋体" w:hAnsi="宋体" w:cs="宋体"/>
                <w:color w:val="auto"/>
                <w:kern w:val="0"/>
                <w:sz w:val="22"/>
                <w:szCs w:val="22"/>
                <w:highlight w:val="none"/>
              </w:rPr>
            </w:pPr>
          </w:p>
        </w:tc>
        <w:tc>
          <w:tcPr>
            <w:tcW w:w="2261" w:type="dxa"/>
            <w:noWrap w:val="0"/>
            <w:vAlign w:val="center"/>
          </w:tcPr>
          <w:p w14:paraId="1F0AF69F">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随访数据统计</w:t>
            </w:r>
          </w:p>
        </w:tc>
        <w:tc>
          <w:tcPr>
            <w:tcW w:w="1134" w:type="dxa"/>
            <w:vMerge w:val="continue"/>
            <w:noWrap w:val="0"/>
            <w:vAlign w:val="center"/>
          </w:tcPr>
          <w:p w14:paraId="251CD233">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55A78746">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6BA03784">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0BE87D50">
            <w:pPr>
              <w:widowControl/>
              <w:spacing w:beforeLines="0"/>
              <w:jc w:val="left"/>
              <w:rPr>
                <w:rFonts w:ascii="宋体" w:hAnsi="宋体" w:cs="宋体"/>
                <w:color w:val="auto"/>
                <w:kern w:val="0"/>
                <w:sz w:val="22"/>
                <w:szCs w:val="22"/>
                <w:highlight w:val="none"/>
              </w:rPr>
            </w:pPr>
          </w:p>
        </w:tc>
      </w:tr>
      <w:tr w14:paraId="10AF8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48134203">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111</w:t>
            </w:r>
          </w:p>
        </w:tc>
        <w:tc>
          <w:tcPr>
            <w:tcW w:w="1745" w:type="dxa"/>
            <w:vMerge w:val="continue"/>
            <w:noWrap w:val="0"/>
            <w:vAlign w:val="center"/>
          </w:tcPr>
          <w:p w14:paraId="26DD5F37">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746505AC">
            <w:pPr>
              <w:widowControl/>
              <w:spacing w:beforeLines="0"/>
              <w:jc w:val="left"/>
              <w:rPr>
                <w:rFonts w:ascii="宋体" w:hAnsi="宋体" w:cs="宋体"/>
                <w:color w:val="auto"/>
                <w:kern w:val="0"/>
                <w:sz w:val="22"/>
                <w:szCs w:val="22"/>
                <w:highlight w:val="none"/>
              </w:rPr>
            </w:pPr>
          </w:p>
        </w:tc>
        <w:tc>
          <w:tcPr>
            <w:tcW w:w="2261" w:type="dxa"/>
            <w:noWrap w:val="0"/>
            <w:vAlign w:val="center"/>
          </w:tcPr>
          <w:p w14:paraId="7D44C740">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设备对接</w:t>
            </w:r>
          </w:p>
        </w:tc>
        <w:tc>
          <w:tcPr>
            <w:tcW w:w="1134" w:type="dxa"/>
            <w:vMerge w:val="continue"/>
            <w:noWrap w:val="0"/>
            <w:vAlign w:val="center"/>
          </w:tcPr>
          <w:p w14:paraId="08FDBBB5">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7FBD3C89">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65FDF280">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761F1CB9">
            <w:pPr>
              <w:widowControl/>
              <w:spacing w:beforeLines="0"/>
              <w:jc w:val="left"/>
              <w:rPr>
                <w:rFonts w:ascii="宋体" w:hAnsi="宋体" w:cs="宋体"/>
                <w:color w:val="auto"/>
                <w:kern w:val="0"/>
                <w:sz w:val="22"/>
                <w:szCs w:val="22"/>
                <w:highlight w:val="none"/>
              </w:rPr>
            </w:pPr>
          </w:p>
        </w:tc>
      </w:tr>
      <w:tr w14:paraId="2B94E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47909C33">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112</w:t>
            </w:r>
          </w:p>
        </w:tc>
        <w:tc>
          <w:tcPr>
            <w:tcW w:w="1745" w:type="dxa"/>
            <w:vMerge w:val="continue"/>
            <w:noWrap w:val="0"/>
            <w:vAlign w:val="center"/>
          </w:tcPr>
          <w:p w14:paraId="4D1D6FA8">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1E0109E2">
            <w:pPr>
              <w:widowControl/>
              <w:spacing w:beforeLines="0"/>
              <w:jc w:val="left"/>
              <w:rPr>
                <w:rFonts w:ascii="宋体" w:hAnsi="宋体" w:cs="宋体"/>
                <w:color w:val="auto"/>
                <w:kern w:val="0"/>
                <w:sz w:val="22"/>
                <w:szCs w:val="22"/>
                <w:highlight w:val="none"/>
              </w:rPr>
            </w:pPr>
          </w:p>
        </w:tc>
        <w:tc>
          <w:tcPr>
            <w:tcW w:w="2261" w:type="dxa"/>
            <w:noWrap w:val="0"/>
            <w:vAlign w:val="center"/>
          </w:tcPr>
          <w:p w14:paraId="30F925C9">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监测结果</w:t>
            </w:r>
          </w:p>
        </w:tc>
        <w:tc>
          <w:tcPr>
            <w:tcW w:w="1134" w:type="dxa"/>
            <w:vMerge w:val="continue"/>
            <w:noWrap w:val="0"/>
            <w:vAlign w:val="center"/>
          </w:tcPr>
          <w:p w14:paraId="065BB186">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496B7F35">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13D0E447">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52CF6750">
            <w:pPr>
              <w:widowControl/>
              <w:spacing w:beforeLines="0"/>
              <w:jc w:val="left"/>
              <w:rPr>
                <w:rFonts w:ascii="宋体" w:hAnsi="宋体" w:cs="宋体"/>
                <w:color w:val="auto"/>
                <w:kern w:val="0"/>
                <w:sz w:val="22"/>
                <w:szCs w:val="22"/>
                <w:highlight w:val="none"/>
              </w:rPr>
            </w:pPr>
          </w:p>
        </w:tc>
      </w:tr>
      <w:tr w14:paraId="46CB3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14BAE914">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113</w:t>
            </w:r>
          </w:p>
        </w:tc>
        <w:tc>
          <w:tcPr>
            <w:tcW w:w="1745" w:type="dxa"/>
            <w:vMerge w:val="continue"/>
            <w:noWrap w:val="0"/>
            <w:vAlign w:val="center"/>
          </w:tcPr>
          <w:p w14:paraId="4ADA40AA">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3E9EC28A">
            <w:pPr>
              <w:widowControl/>
              <w:spacing w:beforeLines="0"/>
              <w:jc w:val="left"/>
              <w:rPr>
                <w:rFonts w:ascii="宋体" w:hAnsi="宋体" w:cs="宋体"/>
                <w:color w:val="auto"/>
                <w:kern w:val="0"/>
                <w:sz w:val="22"/>
                <w:szCs w:val="22"/>
                <w:highlight w:val="none"/>
              </w:rPr>
            </w:pPr>
          </w:p>
        </w:tc>
        <w:tc>
          <w:tcPr>
            <w:tcW w:w="2261" w:type="dxa"/>
            <w:noWrap w:val="0"/>
            <w:vAlign w:val="center"/>
          </w:tcPr>
          <w:p w14:paraId="65F745D7">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指标监测统计</w:t>
            </w:r>
          </w:p>
        </w:tc>
        <w:tc>
          <w:tcPr>
            <w:tcW w:w="1134" w:type="dxa"/>
            <w:vMerge w:val="continue"/>
            <w:noWrap w:val="0"/>
            <w:vAlign w:val="center"/>
          </w:tcPr>
          <w:p w14:paraId="5E02418A">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1E65AC7B">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615BDF9D">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42F2D9FC">
            <w:pPr>
              <w:widowControl/>
              <w:spacing w:beforeLines="0"/>
              <w:jc w:val="left"/>
              <w:rPr>
                <w:rFonts w:ascii="宋体" w:hAnsi="宋体" w:cs="宋体"/>
                <w:color w:val="auto"/>
                <w:kern w:val="0"/>
                <w:sz w:val="22"/>
                <w:szCs w:val="22"/>
                <w:highlight w:val="none"/>
              </w:rPr>
            </w:pPr>
          </w:p>
        </w:tc>
      </w:tr>
      <w:tr w14:paraId="4E9F2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3305B112">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114</w:t>
            </w:r>
          </w:p>
        </w:tc>
        <w:tc>
          <w:tcPr>
            <w:tcW w:w="1745" w:type="dxa"/>
            <w:vMerge w:val="continue"/>
            <w:noWrap w:val="0"/>
            <w:vAlign w:val="center"/>
          </w:tcPr>
          <w:p w14:paraId="41A9B1AC">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0D70F78A">
            <w:pPr>
              <w:widowControl/>
              <w:spacing w:beforeLines="0"/>
              <w:jc w:val="left"/>
              <w:rPr>
                <w:rFonts w:ascii="宋体" w:hAnsi="宋体" w:cs="宋体"/>
                <w:color w:val="auto"/>
                <w:kern w:val="0"/>
                <w:sz w:val="22"/>
                <w:szCs w:val="22"/>
                <w:highlight w:val="none"/>
              </w:rPr>
            </w:pPr>
          </w:p>
        </w:tc>
        <w:tc>
          <w:tcPr>
            <w:tcW w:w="2261" w:type="dxa"/>
            <w:noWrap w:val="0"/>
            <w:vAlign w:val="center"/>
          </w:tcPr>
          <w:p w14:paraId="7C828E62">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危险预警</w:t>
            </w:r>
          </w:p>
        </w:tc>
        <w:tc>
          <w:tcPr>
            <w:tcW w:w="1134" w:type="dxa"/>
            <w:vMerge w:val="continue"/>
            <w:noWrap w:val="0"/>
            <w:vAlign w:val="center"/>
          </w:tcPr>
          <w:p w14:paraId="4244CEC7">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30C9A37E">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50BA5E6D">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719EA150">
            <w:pPr>
              <w:widowControl/>
              <w:spacing w:beforeLines="0"/>
              <w:jc w:val="left"/>
              <w:rPr>
                <w:rFonts w:ascii="宋体" w:hAnsi="宋体" w:cs="宋体"/>
                <w:color w:val="auto"/>
                <w:kern w:val="0"/>
                <w:sz w:val="22"/>
                <w:szCs w:val="22"/>
                <w:highlight w:val="none"/>
              </w:rPr>
            </w:pPr>
          </w:p>
        </w:tc>
      </w:tr>
      <w:tr w14:paraId="5DAC4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4703D376">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115</w:t>
            </w:r>
          </w:p>
        </w:tc>
        <w:tc>
          <w:tcPr>
            <w:tcW w:w="1745" w:type="dxa"/>
            <w:vMerge w:val="continue"/>
            <w:noWrap w:val="0"/>
            <w:vAlign w:val="center"/>
          </w:tcPr>
          <w:p w14:paraId="30CCA9C7">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6725370F">
            <w:pPr>
              <w:widowControl/>
              <w:spacing w:beforeLines="0"/>
              <w:jc w:val="left"/>
              <w:rPr>
                <w:rFonts w:ascii="宋体" w:hAnsi="宋体" w:cs="宋体"/>
                <w:color w:val="auto"/>
                <w:kern w:val="0"/>
                <w:sz w:val="22"/>
                <w:szCs w:val="22"/>
                <w:highlight w:val="none"/>
              </w:rPr>
            </w:pPr>
          </w:p>
        </w:tc>
        <w:tc>
          <w:tcPr>
            <w:tcW w:w="2261" w:type="dxa"/>
            <w:noWrap w:val="0"/>
            <w:vAlign w:val="center"/>
          </w:tcPr>
          <w:p w14:paraId="5D2EC215">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预警处理</w:t>
            </w:r>
          </w:p>
        </w:tc>
        <w:tc>
          <w:tcPr>
            <w:tcW w:w="1134" w:type="dxa"/>
            <w:vMerge w:val="continue"/>
            <w:noWrap w:val="0"/>
            <w:vAlign w:val="center"/>
          </w:tcPr>
          <w:p w14:paraId="4F127E3B">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5941D685">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7F1F5A0F">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2C4B9156">
            <w:pPr>
              <w:widowControl/>
              <w:spacing w:beforeLines="0"/>
              <w:jc w:val="left"/>
              <w:rPr>
                <w:rFonts w:ascii="宋体" w:hAnsi="宋体" w:cs="宋体"/>
                <w:color w:val="auto"/>
                <w:kern w:val="0"/>
                <w:sz w:val="22"/>
                <w:szCs w:val="22"/>
                <w:highlight w:val="none"/>
              </w:rPr>
            </w:pPr>
          </w:p>
        </w:tc>
      </w:tr>
      <w:tr w14:paraId="46C12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03A0F0D3">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116</w:t>
            </w:r>
          </w:p>
        </w:tc>
        <w:tc>
          <w:tcPr>
            <w:tcW w:w="1745" w:type="dxa"/>
            <w:vMerge w:val="continue"/>
            <w:noWrap w:val="0"/>
            <w:vAlign w:val="center"/>
          </w:tcPr>
          <w:p w14:paraId="12CE4344">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59315853">
            <w:pPr>
              <w:widowControl/>
              <w:spacing w:beforeLines="0"/>
              <w:jc w:val="left"/>
              <w:rPr>
                <w:rFonts w:ascii="宋体" w:hAnsi="宋体" w:cs="宋体"/>
                <w:color w:val="auto"/>
                <w:kern w:val="0"/>
                <w:sz w:val="22"/>
                <w:szCs w:val="22"/>
                <w:highlight w:val="none"/>
              </w:rPr>
            </w:pPr>
          </w:p>
        </w:tc>
        <w:tc>
          <w:tcPr>
            <w:tcW w:w="2261" w:type="dxa"/>
            <w:noWrap w:val="0"/>
            <w:vAlign w:val="center"/>
          </w:tcPr>
          <w:p w14:paraId="6EA081FE">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预警统计</w:t>
            </w:r>
          </w:p>
        </w:tc>
        <w:tc>
          <w:tcPr>
            <w:tcW w:w="1134" w:type="dxa"/>
            <w:vMerge w:val="continue"/>
            <w:noWrap w:val="0"/>
            <w:vAlign w:val="center"/>
          </w:tcPr>
          <w:p w14:paraId="0F0762F1">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53034624">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7D1E097A">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75A53877">
            <w:pPr>
              <w:widowControl/>
              <w:spacing w:beforeLines="0"/>
              <w:jc w:val="left"/>
              <w:rPr>
                <w:rFonts w:ascii="宋体" w:hAnsi="宋体" w:cs="宋体"/>
                <w:color w:val="auto"/>
                <w:kern w:val="0"/>
                <w:sz w:val="22"/>
                <w:szCs w:val="22"/>
                <w:highlight w:val="none"/>
              </w:rPr>
            </w:pPr>
          </w:p>
        </w:tc>
      </w:tr>
      <w:tr w14:paraId="20320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451E1B07">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117</w:t>
            </w:r>
          </w:p>
        </w:tc>
        <w:tc>
          <w:tcPr>
            <w:tcW w:w="1745" w:type="dxa"/>
            <w:vMerge w:val="continue"/>
            <w:noWrap w:val="0"/>
            <w:vAlign w:val="center"/>
          </w:tcPr>
          <w:p w14:paraId="7A47951B">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346EB8C3">
            <w:pPr>
              <w:widowControl/>
              <w:spacing w:beforeLines="0"/>
              <w:jc w:val="left"/>
              <w:rPr>
                <w:rFonts w:ascii="宋体" w:hAnsi="宋体" w:cs="宋体"/>
                <w:color w:val="auto"/>
                <w:kern w:val="0"/>
                <w:sz w:val="22"/>
                <w:szCs w:val="22"/>
                <w:highlight w:val="none"/>
              </w:rPr>
            </w:pPr>
          </w:p>
        </w:tc>
        <w:tc>
          <w:tcPr>
            <w:tcW w:w="2261" w:type="dxa"/>
            <w:noWrap w:val="0"/>
            <w:vAlign w:val="center"/>
          </w:tcPr>
          <w:p w14:paraId="5C2DABB2">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线上问诊</w:t>
            </w:r>
          </w:p>
        </w:tc>
        <w:tc>
          <w:tcPr>
            <w:tcW w:w="1134" w:type="dxa"/>
            <w:vMerge w:val="continue"/>
            <w:noWrap w:val="0"/>
            <w:vAlign w:val="center"/>
          </w:tcPr>
          <w:p w14:paraId="0EA0AADA">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666C3312">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2AD24D4E">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5F0F16AF">
            <w:pPr>
              <w:widowControl/>
              <w:spacing w:beforeLines="0"/>
              <w:jc w:val="left"/>
              <w:rPr>
                <w:rFonts w:ascii="宋体" w:hAnsi="宋体" w:cs="宋体"/>
                <w:color w:val="auto"/>
                <w:kern w:val="0"/>
                <w:sz w:val="22"/>
                <w:szCs w:val="22"/>
                <w:highlight w:val="none"/>
              </w:rPr>
            </w:pPr>
          </w:p>
        </w:tc>
      </w:tr>
      <w:tr w14:paraId="3379C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08E49F7D">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118</w:t>
            </w:r>
          </w:p>
        </w:tc>
        <w:tc>
          <w:tcPr>
            <w:tcW w:w="1745" w:type="dxa"/>
            <w:vMerge w:val="continue"/>
            <w:noWrap w:val="0"/>
            <w:vAlign w:val="center"/>
          </w:tcPr>
          <w:p w14:paraId="7422F61E">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09E1E44C">
            <w:pPr>
              <w:widowControl/>
              <w:spacing w:beforeLines="0"/>
              <w:jc w:val="left"/>
              <w:rPr>
                <w:rFonts w:ascii="宋体" w:hAnsi="宋体" w:cs="宋体"/>
                <w:color w:val="auto"/>
                <w:kern w:val="0"/>
                <w:sz w:val="22"/>
                <w:szCs w:val="22"/>
                <w:highlight w:val="none"/>
              </w:rPr>
            </w:pPr>
          </w:p>
        </w:tc>
        <w:tc>
          <w:tcPr>
            <w:tcW w:w="2261" w:type="dxa"/>
            <w:noWrap w:val="0"/>
            <w:vAlign w:val="center"/>
          </w:tcPr>
          <w:p w14:paraId="3F0BF87F">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智能分诊</w:t>
            </w:r>
          </w:p>
        </w:tc>
        <w:tc>
          <w:tcPr>
            <w:tcW w:w="1134" w:type="dxa"/>
            <w:vMerge w:val="continue"/>
            <w:noWrap w:val="0"/>
            <w:vAlign w:val="center"/>
          </w:tcPr>
          <w:p w14:paraId="721A2B9D">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2BED5808">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2C1304C0">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54EAEF0F">
            <w:pPr>
              <w:widowControl/>
              <w:spacing w:beforeLines="0"/>
              <w:jc w:val="left"/>
              <w:rPr>
                <w:rFonts w:ascii="宋体" w:hAnsi="宋体" w:cs="宋体"/>
                <w:color w:val="auto"/>
                <w:kern w:val="0"/>
                <w:sz w:val="22"/>
                <w:szCs w:val="22"/>
                <w:highlight w:val="none"/>
              </w:rPr>
            </w:pPr>
          </w:p>
        </w:tc>
      </w:tr>
      <w:tr w14:paraId="546A2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1E7935F1">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119</w:t>
            </w:r>
          </w:p>
        </w:tc>
        <w:tc>
          <w:tcPr>
            <w:tcW w:w="1745" w:type="dxa"/>
            <w:vMerge w:val="continue"/>
            <w:noWrap w:val="0"/>
            <w:vAlign w:val="center"/>
          </w:tcPr>
          <w:p w14:paraId="429BE047">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234D2006">
            <w:pPr>
              <w:widowControl/>
              <w:spacing w:beforeLines="0"/>
              <w:jc w:val="left"/>
              <w:rPr>
                <w:rFonts w:ascii="宋体" w:hAnsi="宋体" w:cs="宋体"/>
                <w:color w:val="auto"/>
                <w:kern w:val="0"/>
                <w:sz w:val="22"/>
                <w:szCs w:val="22"/>
                <w:highlight w:val="none"/>
              </w:rPr>
            </w:pPr>
          </w:p>
        </w:tc>
        <w:tc>
          <w:tcPr>
            <w:tcW w:w="2261" w:type="dxa"/>
            <w:noWrap w:val="0"/>
            <w:vAlign w:val="center"/>
          </w:tcPr>
          <w:p w14:paraId="02A422D0">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线上问诊统计</w:t>
            </w:r>
          </w:p>
        </w:tc>
        <w:tc>
          <w:tcPr>
            <w:tcW w:w="1134" w:type="dxa"/>
            <w:vMerge w:val="continue"/>
            <w:noWrap w:val="0"/>
            <w:vAlign w:val="center"/>
          </w:tcPr>
          <w:p w14:paraId="047DDE52">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580E0E6C">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781D8DE4">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609C88B4">
            <w:pPr>
              <w:widowControl/>
              <w:spacing w:beforeLines="0"/>
              <w:jc w:val="left"/>
              <w:rPr>
                <w:rFonts w:ascii="宋体" w:hAnsi="宋体" w:cs="宋体"/>
                <w:color w:val="auto"/>
                <w:kern w:val="0"/>
                <w:sz w:val="22"/>
                <w:szCs w:val="22"/>
                <w:highlight w:val="none"/>
              </w:rPr>
            </w:pPr>
          </w:p>
        </w:tc>
      </w:tr>
      <w:tr w14:paraId="72CE3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2B91DE35">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120</w:t>
            </w:r>
          </w:p>
        </w:tc>
        <w:tc>
          <w:tcPr>
            <w:tcW w:w="1745" w:type="dxa"/>
            <w:vMerge w:val="continue"/>
            <w:noWrap w:val="0"/>
            <w:vAlign w:val="center"/>
          </w:tcPr>
          <w:p w14:paraId="3E45022F">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23885876">
            <w:pPr>
              <w:widowControl/>
              <w:spacing w:beforeLines="0"/>
              <w:jc w:val="left"/>
              <w:rPr>
                <w:rFonts w:ascii="宋体" w:hAnsi="宋体" w:cs="宋体"/>
                <w:color w:val="auto"/>
                <w:kern w:val="0"/>
                <w:sz w:val="22"/>
                <w:szCs w:val="22"/>
                <w:highlight w:val="none"/>
              </w:rPr>
            </w:pPr>
          </w:p>
        </w:tc>
        <w:tc>
          <w:tcPr>
            <w:tcW w:w="2261" w:type="dxa"/>
            <w:noWrap w:val="0"/>
            <w:vAlign w:val="center"/>
          </w:tcPr>
          <w:p w14:paraId="1B3AE55E">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双向转诊</w:t>
            </w:r>
          </w:p>
        </w:tc>
        <w:tc>
          <w:tcPr>
            <w:tcW w:w="1134" w:type="dxa"/>
            <w:vMerge w:val="continue"/>
            <w:noWrap w:val="0"/>
            <w:vAlign w:val="center"/>
          </w:tcPr>
          <w:p w14:paraId="7A4FFC35">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638E5EC1">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5639C296">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7C4AE9E6">
            <w:pPr>
              <w:widowControl/>
              <w:spacing w:beforeLines="0"/>
              <w:jc w:val="left"/>
              <w:rPr>
                <w:rFonts w:ascii="宋体" w:hAnsi="宋体" w:cs="宋体"/>
                <w:color w:val="auto"/>
                <w:kern w:val="0"/>
                <w:sz w:val="22"/>
                <w:szCs w:val="22"/>
                <w:highlight w:val="none"/>
              </w:rPr>
            </w:pPr>
          </w:p>
        </w:tc>
      </w:tr>
      <w:tr w14:paraId="12A33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64888E36">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121</w:t>
            </w:r>
          </w:p>
        </w:tc>
        <w:tc>
          <w:tcPr>
            <w:tcW w:w="1745" w:type="dxa"/>
            <w:vMerge w:val="continue"/>
            <w:noWrap w:val="0"/>
            <w:vAlign w:val="center"/>
          </w:tcPr>
          <w:p w14:paraId="413A85AF">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77871CE6">
            <w:pPr>
              <w:widowControl/>
              <w:spacing w:beforeLines="0"/>
              <w:jc w:val="left"/>
              <w:rPr>
                <w:rFonts w:ascii="宋体" w:hAnsi="宋体" w:cs="宋体"/>
                <w:color w:val="auto"/>
                <w:kern w:val="0"/>
                <w:sz w:val="22"/>
                <w:szCs w:val="22"/>
                <w:highlight w:val="none"/>
              </w:rPr>
            </w:pPr>
          </w:p>
        </w:tc>
        <w:tc>
          <w:tcPr>
            <w:tcW w:w="2261" w:type="dxa"/>
            <w:noWrap w:val="0"/>
            <w:vAlign w:val="center"/>
          </w:tcPr>
          <w:p w14:paraId="0E31C815">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消息模板</w:t>
            </w:r>
          </w:p>
        </w:tc>
        <w:tc>
          <w:tcPr>
            <w:tcW w:w="1134" w:type="dxa"/>
            <w:vMerge w:val="continue"/>
            <w:noWrap w:val="0"/>
            <w:vAlign w:val="center"/>
          </w:tcPr>
          <w:p w14:paraId="189FB774">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60F13FD5">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7936AC00">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74B5E520">
            <w:pPr>
              <w:widowControl/>
              <w:spacing w:beforeLines="0"/>
              <w:jc w:val="left"/>
              <w:rPr>
                <w:rFonts w:ascii="宋体" w:hAnsi="宋体" w:cs="宋体"/>
                <w:color w:val="auto"/>
                <w:kern w:val="0"/>
                <w:sz w:val="22"/>
                <w:szCs w:val="22"/>
                <w:highlight w:val="none"/>
              </w:rPr>
            </w:pPr>
          </w:p>
        </w:tc>
      </w:tr>
      <w:tr w14:paraId="1623E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7F7BFF0D">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122</w:t>
            </w:r>
          </w:p>
        </w:tc>
        <w:tc>
          <w:tcPr>
            <w:tcW w:w="1745" w:type="dxa"/>
            <w:vMerge w:val="continue"/>
            <w:noWrap w:val="0"/>
            <w:vAlign w:val="center"/>
          </w:tcPr>
          <w:p w14:paraId="69E2822B">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5E581C44">
            <w:pPr>
              <w:widowControl/>
              <w:spacing w:beforeLines="0"/>
              <w:jc w:val="left"/>
              <w:rPr>
                <w:rFonts w:ascii="宋体" w:hAnsi="宋体" w:cs="宋体"/>
                <w:color w:val="auto"/>
                <w:kern w:val="0"/>
                <w:sz w:val="22"/>
                <w:szCs w:val="22"/>
                <w:highlight w:val="none"/>
              </w:rPr>
            </w:pPr>
          </w:p>
        </w:tc>
        <w:tc>
          <w:tcPr>
            <w:tcW w:w="2261" w:type="dxa"/>
            <w:noWrap w:val="0"/>
            <w:vAlign w:val="center"/>
          </w:tcPr>
          <w:p w14:paraId="77B0E81E">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消息记录</w:t>
            </w:r>
          </w:p>
        </w:tc>
        <w:tc>
          <w:tcPr>
            <w:tcW w:w="1134" w:type="dxa"/>
            <w:vMerge w:val="continue"/>
            <w:noWrap w:val="0"/>
            <w:vAlign w:val="center"/>
          </w:tcPr>
          <w:p w14:paraId="7710BDC8">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6951C2ED">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03E7EE1E">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3E49D94B">
            <w:pPr>
              <w:widowControl/>
              <w:spacing w:beforeLines="0"/>
              <w:jc w:val="left"/>
              <w:rPr>
                <w:rFonts w:ascii="宋体" w:hAnsi="宋体" w:cs="宋体"/>
                <w:color w:val="auto"/>
                <w:kern w:val="0"/>
                <w:sz w:val="22"/>
                <w:szCs w:val="22"/>
                <w:highlight w:val="none"/>
              </w:rPr>
            </w:pPr>
          </w:p>
        </w:tc>
      </w:tr>
      <w:tr w14:paraId="2D52D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0F96B431">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123</w:t>
            </w:r>
          </w:p>
        </w:tc>
        <w:tc>
          <w:tcPr>
            <w:tcW w:w="1745" w:type="dxa"/>
            <w:vMerge w:val="continue"/>
            <w:noWrap w:val="0"/>
            <w:vAlign w:val="center"/>
          </w:tcPr>
          <w:p w14:paraId="6131D1A4">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0814A8BF">
            <w:pPr>
              <w:widowControl/>
              <w:spacing w:beforeLines="0"/>
              <w:jc w:val="left"/>
              <w:rPr>
                <w:rFonts w:ascii="宋体" w:hAnsi="宋体" w:cs="宋体"/>
                <w:color w:val="auto"/>
                <w:kern w:val="0"/>
                <w:sz w:val="22"/>
                <w:szCs w:val="22"/>
                <w:highlight w:val="none"/>
              </w:rPr>
            </w:pPr>
          </w:p>
        </w:tc>
        <w:tc>
          <w:tcPr>
            <w:tcW w:w="2261" w:type="dxa"/>
            <w:noWrap w:val="0"/>
            <w:vAlign w:val="center"/>
          </w:tcPr>
          <w:p w14:paraId="50F8BF56">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短信平台对接</w:t>
            </w:r>
          </w:p>
        </w:tc>
        <w:tc>
          <w:tcPr>
            <w:tcW w:w="1134" w:type="dxa"/>
            <w:vMerge w:val="continue"/>
            <w:noWrap w:val="0"/>
            <w:vAlign w:val="center"/>
          </w:tcPr>
          <w:p w14:paraId="04B0E75C">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75BC0906">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7854572F">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046CDB79">
            <w:pPr>
              <w:widowControl/>
              <w:spacing w:beforeLines="0"/>
              <w:jc w:val="left"/>
              <w:rPr>
                <w:rFonts w:ascii="宋体" w:hAnsi="宋体" w:cs="宋体"/>
                <w:color w:val="auto"/>
                <w:kern w:val="0"/>
                <w:sz w:val="22"/>
                <w:szCs w:val="22"/>
                <w:highlight w:val="none"/>
              </w:rPr>
            </w:pPr>
          </w:p>
        </w:tc>
      </w:tr>
      <w:tr w14:paraId="3978F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73C3B75E">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124</w:t>
            </w:r>
          </w:p>
        </w:tc>
        <w:tc>
          <w:tcPr>
            <w:tcW w:w="1745" w:type="dxa"/>
            <w:vMerge w:val="continue"/>
            <w:noWrap w:val="0"/>
            <w:vAlign w:val="center"/>
          </w:tcPr>
          <w:p w14:paraId="7813C286">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05E0013C">
            <w:pPr>
              <w:widowControl/>
              <w:spacing w:beforeLines="0"/>
              <w:jc w:val="left"/>
              <w:rPr>
                <w:rFonts w:ascii="宋体" w:hAnsi="宋体" w:cs="宋体"/>
                <w:color w:val="auto"/>
                <w:kern w:val="0"/>
                <w:sz w:val="22"/>
                <w:szCs w:val="22"/>
                <w:highlight w:val="none"/>
              </w:rPr>
            </w:pPr>
          </w:p>
        </w:tc>
        <w:tc>
          <w:tcPr>
            <w:tcW w:w="2261" w:type="dxa"/>
            <w:noWrap w:val="0"/>
            <w:vAlign w:val="center"/>
          </w:tcPr>
          <w:p w14:paraId="0F07F16A">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可视化统计分析</w:t>
            </w:r>
          </w:p>
        </w:tc>
        <w:tc>
          <w:tcPr>
            <w:tcW w:w="1134" w:type="dxa"/>
            <w:vMerge w:val="continue"/>
            <w:noWrap w:val="0"/>
            <w:vAlign w:val="center"/>
          </w:tcPr>
          <w:p w14:paraId="6ADBD156">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6392F179">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2208B015">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45BAD0C0">
            <w:pPr>
              <w:widowControl/>
              <w:spacing w:beforeLines="0"/>
              <w:jc w:val="left"/>
              <w:rPr>
                <w:rFonts w:ascii="宋体" w:hAnsi="宋体" w:cs="宋体"/>
                <w:color w:val="auto"/>
                <w:kern w:val="0"/>
                <w:sz w:val="22"/>
                <w:szCs w:val="22"/>
                <w:highlight w:val="none"/>
              </w:rPr>
            </w:pPr>
          </w:p>
        </w:tc>
      </w:tr>
      <w:tr w14:paraId="178F3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5E30836E">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125</w:t>
            </w:r>
          </w:p>
        </w:tc>
        <w:tc>
          <w:tcPr>
            <w:tcW w:w="1745" w:type="dxa"/>
            <w:vMerge w:val="continue"/>
            <w:noWrap w:val="0"/>
            <w:vAlign w:val="center"/>
          </w:tcPr>
          <w:p w14:paraId="4C68FE89">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73DDF540">
            <w:pPr>
              <w:widowControl/>
              <w:spacing w:beforeLines="0"/>
              <w:jc w:val="left"/>
              <w:rPr>
                <w:rFonts w:ascii="宋体" w:hAnsi="宋体" w:cs="宋体"/>
                <w:color w:val="auto"/>
                <w:kern w:val="0"/>
                <w:sz w:val="22"/>
                <w:szCs w:val="22"/>
                <w:highlight w:val="none"/>
              </w:rPr>
            </w:pPr>
          </w:p>
        </w:tc>
        <w:tc>
          <w:tcPr>
            <w:tcW w:w="2261" w:type="dxa"/>
            <w:noWrap w:val="0"/>
            <w:vAlign w:val="center"/>
          </w:tcPr>
          <w:p w14:paraId="63E110CE">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绩效考核统计分析</w:t>
            </w:r>
          </w:p>
        </w:tc>
        <w:tc>
          <w:tcPr>
            <w:tcW w:w="1134" w:type="dxa"/>
            <w:vMerge w:val="continue"/>
            <w:noWrap w:val="0"/>
            <w:vAlign w:val="center"/>
          </w:tcPr>
          <w:p w14:paraId="6A877594">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7A15AB6E">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1BF3F4B4">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21CA636A">
            <w:pPr>
              <w:widowControl/>
              <w:spacing w:beforeLines="0"/>
              <w:jc w:val="left"/>
              <w:rPr>
                <w:rFonts w:ascii="宋体" w:hAnsi="宋体" w:cs="宋体"/>
                <w:color w:val="auto"/>
                <w:kern w:val="0"/>
                <w:sz w:val="22"/>
                <w:szCs w:val="22"/>
                <w:highlight w:val="none"/>
              </w:rPr>
            </w:pPr>
          </w:p>
        </w:tc>
      </w:tr>
      <w:tr w14:paraId="65188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1592493E">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126</w:t>
            </w:r>
          </w:p>
        </w:tc>
        <w:tc>
          <w:tcPr>
            <w:tcW w:w="1745" w:type="dxa"/>
            <w:vMerge w:val="continue"/>
            <w:noWrap w:val="0"/>
            <w:vAlign w:val="center"/>
          </w:tcPr>
          <w:p w14:paraId="498790C0">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17789DF6">
            <w:pPr>
              <w:widowControl/>
              <w:spacing w:beforeLines="0"/>
              <w:jc w:val="left"/>
              <w:rPr>
                <w:rFonts w:ascii="宋体" w:hAnsi="宋体" w:cs="宋体"/>
                <w:color w:val="auto"/>
                <w:kern w:val="0"/>
                <w:sz w:val="22"/>
                <w:szCs w:val="22"/>
                <w:highlight w:val="none"/>
              </w:rPr>
            </w:pPr>
          </w:p>
        </w:tc>
        <w:tc>
          <w:tcPr>
            <w:tcW w:w="2261" w:type="dxa"/>
            <w:noWrap w:val="0"/>
            <w:vAlign w:val="center"/>
          </w:tcPr>
          <w:p w14:paraId="4B731EE0">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待办事项</w:t>
            </w:r>
          </w:p>
        </w:tc>
        <w:tc>
          <w:tcPr>
            <w:tcW w:w="1134" w:type="dxa"/>
            <w:vMerge w:val="continue"/>
            <w:noWrap w:val="0"/>
            <w:vAlign w:val="center"/>
          </w:tcPr>
          <w:p w14:paraId="20963F5C">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4E883812">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76111741">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62A4AF00">
            <w:pPr>
              <w:widowControl/>
              <w:spacing w:beforeLines="0"/>
              <w:jc w:val="left"/>
              <w:rPr>
                <w:rFonts w:ascii="宋体" w:hAnsi="宋体" w:cs="宋体"/>
                <w:color w:val="auto"/>
                <w:kern w:val="0"/>
                <w:sz w:val="22"/>
                <w:szCs w:val="22"/>
                <w:highlight w:val="none"/>
              </w:rPr>
            </w:pPr>
          </w:p>
        </w:tc>
      </w:tr>
      <w:tr w14:paraId="4B96B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69AC8167">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127</w:t>
            </w:r>
          </w:p>
        </w:tc>
        <w:tc>
          <w:tcPr>
            <w:tcW w:w="1745" w:type="dxa"/>
            <w:vMerge w:val="continue"/>
            <w:noWrap w:val="0"/>
            <w:vAlign w:val="center"/>
          </w:tcPr>
          <w:p w14:paraId="3B554BC6">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09F4E31E">
            <w:pPr>
              <w:widowControl/>
              <w:spacing w:beforeLines="0"/>
              <w:jc w:val="left"/>
              <w:rPr>
                <w:rFonts w:ascii="宋体" w:hAnsi="宋体" w:cs="宋体"/>
                <w:color w:val="auto"/>
                <w:kern w:val="0"/>
                <w:sz w:val="22"/>
                <w:szCs w:val="22"/>
                <w:highlight w:val="none"/>
              </w:rPr>
            </w:pPr>
          </w:p>
        </w:tc>
        <w:tc>
          <w:tcPr>
            <w:tcW w:w="2261" w:type="dxa"/>
            <w:noWrap w:val="0"/>
            <w:vAlign w:val="center"/>
          </w:tcPr>
          <w:p w14:paraId="790814F9">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患者端首页</w:t>
            </w:r>
          </w:p>
        </w:tc>
        <w:tc>
          <w:tcPr>
            <w:tcW w:w="1134" w:type="dxa"/>
            <w:vMerge w:val="continue"/>
            <w:noWrap w:val="0"/>
            <w:vAlign w:val="center"/>
          </w:tcPr>
          <w:p w14:paraId="2AD982E9">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5804EA7A">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4F21376F">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1ADF4782">
            <w:pPr>
              <w:widowControl/>
              <w:spacing w:beforeLines="0"/>
              <w:jc w:val="left"/>
              <w:rPr>
                <w:rFonts w:ascii="宋体" w:hAnsi="宋体" w:cs="宋体"/>
                <w:color w:val="auto"/>
                <w:kern w:val="0"/>
                <w:sz w:val="22"/>
                <w:szCs w:val="22"/>
                <w:highlight w:val="none"/>
              </w:rPr>
            </w:pPr>
          </w:p>
        </w:tc>
      </w:tr>
      <w:tr w14:paraId="60326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289715EF">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128</w:t>
            </w:r>
          </w:p>
        </w:tc>
        <w:tc>
          <w:tcPr>
            <w:tcW w:w="1745" w:type="dxa"/>
            <w:vMerge w:val="continue"/>
            <w:noWrap w:val="0"/>
            <w:vAlign w:val="center"/>
          </w:tcPr>
          <w:p w14:paraId="305BBE60">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701586D7">
            <w:pPr>
              <w:widowControl/>
              <w:spacing w:beforeLines="0"/>
              <w:jc w:val="left"/>
              <w:rPr>
                <w:rFonts w:ascii="宋体" w:hAnsi="宋体" w:cs="宋体"/>
                <w:color w:val="auto"/>
                <w:kern w:val="0"/>
                <w:sz w:val="22"/>
                <w:szCs w:val="22"/>
                <w:highlight w:val="none"/>
              </w:rPr>
            </w:pPr>
          </w:p>
        </w:tc>
        <w:tc>
          <w:tcPr>
            <w:tcW w:w="2261" w:type="dxa"/>
            <w:noWrap w:val="0"/>
            <w:vAlign w:val="center"/>
          </w:tcPr>
          <w:p w14:paraId="38C24C01">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患者端消息中心</w:t>
            </w:r>
          </w:p>
        </w:tc>
        <w:tc>
          <w:tcPr>
            <w:tcW w:w="1134" w:type="dxa"/>
            <w:vMerge w:val="continue"/>
            <w:noWrap w:val="0"/>
            <w:vAlign w:val="center"/>
          </w:tcPr>
          <w:p w14:paraId="516205DA">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6497D0E2">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5ADAEB7D">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1973BF71">
            <w:pPr>
              <w:widowControl/>
              <w:spacing w:beforeLines="0"/>
              <w:jc w:val="left"/>
              <w:rPr>
                <w:rFonts w:ascii="宋体" w:hAnsi="宋体" w:cs="宋体"/>
                <w:color w:val="auto"/>
                <w:kern w:val="0"/>
                <w:sz w:val="22"/>
                <w:szCs w:val="22"/>
                <w:highlight w:val="none"/>
              </w:rPr>
            </w:pPr>
          </w:p>
        </w:tc>
      </w:tr>
      <w:tr w14:paraId="1F00E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15DDCDB5">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129</w:t>
            </w:r>
          </w:p>
        </w:tc>
        <w:tc>
          <w:tcPr>
            <w:tcW w:w="1745" w:type="dxa"/>
            <w:vMerge w:val="continue"/>
            <w:noWrap w:val="0"/>
            <w:vAlign w:val="center"/>
          </w:tcPr>
          <w:p w14:paraId="59B39DAD">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1E22A81B">
            <w:pPr>
              <w:widowControl/>
              <w:spacing w:beforeLines="0"/>
              <w:jc w:val="left"/>
              <w:rPr>
                <w:rFonts w:ascii="宋体" w:hAnsi="宋体" w:cs="宋体"/>
                <w:color w:val="auto"/>
                <w:kern w:val="0"/>
                <w:sz w:val="22"/>
                <w:szCs w:val="22"/>
                <w:highlight w:val="none"/>
              </w:rPr>
            </w:pPr>
          </w:p>
        </w:tc>
        <w:tc>
          <w:tcPr>
            <w:tcW w:w="2261" w:type="dxa"/>
            <w:noWrap w:val="0"/>
            <w:vAlign w:val="center"/>
          </w:tcPr>
          <w:p w14:paraId="27FBA21D">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患者端我的</w:t>
            </w:r>
          </w:p>
        </w:tc>
        <w:tc>
          <w:tcPr>
            <w:tcW w:w="1134" w:type="dxa"/>
            <w:vMerge w:val="continue"/>
            <w:noWrap w:val="0"/>
            <w:vAlign w:val="center"/>
          </w:tcPr>
          <w:p w14:paraId="46AE6016">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197AEA0C">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1BA4DA85">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1021CC2C">
            <w:pPr>
              <w:widowControl/>
              <w:spacing w:beforeLines="0"/>
              <w:jc w:val="left"/>
              <w:rPr>
                <w:rFonts w:ascii="宋体" w:hAnsi="宋体" w:cs="宋体"/>
                <w:color w:val="auto"/>
                <w:kern w:val="0"/>
                <w:sz w:val="22"/>
                <w:szCs w:val="22"/>
                <w:highlight w:val="none"/>
              </w:rPr>
            </w:pPr>
          </w:p>
        </w:tc>
      </w:tr>
      <w:tr w14:paraId="5BD5C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06" w:type="dxa"/>
            <w:noWrap/>
            <w:vAlign w:val="center"/>
          </w:tcPr>
          <w:p w14:paraId="1D2DB972">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130</w:t>
            </w:r>
          </w:p>
        </w:tc>
        <w:tc>
          <w:tcPr>
            <w:tcW w:w="1745" w:type="dxa"/>
            <w:vMerge w:val="continue"/>
            <w:noWrap w:val="0"/>
            <w:vAlign w:val="center"/>
          </w:tcPr>
          <w:p w14:paraId="758480FD">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55BA3D20">
            <w:pPr>
              <w:widowControl/>
              <w:spacing w:beforeLines="0"/>
              <w:jc w:val="left"/>
              <w:rPr>
                <w:rFonts w:ascii="宋体" w:hAnsi="宋体" w:cs="宋体"/>
                <w:color w:val="auto"/>
                <w:kern w:val="0"/>
                <w:sz w:val="22"/>
                <w:szCs w:val="22"/>
                <w:highlight w:val="none"/>
              </w:rPr>
            </w:pPr>
          </w:p>
        </w:tc>
        <w:tc>
          <w:tcPr>
            <w:tcW w:w="2261" w:type="dxa"/>
            <w:noWrap w:val="0"/>
            <w:vAlign w:val="center"/>
          </w:tcPr>
          <w:p w14:paraId="064C925F">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慢阻肺数据库-数据对接</w:t>
            </w:r>
          </w:p>
        </w:tc>
        <w:tc>
          <w:tcPr>
            <w:tcW w:w="1134" w:type="dxa"/>
            <w:vMerge w:val="continue"/>
            <w:noWrap w:val="0"/>
            <w:vAlign w:val="center"/>
          </w:tcPr>
          <w:p w14:paraId="7994A218">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3C25BFA1">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7D47FDD8">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163A1256">
            <w:pPr>
              <w:widowControl/>
              <w:spacing w:beforeLines="0"/>
              <w:jc w:val="left"/>
              <w:rPr>
                <w:rFonts w:ascii="宋体" w:hAnsi="宋体" w:cs="宋体"/>
                <w:color w:val="auto"/>
                <w:kern w:val="0"/>
                <w:sz w:val="22"/>
                <w:szCs w:val="22"/>
                <w:highlight w:val="none"/>
              </w:rPr>
            </w:pPr>
          </w:p>
        </w:tc>
      </w:tr>
      <w:tr w14:paraId="123E1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06" w:type="dxa"/>
            <w:noWrap/>
            <w:vAlign w:val="center"/>
          </w:tcPr>
          <w:p w14:paraId="356D7F8C">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131</w:t>
            </w:r>
          </w:p>
        </w:tc>
        <w:tc>
          <w:tcPr>
            <w:tcW w:w="1745" w:type="dxa"/>
            <w:vMerge w:val="continue"/>
            <w:noWrap w:val="0"/>
            <w:vAlign w:val="center"/>
          </w:tcPr>
          <w:p w14:paraId="0530091C">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7B2A6788">
            <w:pPr>
              <w:widowControl/>
              <w:spacing w:beforeLines="0"/>
              <w:jc w:val="left"/>
              <w:rPr>
                <w:rFonts w:ascii="宋体" w:hAnsi="宋体" w:cs="宋体"/>
                <w:color w:val="auto"/>
                <w:kern w:val="0"/>
                <w:sz w:val="22"/>
                <w:szCs w:val="22"/>
                <w:highlight w:val="none"/>
              </w:rPr>
            </w:pPr>
          </w:p>
        </w:tc>
        <w:tc>
          <w:tcPr>
            <w:tcW w:w="2261" w:type="dxa"/>
            <w:noWrap w:val="0"/>
            <w:vAlign w:val="center"/>
          </w:tcPr>
          <w:p w14:paraId="50CACDCD">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慢阻肺数据库-数据采集</w:t>
            </w:r>
          </w:p>
        </w:tc>
        <w:tc>
          <w:tcPr>
            <w:tcW w:w="1134" w:type="dxa"/>
            <w:vMerge w:val="continue"/>
            <w:noWrap w:val="0"/>
            <w:vAlign w:val="center"/>
          </w:tcPr>
          <w:p w14:paraId="66CC3EBE">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34230DF9">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238DC49A">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22C6BD10">
            <w:pPr>
              <w:widowControl/>
              <w:spacing w:beforeLines="0"/>
              <w:jc w:val="left"/>
              <w:rPr>
                <w:rFonts w:ascii="宋体" w:hAnsi="宋体" w:cs="宋体"/>
                <w:color w:val="auto"/>
                <w:kern w:val="0"/>
                <w:sz w:val="22"/>
                <w:szCs w:val="22"/>
                <w:highlight w:val="none"/>
              </w:rPr>
            </w:pPr>
          </w:p>
        </w:tc>
      </w:tr>
      <w:tr w14:paraId="0C1C0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06" w:type="dxa"/>
            <w:noWrap/>
            <w:vAlign w:val="center"/>
          </w:tcPr>
          <w:p w14:paraId="5EC9F1E0">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132</w:t>
            </w:r>
          </w:p>
        </w:tc>
        <w:tc>
          <w:tcPr>
            <w:tcW w:w="1745" w:type="dxa"/>
            <w:vMerge w:val="continue"/>
            <w:noWrap w:val="0"/>
            <w:vAlign w:val="center"/>
          </w:tcPr>
          <w:p w14:paraId="7DB51A88">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2C7B2A27">
            <w:pPr>
              <w:widowControl/>
              <w:spacing w:beforeLines="0"/>
              <w:jc w:val="left"/>
              <w:rPr>
                <w:rFonts w:ascii="宋体" w:hAnsi="宋体" w:cs="宋体"/>
                <w:color w:val="auto"/>
                <w:kern w:val="0"/>
                <w:sz w:val="22"/>
                <w:szCs w:val="22"/>
                <w:highlight w:val="none"/>
              </w:rPr>
            </w:pPr>
          </w:p>
        </w:tc>
        <w:tc>
          <w:tcPr>
            <w:tcW w:w="2261" w:type="dxa"/>
            <w:noWrap w:val="0"/>
            <w:vAlign w:val="center"/>
          </w:tcPr>
          <w:p w14:paraId="7403E32B">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慢阻肺数据库-数据治理</w:t>
            </w:r>
          </w:p>
        </w:tc>
        <w:tc>
          <w:tcPr>
            <w:tcW w:w="1134" w:type="dxa"/>
            <w:vMerge w:val="continue"/>
            <w:noWrap w:val="0"/>
            <w:vAlign w:val="center"/>
          </w:tcPr>
          <w:p w14:paraId="30AE840A">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425F2E41">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11F44398">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52EF3E74">
            <w:pPr>
              <w:widowControl/>
              <w:spacing w:beforeLines="0"/>
              <w:jc w:val="left"/>
              <w:rPr>
                <w:rFonts w:ascii="宋体" w:hAnsi="宋体" w:cs="宋体"/>
                <w:color w:val="auto"/>
                <w:kern w:val="0"/>
                <w:sz w:val="22"/>
                <w:szCs w:val="22"/>
                <w:highlight w:val="none"/>
              </w:rPr>
            </w:pPr>
          </w:p>
        </w:tc>
      </w:tr>
      <w:tr w14:paraId="477A1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37F8EFEB">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133</w:t>
            </w:r>
          </w:p>
        </w:tc>
        <w:tc>
          <w:tcPr>
            <w:tcW w:w="1745" w:type="dxa"/>
            <w:vMerge w:val="continue"/>
            <w:noWrap w:val="0"/>
            <w:vAlign w:val="center"/>
          </w:tcPr>
          <w:p w14:paraId="162A4B00">
            <w:pPr>
              <w:widowControl/>
              <w:spacing w:beforeLines="0"/>
              <w:jc w:val="left"/>
              <w:rPr>
                <w:rFonts w:ascii="宋体" w:hAnsi="宋体" w:cs="宋体"/>
                <w:color w:val="auto"/>
                <w:kern w:val="0"/>
                <w:sz w:val="22"/>
                <w:szCs w:val="22"/>
                <w:highlight w:val="none"/>
              </w:rPr>
            </w:pPr>
          </w:p>
        </w:tc>
        <w:tc>
          <w:tcPr>
            <w:tcW w:w="806" w:type="dxa"/>
            <w:vMerge w:val="restart"/>
            <w:noWrap w:val="0"/>
            <w:vAlign w:val="center"/>
          </w:tcPr>
          <w:p w14:paraId="02ED11D9">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血脂异常管理系统</w:t>
            </w:r>
          </w:p>
        </w:tc>
        <w:tc>
          <w:tcPr>
            <w:tcW w:w="2261" w:type="dxa"/>
            <w:noWrap w:val="0"/>
            <w:vAlign w:val="center"/>
          </w:tcPr>
          <w:p w14:paraId="7D83A1F7">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高危线索筛查</w:t>
            </w:r>
          </w:p>
        </w:tc>
        <w:tc>
          <w:tcPr>
            <w:tcW w:w="1134" w:type="dxa"/>
            <w:vMerge w:val="continue"/>
            <w:noWrap w:val="0"/>
            <w:vAlign w:val="center"/>
          </w:tcPr>
          <w:p w14:paraId="3C6ACB5C">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3F9C4CF8">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64488C03">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13BF6875">
            <w:pPr>
              <w:widowControl/>
              <w:spacing w:beforeLines="0"/>
              <w:jc w:val="left"/>
              <w:rPr>
                <w:rFonts w:ascii="宋体" w:hAnsi="宋体" w:cs="宋体"/>
                <w:color w:val="auto"/>
                <w:kern w:val="0"/>
                <w:sz w:val="22"/>
                <w:szCs w:val="22"/>
                <w:highlight w:val="none"/>
              </w:rPr>
            </w:pPr>
          </w:p>
        </w:tc>
      </w:tr>
      <w:tr w14:paraId="20596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397F8AB5">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134</w:t>
            </w:r>
          </w:p>
        </w:tc>
        <w:tc>
          <w:tcPr>
            <w:tcW w:w="1745" w:type="dxa"/>
            <w:vMerge w:val="continue"/>
            <w:noWrap w:val="0"/>
            <w:vAlign w:val="center"/>
          </w:tcPr>
          <w:p w14:paraId="54A86937">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0C3D40B2">
            <w:pPr>
              <w:widowControl/>
              <w:spacing w:beforeLines="0"/>
              <w:jc w:val="left"/>
              <w:rPr>
                <w:rFonts w:ascii="宋体" w:hAnsi="宋体" w:cs="宋体"/>
                <w:color w:val="auto"/>
                <w:kern w:val="0"/>
                <w:sz w:val="22"/>
                <w:szCs w:val="22"/>
                <w:highlight w:val="none"/>
              </w:rPr>
            </w:pPr>
          </w:p>
        </w:tc>
        <w:tc>
          <w:tcPr>
            <w:tcW w:w="2261" w:type="dxa"/>
            <w:noWrap w:val="0"/>
            <w:vAlign w:val="center"/>
          </w:tcPr>
          <w:p w14:paraId="3DED57F6">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高危线索列表</w:t>
            </w:r>
          </w:p>
        </w:tc>
        <w:tc>
          <w:tcPr>
            <w:tcW w:w="1134" w:type="dxa"/>
            <w:vMerge w:val="continue"/>
            <w:noWrap w:val="0"/>
            <w:vAlign w:val="center"/>
          </w:tcPr>
          <w:p w14:paraId="49D08A39">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1D8F4716">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13507104">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5B906B0F">
            <w:pPr>
              <w:widowControl/>
              <w:spacing w:beforeLines="0"/>
              <w:jc w:val="left"/>
              <w:rPr>
                <w:rFonts w:ascii="宋体" w:hAnsi="宋体" w:cs="宋体"/>
                <w:color w:val="auto"/>
                <w:kern w:val="0"/>
                <w:sz w:val="22"/>
                <w:szCs w:val="22"/>
                <w:highlight w:val="none"/>
              </w:rPr>
            </w:pPr>
          </w:p>
        </w:tc>
      </w:tr>
      <w:tr w14:paraId="665D3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728963D3">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135</w:t>
            </w:r>
          </w:p>
        </w:tc>
        <w:tc>
          <w:tcPr>
            <w:tcW w:w="1745" w:type="dxa"/>
            <w:vMerge w:val="continue"/>
            <w:noWrap w:val="0"/>
            <w:vAlign w:val="center"/>
          </w:tcPr>
          <w:p w14:paraId="4DCF3AB4">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61088700">
            <w:pPr>
              <w:widowControl/>
              <w:spacing w:beforeLines="0"/>
              <w:jc w:val="left"/>
              <w:rPr>
                <w:rFonts w:ascii="宋体" w:hAnsi="宋体" w:cs="宋体"/>
                <w:color w:val="auto"/>
                <w:kern w:val="0"/>
                <w:sz w:val="22"/>
                <w:szCs w:val="22"/>
                <w:highlight w:val="none"/>
              </w:rPr>
            </w:pPr>
          </w:p>
        </w:tc>
        <w:tc>
          <w:tcPr>
            <w:tcW w:w="2261" w:type="dxa"/>
            <w:noWrap w:val="0"/>
            <w:vAlign w:val="center"/>
          </w:tcPr>
          <w:p w14:paraId="42E35C26">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高危线索详情</w:t>
            </w:r>
          </w:p>
        </w:tc>
        <w:tc>
          <w:tcPr>
            <w:tcW w:w="1134" w:type="dxa"/>
            <w:vMerge w:val="continue"/>
            <w:noWrap w:val="0"/>
            <w:vAlign w:val="center"/>
          </w:tcPr>
          <w:p w14:paraId="6C183AB4">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546CB36D">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3D3C89A8">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16C78DCC">
            <w:pPr>
              <w:widowControl/>
              <w:spacing w:beforeLines="0"/>
              <w:jc w:val="left"/>
              <w:rPr>
                <w:rFonts w:ascii="宋体" w:hAnsi="宋体" w:cs="宋体"/>
                <w:color w:val="auto"/>
                <w:kern w:val="0"/>
                <w:sz w:val="22"/>
                <w:szCs w:val="22"/>
                <w:highlight w:val="none"/>
              </w:rPr>
            </w:pPr>
          </w:p>
        </w:tc>
      </w:tr>
      <w:tr w14:paraId="1DBB1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6CF6C499">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136</w:t>
            </w:r>
          </w:p>
        </w:tc>
        <w:tc>
          <w:tcPr>
            <w:tcW w:w="1745" w:type="dxa"/>
            <w:vMerge w:val="continue"/>
            <w:noWrap w:val="0"/>
            <w:vAlign w:val="center"/>
          </w:tcPr>
          <w:p w14:paraId="4AC8DDA0">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186FAA20">
            <w:pPr>
              <w:widowControl/>
              <w:spacing w:beforeLines="0"/>
              <w:jc w:val="left"/>
              <w:rPr>
                <w:rFonts w:ascii="宋体" w:hAnsi="宋体" w:cs="宋体"/>
                <w:color w:val="auto"/>
                <w:kern w:val="0"/>
                <w:sz w:val="22"/>
                <w:szCs w:val="22"/>
                <w:highlight w:val="none"/>
              </w:rPr>
            </w:pPr>
          </w:p>
        </w:tc>
        <w:tc>
          <w:tcPr>
            <w:tcW w:w="2261" w:type="dxa"/>
            <w:noWrap w:val="0"/>
            <w:vAlign w:val="center"/>
          </w:tcPr>
          <w:p w14:paraId="0236657C">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高危分层评估</w:t>
            </w:r>
          </w:p>
        </w:tc>
        <w:tc>
          <w:tcPr>
            <w:tcW w:w="1134" w:type="dxa"/>
            <w:vMerge w:val="continue"/>
            <w:noWrap w:val="0"/>
            <w:vAlign w:val="center"/>
          </w:tcPr>
          <w:p w14:paraId="6595E8E1">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1FBC7BE6">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65E45F7C">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7DC85632">
            <w:pPr>
              <w:widowControl/>
              <w:spacing w:beforeLines="0"/>
              <w:jc w:val="left"/>
              <w:rPr>
                <w:rFonts w:ascii="宋体" w:hAnsi="宋体" w:cs="宋体"/>
                <w:color w:val="auto"/>
                <w:kern w:val="0"/>
                <w:sz w:val="22"/>
                <w:szCs w:val="22"/>
                <w:highlight w:val="none"/>
              </w:rPr>
            </w:pPr>
          </w:p>
        </w:tc>
      </w:tr>
      <w:tr w14:paraId="0AF38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44D29B16">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137</w:t>
            </w:r>
          </w:p>
        </w:tc>
        <w:tc>
          <w:tcPr>
            <w:tcW w:w="1745" w:type="dxa"/>
            <w:vMerge w:val="continue"/>
            <w:noWrap w:val="0"/>
            <w:vAlign w:val="center"/>
          </w:tcPr>
          <w:p w14:paraId="43BAFB2F">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3B84FED6">
            <w:pPr>
              <w:widowControl/>
              <w:spacing w:beforeLines="0"/>
              <w:jc w:val="left"/>
              <w:rPr>
                <w:rFonts w:ascii="宋体" w:hAnsi="宋体" w:cs="宋体"/>
                <w:color w:val="auto"/>
                <w:kern w:val="0"/>
                <w:sz w:val="22"/>
                <w:szCs w:val="22"/>
                <w:highlight w:val="none"/>
              </w:rPr>
            </w:pPr>
          </w:p>
        </w:tc>
        <w:tc>
          <w:tcPr>
            <w:tcW w:w="2261" w:type="dxa"/>
            <w:noWrap w:val="0"/>
            <w:vAlign w:val="center"/>
          </w:tcPr>
          <w:p w14:paraId="17AAB97C">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高危专项建档</w:t>
            </w:r>
          </w:p>
        </w:tc>
        <w:tc>
          <w:tcPr>
            <w:tcW w:w="1134" w:type="dxa"/>
            <w:vMerge w:val="continue"/>
            <w:noWrap w:val="0"/>
            <w:vAlign w:val="center"/>
          </w:tcPr>
          <w:p w14:paraId="7D53E4E0">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1513520B">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7F8AF268">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2912CA4C">
            <w:pPr>
              <w:widowControl/>
              <w:spacing w:beforeLines="0"/>
              <w:jc w:val="left"/>
              <w:rPr>
                <w:rFonts w:ascii="宋体" w:hAnsi="宋体" w:cs="宋体"/>
                <w:color w:val="auto"/>
                <w:kern w:val="0"/>
                <w:sz w:val="22"/>
                <w:szCs w:val="22"/>
                <w:highlight w:val="none"/>
              </w:rPr>
            </w:pPr>
          </w:p>
        </w:tc>
      </w:tr>
      <w:tr w14:paraId="08934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7652DB0D">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138</w:t>
            </w:r>
          </w:p>
        </w:tc>
        <w:tc>
          <w:tcPr>
            <w:tcW w:w="1745" w:type="dxa"/>
            <w:vMerge w:val="continue"/>
            <w:noWrap w:val="0"/>
            <w:vAlign w:val="center"/>
          </w:tcPr>
          <w:p w14:paraId="341472BF">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75DFF56B">
            <w:pPr>
              <w:widowControl/>
              <w:spacing w:beforeLines="0"/>
              <w:jc w:val="left"/>
              <w:rPr>
                <w:rFonts w:ascii="宋体" w:hAnsi="宋体" w:cs="宋体"/>
                <w:color w:val="auto"/>
                <w:kern w:val="0"/>
                <w:sz w:val="22"/>
                <w:szCs w:val="22"/>
                <w:highlight w:val="none"/>
              </w:rPr>
            </w:pPr>
          </w:p>
        </w:tc>
        <w:tc>
          <w:tcPr>
            <w:tcW w:w="2261" w:type="dxa"/>
            <w:noWrap w:val="0"/>
            <w:vAlign w:val="center"/>
          </w:tcPr>
          <w:p w14:paraId="5CCE3102">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高危人员列表</w:t>
            </w:r>
          </w:p>
        </w:tc>
        <w:tc>
          <w:tcPr>
            <w:tcW w:w="1134" w:type="dxa"/>
            <w:vMerge w:val="continue"/>
            <w:noWrap w:val="0"/>
            <w:vAlign w:val="center"/>
          </w:tcPr>
          <w:p w14:paraId="7955F19A">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38A765DF">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0E0070CA">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5BED7292">
            <w:pPr>
              <w:widowControl/>
              <w:spacing w:beforeLines="0"/>
              <w:jc w:val="left"/>
              <w:rPr>
                <w:rFonts w:ascii="宋体" w:hAnsi="宋体" w:cs="宋体"/>
                <w:color w:val="auto"/>
                <w:kern w:val="0"/>
                <w:sz w:val="22"/>
                <w:szCs w:val="22"/>
                <w:highlight w:val="none"/>
              </w:rPr>
            </w:pPr>
          </w:p>
        </w:tc>
      </w:tr>
      <w:tr w14:paraId="0407E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5DF27AF9">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139</w:t>
            </w:r>
          </w:p>
        </w:tc>
        <w:tc>
          <w:tcPr>
            <w:tcW w:w="1745" w:type="dxa"/>
            <w:vMerge w:val="continue"/>
            <w:noWrap w:val="0"/>
            <w:vAlign w:val="center"/>
          </w:tcPr>
          <w:p w14:paraId="6EEA8361">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13EA4E72">
            <w:pPr>
              <w:widowControl/>
              <w:spacing w:beforeLines="0"/>
              <w:jc w:val="left"/>
              <w:rPr>
                <w:rFonts w:ascii="宋体" w:hAnsi="宋体" w:cs="宋体"/>
                <w:color w:val="auto"/>
                <w:kern w:val="0"/>
                <w:sz w:val="22"/>
                <w:szCs w:val="22"/>
                <w:highlight w:val="none"/>
              </w:rPr>
            </w:pPr>
          </w:p>
        </w:tc>
        <w:tc>
          <w:tcPr>
            <w:tcW w:w="2261" w:type="dxa"/>
            <w:noWrap w:val="0"/>
            <w:vAlign w:val="center"/>
          </w:tcPr>
          <w:p w14:paraId="3A97273C">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高危档案管理</w:t>
            </w:r>
          </w:p>
        </w:tc>
        <w:tc>
          <w:tcPr>
            <w:tcW w:w="1134" w:type="dxa"/>
            <w:vMerge w:val="continue"/>
            <w:noWrap w:val="0"/>
            <w:vAlign w:val="center"/>
          </w:tcPr>
          <w:p w14:paraId="03FFC8D0">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7A1A28E5">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0A23F1F2">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5F9DFE67">
            <w:pPr>
              <w:widowControl/>
              <w:spacing w:beforeLines="0"/>
              <w:jc w:val="left"/>
              <w:rPr>
                <w:rFonts w:ascii="宋体" w:hAnsi="宋体" w:cs="宋体"/>
                <w:color w:val="auto"/>
                <w:kern w:val="0"/>
                <w:sz w:val="22"/>
                <w:szCs w:val="22"/>
                <w:highlight w:val="none"/>
              </w:rPr>
            </w:pPr>
          </w:p>
        </w:tc>
      </w:tr>
      <w:tr w14:paraId="2569D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440FCB4E">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140</w:t>
            </w:r>
          </w:p>
        </w:tc>
        <w:tc>
          <w:tcPr>
            <w:tcW w:w="1745" w:type="dxa"/>
            <w:vMerge w:val="continue"/>
            <w:noWrap w:val="0"/>
            <w:vAlign w:val="center"/>
          </w:tcPr>
          <w:p w14:paraId="262EBD63">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2E9B795A">
            <w:pPr>
              <w:widowControl/>
              <w:spacing w:beforeLines="0"/>
              <w:jc w:val="left"/>
              <w:rPr>
                <w:rFonts w:ascii="宋体" w:hAnsi="宋体" w:cs="宋体"/>
                <w:color w:val="auto"/>
                <w:kern w:val="0"/>
                <w:sz w:val="22"/>
                <w:szCs w:val="22"/>
                <w:highlight w:val="none"/>
              </w:rPr>
            </w:pPr>
          </w:p>
        </w:tc>
        <w:tc>
          <w:tcPr>
            <w:tcW w:w="2261" w:type="dxa"/>
            <w:noWrap w:val="0"/>
            <w:vAlign w:val="center"/>
          </w:tcPr>
          <w:p w14:paraId="13A1352C">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高危档案备份</w:t>
            </w:r>
          </w:p>
        </w:tc>
        <w:tc>
          <w:tcPr>
            <w:tcW w:w="1134" w:type="dxa"/>
            <w:vMerge w:val="continue"/>
            <w:noWrap w:val="0"/>
            <w:vAlign w:val="center"/>
          </w:tcPr>
          <w:p w14:paraId="089C32E4">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06A259BE">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55BE52D4">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3A1B45C2">
            <w:pPr>
              <w:widowControl/>
              <w:spacing w:beforeLines="0"/>
              <w:jc w:val="left"/>
              <w:rPr>
                <w:rFonts w:ascii="宋体" w:hAnsi="宋体" w:cs="宋体"/>
                <w:color w:val="auto"/>
                <w:kern w:val="0"/>
                <w:sz w:val="22"/>
                <w:szCs w:val="22"/>
                <w:highlight w:val="none"/>
              </w:rPr>
            </w:pPr>
          </w:p>
        </w:tc>
      </w:tr>
      <w:tr w14:paraId="16A56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7A9E7E6F">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141</w:t>
            </w:r>
          </w:p>
        </w:tc>
        <w:tc>
          <w:tcPr>
            <w:tcW w:w="1745" w:type="dxa"/>
            <w:vMerge w:val="continue"/>
            <w:noWrap w:val="0"/>
            <w:vAlign w:val="center"/>
          </w:tcPr>
          <w:p w14:paraId="04E48C40">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04969E9B">
            <w:pPr>
              <w:widowControl/>
              <w:spacing w:beforeLines="0"/>
              <w:jc w:val="left"/>
              <w:rPr>
                <w:rFonts w:ascii="宋体" w:hAnsi="宋体" w:cs="宋体"/>
                <w:color w:val="auto"/>
                <w:kern w:val="0"/>
                <w:sz w:val="22"/>
                <w:szCs w:val="22"/>
                <w:highlight w:val="none"/>
              </w:rPr>
            </w:pPr>
          </w:p>
        </w:tc>
        <w:tc>
          <w:tcPr>
            <w:tcW w:w="2261" w:type="dxa"/>
            <w:noWrap w:val="0"/>
            <w:vAlign w:val="center"/>
          </w:tcPr>
          <w:p w14:paraId="79EFB39D">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高危人员随访</w:t>
            </w:r>
          </w:p>
        </w:tc>
        <w:tc>
          <w:tcPr>
            <w:tcW w:w="1134" w:type="dxa"/>
            <w:vMerge w:val="continue"/>
            <w:noWrap w:val="0"/>
            <w:vAlign w:val="center"/>
          </w:tcPr>
          <w:p w14:paraId="25AFDE6C">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5359ECCB">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10815F19">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16A00F98">
            <w:pPr>
              <w:widowControl/>
              <w:spacing w:beforeLines="0"/>
              <w:jc w:val="left"/>
              <w:rPr>
                <w:rFonts w:ascii="宋体" w:hAnsi="宋体" w:cs="宋体"/>
                <w:color w:val="auto"/>
                <w:kern w:val="0"/>
                <w:sz w:val="22"/>
                <w:szCs w:val="22"/>
                <w:highlight w:val="none"/>
              </w:rPr>
            </w:pPr>
          </w:p>
        </w:tc>
      </w:tr>
      <w:tr w14:paraId="07551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20B9E41A">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142</w:t>
            </w:r>
          </w:p>
        </w:tc>
        <w:tc>
          <w:tcPr>
            <w:tcW w:w="1745" w:type="dxa"/>
            <w:vMerge w:val="continue"/>
            <w:noWrap w:val="0"/>
            <w:vAlign w:val="center"/>
          </w:tcPr>
          <w:p w14:paraId="0E200070">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30726A75">
            <w:pPr>
              <w:widowControl/>
              <w:spacing w:beforeLines="0"/>
              <w:jc w:val="left"/>
              <w:rPr>
                <w:rFonts w:ascii="宋体" w:hAnsi="宋体" w:cs="宋体"/>
                <w:color w:val="auto"/>
                <w:kern w:val="0"/>
                <w:sz w:val="22"/>
                <w:szCs w:val="22"/>
                <w:highlight w:val="none"/>
              </w:rPr>
            </w:pPr>
          </w:p>
        </w:tc>
        <w:tc>
          <w:tcPr>
            <w:tcW w:w="2261" w:type="dxa"/>
            <w:noWrap w:val="0"/>
            <w:vAlign w:val="center"/>
          </w:tcPr>
          <w:p w14:paraId="1271A2C4">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高危人员新增</w:t>
            </w:r>
          </w:p>
        </w:tc>
        <w:tc>
          <w:tcPr>
            <w:tcW w:w="1134" w:type="dxa"/>
            <w:vMerge w:val="continue"/>
            <w:noWrap w:val="0"/>
            <w:vAlign w:val="center"/>
          </w:tcPr>
          <w:p w14:paraId="489ECC87">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58870DA8">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526D65CA">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2D370C30">
            <w:pPr>
              <w:widowControl/>
              <w:spacing w:beforeLines="0"/>
              <w:jc w:val="left"/>
              <w:rPr>
                <w:rFonts w:ascii="宋体" w:hAnsi="宋体" w:cs="宋体"/>
                <w:color w:val="auto"/>
                <w:kern w:val="0"/>
                <w:sz w:val="22"/>
                <w:szCs w:val="22"/>
                <w:highlight w:val="none"/>
              </w:rPr>
            </w:pPr>
          </w:p>
        </w:tc>
      </w:tr>
      <w:tr w14:paraId="49B27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77091CF8">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143</w:t>
            </w:r>
          </w:p>
        </w:tc>
        <w:tc>
          <w:tcPr>
            <w:tcW w:w="1745" w:type="dxa"/>
            <w:vMerge w:val="continue"/>
            <w:noWrap w:val="0"/>
            <w:vAlign w:val="center"/>
          </w:tcPr>
          <w:p w14:paraId="17F5E7F4">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393DCC12">
            <w:pPr>
              <w:widowControl/>
              <w:spacing w:beforeLines="0"/>
              <w:jc w:val="left"/>
              <w:rPr>
                <w:rFonts w:ascii="宋体" w:hAnsi="宋体" w:cs="宋体"/>
                <w:color w:val="auto"/>
                <w:kern w:val="0"/>
                <w:sz w:val="22"/>
                <w:szCs w:val="22"/>
                <w:highlight w:val="none"/>
              </w:rPr>
            </w:pPr>
          </w:p>
        </w:tc>
        <w:tc>
          <w:tcPr>
            <w:tcW w:w="2261" w:type="dxa"/>
            <w:noWrap w:val="0"/>
            <w:vAlign w:val="center"/>
          </w:tcPr>
          <w:p w14:paraId="7E26255F">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高危随访任务列表</w:t>
            </w:r>
          </w:p>
        </w:tc>
        <w:tc>
          <w:tcPr>
            <w:tcW w:w="1134" w:type="dxa"/>
            <w:vMerge w:val="continue"/>
            <w:noWrap w:val="0"/>
            <w:vAlign w:val="center"/>
          </w:tcPr>
          <w:p w14:paraId="5286B8EE">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31EB8F4E">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54BD736E">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3DA58AC0">
            <w:pPr>
              <w:widowControl/>
              <w:spacing w:beforeLines="0"/>
              <w:jc w:val="left"/>
              <w:rPr>
                <w:rFonts w:ascii="宋体" w:hAnsi="宋体" w:cs="宋体"/>
                <w:color w:val="auto"/>
                <w:kern w:val="0"/>
                <w:sz w:val="22"/>
                <w:szCs w:val="22"/>
                <w:highlight w:val="none"/>
              </w:rPr>
            </w:pPr>
          </w:p>
        </w:tc>
      </w:tr>
      <w:tr w14:paraId="4D5F5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68E5B18C">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144</w:t>
            </w:r>
          </w:p>
        </w:tc>
        <w:tc>
          <w:tcPr>
            <w:tcW w:w="1745" w:type="dxa"/>
            <w:vMerge w:val="continue"/>
            <w:noWrap w:val="0"/>
            <w:vAlign w:val="center"/>
          </w:tcPr>
          <w:p w14:paraId="00899EA8">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3E9597C7">
            <w:pPr>
              <w:widowControl/>
              <w:spacing w:beforeLines="0"/>
              <w:jc w:val="left"/>
              <w:rPr>
                <w:rFonts w:ascii="宋体" w:hAnsi="宋体" w:cs="宋体"/>
                <w:color w:val="auto"/>
                <w:kern w:val="0"/>
                <w:sz w:val="22"/>
                <w:szCs w:val="22"/>
                <w:highlight w:val="none"/>
              </w:rPr>
            </w:pPr>
          </w:p>
        </w:tc>
        <w:tc>
          <w:tcPr>
            <w:tcW w:w="2261" w:type="dxa"/>
            <w:noWrap w:val="0"/>
            <w:vAlign w:val="center"/>
          </w:tcPr>
          <w:p w14:paraId="3E5638C3">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高危随访任务处理</w:t>
            </w:r>
          </w:p>
        </w:tc>
        <w:tc>
          <w:tcPr>
            <w:tcW w:w="1134" w:type="dxa"/>
            <w:vMerge w:val="continue"/>
            <w:noWrap w:val="0"/>
            <w:vAlign w:val="center"/>
          </w:tcPr>
          <w:p w14:paraId="21F30291">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044560DF">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4FDF9882">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4FB56DD1">
            <w:pPr>
              <w:widowControl/>
              <w:spacing w:beforeLines="0"/>
              <w:jc w:val="left"/>
              <w:rPr>
                <w:rFonts w:ascii="宋体" w:hAnsi="宋体" w:cs="宋体"/>
                <w:color w:val="auto"/>
                <w:kern w:val="0"/>
                <w:sz w:val="22"/>
                <w:szCs w:val="22"/>
                <w:highlight w:val="none"/>
              </w:rPr>
            </w:pPr>
          </w:p>
        </w:tc>
      </w:tr>
      <w:tr w14:paraId="4D373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454B116E">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145</w:t>
            </w:r>
          </w:p>
        </w:tc>
        <w:tc>
          <w:tcPr>
            <w:tcW w:w="1745" w:type="dxa"/>
            <w:vMerge w:val="continue"/>
            <w:noWrap w:val="0"/>
            <w:vAlign w:val="center"/>
          </w:tcPr>
          <w:p w14:paraId="59B349A2">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368C780C">
            <w:pPr>
              <w:widowControl/>
              <w:spacing w:beforeLines="0"/>
              <w:jc w:val="left"/>
              <w:rPr>
                <w:rFonts w:ascii="宋体" w:hAnsi="宋体" w:cs="宋体"/>
                <w:color w:val="auto"/>
                <w:kern w:val="0"/>
                <w:sz w:val="22"/>
                <w:szCs w:val="22"/>
                <w:highlight w:val="none"/>
              </w:rPr>
            </w:pPr>
          </w:p>
        </w:tc>
        <w:tc>
          <w:tcPr>
            <w:tcW w:w="2261" w:type="dxa"/>
            <w:noWrap w:val="0"/>
            <w:vAlign w:val="center"/>
          </w:tcPr>
          <w:p w14:paraId="391A9F3C">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高危转归评估</w:t>
            </w:r>
          </w:p>
        </w:tc>
        <w:tc>
          <w:tcPr>
            <w:tcW w:w="1134" w:type="dxa"/>
            <w:vMerge w:val="continue"/>
            <w:noWrap w:val="0"/>
            <w:vAlign w:val="center"/>
          </w:tcPr>
          <w:p w14:paraId="752901FE">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1D11B015">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61C78865">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0A36E51D">
            <w:pPr>
              <w:widowControl/>
              <w:spacing w:beforeLines="0"/>
              <w:jc w:val="left"/>
              <w:rPr>
                <w:rFonts w:ascii="宋体" w:hAnsi="宋体" w:cs="宋体"/>
                <w:color w:val="auto"/>
                <w:kern w:val="0"/>
                <w:sz w:val="22"/>
                <w:szCs w:val="22"/>
                <w:highlight w:val="none"/>
              </w:rPr>
            </w:pPr>
          </w:p>
        </w:tc>
      </w:tr>
      <w:tr w14:paraId="6F00C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1589C050">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146</w:t>
            </w:r>
          </w:p>
        </w:tc>
        <w:tc>
          <w:tcPr>
            <w:tcW w:w="1745" w:type="dxa"/>
            <w:vMerge w:val="continue"/>
            <w:noWrap w:val="0"/>
            <w:vAlign w:val="center"/>
          </w:tcPr>
          <w:p w14:paraId="4DCFC0C5">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4712A996">
            <w:pPr>
              <w:widowControl/>
              <w:spacing w:beforeLines="0"/>
              <w:jc w:val="left"/>
              <w:rPr>
                <w:rFonts w:ascii="宋体" w:hAnsi="宋体" w:cs="宋体"/>
                <w:color w:val="auto"/>
                <w:kern w:val="0"/>
                <w:sz w:val="22"/>
                <w:szCs w:val="22"/>
                <w:highlight w:val="none"/>
              </w:rPr>
            </w:pPr>
          </w:p>
        </w:tc>
        <w:tc>
          <w:tcPr>
            <w:tcW w:w="2261" w:type="dxa"/>
            <w:noWrap w:val="0"/>
            <w:vAlign w:val="center"/>
          </w:tcPr>
          <w:p w14:paraId="08E19A51">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高危随访状态标识</w:t>
            </w:r>
          </w:p>
        </w:tc>
        <w:tc>
          <w:tcPr>
            <w:tcW w:w="1134" w:type="dxa"/>
            <w:vMerge w:val="continue"/>
            <w:noWrap w:val="0"/>
            <w:vAlign w:val="center"/>
          </w:tcPr>
          <w:p w14:paraId="72E47FE3">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0557C94F">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0D00787C">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6EC1556D">
            <w:pPr>
              <w:widowControl/>
              <w:spacing w:beforeLines="0"/>
              <w:jc w:val="left"/>
              <w:rPr>
                <w:rFonts w:ascii="宋体" w:hAnsi="宋体" w:cs="宋体"/>
                <w:color w:val="auto"/>
                <w:kern w:val="0"/>
                <w:sz w:val="22"/>
                <w:szCs w:val="22"/>
                <w:highlight w:val="none"/>
              </w:rPr>
            </w:pPr>
          </w:p>
        </w:tc>
      </w:tr>
      <w:tr w14:paraId="2F56B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00D6EBFE">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147</w:t>
            </w:r>
          </w:p>
        </w:tc>
        <w:tc>
          <w:tcPr>
            <w:tcW w:w="1745" w:type="dxa"/>
            <w:vMerge w:val="continue"/>
            <w:noWrap w:val="0"/>
            <w:vAlign w:val="center"/>
          </w:tcPr>
          <w:p w14:paraId="2E794445">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49BF95E8">
            <w:pPr>
              <w:widowControl/>
              <w:spacing w:beforeLines="0"/>
              <w:jc w:val="left"/>
              <w:rPr>
                <w:rFonts w:ascii="宋体" w:hAnsi="宋体" w:cs="宋体"/>
                <w:color w:val="auto"/>
                <w:kern w:val="0"/>
                <w:sz w:val="22"/>
                <w:szCs w:val="22"/>
                <w:highlight w:val="none"/>
              </w:rPr>
            </w:pPr>
          </w:p>
        </w:tc>
        <w:tc>
          <w:tcPr>
            <w:tcW w:w="2261" w:type="dxa"/>
            <w:noWrap w:val="0"/>
            <w:vAlign w:val="center"/>
          </w:tcPr>
          <w:p w14:paraId="1A66C9CE">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高危随访记录列表</w:t>
            </w:r>
          </w:p>
        </w:tc>
        <w:tc>
          <w:tcPr>
            <w:tcW w:w="1134" w:type="dxa"/>
            <w:vMerge w:val="continue"/>
            <w:noWrap w:val="0"/>
            <w:vAlign w:val="center"/>
          </w:tcPr>
          <w:p w14:paraId="73B35542">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0BA0445B">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5DC066B2">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12995B31">
            <w:pPr>
              <w:widowControl/>
              <w:spacing w:beforeLines="0"/>
              <w:jc w:val="left"/>
              <w:rPr>
                <w:rFonts w:ascii="宋体" w:hAnsi="宋体" w:cs="宋体"/>
                <w:color w:val="auto"/>
                <w:kern w:val="0"/>
                <w:sz w:val="22"/>
                <w:szCs w:val="22"/>
                <w:highlight w:val="none"/>
              </w:rPr>
            </w:pPr>
          </w:p>
        </w:tc>
      </w:tr>
      <w:tr w14:paraId="7E939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244A8FAF">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148</w:t>
            </w:r>
          </w:p>
        </w:tc>
        <w:tc>
          <w:tcPr>
            <w:tcW w:w="1745" w:type="dxa"/>
            <w:vMerge w:val="continue"/>
            <w:noWrap w:val="0"/>
            <w:vAlign w:val="center"/>
          </w:tcPr>
          <w:p w14:paraId="250EA5CC">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07BB5824">
            <w:pPr>
              <w:widowControl/>
              <w:spacing w:beforeLines="0"/>
              <w:jc w:val="left"/>
              <w:rPr>
                <w:rFonts w:ascii="宋体" w:hAnsi="宋体" w:cs="宋体"/>
                <w:color w:val="auto"/>
                <w:kern w:val="0"/>
                <w:sz w:val="22"/>
                <w:szCs w:val="22"/>
                <w:highlight w:val="none"/>
              </w:rPr>
            </w:pPr>
          </w:p>
        </w:tc>
        <w:tc>
          <w:tcPr>
            <w:tcW w:w="2261" w:type="dxa"/>
            <w:noWrap w:val="0"/>
            <w:vAlign w:val="center"/>
          </w:tcPr>
          <w:p w14:paraId="5F83A708">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高危随访记录详情</w:t>
            </w:r>
          </w:p>
        </w:tc>
        <w:tc>
          <w:tcPr>
            <w:tcW w:w="1134" w:type="dxa"/>
            <w:vMerge w:val="continue"/>
            <w:noWrap w:val="0"/>
            <w:vAlign w:val="center"/>
          </w:tcPr>
          <w:p w14:paraId="3C6F9014">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5362996A">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4106B050">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3C56D934">
            <w:pPr>
              <w:widowControl/>
              <w:spacing w:beforeLines="0"/>
              <w:jc w:val="left"/>
              <w:rPr>
                <w:rFonts w:ascii="宋体" w:hAnsi="宋体" w:cs="宋体"/>
                <w:color w:val="auto"/>
                <w:kern w:val="0"/>
                <w:sz w:val="22"/>
                <w:szCs w:val="22"/>
                <w:highlight w:val="none"/>
              </w:rPr>
            </w:pPr>
          </w:p>
        </w:tc>
      </w:tr>
      <w:tr w14:paraId="76730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54F5B534">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149</w:t>
            </w:r>
          </w:p>
        </w:tc>
        <w:tc>
          <w:tcPr>
            <w:tcW w:w="1745" w:type="dxa"/>
            <w:vMerge w:val="continue"/>
            <w:noWrap w:val="0"/>
            <w:vAlign w:val="center"/>
          </w:tcPr>
          <w:p w14:paraId="3AF3EB54">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74F64615">
            <w:pPr>
              <w:widowControl/>
              <w:spacing w:beforeLines="0"/>
              <w:jc w:val="left"/>
              <w:rPr>
                <w:rFonts w:ascii="宋体" w:hAnsi="宋体" w:cs="宋体"/>
                <w:color w:val="auto"/>
                <w:kern w:val="0"/>
                <w:sz w:val="22"/>
                <w:szCs w:val="22"/>
                <w:highlight w:val="none"/>
              </w:rPr>
            </w:pPr>
          </w:p>
        </w:tc>
        <w:tc>
          <w:tcPr>
            <w:tcW w:w="2261" w:type="dxa"/>
            <w:noWrap w:val="0"/>
            <w:vAlign w:val="center"/>
          </w:tcPr>
          <w:p w14:paraId="19FE0F00">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高危随访记录备份</w:t>
            </w:r>
          </w:p>
        </w:tc>
        <w:tc>
          <w:tcPr>
            <w:tcW w:w="1134" w:type="dxa"/>
            <w:vMerge w:val="continue"/>
            <w:noWrap w:val="0"/>
            <w:vAlign w:val="center"/>
          </w:tcPr>
          <w:p w14:paraId="5EF6FB8C">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42CFB519">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53A4D8C9">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3E9653D3">
            <w:pPr>
              <w:widowControl/>
              <w:spacing w:beforeLines="0"/>
              <w:jc w:val="left"/>
              <w:rPr>
                <w:rFonts w:ascii="宋体" w:hAnsi="宋体" w:cs="宋体"/>
                <w:color w:val="auto"/>
                <w:kern w:val="0"/>
                <w:sz w:val="22"/>
                <w:szCs w:val="22"/>
                <w:highlight w:val="none"/>
              </w:rPr>
            </w:pPr>
          </w:p>
        </w:tc>
      </w:tr>
      <w:tr w14:paraId="1FFD3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0DC326F0">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150</w:t>
            </w:r>
          </w:p>
        </w:tc>
        <w:tc>
          <w:tcPr>
            <w:tcW w:w="1745" w:type="dxa"/>
            <w:vMerge w:val="continue"/>
            <w:noWrap w:val="0"/>
            <w:vAlign w:val="center"/>
          </w:tcPr>
          <w:p w14:paraId="788C7050">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4B7FFEDB">
            <w:pPr>
              <w:widowControl/>
              <w:spacing w:beforeLines="0"/>
              <w:jc w:val="left"/>
              <w:rPr>
                <w:rFonts w:ascii="宋体" w:hAnsi="宋体" w:cs="宋体"/>
                <w:color w:val="auto"/>
                <w:kern w:val="0"/>
                <w:sz w:val="22"/>
                <w:szCs w:val="22"/>
                <w:highlight w:val="none"/>
              </w:rPr>
            </w:pPr>
          </w:p>
        </w:tc>
        <w:tc>
          <w:tcPr>
            <w:tcW w:w="2261" w:type="dxa"/>
            <w:noWrap w:val="0"/>
            <w:vAlign w:val="center"/>
          </w:tcPr>
          <w:p w14:paraId="506BBC6E">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异常线索筛查</w:t>
            </w:r>
          </w:p>
        </w:tc>
        <w:tc>
          <w:tcPr>
            <w:tcW w:w="1134" w:type="dxa"/>
            <w:vMerge w:val="continue"/>
            <w:noWrap w:val="0"/>
            <w:vAlign w:val="center"/>
          </w:tcPr>
          <w:p w14:paraId="02CAE70A">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319535EC">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5A598FA0">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7B5DE8FC">
            <w:pPr>
              <w:widowControl/>
              <w:spacing w:beforeLines="0"/>
              <w:jc w:val="left"/>
              <w:rPr>
                <w:rFonts w:ascii="宋体" w:hAnsi="宋体" w:cs="宋体"/>
                <w:color w:val="auto"/>
                <w:kern w:val="0"/>
                <w:sz w:val="22"/>
                <w:szCs w:val="22"/>
                <w:highlight w:val="none"/>
              </w:rPr>
            </w:pPr>
          </w:p>
        </w:tc>
      </w:tr>
      <w:tr w14:paraId="11AA4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732E0FA1">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151</w:t>
            </w:r>
          </w:p>
        </w:tc>
        <w:tc>
          <w:tcPr>
            <w:tcW w:w="1745" w:type="dxa"/>
            <w:vMerge w:val="continue"/>
            <w:noWrap w:val="0"/>
            <w:vAlign w:val="center"/>
          </w:tcPr>
          <w:p w14:paraId="497383B5">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46AF1C40">
            <w:pPr>
              <w:widowControl/>
              <w:spacing w:beforeLines="0"/>
              <w:jc w:val="left"/>
              <w:rPr>
                <w:rFonts w:ascii="宋体" w:hAnsi="宋体" w:cs="宋体"/>
                <w:color w:val="auto"/>
                <w:kern w:val="0"/>
                <w:sz w:val="22"/>
                <w:szCs w:val="22"/>
                <w:highlight w:val="none"/>
              </w:rPr>
            </w:pPr>
          </w:p>
        </w:tc>
        <w:tc>
          <w:tcPr>
            <w:tcW w:w="2261" w:type="dxa"/>
            <w:noWrap w:val="0"/>
            <w:vAlign w:val="center"/>
          </w:tcPr>
          <w:p w14:paraId="3BA90144">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异常线索列表</w:t>
            </w:r>
          </w:p>
        </w:tc>
        <w:tc>
          <w:tcPr>
            <w:tcW w:w="1134" w:type="dxa"/>
            <w:vMerge w:val="continue"/>
            <w:noWrap w:val="0"/>
            <w:vAlign w:val="center"/>
          </w:tcPr>
          <w:p w14:paraId="442C4A29">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57AB0DBC">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53CDA3E2">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63FF122C">
            <w:pPr>
              <w:widowControl/>
              <w:spacing w:beforeLines="0"/>
              <w:jc w:val="left"/>
              <w:rPr>
                <w:rFonts w:ascii="宋体" w:hAnsi="宋体" w:cs="宋体"/>
                <w:color w:val="auto"/>
                <w:kern w:val="0"/>
                <w:sz w:val="22"/>
                <w:szCs w:val="22"/>
                <w:highlight w:val="none"/>
              </w:rPr>
            </w:pPr>
          </w:p>
        </w:tc>
      </w:tr>
      <w:tr w14:paraId="6DD0C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29857A03">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152</w:t>
            </w:r>
          </w:p>
        </w:tc>
        <w:tc>
          <w:tcPr>
            <w:tcW w:w="1745" w:type="dxa"/>
            <w:vMerge w:val="continue"/>
            <w:noWrap w:val="0"/>
            <w:vAlign w:val="center"/>
          </w:tcPr>
          <w:p w14:paraId="22BAA1A0">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750C6DF7">
            <w:pPr>
              <w:widowControl/>
              <w:spacing w:beforeLines="0"/>
              <w:jc w:val="left"/>
              <w:rPr>
                <w:rFonts w:ascii="宋体" w:hAnsi="宋体" w:cs="宋体"/>
                <w:color w:val="auto"/>
                <w:kern w:val="0"/>
                <w:sz w:val="22"/>
                <w:szCs w:val="22"/>
                <w:highlight w:val="none"/>
              </w:rPr>
            </w:pPr>
          </w:p>
        </w:tc>
        <w:tc>
          <w:tcPr>
            <w:tcW w:w="2261" w:type="dxa"/>
            <w:noWrap w:val="0"/>
            <w:vAlign w:val="center"/>
          </w:tcPr>
          <w:p w14:paraId="66A65119">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异常线索详情</w:t>
            </w:r>
          </w:p>
        </w:tc>
        <w:tc>
          <w:tcPr>
            <w:tcW w:w="1134" w:type="dxa"/>
            <w:vMerge w:val="continue"/>
            <w:noWrap w:val="0"/>
            <w:vAlign w:val="center"/>
          </w:tcPr>
          <w:p w14:paraId="74E8D330">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438DB4ED">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64C0EB18">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73B10F6B">
            <w:pPr>
              <w:widowControl/>
              <w:spacing w:beforeLines="0"/>
              <w:jc w:val="left"/>
              <w:rPr>
                <w:rFonts w:ascii="宋体" w:hAnsi="宋体" w:cs="宋体"/>
                <w:color w:val="auto"/>
                <w:kern w:val="0"/>
                <w:sz w:val="22"/>
                <w:szCs w:val="22"/>
                <w:highlight w:val="none"/>
              </w:rPr>
            </w:pPr>
          </w:p>
        </w:tc>
      </w:tr>
      <w:tr w14:paraId="1C564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1EE4F826">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153</w:t>
            </w:r>
          </w:p>
        </w:tc>
        <w:tc>
          <w:tcPr>
            <w:tcW w:w="1745" w:type="dxa"/>
            <w:vMerge w:val="continue"/>
            <w:noWrap w:val="0"/>
            <w:vAlign w:val="center"/>
          </w:tcPr>
          <w:p w14:paraId="6B630D98">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50E5979A">
            <w:pPr>
              <w:widowControl/>
              <w:spacing w:beforeLines="0"/>
              <w:jc w:val="left"/>
              <w:rPr>
                <w:rFonts w:ascii="宋体" w:hAnsi="宋体" w:cs="宋体"/>
                <w:color w:val="auto"/>
                <w:kern w:val="0"/>
                <w:sz w:val="22"/>
                <w:szCs w:val="22"/>
                <w:highlight w:val="none"/>
              </w:rPr>
            </w:pPr>
          </w:p>
        </w:tc>
        <w:tc>
          <w:tcPr>
            <w:tcW w:w="2261" w:type="dxa"/>
            <w:noWrap w:val="0"/>
            <w:vAlign w:val="center"/>
          </w:tcPr>
          <w:p w14:paraId="5C1A1B1A">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异常者分级评估</w:t>
            </w:r>
          </w:p>
        </w:tc>
        <w:tc>
          <w:tcPr>
            <w:tcW w:w="1134" w:type="dxa"/>
            <w:vMerge w:val="continue"/>
            <w:noWrap w:val="0"/>
            <w:vAlign w:val="center"/>
          </w:tcPr>
          <w:p w14:paraId="04B194C0">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67CEF405">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5E449B77">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033D9DFC">
            <w:pPr>
              <w:widowControl/>
              <w:spacing w:beforeLines="0"/>
              <w:jc w:val="left"/>
              <w:rPr>
                <w:rFonts w:ascii="宋体" w:hAnsi="宋体" w:cs="宋体"/>
                <w:color w:val="auto"/>
                <w:kern w:val="0"/>
                <w:sz w:val="22"/>
                <w:szCs w:val="22"/>
                <w:highlight w:val="none"/>
              </w:rPr>
            </w:pPr>
          </w:p>
        </w:tc>
      </w:tr>
      <w:tr w14:paraId="4B96E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5BB6EAB9">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154</w:t>
            </w:r>
          </w:p>
        </w:tc>
        <w:tc>
          <w:tcPr>
            <w:tcW w:w="1745" w:type="dxa"/>
            <w:vMerge w:val="continue"/>
            <w:noWrap w:val="0"/>
            <w:vAlign w:val="center"/>
          </w:tcPr>
          <w:p w14:paraId="3FE6C0DD">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4F25BB06">
            <w:pPr>
              <w:widowControl/>
              <w:spacing w:beforeLines="0"/>
              <w:jc w:val="left"/>
              <w:rPr>
                <w:rFonts w:ascii="宋体" w:hAnsi="宋体" w:cs="宋体"/>
                <w:color w:val="auto"/>
                <w:kern w:val="0"/>
                <w:sz w:val="22"/>
                <w:szCs w:val="22"/>
                <w:highlight w:val="none"/>
              </w:rPr>
            </w:pPr>
          </w:p>
        </w:tc>
        <w:tc>
          <w:tcPr>
            <w:tcW w:w="2261" w:type="dxa"/>
            <w:noWrap w:val="0"/>
            <w:vAlign w:val="center"/>
          </w:tcPr>
          <w:p w14:paraId="761B78E6">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异常者专项建档</w:t>
            </w:r>
          </w:p>
        </w:tc>
        <w:tc>
          <w:tcPr>
            <w:tcW w:w="1134" w:type="dxa"/>
            <w:vMerge w:val="continue"/>
            <w:noWrap w:val="0"/>
            <w:vAlign w:val="center"/>
          </w:tcPr>
          <w:p w14:paraId="29618995">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5F5F6554">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1179CD22">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72A88208">
            <w:pPr>
              <w:widowControl/>
              <w:spacing w:beforeLines="0"/>
              <w:jc w:val="left"/>
              <w:rPr>
                <w:rFonts w:ascii="宋体" w:hAnsi="宋体" w:cs="宋体"/>
                <w:color w:val="auto"/>
                <w:kern w:val="0"/>
                <w:sz w:val="22"/>
                <w:szCs w:val="22"/>
                <w:highlight w:val="none"/>
              </w:rPr>
            </w:pPr>
          </w:p>
        </w:tc>
      </w:tr>
      <w:tr w14:paraId="57E8B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245614F8">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155</w:t>
            </w:r>
          </w:p>
        </w:tc>
        <w:tc>
          <w:tcPr>
            <w:tcW w:w="1745" w:type="dxa"/>
            <w:vMerge w:val="continue"/>
            <w:noWrap w:val="0"/>
            <w:vAlign w:val="center"/>
          </w:tcPr>
          <w:p w14:paraId="665DFE4C">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4EF3F46C">
            <w:pPr>
              <w:widowControl/>
              <w:spacing w:beforeLines="0"/>
              <w:jc w:val="left"/>
              <w:rPr>
                <w:rFonts w:ascii="宋体" w:hAnsi="宋体" w:cs="宋体"/>
                <w:color w:val="auto"/>
                <w:kern w:val="0"/>
                <w:sz w:val="22"/>
                <w:szCs w:val="22"/>
                <w:highlight w:val="none"/>
              </w:rPr>
            </w:pPr>
          </w:p>
        </w:tc>
        <w:tc>
          <w:tcPr>
            <w:tcW w:w="2261" w:type="dxa"/>
            <w:noWrap w:val="0"/>
            <w:vAlign w:val="center"/>
          </w:tcPr>
          <w:p w14:paraId="5F94C86C">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异常者列表</w:t>
            </w:r>
          </w:p>
        </w:tc>
        <w:tc>
          <w:tcPr>
            <w:tcW w:w="1134" w:type="dxa"/>
            <w:vMerge w:val="continue"/>
            <w:noWrap w:val="0"/>
            <w:vAlign w:val="center"/>
          </w:tcPr>
          <w:p w14:paraId="78626C86">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2F831384">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4F6D3F0F">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03CF7CAF">
            <w:pPr>
              <w:widowControl/>
              <w:spacing w:beforeLines="0"/>
              <w:jc w:val="left"/>
              <w:rPr>
                <w:rFonts w:ascii="宋体" w:hAnsi="宋体" w:cs="宋体"/>
                <w:color w:val="auto"/>
                <w:kern w:val="0"/>
                <w:sz w:val="22"/>
                <w:szCs w:val="22"/>
                <w:highlight w:val="none"/>
              </w:rPr>
            </w:pPr>
          </w:p>
        </w:tc>
      </w:tr>
      <w:tr w14:paraId="627E5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77DE1EB2">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156</w:t>
            </w:r>
          </w:p>
        </w:tc>
        <w:tc>
          <w:tcPr>
            <w:tcW w:w="1745" w:type="dxa"/>
            <w:vMerge w:val="continue"/>
            <w:noWrap w:val="0"/>
            <w:vAlign w:val="center"/>
          </w:tcPr>
          <w:p w14:paraId="466A9F57">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44C53575">
            <w:pPr>
              <w:widowControl/>
              <w:spacing w:beforeLines="0"/>
              <w:jc w:val="left"/>
              <w:rPr>
                <w:rFonts w:ascii="宋体" w:hAnsi="宋体" w:cs="宋体"/>
                <w:color w:val="auto"/>
                <w:kern w:val="0"/>
                <w:sz w:val="22"/>
                <w:szCs w:val="22"/>
                <w:highlight w:val="none"/>
              </w:rPr>
            </w:pPr>
          </w:p>
        </w:tc>
        <w:tc>
          <w:tcPr>
            <w:tcW w:w="2261" w:type="dxa"/>
            <w:noWrap w:val="0"/>
            <w:vAlign w:val="center"/>
          </w:tcPr>
          <w:p w14:paraId="39B852D3">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异常者档案管理</w:t>
            </w:r>
          </w:p>
        </w:tc>
        <w:tc>
          <w:tcPr>
            <w:tcW w:w="1134" w:type="dxa"/>
            <w:vMerge w:val="continue"/>
            <w:noWrap w:val="0"/>
            <w:vAlign w:val="center"/>
          </w:tcPr>
          <w:p w14:paraId="1A7A3B4E">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14DF8B66">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4C3C7881">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70EF2C19">
            <w:pPr>
              <w:widowControl/>
              <w:spacing w:beforeLines="0"/>
              <w:jc w:val="left"/>
              <w:rPr>
                <w:rFonts w:ascii="宋体" w:hAnsi="宋体" w:cs="宋体"/>
                <w:color w:val="auto"/>
                <w:kern w:val="0"/>
                <w:sz w:val="22"/>
                <w:szCs w:val="22"/>
                <w:highlight w:val="none"/>
              </w:rPr>
            </w:pPr>
          </w:p>
        </w:tc>
      </w:tr>
      <w:tr w14:paraId="7ABCD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62A6FC11">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157</w:t>
            </w:r>
          </w:p>
        </w:tc>
        <w:tc>
          <w:tcPr>
            <w:tcW w:w="1745" w:type="dxa"/>
            <w:vMerge w:val="continue"/>
            <w:noWrap w:val="0"/>
            <w:vAlign w:val="center"/>
          </w:tcPr>
          <w:p w14:paraId="2F3D836B">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071430CF">
            <w:pPr>
              <w:widowControl/>
              <w:spacing w:beforeLines="0"/>
              <w:jc w:val="left"/>
              <w:rPr>
                <w:rFonts w:ascii="宋体" w:hAnsi="宋体" w:cs="宋体"/>
                <w:color w:val="auto"/>
                <w:kern w:val="0"/>
                <w:sz w:val="22"/>
                <w:szCs w:val="22"/>
                <w:highlight w:val="none"/>
              </w:rPr>
            </w:pPr>
          </w:p>
        </w:tc>
        <w:tc>
          <w:tcPr>
            <w:tcW w:w="2261" w:type="dxa"/>
            <w:noWrap w:val="0"/>
            <w:vAlign w:val="center"/>
          </w:tcPr>
          <w:p w14:paraId="07B33552">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异常者档案备份</w:t>
            </w:r>
          </w:p>
        </w:tc>
        <w:tc>
          <w:tcPr>
            <w:tcW w:w="1134" w:type="dxa"/>
            <w:vMerge w:val="continue"/>
            <w:noWrap w:val="0"/>
            <w:vAlign w:val="center"/>
          </w:tcPr>
          <w:p w14:paraId="759B07DD">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0D4E0D6F">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48A6A6D4">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282D4F0C">
            <w:pPr>
              <w:widowControl/>
              <w:spacing w:beforeLines="0"/>
              <w:jc w:val="left"/>
              <w:rPr>
                <w:rFonts w:ascii="宋体" w:hAnsi="宋体" w:cs="宋体"/>
                <w:color w:val="auto"/>
                <w:kern w:val="0"/>
                <w:sz w:val="22"/>
                <w:szCs w:val="22"/>
                <w:highlight w:val="none"/>
              </w:rPr>
            </w:pPr>
          </w:p>
        </w:tc>
      </w:tr>
      <w:tr w14:paraId="4D62C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1619716A">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158</w:t>
            </w:r>
          </w:p>
        </w:tc>
        <w:tc>
          <w:tcPr>
            <w:tcW w:w="1745" w:type="dxa"/>
            <w:vMerge w:val="continue"/>
            <w:noWrap w:val="0"/>
            <w:vAlign w:val="center"/>
          </w:tcPr>
          <w:p w14:paraId="4AC1838F">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4A0DB039">
            <w:pPr>
              <w:widowControl/>
              <w:spacing w:beforeLines="0"/>
              <w:jc w:val="left"/>
              <w:rPr>
                <w:rFonts w:ascii="宋体" w:hAnsi="宋体" w:cs="宋体"/>
                <w:color w:val="auto"/>
                <w:kern w:val="0"/>
                <w:sz w:val="22"/>
                <w:szCs w:val="22"/>
                <w:highlight w:val="none"/>
              </w:rPr>
            </w:pPr>
          </w:p>
        </w:tc>
        <w:tc>
          <w:tcPr>
            <w:tcW w:w="2261" w:type="dxa"/>
            <w:noWrap w:val="0"/>
            <w:vAlign w:val="center"/>
          </w:tcPr>
          <w:p w14:paraId="70BB86E2">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异常者随访</w:t>
            </w:r>
          </w:p>
        </w:tc>
        <w:tc>
          <w:tcPr>
            <w:tcW w:w="1134" w:type="dxa"/>
            <w:vMerge w:val="continue"/>
            <w:noWrap w:val="0"/>
            <w:vAlign w:val="center"/>
          </w:tcPr>
          <w:p w14:paraId="3180A85F">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424E2480">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7E34F472">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0CF33CFF">
            <w:pPr>
              <w:widowControl/>
              <w:spacing w:beforeLines="0"/>
              <w:jc w:val="left"/>
              <w:rPr>
                <w:rFonts w:ascii="宋体" w:hAnsi="宋体" w:cs="宋体"/>
                <w:color w:val="auto"/>
                <w:kern w:val="0"/>
                <w:sz w:val="22"/>
                <w:szCs w:val="22"/>
                <w:highlight w:val="none"/>
              </w:rPr>
            </w:pPr>
          </w:p>
        </w:tc>
      </w:tr>
      <w:tr w14:paraId="12C17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03965DF2">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159</w:t>
            </w:r>
          </w:p>
        </w:tc>
        <w:tc>
          <w:tcPr>
            <w:tcW w:w="1745" w:type="dxa"/>
            <w:vMerge w:val="continue"/>
            <w:noWrap w:val="0"/>
            <w:vAlign w:val="center"/>
          </w:tcPr>
          <w:p w14:paraId="7AA71D54">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47C307EF">
            <w:pPr>
              <w:widowControl/>
              <w:spacing w:beforeLines="0"/>
              <w:jc w:val="left"/>
              <w:rPr>
                <w:rFonts w:ascii="宋体" w:hAnsi="宋体" w:cs="宋体"/>
                <w:color w:val="auto"/>
                <w:kern w:val="0"/>
                <w:sz w:val="22"/>
                <w:szCs w:val="22"/>
                <w:highlight w:val="none"/>
              </w:rPr>
            </w:pPr>
          </w:p>
        </w:tc>
        <w:tc>
          <w:tcPr>
            <w:tcW w:w="2261" w:type="dxa"/>
            <w:noWrap w:val="0"/>
            <w:vAlign w:val="center"/>
          </w:tcPr>
          <w:p w14:paraId="37B262B1">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异常者评估</w:t>
            </w:r>
          </w:p>
        </w:tc>
        <w:tc>
          <w:tcPr>
            <w:tcW w:w="1134" w:type="dxa"/>
            <w:vMerge w:val="continue"/>
            <w:noWrap w:val="0"/>
            <w:vAlign w:val="center"/>
          </w:tcPr>
          <w:p w14:paraId="2A563489">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1435EAB1">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03F33678">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39402C00">
            <w:pPr>
              <w:widowControl/>
              <w:spacing w:beforeLines="0"/>
              <w:jc w:val="left"/>
              <w:rPr>
                <w:rFonts w:ascii="宋体" w:hAnsi="宋体" w:cs="宋体"/>
                <w:color w:val="auto"/>
                <w:kern w:val="0"/>
                <w:sz w:val="22"/>
                <w:szCs w:val="22"/>
                <w:highlight w:val="none"/>
              </w:rPr>
            </w:pPr>
          </w:p>
        </w:tc>
      </w:tr>
      <w:tr w14:paraId="34233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5CE84F73">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160</w:t>
            </w:r>
          </w:p>
        </w:tc>
        <w:tc>
          <w:tcPr>
            <w:tcW w:w="1745" w:type="dxa"/>
            <w:vMerge w:val="continue"/>
            <w:noWrap w:val="0"/>
            <w:vAlign w:val="center"/>
          </w:tcPr>
          <w:p w14:paraId="4E50F230">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4F21F03C">
            <w:pPr>
              <w:widowControl/>
              <w:spacing w:beforeLines="0"/>
              <w:jc w:val="left"/>
              <w:rPr>
                <w:rFonts w:ascii="宋体" w:hAnsi="宋体" w:cs="宋体"/>
                <w:color w:val="auto"/>
                <w:kern w:val="0"/>
                <w:sz w:val="22"/>
                <w:szCs w:val="22"/>
                <w:highlight w:val="none"/>
              </w:rPr>
            </w:pPr>
          </w:p>
        </w:tc>
        <w:tc>
          <w:tcPr>
            <w:tcW w:w="2261" w:type="dxa"/>
            <w:noWrap w:val="0"/>
            <w:vAlign w:val="center"/>
          </w:tcPr>
          <w:p w14:paraId="48928D18">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异常者新增</w:t>
            </w:r>
          </w:p>
        </w:tc>
        <w:tc>
          <w:tcPr>
            <w:tcW w:w="1134" w:type="dxa"/>
            <w:vMerge w:val="continue"/>
            <w:noWrap w:val="0"/>
            <w:vAlign w:val="center"/>
          </w:tcPr>
          <w:p w14:paraId="1717F3D6">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6AA176C2">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118E8A19">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34E694AB">
            <w:pPr>
              <w:widowControl/>
              <w:spacing w:beforeLines="0"/>
              <w:jc w:val="left"/>
              <w:rPr>
                <w:rFonts w:ascii="宋体" w:hAnsi="宋体" w:cs="宋体"/>
                <w:color w:val="auto"/>
                <w:kern w:val="0"/>
                <w:sz w:val="22"/>
                <w:szCs w:val="22"/>
                <w:highlight w:val="none"/>
              </w:rPr>
            </w:pPr>
          </w:p>
        </w:tc>
      </w:tr>
      <w:tr w14:paraId="32DAB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4A602B7E">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161</w:t>
            </w:r>
          </w:p>
        </w:tc>
        <w:tc>
          <w:tcPr>
            <w:tcW w:w="1745" w:type="dxa"/>
            <w:vMerge w:val="continue"/>
            <w:noWrap w:val="0"/>
            <w:vAlign w:val="center"/>
          </w:tcPr>
          <w:p w14:paraId="4319A3C8">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0543BA78">
            <w:pPr>
              <w:widowControl/>
              <w:spacing w:beforeLines="0"/>
              <w:jc w:val="left"/>
              <w:rPr>
                <w:rFonts w:ascii="宋体" w:hAnsi="宋体" w:cs="宋体"/>
                <w:color w:val="auto"/>
                <w:kern w:val="0"/>
                <w:sz w:val="22"/>
                <w:szCs w:val="22"/>
                <w:highlight w:val="none"/>
              </w:rPr>
            </w:pPr>
          </w:p>
        </w:tc>
        <w:tc>
          <w:tcPr>
            <w:tcW w:w="2261" w:type="dxa"/>
            <w:noWrap w:val="0"/>
            <w:vAlign w:val="center"/>
          </w:tcPr>
          <w:p w14:paraId="45E13F10">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异常者随访任务列表</w:t>
            </w:r>
          </w:p>
        </w:tc>
        <w:tc>
          <w:tcPr>
            <w:tcW w:w="1134" w:type="dxa"/>
            <w:vMerge w:val="continue"/>
            <w:noWrap w:val="0"/>
            <w:vAlign w:val="center"/>
          </w:tcPr>
          <w:p w14:paraId="449C75B0">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4053BC31">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191570E0">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6C301716">
            <w:pPr>
              <w:widowControl/>
              <w:spacing w:beforeLines="0"/>
              <w:jc w:val="left"/>
              <w:rPr>
                <w:rFonts w:ascii="宋体" w:hAnsi="宋体" w:cs="宋体"/>
                <w:color w:val="auto"/>
                <w:kern w:val="0"/>
                <w:sz w:val="22"/>
                <w:szCs w:val="22"/>
                <w:highlight w:val="none"/>
              </w:rPr>
            </w:pPr>
          </w:p>
        </w:tc>
      </w:tr>
      <w:tr w14:paraId="62AF6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5B9DBEF5">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162</w:t>
            </w:r>
          </w:p>
        </w:tc>
        <w:tc>
          <w:tcPr>
            <w:tcW w:w="1745" w:type="dxa"/>
            <w:vMerge w:val="continue"/>
            <w:noWrap w:val="0"/>
            <w:vAlign w:val="center"/>
          </w:tcPr>
          <w:p w14:paraId="37D734BD">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2C0A70A8">
            <w:pPr>
              <w:widowControl/>
              <w:spacing w:beforeLines="0"/>
              <w:jc w:val="left"/>
              <w:rPr>
                <w:rFonts w:ascii="宋体" w:hAnsi="宋体" w:cs="宋体"/>
                <w:color w:val="auto"/>
                <w:kern w:val="0"/>
                <w:sz w:val="22"/>
                <w:szCs w:val="22"/>
                <w:highlight w:val="none"/>
              </w:rPr>
            </w:pPr>
          </w:p>
        </w:tc>
        <w:tc>
          <w:tcPr>
            <w:tcW w:w="2261" w:type="dxa"/>
            <w:noWrap w:val="0"/>
            <w:vAlign w:val="center"/>
          </w:tcPr>
          <w:p w14:paraId="719EB89C">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异常者随访任务处理</w:t>
            </w:r>
          </w:p>
        </w:tc>
        <w:tc>
          <w:tcPr>
            <w:tcW w:w="1134" w:type="dxa"/>
            <w:vMerge w:val="continue"/>
            <w:noWrap w:val="0"/>
            <w:vAlign w:val="center"/>
          </w:tcPr>
          <w:p w14:paraId="30EA4803">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1A6E74AC">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7638EAF8">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1F7FE3A9">
            <w:pPr>
              <w:widowControl/>
              <w:spacing w:beforeLines="0"/>
              <w:jc w:val="left"/>
              <w:rPr>
                <w:rFonts w:ascii="宋体" w:hAnsi="宋体" w:cs="宋体"/>
                <w:color w:val="auto"/>
                <w:kern w:val="0"/>
                <w:sz w:val="22"/>
                <w:szCs w:val="22"/>
                <w:highlight w:val="none"/>
              </w:rPr>
            </w:pPr>
          </w:p>
        </w:tc>
      </w:tr>
      <w:tr w14:paraId="67D87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61EB59F7">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163</w:t>
            </w:r>
          </w:p>
        </w:tc>
        <w:tc>
          <w:tcPr>
            <w:tcW w:w="1745" w:type="dxa"/>
            <w:vMerge w:val="continue"/>
            <w:noWrap w:val="0"/>
            <w:vAlign w:val="center"/>
          </w:tcPr>
          <w:p w14:paraId="743B5E7A">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54164E24">
            <w:pPr>
              <w:widowControl/>
              <w:spacing w:beforeLines="0"/>
              <w:jc w:val="left"/>
              <w:rPr>
                <w:rFonts w:ascii="宋体" w:hAnsi="宋体" w:cs="宋体"/>
                <w:color w:val="auto"/>
                <w:kern w:val="0"/>
                <w:sz w:val="22"/>
                <w:szCs w:val="22"/>
                <w:highlight w:val="none"/>
              </w:rPr>
            </w:pPr>
          </w:p>
        </w:tc>
        <w:tc>
          <w:tcPr>
            <w:tcW w:w="2261" w:type="dxa"/>
            <w:noWrap w:val="0"/>
            <w:vAlign w:val="center"/>
          </w:tcPr>
          <w:p w14:paraId="0779831F">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异常者随访状态标识</w:t>
            </w:r>
          </w:p>
        </w:tc>
        <w:tc>
          <w:tcPr>
            <w:tcW w:w="1134" w:type="dxa"/>
            <w:vMerge w:val="continue"/>
            <w:noWrap w:val="0"/>
            <w:vAlign w:val="center"/>
          </w:tcPr>
          <w:p w14:paraId="332B303C">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589D9C69">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46C6F64F">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28B2115A">
            <w:pPr>
              <w:widowControl/>
              <w:spacing w:beforeLines="0"/>
              <w:jc w:val="left"/>
              <w:rPr>
                <w:rFonts w:ascii="宋体" w:hAnsi="宋体" w:cs="宋体"/>
                <w:color w:val="auto"/>
                <w:kern w:val="0"/>
                <w:sz w:val="22"/>
                <w:szCs w:val="22"/>
                <w:highlight w:val="none"/>
              </w:rPr>
            </w:pPr>
          </w:p>
        </w:tc>
      </w:tr>
      <w:tr w14:paraId="0D287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28E32E64">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164</w:t>
            </w:r>
          </w:p>
        </w:tc>
        <w:tc>
          <w:tcPr>
            <w:tcW w:w="1745" w:type="dxa"/>
            <w:vMerge w:val="continue"/>
            <w:noWrap w:val="0"/>
            <w:vAlign w:val="center"/>
          </w:tcPr>
          <w:p w14:paraId="22864014">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2F184A8D">
            <w:pPr>
              <w:widowControl/>
              <w:spacing w:beforeLines="0"/>
              <w:jc w:val="left"/>
              <w:rPr>
                <w:rFonts w:ascii="宋体" w:hAnsi="宋体" w:cs="宋体"/>
                <w:color w:val="auto"/>
                <w:kern w:val="0"/>
                <w:sz w:val="22"/>
                <w:szCs w:val="22"/>
                <w:highlight w:val="none"/>
              </w:rPr>
            </w:pPr>
          </w:p>
        </w:tc>
        <w:tc>
          <w:tcPr>
            <w:tcW w:w="2261" w:type="dxa"/>
            <w:noWrap w:val="0"/>
            <w:vAlign w:val="center"/>
          </w:tcPr>
          <w:p w14:paraId="41F038CF">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异常者回访任务列表</w:t>
            </w:r>
          </w:p>
        </w:tc>
        <w:tc>
          <w:tcPr>
            <w:tcW w:w="1134" w:type="dxa"/>
            <w:vMerge w:val="continue"/>
            <w:noWrap w:val="0"/>
            <w:vAlign w:val="center"/>
          </w:tcPr>
          <w:p w14:paraId="637DEA53">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0BC59BC2">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59DA9BBD">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4D5B12E1">
            <w:pPr>
              <w:widowControl/>
              <w:spacing w:beforeLines="0"/>
              <w:jc w:val="left"/>
              <w:rPr>
                <w:rFonts w:ascii="宋体" w:hAnsi="宋体" w:cs="宋体"/>
                <w:color w:val="auto"/>
                <w:kern w:val="0"/>
                <w:sz w:val="22"/>
                <w:szCs w:val="22"/>
                <w:highlight w:val="none"/>
              </w:rPr>
            </w:pPr>
          </w:p>
        </w:tc>
      </w:tr>
      <w:tr w14:paraId="7F026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11DED2D5">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165</w:t>
            </w:r>
          </w:p>
        </w:tc>
        <w:tc>
          <w:tcPr>
            <w:tcW w:w="1745" w:type="dxa"/>
            <w:vMerge w:val="continue"/>
            <w:noWrap w:val="0"/>
            <w:vAlign w:val="center"/>
          </w:tcPr>
          <w:p w14:paraId="77C0CD80">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4B78D085">
            <w:pPr>
              <w:widowControl/>
              <w:spacing w:beforeLines="0"/>
              <w:jc w:val="left"/>
              <w:rPr>
                <w:rFonts w:ascii="宋体" w:hAnsi="宋体" w:cs="宋体"/>
                <w:color w:val="auto"/>
                <w:kern w:val="0"/>
                <w:sz w:val="22"/>
                <w:szCs w:val="22"/>
                <w:highlight w:val="none"/>
              </w:rPr>
            </w:pPr>
          </w:p>
        </w:tc>
        <w:tc>
          <w:tcPr>
            <w:tcW w:w="2261" w:type="dxa"/>
            <w:noWrap w:val="0"/>
            <w:vAlign w:val="center"/>
          </w:tcPr>
          <w:p w14:paraId="0C430EB4">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异常者回访任务处理</w:t>
            </w:r>
          </w:p>
        </w:tc>
        <w:tc>
          <w:tcPr>
            <w:tcW w:w="1134" w:type="dxa"/>
            <w:vMerge w:val="continue"/>
            <w:noWrap w:val="0"/>
            <w:vAlign w:val="center"/>
          </w:tcPr>
          <w:p w14:paraId="7DD3F38F">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66B4C0F0">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20A65F30">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78BBF1D2">
            <w:pPr>
              <w:widowControl/>
              <w:spacing w:beforeLines="0"/>
              <w:jc w:val="left"/>
              <w:rPr>
                <w:rFonts w:ascii="宋体" w:hAnsi="宋体" w:cs="宋体"/>
                <w:color w:val="auto"/>
                <w:kern w:val="0"/>
                <w:sz w:val="22"/>
                <w:szCs w:val="22"/>
                <w:highlight w:val="none"/>
              </w:rPr>
            </w:pPr>
          </w:p>
        </w:tc>
      </w:tr>
      <w:tr w14:paraId="4E601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48AB1D4A">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166</w:t>
            </w:r>
          </w:p>
        </w:tc>
        <w:tc>
          <w:tcPr>
            <w:tcW w:w="1745" w:type="dxa"/>
            <w:vMerge w:val="continue"/>
            <w:noWrap w:val="0"/>
            <w:vAlign w:val="center"/>
          </w:tcPr>
          <w:p w14:paraId="7B264ADB">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2F24B768">
            <w:pPr>
              <w:widowControl/>
              <w:spacing w:beforeLines="0"/>
              <w:jc w:val="left"/>
              <w:rPr>
                <w:rFonts w:ascii="宋体" w:hAnsi="宋体" w:cs="宋体"/>
                <w:color w:val="auto"/>
                <w:kern w:val="0"/>
                <w:sz w:val="22"/>
                <w:szCs w:val="22"/>
                <w:highlight w:val="none"/>
              </w:rPr>
            </w:pPr>
          </w:p>
        </w:tc>
        <w:tc>
          <w:tcPr>
            <w:tcW w:w="2261" w:type="dxa"/>
            <w:noWrap w:val="0"/>
            <w:vAlign w:val="center"/>
          </w:tcPr>
          <w:p w14:paraId="68E76486">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异常者随访记录列表</w:t>
            </w:r>
          </w:p>
        </w:tc>
        <w:tc>
          <w:tcPr>
            <w:tcW w:w="1134" w:type="dxa"/>
            <w:vMerge w:val="continue"/>
            <w:noWrap w:val="0"/>
            <w:vAlign w:val="center"/>
          </w:tcPr>
          <w:p w14:paraId="4358153D">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42C68742">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28AA468E">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35E0893D">
            <w:pPr>
              <w:widowControl/>
              <w:spacing w:beforeLines="0"/>
              <w:jc w:val="left"/>
              <w:rPr>
                <w:rFonts w:ascii="宋体" w:hAnsi="宋体" w:cs="宋体"/>
                <w:color w:val="auto"/>
                <w:kern w:val="0"/>
                <w:sz w:val="22"/>
                <w:szCs w:val="22"/>
                <w:highlight w:val="none"/>
              </w:rPr>
            </w:pPr>
          </w:p>
        </w:tc>
      </w:tr>
      <w:tr w14:paraId="6723F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23155309">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167</w:t>
            </w:r>
          </w:p>
        </w:tc>
        <w:tc>
          <w:tcPr>
            <w:tcW w:w="1745" w:type="dxa"/>
            <w:vMerge w:val="continue"/>
            <w:noWrap w:val="0"/>
            <w:vAlign w:val="center"/>
          </w:tcPr>
          <w:p w14:paraId="1F8EA573">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070D23DA">
            <w:pPr>
              <w:widowControl/>
              <w:spacing w:beforeLines="0"/>
              <w:jc w:val="left"/>
              <w:rPr>
                <w:rFonts w:ascii="宋体" w:hAnsi="宋体" w:cs="宋体"/>
                <w:color w:val="auto"/>
                <w:kern w:val="0"/>
                <w:sz w:val="22"/>
                <w:szCs w:val="22"/>
                <w:highlight w:val="none"/>
              </w:rPr>
            </w:pPr>
          </w:p>
        </w:tc>
        <w:tc>
          <w:tcPr>
            <w:tcW w:w="2261" w:type="dxa"/>
            <w:noWrap w:val="0"/>
            <w:vAlign w:val="center"/>
          </w:tcPr>
          <w:p w14:paraId="74EF3BE6">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异常者随访记录详情</w:t>
            </w:r>
          </w:p>
        </w:tc>
        <w:tc>
          <w:tcPr>
            <w:tcW w:w="1134" w:type="dxa"/>
            <w:vMerge w:val="continue"/>
            <w:noWrap w:val="0"/>
            <w:vAlign w:val="center"/>
          </w:tcPr>
          <w:p w14:paraId="6B91C428">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65A00C71">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083993D9">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1B8FD8AA">
            <w:pPr>
              <w:widowControl/>
              <w:spacing w:beforeLines="0"/>
              <w:jc w:val="left"/>
              <w:rPr>
                <w:rFonts w:ascii="宋体" w:hAnsi="宋体" w:cs="宋体"/>
                <w:color w:val="auto"/>
                <w:kern w:val="0"/>
                <w:sz w:val="22"/>
                <w:szCs w:val="22"/>
                <w:highlight w:val="none"/>
              </w:rPr>
            </w:pPr>
          </w:p>
        </w:tc>
      </w:tr>
      <w:tr w14:paraId="51752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1D5F871B">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168</w:t>
            </w:r>
          </w:p>
        </w:tc>
        <w:tc>
          <w:tcPr>
            <w:tcW w:w="1745" w:type="dxa"/>
            <w:vMerge w:val="continue"/>
            <w:noWrap w:val="0"/>
            <w:vAlign w:val="center"/>
          </w:tcPr>
          <w:p w14:paraId="667FF155">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6F125601">
            <w:pPr>
              <w:widowControl/>
              <w:spacing w:beforeLines="0"/>
              <w:jc w:val="left"/>
              <w:rPr>
                <w:rFonts w:ascii="宋体" w:hAnsi="宋体" w:cs="宋体"/>
                <w:color w:val="auto"/>
                <w:kern w:val="0"/>
                <w:sz w:val="22"/>
                <w:szCs w:val="22"/>
                <w:highlight w:val="none"/>
              </w:rPr>
            </w:pPr>
          </w:p>
        </w:tc>
        <w:tc>
          <w:tcPr>
            <w:tcW w:w="2261" w:type="dxa"/>
            <w:noWrap w:val="0"/>
            <w:vAlign w:val="center"/>
          </w:tcPr>
          <w:p w14:paraId="7D8D5676">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异常者随访记录备份</w:t>
            </w:r>
          </w:p>
        </w:tc>
        <w:tc>
          <w:tcPr>
            <w:tcW w:w="1134" w:type="dxa"/>
            <w:vMerge w:val="continue"/>
            <w:noWrap w:val="0"/>
            <w:vAlign w:val="center"/>
          </w:tcPr>
          <w:p w14:paraId="3DD54C24">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64A439AE">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21DE8896">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77BB3F74">
            <w:pPr>
              <w:widowControl/>
              <w:spacing w:beforeLines="0"/>
              <w:jc w:val="left"/>
              <w:rPr>
                <w:rFonts w:ascii="宋体" w:hAnsi="宋体" w:cs="宋体"/>
                <w:color w:val="auto"/>
                <w:kern w:val="0"/>
                <w:sz w:val="22"/>
                <w:szCs w:val="22"/>
                <w:highlight w:val="none"/>
              </w:rPr>
            </w:pPr>
          </w:p>
        </w:tc>
      </w:tr>
      <w:tr w14:paraId="6F310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7EFBF822">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169</w:t>
            </w:r>
          </w:p>
        </w:tc>
        <w:tc>
          <w:tcPr>
            <w:tcW w:w="1745" w:type="dxa"/>
            <w:vMerge w:val="continue"/>
            <w:noWrap w:val="0"/>
            <w:vAlign w:val="center"/>
          </w:tcPr>
          <w:p w14:paraId="479D5AD6">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1E511897">
            <w:pPr>
              <w:widowControl/>
              <w:spacing w:beforeLines="0"/>
              <w:jc w:val="left"/>
              <w:rPr>
                <w:rFonts w:ascii="宋体" w:hAnsi="宋体" w:cs="宋体"/>
                <w:color w:val="auto"/>
                <w:kern w:val="0"/>
                <w:sz w:val="22"/>
                <w:szCs w:val="22"/>
                <w:highlight w:val="none"/>
              </w:rPr>
            </w:pPr>
          </w:p>
        </w:tc>
        <w:tc>
          <w:tcPr>
            <w:tcW w:w="2261" w:type="dxa"/>
            <w:noWrap w:val="0"/>
            <w:vAlign w:val="center"/>
          </w:tcPr>
          <w:p w14:paraId="4E85275F">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评估任务列表</w:t>
            </w:r>
          </w:p>
        </w:tc>
        <w:tc>
          <w:tcPr>
            <w:tcW w:w="1134" w:type="dxa"/>
            <w:vMerge w:val="continue"/>
            <w:noWrap w:val="0"/>
            <w:vAlign w:val="center"/>
          </w:tcPr>
          <w:p w14:paraId="5CB55B01">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76C9BDE9">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0E54D2E8">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29A9ADF1">
            <w:pPr>
              <w:widowControl/>
              <w:spacing w:beforeLines="0"/>
              <w:jc w:val="left"/>
              <w:rPr>
                <w:rFonts w:ascii="宋体" w:hAnsi="宋体" w:cs="宋体"/>
                <w:color w:val="auto"/>
                <w:kern w:val="0"/>
                <w:sz w:val="22"/>
                <w:szCs w:val="22"/>
                <w:highlight w:val="none"/>
              </w:rPr>
            </w:pPr>
          </w:p>
        </w:tc>
      </w:tr>
      <w:tr w14:paraId="7D47E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5043B70F">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170</w:t>
            </w:r>
          </w:p>
        </w:tc>
        <w:tc>
          <w:tcPr>
            <w:tcW w:w="1745" w:type="dxa"/>
            <w:vMerge w:val="continue"/>
            <w:noWrap w:val="0"/>
            <w:vAlign w:val="center"/>
          </w:tcPr>
          <w:p w14:paraId="58D56217">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2FADEB03">
            <w:pPr>
              <w:widowControl/>
              <w:spacing w:beforeLines="0"/>
              <w:jc w:val="left"/>
              <w:rPr>
                <w:rFonts w:ascii="宋体" w:hAnsi="宋体" w:cs="宋体"/>
                <w:color w:val="auto"/>
                <w:kern w:val="0"/>
                <w:sz w:val="22"/>
                <w:szCs w:val="22"/>
                <w:highlight w:val="none"/>
              </w:rPr>
            </w:pPr>
          </w:p>
        </w:tc>
        <w:tc>
          <w:tcPr>
            <w:tcW w:w="2261" w:type="dxa"/>
            <w:noWrap w:val="0"/>
            <w:vAlign w:val="center"/>
          </w:tcPr>
          <w:p w14:paraId="6048D55E">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ASCVD风险评估</w:t>
            </w:r>
          </w:p>
        </w:tc>
        <w:tc>
          <w:tcPr>
            <w:tcW w:w="1134" w:type="dxa"/>
            <w:vMerge w:val="continue"/>
            <w:noWrap w:val="0"/>
            <w:vAlign w:val="center"/>
          </w:tcPr>
          <w:p w14:paraId="7DBB09D6">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70C499DB">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6577DFCB">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11A09614">
            <w:pPr>
              <w:widowControl/>
              <w:spacing w:beforeLines="0"/>
              <w:jc w:val="left"/>
              <w:rPr>
                <w:rFonts w:ascii="宋体" w:hAnsi="宋体" w:cs="宋体"/>
                <w:color w:val="auto"/>
                <w:kern w:val="0"/>
                <w:sz w:val="22"/>
                <w:szCs w:val="22"/>
                <w:highlight w:val="none"/>
              </w:rPr>
            </w:pPr>
          </w:p>
        </w:tc>
      </w:tr>
      <w:tr w14:paraId="1968D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2F3C7F70">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171</w:t>
            </w:r>
          </w:p>
        </w:tc>
        <w:tc>
          <w:tcPr>
            <w:tcW w:w="1745" w:type="dxa"/>
            <w:vMerge w:val="continue"/>
            <w:noWrap w:val="0"/>
            <w:vAlign w:val="center"/>
          </w:tcPr>
          <w:p w14:paraId="50517900">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7E017388">
            <w:pPr>
              <w:widowControl/>
              <w:spacing w:beforeLines="0"/>
              <w:jc w:val="left"/>
              <w:rPr>
                <w:rFonts w:ascii="宋体" w:hAnsi="宋体" w:cs="宋体"/>
                <w:color w:val="auto"/>
                <w:kern w:val="0"/>
                <w:sz w:val="22"/>
                <w:szCs w:val="22"/>
                <w:highlight w:val="none"/>
              </w:rPr>
            </w:pPr>
          </w:p>
        </w:tc>
        <w:tc>
          <w:tcPr>
            <w:tcW w:w="2261" w:type="dxa"/>
            <w:noWrap w:val="0"/>
            <w:vAlign w:val="center"/>
          </w:tcPr>
          <w:p w14:paraId="026C12A7">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评估记录列表</w:t>
            </w:r>
          </w:p>
        </w:tc>
        <w:tc>
          <w:tcPr>
            <w:tcW w:w="1134" w:type="dxa"/>
            <w:vMerge w:val="continue"/>
            <w:noWrap w:val="0"/>
            <w:vAlign w:val="center"/>
          </w:tcPr>
          <w:p w14:paraId="0B5551CB">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18C79385">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23DA0C44">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6BB9EEF0">
            <w:pPr>
              <w:widowControl/>
              <w:spacing w:beforeLines="0"/>
              <w:jc w:val="left"/>
              <w:rPr>
                <w:rFonts w:ascii="宋体" w:hAnsi="宋体" w:cs="宋体"/>
                <w:color w:val="auto"/>
                <w:kern w:val="0"/>
                <w:sz w:val="22"/>
                <w:szCs w:val="22"/>
                <w:highlight w:val="none"/>
              </w:rPr>
            </w:pPr>
          </w:p>
        </w:tc>
      </w:tr>
      <w:tr w14:paraId="29233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402C064F">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172</w:t>
            </w:r>
          </w:p>
        </w:tc>
        <w:tc>
          <w:tcPr>
            <w:tcW w:w="1745" w:type="dxa"/>
            <w:vMerge w:val="continue"/>
            <w:noWrap w:val="0"/>
            <w:vAlign w:val="center"/>
          </w:tcPr>
          <w:p w14:paraId="7AFAFD06">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51A52CE3">
            <w:pPr>
              <w:widowControl/>
              <w:spacing w:beforeLines="0"/>
              <w:jc w:val="left"/>
              <w:rPr>
                <w:rFonts w:ascii="宋体" w:hAnsi="宋体" w:cs="宋体"/>
                <w:color w:val="auto"/>
                <w:kern w:val="0"/>
                <w:sz w:val="22"/>
                <w:szCs w:val="22"/>
                <w:highlight w:val="none"/>
              </w:rPr>
            </w:pPr>
          </w:p>
        </w:tc>
        <w:tc>
          <w:tcPr>
            <w:tcW w:w="2261" w:type="dxa"/>
            <w:noWrap w:val="0"/>
            <w:vAlign w:val="center"/>
          </w:tcPr>
          <w:p w14:paraId="6EBA22B3">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评估记录详情</w:t>
            </w:r>
          </w:p>
        </w:tc>
        <w:tc>
          <w:tcPr>
            <w:tcW w:w="1134" w:type="dxa"/>
            <w:vMerge w:val="continue"/>
            <w:noWrap w:val="0"/>
            <w:vAlign w:val="center"/>
          </w:tcPr>
          <w:p w14:paraId="4FD60899">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6BE6C702">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510C1E7D">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0F437B1D">
            <w:pPr>
              <w:widowControl/>
              <w:spacing w:beforeLines="0"/>
              <w:jc w:val="left"/>
              <w:rPr>
                <w:rFonts w:ascii="宋体" w:hAnsi="宋体" w:cs="宋体"/>
                <w:color w:val="auto"/>
                <w:kern w:val="0"/>
                <w:sz w:val="22"/>
                <w:szCs w:val="22"/>
                <w:highlight w:val="none"/>
              </w:rPr>
            </w:pPr>
          </w:p>
        </w:tc>
      </w:tr>
      <w:tr w14:paraId="6340E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3F4A2F67">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173</w:t>
            </w:r>
          </w:p>
        </w:tc>
        <w:tc>
          <w:tcPr>
            <w:tcW w:w="1745" w:type="dxa"/>
            <w:vMerge w:val="continue"/>
            <w:noWrap w:val="0"/>
            <w:vAlign w:val="center"/>
          </w:tcPr>
          <w:p w14:paraId="44E51AFB">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783D8001">
            <w:pPr>
              <w:widowControl/>
              <w:spacing w:beforeLines="0"/>
              <w:jc w:val="left"/>
              <w:rPr>
                <w:rFonts w:ascii="宋体" w:hAnsi="宋体" w:cs="宋体"/>
                <w:color w:val="auto"/>
                <w:kern w:val="0"/>
                <w:sz w:val="22"/>
                <w:szCs w:val="22"/>
                <w:highlight w:val="none"/>
              </w:rPr>
            </w:pPr>
          </w:p>
        </w:tc>
        <w:tc>
          <w:tcPr>
            <w:tcW w:w="2261" w:type="dxa"/>
            <w:noWrap w:val="0"/>
            <w:vAlign w:val="center"/>
          </w:tcPr>
          <w:p w14:paraId="783B9D5B">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新增血脂评估</w:t>
            </w:r>
          </w:p>
        </w:tc>
        <w:tc>
          <w:tcPr>
            <w:tcW w:w="1134" w:type="dxa"/>
            <w:vMerge w:val="continue"/>
            <w:noWrap w:val="0"/>
            <w:vAlign w:val="center"/>
          </w:tcPr>
          <w:p w14:paraId="12A7A53F">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4CEF4221">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3252EB3B">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69291514">
            <w:pPr>
              <w:widowControl/>
              <w:spacing w:beforeLines="0"/>
              <w:jc w:val="left"/>
              <w:rPr>
                <w:rFonts w:ascii="宋体" w:hAnsi="宋体" w:cs="宋体"/>
                <w:color w:val="auto"/>
                <w:kern w:val="0"/>
                <w:sz w:val="22"/>
                <w:szCs w:val="22"/>
                <w:highlight w:val="none"/>
              </w:rPr>
            </w:pPr>
          </w:p>
        </w:tc>
      </w:tr>
      <w:tr w14:paraId="2F3F1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5686014C">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174</w:t>
            </w:r>
          </w:p>
        </w:tc>
        <w:tc>
          <w:tcPr>
            <w:tcW w:w="1745" w:type="dxa"/>
            <w:vMerge w:val="continue"/>
            <w:noWrap w:val="0"/>
            <w:vAlign w:val="center"/>
          </w:tcPr>
          <w:p w14:paraId="4F509E88">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61F944E4">
            <w:pPr>
              <w:widowControl/>
              <w:spacing w:beforeLines="0"/>
              <w:jc w:val="left"/>
              <w:rPr>
                <w:rFonts w:ascii="宋体" w:hAnsi="宋体" w:cs="宋体"/>
                <w:color w:val="auto"/>
                <w:kern w:val="0"/>
                <w:sz w:val="22"/>
                <w:szCs w:val="22"/>
                <w:highlight w:val="none"/>
              </w:rPr>
            </w:pPr>
          </w:p>
        </w:tc>
        <w:tc>
          <w:tcPr>
            <w:tcW w:w="2261" w:type="dxa"/>
            <w:noWrap w:val="0"/>
            <w:vAlign w:val="center"/>
          </w:tcPr>
          <w:p w14:paraId="13B2179E">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画像总览</w:t>
            </w:r>
          </w:p>
        </w:tc>
        <w:tc>
          <w:tcPr>
            <w:tcW w:w="1134" w:type="dxa"/>
            <w:vMerge w:val="continue"/>
            <w:noWrap w:val="0"/>
            <w:vAlign w:val="center"/>
          </w:tcPr>
          <w:p w14:paraId="4702DDA5">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17476FA9">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4DA912BC">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5F851A63">
            <w:pPr>
              <w:widowControl/>
              <w:spacing w:beforeLines="0"/>
              <w:jc w:val="left"/>
              <w:rPr>
                <w:rFonts w:ascii="宋体" w:hAnsi="宋体" w:cs="宋体"/>
                <w:color w:val="auto"/>
                <w:kern w:val="0"/>
                <w:sz w:val="22"/>
                <w:szCs w:val="22"/>
                <w:highlight w:val="none"/>
              </w:rPr>
            </w:pPr>
          </w:p>
        </w:tc>
      </w:tr>
      <w:tr w14:paraId="1CE13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3E75B3EA">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175</w:t>
            </w:r>
          </w:p>
        </w:tc>
        <w:tc>
          <w:tcPr>
            <w:tcW w:w="1745" w:type="dxa"/>
            <w:vMerge w:val="continue"/>
            <w:noWrap w:val="0"/>
            <w:vAlign w:val="center"/>
          </w:tcPr>
          <w:p w14:paraId="7BBCF586">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0453CAE3">
            <w:pPr>
              <w:widowControl/>
              <w:spacing w:beforeLines="0"/>
              <w:jc w:val="left"/>
              <w:rPr>
                <w:rFonts w:ascii="宋体" w:hAnsi="宋体" w:cs="宋体"/>
                <w:color w:val="auto"/>
                <w:kern w:val="0"/>
                <w:sz w:val="22"/>
                <w:szCs w:val="22"/>
                <w:highlight w:val="none"/>
              </w:rPr>
            </w:pPr>
          </w:p>
        </w:tc>
        <w:tc>
          <w:tcPr>
            <w:tcW w:w="2261" w:type="dxa"/>
            <w:noWrap w:val="0"/>
            <w:vAlign w:val="center"/>
          </w:tcPr>
          <w:p w14:paraId="56B9E204">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症状体征</w:t>
            </w:r>
          </w:p>
        </w:tc>
        <w:tc>
          <w:tcPr>
            <w:tcW w:w="1134" w:type="dxa"/>
            <w:vMerge w:val="continue"/>
            <w:noWrap w:val="0"/>
            <w:vAlign w:val="center"/>
          </w:tcPr>
          <w:p w14:paraId="3E96B42C">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55AE4F97">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4F600A82">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46BE5115">
            <w:pPr>
              <w:widowControl/>
              <w:spacing w:beforeLines="0"/>
              <w:jc w:val="left"/>
              <w:rPr>
                <w:rFonts w:ascii="宋体" w:hAnsi="宋体" w:cs="宋体"/>
                <w:color w:val="auto"/>
                <w:kern w:val="0"/>
                <w:sz w:val="22"/>
                <w:szCs w:val="22"/>
                <w:highlight w:val="none"/>
              </w:rPr>
            </w:pPr>
          </w:p>
        </w:tc>
      </w:tr>
      <w:tr w14:paraId="7C943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79628889">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176</w:t>
            </w:r>
          </w:p>
        </w:tc>
        <w:tc>
          <w:tcPr>
            <w:tcW w:w="1745" w:type="dxa"/>
            <w:vMerge w:val="continue"/>
            <w:noWrap w:val="0"/>
            <w:vAlign w:val="center"/>
          </w:tcPr>
          <w:p w14:paraId="7511DC3D">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7D17BD94">
            <w:pPr>
              <w:widowControl/>
              <w:spacing w:beforeLines="0"/>
              <w:jc w:val="left"/>
              <w:rPr>
                <w:rFonts w:ascii="宋体" w:hAnsi="宋体" w:cs="宋体"/>
                <w:color w:val="auto"/>
                <w:kern w:val="0"/>
                <w:sz w:val="22"/>
                <w:szCs w:val="22"/>
                <w:highlight w:val="none"/>
              </w:rPr>
            </w:pPr>
          </w:p>
        </w:tc>
        <w:tc>
          <w:tcPr>
            <w:tcW w:w="2261" w:type="dxa"/>
            <w:noWrap w:val="0"/>
            <w:vAlign w:val="center"/>
          </w:tcPr>
          <w:p w14:paraId="678670FE">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合并症</w:t>
            </w:r>
          </w:p>
        </w:tc>
        <w:tc>
          <w:tcPr>
            <w:tcW w:w="1134" w:type="dxa"/>
            <w:vMerge w:val="continue"/>
            <w:noWrap w:val="0"/>
            <w:vAlign w:val="center"/>
          </w:tcPr>
          <w:p w14:paraId="608869EB">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77312116">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5ACDB4E5">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7B5A97EA">
            <w:pPr>
              <w:widowControl/>
              <w:spacing w:beforeLines="0"/>
              <w:jc w:val="left"/>
              <w:rPr>
                <w:rFonts w:ascii="宋体" w:hAnsi="宋体" w:cs="宋体"/>
                <w:color w:val="auto"/>
                <w:kern w:val="0"/>
                <w:sz w:val="22"/>
                <w:szCs w:val="22"/>
                <w:highlight w:val="none"/>
              </w:rPr>
            </w:pPr>
          </w:p>
        </w:tc>
      </w:tr>
      <w:tr w14:paraId="09A5C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0713B75C">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177</w:t>
            </w:r>
          </w:p>
        </w:tc>
        <w:tc>
          <w:tcPr>
            <w:tcW w:w="1745" w:type="dxa"/>
            <w:vMerge w:val="continue"/>
            <w:noWrap w:val="0"/>
            <w:vAlign w:val="center"/>
          </w:tcPr>
          <w:p w14:paraId="0A2E1305">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2C205036">
            <w:pPr>
              <w:widowControl/>
              <w:spacing w:beforeLines="0"/>
              <w:jc w:val="left"/>
              <w:rPr>
                <w:rFonts w:ascii="宋体" w:hAnsi="宋体" w:cs="宋体"/>
                <w:color w:val="auto"/>
                <w:kern w:val="0"/>
                <w:sz w:val="22"/>
                <w:szCs w:val="22"/>
                <w:highlight w:val="none"/>
              </w:rPr>
            </w:pPr>
          </w:p>
        </w:tc>
        <w:tc>
          <w:tcPr>
            <w:tcW w:w="2261" w:type="dxa"/>
            <w:noWrap w:val="0"/>
            <w:vAlign w:val="center"/>
          </w:tcPr>
          <w:p w14:paraId="0E95F11F">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血脂监测</w:t>
            </w:r>
          </w:p>
        </w:tc>
        <w:tc>
          <w:tcPr>
            <w:tcW w:w="1134" w:type="dxa"/>
            <w:vMerge w:val="continue"/>
            <w:noWrap w:val="0"/>
            <w:vAlign w:val="center"/>
          </w:tcPr>
          <w:p w14:paraId="529EA7FA">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7859808C">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44B42D38">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5221523F">
            <w:pPr>
              <w:widowControl/>
              <w:spacing w:beforeLines="0"/>
              <w:jc w:val="left"/>
              <w:rPr>
                <w:rFonts w:ascii="宋体" w:hAnsi="宋体" w:cs="宋体"/>
                <w:color w:val="auto"/>
                <w:kern w:val="0"/>
                <w:sz w:val="22"/>
                <w:szCs w:val="22"/>
                <w:highlight w:val="none"/>
              </w:rPr>
            </w:pPr>
          </w:p>
        </w:tc>
      </w:tr>
      <w:tr w14:paraId="4A154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3A1D916F">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178</w:t>
            </w:r>
          </w:p>
        </w:tc>
        <w:tc>
          <w:tcPr>
            <w:tcW w:w="1745" w:type="dxa"/>
            <w:vMerge w:val="continue"/>
            <w:noWrap w:val="0"/>
            <w:vAlign w:val="center"/>
          </w:tcPr>
          <w:p w14:paraId="4B25241F">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1B400533">
            <w:pPr>
              <w:widowControl/>
              <w:spacing w:beforeLines="0"/>
              <w:jc w:val="left"/>
              <w:rPr>
                <w:rFonts w:ascii="宋体" w:hAnsi="宋体" w:cs="宋体"/>
                <w:color w:val="auto"/>
                <w:kern w:val="0"/>
                <w:sz w:val="22"/>
                <w:szCs w:val="22"/>
                <w:highlight w:val="none"/>
              </w:rPr>
            </w:pPr>
          </w:p>
        </w:tc>
        <w:tc>
          <w:tcPr>
            <w:tcW w:w="2261" w:type="dxa"/>
            <w:noWrap w:val="0"/>
            <w:vAlign w:val="center"/>
          </w:tcPr>
          <w:p w14:paraId="23B4AF70">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健康指导</w:t>
            </w:r>
          </w:p>
        </w:tc>
        <w:tc>
          <w:tcPr>
            <w:tcW w:w="1134" w:type="dxa"/>
            <w:vMerge w:val="continue"/>
            <w:noWrap w:val="0"/>
            <w:vAlign w:val="center"/>
          </w:tcPr>
          <w:p w14:paraId="089209D7">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28CF3AA5">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4F03823C">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6EE6265E">
            <w:pPr>
              <w:widowControl/>
              <w:spacing w:beforeLines="0"/>
              <w:jc w:val="left"/>
              <w:rPr>
                <w:rFonts w:ascii="宋体" w:hAnsi="宋体" w:cs="宋体"/>
                <w:color w:val="auto"/>
                <w:kern w:val="0"/>
                <w:sz w:val="22"/>
                <w:szCs w:val="22"/>
                <w:highlight w:val="none"/>
              </w:rPr>
            </w:pPr>
          </w:p>
        </w:tc>
      </w:tr>
      <w:tr w14:paraId="591F6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6F4BEF96">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179</w:t>
            </w:r>
          </w:p>
        </w:tc>
        <w:tc>
          <w:tcPr>
            <w:tcW w:w="1745" w:type="dxa"/>
            <w:vMerge w:val="continue"/>
            <w:noWrap w:val="0"/>
            <w:vAlign w:val="center"/>
          </w:tcPr>
          <w:p w14:paraId="0D0BFA86">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5E18E831">
            <w:pPr>
              <w:widowControl/>
              <w:spacing w:beforeLines="0"/>
              <w:jc w:val="left"/>
              <w:rPr>
                <w:rFonts w:ascii="宋体" w:hAnsi="宋体" w:cs="宋体"/>
                <w:color w:val="auto"/>
                <w:kern w:val="0"/>
                <w:sz w:val="22"/>
                <w:szCs w:val="22"/>
                <w:highlight w:val="none"/>
              </w:rPr>
            </w:pPr>
          </w:p>
        </w:tc>
        <w:tc>
          <w:tcPr>
            <w:tcW w:w="2261" w:type="dxa"/>
            <w:noWrap w:val="0"/>
            <w:vAlign w:val="center"/>
          </w:tcPr>
          <w:p w14:paraId="64EFC18D">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监测计划</w:t>
            </w:r>
          </w:p>
        </w:tc>
        <w:tc>
          <w:tcPr>
            <w:tcW w:w="1134" w:type="dxa"/>
            <w:vMerge w:val="continue"/>
            <w:noWrap w:val="0"/>
            <w:vAlign w:val="center"/>
          </w:tcPr>
          <w:p w14:paraId="1331958F">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6B0F7561">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3A690EC3">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2C3D72B1">
            <w:pPr>
              <w:widowControl/>
              <w:spacing w:beforeLines="0"/>
              <w:jc w:val="left"/>
              <w:rPr>
                <w:rFonts w:ascii="宋体" w:hAnsi="宋体" w:cs="宋体"/>
                <w:color w:val="auto"/>
                <w:kern w:val="0"/>
                <w:sz w:val="22"/>
                <w:szCs w:val="22"/>
                <w:highlight w:val="none"/>
              </w:rPr>
            </w:pPr>
          </w:p>
        </w:tc>
      </w:tr>
      <w:tr w14:paraId="04A2C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4B180DE6">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180</w:t>
            </w:r>
          </w:p>
        </w:tc>
        <w:tc>
          <w:tcPr>
            <w:tcW w:w="1745" w:type="dxa"/>
            <w:vMerge w:val="continue"/>
            <w:noWrap w:val="0"/>
            <w:vAlign w:val="center"/>
          </w:tcPr>
          <w:p w14:paraId="13A90722">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78DDD901">
            <w:pPr>
              <w:widowControl/>
              <w:spacing w:beforeLines="0"/>
              <w:jc w:val="left"/>
              <w:rPr>
                <w:rFonts w:ascii="宋体" w:hAnsi="宋体" w:cs="宋体"/>
                <w:color w:val="auto"/>
                <w:kern w:val="0"/>
                <w:sz w:val="22"/>
                <w:szCs w:val="22"/>
                <w:highlight w:val="none"/>
              </w:rPr>
            </w:pPr>
          </w:p>
        </w:tc>
        <w:tc>
          <w:tcPr>
            <w:tcW w:w="2261" w:type="dxa"/>
            <w:noWrap w:val="0"/>
            <w:vAlign w:val="center"/>
          </w:tcPr>
          <w:p w14:paraId="25249989">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血脂路径</w:t>
            </w:r>
          </w:p>
        </w:tc>
        <w:tc>
          <w:tcPr>
            <w:tcW w:w="1134" w:type="dxa"/>
            <w:vMerge w:val="continue"/>
            <w:noWrap w:val="0"/>
            <w:vAlign w:val="center"/>
          </w:tcPr>
          <w:p w14:paraId="0BB14A6F">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546B5142">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01D69B0F">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4D384F7E">
            <w:pPr>
              <w:widowControl/>
              <w:spacing w:beforeLines="0"/>
              <w:jc w:val="left"/>
              <w:rPr>
                <w:rFonts w:ascii="宋体" w:hAnsi="宋体" w:cs="宋体"/>
                <w:color w:val="auto"/>
                <w:kern w:val="0"/>
                <w:sz w:val="22"/>
                <w:szCs w:val="22"/>
                <w:highlight w:val="none"/>
              </w:rPr>
            </w:pPr>
          </w:p>
        </w:tc>
      </w:tr>
      <w:tr w14:paraId="23713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39C755C6">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181</w:t>
            </w:r>
          </w:p>
        </w:tc>
        <w:tc>
          <w:tcPr>
            <w:tcW w:w="1745" w:type="dxa"/>
            <w:vMerge w:val="continue"/>
            <w:noWrap w:val="0"/>
            <w:vAlign w:val="center"/>
          </w:tcPr>
          <w:p w14:paraId="25367367">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19F359F0">
            <w:pPr>
              <w:widowControl/>
              <w:spacing w:beforeLines="0"/>
              <w:jc w:val="left"/>
              <w:rPr>
                <w:rFonts w:ascii="宋体" w:hAnsi="宋体" w:cs="宋体"/>
                <w:color w:val="auto"/>
                <w:kern w:val="0"/>
                <w:sz w:val="22"/>
                <w:szCs w:val="22"/>
                <w:highlight w:val="none"/>
              </w:rPr>
            </w:pPr>
          </w:p>
        </w:tc>
        <w:tc>
          <w:tcPr>
            <w:tcW w:w="2261" w:type="dxa"/>
            <w:noWrap w:val="0"/>
            <w:vAlign w:val="center"/>
          </w:tcPr>
          <w:p w14:paraId="4C3D7022">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统计维度</w:t>
            </w:r>
          </w:p>
        </w:tc>
        <w:tc>
          <w:tcPr>
            <w:tcW w:w="1134" w:type="dxa"/>
            <w:vMerge w:val="continue"/>
            <w:noWrap w:val="0"/>
            <w:vAlign w:val="center"/>
          </w:tcPr>
          <w:p w14:paraId="2A4AD3D6">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760E2A36">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044E2FA5">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6EF2FDEC">
            <w:pPr>
              <w:widowControl/>
              <w:spacing w:beforeLines="0"/>
              <w:jc w:val="left"/>
              <w:rPr>
                <w:rFonts w:ascii="宋体" w:hAnsi="宋体" w:cs="宋体"/>
                <w:color w:val="auto"/>
                <w:kern w:val="0"/>
                <w:sz w:val="22"/>
                <w:szCs w:val="22"/>
                <w:highlight w:val="none"/>
              </w:rPr>
            </w:pPr>
          </w:p>
        </w:tc>
      </w:tr>
      <w:tr w14:paraId="68F5D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1387FBA7">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182</w:t>
            </w:r>
          </w:p>
        </w:tc>
        <w:tc>
          <w:tcPr>
            <w:tcW w:w="1745" w:type="dxa"/>
            <w:vMerge w:val="continue"/>
            <w:noWrap w:val="0"/>
            <w:vAlign w:val="center"/>
          </w:tcPr>
          <w:p w14:paraId="4F0DFFC8">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348C1273">
            <w:pPr>
              <w:widowControl/>
              <w:spacing w:beforeLines="0"/>
              <w:jc w:val="left"/>
              <w:rPr>
                <w:rFonts w:ascii="宋体" w:hAnsi="宋体" w:cs="宋体"/>
                <w:color w:val="auto"/>
                <w:kern w:val="0"/>
                <w:sz w:val="22"/>
                <w:szCs w:val="22"/>
                <w:highlight w:val="none"/>
              </w:rPr>
            </w:pPr>
          </w:p>
        </w:tc>
        <w:tc>
          <w:tcPr>
            <w:tcW w:w="2261" w:type="dxa"/>
            <w:noWrap w:val="0"/>
            <w:vAlign w:val="center"/>
          </w:tcPr>
          <w:p w14:paraId="5E78C8C9">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报表导出</w:t>
            </w:r>
          </w:p>
        </w:tc>
        <w:tc>
          <w:tcPr>
            <w:tcW w:w="1134" w:type="dxa"/>
            <w:vMerge w:val="continue"/>
            <w:noWrap w:val="0"/>
            <w:vAlign w:val="center"/>
          </w:tcPr>
          <w:p w14:paraId="279404F1">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0406776C">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237BC948">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6E1725A6">
            <w:pPr>
              <w:widowControl/>
              <w:spacing w:beforeLines="0"/>
              <w:jc w:val="left"/>
              <w:rPr>
                <w:rFonts w:ascii="宋体" w:hAnsi="宋体" w:cs="宋体"/>
                <w:color w:val="auto"/>
                <w:kern w:val="0"/>
                <w:sz w:val="22"/>
                <w:szCs w:val="22"/>
                <w:highlight w:val="none"/>
              </w:rPr>
            </w:pPr>
          </w:p>
        </w:tc>
      </w:tr>
      <w:tr w14:paraId="60B66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14975B91">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183</w:t>
            </w:r>
          </w:p>
        </w:tc>
        <w:tc>
          <w:tcPr>
            <w:tcW w:w="1745" w:type="dxa"/>
            <w:vMerge w:val="continue"/>
            <w:noWrap w:val="0"/>
            <w:vAlign w:val="center"/>
          </w:tcPr>
          <w:p w14:paraId="2EEF2363">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7FA48944">
            <w:pPr>
              <w:widowControl/>
              <w:spacing w:beforeLines="0"/>
              <w:jc w:val="left"/>
              <w:rPr>
                <w:rFonts w:ascii="宋体" w:hAnsi="宋体" w:cs="宋体"/>
                <w:color w:val="auto"/>
                <w:kern w:val="0"/>
                <w:sz w:val="22"/>
                <w:szCs w:val="22"/>
                <w:highlight w:val="none"/>
              </w:rPr>
            </w:pPr>
          </w:p>
        </w:tc>
        <w:tc>
          <w:tcPr>
            <w:tcW w:w="2261" w:type="dxa"/>
            <w:noWrap w:val="0"/>
            <w:vAlign w:val="center"/>
          </w:tcPr>
          <w:p w14:paraId="2A441103">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报表详情</w:t>
            </w:r>
          </w:p>
        </w:tc>
        <w:tc>
          <w:tcPr>
            <w:tcW w:w="1134" w:type="dxa"/>
            <w:vMerge w:val="continue"/>
            <w:noWrap w:val="0"/>
            <w:vAlign w:val="center"/>
          </w:tcPr>
          <w:p w14:paraId="5FFB0B21">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3C972417">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7851A75D">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3D4FC7D9">
            <w:pPr>
              <w:widowControl/>
              <w:spacing w:beforeLines="0"/>
              <w:jc w:val="left"/>
              <w:rPr>
                <w:rFonts w:ascii="宋体" w:hAnsi="宋体" w:cs="宋体"/>
                <w:color w:val="auto"/>
                <w:kern w:val="0"/>
                <w:sz w:val="22"/>
                <w:szCs w:val="22"/>
                <w:highlight w:val="none"/>
              </w:rPr>
            </w:pPr>
          </w:p>
        </w:tc>
      </w:tr>
      <w:tr w14:paraId="74B4E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6836FDE9">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184</w:t>
            </w:r>
          </w:p>
        </w:tc>
        <w:tc>
          <w:tcPr>
            <w:tcW w:w="1745" w:type="dxa"/>
            <w:vMerge w:val="continue"/>
            <w:noWrap w:val="0"/>
            <w:vAlign w:val="center"/>
          </w:tcPr>
          <w:p w14:paraId="4F0045A0">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13BF9AB7">
            <w:pPr>
              <w:widowControl/>
              <w:spacing w:beforeLines="0"/>
              <w:jc w:val="left"/>
              <w:rPr>
                <w:rFonts w:ascii="宋体" w:hAnsi="宋体" w:cs="宋体"/>
                <w:color w:val="auto"/>
                <w:kern w:val="0"/>
                <w:sz w:val="22"/>
                <w:szCs w:val="22"/>
                <w:highlight w:val="none"/>
              </w:rPr>
            </w:pPr>
          </w:p>
        </w:tc>
        <w:tc>
          <w:tcPr>
            <w:tcW w:w="2261" w:type="dxa"/>
            <w:noWrap w:val="0"/>
            <w:vAlign w:val="center"/>
          </w:tcPr>
          <w:p w14:paraId="7B561D1B">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统计维度</w:t>
            </w:r>
          </w:p>
        </w:tc>
        <w:tc>
          <w:tcPr>
            <w:tcW w:w="1134" w:type="dxa"/>
            <w:vMerge w:val="continue"/>
            <w:noWrap w:val="0"/>
            <w:vAlign w:val="center"/>
          </w:tcPr>
          <w:p w14:paraId="6E75BE72">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1C495757">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66981A38">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4D3EC1F4">
            <w:pPr>
              <w:widowControl/>
              <w:spacing w:beforeLines="0"/>
              <w:jc w:val="left"/>
              <w:rPr>
                <w:rFonts w:ascii="宋体" w:hAnsi="宋体" w:cs="宋体"/>
                <w:color w:val="auto"/>
                <w:kern w:val="0"/>
                <w:sz w:val="22"/>
                <w:szCs w:val="22"/>
                <w:highlight w:val="none"/>
              </w:rPr>
            </w:pPr>
          </w:p>
        </w:tc>
      </w:tr>
      <w:tr w14:paraId="470E8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44CD4075">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185</w:t>
            </w:r>
          </w:p>
        </w:tc>
        <w:tc>
          <w:tcPr>
            <w:tcW w:w="1745" w:type="dxa"/>
            <w:vMerge w:val="continue"/>
            <w:noWrap w:val="0"/>
            <w:vAlign w:val="center"/>
          </w:tcPr>
          <w:p w14:paraId="21D75952">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346A413F">
            <w:pPr>
              <w:widowControl/>
              <w:spacing w:beforeLines="0"/>
              <w:jc w:val="left"/>
              <w:rPr>
                <w:rFonts w:ascii="宋体" w:hAnsi="宋体" w:cs="宋体"/>
                <w:color w:val="auto"/>
                <w:kern w:val="0"/>
                <w:sz w:val="22"/>
                <w:szCs w:val="22"/>
                <w:highlight w:val="none"/>
              </w:rPr>
            </w:pPr>
          </w:p>
        </w:tc>
        <w:tc>
          <w:tcPr>
            <w:tcW w:w="2261" w:type="dxa"/>
            <w:noWrap w:val="0"/>
            <w:vAlign w:val="center"/>
          </w:tcPr>
          <w:p w14:paraId="654752DF">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报表导出</w:t>
            </w:r>
          </w:p>
        </w:tc>
        <w:tc>
          <w:tcPr>
            <w:tcW w:w="1134" w:type="dxa"/>
            <w:vMerge w:val="continue"/>
            <w:noWrap w:val="0"/>
            <w:vAlign w:val="center"/>
          </w:tcPr>
          <w:p w14:paraId="70DDF7B3">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2243A144">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611CABA1">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4ED3523B">
            <w:pPr>
              <w:widowControl/>
              <w:spacing w:beforeLines="0"/>
              <w:jc w:val="left"/>
              <w:rPr>
                <w:rFonts w:ascii="宋体" w:hAnsi="宋体" w:cs="宋体"/>
                <w:color w:val="auto"/>
                <w:kern w:val="0"/>
                <w:sz w:val="22"/>
                <w:szCs w:val="22"/>
                <w:highlight w:val="none"/>
              </w:rPr>
            </w:pPr>
          </w:p>
        </w:tc>
      </w:tr>
      <w:tr w14:paraId="5E209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64DB4636">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186</w:t>
            </w:r>
          </w:p>
        </w:tc>
        <w:tc>
          <w:tcPr>
            <w:tcW w:w="1745" w:type="dxa"/>
            <w:vMerge w:val="continue"/>
            <w:noWrap w:val="0"/>
            <w:vAlign w:val="center"/>
          </w:tcPr>
          <w:p w14:paraId="06865D56">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64D372A2">
            <w:pPr>
              <w:widowControl/>
              <w:spacing w:beforeLines="0"/>
              <w:jc w:val="left"/>
              <w:rPr>
                <w:rFonts w:ascii="宋体" w:hAnsi="宋体" w:cs="宋体"/>
                <w:color w:val="auto"/>
                <w:kern w:val="0"/>
                <w:sz w:val="22"/>
                <w:szCs w:val="22"/>
                <w:highlight w:val="none"/>
              </w:rPr>
            </w:pPr>
          </w:p>
        </w:tc>
        <w:tc>
          <w:tcPr>
            <w:tcW w:w="2261" w:type="dxa"/>
            <w:noWrap w:val="0"/>
            <w:vAlign w:val="center"/>
          </w:tcPr>
          <w:p w14:paraId="7CCB82DD">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报表详情</w:t>
            </w:r>
          </w:p>
        </w:tc>
        <w:tc>
          <w:tcPr>
            <w:tcW w:w="1134" w:type="dxa"/>
            <w:vMerge w:val="continue"/>
            <w:noWrap w:val="0"/>
            <w:vAlign w:val="center"/>
          </w:tcPr>
          <w:p w14:paraId="31DF149A">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6F1993ED">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139A787C">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310FE8CF">
            <w:pPr>
              <w:widowControl/>
              <w:spacing w:beforeLines="0"/>
              <w:jc w:val="left"/>
              <w:rPr>
                <w:rFonts w:ascii="宋体" w:hAnsi="宋体" w:cs="宋体"/>
                <w:color w:val="auto"/>
                <w:kern w:val="0"/>
                <w:sz w:val="22"/>
                <w:szCs w:val="22"/>
                <w:highlight w:val="none"/>
              </w:rPr>
            </w:pPr>
          </w:p>
        </w:tc>
      </w:tr>
      <w:tr w14:paraId="1C6CE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6600F29E">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187</w:t>
            </w:r>
          </w:p>
        </w:tc>
        <w:tc>
          <w:tcPr>
            <w:tcW w:w="1745" w:type="dxa"/>
            <w:vMerge w:val="continue"/>
            <w:noWrap w:val="0"/>
            <w:vAlign w:val="center"/>
          </w:tcPr>
          <w:p w14:paraId="6C91BC3F">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5CC58AFF">
            <w:pPr>
              <w:widowControl/>
              <w:spacing w:beforeLines="0"/>
              <w:jc w:val="left"/>
              <w:rPr>
                <w:rFonts w:ascii="宋体" w:hAnsi="宋体" w:cs="宋体"/>
                <w:color w:val="auto"/>
                <w:kern w:val="0"/>
                <w:sz w:val="22"/>
                <w:szCs w:val="22"/>
                <w:highlight w:val="none"/>
              </w:rPr>
            </w:pPr>
          </w:p>
        </w:tc>
        <w:tc>
          <w:tcPr>
            <w:tcW w:w="2261" w:type="dxa"/>
            <w:noWrap w:val="0"/>
            <w:vAlign w:val="center"/>
          </w:tcPr>
          <w:p w14:paraId="60C6E9F7">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主索引管理</w:t>
            </w:r>
          </w:p>
        </w:tc>
        <w:tc>
          <w:tcPr>
            <w:tcW w:w="1134" w:type="dxa"/>
            <w:vMerge w:val="continue"/>
            <w:noWrap w:val="0"/>
            <w:vAlign w:val="center"/>
          </w:tcPr>
          <w:p w14:paraId="434DDF6F">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7E144E4F">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0FD74987">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22AC9A08">
            <w:pPr>
              <w:widowControl/>
              <w:spacing w:beforeLines="0"/>
              <w:jc w:val="left"/>
              <w:rPr>
                <w:rFonts w:ascii="宋体" w:hAnsi="宋体" w:cs="宋体"/>
                <w:color w:val="auto"/>
                <w:kern w:val="0"/>
                <w:sz w:val="22"/>
                <w:szCs w:val="22"/>
                <w:highlight w:val="none"/>
              </w:rPr>
            </w:pPr>
          </w:p>
        </w:tc>
      </w:tr>
      <w:tr w14:paraId="305F1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5ABA82F4">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188</w:t>
            </w:r>
          </w:p>
        </w:tc>
        <w:tc>
          <w:tcPr>
            <w:tcW w:w="1745" w:type="dxa"/>
            <w:vMerge w:val="continue"/>
            <w:noWrap w:val="0"/>
            <w:vAlign w:val="center"/>
          </w:tcPr>
          <w:p w14:paraId="1FF3A757">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7F5762D1">
            <w:pPr>
              <w:widowControl/>
              <w:spacing w:beforeLines="0"/>
              <w:jc w:val="left"/>
              <w:rPr>
                <w:rFonts w:ascii="宋体" w:hAnsi="宋体" w:cs="宋体"/>
                <w:color w:val="auto"/>
                <w:kern w:val="0"/>
                <w:sz w:val="22"/>
                <w:szCs w:val="22"/>
                <w:highlight w:val="none"/>
              </w:rPr>
            </w:pPr>
          </w:p>
        </w:tc>
        <w:tc>
          <w:tcPr>
            <w:tcW w:w="2261" w:type="dxa"/>
            <w:noWrap w:val="0"/>
            <w:vAlign w:val="center"/>
          </w:tcPr>
          <w:p w14:paraId="1D98F81E">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基础数据库</w:t>
            </w:r>
          </w:p>
        </w:tc>
        <w:tc>
          <w:tcPr>
            <w:tcW w:w="1134" w:type="dxa"/>
            <w:vMerge w:val="continue"/>
            <w:noWrap w:val="0"/>
            <w:vAlign w:val="center"/>
          </w:tcPr>
          <w:p w14:paraId="79057248">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59041375">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29566173">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04BBA325">
            <w:pPr>
              <w:widowControl/>
              <w:spacing w:beforeLines="0"/>
              <w:jc w:val="left"/>
              <w:rPr>
                <w:rFonts w:ascii="宋体" w:hAnsi="宋体" w:cs="宋体"/>
                <w:color w:val="auto"/>
                <w:kern w:val="0"/>
                <w:sz w:val="22"/>
                <w:szCs w:val="22"/>
                <w:highlight w:val="none"/>
              </w:rPr>
            </w:pPr>
          </w:p>
        </w:tc>
      </w:tr>
      <w:tr w14:paraId="084E8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00B9AE68">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189</w:t>
            </w:r>
          </w:p>
        </w:tc>
        <w:tc>
          <w:tcPr>
            <w:tcW w:w="1745" w:type="dxa"/>
            <w:vMerge w:val="continue"/>
            <w:noWrap w:val="0"/>
            <w:vAlign w:val="center"/>
          </w:tcPr>
          <w:p w14:paraId="34FCA3A9">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3B813C81">
            <w:pPr>
              <w:widowControl/>
              <w:spacing w:beforeLines="0"/>
              <w:jc w:val="left"/>
              <w:rPr>
                <w:rFonts w:ascii="宋体" w:hAnsi="宋体" w:cs="宋体"/>
                <w:color w:val="auto"/>
                <w:kern w:val="0"/>
                <w:sz w:val="22"/>
                <w:szCs w:val="22"/>
                <w:highlight w:val="none"/>
              </w:rPr>
            </w:pPr>
          </w:p>
        </w:tc>
        <w:tc>
          <w:tcPr>
            <w:tcW w:w="2261" w:type="dxa"/>
            <w:noWrap w:val="0"/>
            <w:vAlign w:val="center"/>
          </w:tcPr>
          <w:p w14:paraId="657DE41A">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业务数据库</w:t>
            </w:r>
          </w:p>
        </w:tc>
        <w:tc>
          <w:tcPr>
            <w:tcW w:w="1134" w:type="dxa"/>
            <w:vMerge w:val="continue"/>
            <w:noWrap w:val="0"/>
            <w:vAlign w:val="center"/>
          </w:tcPr>
          <w:p w14:paraId="3B10C738">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6829D830">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16074C8E">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19613925">
            <w:pPr>
              <w:widowControl/>
              <w:spacing w:beforeLines="0"/>
              <w:jc w:val="left"/>
              <w:rPr>
                <w:rFonts w:ascii="宋体" w:hAnsi="宋体" w:cs="宋体"/>
                <w:color w:val="auto"/>
                <w:kern w:val="0"/>
                <w:sz w:val="22"/>
                <w:szCs w:val="22"/>
                <w:highlight w:val="none"/>
              </w:rPr>
            </w:pPr>
          </w:p>
        </w:tc>
      </w:tr>
      <w:tr w14:paraId="5D9A8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3AA88C0C">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190</w:t>
            </w:r>
          </w:p>
        </w:tc>
        <w:tc>
          <w:tcPr>
            <w:tcW w:w="1745" w:type="dxa"/>
            <w:vMerge w:val="continue"/>
            <w:noWrap w:val="0"/>
            <w:vAlign w:val="center"/>
          </w:tcPr>
          <w:p w14:paraId="5448C894">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4CBF40EE">
            <w:pPr>
              <w:widowControl/>
              <w:spacing w:beforeLines="0"/>
              <w:jc w:val="left"/>
              <w:rPr>
                <w:rFonts w:ascii="宋体" w:hAnsi="宋体" w:cs="宋体"/>
                <w:color w:val="auto"/>
                <w:kern w:val="0"/>
                <w:sz w:val="22"/>
                <w:szCs w:val="22"/>
                <w:highlight w:val="none"/>
              </w:rPr>
            </w:pPr>
          </w:p>
        </w:tc>
        <w:tc>
          <w:tcPr>
            <w:tcW w:w="2261" w:type="dxa"/>
            <w:noWrap w:val="0"/>
            <w:vAlign w:val="center"/>
          </w:tcPr>
          <w:p w14:paraId="719046BE">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决策分析库</w:t>
            </w:r>
          </w:p>
        </w:tc>
        <w:tc>
          <w:tcPr>
            <w:tcW w:w="1134" w:type="dxa"/>
            <w:vMerge w:val="continue"/>
            <w:noWrap w:val="0"/>
            <w:vAlign w:val="center"/>
          </w:tcPr>
          <w:p w14:paraId="4427C00F">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2706B991">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55EB5499">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2310A17E">
            <w:pPr>
              <w:widowControl/>
              <w:spacing w:beforeLines="0"/>
              <w:jc w:val="left"/>
              <w:rPr>
                <w:rFonts w:ascii="宋体" w:hAnsi="宋体" w:cs="宋体"/>
                <w:color w:val="auto"/>
                <w:kern w:val="0"/>
                <w:sz w:val="22"/>
                <w:szCs w:val="22"/>
                <w:highlight w:val="none"/>
              </w:rPr>
            </w:pPr>
          </w:p>
        </w:tc>
      </w:tr>
      <w:tr w14:paraId="333A9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658F77A8">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191</w:t>
            </w:r>
          </w:p>
        </w:tc>
        <w:tc>
          <w:tcPr>
            <w:tcW w:w="1745" w:type="dxa"/>
            <w:vMerge w:val="continue"/>
            <w:noWrap w:val="0"/>
            <w:vAlign w:val="center"/>
          </w:tcPr>
          <w:p w14:paraId="2A433786">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1A18D5EF">
            <w:pPr>
              <w:widowControl/>
              <w:spacing w:beforeLines="0"/>
              <w:jc w:val="left"/>
              <w:rPr>
                <w:rFonts w:ascii="宋体" w:hAnsi="宋体" w:cs="宋体"/>
                <w:color w:val="auto"/>
                <w:kern w:val="0"/>
                <w:sz w:val="22"/>
                <w:szCs w:val="22"/>
                <w:highlight w:val="none"/>
              </w:rPr>
            </w:pPr>
          </w:p>
        </w:tc>
        <w:tc>
          <w:tcPr>
            <w:tcW w:w="2261" w:type="dxa"/>
            <w:noWrap w:val="0"/>
            <w:vAlign w:val="center"/>
          </w:tcPr>
          <w:p w14:paraId="6F53ADE4">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接口校验</w:t>
            </w:r>
          </w:p>
        </w:tc>
        <w:tc>
          <w:tcPr>
            <w:tcW w:w="1134" w:type="dxa"/>
            <w:vMerge w:val="continue"/>
            <w:noWrap w:val="0"/>
            <w:vAlign w:val="center"/>
          </w:tcPr>
          <w:p w14:paraId="59782177">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417D179D">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2F732063">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6724DC87">
            <w:pPr>
              <w:widowControl/>
              <w:spacing w:beforeLines="0"/>
              <w:jc w:val="left"/>
              <w:rPr>
                <w:rFonts w:ascii="宋体" w:hAnsi="宋体" w:cs="宋体"/>
                <w:color w:val="auto"/>
                <w:kern w:val="0"/>
                <w:sz w:val="22"/>
                <w:szCs w:val="22"/>
                <w:highlight w:val="none"/>
              </w:rPr>
            </w:pPr>
          </w:p>
        </w:tc>
      </w:tr>
      <w:tr w14:paraId="6BC34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49241060">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192</w:t>
            </w:r>
          </w:p>
        </w:tc>
        <w:tc>
          <w:tcPr>
            <w:tcW w:w="1745" w:type="dxa"/>
            <w:vMerge w:val="continue"/>
            <w:noWrap w:val="0"/>
            <w:vAlign w:val="center"/>
          </w:tcPr>
          <w:p w14:paraId="044FC7FB">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23D3316F">
            <w:pPr>
              <w:widowControl/>
              <w:spacing w:beforeLines="0"/>
              <w:jc w:val="left"/>
              <w:rPr>
                <w:rFonts w:ascii="宋体" w:hAnsi="宋体" w:cs="宋体"/>
                <w:color w:val="auto"/>
                <w:kern w:val="0"/>
                <w:sz w:val="22"/>
                <w:szCs w:val="22"/>
                <w:highlight w:val="none"/>
              </w:rPr>
            </w:pPr>
          </w:p>
        </w:tc>
        <w:tc>
          <w:tcPr>
            <w:tcW w:w="2261" w:type="dxa"/>
            <w:noWrap w:val="0"/>
            <w:vAlign w:val="center"/>
          </w:tcPr>
          <w:p w14:paraId="38A63B76">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数据分析</w:t>
            </w:r>
          </w:p>
        </w:tc>
        <w:tc>
          <w:tcPr>
            <w:tcW w:w="1134" w:type="dxa"/>
            <w:vMerge w:val="continue"/>
            <w:noWrap w:val="0"/>
            <w:vAlign w:val="center"/>
          </w:tcPr>
          <w:p w14:paraId="40DB8827">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07627B08">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171AC2C7">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5C425F53">
            <w:pPr>
              <w:widowControl/>
              <w:spacing w:beforeLines="0"/>
              <w:jc w:val="left"/>
              <w:rPr>
                <w:rFonts w:ascii="宋体" w:hAnsi="宋体" w:cs="宋体"/>
                <w:color w:val="auto"/>
                <w:kern w:val="0"/>
                <w:sz w:val="22"/>
                <w:szCs w:val="22"/>
                <w:highlight w:val="none"/>
              </w:rPr>
            </w:pPr>
          </w:p>
        </w:tc>
      </w:tr>
      <w:tr w14:paraId="44958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795EBCC5">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193</w:t>
            </w:r>
          </w:p>
        </w:tc>
        <w:tc>
          <w:tcPr>
            <w:tcW w:w="1745" w:type="dxa"/>
            <w:vMerge w:val="continue"/>
            <w:noWrap w:val="0"/>
            <w:vAlign w:val="center"/>
          </w:tcPr>
          <w:p w14:paraId="43CFA9EC">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2AE7FD65">
            <w:pPr>
              <w:widowControl/>
              <w:spacing w:beforeLines="0"/>
              <w:jc w:val="left"/>
              <w:rPr>
                <w:rFonts w:ascii="宋体" w:hAnsi="宋体" w:cs="宋体"/>
                <w:color w:val="auto"/>
                <w:kern w:val="0"/>
                <w:sz w:val="22"/>
                <w:szCs w:val="22"/>
                <w:highlight w:val="none"/>
              </w:rPr>
            </w:pPr>
          </w:p>
        </w:tc>
        <w:tc>
          <w:tcPr>
            <w:tcW w:w="2261" w:type="dxa"/>
            <w:noWrap w:val="0"/>
            <w:vAlign w:val="center"/>
          </w:tcPr>
          <w:p w14:paraId="790251E1">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数据采集</w:t>
            </w:r>
          </w:p>
        </w:tc>
        <w:tc>
          <w:tcPr>
            <w:tcW w:w="1134" w:type="dxa"/>
            <w:vMerge w:val="continue"/>
            <w:noWrap w:val="0"/>
            <w:vAlign w:val="center"/>
          </w:tcPr>
          <w:p w14:paraId="4D5460AD">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46DBBD03">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60FE6B35">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14FE4EF5">
            <w:pPr>
              <w:widowControl/>
              <w:spacing w:beforeLines="0"/>
              <w:jc w:val="left"/>
              <w:rPr>
                <w:rFonts w:ascii="宋体" w:hAnsi="宋体" w:cs="宋体"/>
                <w:color w:val="auto"/>
                <w:kern w:val="0"/>
                <w:sz w:val="22"/>
                <w:szCs w:val="22"/>
                <w:highlight w:val="none"/>
              </w:rPr>
            </w:pPr>
          </w:p>
        </w:tc>
      </w:tr>
      <w:tr w14:paraId="690C3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24ED1604">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194</w:t>
            </w:r>
          </w:p>
        </w:tc>
        <w:tc>
          <w:tcPr>
            <w:tcW w:w="1745" w:type="dxa"/>
            <w:vMerge w:val="continue"/>
            <w:noWrap w:val="0"/>
            <w:vAlign w:val="center"/>
          </w:tcPr>
          <w:p w14:paraId="67AEFB9E">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6342F632">
            <w:pPr>
              <w:widowControl/>
              <w:spacing w:beforeLines="0"/>
              <w:jc w:val="left"/>
              <w:rPr>
                <w:rFonts w:ascii="宋体" w:hAnsi="宋体" w:cs="宋体"/>
                <w:color w:val="auto"/>
                <w:kern w:val="0"/>
                <w:sz w:val="22"/>
                <w:szCs w:val="22"/>
                <w:highlight w:val="none"/>
              </w:rPr>
            </w:pPr>
          </w:p>
        </w:tc>
        <w:tc>
          <w:tcPr>
            <w:tcW w:w="2261" w:type="dxa"/>
            <w:noWrap w:val="0"/>
            <w:vAlign w:val="center"/>
          </w:tcPr>
          <w:p w14:paraId="09292DC2">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数据转换</w:t>
            </w:r>
          </w:p>
        </w:tc>
        <w:tc>
          <w:tcPr>
            <w:tcW w:w="1134" w:type="dxa"/>
            <w:vMerge w:val="continue"/>
            <w:noWrap w:val="0"/>
            <w:vAlign w:val="center"/>
          </w:tcPr>
          <w:p w14:paraId="31800B18">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0B74C50D">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0E13E6D8">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6C792AB2">
            <w:pPr>
              <w:widowControl/>
              <w:spacing w:beforeLines="0"/>
              <w:jc w:val="left"/>
              <w:rPr>
                <w:rFonts w:ascii="宋体" w:hAnsi="宋体" w:cs="宋体"/>
                <w:color w:val="auto"/>
                <w:kern w:val="0"/>
                <w:sz w:val="22"/>
                <w:szCs w:val="22"/>
                <w:highlight w:val="none"/>
              </w:rPr>
            </w:pPr>
          </w:p>
        </w:tc>
      </w:tr>
      <w:tr w14:paraId="405FE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3DE77562">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195</w:t>
            </w:r>
          </w:p>
        </w:tc>
        <w:tc>
          <w:tcPr>
            <w:tcW w:w="1745" w:type="dxa"/>
            <w:vMerge w:val="continue"/>
            <w:noWrap w:val="0"/>
            <w:vAlign w:val="center"/>
          </w:tcPr>
          <w:p w14:paraId="14C5036A">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087C805A">
            <w:pPr>
              <w:widowControl/>
              <w:spacing w:beforeLines="0"/>
              <w:jc w:val="left"/>
              <w:rPr>
                <w:rFonts w:ascii="宋体" w:hAnsi="宋体" w:cs="宋体"/>
                <w:color w:val="auto"/>
                <w:kern w:val="0"/>
                <w:sz w:val="22"/>
                <w:szCs w:val="22"/>
                <w:highlight w:val="none"/>
              </w:rPr>
            </w:pPr>
          </w:p>
        </w:tc>
        <w:tc>
          <w:tcPr>
            <w:tcW w:w="2261" w:type="dxa"/>
            <w:noWrap w:val="0"/>
            <w:vAlign w:val="center"/>
          </w:tcPr>
          <w:p w14:paraId="3044E74F">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数据上传</w:t>
            </w:r>
          </w:p>
        </w:tc>
        <w:tc>
          <w:tcPr>
            <w:tcW w:w="1134" w:type="dxa"/>
            <w:vMerge w:val="continue"/>
            <w:noWrap w:val="0"/>
            <w:vAlign w:val="center"/>
          </w:tcPr>
          <w:p w14:paraId="7E5638CB">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6E2ABE72">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7F190B31">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1E70E00B">
            <w:pPr>
              <w:widowControl/>
              <w:spacing w:beforeLines="0"/>
              <w:jc w:val="left"/>
              <w:rPr>
                <w:rFonts w:ascii="宋体" w:hAnsi="宋体" w:cs="宋体"/>
                <w:color w:val="auto"/>
                <w:kern w:val="0"/>
                <w:sz w:val="22"/>
                <w:szCs w:val="22"/>
                <w:highlight w:val="none"/>
              </w:rPr>
            </w:pPr>
          </w:p>
        </w:tc>
      </w:tr>
      <w:tr w14:paraId="6CA3C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559AC53B">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196</w:t>
            </w:r>
          </w:p>
        </w:tc>
        <w:tc>
          <w:tcPr>
            <w:tcW w:w="1745" w:type="dxa"/>
            <w:vMerge w:val="continue"/>
            <w:noWrap w:val="0"/>
            <w:vAlign w:val="center"/>
          </w:tcPr>
          <w:p w14:paraId="459D44EB">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28756C2E">
            <w:pPr>
              <w:widowControl/>
              <w:spacing w:beforeLines="0"/>
              <w:jc w:val="left"/>
              <w:rPr>
                <w:rFonts w:ascii="宋体" w:hAnsi="宋体" w:cs="宋体"/>
                <w:color w:val="auto"/>
                <w:kern w:val="0"/>
                <w:sz w:val="22"/>
                <w:szCs w:val="22"/>
                <w:highlight w:val="none"/>
              </w:rPr>
            </w:pPr>
          </w:p>
        </w:tc>
        <w:tc>
          <w:tcPr>
            <w:tcW w:w="2261" w:type="dxa"/>
            <w:noWrap w:val="0"/>
            <w:vAlign w:val="center"/>
          </w:tcPr>
          <w:p w14:paraId="2DAF2BB8">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数据监控</w:t>
            </w:r>
          </w:p>
        </w:tc>
        <w:tc>
          <w:tcPr>
            <w:tcW w:w="1134" w:type="dxa"/>
            <w:vMerge w:val="continue"/>
            <w:noWrap w:val="0"/>
            <w:vAlign w:val="center"/>
          </w:tcPr>
          <w:p w14:paraId="295FC8AE">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5F8CB3FA">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229A839F">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4FBC7B34">
            <w:pPr>
              <w:widowControl/>
              <w:spacing w:beforeLines="0"/>
              <w:jc w:val="left"/>
              <w:rPr>
                <w:rFonts w:ascii="宋体" w:hAnsi="宋体" w:cs="宋体"/>
                <w:color w:val="auto"/>
                <w:kern w:val="0"/>
                <w:sz w:val="22"/>
                <w:szCs w:val="22"/>
                <w:highlight w:val="none"/>
              </w:rPr>
            </w:pPr>
          </w:p>
        </w:tc>
      </w:tr>
      <w:tr w14:paraId="1DC2A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03C87627">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197</w:t>
            </w:r>
          </w:p>
        </w:tc>
        <w:tc>
          <w:tcPr>
            <w:tcW w:w="1745" w:type="dxa"/>
            <w:vMerge w:val="continue"/>
            <w:noWrap w:val="0"/>
            <w:vAlign w:val="center"/>
          </w:tcPr>
          <w:p w14:paraId="44B873CB">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0E493D5F">
            <w:pPr>
              <w:widowControl/>
              <w:spacing w:beforeLines="0"/>
              <w:jc w:val="left"/>
              <w:rPr>
                <w:rFonts w:ascii="宋体" w:hAnsi="宋体" w:cs="宋体"/>
                <w:color w:val="auto"/>
                <w:kern w:val="0"/>
                <w:sz w:val="22"/>
                <w:szCs w:val="22"/>
                <w:highlight w:val="none"/>
              </w:rPr>
            </w:pPr>
          </w:p>
        </w:tc>
        <w:tc>
          <w:tcPr>
            <w:tcW w:w="2261" w:type="dxa"/>
            <w:noWrap w:val="0"/>
            <w:vAlign w:val="center"/>
          </w:tcPr>
          <w:p w14:paraId="790A1A97">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数据展现</w:t>
            </w:r>
          </w:p>
        </w:tc>
        <w:tc>
          <w:tcPr>
            <w:tcW w:w="1134" w:type="dxa"/>
            <w:vMerge w:val="continue"/>
            <w:noWrap w:val="0"/>
            <w:vAlign w:val="center"/>
          </w:tcPr>
          <w:p w14:paraId="25E9DAC8">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79632975">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44DDE23A">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20E5FCC5">
            <w:pPr>
              <w:widowControl/>
              <w:spacing w:beforeLines="0"/>
              <w:jc w:val="left"/>
              <w:rPr>
                <w:rFonts w:ascii="宋体" w:hAnsi="宋体" w:cs="宋体"/>
                <w:color w:val="auto"/>
                <w:kern w:val="0"/>
                <w:sz w:val="22"/>
                <w:szCs w:val="22"/>
                <w:highlight w:val="none"/>
              </w:rPr>
            </w:pPr>
          </w:p>
        </w:tc>
      </w:tr>
      <w:tr w14:paraId="287F1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2E701864">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198</w:t>
            </w:r>
          </w:p>
        </w:tc>
        <w:tc>
          <w:tcPr>
            <w:tcW w:w="1745" w:type="dxa"/>
            <w:vMerge w:val="continue"/>
            <w:noWrap w:val="0"/>
            <w:vAlign w:val="center"/>
          </w:tcPr>
          <w:p w14:paraId="54E3BF84">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50181CCE">
            <w:pPr>
              <w:widowControl/>
              <w:spacing w:beforeLines="0"/>
              <w:jc w:val="left"/>
              <w:rPr>
                <w:rFonts w:ascii="宋体" w:hAnsi="宋体" w:cs="宋体"/>
                <w:color w:val="auto"/>
                <w:kern w:val="0"/>
                <w:sz w:val="22"/>
                <w:szCs w:val="22"/>
                <w:highlight w:val="none"/>
              </w:rPr>
            </w:pPr>
          </w:p>
        </w:tc>
        <w:tc>
          <w:tcPr>
            <w:tcW w:w="2261" w:type="dxa"/>
            <w:noWrap w:val="0"/>
            <w:vAlign w:val="center"/>
          </w:tcPr>
          <w:p w14:paraId="13B8FA7D">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数据质量管理</w:t>
            </w:r>
          </w:p>
        </w:tc>
        <w:tc>
          <w:tcPr>
            <w:tcW w:w="1134" w:type="dxa"/>
            <w:vMerge w:val="continue"/>
            <w:noWrap w:val="0"/>
            <w:vAlign w:val="center"/>
          </w:tcPr>
          <w:p w14:paraId="78257D8D">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2DE12BA2">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16B07220">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077D7C87">
            <w:pPr>
              <w:widowControl/>
              <w:spacing w:beforeLines="0"/>
              <w:jc w:val="left"/>
              <w:rPr>
                <w:rFonts w:ascii="宋体" w:hAnsi="宋体" w:cs="宋体"/>
                <w:color w:val="auto"/>
                <w:kern w:val="0"/>
                <w:sz w:val="22"/>
                <w:szCs w:val="22"/>
                <w:highlight w:val="none"/>
              </w:rPr>
            </w:pPr>
          </w:p>
        </w:tc>
      </w:tr>
      <w:tr w14:paraId="507C8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2D889F1F">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199</w:t>
            </w:r>
          </w:p>
        </w:tc>
        <w:tc>
          <w:tcPr>
            <w:tcW w:w="1745" w:type="dxa"/>
            <w:vMerge w:val="restart"/>
            <w:noWrap w:val="0"/>
            <w:vAlign w:val="center"/>
          </w:tcPr>
          <w:p w14:paraId="3857E59F">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体检报告AI智能分析系统</w:t>
            </w:r>
          </w:p>
        </w:tc>
        <w:tc>
          <w:tcPr>
            <w:tcW w:w="806" w:type="dxa"/>
            <w:vMerge w:val="restart"/>
            <w:noWrap w:val="0"/>
            <w:vAlign w:val="center"/>
          </w:tcPr>
          <w:p w14:paraId="380FEB3A">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体检报告解读AI能力</w:t>
            </w:r>
          </w:p>
        </w:tc>
        <w:tc>
          <w:tcPr>
            <w:tcW w:w="2261" w:type="dxa"/>
            <w:noWrap w:val="0"/>
            <w:vAlign w:val="center"/>
          </w:tcPr>
          <w:p w14:paraId="130765F1">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实体意义抽取</w:t>
            </w:r>
          </w:p>
        </w:tc>
        <w:tc>
          <w:tcPr>
            <w:tcW w:w="1134" w:type="dxa"/>
            <w:vMerge w:val="restart"/>
            <w:noWrap w:val="0"/>
            <w:vAlign w:val="center"/>
          </w:tcPr>
          <w:p w14:paraId="0F50AEE1">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绍兴政务云卫生专网</w:t>
            </w:r>
          </w:p>
        </w:tc>
        <w:tc>
          <w:tcPr>
            <w:tcW w:w="709" w:type="dxa"/>
            <w:vMerge w:val="restart"/>
            <w:noWrap w:val="0"/>
            <w:vAlign w:val="center"/>
          </w:tcPr>
          <w:p w14:paraId="072E406B">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708" w:type="dxa"/>
            <w:vMerge w:val="restart"/>
            <w:noWrap w:val="0"/>
            <w:vAlign w:val="center"/>
          </w:tcPr>
          <w:p w14:paraId="68A56B0F">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993" w:type="dxa"/>
            <w:vMerge w:val="restart"/>
            <w:noWrap w:val="0"/>
            <w:vAlign w:val="center"/>
          </w:tcPr>
          <w:p w14:paraId="6AFC57F1">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覆盖全市所有公立医疗机构及开展体检业务的民营医疗机构。</w:t>
            </w:r>
          </w:p>
        </w:tc>
      </w:tr>
      <w:tr w14:paraId="3BFFF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7465C76F">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200</w:t>
            </w:r>
          </w:p>
        </w:tc>
        <w:tc>
          <w:tcPr>
            <w:tcW w:w="1745" w:type="dxa"/>
            <w:vMerge w:val="continue"/>
            <w:noWrap w:val="0"/>
            <w:vAlign w:val="center"/>
          </w:tcPr>
          <w:p w14:paraId="335D297C">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307EFE0F">
            <w:pPr>
              <w:widowControl/>
              <w:spacing w:beforeLines="0"/>
              <w:jc w:val="left"/>
              <w:rPr>
                <w:rFonts w:ascii="宋体" w:hAnsi="宋体" w:cs="宋体"/>
                <w:color w:val="auto"/>
                <w:kern w:val="0"/>
                <w:sz w:val="22"/>
                <w:szCs w:val="22"/>
                <w:highlight w:val="none"/>
              </w:rPr>
            </w:pPr>
          </w:p>
        </w:tc>
        <w:tc>
          <w:tcPr>
            <w:tcW w:w="2261" w:type="dxa"/>
            <w:noWrap w:val="0"/>
            <w:vAlign w:val="center"/>
          </w:tcPr>
          <w:p w14:paraId="1808FB2F">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语义信息训练</w:t>
            </w:r>
          </w:p>
        </w:tc>
        <w:tc>
          <w:tcPr>
            <w:tcW w:w="1134" w:type="dxa"/>
            <w:vMerge w:val="continue"/>
            <w:noWrap w:val="0"/>
            <w:vAlign w:val="center"/>
          </w:tcPr>
          <w:p w14:paraId="3532D67D">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30148F87">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300D2196">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1D6BC56A">
            <w:pPr>
              <w:widowControl/>
              <w:spacing w:beforeLines="0"/>
              <w:jc w:val="left"/>
              <w:rPr>
                <w:rFonts w:ascii="宋体" w:hAnsi="宋体" w:cs="宋体"/>
                <w:color w:val="auto"/>
                <w:kern w:val="0"/>
                <w:sz w:val="22"/>
                <w:szCs w:val="22"/>
                <w:highlight w:val="none"/>
              </w:rPr>
            </w:pPr>
          </w:p>
        </w:tc>
      </w:tr>
      <w:tr w14:paraId="0CF1B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676A5D19">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201</w:t>
            </w:r>
          </w:p>
        </w:tc>
        <w:tc>
          <w:tcPr>
            <w:tcW w:w="1745" w:type="dxa"/>
            <w:vMerge w:val="continue"/>
            <w:noWrap w:val="0"/>
            <w:vAlign w:val="center"/>
          </w:tcPr>
          <w:p w14:paraId="6CDBDC36">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0EBD66E3">
            <w:pPr>
              <w:widowControl/>
              <w:spacing w:beforeLines="0"/>
              <w:jc w:val="left"/>
              <w:rPr>
                <w:rFonts w:ascii="宋体" w:hAnsi="宋体" w:cs="宋体"/>
                <w:color w:val="auto"/>
                <w:kern w:val="0"/>
                <w:sz w:val="22"/>
                <w:szCs w:val="22"/>
                <w:highlight w:val="none"/>
              </w:rPr>
            </w:pPr>
          </w:p>
        </w:tc>
        <w:tc>
          <w:tcPr>
            <w:tcW w:w="2261" w:type="dxa"/>
            <w:noWrap w:val="0"/>
            <w:vAlign w:val="center"/>
          </w:tcPr>
          <w:p w14:paraId="6236FAA0">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上下文实体识别</w:t>
            </w:r>
          </w:p>
        </w:tc>
        <w:tc>
          <w:tcPr>
            <w:tcW w:w="1134" w:type="dxa"/>
            <w:vMerge w:val="continue"/>
            <w:noWrap w:val="0"/>
            <w:vAlign w:val="center"/>
          </w:tcPr>
          <w:p w14:paraId="2E514749">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5F06CE9E">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162942B8">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65613267">
            <w:pPr>
              <w:widowControl/>
              <w:spacing w:beforeLines="0"/>
              <w:jc w:val="left"/>
              <w:rPr>
                <w:rFonts w:ascii="宋体" w:hAnsi="宋体" w:cs="宋体"/>
                <w:color w:val="auto"/>
                <w:kern w:val="0"/>
                <w:sz w:val="22"/>
                <w:szCs w:val="22"/>
                <w:highlight w:val="none"/>
              </w:rPr>
            </w:pPr>
          </w:p>
        </w:tc>
      </w:tr>
      <w:tr w14:paraId="4DF49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562E7842">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202</w:t>
            </w:r>
          </w:p>
        </w:tc>
        <w:tc>
          <w:tcPr>
            <w:tcW w:w="1745" w:type="dxa"/>
            <w:vMerge w:val="continue"/>
            <w:noWrap w:val="0"/>
            <w:vAlign w:val="center"/>
          </w:tcPr>
          <w:p w14:paraId="5F8758D1">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5968C2E1">
            <w:pPr>
              <w:widowControl/>
              <w:spacing w:beforeLines="0"/>
              <w:jc w:val="left"/>
              <w:rPr>
                <w:rFonts w:ascii="宋体" w:hAnsi="宋体" w:cs="宋体"/>
                <w:color w:val="auto"/>
                <w:kern w:val="0"/>
                <w:sz w:val="22"/>
                <w:szCs w:val="22"/>
                <w:highlight w:val="none"/>
              </w:rPr>
            </w:pPr>
          </w:p>
        </w:tc>
        <w:tc>
          <w:tcPr>
            <w:tcW w:w="2261" w:type="dxa"/>
            <w:noWrap w:val="0"/>
            <w:vAlign w:val="center"/>
          </w:tcPr>
          <w:p w14:paraId="35923456">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实体映射</w:t>
            </w:r>
          </w:p>
        </w:tc>
        <w:tc>
          <w:tcPr>
            <w:tcW w:w="1134" w:type="dxa"/>
            <w:vMerge w:val="continue"/>
            <w:noWrap w:val="0"/>
            <w:vAlign w:val="center"/>
          </w:tcPr>
          <w:p w14:paraId="5CA992C1">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13C96E36">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4D10063D">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2C195DFE">
            <w:pPr>
              <w:widowControl/>
              <w:spacing w:beforeLines="0"/>
              <w:jc w:val="left"/>
              <w:rPr>
                <w:rFonts w:ascii="宋体" w:hAnsi="宋体" w:cs="宋体"/>
                <w:color w:val="auto"/>
                <w:kern w:val="0"/>
                <w:sz w:val="22"/>
                <w:szCs w:val="22"/>
                <w:highlight w:val="none"/>
              </w:rPr>
            </w:pPr>
          </w:p>
        </w:tc>
      </w:tr>
      <w:tr w14:paraId="7E05D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72B9BAF4">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203</w:t>
            </w:r>
          </w:p>
        </w:tc>
        <w:tc>
          <w:tcPr>
            <w:tcW w:w="1745" w:type="dxa"/>
            <w:vMerge w:val="continue"/>
            <w:noWrap w:val="0"/>
            <w:vAlign w:val="center"/>
          </w:tcPr>
          <w:p w14:paraId="30748F2B">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36395DB9">
            <w:pPr>
              <w:widowControl/>
              <w:spacing w:beforeLines="0"/>
              <w:jc w:val="left"/>
              <w:rPr>
                <w:rFonts w:ascii="宋体" w:hAnsi="宋体" w:cs="宋体"/>
                <w:color w:val="auto"/>
                <w:kern w:val="0"/>
                <w:sz w:val="22"/>
                <w:szCs w:val="22"/>
                <w:highlight w:val="none"/>
              </w:rPr>
            </w:pPr>
          </w:p>
        </w:tc>
        <w:tc>
          <w:tcPr>
            <w:tcW w:w="2261" w:type="dxa"/>
            <w:noWrap w:val="0"/>
            <w:vAlign w:val="center"/>
          </w:tcPr>
          <w:p w14:paraId="548CEBC1">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知识一致性</w:t>
            </w:r>
          </w:p>
        </w:tc>
        <w:tc>
          <w:tcPr>
            <w:tcW w:w="1134" w:type="dxa"/>
            <w:vMerge w:val="continue"/>
            <w:noWrap w:val="0"/>
            <w:vAlign w:val="center"/>
          </w:tcPr>
          <w:p w14:paraId="4B6DADC4">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0E1E2A1F">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67B31024">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3DF07E06">
            <w:pPr>
              <w:widowControl/>
              <w:spacing w:beforeLines="0"/>
              <w:jc w:val="left"/>
              <w:rPr>
                <w:rFonts w:ascii="宋体" w:hAnsi="宋体" w:cs="宋体"/>
                <w:color w:val="auto"/>
                <w:kern w:val="0"/>
                <w:sz w:val="22"/>
                <w:szCs w:val="22"/>
                <w:highlight w:val="none"/>
              </w:rPr>
            </w:pPr>
          </w:p>
        </w:tc>
      </w:tr>
      <w:tr w14:paraId="158C8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60A2A58B">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204</w:t>
            </w:r>
          </w:p>
        </w:tc>
        <w:tc>
          <w:tcPr>
            <w:tcW w:w="1745" w:type="dxa"/>
            <w:vMerge w:val="continue"/>
            <w:noWrap w:val="0"/>
            <w:vAlign w:val="center"/>
          </w:tcPr>
          <w:p w14:paraId="0CC83782">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2C0594D6">
            <w:pPr>
              <w:widowControl/>
              <w:spacing w:beforeLines="0"/>
              <w:jc w:val="left"/>
              <w:rPr>
                <w:rFonts w:ascii="宋体" w:hAnsi="宋体" w:cs="宋体"/>
                <w:color w:val="auto"/>
                <w:kern w:val="0"/>
                <w:sz w:val="22"/>
                <w:szCs w:val="22"/>
                <w:highlight w:val="none"/>
              </w:rPr>
            </w:pPr>
          </w:p>
        </w:tc>
        <w:tc>
          <w:tcPr>
            <w:tcW w:w="2261" w:type="dxa"/>
            <w:noWrap w:val="0"/>
            <w:vAlign w:val="center"/>
          </w:tcPr>
          <w:p w14:paraId="59AC68B0">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实体关系明确</w:t>
            </w:r>
          </w:p>
        </w:tc>
        <w:tc>
          <w:tcPr>
            <w:tcW w:w="1134" w:type="dxa"/>
            <w:vMerge w:val="continue"/>
            <w:noWrap w:val="0"/>
            <w:vAlign w:val="center"/>
          </w:tcPr>
          <w:p w14:paraId="031CE1B9">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142E1299">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3F557374">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05E8C379">
            <w:pPr>
              <w:widowControl/>
              <w:spacing w:beforeLines="0"/>
              <w:jc w:val="left"/>
              <w:rPr>
                <w:rFonts w:ascii="宋体" w:hAnsi="宋体" w:cs="宋体"/>
                <w:color w:val="auto"/>
                <w:kern w:val="0"/>
                <w:sz w:val="22"/>
                <w:szCs w:val="22"/>
                <w:highlight w:val="none"/>
              </w:rPr>
            </w:pPr>
          </w:p>
        </w:tc>
      </w:tr>
      <w:tr w14:paraId="7A750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30F56AB7">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205</w:t>
            </w:r>
          </w:p>
        </w:tc>
        <w:tc>
          <w:tcPr>
            <w:tcW w:w="1745" w:type="dxa"/>
            <w:vMerge w:val="continue"/>
            <w:noWrap w:val="0"/>
            <w:vAlign w:val="center"/>
          </w:tcPr>
          <w:p w14:paraId="4A2F3E37">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61D6BD4E">
            <w:pPr>
              <w:widowControl/>
              <w:spacing w:beforeLines="0"/>
              <w:jc w:val="left"/>
              <w:rPr>
                <w:rFonts w:ascii="宋体" w:hAnsi="宋体" w:cs="宋体"/>
                <w:color w:val="auto"/>
                <w:kern w:val="0"/>
                <w:sz w:val="22"/>
                <w:szCs w:val="22"/>
                <w:highlight w:val="none"/>
              </w:rPr>
            </w:pPr>
          </w:p>
        </w:tc>
        <w:tc>
          <w:tcPr>
            <w:tcW w:w="2261" w:type="dxa"/>
            <w:noWrap w:val="0"/>
            <w:vAlign w:val="center"/>
          </w:tcPr>
          <w:p w14:paraId="2335ABA4">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术语标准管理体系</w:t>
            </w:r>
          </w:p>
        </w:tc>
        <w:tc>
          <w:tcPr>
            <w:tcW w:w="1134" w:type="dxa"/>
            <w:vMerge w:val="continue"/>
            <w:noWrap w:val="0"/>
            <w:vAlign w:val="center"/>
          </w:tcPr>
          <w:p w14:paraId="1FB051E1">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163FA5BC">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09BB0B84">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4A3760B9">
            <w:pPr>
              <w:widowControl/>
              <w:spacing w:beforeLines="0"/>
              <w:jc w:val="left"/>
              <w:rPr>
                <w:rFonts w:ascii="宋体" w:hAnsi="宋体" w:cs="宋体"/>
                <w:color w:val="auto"/>
                <w:kern w:val="0"/>
                <w:sz w:val="22"/>
                <w:szCs w:val="22"/>
                <w:highlight w:val="none"/>
              </w:rPr>
            </w:pPr>
          </w:p>
        </w:tc>
      </w:tr>
      <w:tr w14:paraId="3E9F2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2129F96A">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206</w:t>
            </w:r>
          </w:p>
        </w:tc>
        <w:tc>
          <w:tcPr>
            <w:tcW w:w="1745" w:type="dxa"/>
            <w:vMerge w:val="continue"/>
            <w:noWrap w:val="0"/>
            <w:vAlign w:val="center"/>
          </w:tcPr>
          <w:p w14:paraId="70963D9C">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1030AF65">
            <w:pPr>
              <w:widowControl/>
              <w:spacing w:beforeLines="0"/>
              <w:jc w:val="left"/>
              <w:rPr>
                <w:rFonts w:ascii="宋体" w:hAnsi="宋体" w:cs="宋体"/>
                <w:color w:val="auto"/>
                <w:kern w:val="0"/>
                <w:sz w:val="22"/>
                <w:szCs w:val="22"/>
                <w:highlight w:val="none"/>
              </w:rPr>
            </w:pPr>
          </w:p>
        </w:tc>
        <w:tc>
          <w:tcPr>
            <w:tcW w:w="2261" w:type="dxa"/>
            <w:noWrap w:val="0"/>
            <w:vAlign w:val="center"/>
          </w:tcPr>
          <w:p w14:paraId="5721E2F8">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标准术语统一</w:t>
            </w:r>
          </w:p>
        </w:tc>
        <w:tc>
          <w:tcPr>
            <w:tcW w:w="1134" w:type="dxa"/>
            <w:vMerge w:val="continue"/>
            <w:noWrap w:val="0"/>
            <w:vAlign w:val="center"/>
          </w:tcPr>
          <w:p w14:paraId="106F660C">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7CE7FCDF">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755487BB">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6FD6CEF0">
            <w:pPr>
              <w:widowControl/>
              <w:spacing w:beforeLines="0"/>
              <w:jc w:val="left"/>
              <w:rPr>
                <w:rFonts w:ascii="宋体" w:hAnsi="宋体" w:cs="宋体"/>
                <w:color w:val="auto"/>
                <w:kern w:val="0"/>
                <w:sz w:val="22"/>
                <w:szCs w:val="22"/>
                <w:highlight w:val="none"/>
              </w:rPr>
            </w:pPr>
          </w:p>
        </w:tc>
      </w:tr>
      <w:tr w14:paraId="4483C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39CDCD23">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207</w:t>
            </w:r>
          </w:p>
        </w:tc>
        <w:tc>
          <w:tcPr>
            <w:tcW w:w="1745" w:type="dxa"/>
            <w:vMerge w:val="continue"/>
            <w:noWrap w:val="0"/>
            <w:vAlign w:val="center"/>
          </w:tcPr>
          <w:p w14:paraId="63033E88">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651FCD95">
            <w:pPr>
              <w:widowControl/>
              <w:spacing w:beforeLines="0"/>
              <w:jc w:val="left"/>
              <w:rPr>
                <w:rFonts w:ascii="宋体" w:hAnsi="宋体" w:cs="宋体"/>
                <w:color w:val="auto"/>
                <w:kern w:val="0"/>
                <w:sz w:val="22"/>
                <w:szCs w:val="22"/>
                <w:highlight w:val="none"/>
              </w:rPr>
            </w:pPr>
          </w:p>
        </w:tc>
        <w:tc>
          <w:tcPr>
            <w:tcW w:w="2261" w:type="dxa"/>
            <w:noWrap w:val="0"/>
            <w:vAlign w:val="center"/>
          </w:tcPr>
          <w:p w14:paraId="255C7692">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检查检验解析</w:t>
            </w:r>
          </w:p>
        </w:tc>
        <w:tc>
          <w:tcPr>
            <w:tcW w:w="1134" w:type="dxa"/>
            <w:vMerge w:val="continue"/>
            <w:noWrap w:val="0"/>
            <w:vAlign w:val="center"/>
          </w:tcPr>
          <w:p w14:paraId="06449295">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5502850D">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73256286">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5303612F">
            <w:pPr>
              <w:widowControl/>
              <w:spacing w:beforeLines="0"/>
              <w:jc w:val="left"/>
              <w:rPr>
                <w:rFonts w:ascii="宋体" w:hAnsi="宋体" w:cs="宋体"/>
                <w:color w:val="auto"/>
                <w:kern w:val="0"/>
                <w:sz w:val="22"/>
                <w:szCs w:val="22"/>
                <w:highlight w:val="none"/>
              </w:rPr>
            </w:pPr>
          </w:p>
        </w:tc>
      </w:tr>
      <w:tr w14:paraId="52F91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1D6420B4">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208</w:t>
            </w:r>
          </w:p>
        </w:tc>
        <w:tc>
          <w:tcPr>
            <w:tcW w:w="1745" w:type="dxa"/>
            <w:vMerge w:val="continue"/>
            <w:noWrap w:val="0"/>
            <w:vAlign w:val="center"/>
          </w:tcPr>
          <w:p w14:paraId="1F0A1CD6">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6024FEA9">
            <w:pPr>
              <w:widowControl/>
              <w:spacing w:beforeLines="0"/>
              <w:jc w:val="left"/>
              <w:rPr>
                <w:rFonts w:ascii="宋体" w:hAnsi="宋体" w:cs="宋体"/>
                <w:color w:val="auto"/>
                <w:kern w:val="0"/>
                <w:sz w:val="22"/>
                <w:szCs w:val="22"/>
                <w:highlight w:val="none"/>
              </w:rPr>
            </w:pPr>
          </w:p>
        </w:tc>
        <w:tc>
          <w:tcPr>
            <w:tcW w:w="2261" w:type="dxa"/>
            <w:noWrap w:val="0"/>
            <w:vAlign w:val="center"/>
          </w:tcPr>
          <w:p w14:paraId="2FBC6DBD">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检查检验基础分析</w:t>
            </w:r>
          </w:p>
        </w:tc>
        <w:tc>
          <w:tcPr>
            <w:tcW w:w="1134" w:type="dxa"/>
            <w:vMerge w:val="continue"/>
            <w:noWrap w:val="0"/>
            <w:vAlign w:val="center"/>
          </w:tcPr>
          <w:p w14:paraId="7215B26F">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3EB98102">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663F5DC0">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6A58E4A5">
            <w:pPr>
              <w:widowControl/>
              <w:spacing w:beforeLines="0"/>
              <w:jc w:val="left"/>
              <w:rPr>
                <w:rFonts w:ascii="宋体" w:hAnsi="宋体" w:cs="宋体"/>
                <w:color w:val="auto"/>
                <w:kern w:val="0"/>
                <w:sz w:val="22"/>
                <w:szCs w:val="22"/>
                <w:highlight w:val="none"/>
              </w:rPr>
            </w:pPr>
          </w:p>
        </w:tc>
      </w:tr>
      <w:tr w14:paraId="38188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42F046A1">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209</w:t>
            </w:r>
          </w:p>
        </w:tc>
        <w:tc>
          <w:tcPr>
            <w:tcW w:w="1745" w:type="dxa"/>
            <w:vMerge w:val="continue"/>
            <w:noWrap w:val="0"/>
            <w:vAlign w:val="center"/>
          </w:tcPr>
          <w:p w14:paraId="1895A814">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71809CF5">
            <w:pPr>
              <w:widowControl/>
              <w:spacing w:beforeLines="0"/>
              <w:jc w:val="left"/>
              <w:rPr>
                <w:rFonts w:ascii="宋体" w:hAnsi="宋体" w:cs="宋体"/>
                <w:color w:val="auto"/>
                <w:kern w:val="0"/>
                <w:sz w:val="22"/>
                <w:szCs w:val="22"/>
                <w:highlight w:val="none"/>
              </w:rPr>
            </w:pPr>
          </w:p>
        </w:tc>
        <w:tc>
          <w:tcPr>
            <w:tcW w:w="2261" w:type="dxa"/>
            <w:noWrap w:val="0"/>
            <w:vAlign w:val="center"/>
          </w:tcPr>
          <w:p w14:paraId="6BF946D2">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专业术语理解</w:t>
            </w:r>
          </w:p>
        </w:tc>
        <w:tc>
          <w:tcPr>
            <w:tcW w:w="1134" w:type="dxa"/>
            <w:vMerge w:val="continue"/>
            <w:noWrap w:val="0"/>
            <w:vAlign w:val="center"/>
          </w:tcPr>
          <w:p w14:paraId="7D40FC96">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1B200E49">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5B43733C">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3F3B2EB3">
            <w:pPr>
              <w:widowControl/>
              <w:spacing w:beforeLines="0"/>
              <w:jc w:val="left"/>
              <w:rPr>
                <w:rFonts w:ascii="宋体" w:hAnsi="宋体" w:cs="宋体"/>
                <w:color w:val="auto"/>
                <w:kern w:val="0"/>
                <w:sz w:val="22"/>
                <w:szCs w:val="22"/>
                <w:highlight w:val="none"/>
              </w:rPr>
            </w:pPr>
          </w:p>
        </w:tc>
      </w:tr>
      <w:tr w14:paraId="0FDC1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65105F50">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210</w:t>
            </w:r>
          </w:p>
        </w:tc>
        <w:tc>
          <w:tcPr>
            <w:tcW w:w="1745" w:type="dxa"/>
            <w:vMerge w:val="continue"/>
            <w:noWrap w:val="0"/>
            <w:vAlign w:val="center"/>
          </w:tcPr>
          <w:p w14:paraId="172F8D48">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5887F3E4">
            <w:pPr>
              <w:widowControl/>
              <w:spacing w:beforeLines="0"/>
              <w:jc w:val="left"/>
              <w:rPr>
                <w:rFonts w:ascii="宋体" w:hAnsi="宋体" w:cs="宋体"/>
                <w:color w:val="auto"/>
                <w:kern w:val="0"/>
                <w:sz w:val="22"/>
                <w:szCs w:val="22"/>
                <w:highlight w:val="none"/>
              </w:rPr>
            </w:pPr>
          </w:p>
        </w:tc>
        <w:tc>
          <w:tcPr>
            <w:tcW w:w="2261" w:type="dxa"/>
            <w:noWrap w:val="0"/>
            <w:vAlign w:val="center"/>
          </w:tcPr>
          <w:p w14:paraId="5F0E3800">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医学语句理解</w:t>
            </w:r>
          </w:p>
        </w:tc>
        <w:tc>
          <w:tcPr>
            <w:tcW w:w="1134" w:type="dxa"/>
            <w:vMerge w:val="continue"/>
            <w:noWrap w:val="0"/>
            <w:vAlign w:val="center"/>
          </w:tcPr>
          <w:p w14:paraId="31DBC89C">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6FAD951F">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7783D10A">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4246C1A6">
            <w:pPr>
              <w:widowControl/>
              <w:spacing w:beforeLines="0"/>
              <w:jc w:val="left"/>
              <w:rPr>
                <w:rFonts w:ascii="宋体" w:hAnsi="宋体" w:cs="宋体"/>
                <w:color w:val="auto"/>
                <w:kern w:val="0"/>
                <w:sz w:val="22"/>
                <w:szCs w:val="22"/>
                <w:highlight w:val="none"/>
              </w:rPr>
            </w:pPr>
          </w:p>
        </w:tc>
      </w:tr>
      <w:tr w14:paraId="0B5F6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28FA0618">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211</w:t>
            </w:r>
          </w:p>
        </w:tc>
        <w:tc>
          <w:tcPr>
            <w:tcW w:w="1745" w:type="dxa"/>
            <w:vMerge w:val="continue"/>
            <w:noWrap w:val="0"/>
            <w:vAlign w:val="center"/>
          </w:tcPr>
          <w:p w14:paraId="1134C6F0">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24A34CD3">
            <w:pPr>
              <w:widowControl/>
              <w:spacing w:beforeLines="0"/>
              <w:jc w:val="left"/>
              <w:rPr>
                <w:rFonts w:ascii="宋体" w:hAnsi="宋体" w:cs="宋体"/>
                <w:color w:val="auto"/>
                <w:kern w:val="0"/>
                <w:sz w:val="22"/>
                <w:szCs w:val="22"/>
                <w:highlight w:val="none"/>
              </w:rPr>
            </w:pPr>
          </w:p>
        </w:tc>
        <w:tc>
          <w:tcPr>
            <w:tcW w:w="2261" w:type="dxa"/>
            <w:noWrap w:val="0"/>
            <w:vAlign w:val="center"/>
          </w:tcPr>
          <w:p w14:paraId="1A811B0A">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上下文匹配</w:t>
            </w:r>
          </w:p>
        </w:tc>
        <w:tc>
          <w:tcPr>
            <w:tcW w:w="1134" w:type="dxa"/>
            <w:vMerge w:val="continue"/>
            <w:noWrap w:val="0"/>
            <w:vAlign w:val="center"/>
          </w:tcPr>
          <w:p w14:paraId="7D5E422D">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11E60C71">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3CE20062">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4065D9CB">
            <w:pPr>
              <w:widowControl/>
              <w:spacing w:beforeLines="0"/>
              <w:jc w:val="left"/>
              <w:rPr>
                <w:rFonts w:ascii="宋体" w:hAnsi="宋体" w:cs="宋体"/>
                <w:color w:val="auto"/>
                <w:kern w:val="0"/>
                <w:sz w:val="22"/>
                <w:szCs w:val="22"/>
                <w:highlight w:val="none"/>
              </w:rPr>
            </w:pPr>
          </w:p>
        </w:tc>
      </w:tr>
      <w:tr w14:paraId="72CCD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5569EA7E">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212</w:t>
            </w:r>
          </w:p>
        </w:tc>
        <w:tc>
          <w:tcPr>
            <w:tcW w:w="1745" w:type="dxa"/>
            <w:vMerge w:val="continue"/>
            <w:noWrap w:val="0"/>
            <w:vAlign w:val="center"/>
          </w:tcPr>
          <w:p w14:paraId="4BFE291F">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4277ABE1">
            <w:pPr>
              <w:widowControl/>
              <w:spacing w:beforeLines="0"/>
              <w:jc w:val="left"/>
              <w:rPr>
                <w:rFonts w:ascii="宋体" w:hAnsi="宋体" w:cs="宋体"/>
                <w:color w:val="auto"/>
                <w:kern w:val="0"/>
                <w:sz w:val="22"/>
                <w:szCs w:val="22"/>
                <w:highlight w:val="none"/>
              </w:rPr>
            </w:pPr>
          </w:p>
        </w:tc>
        <w:tc>
          <w:tcPr>
            <w:tcW w:w="2261" w:type="dxa"/>
            <w:noWrap w:val="0"/>
            <w:vAlign w:val="center"/>
          </w:tcPr>
          <w:p w14:paraId="1B9829F7">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知识图谱构建</w:t>
            </w:r>
          </w:p>
        </w:tc>
        <w:tc>
          <w:tcPr>
            <w:tcW w:w="1134" w:type="dxa"/>
            <w:vMerge w:val="continue"/>
            <w:noWrap w:val="0"/>
            <w:vAlign w:val="center"/>
          </w:tcPr>
          <w:p w14:paraId="49C0BF94">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55912F5C">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408C1AF9">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16E4DF18">
            <w:pPr>
              <w:widowControl/>
              <w:spacing w:beforeLines="0"/>
              <w:jc w:val="left"/>
              <w:rPr>
                <w:rFonts w:ascii="宋体" w:hAnsi="宋体" w:cs="宋体"/>
                <w:color w:val="auto"/>
                <w:kern w:val="0"/>
                <w:sz w:val="22"/>
                <w:szCs w:val="22"/>
                <w:highlight w:val="none"/>
              </w:rPr>
            </w:pPr>
          </w:p>
        </w:tc>
      </w:tr>
      <w:tr w14:paraId="5C8FD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2A550485">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213</w:t>
            </w:r>
          </w:p>
        </w:tc>
        <w:tc>
          <w:tcPr>
            <w:tcW w:w="1745" w:type="dxa"/>
            <w:vMerge w:val="continue"/>
            <w:noWrap w:val="0"/>
            <w:vAlign w:val="center"/>
          </w:tcPr>
          <w:p w14:paraId="668DDD6C">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5CC447AC">
            <w:pPr>
              <w:widowControl/>
              <w:spacing w:beforeLines="0"/>
              <w:jc w:val="left"/>
              <w:rPr>
                <w:rFonts w:ascii="宋体" w:hAnsi="宋体" w:cs="宋体"/>
                <w:color w:val="auto"/>
                <w:kern w:val="0"/>
                <w:sz w:val="22"/>
                <w:szCs w:val="22"/>
                <w:highlight w:val="none"/>
              </w:rPr>
            </w:pPr>
          </w:p>
        </w:tc>
        <w:tc>
          <w:tcPr>
            <w:tcW w:w="2261" w:type="dxa"/>
            <w:noWrap w:val="0"/>
            <w:vAlign w:val="center"/>
          </w:tcPr>
          <w:p w14:paraId="5FCD365E">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知识图谱下钻</w:t>
            </w:r>
          </w:p>
        </w:tc>
        <w:tc>
          <w:tcPr>
            <w:tcW w:w="1134" w:type="dxa"/>
            <w:vMerge w:val="continue"/>
            <w:noWrap w:val="0"/>
            <w:vAlign w:val="center"/>
          </w:tcPr>
          <w:p w14:paraId="59E5F995">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20D717CF">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2EFF0DA1">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066EA7D1">
            <w:pPr>
              <w:widowControl/>
              <w:spacing w:beforeLines="0"/>
              <w:jc w:val="left"/>
              <w:rPr>
                <w:rFonts w:ascii="宋体" w:hAnsi="宋体" w:cs="宋体"/>
                <w:color w:val="auto"/>
                <w:kern w:val="0"/>
                <w:sz w:val="22"/>
                <w:szCs w:val="22"/>
                <w:highlight w:val="none"/>
              </w:rPr>
            </w:pPr>
          </w:p>
        </w:tc>
      </w:tr>
      <w:tr w14:paraId="39171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64CDA19B">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214</w:t>
            </w:r>
          </w:p>
        </w:tc>
        <w:tc>
          <w:tcPr>
            <w:tcW w:w="1745" w:type="dxa"/>
            <w:vMerge w:val="continue"/>
            <w:noWrap w:val="0"/>
            <w:vAlign w:val="center"/>
          </w:tcPr>
          <w:p w14:paraId="109EA993">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3F536593">
            <w:pPr>
              <w:widowControl/>
              <w:spacing w:beforeLines="0"/>
              <w:jc w:val="left"/>
              <w:rPr>
                <w:rFonts w:ascii="宋体" w:hAnsi="宋体" w:cs="宋体"/>
                <w:color w:val="auto"/>
                <w:kern w:val="0"/>
                <w:sz w:val="22"/>
                <w:szCs w:val="22"/>
                <w:highlight w:val="none"/>
              </w:rPr>
            </w:pPr>
          </w:p>
        </w:tc>
        <w:tc>
          <w:tcPr>
            <w:tcW w:w="2261" w:type="dxa"/>
            <w:noWrap w:val="0"/>
            <w:vAlign w:val="center"/>
          </w:tcPr>
          <w:p w14:paraId="3D920DEB">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数据关系分析</w:t>
            </w:r>
          </w:p>
        </w:tc>
        <w:tc>
          <w:tcPr>
            <w:tcW w:w="1134" w:type="dxa"/>
            <w:vMerge w:val="continue"/>
            <w:noWrap w:val="0"/>
            <w:vAlign w:val="center"/>
          </w:tcPr>
          <w:p w14:paraId="3A9DA464">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0F4FEB97">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0FF789CB">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51A821EC">
            <w:pPr>
              <w:widowControl/>
              <w:spacing w:beforeLines="0"/>
              <w:jc w:val="left"/>
              <w:rPr>
                <w:rFonts w:ascii="宋体" w:hAnsi="宋体" w:cs="宋体"/>
                <w:color w:val="auto"/>
                <w:kern w:val="0"/>
                <w:sz w:val="22"/>
                <w:szCs w:val="22"/>
                <w:highlight w:val="none"/>
              </w:rPr>
            </w:pPr>
          </w:p>
        </w:tc>
      </w:tr>
      <w:tr w14:paraId="59DBD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5AFA5C26">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215</w:t>
            </w:r>
          </w:p>
        </w:tc>
        <w:tc>
          <w:tcPr>
            <w:tcW w:w="1745" w:type="dxa"/>
            <w:vMerge w:val="continue"/>
            <w:noWrap w:val="0"/>
            <w:vAlign w:val="center"/>
          </w:tcPr>
          <w:p w14:paraId="1AFE82E5">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23140D57">
            <w:pPr>
              <w:widowControl/>
              <w:spacing w:beforeLines="0"/>
              <w:jc w:val="left"/>
              <w:rPr>
                <w:rFonts w:ascii="宋体" w:hAnsi="宋体" w:cs="宋体"/>
                <w:color w:val="auto"/>
                <w:kern w:val="0"/>
                <w:sz w:val="22"/>
                <w:szCs w:val="22"/>
                <w:highlight w:val="none"/>
              </w:rPr>
            </w:pPr>
          </w:p>
        </w:tc>
        <w:tc>
          <w:tcPr>
            <w:tcW w:w="2261" w:type="dxa"/>
            <w:noWrap w:val="0"/>
            <w:vAlign w:val="center"/>
          </w:tcPr>
          <w:p w14:paraId="295901BE">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异常指标分析</w:t>
            </w:r>
          </w:p>
        </w:tc>
        <w:tc>
          <w:tcPr>
            <w:tcW w:w="1134" w:type="dxa"/>
            <w:vMerge w:val="continue"/>
            <w:noWrap w:val="0"/>
            <w:vAlign w:val="center"/>
          </w:tcPr>
          <w:p w14:paraId="64C32A59">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4DE2DBA5">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47A4E95F">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47480F5E">
            <w:pPr>
              <w:widowControl/>
              <w:spacing w:beforeLines="0"/>
              <w:jc w:val="left"/>
              <w:rPr>
                <w:rFonts w:ascii="宋体" w:hAnsi="宋体" w:cs="宋体"/>
                <w:color w:val="auto"/>
                <w:kern w:val="0"/>
                <w:sz w:val="22"/>
                <w:szCs w:val="22"/>
                <w:highlight w:val="none"/>
              </w:rPr>
            </w:pPr>
          </w:p>
        </w:tc>
      </w:tr>
      <w:tr w14:paraId="0C62D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50BAC853">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216</w:t>
            </w:r>
          </w:p>
        </w:tc>
        <w:tc>
          <w:tcPr>
            <w:tcW w:w="1745" w:type="dxa"/>
            <w:vMerge w:val="continue"/>
            <w:noWrap w:val="0"/>
            <w:vAlign w:val="center"/>
          </w:tcPr>
          <w:p w14:paraId="3F890A32">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505766A2">
            <w:pPr>
              <w:widowControl/>
              <w:spacing w:beforeLines="0"/>
              <w:jc w:val="left"/>
              <w:rPr>
                <w:rFonts w:ascii="宋体" w:hAnsi="宋体" w:cs="宋体"/>
                <w:color w:val="auto"/>
                <w:kern w:val="0"/>
                <w:sz w:val="22"/>
                <w:szCs w:val="22"/>
                <w:highlight w:val="none"/>
              </w:rPr>
            </w:pPr>
          </w:p>
        </w:tc>
        <w:tc>
          <w:tcPr>
            <w:tcW w:w="2261" w:type="dxa"/>
            <w:noWrap w:val="0"/>
            <w:vAlign w:val="center"/>
          </w:tcPr>
          <w:p w14:paraId="3212F564">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血压异常分析</w:t>
            </w:r>
          </w:p>
        </w:tc>
        <w:tc>
          <w:tcPr>
            <w:tcW w:w="1134" w:type="dxa"/>
            <w:vMerge w:val="continue"/>
            <w:noWrap w:val="0"/>
            <w:vAlign w:val="center"/>
          </w:tcPr>
          <w:p w14:paraId="50DC8FDF">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0143FB35">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226E4B6A">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249573A0">
            <w:pPr>
              <w:widowControl/>
              <w:spacing w:beforeLines="0"/>
              <w:jc w:val="left"/>
              <w:rPr>
                <w:rFonts w:ascii="宋体" w:hAnsi="宋体" w:cs="宋体"/>
                <w:color w:val="auto"/>
                <w:kern w:val="0"/>
                <w:sz w:val="22"/>
                <w:szCs w:val="22"/>
                <w:highlight w:val="none"/>
              </w:rPr>
            </w:pPr>
          </w:p>
        </w:tc>
      </w:tr>
      <w:tr w14:paraId="65104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69915C36">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217</w:t>
            </w:r>
          </w:p>
        </w:tc>
        <w:tc>
          <w:tcPr>
            <w:tcW w:w="1745" w:type="dxa"/>
            <w:vMerge w:val="continue"/>
            <w:noWrap w:val="0"/>
            <w:vAlign w:val="center"/>
          </w:tcPr>
          <w:p w14:paraId="16D6B9D7">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28B5A19D">
            <w:pPr>
              <w:widowControl/>
              <w:spacing w:beforeLines="0"/>
              <w:jc w:val="left"/>
              <w:rPr>
                <w:rFonts w:ascii="宋体" w:hAnsi="宋体" w:cs="宋体"/>
                <w:color w:val="auto"/>
                <w:kern w:val="0"/>
                <w:sz w:val="22"/>
                <w:szCs w:val="22"/>
                <w:highlight w:val="none"/>
              </w:rPr>
            </w:pPr>
          </w:p>
        </w:tc>
        <w:tc>
          <w:tcPr>
            <w:tcW w:w="2261" w:type="dxa"/>
            <w:noWrap w:val="0"/>
            <w:vAlign w:val="center"/>
          </w:tcPr>
          <w:p w14:paraId="51F055F2">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血糖异常分析</w:t>
            </w:r>
          </w:p>
        </w:tc>
        <w:tc>
          <w:tcPr>
            <w:tcW w:w="1134" w:type="dxa"/>
            <w:vMerge w:val="continue"/>
            <w:noWrap w:val="0"/>
            <w:vAlign w:val="center"/>
          </w:tcPr>
          <w:p w14:paraId="14033C5F">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470777C4">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734974B1">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0C4F25E3">
            <w:pPr>
              <w:widowControl/>
              <w:spacing w:beforeLines="0"/>
              <w:jc w:val="left"/>
              <w:rPr>
                <w:rFonts w:ascii="宋体" w:hAnsi="宋体" w:cs="宋体"/>
                <w:color w:val="auto"/>
                <w:kern w:val="0"/>
                <w:sz w:val="22"/>
                <w:szCs w:val="22"/>
                <w:highlight w:val="none"/>
              </w:rPr>
            </w:pPr>
          </w:p>
        </w:tc>
      </w:tr>
      <w:tr w14:paraId="5BCC9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5DFE0737">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218</w:t>
            </w:r>
          </w:p>
        </w:tc>
        <w:tc>
          <w:tcPr>
            <w:tcW w:w="1745" w:type="dxa"/>
            <w:vMerge w:val="continue"/>
            <w:noWrap w:val="0"/>
            <w:vAlign w:val="center"/>
          </w:tcPr>
          <w:p w14:paraId="34F01466">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3ADF13F1">
            <w:pPr>
              <w:widowControl/>
              <w:spacing w:beforeLines="0"/>
              <w:jc w:val="left"/>
              <w:rPr>
                <w:rFonts w:ascii="宋体" w:hAnsi="宋体" w:cs="宋体"/>
                <w:color w:val="auto"/>
                <w:kern w:val="0"/>
                <w:sz w:val="22"/>
                <w:szCs w:val="22"/>
                <w:highlight w:val="none"/>
              </w:rPr>
            </w:pPr>
          </w:p>
        </w:tc>
        <w:tc>
          <w:tcPr>
            <w:tcW w:w="2261" w:type="dxa"/>
            <w:noWrap w:val="0"/>
            <w:vAlign w:val="center"/>
          </w:tcPr>
          <w:p w14:paraId="0A25A336">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检测结果分析</w:t>
            </w:r>
          </w:p>
        </w:tc>
        <w:tc>
          <w:tcPr>
            <w:tcW w:w="1134" w:type="dxa"/>
            <w:vMerge w:val="continue"/>
            <w:noWrap w:val="0"/>
            <w:vAlign w:val="center"/>
          </w:tcPr>
          <w:p w14:paraId="029C48B6">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7BA404CF">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0A10D9FC">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75770CA7">
            <w:pPr>
              <w:widowControl/>
              <w:spacing w:beforeLines="0"/>
              <w:jc w:val="left"/>
              <w:rPr>
                <w:rFonts w:ascii="宋体" w:hAnsi="宋体" w:cs="宋体"/>
                <w:color w:val="auto"/>
                <w:kern w:val="0"/>
                <w:sz w:val="22"/>
                <w:szCs w:val="22"/>
                <w:highlight w:val="none"/>
              </w:rPr>
            </w:pPr>
          </w:p>
        </w:tc>
      </w:tr>
      <w:tr w14:paraId="43135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062F43B4">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219</w:t>
            </w:r>
          </w:p>
        </w:tc>
        <w:tc>
          <w:tcPr>
            <w:tcW w:w="1745" w:type="dxa"/>
            <w:vMerge w:val="continue"/>
            <w:noWrap w:val="0"/>
            <w:vAlign w:val="center"/>
          </w:tcPr>
          <w:p w14:paraId="2E15A419">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7DA895E2">
            <w:pPr>
              <w:widowControl/>
              <w:spacing w:beforeLines="0"/>
              <w:jc w:val="left"/>
              <w:rPr>
                <w:rFonts w:ascii="宋体" w:hAnsi="宋体" w:cs="宋体"/>
                <w:color w:val="auto"/>
                <w:kern w:val="0"/>
                <w:sz w:val="22"/>
                <w:szCs w:val="22"/>
                <w:highlight w:val="none"/>
              </w:rPr>
            </w:pPr>
          </w:p>
        </w:tc>
        <w:tc>
          <w:tcPr>
            <w:tcW w:w="2261" w:type="dxa"/>
            <w:noWrap w:val="0"/>
            <w:vAlign w:val="center"/>
          </w:tcPr>
          <w:p w14:paraId="2200D88C">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病史信息融合分析</w:t>
            </w:r>
          </w:p>
        </w:tc>
        <w:tc>
          <w:tcPr>
            <w:tcW w:w="1134" w:type="dxa"/>
            <w:vMerge w:val="continue"/>
            <w:noWrap w:val="0"/>
            <w:vAlign w:val="center"/>
          </w:tcPr>
          <w:p w14:paraId="64E18EBF">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5D6C7AA4">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6781D129">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76989936">
            <w:pPr>
              <w:widowControl/>
              <w:spacing w:beforeLines="0"/>
              <w:jc w:val="left"/>
              <w:rPr>
                <w:rFonts w:ascii="宋体" w:hAnsi="宋体" w:cs="宋体"/>
                <w:color w:val="auto"/>
                <w:kern w:val="0"/>
                <w:sz w:val="22"/>
                <w:szCs w:val="22"/>
                <w:highlight w:val="none"/>
              </w:rPr>
            </w:pPr>
          </w:p>
        </w:tc>
      </w:tr>
      <w:tr w14:paraId="65156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3296EE47">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220</w:t>
            </w:r>
          </w:p>
        </w:tc>
        <w:tc>
          <w:tcPr>
            <w:tcW w:w="1745" w:type="dxa"/>
            <w:vMerge w:val="continue"/>
            <w:noWrap w:val="0"/>
            <w:vAlign w:val="center"/>
          </w:tcPr>
          <w:p w14:paraId="491201D4">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368FA8CF">
            <w:pPr>
              <w:widowControl/>
              <w:spacing w:beforeLines="0"/>
              <w:jc w:val="left"/>
              <w:rPr>
                <w:rFonts w:ascii="宋体" w:hAnsi="宋体" w:cs="宋体"/>
                <w:color w:val="auto"/>
                <w:kern w:val="0"/>
                <w:sz w:val="22"/>
                <w:szCs w:val="22"/>
                <w:highlight w:val="none"/>
              </w:rPr>
            </w:pPr>
          </w:p>
        </w:tc>
        <w:tc>
          <w:tcPr>
            <w:tcW w:w="2261" w:type="dxa"/>
            <w:noWrap w:val="0"/>
            <w:vAlign w:val="center"/>
          </w:tcPr>
          <w:p w14:paraId="73C18637">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医疗健康建议</w:t>
            </w:r>
          </w:p>
        </w:tc>
        <w:tc>
          <w:tcPr>
            <w:tcW w:w="1134" w:type="dxa"/>
            <w:vMerge w:val="continue"/>
            <w:noWrap w:val="0"/>
            <w:vAlign w:val="center"/>
          </w:tcPr>
          <w:p w14:paraId="3BAC9CAF">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6573D0BF">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5E44965C">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09B818F8">
            <w:pPr>
              <w:widowControl/>
              <w:spacing w:beforeLines="0"/>
              <w:jc w:val="left"/>
              <w:rPr>
                <w:rFonts w:ascii="宋体" w:hAnsi="宋体" w:cs="宋体"/>
                <w:color w:val="auto"/>
                <w:kern w:val="0"/>
                <w:sz w:val="22"/>
                <w:szCs w:val="22"/>
                <w:highlight w:val="none"/>
              </w:rPr>
            </w:pPr>
          </w:p>
        </w:tc>
      </w:tr>
      <w:tr w14:paraId="0CD99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65D9CD41">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221</w:t>
            </w:r>
          </w:p>
        </w:tc>
        <w:tc>
          <w:tcPr>
            <w:tcW w:w="1745" w:type="dxa"/>
            <w:vMerge w:val="continue"/>
            <w:noWrap w:val="0"/>
            <w:vAlign w:val="center"/>
          </w:tcPr>
          <w:p w14:paraId="1FC385C2">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0E6702FC">
            <w:pPr>
              <w:widowControl/>
              <w:spacing w:beforeLines="0"/>
              <w:jc w:val="left"/>
              <w:rPr>
                <w:rFonts w:ascii="宋体" w:hAnsi="宋体" w:cs="宋体"/>
                <w:color w:val="auto"/>
                <w:kern w:val="0"/>
                <w:sz w:val="22"/>
                <w:szCs w:val="22"/>
                <w:highlight w:val="none"/>
              </w:rPr>
            </w:pPr>
          </w:p>
        </w:tc>
        <w:tc>
          <w:tcPr>
            <w:tcW w:w="2261" w:type="dxa"/>
            <w:noWrap w:val="0"/>
            <w:vAlign w:val="center"/>
          </w:tcPr>
          <w:p w14:paraId="673ACC68">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体检复查建议</w:t>
            </w:r>
          </w:p>
        </w:tc>
        <w:tc>
          <w:tcPr>
            <w:tcW w:w="1134" w:type="dxa"/>
            <w:vMerge w:val="continue"/>
            <w:noWrap w:val="0"/>
            <w:vAlign w:val="center"/>
          </w:tcPr>
          <w:p w14:paraId="296D5E5A">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3FC1C0A1">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31E419BC">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1630FD55">
            <w:pPr>
              <w:widowControl/>
              <w:spacing w:beforeLines="0"/>
              <w:jc w:val="left"/>
              <w:rPr>
                <w:rFonts w:ascii="宋体" w:hAnsi="宋体" w:cs="宋体"/>
                <w:color w:val="auto"/>
                <w:kern w:val="0"/>
                <w:sz w:val="22"/>
                <w:szCs w:val="22"/>
                <w:highlight w:val="none"/>
              </w:rPr>
            </w:pPr>
          </w:p>
        </w:tc>
      </w:tr>
      <w:tr w14:paraId="00F34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6D934256">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222</w:t>
            </w:r>
          </w:p>
        </w:tc>
        <w:tc>
          <w:tcPr>
            <w:tcW w:w="1745" w:type="dxa"/>
            <w:vMerge w:val="continue"/>
            <w:noWrap w:val="0"/>
            <w:vAlign w:val="center"/>
          </w:tcPr>
          <w:p w14:paraId="6626F169">
            <w:pPr>
              <w:widowControl/>
              <w:spacing w:beforeLines="0"/>
              <w:jc w:val="left"/>
              <w:rPr>
                <w:rFonts w:ascii="宋体" w:hAnsi="宋体" w:cs="宋体"/>
                <w:color w:val="auto"/>
                <w:kern w:val="0"/>
                <w:sz w:val="22"/>
                <w:szCs w:val="22"/>
                <w:highlight w:val="none"/>
              </w:rPr>
            </w:pPr>
          </w:p>
        </w:tc>
        <w:tc>
          <w:tcPr>
            <w:tcW w:w="806" w:type="dxa"/>
            <w:vMerge w:val="restart"/>
            <w:noWrap w:val="0"/>
            <w:vAlign w:val="center"/>
          </w:tcPr>
          <w:p w14:paraId="2F61F3B3">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监管端应用</w:t>
            </w:r>
          </w:p>
        </w:tc>
        <w:tc>
          <w:tcPr>
            <w:tcW w:w="2261" w:type="dxa"/>
            <w:noWrap w:val="0"/>
            <w:vAlign w:val="center"/>
          </w:tcPr>
          <w:p w14:paraId="41FDE35F">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累计数据资产统计</w:t>
            </w:r>
          </w:p>
        </w:tc>
        <w:tc>
          <w:tcPr>
            <w:tcW w:w="1134" w:type="dxa"/>
            <w:vMerge w:val="continue"/>
            <w:noWrap w:val="0"/>
            <w:vAlign w:val="center"/>
          </w:tcPr>
          <w:p w14:paraId="25DA6D74">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5BBB97A9">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6296EBEC">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4EE39837">
            <w:pPr>
              <w:widowControl/>
              <w:spacing w:beforeLines="0"/>
              <w:jc w:val="left"/>
              <w:rPr>
                <w:rFonts w:ascii="宋体" w:hAnsi="宋体" w:cs="宋体"/>
                <w:color w:val="auto"/>
                <w:kern w:val="0"/>
                <w:sz w:val="22"/>
                <w:szCs w:val="22"/>
                <w:highlight w:val="none"/>
              </w:rPr>
            </w:pPr>
          </w:p>
        </w:tc>
      </w:tr>
      <w:tr w14:paraId="4BBDB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4595AC63">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223</w:t>
            </w:r>
          </w:p>
        </w:tc>
        <w:tc>
          <w:tcPr>
            <w:tcW w:w="1745" w:type="dxa"/>
            <w:vMerge w:val="continue"/>
            <w:noWrap w:val="0"/>
            <w:vAlign w:val="center"/>
          </w:tcPr>
          <w:p w14:paraId="4BDE0D7E">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258A473F">
            <w:pPr>
              <w:widowControl/>
              <w:spacing w:beforeLines="0"/>
              <w:jc w:val="left"/>
              <w:rPr>
                <w:rFonts w:ascii="宋体" w:hAnsi="宋体" w:cs="宋体"/>
                <w:color w:val="auto"/>
                <w:kern w:val="0"/>
                <w:sz w:val="22"/>
                <w:szCs w:val="22"/>
                <w:highlight w:val="none"/>
              </w:rPr>
            </w:pPr>
          </w:p>
        </w:tc>
        <w:tc>
          <w:tcPr>
            <w:tcW w:w="2261" w:type="dxa"/>
            <w:noWrap w:val="0"/>
            <w:vAlign w:val="center"/>
          </w:tcPr>
          <w:p w14:paraId="6C685AAF">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新增数据资产统计</w:t>
            </w:r>
          </w:p>
        </w:tc>
        <w:tc>
          <w:tcPr>
            <w:tcW w:w="1134" w:type="dxa"/>
            <w:vMerge w:val="continue"/>
            <w:noWrap w:val="0"/>
            <w:vAlign w:val="center"/>
          </w:tcPr>
          <w:p w14:paraId="0ABAF621">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33C347B8">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23BD77FB">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4FC031D6">
            <w:pPr>
              <w:widowControl/>
              <w:spacing w:beforeLines="0"/>
              <w:jc w:val="left"/>
              <w:rPr>
                <w:rFonts w:ascii="宋体" w:hAnsi="宋体" w:cs="宋体"/>
                <w:color w:val="auto"/>
                <w:kern w:val="0"/>
                <w:sz w:val="22"/>
                <w:szCs w:val="22"/>
                <w:highlight w:val="none"/>
              </w:rPr>
            </w:pPr>
          </w:p>
        </w:tc>
      </w:tr>
      <w:tr w14:paraId="25101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597BF3CB">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224</w:t>
            </w:r>
          </w:p>
        </w:tc>
        <w:tc>
          <w:tcPr>
            <w:tcW w:w="1745" w:type="dxa"/>
            <w:vMerge w:val="continue"/>
            <w:noWrap w:val="0"/>
            <w:vAlign w:val="center"/>
          </w:tcPr>
          <w:p w14:paraId="45AFDB93">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49C239FE">
            <w:pPr>
              <w:widowControl/>
              <w:spacing w:beforeLines="0"/>
              <w:jc w:val="left"/>
              <w:rPr>
                <w:rFonts w:ascii="宋体" w:hAnsi="宋体" w:cs="宋体"/>
                <w:color w:val="auto"/>
                <w:kern w:val="0"/>
                <w:sz w:val="22"/>
                <w:szCs w:val="22"/>
                <w:highlight w:val="none"/>
              </w:rPr>
            </w:pPr>
          </w:p>
        </w:tc>
        <w:tc>
          <w:tcPr>
            <w:tcW w:w="2261" w:type="dxa"/>
            <w:noWrap w:val="0"/>
            <w:vAlign w:val="center"/>
          </w:tcPr>
          <w:p w14:paraId="2A82CFF4">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体检报告数量趋势变化</w:t>
            </w:r>
          </w:p>
        </w:tc>
        <w:tc>
          <w:tcPr>
            <w:tcW w:w="1134" w:type="dxa"/>
            <w:vMerge w:val="continue"/>
            <w:noWrap w:val="0"/>
            <w:vAlign w:val="center"/>
          </w:tcPr>
          <w:p w14:paraId="63D7C6AA">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7FCA9BA8">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11E95578">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7BBC30C0">
            <w:pPr>
              <w:widowControl/>
              <w:spacing w:beforeLines="0"/>
              <w:jc w:val="left"/>
              <w:rPr>
                <w:rFonts w:ascii="宋体" w:hAnsi="宋体" w:cs="宋体"/>
                <w:color w:val="auto"/>
                <w:kern w:val="0"/>
                <w:sz w:val="22"/>
                <w:szCs w:val="22"/>
                <w:highlight w:val="none"/>
              </w:rPr>
            </w:pPr>
          </w:p>
        </w:tc>
      </w:tr>
      <w:tr w14:paraId="30DB3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391F6FB6">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225</w:t>
            </w:r>
          </w:p>
        </w:tc>
        <w:tc>
          <w:tcPr>
            <w:tcW w:w="1745" w:type="dxa"/>
            <w:vMerge w:val="continue"/>
            <w:noWrap w:val="0"/>
            <w:vAlign w:val="center"/>
          </w:tcPr>
          <w:p w14:paraId="21BAB65C">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0B026693">
            <w:pPr>
              <w:widowControl/>
              <w:spacing w:beforeLines="0"/>
              <w:jc w:val="left"/>
              <w:rPr>
                <w:rFonts w:ascii="宋体" w:hAnsi="宋体" w:cs="宋体"/>
                <w:color w:val="auto"/>
                <w:kern w:val="0"/>
                <w:sz w:val="22"/>
                <w:szCs w:val="22"/>
                <w:highlight w:val="none"/>
              </w:rPr>
            </w:pPr>
          </w:p>
        </w:tc>
        <w:tc>
          <w:tcPr>
            <w:tcW w:w="2261" w:type="dxa"/>
            <w:noWrap w:val="0"/>
            <w:vAlign w:val="center"/>
          </w:tcPr>
          <w:p w14:paraId="6BD24804">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体检患者数量趋势变化</w:t>
            </w:r>
          </w:p>
        </w:tc>
        <w:tc>
          <w:tcPr>
            <w:tcW w:w="1134" w:type="dxa"/>
            <w:vMerge w:val="continue"/>
            <w:noWrap w:val="0"/>
            <w:vAlign w:val="center"/>
          </w:tcPr>
          <w:p w14:paraId="44645089">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6718EC35">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2499D75B">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2D4AA83E">
            <w:pPr>
              <w:widowControl/>
              <w:spacing w:beforeLines="0"/>
              <w:jc w:val="left"/>
              <w:rPr>
                <w:rFonts w:ascii="宋体" w:hAnsi="宋体" w:cs="宋体"/>
                <w:color w:val="auto"/>
                <w:kern w:val="0"/>
                <w:sz w:val="22"/>
                <w:szCs w:val="22"/>
                <w:highlight w:val="none"/>
              </w:rPr>
            </w:pPr>
          </w:p>
        </w:tc>
      </w:tr>
      <w:tr w14:paraId="02DA1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2F7765B7">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226</w:t>
            </w:r>
          </w:p>
        </w:tc>
        <w:tc>
          <w:tcPr>
            <w:tcW w:w="1745" w:type="dxa"/>
            <w:vMerge w:val="continue"/>
            <w:noWrap w:val="0"/>
            <w:vAlign w:val="center"/>
          </w:tcPr>
          <w:p w14:paraId="2A85146F">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38870AEA">
            <w:pPr>
              <w:widowControl/>
              <w:spacing w:beforeLines="0"/>
              <w:jc w:val="left"/>
              <w:rPr>
                <w:rFonts w:ascii="宋体" w:hAnsi="宋体" w:cs="宋体"/>
                <w:color w:val="auto"/>
                <w:kern w:val="0"/>
                <w:sz w:val="22"/>
                <w:szCs w:val="22"/>
                <w:highlight w:val="none"/>
              </w:rPr>
            </w:pPr>
          </w:p>
        </w:tc>
        <w:tc>
          <w:tcPr>
            <w:tcW w:w="2261" w:type="dxa"/>
            <w:noWrap w:val="0"/>
            <w:vAlign w:val="center"/>
          </w:tcPr>
          <w:p w14:paraId="580AE9BA">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体检报告多维度查询</w:t>
            </w:r>
          </w:p>
        </w:tc>
        <w:tc>
          <w:tcPr>
            <w:tcW w:w="1134" w:type="dxa"/>
            <w:vMerge w:val="continue"/>
            <w:noWrap w:val="0"/>
            <w:vAlign w:val="center"/>
          </w:tcPr>
          <w:p w14:paraId="374A9C5F">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07A53AFC">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5A6650B4">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573FE758">
            <w:pPr>
              <w:widowControl/>
              <w:spacing w:beforeLines="0"/>
              <w:jc w:val="left"/>
              <w:rPr>
                <w:rFonts w:ascii="宋体" w:hAnsi="宋体" w:cs="宋体"/>
                <w:color w:val="auto"/>
                <w:kern w:val="0"/>
                <w:sz w:val="22"/>
                <w:szCs w:val="22"/>
                <w:highlight w:val="none"/>
              </w:rPr>
            </w:pPr>
          </w:p>
        </w:tc>
      </w:tr>
      <w:tr w14:paraId="55ECD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25A2B6B8">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227</w:t>
            </w:r>
          </w:p>
        </w:tc>
        <w:tc>
          <w:tcPr>
            <w:tcW w:w="1745" w:type="dxa"/>
            <w:vMerge w:val="continue"/>
            <w:noWrap w:val="0"/>
            <w:vAlign w:val="center"/>
          </w:tcPr>
          <w:p w14:paraId="6310B85F">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32A49159">
            <w:pPr>
              <w:widowControl/>
              <w:spacing w:beforeLines="0"/>
              <w:jc w:val="left"/>
              <w:rPr>
                <w:rFonts w:ascii="宋体" w:hAnsi="宋体" w:cs="宋体"/>
                <w:color w:val="auto"/>
                <w:kern w:val="0"/>
                <w:sz w:val="22"/>
                <w:szCs w:val="22"/>
                <w:highlight w:val="none"/>
              </w:rPr>
            </w:pPr>
          </w:p>
        </w:tc>
        <w:tc>
          <w:tcPr>
            <w:tcW w:w="2261" w:type="dxa"/>
            <w:noWrap w:val="0"/>
            <w:vAlign w:val="center"/>
          </w:tcPr>
          <w:p w14:paraId="375049C1">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关键词搜索框</w:t>
            </w:r>
          </w:p>
        </w:tc>
        <w:tc>
          <w:tcPr>
            <w:tcW w:w="1134" w:type="dxa"/>
            <w:vMerge w:val="continue"/>
            <w:noWrap w:val="0"/>
            <w:vAlign w:val="center"/>
          </w:tcPr>
          <w:p w14:paraId="1BF90A7F">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3B2AED54">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59083CF0">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41F2C769">
            <w:pPr>
              <w:widowControl/>
              <w:spacing w:beforeLines="0"/>
              <w:jc w:val="left"/>
              <w:rPr>
                <w:rFonts w:ascii="宋体" w:hAnsi="宋体" w:cs="宋体"/>
                <w:color w:val="auto"/>
                <w:kern w:val="0"/>
                <w:sz w:val="22"/>
                <w:szCs w:val="22"/>
                <w:highlight w:val="none"/>
              </w:rPr>
            </w:pPr>
          </w:p>
        </w:tc>
      </w:tr>
      <w:tr w14:paraId="6CC09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087E103C">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228</w:t>
            </w:r>
          </w:p>
        </w:tc>
        <w:tc>
          <w:tcPr>
            <w:tcW w:w="1745" w:type="dxa"/>
            <w:vMerge w:val="continue"/>
            <w:noWrap w:val="0"/>
            <w:vAlign w:val="center"/>
          </w:tcPr>
          <w:p w14:paraId="0E7BECBC">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1B06B38C">
            <w:pPr>
              <w:widowControl/>
              <w:spacing w:beforeLines="0"/>
              <w:jc w:val="left"/>
              <w:rPr>
                <w:rFonts w:ascii="宋体" w:hAnsi="宋体" w:cs="宋体"/>
                <w:color w:val="auto"/>
                <w:kern w:val="0"/>
                <w:sz w:val="22"/>
                <w:szCs w:val="22"/>
                <w:highlight w:val="none"/>
              </w:rPr>
            </w:pPr>
          </w:p>
        </w:tc>
        <w:tc>
          <w:tcPr>
            <w:tcW w:w="2261" w:type="dxa"/>
            <w:noWrap w:val="0"/>
            <w:vAlign w:val="center"/>
          </w:tcPr>
          <w:p w14:paraId="703B804D">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关键词分词处理</w:t>
            </w:r>
          </w:p>
        </w:tc>
        <w:tc>
          <w:tcPr>
            <w:tcW w:w="1134" w:type="dxa"/>
            <w:vMerge w:val="continue"/>
            <w:noWrap w:val="0"/>
            <w:vAlign w:val="center"/>
          </w:tcPr>
          <w:p w14:paraId="5F886437">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0427A968">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4B60F31C">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5CF19F9B">
            <w:pPr>
              <w:widowControl/>
              <w:spacing w:beforeLines="0"/>
              <w:jc w:val="left"/>
              <w:rPr>
                <w:rFonts w:ascii="宋体" w:hAnsi="宋体" w:cs="宋体"/>
                <w:color w:val="auto"/>
                <w:kern w:val="0"/>
                <w:sz w:val="22"/>
                <w:szCs w:val="22"/>
                <w:highlight w:val="none"/>
              </w:rPr>
            </w:pPr>
          </w:p>
        </w:tc>
      </w:tr>
      <w:tr w14:paraId="46967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4F2F36DB">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229</w:t>
            </w:r>
          </w:p>
        </w:tc>
        <w:tc>
          <w:tcPr>
            <w:tcW w:w="1745" w:type="dxa"/>
            <w:vMerge w:val="continue"/>
            <w:noWrap w:val="0"/>
            <w:vAlign w:val="center"/>
          </w:tcPr>
          <w:p w14:paraId="7D0AAB5A">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355F7DEE">
            <w:pPr>
              <w:widowControl/>
              <w:spacing w:beforeLines="0"/>
              <w:jc w:val="left"/>
              <w:rPr>
                <w:rFonts w:ascii="宋体" w:hAnsi="宋体" w:cs="宋体"/>
                <w:color w:val="auto"/>
                <w:kern w:val="0"/>
                <w:sz w:val="22"/>
                <w:szCs w:val="22"/>
                <w:highlight w:val="none"/>
              </w:rPr>
            </w:pPr>
          </w:p>
        </w:tc>
        <w:tc>
          <w:tcPr>
            <w:tcW w:w="2261" w:type="dxa"/>
            <w:noWrap w:val="0"/>
            <w:vAlign w:val="center"/>
          </w:tcPr>
          <w:p w14:paraId="328E16F3">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关键词搜索结果排序</w:t>
            </w:r>
          </w:p>
        </w:tc>
        <w:tc>
          <w:tcPr>
            <w:tcW w:w="1134" w:type="dxa"/>
            <w:vMerge w:val="continue"/>
            <w:noWrap w:val="0"/>
            <w:vAlign w:val="center"/>
          </w:tcPr>
          <w:p w14:paraId="5F6E907C">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3FDFBE0C">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2294B3B2">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7E346270">
            <w:pPr>
              <w:widowControl/>
              <w:spacing w:beforeLines="0"/>
              <w:jc w:val="left"/>
              <w:rPr>
                <w:rFonts w:ascii="宋体" w:hAnsi="宋体" w:cs="宋体"/>
                <w:color w:val="auto"/>
                <w:kern w:val="0"/>
                <w:sz w:val="22"/>
                <w:szCs w:val="22"/>
                <w:highlight w:val="none"/>
              </w:rPr>
            </w:pPr>
          </w:p>
        </w:tc>
      </w:tr>
      <w:tr w14:paraId="26919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3E920428">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230</w:t>
            </w:r>
          </w:p>
        </w:tc>
        <w:tc>
          <w:tcPr>
            <w:tcW w:w="1745" w:type="dxa"/>
            <w:vMerge w:val="continue"/>
            <w:noWrap w:val="0"/>
            <w:vAlign w:val="center"/>
          </w:tcPr>
          <w:p w14:paraId="160F2DA8">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07120EE4">
            <w:pPr>
              <w:widowControl/>
              <w:spacing w:beforeLines="0"/>
              <w:jc w:val="left"/>
              <w:rPr>
                <w:rFonts w:ascii="宋体" w:hAnsi="宋体" w:cs="宋体"/>
                <w:color w:val="auto"/>
                <w:kern w:val="0"/>
                <w:sz w:val="22"/>
                <w:szCs w:val="22"/>
                <w:highlight w:val="none"/>
              </w:rPr>
            </w:pPr>
          </w:p>
        </w:tc>
        <w:tc>
          <w:tcPr>
            <w:tcW w:w="2261" w:type="dxa"/>
            <w:noWrap w:val="0"/>
            <w:vAlign w:val="center"/>
          </w:tcPr>
          <w:p w14:paraId="574546A6">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关键词搜索结果分页</w:t>
            </w:r>
          </w:p>
        </w:tc>
        <w:tc>
          <w:tcPr>
            <w:tcW w:w="1134" w:type="dxa"/>
            <w:vMerge w:val="continue"/>
            <w:noWrap w:val="0"/>
            <w:vAlign w:val="center"/>
          </w:tcPr>
          <w:p w14:paraId="00DA3B71">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60DEF5CC">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4B21FD1A">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5A01AFCF">
            <w:pPr>
              <w:widowControl/>
              <w:spacing w:beforeLines="0"/>
              <w:jc w:val="left"/>
              <w:rPr>
                <w:rFonts w:ascii="宋体" w:hAnsi="宋体" w:cs="宋体"/>
                <w:color w:val="auto"/>
                <w:kern w:val="0"/>
                <w:sz w:val="22"/>
                <w:szCs w:val="22"/>
                <w:highlight w:val="none"/>
              </w:rPr>
            </w:pPr>
          </w:p>
        </w:tc>
      </w:tr>
      <w:tr w14:paraId="216DA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6F7C8E98">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231</w:t>
            </w:r>
          </w:p>
        </w:tc>
        <w:tc>
          <w:tcPr>
            <w:tcW w:w="1745" w:type="dxa"/>
            <w:vMerge w:val="continue"/>
            <w:noWrap w:val="0"/>
            <w:vAlign w:val="center"/>
          </w:tcPr>
          <w:p w14:paraId="626A4F1F">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3A4F69F9">
            <w:pPr>
              <w:widowControl/>
              <w:spacing w:beforeLines="0"/>
              <w:jc w:val="left"/>
              <w:rPr>
                <w:rFonts w:ascii="宋体" w:hAnsi="宋体" w:cs="宋体"/>
                <w:color w:val="auto"/>
                <w:kern w:val="0"/>
                <w:sz w:val="22"/>
                <w:szCs w:val="22"/>
                <w:highlight w:val="none"/>
              </w:rPr>
            </w:pPr>
          </w:p>
        </w:tc>
        <w:tc>
          <w:tcPr>
            <w:tcW w:w="2261" w:type="dxa"/>
            <w:noWrap w:val="0"/>
            <w:vAlign w:val="center"/>
          </w:tcPr>
          <w:p w14:paraId="42A193A0">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体检报告查看</w:t>
            </w:r>
          </w:p>
        </w:tc>
        <w:tc>
          <w:tcPr>
            <w:tcW w:w="1134" w:type="dxa"/>
            <w:vMerge w:val="continue"/>
            <w:noWrap w:val="0"/>
            <w:vAlign w:val="center"/>
          </w:tcPr>
          <w:p w14:paraId="5F3E6973">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17E35F8A">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5D2C09F7">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61923016">
            <w:pPr>
              <w:widowControl/>
              <w:spacing w:beforeLines="0"/>
              <w:jc w:val="left"/>
              <w:rPr>
                <w:rFonts w:ascii="宋体" w:hAnsi="宋体" w:cs="宋体"/>
                <w:color w:val="auto"/>
                <w:kern w:val="0"/>
                <w:sz w:val="22"/>
                <w:szCs w:val="22"/>
                <w:highlight w:val="none"/>
              </w:rPr>
            </w:pPr>
          </w:p>
        </w:tc>
      </w:tr>
      <w:tr w14:paraId="25E99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06" w:type="dxa"/>
            <w:noWrap/>
            <w:vAlign w:val="center"/>
          </w:tcPr>
          <w:p w14:paraId="23227B00">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232</w:t>
            </w:r>
          </w:p>
        </w:tc>
        <w:tc>
          <w:tcPr>
            <w:tcW w:w="1745" w:type="dxa"/>
            <w:vMerge w:val="continue"/>
            <w:noWrap w:val="0"/>
            <w:vAlign w:val="center"/>
          </w:tcPr>
          <w:p w14:paraId="2B5EDBA4">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780C4ABF">
            <w:pPr>
              <w:widowControl/>
              <w:spacing w:beforeLines="0"/>
              <w:jc w:val="left"/>
              <w:rPr>
                <w:rFonts w:ascii="宋体" w:hAnsi="宋体" w:cs="宋体"/>
                <w:color w:val="auto"/>
                <w:kern w:val="0"/>
                <w:sz w:val="22"/>
                <w:szCs w:val="22"/>
                <w:highlight w:val="none"/>
              </w:rPr>
            </w:pPr>
          </w:p>
        </w:tc>
        <w:tc>
          <w:tcPr>
            <w:tcW w:w="2261" w:type="dxa"/>
            <w:noWrap w:val="0"/>
            <w:vAlign w:val="center"/>
          </w:tcPr>
          <w:p w14:paraId="435B2F62">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体检报告全生命周期展示</w:t>
            </w:r>
          </w:p>
        </w:tc>
        <w:tc>
          <w:tcPr>
            <w:tcW w:w="1134" w:type="dxa"/>
            <w:vMerge w:val="continue"/>
            <w:noWrap w:val="0"/>
            <w:vAlign w:val="center"/>
          </w:tcPr>
          <w:p w14:paraId="2E536405">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19F990D1">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1E1B4E08">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62293335">
            <w:pPr>
              <w:widowControl/>
              <w:spacing w:beforeLines="0"/>
              <w:jc w:val="left"/>
              <w:rPr>
                <w:rFonts w:ascii="宋体" w:hAnsi="宋体" w:cs="宋体"/>
                <w:color w:val="auto"/>
                <w:kern w:val="0"/>
                <w:sz w:val="22"/>
                <w:szCs w:val="22"/>
                <w:highlight w:val="none"/>
              </w:rPr>
            </w:pPr>
          </w:p>
        </w:tc>
      </w:tr>
      <w:tr w14:paraId="41278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6B77EC88">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233</w:t>
            </w:r>
          </w:p>
        </w:tc>
        <w:tc>
          <w:tcPr>
            <w:tcW w:w="1745" w:type="dxa"/>
            <w:vMerge w:val="continue"/>
            <w:noWrap w:val="0"/>
            <w:vAlign w:val="center"/>
          </w:tcPr>
          <w:p w14:paraId="3E520526">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7D9E78B9">
            <w:pPr>
              <w:widowControl/>
              <w:spacing w:beforeLines="0"/>
              <w:jc w:val="left"/>
              <w:rPr>
                <w:rFonts w:ascii="宋体" w:hAnsi="宋体" w:cs="宋体"/>
                <w:color w:val="auto"/>
                <w:kern w:val="0"/>
                <w:sz w:val="22"/>
                <w:szCs w:val="22"/>
                <w:highlight w:val="none"/>
              </w:rPr>
            </w:pPr>
          </w:p>
        </w:tc>
        <w:tc>
          <w:tcPr>
            <w:tcW w:w="2261" w:type="dxa"/>
            <w:noWrap w:val="0"/>
            <w:vAlign w:val="center"/>
          </w:tcPr>
          <w:p w14:paraId="6C657AAC">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应覆盖机构数量统计</w:t>
            </w:r>
          </w:p>
        </w:tc>
        <w:tc>
          <w:tcPr>
            <w:tcW w:w="1134" w:type="dxa"/>
            <w:vMerge w:val="continue"/>
            <w:noWrap w:val="0"/>
            <w:vAlign w:val="center"/>
          </w:tcPr>
          <w:p w14:paraId="29339AA8">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6279C201">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6CB330A9">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11460760">
            <w:pPr>
              <w:widowControl/>
              <w:spacing w:beforeLines="0"/>
              <w:jc w:val="left"/>
              <w:rPr>
                <w:rFonts w:ascii="宋体" w:hAnsi="宋体" w:cs="宋体"/>
                <w:color w:val="auto"/>
                <w:kern w:val="0"/>
                <w:sz w:val="22"/>
                <w:szCs w:val="22"/>
                <w:highlight w:val="none"/>
              </w:rPr>
            </w:pPr>
          </w:p>
        </w:tc>
      </w:tr>
      <w:tr w14:paraId="62320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43E0D2E8">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234</w:t>
            </w:r>
          </w:p>
        </w:tc>
        <w:tc>
          <w:tcPr>
            <w:tcW w:w="1745" w:type="dxa"/>
            <w:vMerge w:val="continue"/>
            <w:noWrap w:val="0"/>
            <w:vAlign w:val="center"/>
          </w:tcPr>
          <w:p w14:paraId="2D8A50AF">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2DCC6D7D">
            <w:pPr>
              <w:widowControl/>
              <w:spacing w:beforeLines="0"/>
              <w:jc w:val="left"/>
              <w:rPr>
                <w:rFonts w:ascii="宋体" w:hAnsi="宋体" w:cs="宋体"/>
                <w:color w:val="auto"/>
                <w:kern w:val="0"/>
                <w:sz w:val="22"/>
                <w:szCs w:val="22"/>
                <w:highlight w:val="none"/>
              </w:rPr>
            </w:pPr>
          </w:p>
        </w:tc>
        <w:tc>
          <w:tcPr>
            <w:tcW w:w="2261" w:type="dxa"/>
            <w:noWrap w:val="0"/>
            <w:vAlign w:val="center"/>
          </w:tcPr>
          <w:p w14:paraId="1A99768F">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实际覆盖情况统计</w:t>
            </w:r>
          </w:p>
        </w:tc>
        <w:tc>
          <w:tcPr>
            <w:tcW w:w="1134" w:type="dxa"/>
            <w:vMerge w:val="continue"/>
            <w:noWrap w:val="0"/>
            <w:vAlign w:val="center"/>
          </w:tcPr>
          <w:p w14:paraId="4BC9F2E8">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2999DCCA">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3E8F3F38">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4EFDAB60">
            <w:pPr>
              <w:widowControl/>
              <w:spacing w:beforeLines="0"/>
              <w:jc w:val="left"/>
              <w:rPr>
                <w:rFonts w:ascii="宋体" w:hAnsi="宋体" w:cs="宋体"/>
                <w:color w:val="auto"/>
                <w:kern w:val="0"/>
                <w:sz w:val="22"/>
                <w:szCs w:val="22"/>
                <w:highlight w:val="none"/>
              </w:rPr>
            </w:pPr>
          </w:p>
        </w:tc>
      </w:tr>
      <w:tr w14:paraId="72A60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2D066D8C">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235</w:t>
            </w:r>
          </w:p>
        </w:tc>
        <w:tc>
          <w:tcPr>
            <w:tcW w:w="1745" w:type="dxa"/>
            <w:vMerge w:val="continue"/>
            <w:noWrap w:val="0"/>
            <w:vAlign w:val="center"/>
          </w:tcPr>
          <w:p w14:paraId="45B502C4">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5FF06458">
            <w:pPr>
              <w:widowControl/>
              <w:spacing w:beforeLines="0"/>
              <w:jc w:val="left"/>
              <w:rPr>
                <w:rFonts w:ascii="宋体" w:hAnsi="宋体" w:cs="宋体"/>
                <w:color w:val="auto"/>
                <w:kern w:val="0"/>
                <w:sz w:val="22"/>
                <w:szCs w:val="22"/>
                <w:highlight w:val="none"/>
              </w:rPr>
            </w:pPr>
          </w:p>
        </w:tc>
        <w:tc>
          <w:tcPr>
            <w:tcW w:w="2261" w:type="dxa"/>
            <w:noWrap w:val="0"/>
            <w:vAlign w:val="center"/>
          </w:tcPr>
          <w:p w14:paraId="2C33A860">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监测覆盖度统计</w:t>
            </w:r>
          </w:p>
        </w:tc>
        <w:tc>
          <w:tcPr>
            <w:tcW w:w="1134" w:type="dxa"/>
            <w:vMerge w:val="continue"/>
            <w:noWrap w:val="0"/>
            <w:vAlign w:val="center"/>
          </w:tcPr>
          <w:p w14:paraId="3802DC0C">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6D05D655">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11E794CE">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128A162C">
            <w:pPr>
              <w:widowControl/>
              <w:spacing w:beforeLines="0"/>
              <w:jc w:val="left"/>
              <w:rPr>
                <w:rFonts w:ascii="宋体" w:hAnsi="宋体" w:cs="宋体"/>
                <w:color w:val="auto"/>
                <w:kern w:val="0"/>
                <w:sz w:val="22"/>
                <w:szCs w:val="22"/>
                <w:highlight w:val="none"/>
              </w:rPr>
            </w:pPr>
          </w:p>
        </w:tc>
      </w:tr>
      <w:tr w14:paraId="21603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3D780E61">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236</w:t>
            </w:r>
          </w:p>
        </w:tc>
        <w:tc>
          <w:tcPr>
            <w:tcW w:w="1745" w:type="dxa"/>
            <w:vMerge w:val="continue"/>
            <w:noWrap w:val="0"/>
            <w:vAlign w:val="center"/>
          </w:tcPr>
          <w:p w14:paraId="0AD1104D">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68C1F713">
            <w:pPr>
              <w:widowControl/>
              <w:spacing w:beforeLines="0"/>
              <w:jc w:val="left"/>
              <w:rPr>
                <w:rFonts w:ascii="宋体" w:hAnsi="宋体" w:cs="宋体"/>
                <w:color w:val="auto"/>
                <w:kern w:val="0"/>
                <w:sz w:val="22"/>
                <w:szCs w:val="22"/>
                <w:highlight w:val="none"/>
              </w:rPr>
            </w:pPr>
          </w:p>
        </w:tc>
        <w:tc>
          <w:tcPr>
            <w:tcW w:w="2261" w:type="dxa"/>
            <w:noWrap w:val="0"/>
            <w:vAlign w:val="center"/>
          </w:tcPr>
          <w:p w14:paraId="63CA5204">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各区域监测覆盖度排行</w:t>
            </w:r>
          </w:p>
        </w:tc>
        <w:tc>
          <w:tcPr>
            <w:tcW w:w="1134" w:type="dxa"/>
            <w:vMerge w:val="continue"/>
            <w:noWrap w:val="0"/>
            <w:vAlign w:val="center"/>
          </w:tcPr>
          <w:p w14:paraId="213DD535">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70EA948A">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01A47896">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77AD3CCD">
            <w:pPr>
              <w:widowControl/>
              <w:spacing w:beforeLines="0"/>
              <w:jc w:val="left"/>
              <w:rPr>
                <w:rFonts w:ascii="宋体" w:hAnsi="宋体" w:cs="宋体"/>
                <w:color w:val="auto"/>
                <w:kern w:val="0"/>
                <w:sz w:val="22"/>
                <w:szCs w:val="22"/>
                <w:highlight w:val="none"/>
              </w:rPr>
            </w:pPr>
          </w:p>
        </w:tc>
      </w:tr>
      <w:tr w14:paraId="6B4D4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06ABA1E7">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237</w:t>
            </w:r>
          </w:p>
        </w:tc>
        <w:tc>
          <w:tcPr>
            <w:tcW w:w="1745" w:type="dxa"/>
            <w:vMerge w:val="continue"/>
            <w:noWrap w:val="0"/>
            <w:vAlign w:val="center"/>
          </w:tcPr>
          <w:p w14:paraId="573C87BE">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5841672D">
            <w:pPr>
              <w:widowControl/>
              <w:spacing w:beforeLines="0"/>
              <w:jc w:val="left"/>
              <w:rPr>
                <w:rFonts w:ascii="宋体" w:hAnsi="宋体" w:cs="宋体"/>
                <w:color w:val="auto"/>
                <w:kern w:val="0"/>
                <w:sz w:val="22"/>
                <w:szCs w:val="22"/>
                <w:highlight w:val="none"/>
              </w:rPr>
            </w:pPr>
          </w:p>
        </w:tc>
        <w:tc>
          <w:tcPr>
            <w:tcW w:w="2261" w:type="dxa"/>
            <w:noWrap w:val="0"/>
            <w:vAlign w:val="center"/>
          </w:tcPr>
          <w:p w14:paraId="775B2DBF">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各区域监测覆盖度明细</w:t>
            </w:r>
          </w:p>
        </w:tc>
        <w:tc>
          <w:tcPr>
            <w:tcW w:w="1134" w:type="dxa"/>
            <w:vMerge w:val="continue"/>
            <w:noWrap w:val="0"/>
            <w:vAlign w:val="center"/>
          </w:tcPr>
          <w:p w14:paraId="2E6D36E3">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7D55391F">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64C623B8">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546C5F9B">
            <w:pPr>
              <w:widowControl/>
              <w:spacing w:beforeLines="0"/>
              <w:jc w:val="left"/>
              <w:rPr>
                <w:rFonts w:ascii="宋体" w:hAnsi="宋体" w:cs="宋体"/>
                <w:color w:val="auto"/>
                <w:kern w:val="0"/>
                <w:sz w:val="22"/>
                <w:szCs w:val="22"/>
                <w:highlight w:val="none"/>
              </w:rPr>
            </w:pPr>
          </w:p>
        </w:tc>
      </w:tr>
      <w:tr w14:paraId="731BD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44DD985E">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238</w:t>
            </w:r>
          </w:p>
        </w:tc>
        <w:tc>
          <w:tcPr>
            <w:tcW w:w="1745" w:type="dxa"/>
            <w:vMerge w:val="continue"/>
            <w:noWrap w:val="0"/>
            <w:vAlign w:val="center"/>
          </w:tcPr>
          <w:p w14:paraId="4B5DEA35">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50EBB121">
            <w:pPr>
              <w:widowControl/>
              <w:spacing w:beforeLines="0"/>
              <w:jc w:val="left"/>
              <w:rPr>
                <w:rFonts w:ascii="宋体" w:hAnsi="宋体" w:cs="宋体"/>
                <w:color w:val="auto"/>
                <w:kern w:val="0"/>
                <w:sz w:val="22"/>
                <w:szCs w:val="22"/>
                <w:highlight w:val="none"/>
              </w:rPr>
            </w:pPr>
          </w:p>
        </w:tc>
        <w:tc>
          <w:tcPr>
            <w:tcW w:w="2261" w:type="dxa"/>
            <w:noWrap w:val="0"/>
            <w:vAlign w:val="center"/>
          </w:tcPr>
          <w:p w14:paraId="63D804DB">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机构上报排位分析</w:t>
            </w:r>
          </w:p>
        </w:tc>
        <w:tc>
          <w:tcPr>
            <w:tcW w:w="1134" w:type="dxa"/>
            <w:vMerge w:val="continue"/>
            <w:noWrap w:val="0"/>
            <w:vAlign w:val="center"/>
          </w:tcPr>
          <w:p w14:paraId="51739C9F">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56B2CA9A">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27299D96">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090A0A71">
            <w:pPr>
              <w:widowControl/>
              <w:spacing w:beforeLines="0"/>
              <w:jc w:val="left"/>
              <w:rPr>
                <w:rFonts w:ascii="宋体" w:hAnsi="宋体" w:cs="宋体"/>
                <w:color w:val="auto"/>
                <w:kern w:val="0"/>
                <w:sz w:val="22"/>
                <w:szCs w:val="22"/>
                <w:highlight w:val="none"/>
              </w:rPr>
            </w:pPr>
          </w:p>
        </w:tc>
      </w:tr>
      <w:tr w14:paraId="77843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3D9F7EFB">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239</w:t>
            </w:r>
          </w:p>
        </w:tc>
        <w:tc>
          <w:tcPr>
            <w:tcW w:w="1745" w:type="dxa"/>
            <w:vMerge w:val="continue"/>
            <w:noWrap w:val="0"/>
            <w:vAlign w:val="center"/>
          </w:tcPr>
          <w:p w14:paraId="7D86AAD6">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2B1C05E4">
            <w:pPr>
              <w:widowControl/>
              <w:spacing w:beforeLines="0"/>
              <w:jc w:val="left"/>
              <w:rPr>
                <w:rFonts w:ascii="宋体" w:hAnsi="宋体" w:cs="宋体"/>
                <w:color w:val="auto"/>
                <w:kern w:val="0"/>
                <w:sz w:val="22"/>
                <w:szCs w:val="22"/>
                <w:highlight w:val="none"/>
              </w:rPr>
            </w:pPr>
          </w:p>
        </w:tc>
        <w:tc>
          <w:tcPr>
            <w:tcW w:w="2261" w:type="dxa"/>
            <w:noWrap w:val="0"/>
            <w:vAlign w:val="center"/>
          </w:tcPr>
          <w:p w14:paraId="35C4CD48">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机构分类排位分析</w:t>
            </w:r>
          </w:p>
        </w:tc>
        <w:tc>
          <w:tcPr>
            <w:tcW w:w="1134" w:type="dxa"/>
            <w:vMerge w:val="continue"/>
            <w:noWrap w:val="0"/>
            <w:vAlign w:val="center"/>
          </w:tcPr>
          <w:p w14:paraId="6588896D">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07179AC8">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6B64475B">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41193084">
            <w:pPr>
              <w:widowControl/>
              <w:spacing w:beforeLines="0"/>
              <w:jc w:val="left"/>
              <w:rPr>
                <w:rFonts w:ascii="宋体" w:hAnsi="宋体" w:cs="宋体"/>
                <w:color w:val="auto"/>
                <w:kern w:val="0"/>
                <w:sz w:val="22"/>
                <w:szCs w:val="22"/>
                <w:highlight w:val="none"/>
              </w:rPr>
            </w:pPr>
          </w:p>
        </w:tc>
      </w:tr>
      <w:tr w14:paraId="1083E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1D44E30C">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240</w:t>
            </w:r>
          </w:p>
        </w:tc>
        <w:tc>
          <w:tcPr>
            <w:tcW w:w="1745" w:type="dxa"/>
            <w:vMerge w:val="continue"/>
            <w:noWrap w:val="0"/>
            <w:vAlign w:val="center"/>
          </w:tcPr>
          <w:p w14:paraId="70CE7A2D">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7D5BCF8B">
            <w:pPr>
              <w:widowControl/>
              <w:spacing w:beforeLines="0"/>
              <w:jc w:val="left"/>
              <w:rPr>
                <w:rFonts w:ascii="宋体" w:hAnsi="宋体" w:cs="宋体"/>
                <w:color w:val="auto"/>
                <w:kern w:val="0"/>
                <w:sz w:val="22"/>
                <w:szCs w:val="22"/>
                <w:highlight w:val="none"/>
              </w:rPr>
            </w:pPr>
          </w:p>
        </w:tc>
        <w:tc>
          <w:tcPr>
            <w:tcW w:w="2261" w:type="dxa"/>
            <w:noWrap w:val="0"/>
            <w:vAlign w:val="center"/>
          </w:tcPr>
          <w:p w14:paraId="74480D63">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体检总数统计</w:t>
            </w:r>
          </w:p>
        </w:tc>
        <w:tc>
          <w:tcPr>
            <w:tcW w:w="1134" w:type="dxa"/>
            <w:vMerge w:val="continue"/>
            <w:noWrap w:val="0"/>
            <w:vAlign w:val="center"/>
          </w:tcPr>
          <w:p w14:paraId="7E9B6E7A">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5635EA9F">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2D908227">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1D7BBA9E">
            <w:pPr>
              <w:widowControl/>
              <w:spacing w:beforeLines="0"/>
              <w:jc w:val="left"/>
              <w:rPr>
                <w:rFonts w:ascii="宋体" w:hAnsi="宋体" w:cs="宋体"/>
                <w:color w:val="auto"/>
                <w:kern w:val="0"/>
                <w:sz w:val="22"/>
                <w:szCs w:val="22"/>
                <w:highlight w:val="none"/>
              </w:rPr>
            </w:pPr>
          </w:p>
        </w:tc>
      </w:tr>
      <w:tr w14:paraId="3D6CC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32A15C5F">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241</w:t>
            </w:r>
          </w:p>
        </w:tc>
        <w:tc>
          <w:tcPr>
            <w:tcW w:w="1745" w:type="dxa"/>
            <w:vMerge w:val="continue"/>
            <w:noWrap w:val="0"/>
            <w:vAlign w:val="center"/>
          </w:tcPr>
          <w:p w14:paraId="1061BCB4">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627C6C4D">
            <w:pPr>
              <w:widowControl/>
              <w:spacing w:beforeLines="0"/>
              <w:jc w:val="left"/>
              <w:rPr>
                <w:rFonts w:ascii="宋体" w:hAnsi="宋体" w:cs="宋体"/>
                <w:color w:val="auto"/>
                <w:kern w:val="0"/>
                <w:sz w:val="22"/>
                <w:szCs w:val="22"/>
                <w:highlight w:val="none"/>
              </w:rPr>
            </w:pPr>
          </w:p>
        </w:tc>
        <w:tc>
          <w:tcPr>
            <w:tcW w:w="2261" w:type="dxa"/>
            <w:noWrap w:val="0"/>
            <w:vAlign w:val="center"/>
          </w:tcPr>
          <w:p w14:paraId="2F00A019">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体检趋势情况分析</w:t>
            </w:r>
          </w:p>
        </w:tc>
        <w:tc>
          <w:tcPr>
            <w:tcW w:w="1134" w:type="dxa"/>
            <w:vMerge w:val="continue"/>
            <w:noWrap w:val="0"/>
            <w:vAlign w:val="center"/>
          </w:tcPr>
          <w:p w14:paraId="0293C40B">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2B92C8EB">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36AF2E57">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401BAC22">
            <w:pPr>
              <w:widowControl/>
              <w:spacing w:beforeLines="0"/>
              <w:jc w:val="left"/>
              <w:rPr>
                <w:rFonts w:ascii="宋体" w:hAnsi="宋体" w:cs="宋体"/>
                <w:color w:val="auto"/>
                <w:kern w:val="0"/>
                <w:sz w:val="22"/>
                <w:szCs w:val="22"/>
                <w:highlight w:val="none"/>
              </w:rPr>
            </w:pPr>
          </w:p>
        </w:tc>
      </w:tr>
      <w:tr w14:paraId="5D25F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58C6EFE1">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242</w:t>
            </w:r>
          </w:p>
        </w:tc>
        <w:tc>
          <w:tcPr>
            <w:tcW w:w="1745" w:type="dxa"/>
            <w:vMerge w:val="continue"/>
            <w:noWrap w:val="0"/>
            <w:vAlign w:val="center"/>
          </w:tcPr>
          <w:p w14:paraId="3C563948">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5623CA28">
            <w:pPr>
              <w:widowControl/>
              <w:spacing w:beforeLines="0"/>
              <w:jc w:val="left"/>
              <w:rPr>
                <w:rFonts w:ascii="宋体" w:hAnsi="宋体" w:cs="宋体"/>
                <w:color w:val="auto"/>
                <w:kern w:val="0"/>
                <w:sz w:val="22"/>
                <w:szCs w:val="22"/>
                <w:highlight w:val="none"/>
              </w:rPr>
            </w:pPr>
          </w:p>
        </w:tc>
        <w:tc>
          <w:tcPr>
            <w:tcW w:w="2261" w:type="dxa"/>
            <w:noWrap w:val="0"/>
            <w:vAlign w:val="center"/>
          </w:tcPr>
          <w:p w14:paraId="2AD8420F">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机构业务量分析</w:t>
            </w:r>
          </w:p>
        </w:tc>
        <w:tc>
          <w:tcPr>
            <w:tcW w:w="1134" w:type="dxa"/>
            <w:vMerge w:val="continue"/>
            <w:noWrap w:val="0"/>
            <w:vAlign w:val="center"/>
          </w:tcPr>
          <w:p w14:paraId="27A7E80B">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2A17CF4F">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2CE47831">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65E9706F">
            <w:pPr>
              <w:widowControl/>
              <w:spacing w:beforeLines="0"/>
              <w:jc w:val="left"/>
              <w:rPr>
                <w:rFonts w:ascii="宋体" w:hAnsi="宋体" w:cs="宋体"/>
                <w:color w:val="auto"/>
                <w:kern w:val="0"/>
                <w:sz w:val="22"/>
                <w:szCs w:val="22"/>
                <w:highlight w:val="none"/>
              </w:rPr>
            </w:pPr>
          </w:p>
        </w:tc>
      </w:tr>
      <w:tr w14:paraId="14BE3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324B89B5">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243</w:t>
            </w:r>
          </w:p>
        </w:tc>
        <w:tc>
          <w:tcPr>
            <w:tcW w:w="1745" w:type="dxa"/>
            <w:vMerge w:val="continue"/>
            <w:noWrap w:val="0"/>
            <w:vAlign w:val="center"/>
          </w:tcPr>
          <w:p w14:paraId="6BD43209">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34AF37E3">
            <w:pPr>
              <w:widowControl/>
              <w:spacing w:beforeLines="0"/>
              <w:jc w:val="left"/>
              <w:rPr>
                <w:rFonts w:ascii="宋体" w:hAnsi="宋体" w:cs="宋体"/>
                <w:color w:val="auto"/>
                <w:kern w:val="0"/>
                <w:sz w:val="22"/>
                <w:szCs w:val="22"/>
                <w:highlight w:val="none"/>
              </w:rPr>
            </w:pPr>
          </w:p>
        </w:tc>
        <w:tc>
          <w:tcPr>
            <w:tcW w:w="2261" w:type="dxa"/>
            <w:noWrap w:val="0"/>
            <w:vAlign w:val="center"/>
          </w:tcPr>
          <w:p w14:paraId="5D3F9367">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机构TOP5分析</w:t>
            </w:r>
          </w:p>
        </w:tc>
        <w:tc>
          <w:tcPr>
            <w:tcW w:w="1134" w:type="dxa"/>
            <w:vMerge w:val="continue"/>
            <w:noWrap w:val="0"/>
            <w:vAlign w:val="center"/>
          </w:tcPr>
          <w:p w14:paraId="6281AAEC">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0795F24F">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6802634A">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04755D37">
            <w:pPr>
              <w:widowControl/>
              <w:spacing w:beforeLines="0"/>
              <w:jc w:val="left"/>
              <w:rPr>
                <w:rFonts w:ascii="宋体" w:hAnsi="宋体" w:cs="宋体"/>
                <w:color w:val="auto"/>
                <w:kern w:val="0"/>
                <w:sz w:val="22"/>
                <w:szCs w:val="22"/>
                <w:highlight w:val="none"/>
              </w:rPr>
            </w:pPr>
          </w:p>
        </w:tc>
      </w:tr>
      <w:tr w14:paraId="43FC2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06" w:type="dxa"/>
            <w:noWrap/>
            <w:vAlign w:val="center"/>
          </w:tcPr>
          <w:p w14:paraId="433717B8">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244</w:t>
            </w:r>
          </w:p>
        </w:tc>
        <w:tc>
          <w:tcPr>
            <w:tcW w:w="1745" w:type="dxa"/>
            <w:vMerge w:val="continue"/>
            <w:noWrap w:val="0"/>
            <w:vAlign w:val="center"/>
          </w:tcPr>
          <w:p w14:paraId="71975658">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324FFF57">
            <w:pPr>
              <w:widowControl/>
              <w:spacing w:beforeLines="0"/>
              <w:jc w:val="left"/>
              <w:rPr>
                <w:rFonts w:ascii="宋体" w:hAnsi="宋体" w:cs="宋体"/>
                <w:color w:val="auto"/>
                <w:kern w:val="0"/>
                <w:sz w:val="22"/>
                <w:szCs w:val="22"/>
                <w:highlight w:val="none"/>
              </w:rPr>
            </w:pPr>
          </w:p>
        </w:tc>
        <w:tc>
          <w:tcPr>
            <w:tcW w:w="2261" w:type="dxa"/>
            <w:noWrap w:val="0"/>
            <w:vAlign w:val="center"/>
          </w:tcPr>
          <w:p w14:paraId="2143E3AD">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体检病例年龄占比及分析</w:t>
            </w:r>
          </w:p>
        </w:tc>
        <w:tc>
          <w:tcPr>
            <w:tcW w:w="1134" w:type="dxa"/>
            <w:vMerge w:val="continue"/>
            <w:noWrap w:val="0"/>
            <w:vAlign w:val="center"/>
          </w:tcPr>
          <w:p w14:paraId="723F7B91">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21954807">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32BE2FCE">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0F1E0250">
            <w:pPr>
              <w:widowControl/>
              <w:spacing w:beforeLines="0"/>
              <w:jc w:val="left"/>
              <w:rPr>
                <w:rFonts w:ascii="宋体" w:hAnsi="宋体" w:cs="宋体"/>
                <w:color w:val="auto"/>
                <w:kern w:val="0"/>
                <w:sz w:val="22"/>
                <w:szCs w:val="22"/>
                <w:highlight w:val="none"/>
              </w:rPr>
            </w:pPr>
          </w:p>
        </w:tc>
      </w:tr>
      <w:tr w14:paraId="3C532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06" w:type="dxa"/>
            <w:noWrap/>
            <w:vAlign w:val="center"/>
          </w:tcPr>
          <w:p w14:paraId="305C2882">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245</w:t>
            </w:r>
          </w:p>
        </w:tc>
        <w:tc>
          <w:tcPr>
            <w:tcW w:w="1745" w:type="dxa"/>
            <w:vMerge w:val="continue"/>
            <w:noWrap w:val="0"/>
            <w:vAlign w:val="center"/>
          </w:tcPr>
          <w:p w14:paraId="22680642">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1EE9C781">
            <w:pPr>
              <w:widowControl/>
              <w:spacing w:beforeLines="0"/>
              <w:jc w:val="left"/>
              <w:rPr>
                <w:rFonts w:ascii="宋体" w:hAnsi="宋体" w:cs="宋体"/>
                <w:color w:val="auto"/>
                <w:kern w:val="0"/>
                <w:sz w:val="22"/>
                <w:szCs w:val="22"/>
                <w:highlight w:val="none"/>
              </w:rPr>
            </w:pPr>
          </w:p>
        </w:tc>
        <w:tc>
          <w:tcPr>
            <w:tcW w:w="2261" w:type="dxa"/>
            <w:noWrap w:val="0"/>
            <w:vAlign w:val="center"/>
          </w:tcPr>
          <w:p w14:paraId="1B3C6152">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体检病例性别占比及分析</w:t>
            </w:r>
          </w:p>
        </w:tc>
        <w:tc>
          <w:tcPr>
            <w:tcW w:w="1134" w:type="dxa"/>
            <w:vMerge w:val="continue"/>
            <w:noWrap w:val="0"/>
            <w:vAlign w:val="center"/>
          </w:tcPr>
          <w:p w14:paraId="70D602B5">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56E056B4">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0C89ED3E">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0B396B2D">
            <w:pPr>
              <w:widowControl/>
              <w:spacing w:beforeLines="0"/>
              <w:jc w:val="left"/>
              <w:rPr>
                <w:rFonts w:ascii="宋体" w:hAnsi="宋体" w:cs="宋体"/>
                <w:color w:val="auto"/>
                <w:kern w:val="0"/>
                <w:sz w:val="22"/>
                <w:szCs w:val="22"/>
                <w:highlight w:val="none"/>
              </w:rPr>
            </w:pPr>
          </w:p>
        </w:tc>
      </w:tr>
      <w:tr w14:paraId="15B3B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4C8193BF">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246</w:t>
            </w:r>
          </w:p>
        </w:tc>
        <w:tc>
          <w:tcPr>
            <w:tcW w:w="1745" w:type="dxa"/>
            <w:vMerge w:val="continue"/>
            <w:noWrap w:val="0"/>
            <w:vAlign w:val="center"/>
          </w:tcPr>
          <w:p w14:paraId="722ABF6C">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5BB1B1DC">
            <w:pPr>
              <w:widowControl/>
              <w:spacing w:beforeLines="0"/>
              <w:jc w:val="left"/>
              <w:rPr>
                <w:rFonts w:ascii="宋体" w:hAnsi="宋体" w:cs="宋体"/>
                <w:color w:val="auto"/>
                <w:kern w:val="0"/>
                <w:sz w:val="22"/>
                <w:szCs w:val="22"/>
                <w:highlight w:val="none"/>
              </w:rPr>
            </w:pPr>
          </w:p>
        </w:tc>
        <w:tc>
          <w:tcPr>
            <w:tcW w:w="2261" w:type="dxa"/>
            <w:noWrap w:val="0"/>
            <w:vAlign w:val="center"/>
          </w:tcPr>
          <w:p w14:paraId="615F43A5">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体检指标项阳性检出率</w:t>
            </w:r>
          </w:p>
        </w:tc>
        <w:tc>
          <w:tcPr>
            <w:tcW w:w="1134" w:type="dxa"/>
            <w:vMerge w:val="continue"/>
            <w:noWrap w:val="0"/>
            <w:vAlign w:val="center"/>
          </w:tcPr>
          <w:p w14:paraId="62370DBA">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32AD4A6C">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7CE541C6">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5B1E7681">
            <w:pPr>
              <w:widowControl/>
              <w:spacing w:beforeLines="0"/>
              <w:jc w:val="left"/>
              <w:rPr>
                <w:rFonts w:ascii="宋体" w:hAnsi="宋体" w:cs="宋体"/>
                <w:color w:val="auto"/>
                <w:kern w:val="0"/>
                <w:sz w:val="22"/>
                <w:szCs w:val="22"/>
                <w:highlight w:val="none"/>
              </w:rPr>
            </w:pPr>
          </w:p>
        </w:tc>
      </w:tr>
      <w:tr w14:paraId="118E9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06" w:type="dxa"/>
            <w:noWrap/>
            <w:vAlign w:val="center"/>
          </w:tcPr>
          <w:p w14:paraId="003C621D">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247</w:t>
            </w:r>
          </w:p>
        </w:tc>
        <w:tc>
          <w:tcPr>
            <w:tcW w:w="1745" w:type="dxa"/>
            <w:vMerge w:val="continue"/>
            <w:noWrap w:val="0"/>
            <w:vAlign w:val="center"/>
          </w:tcPr>
          <w:p w14:paraId="211FFB5C">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59854798">
            <w:pPr>
              <w:widowControl/>
              <w:spacing w:beforeLines="0"/>
              <w:jc w:val="left"/>
              <w:rPr>
                <w:rFonts w:ascii="宋体" w:hAnsi="宋体" w:cs="宋体"/>
                <w:color w:val="auto"/>
                <w:kern w:val="0"/>
                <w:sz w:val="22"/>
                <w:szCs w:val="22"/>
                <w:highlight w:val="none"/>
              </w:rPr>
            </w:pPr>
          </w:p>
        </w:tc>
        <w:tc>
          <w:tcPr>
            <w:tcW w:w="2261" w:type="dxa"/>
            <w:noWrap w:val="0"/>
            <w:vAlign w:val="center"/>
          </w:tcPr>
          <w:p w14:paraId="683EB11A">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体检病例肥胖人员占比及分析</w:t>
            </w:r>
          </w:p>
        </w:tc>
        <w:tc>
          <w:tcPr>
            <w:tcW w:w="1134" w:type="dxa"/>
            <w:vMerge w:val="continue"/>
            <w:noWrap w:val="0"/>
            <w:vAlign w:val="center"/>
          </w:tcPr>
          <w:p w14:paraId="2FCC7617">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4E218E9A">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025E4349">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4A326DB9">
            <w:pPr>
              <w:widowControl/>
              <w:spacing w:beforeLines="0"/>
              <w:jc w:val="left"/>
              <w:rPr>
                <w:rFonts w:ascii="宋体" w:hAnsi="宋体" w:cs="宋体"/>
                <w:color w:val="auto"/>
                <w:kern w:val="0"/>
                <w:sz w:val="22"/>
                <w:szCs w:val="22"/>
                <w:highlight w:val="none"/>
              </w:rPr>
            </w:pPr>
          </w:p>
        </w:tc>
      </w:tr>
      <w:tr w14:paraId="62299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06" w:type="dxa"/>
            <w:noWrap/>
            <w:vAlign w:val="center"/>
          </w:tcPr>
          <w:p w14:paraId="0D1AEBA3">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248</w:t>
            </w:r>
          </w:p>
        </w:tc>
        <w:tc>
          <w:tcPr>
            <w:tcW w:w="1745" w:type="dxa"/>
            <w:vMerge w:val="continue"/>
            <w:noWrap w:val="0"/>
            <w:vAlign w:val="center"/>
          </w:tcPr>
          <w:p w14:paraId="111C2689">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02DCAB41">
            <w:pPr>
              <w:widowControl/>
              <w:spacing w:beforeLines="0"/>
              <w:jc w:val="left"/>
              <w:rPr>
                <w:rFonts w:ascii="宋体" w:hAnsi="宋体" w:cs="宋体"/>
                <w:color w:val="auto"/>
                <w:kern w:val="0"/>
                <w:sz w:val="22"/>
                <w:szCs w:val="22"/>
                <w:highlight w:val="none"/>
              </w:rPr>
            </w:pPr>
          </w:p>
        </w:tc>
        <w:tc>
          <w:tcPr>
            <w:tcW w:w="2261" w:type="dxa"/>
            <w:noWrap w:val="0"/>
            <w:vAlign w:val="center"/>
          </w:tcPr>
          <w:p w14:paraId="627C1FC2">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体检病例生活方式和健康状态分析</w:t>
            </w:r>
          </w:p>
        </w:tc>
        <w:tc>
          <w:tcPr>
            <w:tcW w:w="1134" w:type="dxa"/>
            <w:vMerge w:val="continue"/>
            <w:noWrap w:val="0"/>
            <w:vAlign w:val="center"/>
          </w:tcPr>
          <w:p w14:paraId="49083B76">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6B514ABA">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43A8FC40">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2E9D3381">
            <w:pPr>
              <w:widowControl/>
              <w:spacing w:beforeLines="0"/>
              <w:jc w:val="left"/>
              <w:rPr>
                <w:rFonts w:ascii="宋体" w:hAnsi="宋体" w:cs="宋体"/>
                <w:color w:val="auto"/>
                <w:kern w:val="0"/>
                <w:sz w:val="22"/>
                <w:szCs w:val="22"/>
                <w:highlight w:val="none"/>
              </w:rPr>
            </w:pPr>
          </w:p>
        </w:tc>
      </w:tr>
      <w:tr w14:paraId="77D90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06" w:type="dxa"/>
            <w:noWrap/>
            <w:vAlign w:val="center"/>
          </w:tcPr>
          <w:p w14:paraId="14F77BE7">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249</w:t>
            </w:r>
          </w:p>
        </w:tc>
        <w:tc>
          <w:tcPr>
            <w:tcW w:w="1745" w:type="dxa"/>
            <w:vMerge w:val="continue"/>
            <w:noWrap w:val="0"/>
            <w:vAlign w:val="center"/>
          </w:tcPr>
          <w:p w14:paraId="4DA1AF85">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37315A69">
            <w:pPr>
              <w:widowControl/>
              <w:spacing w:beforeLines="0"/>
              <w:jc w:val="left"/>
              <w:rPr>
                <w:rFonts w:ascii="宋体" w:hAnsi="宋体" w:cs="宋体"/>
                <w:color w:val="auto"/>
                <w:kern w:val="0"/>
                <w:sz w:val="22"/>
                <w:szCs w:val="22"/>
                <w:highlight w:val="none"/>
              </w:rPr>
            </w:pPr>
          </w:p>
        </w:tc>
        <w:tc>
          <w:tcPr>
            <w:tcW w:w="2261" w:type="dxa"/>
            <w:noWrap w:val="0"/>
            <w:vAlign w:val="center"/>
          </w:tcPr>
          <w:p w14:paraId="0CD1E4C0">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体检病例乙肝检测阳性检出率</w:t>
            </w:r>
          </w:p>
        </w:tc>
        <w:tc>
          <w:tcPr>
            <w:tcW w:w="1134" w:type="dxa"/>
            <w:vMerge w:val="continue"/>
            <w:noWrap w:val="0"/>
            <w:vAlign w:val="center"/>
          </w:tcPr>
          <w:p w14:paraId="1B74B1B5">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6A1E9C3C">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7A5230E4">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4C423A4B">
            <w:pPr>
              <w:widowControl/>
              <w:spacing w:beforeLines="0"/>
              <w:jc w:val="left"/>
              <w:rPr>
                <w:rFonts w:ascii="宋体" w:hAnsi="宋体" w:cs="宋体"/>
                <w:color w:val="auto"/>
                <w:kern w:val="0"/>
                <w:sz w:val="22"/>
                <w:szCs w:val="22"/>
                <w:highlight w:val="none"/>
              </w:rPr>
            </w:pPr>
          </w:p>
        </w:tc>
      </w:tr>
      <w:tr w14:paraId="64978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06" w:type="dxa"/>
            <w:noWrap/>
            <w:vAlign w:val="center"/>
          </w:tcPr>
          <w:p w14:paraId="25CB3F92">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250</w:t>
            </w:r>
          </w:p>
        </w:tc>
        <w:tc>
          <w:tcPr>
            <w:tcW w:w="1745" w:type="dxa"/>
            <w:vMerge w:val="continue"/>
            <w:noWrap w:val="0"/>
            <w:vAlign w:val="center"/>
          </w:tcPr>
          <w:p w14:paraId="607EFBBC">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1910CACD">
            <w:pPr>
              <w:widowControl/>
              <w:spacing w:beforeLines="0"/>
              <w:jc w:val="left"/>
              <w:rPr>
                <w:rFonts w:ascii="宋体" w:hAnsi="宋体" w:cs="宋体"/>
                <w:color w:val="auto"/>
                <w:kern w:val="0"/>
                <w:sz w:val="22"/>
                <w:szCs w:val="22"/>
                <w:highlight w:val="none"/>
              </w:rPr>
            </w:pPr>
          </w:p>
        </w:tc>
        <w:tc>
          <w:tcPr>
            <w:tcW w:w="2261" w:type="dxa"/>
            <w:noWrap w:val="0"/>
            <w:vAlign w:val="center"/>
          </w:tcPr>
          <w:p w14:paraId="36085A51">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体检病例血脂异常检测阳性检出率</w:t>
            </w:r>
          </w:p>
        </w:tc>
        <w:tc>
          <w:tcPr>
            <w:tcW w:w="1134" w:type="dxa"/>
            <w:vMerge w:val="continue"/>
            <w:noWrap w:val="0"/>
            <w:vAlign w:val="center"/>
          </w:tcPr>
          <w:p w14:paraId="6849E750">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7FE5AF04">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6F9BECD6">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3ED6ABA7">
            <w:pPr>
              <w:widowControl/>
              <w:spacing w:beforeLines="0"/>
              <w:jc w:val="left"/>
              <w:rPr>
                <w:rFonts w:ascii="宋体" w:hAnsi="宋体" w:cs="宋体"/>
                <w:color w:val="auto"/>
                <w:kern w:val="0"/>
                <w:sz w:val="22"/>
                <w:szCs w:val="22"/>
                <w:highlight w:val="none"/>
              </w:rPr>
            </w:pPr>
          </w:p>
        </w:tc>
      </w:tr>
      <w:tr w14:paraId="64081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06" w:type="dxa"/>
            <w:noWrap/>
            <w:vAlign w:val="center"/>
          </w:tcPr>
          <w:p w14:paraId="13384BB1">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251</w:t>
            </w:r>
          </w:p>
        </w:tc>
        <w:tc>
          <w:tcPr>
            <w:tcW w:w="1745" w:type="dxa"/>
            <w:vMerge w:val="continue"/>
            <w:noWrap w:val="0"/>
            <w:vAlign w:val="center"/>
          </w:tcPr>
          <w:p w14:paraId="1DDDA1D7">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691A4B78">
            <w:pPr>
              <w:widowControl/>
              <w:spacing w:beforeLines="0"/>
              <w:jc w:val="left"/>
              <w:rPr>
                <w:rFonts w:ascii="宋体" w:hAnsi="宋体" w:cs="宋体"/>
                <w:color w:val="auto"/>
                <w:kern w:val="0"/>
                <w:sz w:val="22"/>
                <w:szCs w:val="22"/>
                <w:highlight w:val="none"/>
              </w:rPr>
            </w:pPr>
          </w:p>
        </w:tc>
        <w:tc>
          <w:tcPr>
            <w:tcW w:w="2261" w:type="dxa"/>
            <w:noWrap w:val="0"/>
            <w:vAlign w:val="center"/>
          </w:tcPr>
          <w:p w14:paraId="2501CB31">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体检病例肿瘤标志物检测阳性检出率</w:t>
            </w:r>
          </w:p>
        </w:tc>
        <w:tc>
          <w:tcPr>
            <w:tcW w:w="1134" w:type="dxa"/>
            <w:vMerge w:val="continue"/>
            <w:noWrap w:val="0"/>
            <w:vAlign w:val="center"/>
          </w:tcPr>
          <w:p w14:paraId="05C4F982">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06680154">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25F403B7">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63612D99">
            <w:pPr>
              <w:widowControl/>
              <w:spacing w:beforeLines="0"/>
              <w:jc w:val="left"/>
              <w:rPr>
                <w:rFonts w:ascii="宋体" w:hAnsi="宋体" w:cs="宋体"/>
                <w:color w:val="auto"/>
                <w:kern w:val="0"/>
                <w:sz w:val="22"/>
                <w:szCs w:val="22"/>
                <w:highlight w:val="none"/>
              </w:rPr>
            </w:pPr>
          </w:p>
        </w:tc>
      </w:tr>
      <w:tr w14:paraId="36D1A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06" w:type="dxa"/>
            <w:noWrap/>
            <w:vAlign w:val="center"/>
          </w:tcPr>
          <w:p w14:paraId="1ADED031">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252</w:t>
            </w:r>
          </w:p>
        </w:tc>
        <w:tc>
          <w:tcPr>
            <w:tcW w:w="1745" w:type="dxa"/>
            <w:vMerge w:val="continue"/>
            <w:noWrap w:val="0"/>
            <w:vAlign w:val="center"/>
          </w:tcPr>
          <w:p w14:paraId="5CA011AA">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399CE20E">
            <w:pPr>
              <w:widowControl/>
              <w:spacing w:beforeLines="0"/>
              <w:jc w:val="left"/>
              <w:rPr>
                <w:rFonts w:ascii="宋体" w:hAnsi="宋体" w:cs="宋体"/>
                <w:color w:val="auto"/>
                <w:kern w:val="0"/>
                <w:sz w:val="22"/>
                <w:szCs w:val="22"/>
                <w:highlight w:val="none"/>
              </w:rPr>
            </w:pPr>
          </w:p>
        </w:tc>
        <w:tc>
          <w:tcPr>
            <w:tcW w:w="2261" w:type="dxa"/>
            <w:noWrap w:val="0"/>
            <w:vAlign w:val="center"/>
          </w:tcPr>
          <w:p w14:paraId="0AA1F462">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体检病例宫颈涂片阳性检出率</w:t>
            </w:r>
          </w:p>
        </w:tc>
        <w:tc>
          <w:tcPr>
            <w:tcW w:w="1134" w:type="dxa"/>
            <w:vMerge w:val="continue"/>
            <w:noWrap w:val="0"/>
            <w:vAlign w:val="center"/>
          </w:tcPr>
          <w:p w14:paraId="06949F19">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03492011">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35CBDC4A">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22FBE9F3">
            <w:pPr>
              <w:widowControl/>
              <w:spacing w:beforeLines="0"/>
              <w:jc w:val="left"/>
              <w:rPr>
                <w:rFonts w:ascii="宋体" w:hAnsi="宋体" w:cs="宋体"/>
                <w:color w:val="auto"/>
                <w:kern w:val="0"/>
                <w:sz w:val="22"/>
                <w:szCs w:val="22"/>
                <w:highlight w:val="none"/>
              </w:rPr>
            </w:pPr>
          </w:p>
        </w:tc>
      </w:tr>
      <w:tr w14:paraId="23B47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1F861F2C">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253</w:t>
            </w:r>
          </w:p>
        </w:tc>
        <w:tc>
          <w:tcPr>
            <w:tcW w:w="1745" w:type="dxa"/>
            <w:vMerge w:val="continue"/>
            <w:noWrap w:val="0"/>
            <w:vAlign w:val="center"/>
          </w:tcPr>
          <w:p w14:paraId="5FBD7FB0">
            <w:pPr>
              <w:widowControl/>
              <w:spacing w:beforeLines="0"/>
              <w:jc w:val="left"/>
              <w:rPr>
                <w:rFonts w:ascii="宋体" w:hAnsi="宋体" w:cs="宋体"/>
                <w:color w:val="auto"/>
                <w:kern w:val="0"/>
                <w:sz w:val="22"/>
                <w:szCs w:val="22"/>
                <w:highlight w:val="none"/>
              </w:rPr>
            </w:pPr>
          </w:p>
        </w:tc>
        <w:tc>
          <w:tcPr>
            <w:tcW w:w="806" w:type="dxa"/>
            <w:vMerge w:val="restart"/>
            <w:noWrap w:val="0"/>
            <w:vAlign w:val="center"/>
          </w:tcPr>
          <w:p w14:paraId="78D1B6B8">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医生端应用</w:t>
            </w:r>
          </w:p>
        </w:tc>
        <w:tc>
          <w:tcPr>
            <w:tcW w:w="2261" w:type="dxa"/>
            <w:noWrap w:val="0"/>
            <w:vAlign w:val="center"/>
          </w:tcPr>
          <w:p w14:paraId="328F3119">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医生端关键词搜索框</w:t>
            </w:r>
          </w:p>
        </w:tc>
        <w:tc>
          <w:tcPr>
            <w:tcW w:w="1134" w:type="dxa"/>
            <w:vMerge w:val="continue"/>
            <w:noWrap w:val="0"/>
            <w:vAlign w:val="center"/>
          </w:tcPr>
          <w:p w14:paraId="6BFCB784">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5FB03DAA">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2B46A26C">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47712F58">
            <w:pPr>
              <w:widowControl/>
              <w:spacing w:beforeLines="0"/>
              <w:jc w:val="left"/>
              <w:rPr>
                <w:rFonts w:ascii="宋体" w:hAnsi="宋体" w:cs="宋体"/>
                <w:color w:val="auto"/>
                <w:kern w:val="0"/>
                <w:sz w:val="22"/>
                <w:szCs w:val="22"/>
                <w:highlight w:val="none"/>
              </w:rPr>
            </w:pPr>
          </w:p>
        </w:tc>
      </w:tr>
      <w:tr w14:paraId="47636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42256074">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254</w:t>
            </w:r>
          </w:p>
        </w:tc>
        <w:tc>
          <w:tcPr>
            <w:tcW w:w="1745" w:type="dxa"/>
            <w:vMerge w:val="continue"/>
            <w:noWrap w:val="0"/>
            <w:vAlign w:val="center"/>
          </w:tcPr>
          <w:p w14:paraId="7F79F068">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54CCB8B7">
            <w:pPr>
              <w:widowControl/>
              <w:spacing w:beforeLines="0"/>
              <w:jc w:val="left"/>
              <w:rPr>
                <w:rFonts w:ascii="宋体" w:hAnsi="宋体" w:cs="宋体"/>
                <w:color w:val="auto"/>
                <w:kern w:val="0"/>
                <w:sz w:val="22"/>
                <w:szCs w:val="22"/>
                <w:highlight w:val="none"/>
              </w:rPr>
            </w:pPr>
          </w:p>
        </w:tc>
        <w:tc>
          <w:tcPr>
            <w:tcW w:w="2261" w:type="dxa"/>
            <w:noWrap w:val="0"/>
            <w:vAlign w:val="center"/>
          </w:tcPr>
          <w:p w14:paraId="689A4B8C">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医生端关键词分词处理</w:t>
            </w:r>
          </w:p>
        </w:tc>
        <w:tc>
          <w:tcPr>
            <w:tcW w:w="1134" w:type="dxa"/>
            <w:vMerge w:val="continue"/>
            <w:noWrap w:val="0"/>
            <w:vAlign w:val="center"/>
          </w:tcPr>
          <w:p w14:paraId="187A9795">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3ACF2EF8">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28A71AAF">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2CFB1A0E">
            <w:pPr>
              <w:widowControl/>
              <w:spacing w:beforeLines="0"/>
              <w:jc w:val="left"/>
              <w:rPr>
                <w:rFonts w:ascii="宋体" w:hAnsi="宋体" w:cs="宋体"/>
                <w:color w:val="auto"/>
                <w:kern w:val="0"/>
                <w:sz w:val="22"/>
                <w:szCs w:val="22"/>
                <w:highlight w:val="none"/>
              </w:rPr>
            </w:pPr>
          </w:p>
        </w:tc>
      </w:tr>
      <w:tr w14:paraId="5EE99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06" w:type="dxa"/>
            <w:noWrap/>
            <w:vAlign w:val="center"/>
          </w:tcPr>
          <w:p w14:paraId="6E896245">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255</w:t>
            </w:r>
          </w:p>
        </w:tc>
        <w:tc>
          <w:tcPr>
            <w:tcW w:w="1745" w:type="dxa"/>
            <w:vMerge w:val="continue"/>
            <w:noWrap w:val="0"/>
            <w:vAlign w:val="center"/>
          </w:tcPr>
          <w:p w14:paraId="198D8C25">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5A6A7DB5">
            <w:pPr>
              <w:widowControl/>
              <w:spacing w:beforeLines="0"/>
              <w:jc w:val="left"/>
              <w:rPr>
                <w:rFonts w:ascii="宋体" w:hAnsi="宋体" w:cs="宋体"/>
                <w:color w:val="auto"/>
                <w:kern w:val="0"/>
                <w:sz w:val="22"/>
                <w:szCs w:val="22"/>
                <w:highlight w:val="none"/>
              </w:rPr>
            </w:pPr>
          </w:p>
        </w:tc>
        <w:tc>
          <w:tcPr>
            <w:tcW w:w="2261" w:type="dxa"/>
            <w:noWrap w:val="0"/>
            <w:vAlign w:val="center"/>
          </w:tcPr>
          <w:p w14:paraId="7F8A6B3E">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医生端关键词搜索结果排序</w:t>
            </w:r>
          </w:p>
        </w:tc>
        <w:tc>
          <w:tcPr>
            <w:tcW w:w="1134" w:type="dxa"/>
            <w:vMerge w:val="continue"/>
            <w:noWrap w:val="0"/>
            <w:vAlign w:val="center"/>
          </w:tcPr>
          <w:p w14:paraId="6505FA3E">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776A1371">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7A7689CE">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2CD08A2D">
            <w:pPr>
              <w:widowControl/>
              <w:spacing w:beforeLines="0"/>
              <w:jc w:val="left"/>
              <w:rPr>
                <w:rFonts w:ascii="宋体" w:hAnsi="宋体" w:cs="宋体"/>
                <w:color w:val="auto"/>
                <w:kern w:val="0"/>
                <w:sz w:val="22"/>
                <w:szCs w:val="22"/>
                <w:highlight w:val="none"/>
              </w:rPr>
            </w:pPr>
          </w:p>
        </w:tc>
      </w:tr>
      <w:tr w14:paraId="37EEB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06" w:type="dxa"/>
            <w:noWrap/>
            <w:vAlign w:val="center"/>
          </w:tcPr>
          <w:p w14:paraId="034F5305">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256</w:t>
            </w:r>
          </w:p>
        </w:tc>
        <w:tc>
          <w:tcPr>
            <w:tcW w:w="1745" w:type="dxa"/>
            <w:vMerge w:val="continue"/>
            <w:noWrap w:val="0"/>
            <w:vAlign w:val="center"/>
          </w:tcPr>
          <w:p w14:paraId="41E71B2A">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4DD5AA24">
            <w:pPr>
              <w:widowControl/>
              <w:spacing w:beforeLines="0"/>
              <w:jc w:val="left"/>
              <w:rPr>
                <w:rFonts w:ascii="宋体" w:hAnsi="宋体" w:cs="宋体"/>
                <w:color w:val="auto"/>
                <w:kern w:val="0"/>
                <w:sz w:val="22"/>
                <w:szCs w:val="22"/>
                <w:highlight w:val="none"/>
              </w:rPr>
            </w:pPr>
          </w:p>
        </w:tc>
        <w:tc>
          <w:tcPr>
            <w:tcW w:w="2261" w:type="dxa"/>
            <w:noWrap w:val="0"/>
            <w:vAlign w:val="center"/>
          </w:tcPr>
          <w:p w14:paraId="0C562238">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医生端关键词搜索结果分页</w:t>
            </w:r>
          </w:p>
        </w:tc>
        <w:tc>
          <w:tcPr>
            <w:tcW w:w="1134" w:type="dxa"/>
            <w:vMerge w:val="continue"/>
            <w:noWrap w:val="0"/>
            <w:vAlign w:val="center"/>
          </w:tcPr>
          <w:p w14:paraId="225F6CC0">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7B86064C">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5870A7BB">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3F12FB3F">
            <w:pPr>
              <w:widowControl/>
              <w:spacing w:beforeLines="0"/>
              <w:jc w:val="left"/>
              <w:rPr>
                <w:rFonts w:ascii="宋体" w:hAnsi="宋体" w:cs="宋体"/>
                <w:color w:val="auto"/>
                <w:kern w:val="0"/>
                <w:sz w:val="22"/>
                <w:szCs w:val="22"/>
                <w:highlight w:val="none"/>
              </w:rPr>
            </w:pPr>
          </w:p>
        </w:tc>
      </w:tr>
      <w:tr w14:paraId="2A7C4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709AA6B6">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257</w:t>
            </w:r>
          </w:p>
        </w:tc>
        <w:tc>
          <w:tcPr>
            <w:tcW w:w="1745" w:type="dxa"/>
            <w:vMerge w:val="continue"/>
            <w:noWrap w:val="0"/>
            <w:vAlign w:val="center"/>
          </w:tcPr>
          <w:p w14:paraId="6D87EB65">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2723AD79">
            <w:pPr>
              <w:widowControl/>
              <w:spacing w:beforeLines="0"/>
              <w:jc w:val="left"/>
              <w:rPr>
                <w:rFonts w:ascii="宋体" w:hAnsi="宋体" w:cs="宋体"/>
                <w:color w:val="auto"/>
                <w:kern w:val="0"/>
                <w:sz w:val="22"/>
                <w:szCs w:val="22"/>
                <w:highlight w:val="none"/>
              </w:rPr>
            </w:pPr>
          </w:p>
        </w:tc>
        <w:tc>
          <w:tcPr>
            <w:tcW w:w="2261" w:type="dxa"/>
            <w:noWrap w:val="0"/>
            <w:vAlign w:val="center"/>
          </w:tcPr>
          <w:p w14:paraId="235CD0C7">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体检报告查看</w:t>
            </w:r>
          </w:p>
        </w:tc>
        <w:tc>
          <w:tcPr>
            <w:tcW w:w="1134" w:type="dxa"/>
            <w:vMerge w:val="continue"/>
            <w:noWrap w:val="0"/>
            <w:vAlign w:val="center"/>
          </w:tcPr>
          <w:p w14:paraId="1E3D6A16">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0C4676CE">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1D952C08">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14BCBEA8">
            <w:pPr>
              <w:widowControl/>
              <w:spacing w:beforeLines="0"/>
              <w:jc w:val="left"/>
              <w:rPr>
                <w:rFonts w:ascii="宋体" w:hAnsi="宋体" w:cs="宋体"/>
                <w:color w:val="auto"/>
                <w:kern w:val="0"/>
                <w:sz w:val="22"/>
                <w:szCs w:val="22"/>
                <w:highlight w:val="none"/>
              </w:rPr>
            </w:pPr>
          </w:p>
        </w:tc>
      </w:tr>
      <w:tr w14:paraId="31773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06" w:type="dxa"/>
            <w:noWrap/>
            <w:vAlign w:val="center"/>
          </w:tcPr>
          <w:p w14:paraId="216A42E2">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258</w:t>
            </w:r>
          </w:p>
        </w:tc>
        <w:tc>
          <w:tcPr>
            <w:tcW w:w="1745" w:type="dxa"/>
            <w:vMerge w:val="continue"/>
            <w:noWrap w:val="0"/>
            <w:vAlign w:val="center"/>
          </w:tcPr>
          <w:p w14:paraId="31C1DB29">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5D8A1D4E">
            <w:pPr>
              <w:widowControl/>
              <w:spacing w:beforeLines="0"/>
              <w:jc w:val="left"/>
              <w:rPr>
                <w:rFonts w:ascii="宋体" w:hAnsi="宋体" w:cs="宋体"/>
                <w:color w:val="auto"/>
                <w:kern w:val="0"/>
                <w:sz w:val="22"/>
                <w:szCs w:val="22"/>
                <w:highlight w:val="none"/>
              </w:rPr>
            </w:pPr>
          </w:p>
        </w:tc>
        <w:tc>
          <w:tcPr>
            <w:tcW w:w="2261" w:type="dxa"/>
            <w:noWrap w:val="0"/>
            <w:vAlign w:val="center"/>
          </w:tcPr>
          <w:p w14:paraId="1EAD1914">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体检报告全生命周期展示</w:t>
            </w:r>
          </w:p>
        </w:tc>
        <w:tc>
          <w:tcPr>
            <w:tcW w:w="1134" w:type="dxa"/>
            <w:vMerge w:val="continue"/>
            <w:noWrap w:val="0"/>
            <w:vAlign w:val="center"/>
          </w:tcPr>
          <w:p w14:paraId="79F78E3D">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6B9F0ECC">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15E1CCB9">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208EFB24">
            <w:pPr>
              <w:widowControl/>
              <w:spacing w:beforeLines="0"/>
              <w:jc w:val="left"/>
              <w:rPr>
                <w:rFonts w:ascii="宋体" w:hAnsi="宋体" w:cs="宋体"/>
                <w:color w:val="auto"/>
                <w:kern w:val="0"/>
                <w:sz w:val="22"/>
                <w:szCs w:val="22"/>
                <w:highlight w:val="none"/>
              </w:rPr>
            </w:pPr>
          </w:p>
        </w:tc>
      </w:tr>
      <w:tr w14:paraId="40DB9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6D82AC11">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259</w:t>
            </w:r>
          </w:p>
        </w:tc>
        <w:tc>
          <w:tcPr>
            <w:tcW w:w="1745" w:type="dxa"/>
            <w:vMerge w:val="continue"/>
            <w:noWrap w:val="0"/>
            <w:vAlign w:val="center"/>
          </w:tcPr>
          <w:p w14:paraId="27986768">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0D1BB6FF">
            <w:pPr>
              <w:widowControl/>
              <w:spacing w:beforeLines="0"/>
              <w:jc w:val="left"/>
              <w:rPr>
                <w:rFonts w:ascii="宋体" w:hAnsi="宋体" w:cs="宋体"/>
                <w:color w:val="auto"/>
                <w:kern w:val="0"/>
                <w:sz w:val="22"/>
                <w:szCs w:val="22"/>
                <w:highlight w:val="none"/>
              </w:rPr>
            </w:pPr>
          </w:p>
        </w:tc>
        <w:tc>
          <w:tcPr>
            <w:tcW w:w="2261" w:type="dxa"/>
            <w:noWrap w:val="0"/>
            <w:vAlign w:val="center"/>
          </w:tcPr>
          <w:p w14:paraId="24FF07C5">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异常数据标记</w:t>
            </w:r>
          </w:p>
        </w:tc>
        <w:tc>
          <w:tcPr>
            <w:tcW w:w="1134" w:type="dxa"/>
            <w:vMerge w:val="continue"/>
            <w:noWrap w:val="0"/>
            <w:vAlign w:val="center"/>
          </w:tcPr>
          <w:p w14:paraId="241E8851">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4DD0361F">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04A6B60A">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276889DB">
            <w:pPr>
              <w:widowControl/>
              <w:spacing w:beforeLines="0"/>
              <w:jc w:val="left"/>
              <w:rPr>
                <w:rFonts w:ascii="宋体" w:hAnsi="宋体" w:cs="宋体"/>
                <w:color w:val="auto"/>
                <w:kern w:val="0"/>
                <w:sz w:val="22"/>
                <w:szCs w:val="22"/>
                <w:highlight w:val="none"/>
              </w:rPr>
            </w:pPr>
          </w:p>
        </w:tc>
      </w:tr>
      <w:tr w14:paraId="4DD79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1563C417">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260</w:t>
            </w:r>
          </w:p>
        </w:tc>
        <w:tc>
          <w:tcPr>
            <w:tcW w:w="1745" w:type="dxa"/>
            <w:vMerge w:val="continue"/>
            <w:noWrap w:val="0"/>
            <w:vAlign w:val="center"/>
          </w:tcPr>
          <w:p w14:paraId="57AF2299">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36F89BA0">
            <w:pPr>
              <w:widowControl/>
              <w:spacing w:beforeLines="0"/>
              <w:jc w:val="left"/>
              <w:rPr>
                <w:rFonts w:ascii="宋体" w:hAnsi="宋体" w:cs="宋体"/>
                <w:color w:val="auto"/>
                <w:kern w:val="0"/>
                <w:sz w:val="22"/>
                <w:szCs w:val="22"/>
                <w:highlight w:val="none"/>
              </w:rPr>
            </w:pPr>
          </w:p>
        </w:tc>
        <w:tc>
          <w:tcPr>
            <w:tcW w:w="2261" w:type="dxa"/>
            <w:noWrap w:val="0"/>
            <w:vAlign w:val="center"/>
          </w:tcPr>
          <w:p w14:paraId="424A8B28">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异常信息提示</w:t>
            </w:r>
          </w:p>
        </w:tc>
        <w:tc>
          <w:tcPr>
            <w:tcW w:w="1134" w:type="dxa"/>
            <w:vMerge w:val="continue"/>
            <w:noWrap w:val="0"/>
            <w:vAlign w:val="center"/>
          </w:tcPr>
          <w:p w14:paraId="716E742F">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7C6CDBA3">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12233307">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0308A390">
            <w:pPr>
              <w:widowControl/>
              <w:spacing w:beforeLines="0"/>
              <w:jc w:val="left"/>
              <w:rPr>
                <w:rFonts w:ascii="宋体" w:hAnsi="宋体" w:cs="宋体"/>
                <w:color w:val="auto"/>
                <w:kern w:val="0"/>
                <w:sz w:val="22"/>
                <w:szCs w:val="22"/>
                <w:highlight w:val="none"/>
              </w:rPr>
            </w:pPr>
          </w:p>
        </w:tc>
      </w:tr>
      <w:tr w14:paraId="25176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4C8FEB66">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261</w:t>
            </w:r>
          </w:p>
        </w:tc>
        <w:tc>
          <w:tcPr>
            <w:tcW w:w="1745" w:type="dxa"/>
            <w:vMerge w:val="continue"/>
            <w:noWrap w:val="0"/>
            <w:vAlign w:val="center"/>
          </w:tcPr>
          <w:p w14:paraId="13D11BDF">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094CAA8D">
            <w:pPr>
              <w:widowControl/>
              <w:spacing w:beforeLines="0"/>
              <w:jc w:val="left"/>
              <w:rPr>
                <w:rFonts w:ascii="宋体" w:hAnsi="宋体" w:cs="宋体"/>
                <w:color w:val="auto"/>
                <w:kern w:val="0"/>
                <w:sz w:val="22"/>
                <w:szCs w:val="22"/>
                <w:highlight w:val="none"/>
              </w:rPr>
            </w:pPr>
          </w:p>
        </w:tc>
        <w:tc>
          <w:tcPr>
            <w:tcW w:w="2261" w:type="dxa"/>
            <w:noWrap w:val="0"/>
            <w:vAlign w:val="center"/>
          </w:tcPr>
          <w:p w14:paraId="019AE938">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常规体检历史数据比对</w:t>
            </w:r>
          </w:p>
        </w:tc>
        <w:tc>
          <w:tcPr>
            <w:tcW w:w="1134" w:type="dxa"/>
            <w:vMerge w:val="continue"/>
            <w:noWrap w:val="0"/>
            <w:vAlign w:val="center"/>
          </w:tcPr>
          <w:p w14:paraId="738F5C5D">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40CE865A">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1D5237BF">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24B4FCCE">
            <w:pPr>
              <w:widowControl/>
              <w:spacing w:beforeLines="0"/>
              <w:jc w:val="left"/>
              <w:rPr>
                <w:rFonts w:ascii="宋体" w:hAnsi="宋体" w:cs="宋体"/>
                <w:color w:val="auto"/>
                <w:kern w:val="0"/>
                <w:sz w:val="22"/>
                <w:szCs w:val="22"/>
                <w:highlight w:val="none"/>
              </w:rPr>
            </w:pPr>
          </w:p>
        </w:tc>
      </w:tr>
      <w:tr w14:paraId="36F32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2A5B7D2B">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262</w:t>
            </w:r>
          </w:p>
        </w:tc>
        <w:tc>
          <w:tcPr>
            <w:tcW w:w="1745" w:type="dxa"/>
            <w:vMerge w:val="continue"/>
            <w:noWrap w:val="0"/>
            <w:vAlign w:val="center"/>
          </w:tcPr>
          <w:p w14:paraId="588BB049">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062B3380">
            <w:pPr>
              <w:widowControl/>
              <w:spacing w:beforeLines="0"/>
              <w:jc w:val="left"/>
              <w:rPr>
                <w:rFonts w:ascii="宋体" w:hAnsi="宋体" w:cs="宋体"/>
                <w:color w:val="auto"/>
                <w:kern w:val="0"/>
                <w:sz w:val="22"/>
                <w:szCs w:val="22"/>
                <w:highlight w:val="none"/>
              </w:rPr>
            </w:pPr>
          </w:p>
        </w:tc>
        <w:tc>
          <w:tcPr>
            <w:tcW w:w="2261" w:type="dxa"/>
            <w:noWrap w:val="0"/>
            <w:vAlign w:val="center"/>
          </w:tcPr>
          <w:p w14:paraId="63E3AE19">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健康管理计划</w:t>
            </w:r>
          </w:p>
        </w:tc>
        <w:tc>
          <w:tcPr>
            <w:tcW w:w="1134" w:type="dxa"/>
            <w:vMerge w:val="continue"/>
            <w:noWrap w:val="0"/>
            <w:vAlign w:val="center"/>
          </w:tcPr>
          <w:p w14:paraId="53F2F478">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0F33B35A">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25295A47">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19A45796">
            <w:pPr>
              <w:widowControl/>
              <w:spacing w:beforeLines="0"/>
              <w:jc w:val="left"/>
              <w:rPr>
                <w:rFonts w:ascii="宋体" w:hAnsi="宋体" w:cs="宋体"/>
                <w:color w:val="auto"/>
                <w:kern w:val="0"/>
                <w:sz w:val="22"/>
                <w:szCs w:val="22"/>
                <w:highlight w:val="none"/>
              </w:rPr>
            </w:pPr>
          </w:p>
        </w:tc>
      </w:tr>
      <w:tr w14:paraId="5B3EA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500375A8">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263</w:t>
            </w:r>
          </w:p>
        </w:tc>
        <w:tc>
          <w:tcPr>
            <w:tcW w:w="1745" w:type="dxa"/>
            <w:vMerge w:val="continue"/>
            <w:noWrap w:val="0"/>
            <w:vAlign w:val="center"/>
          </w:tcPr>
          <w:p w14:paraId="0E78AF38">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244569C9">
            <w:pPr>
              <w:widowControl/>
              <w:spacing w:beforeLines="0"/>
              <w:jc w:val="left"/>
              <w:rPr>
                <w:rFonts w:ascii="宋体" w:hAnsi="宋体" w:cs="宋体"/>
                <w:color w:val="auto"/>
                <w:kern w:val="0"/>
                <w:sz w:val="22"/>
                <w:szCs w:val="22"/>
                <w:highlight w:val="none"/>
              </w:rPr>
            </w:pPr>
          </w:p>
        </w:tc>
        <w:tc>
          <w:tcPr>
            <w:tcW w:w="2261" w:type="dxa"/>
            <w:noWrap w:val="0"/>
            <w:vAlign w:val="center"/>
          </w:tcPr>
          <w:p w14:paraId="7ED633A9">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饮食方案计划</w:t>
            </w:r>
          </w:p>
        </w:tc>
        <w:tc>
          <w:tcPr>
            <w:tcW w:w="1134" w:type="dxa"/>
            <w:vMerge w:val="continue"/>
            <w:noWrap w:val="0"/>
            <w:vAlign w:val="center"/>
          </w:tcPr>
          <w:p w14:paraId="736EC259">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78D28384">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7923FF98">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50E0264B">
            <w:pPr>
              <w:widowControl/>
              <w:spacing w:beforeLines="0"/>
              <w:jc w:val="left"/>
              <w:rPr>
                <w:rFonts w:ascii="宋体" w:hAnsi="宋体" w:cs="宋体"/>
                <w:color w:val="auto"/>
                <w:kern w:val="0"/>
                <w:sz w:val="22"/>
                <w:szCs w:val="22"/>
                <w:highlight w:val="none"/>
              </w:rPr>
            </w:pPr>
          </w:p>
        </w:tc>
      </w:tr>
      <w:tr w14:paraId="096AC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3815DF01">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264</w:t>
            </w:r>
          </w:p>
        </w:tc>
        <w:tc>
          <w:tcPr>
            <w:tcW w:w="1745" w:type="dxa"/>
            <w:vMerge w:val="continue"/>
            <w:noWrap w:val="0"/>
            <w:vAlign w:val="center"/>
          </w:tcPr>
          <w:p w14:paraId="55D383DD">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6CAEB2A1">
            <w:pPr>
              <w:widowControl/>
              <w:spacing w:beforeLines="0"/>
              <w:jc w:val="left"/>
              <w:rPr>
                <w:rFonts w:ascii="宋体" w:hAnsi="宋体" w:cs="宋体"/>
                <w:color w:val="auto"/>
                <w:kern w:val="0"/>
                <w:sz w:val="22"/>
                <w:szCs w:val="22"/>
                <w:highlight w:val="none"/>
              </w:rPr>
            </w:pPr>
          </w:p>
        </w:tc>
        <w:tc>
          <w:tcPr>
            <w:tcW w:w="2261" w:type="dxa"/>
            <w:noWrap w:val="0"/>
            <w:vAlign w:val="center"/>
          </w:tcPr>
          <w:p w14:paraId="42B9ADD0">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运动方案计划</w:t>
            </w:r>
          </w:p>
        </w:tc>
        <w:tc>
          <w:tcPr>
            <w:tcW w:w="1134" w:type="dxa"/>
            <w:vMerge w:val="continue"/>
            <w:noWrap w:val="0"/>
            <w:vAlign w:val="center"/>
          </w:tcPr>
          <w:p w14:paraId="600C15D5">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45E29239">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7E44B574">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7EB757B7">
            <w:pPr>
              <w:widowControl/>
              <w:spacing w:beforeLines="0"/>
              <w:jc w:val="left"/>
              <w:rPr>
                <w:rFonts w:ascii="宋体" w:hAnsi="宋体" w:cs="宋体"/>
                <w:color w:val="auto"/>
                <w:kern w:val="0"/>
                <w:sz w:val="22"/>
                <w:szCs w:val="22"/>
                <w:highlight w:val="none"/>
              </w:rPr>
            </w:pPr>
          </w:p>
        </w:tc>
      </w:tr>
      <w:tr w14:paraId="2702B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62FCB158">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265</w:t>
            </w:r>
          </w:p>
        </w:tc>
        <w:tc>
          <w:tcPr>
            <w:tcW w:w="1745" w:type="dxa"/>
            <w:vMerge w:val="continue"/>
            <w:noWrap w:val="0"/>
            <w:vAlign w:val="center"/>
          </w:tcPr>
          <w:p w14:paraId="47759B17">
            <w:pPr>
              <w:widowControl/>
              <w:spacing w:beforeLines="0"/>
              <w:jc w:val="left"/>
              <w:rPr>
                <w:rFonts w:ascii="宋体" w:hAnsi="宋体" w:cs="宋体"/>
                <w:color w:val="auto"/>
                <w:kern w:val="0"/>
                <w:sz w:val="22"/>
                <w:szCs w:val="22"/>
                <w:highlight w:val="none"/>
              </w:rPr>
            </w:pPr>
          </w:p>
        </w:tc>
        <w:tc>
          <w:tcPr>
            <w:tcW w:w="806" w:type="dxa"/>
            <w:vMerge w:val="restart"/>
            <w:noWrap w:val="0"/>
            <w:vAlign w:val="center"/>
          </w:tcPr>
          <w:p w14:paraId="6AD77493">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居民端应用</w:t>
            </w:r>
          </w:p>
        </w:tc>
        <w:tc>
          <w:tcPr>
            <w:tcW w:w="2261" w:type="dxa"/>
            <w:noWrap w:val="0"/>
            <w:vAlign w:val="center"/>
          </w:tcPr>
          <w:p w14:paraId="23D43040">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用户登录</w:t>
            </w:r>
          </w:p>
        </w:tc>
        <w:tc>
          <w:tcPr>
            <w:tcW w:w="1134" w:type="dxa"/>
            <w:vMerge w:val="continue"/>
            <w:noWrap w:val="0"/>
            <w:vAlign w:val="center"/>
          </w:tcPr>
          <w:p w14:paraId="69917189">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6920D0D6">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69E7A59F">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1469DCD3">
            <w:pPr>
              <w:widowControl/>
              <w:spacing w:beforeLines="0"/>
              <w:jc w:val="left"/>
              <w:rPr>
                <w:rFonts w:ascii="宋体" w:hAnsi="宋体" w:cs="宋体"/>
                <w:color w:val="auto"/>
                <w:kern w:val="0"/>
                <w:sz w:val="22"/>
                <w:szCs w:val="22"/>
                <w:highlight w:val="none"/>
              </w:rPr>
            </w:pPr>
          </w:p>
        </w:tc>
      </w:tr>
      <w:tr w14:paraId="0CB52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63D2EA5E">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266</w:t>
            </w:r>
          </w:p>
        </w:tc>
        <w:tc>
          <w:tcPr>
            <w:tcW w:w="1745" w:type="dxa"/>
            <w:vMerge w:val="continue"/>
            <w:noWrap w:val="0"/>
            <w:vAlign w:val="center"/>
          </w:tcPr>
          <w:p w14:paraId="3CCBB49D">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7332867C">
            <w:pPr>
              <w:widowControl/>
              <w:spacing w:beforeLines="0"/>
              <w:jc w:val="left"/>
              <w:rPr>
                <w:rFonts w:ascii="宋体" w:hAnsi="宋体" w:cs="宋体"/>
                <w:color w:val="auto"/>
                <w:kern w:val="0"/>
                <w:sz w:val="22"/>
                <w:szCs w:val="22"/>
                <w:highlight w:val="none"/>
              </w:rPr>
            </w:pPr>
          </w:p>
        </w:tc>
        <w:tc>
          <w:tcPr>
            <w:tcW w:w="2261" w:type="dxa"/>
            <w:noWrap w:val="0"/>
            <w:vAlign w:val="center"/>
          </w:tcPr>
          <w:p w14:paraId="7B6D4AFC">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用户隐私管理</w:t>
            </w:r>
          </w:p>
        </w:tc>
        <w:tc>
          <w:tcPr>
            <w:tcW w:w="1134" w:type="dxa"/>
            <w:vMerge w:val="continue"/>
            <w:noWrap w:val="0"/>
            <w:vAlign w:val="center"/>
          </w:tcPr>
          <w:p w14:paraId="44C7D0D5">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5F46E805">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596B9A3B">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14176BB2">
            <w:pPr>
              <w:widowControl/>
              <w:spacing w:beforeLines="0"/>
              <w:jc w:val="left"/>
              <w:rPr>
                <w:rFonts w:ascii="宋体" w:hAnsi="宋体" w:cs="宋体"/>
                <w:color w:val="auto"/>
                <w:kern w:val="0"/>
                <w:sz w:val="22"/>
                <w:szCs w:val="22"/>
                <w:highlight w:val="none"/>
              </w:rPr>
            </w:pPr>
          </w:p>
        </w:tc>
      </w:tr>
      <w:tr w14:paraId="057AC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7284C7A9">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267</w:t>
            </w:r>
          </w:p>
        </w:tc>
        <w:tc>
          <w:tcPr>
            <w:tcW w:w="1745" w:type="dxa"/>
            <w:vMerge w:val="continue"/>
            <w:noWrap w:val="0"/>
            <w:vAlign w:val="center"/>
          </w:tcPr>
          <w:p w14:paraId="600CA836">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11524B2A">
            <w:pPr>
              <w:widowControl/>
              <w:spacing w:beforeLines="0"/>
              <w:jc w:val="left"/>
              <w:rPr>
                <w:rFonts w:ascii="宋体" w:hAnsi="宋体" w:cs="宋体"/>
                <w:color w:val="auto"/>
                <w:kern w:val="0"/>
                <w:sz w:val="22"/>
                <w:szCs w:val="22"/>
                <w:highlight w:val="none"/>
              </w:rPr>
            </w:pPr>
          </w:p>
        </w:tc>
        <w:tc>
          <w:tcPr>
            <w:tcW w:w="2261" w:type="dxa"/>
            <w:noWrap w:val="0"/>
            <w:vAlign w:val="center"/>
          </w:tcPr>
          <w:p w14:paraId="34DA149F">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体检报告列表</w:t>
            </w:r>
          </w:p>
        </w:tc>
        <w:tc>
          <w:tcPr>
            <w:tcW w:w="1134" w:type="dxa"/>
            <w:vMerge w:val="continue"/>
            <w:noWrap w:val="0"/>
            <w:vAlign w:val="center"/>
          </w:tcPr>
          <w:p w14:paraId="3534742E">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2193EE44">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68318E2C">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463A59DF">
            <w:pPr>
              <w:widowControl/>
              <w:spacing w:beforeLines="0"/>
              <w:jc w:val="left"/>
              <w:rPr>
                <w:rFonts w:ascii="宋体" w:hAnsi="宋体" w:cs="宋体"/>
                <w:color w:val="auto"/>
                <w:kern w:val="0"/>
                <w:sz w:val="22"/>
                <w:szCs w:val="22"/>
                <w:highlight w:val="none"/>
              </w:rPr>
            </w:pPr>
          </w:p>
        </w:tc>
      </w:tr>
      <w:tr w14:paraId="3D8A1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089DCF10">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268</w:t>
            </w:r>
          </w:p>
        </w:tc>
        <w:tc>
          <w:tcPr>
            <w:tcW w:w="1745" w:type="dxa"/>
            <w:vMerge w:val="continue"/>
            <w:noWrap w:val="0"/>
            <w:vAlign w:val="center"/>
          </w:tcPr>
          <w:p w14:paraId="7B8A5885">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77FAF570">
            <w:pPr>
              <w:widowControl/>
              <w:spacing w:beforeLines="0"/>
              <w:jc w:val="left"/>
              <w:rPr>
                <w:rFonts w:ascii="宋体" w:hAnsi="宋体" w:cs="宋体"/>
                <w:color w:val="auto"/>
                <w:kern w:val="0"/>
                <w:sz w:val="22"/>
                <w:szCs w:val="22"/>
                <w:highlight w:val="none"/>
              </w:rPr>
            </w:pPr>
          </w:p>
        </w:tc>
        <w:tc>
          <w:tcPr>
            <w:tcW w:w="2261" w:type="dxa"/>
            <w:noWrap w:val="0"/>
            <w:vAlign w:val="center"/>
          </w:tcPr>
          <w:p w14:paraId="19C58C7F">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详情查看</w:t>
            </w:r>
          </w:p>
        </w:tc>
        <w:tc>
          <w:tcPr>
            <w:tcW w:w="1134" w:type="dxa"/>
            <w:vMerge w:val="continue"/>
            <w:noWrap w:val="0"/>
            <w:vAlign w:val="center"/>
          </w:tcPr>
          <w:p w14:paraId="4746BD42">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4229221A">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1E1BFFAA">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65B1378C">
            <w:pPr>
              <w:widowControl/>
              <w:spacing w:beforeLines="0"/>
              <w:jc w:val="left"/>
              <w:rPr>
                <w:rFonts w:ascii="宋体" w:hAnsi="宋体" w:cs="宋体"/>
                <w:color w:val="auto"/>
                <w:kern w:val="0"/>
                <w:sz w:val="22"/>
                <w:szCs w:val="22"/>
                <w:highlight w:val="none"/>
              </w:rPr>
            </w:pPr>
          </w:p>
        </w:tc>
      </w:tr>
      <w:tr w14:paraId="00968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22F78EFD">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269</w:t>
            </w:r>
          </w:p>
        </w:tc>
        <w:tc>
          <w:tcPr>
            <w:tcW w:w="1745" w:type="dxa"/>
            <w:vMerge w:val="continue"/>
            <w:noWrap w:val="0"/>
            <w:vAlign w:val="center"/>
          </w:tcPr>
          <w:p w14:paraId="392A8D58">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47F204DA">
            <w:pPr>
              <w:widowControl/>
              <w:spacing w:beforeLines="0"/>
              <w:jc w:val="left"/>
              <w:rPr>
                <w:rFonts w:ascii="宋体" w:hAnsi="宋体" w:cs="宋体"/>
                <w:color w:val="auto"/>
                <w:kern w:val="0"/>
                <w:sz w:val="22"/>
                <w:szCs w:val="22"/>
                <w:highlight w:val="none"/>
              </w:rPr>
            </w:pPr>
          </w:p>
        </w:tc>
        <w:tc>
          <w:tcPr>
            <w:tcW w:w="2261" w:type="dxa"/>
            <w:noWrap w:val="0"/>
            <w:vAlign w:val="center"/>
          </w:tcPr>
          <w:p w14:paraId="38EA94D6">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体检报告全文查看</w:t>
            </w:r>
          </w:p>
        </w:tc>
        <w:tc>
          <w:tcPr>
            <w:tcW w:w="1134" w:type="dxa"/>
            <w:vMerge w:val="continue"/>
            <w:noWrap w:val="0"/>
            <w:vAlign w:val="center"/>
          </w:tcPr>
          <w:p w14:paraId="418B1ADC">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68937A9A">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34004313">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6274F0A6">
            <w:pPr>
              <w:widowControl/>
              <w:spacing w:beforeLines="0"/>
              <w:jc w:val="left"/>
              <w:rPr>
                <w:rFonts w:ascii="宋体" w:hAnsi="宋体" w:cs="宋体"/>
                <w:color w:val="auto"/>
                <w:kern w:val="0"/>
                <w:sz w:val="22"/>
                <w:szCs w:val="22"/>
                <w:highlight w:val="none"/>
              </w:rPr>
            </w:pPr>
          </w:p>
        </w:tc>
      </w:tr>
      <w:tr w14:paraId="4872E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78DD0E65">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270</w:t>
            </w:r>
          </w:p>
        </w:tc>
        <w:tc>
          <w:tcPr>
            <w:tcW w:w="1745" w:type="dxa"/>
            <w:vMerge w:val="continue"/>
            <w:noWrap w:val="0"/>
            <w:vAlign w:val="center"/>
          </w:tcPr>
          <w:p w14:paraId="4EDEA2BC">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61EBF5AF">
            <w:pPr>
              <w:widowControl/>
              <w:spacing w:beforeLines="0"/>
              <w:jc w:val="left"/>
              <w:rPr>
                <w:rFonts w:ascii="宋体" w:hAnsi="宋体" w:cs="宋体"/>
                <w:color w:val="auto"/>
                <w:kern w:val="0"/>
                <w:sz w:val="22"/>
                <w:szCs w:val="22"/>
                <w:highlight w:val="none"/>
              </w:rPr>
            </w:pPr>
          </w:p>
        </w:tc>
        <w:tc>
          <w:tcPr>
            <w:tcW w:w="2261" w:type="dxa"/>
            <w:noWrap w:val="0"/>
            <w:vAlign w:val="center"/>
          </w:tcPr>
          <w:p w14:paraId="049E8903">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体检报告异常项查看</w:t>
            </w:r>
          </w:p>
        </w:tc>
        <w:tc>
          <w:tcPr>
            <w:tcW w:w="1134" w:type="dxa"/>
            <w:vMerge w:val="continue"/>
            <w:noWrap w:val="0"/>
            <w:vAlign w:val="center"/>
          </w:tcPr>
          <w:p w14:paraId="0E3839FC">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1BAB5759">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69D1FA22">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25CA2A85">
            <w:pPr>
              <w:widowControl/>
              <w:spacing w:beforeLines="0"/>
              <w:jc w:val="left"/>
              <w:rPr>
                <w:rFonts w:ascii="宋体" w:hAnsi="宋体" w:cs="宋体"/>
                <w:color w:val="auto"/>
                <w:kern w:val="0"/>
                <w:sz w:val="22"/>
                <w:szCs w:val="22"/>
                <w:highlight w:val="none"/>
              </w:rPr>
            </w:pPr>
          </w:p>
        </w:tc>
      </w:tr>
      <w:tr w14:paraId="52C11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2D8F5B3A">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271</w:t>
            </w:r>
          </w:p>
        </w:tc>
        <w:tc>
          <w:tcPr>
            <w:tcW w:w="1745" w:type="dxa"/>
            <w:vMerge w:val="continue"/>
            <w:noWrap w:val="0"/>
            <w:vAlign w:val="center"/>
          </w:tcPr>
          <w:p w14:paraId="0C9BC1EC">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542457BD">
            <w:pPr>
              <w:widowControl/>
              <w:spacing w:beforeLines="0"/>
              <w:jc w:val="left"/>
              <w:rPr>
                <w:rFonts w:ascii="宋体" w:hAnsi="宋体" w:cs="宋体"/>
                <w:color w:val="auto"/>
                <w:kern w:val="0"/>
                <w:sz w:val="22"/>
                <w:szCs w:val="22"/>
                <w:highlight w:val="none"/>
              </w:rPr>
            </w:pPr>
          </w:p>
        </w:tc>
        <w:tc>
          <w:tcPr>
            <w:tcW w:w="2261" w:type="dxa"/>
            <w:noWrap w:val="0"/>
            <w:vAlign w:val="center"/>
          </w:tcPr>
          <w:p w14:paraId="6012D5B5">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体检异常识别</w:t>
            </w:r>
          </w:p>
        </w:tc>
        <w:tc>
          <w:tcPr>
            <w:tcW w:w="1134" w:type="dxa"/>
            <w:vMerge w:val="continue"/>
            <w:noWrap w:val="0"/>
            <w:vAlign w:val="center"/>
          </w:tcPr>
          <w:p w14:paraId="721D06BE">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3391EC60">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10483511">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3668F0B6">
            <w:pPr>
              <w:widowControl/>
              <w:spacing w:beforeLines="0"/>
              <w:jc w:val="left"/>
              <w:rPr>
                <w:rFonts w:ascii="宋体" w:hAnsi="宋体" w:cs="宋体"/>
                <w:color w:val="auto"/>
                <w:kern w:val="0"/>
                <w:sz w:val="22"/>
                <w:szCs w:val="22"/>
                <w:highlight w:val="none"/>
              </w:rPr>
            </w:pPr>
          </w:p>
        </w:tc>
      </w:tr>
      <w:tr w14:paraId="2371C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5C134666">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272</w:t>
            </w:r>
          </w:p>
        </w:tc>
        <w:tc>
          <w:tcPr>
            <w:tcW w:w="1745" w:type="dxa"/>
            <w:vMerge w:val="continue"/>
            <w:noWrap w:val="0"/>
            <w:vAlign w:val="center"/>
          </w:tcPr>
          <w:p w14:paraId="51E5B1F9">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7CC066B0">
            <w:pPr>
              <w:widowControl/>
              <w:spacing w:beforeLines="0"/>
              <w:jc w:val="left"/>
              <w:rPr>
                <w:rFonts w:ascii="宋体" w:hAnsi="宋体" w:cs="宋体"/>
                <w:color w:val="auto"/>
                <w:kern w:val="0"/>
                <w:sz w:val="22"/>
                <w:szCs w:val="22"/>
                <w:highlight w:val="none"/>
              </w:rPr>
            </w:pPr>
          </w:p>
        </w:tc>
        <w:tc>
          <w:tcPr>
            <w:tcW w:w="2261" w:type="dxa"/>
            <w:noWrap w:val="0"/>
            <w:vAlign w:val="center"/>
          </w:tcPr>
          <w:p w14:paraId="7AD934BD">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体检数据提取</w:t>
            </w:r>
          </w:p>
        </w:tc>
        <w:tc>
          <w:tcPr>
            <w:tcW w:w="1134" w:type="dxa"/>
            <w:vMerge w:val="continue"/>
            <w:noWrap w:val="0"/>
            <w:vAlign w:val="center"/>
          </w:tcPr>
          <w:p w14:paraId="17C1A8DE">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7DBFB8FE">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35F0CABA">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4E64EE28">
            <w:pPr>
              <w:widowControl/>
              <w:spacing w:beforeLines="0"/>
              <w:jc w:val="left"/>
              <w:rPr>
                <w:rFonts w:ascii="宋体" w:hAnsi="宋体" w:cs="宋体"/>
                <w:color w:val="auto"/>
                <w:kern w:val="0"/>
                <w:sz w:val="22"/>
                <w:szCs w:val="22"/>
                <w:highlight w:val="none"/>
              </w:rPr>
            </w:pPr>
          </w:p>
        </w:tc>
      </w:tr>
      <w:tr w14:paraId="7694C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182BFC62">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273</w:t>
            </w:r>
          </w:p>
        </w:tc>
        <w:tc>
          <w:tcPr>
            <w:tcW w:w="1745" w:type="dxa"/>
            <w:vMerge w:val="continue"/>
            <w:noWrap w:val="0"/>
            <w:vAlign w:val="center"/>
          </w:tcPr>
          <w:p w14:paraId="5620EAB8">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20F169B8">
            <w:pPr>
              <w:widowControl/>
              <w:spacing w:beforeLines="0"/>
              <w:jc w:val="left"/>
              <w:rPr>
                <w:rFonts w:ascii="宋体" w:hAnsi="宋体" w:cs="宋体"/>
                <w:color w:val="auto"/>
                <w:kern w:val="0"/>
                <w:sz w:val="22"/>
                <w:szCs w:val="22"/>
                <w:highlight w:val="none"/>
              </w:rPr>
            </w:pPr>
          </w:p>
        </w:tc>
        <w:tc>
          <w:tcPr>
            <w:tcW w:w="2261" w:type="dxa"/>
            <w:noWrap w:val="0"/>
            <w:vAlign w:val="center"/>
          </w:tcPr>
          <w:p w14:paraId="176CE24F">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历史数据变化趋势</w:t>
            </w:r>
          </w:p>
        </w:tc>
        <w:tc>
          <w:tcPr>
            <w:tcW w:w="1134" w:type="dxa"/>
            <w:vMerge w:val="continue"/>
            <w:noWrap w:val="0"/>
            <w:vAlign w:val="center"/>
          </w:tcPr>
          <w:p w14:paraId="45154C33">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71564D2A">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5C2B3B0F">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2BCE31C6">
            <w:pPr>
              <w:widowControl/>
              <w:spacing w:beforeLines="0"/>
              <w:jc w:val="left"/>
              <w:rPr>
                <w:rFonts w:ascii="宋体" w:hAnsi="宋体" w:cs="宋体"/>
                <w:color w:val="auto"/>
                <w:kern w:val="0"/>
                <w:sz w:val="22"/>
                <w:szCs w:val="22"/>
                <w:highlight w:val="none"/>
              </w:rPr>
            </w:pPr>
          </w:p>
        </w:tc>
      </w:tr>
      <w:tr w14:paraId="6B107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79DB95BF">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274</w:t>
            </w:r>
          </w:p>
        </w:tc>
        <w:tc>
          <w:tcPr>
            <w:tcW w:w="1745" w:type="dxa"/>
            <w:vMerge w:val="continue"/>
            <w:noWrap w:val="0"/>
            <w:vAlign w:val="center"/>
          </w:tcPr>
          <w:p w14:paraId="35484447">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402E3D78">
            <w:pPr>
              <w:widowControl/>
              <w:spacing w:beforeLines="0"/>
              <w:jc w:val="left"/>
              <w:rPr>
                <w:rFonts w:ascii="宋体" w:hAnsi="宋体" w:cs="宋体"/>
                <w:color w:val="auto"/>
                <w:kern w:val="0"/>
                <w:sz w:val="22"/>
                <w:szCs w:val="22"/>
                <w:highlight w:val="none"/>
              </w:rPr>
            </w:pPr>
          </w:p>
        </w:tc>
        <w:tc>
          <w:tcPr>
            <w:tcW w:w="2261" w:type="dxa"/>
            <w:noWrap w:val="0"/>
            <w:vAlign w:val="center"/>
          </w:tcPr>
          <w:p w14:paraId="2EFAA4DA">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疾病风险预估</w:t>
            </w:r>
          </w:p>
        </w:tc>
        <w:tc>
          <w:tcPr>
            <w:tcW w:w="1134" w:type="dxa"/>
            <w:vMerge w:val="continue"/>
            <w:noWrap w:val="0"/>
            <w:vAlign w:val="center"/>
          </w:tcPr>
          <w:p w14:paraId="1A89FB48">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5D4F628B">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0F0265A2">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4D689A19">
            <w:pPr>
              <w:widowControl/>
              <w:spacing w:beforeLines="0"/>
              <w:jc w:val="left"/>
              <w:rPr>
                <w:rFonts w:ascii="宋体" w:hAnsi="宋体" w:cs="宋体"/>
                <w:color w:val="auto"/>
                <w:kern w:val="0"/>
                <w:sz w:val="22"/>
                <w:szCs w:val="22"/>
                <w:highlight w:val="none"/>
              </w:rPr>
            </w:pPr>
          </w:p>
        </w:tc>
      </w:tr>
      <w:tr w14:paraId="45B4B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18A578B1">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275</w:t>
            </w:r>
          </w:p>
        </w:tc>
        <w:tc>
          <w:tcPr>
            <w:tcW w:w="1745" w:type="dxa"/>
            <w:vMerge w:val="continue"/>
            <w:noWrap w:val="0"/>
            <w:vAlign w:val="center"/>
          </w:tcPr>
          <w:p w14:paraId="17DFAE02">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6E52E0A9">
            <w:pPr>
              <w:widowControl/>
              <w:spacing w:beforeLines="0"/>
              <w:jc w:val="left"/>
              <w:rPr>
                <w:rFonts w:ascii="宋体" w:hAnsi="宋体" w:cs="宋体"/>
                <w:color w:val="auto"/>
                <w:kern w:val="0"/>
                <w:sz w:val="22"/>
                <w:szCs w:val="22"/>
                <w:highlight w:val="none"/>
              </w:rPr>
            </w:pPr>
          </w:p>
        </w:tc>
        <w:tc>
          <w:tcPr>
            <w:tcW w:w="2261" w:type="dxa"/>
            <w:noWrap w:val="0"/>
            <w:vAlign w:val="center"/>
          </w:tcPr>
          <w:p w14:paraId="3CAD1559">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患病风险解读</w:t>
            </w:r>
          </w:p>
        </w:tc>
        <w:tc>
          <w:tcPr>
            <w:tcW w:w="1134" w:type="dxa"/>
            <w:vMerge w:val="continue"/>
            <w:noWrap w:val="0"/>
            <w:vAlign w:val="center"/>
          </w:tcPr>
          <w:p w14:paraId="2FDF94BE">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5C3394FB">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777A05C7">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1342185B">
            <w:pPr>
              <w:widowControl/>
              <w:spacing w:beforeLines="0"/>
              <w:jc w:val="left"/>
              <w:rPr>
                <w:rFonts w:ascii="宋体" w:hAnsi="宋体" w:cs="宋体"/>
                <w:color w:val="auto"/>
                <w:kern w:val="0"/>
                <w:sz w:val="22"/>
                <w:szCs w:val="22"/>
                <w:highlight w:val="none"/>
              </w:rPr>
            </w:pPr>
          </w:p>
        </w:tc>
      </w:tr>
      <w:tr w14:paraId="1FB35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2F658BF9">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276</w:t>
            </w:r>
          </w:p>
        </w:tc>
        <w:tc>
          <w:tcPr>
            <w:tcW w:w="1745" w:type="dxa"/>
            <w:vMerge w:val="continue"/>
            <w:noWrap w:val="0"/>
            <w:vAlign w:val="center"/>
          </w:tcPr>
          <w:p w14:paraId="48E9C0D3">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40845CFD">
            <w:pPr>
              <w:widowControl/>
              <w:spacing w:beforeLines="0"/>
              <w:jc w:val="left"/>
              <w:rPr>
                <w:rFonts w:ascii="宋体" w:hAnsi="宋体" w:cs="宋体"/>
                <w:color w:val="auto"/>
                <w:kern w:val="0"/>
                <w:sz w:val="22"/>
                <w:szCs w:val="22"/>
                <w:highlight w:val="none"/>
              </w:rPr>
            </w:pPr>
          </w:p>
        </w:tc>
        <w:tc>
          <w:tcPr>
            <w:tcW w:w="2261" w:type="dxa"/>
            <w:noWrap w:val="0"/>
            <w:vAlign w:val="center"/>
          </w:tcPr>
          <w:p w14:paraId="52445CC8">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健康管理计划</w:t>
            </w:r>
          </w:p>
        </w:tc>
        <w:tc>
          <w:tcPr>
            <w:tcW w:w="1134" w:type="dxa"/>
            <w:vMerge w:val="continue"/>
            <w:noWrap w:val="0"/>
            <w:vAlign w:val="center"/>
          </w:tcPr>
          <w:p w14:paraId="2D5B0C71">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5C2C9713">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133C017B">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0C7ADA0D">
            <w:pPr>
              <w:widowControl/>
              <w:spacing w:beforeLines="0"/>
              <w:jc w:val="left"/>
              <w:rPr>
                <w:rFonts w:ascii="宋体" w:hAnsi="宋体" w:cs="宋体"/>
                <w:color w:val="auto"/>
                <w:kern w:val="0"/>
                <w:sz w:val="22"/>
                <w:szCs w:val="22"/>
                <w:highlight w:val="none"/>
              </w:rPr>
            </w:pPr>
          </w:p>
        </w:tc>
      </w:tr>
      <w:tr w14:paraId="3CE51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6F078328">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277</w:t>
            </w:r>
          </w:p>
        </w:tc>
        <w:tc>
          <w:tcPr>
            <w:tcW w:w="1745" w:type="dxa"/>
            <w:vMerge w:val="continue"/>
            <w:noWrap w:val="0"/>
            <w:vAlign w:val="center"/>
          </w:tcPr>
          <w:p w14:paraId="0CFFFC3E">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0BD38362">
            <w:pPr>
              <w:widowControl/>
              <w:spacing w:beforeLines="0"/>
              <w:jc w:val="left"/>
              <w:rPr>
                <w:rFonts w:ascii="宋体" w:hAnsi="宋体" w:cs="宋体"/>
                <w:color w:val="auto"/>
                <w:kern w:val="0"/>
                <w:sz w:val="22"/>
                <w:szCs w:val="22"/>
                <w:highlight w:val="none"/>
              </w:rPr>
            </w:pPr>
          </w:p>
        </w:tc>
        <w:tc>
          <w:tcPr>
            <w:tcW w:w="2261" w:type="dxa"/>
            <w:noWrap w:val="0"/>
            <w:vAlign w:val="center"/>
          </w:tcPr>
          <w:p w14:paraId="6922244C">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饮食方案计划</w:t>
            </w:r>
          </w:p>
        </w:tc>
        <w:tc>
          <w:tcPr>
            <w:tcW w:w="1134" w:type="dxa"/>
            <w:vMerge w:val="continue"/>
            <w:noWrap w:val="0"/>
            <w:vAlign w:val="center"/>
          </w:tcPr>
          <w:p w14:paraId="2FDF03C6">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3E065CA1">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125BEC41">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09BFF9D9">
            <w:pPr>
              <w:widowControl/>
              <w:spacing w:beforeLines="0"/>
              <w:jc w:val="left"/>
              <w:rPr>
                <w:rFonts w:ascii="宋体" w:hAnsi="宋体" w:cs="宋体"/>
                <w:color w:val="auto"/>
                <w:kern w:val="0"/>
                <w:sz w:val="22"/>
                <w:szCs w:val="22"/>
                <w:highlight w:val="none"/>
              </w:rPr>
            </w:pPr>
          </w:p>
        </w:tc>
      </w:tr>
      <w:tr w14:paraId="3DC18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ign w:val="center"/>
          </w:tcPr>
          <w:p w14:paraId="01E66B46">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278</w:t>
            </w:r>
          </w:p>
        </w:tc>
        <w:tc>
          <w:tcPr>
            <w:tcW w:w="1745" w:type="dxa"/>
            <w:vMerge w:val="continue"/>
            <w:noWrap w:val="0"/>
            <w:vAlign w:val="center"/>
          </w:tcPr>
          <w:p w14:paraId="58FE30E0">
            <w:pPr>
              <w:widowControl/>
              <w:spacing w:beforeLines="0"/>
              <w:jc w:val="left"/>
              <w:rPr>
                <w:rFonts w:ascii="宋体" w:hAnsi="宋体" w:cs="宋体"/>
                <w:color w:val="auto"/>
                <w:kern w:val="0"/>
                <w:sz w:val="22"/>
                <w:szCs w:val="22"/>
                <w:highlight w:val="none"/>
              </w:rPr>
            </w:pPr>
          </w:p>
        </w:tc>
        <w:tc>
          <w:tcPr>
            <w:tcW w:w="806" w:type="dxa"/>
            <w:vMerge w:val="continue"/>
            <w:noWrap w:val="0"/>
            <w:vAlign w:val="center"/>
          </w:tcPr>
          <w:p w14:paraId="37362D36">
            <w:pPr>
              <w:widowControl/>
              <w:spacing w:beforeLines="0"/>
              <w:jc w:val="left"/>
              <w:rPr>
                <w:rFonts w:ascii="宋体" w:hAnsi="宋体" w:cs="宋体"/>
                <w:color w:val="auto"/>
                <w:kern w:val="0"/>
                <w:sz w:val="22"/>
                <w:szCs w:val="22"/>
                <w:highlight w:val="none"/>
              </w:rPr>
            </w:pPr>
          </w:p>
        </w:tc>
        <w:tc>
          <w:tcPr>
            <w:tcW w:w="2261" w:type="dxa"/>
            <w:noWrap w:val="0"/>
            <w:vAlign w:val="center"/>
          </w:tcPr>
          <w:p w14:paraId="48F10038">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运动方案计划</w:t>
            </w:r>
          </w:p>
        </w:tc>
        <w:tc>
          <w:tcPr>
            <w:tcW w:w="1134" w:type="dxa"/>
            <w:vMerge w:val="continue"/>
            <w:noWrap w:val="0"/>
            <w:vAlign w:val="center"/>
          </w:tcPr>
          <w:p w14:paraId="7B5772DF">
            <w:pPr>
              <w:widowControl/>
              <w:spacing w:beforeLines="0"/>
              <w:jc w:val="left"/>
              <w:rPr>
                <w:rFonts w:ascii="宋体" w:hAnsi="宋体" w:cs="宋体"/>
                <w:color w:val="auto"/>
                <w:kern w:val="0"/>
                <w:sz w:val="22"/>
                <w:szCs w:val="22"/>
                <w:highlight w:val="none"/>
              </w:rPr>
            </w:pPr>
          </w:p>
        </w:tc>
        <w:tc>
          <w:tcPr>
            <w:tcW w:w="709" w:type="dxa"/>
            <w:vMerge w:val="continue"/>
            <w:noWrap w:val="0"/>
            <w:vAlign w:val="center"/>
          </w:tcPr>
          <w:p w14:paraId="78A0D93D">
            <w:pPr>
              <w:widowControl/>
              <w:spacing w:beforeLines="0"/>
              <w:jc w:val="left"/>
              <w:rPr>
                <w:rFonts w:ascii="宋体" w:hAnsi="宋体" w:cs="宋体"/>
                <w:color w:val="auto"/>
                <w:kern w:val="0"/>
                <w:sz w:val="22"/>
                <w:szCs w:val="22"/>
                <w:highlight w:val="none"/>
              </w:rPr>
            </w:pPr>
          </w:p>
        </w:tc>
        <w:tc>
          <w:tcPr>
            <w:tcW w:w="708" w:type="dxa"/>
            <w:vMerge w:val="continue"/>
            <w:noWrap w:val="0"/>
            <w:vAlign w:val="center"/>
          </w:tcPr>
          <w:p w14:paraId="0F2F284A">
            <w:pPr>
              <w:widowControl/>
              <w:spacing w:beforeLines="0"/>
              <w:jc w:val="left"/>
              <w:rPr>
                <w:rFonts w:ascii="宋体" w:hAnsi="宋体" w:cs="宋体"/>
                <w:color w:val="auto"/>
                <w:kern w:val="0"/>
                <w:sz w:val="22"/>
                <w:szCs w:val="22"/>
                <w:highlight w:val="none"/>
              </w:rPr>
            </w:pPr>
          </w:p>
        </w:tc>
        <w:tc>
          <w:tcPr>
            <w:tcW w:w="993" w:type="dxa"/>
            <w:vMerge w:val="continue"/>
            <w:noWrap w:val="0"/>
            <w:vAlign w:val="center"/>
          </w:tcPr>
          <w:p w14:paraId="71ED906A">
            <w:pPr>
              <w:widowControl/>
              <w:spacing w:beforeLines="0"/>
              <w:jc w:val="left"/>
              <w:rPr>
                <w:rFonts w:ascii="宋体" w:hAnsi="宋体" w:cs="宋体"/>
                <w:color w:val="auto"/>
                <w:kern w:val="0"/>
                <w:sz w:val="22"/>
                <w:szCs w:val="22"/>
                <w:highlight w:val="none"/>
              </w:rPr>
            </w:pPr>
          </w:p>
        </w:tc>
      </w:tr>
      <w:tr w14:paraId="5A23F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6" w:type="dxa"/>
            <w:noWrap w:val="0"/>
            <w:vAlign w:val="center"/>
          </w:tcPr>
          <w:p w14:paraId="7649F070">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二</w:t>
            </w:r>
          </w:p>
        </w:tc>
        <w:tc>
          <w:tcPr>
            <w:tcW w:w="1745" w:type="dxa"/>
            <w:noWrap w:val="0"/>
            <w:vAlign w:val="center"/>
          </w:tcPr>
          <w:p w14:paraId="13751462">
            <w:pPr>
              <w:widowControl/>
              <w:spacing w:beforeLines="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云资源</w:t>
            </w:r>
          </w:p>
        </w:tc>
        <w:tc>
          <w:tcPr>
            <w:tcW w:w="806" w:type="dxa"/>
            <w:noWrap w:val="0"/>
            <w:vAlign w:val="center"/>
          </w:tcPr>
          <w:p w14:paraId="0F3036AE">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261" w:type="dxa"/>
            <w:noWrap w:val="0"/>
            <w:vAlign w:val="center"/>
          </w:tcPr>
          <w:p w14:paraId="0872AA06">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134" w:type="dxa"/>
            <w:noWrap w:val="0"/>
            <w:vAlign w:val="center"/>
          </w:tcPr>
          <w:p w14:paraId="7AD83FEA">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709" w:type="dxa"/>
            <w:noWrap w:val="0"/>
            <w:vAlign w:val="center"/>
          </w:tcPr>
          <w:p w14:paraId="3AE06918">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708" w:type="dxa"/>
            <w:noWrap w:val="0"/>
            <w:vAlign w:val="center"/>
          </w:tcPr>
          <w:p w14:paraId="71B3E398">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993" w:type="dxa"/>
            <w:noWrap w:val="0"/>
            <w:vAlign w:val="center"/>
          </w:tcPr>
          <w:p w14:paraId="79C8E2CD">
            <w:pPr>
              <w:widowControl/>
              <w:spacing w:beforeLines="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14:paraId="14515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06" w:type="dxa"/>
            <w:noWrap w:val="0"/>
            <w:vAlign w:val="center"/>
          </w:tcPr>
          <w:p w14:paraId="1EADAE3A">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745" w:type="dxa"/>
            <w:vMerge w:val="restart"/>
            <w:noWrap w:val="0"/>
            <w:vAlign w:val="center"/>
          </w:tcPr>
          <w:p w14:paraId="6588DA71">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服务器和计算机设备</w:t>
            </w:r>
          </w:p>
        </w:tc>
        <w:tc>
          <w:tcPr>
            <w:tcW w:w="806" w:type="dxa"/>
            <w:noWrap w:val="0"/>
            <w:vAlign w:val="center"/>
          </w:tcPr>
          <w:p w14:paraId="5EAF48C4">
            <w:pPr>
              <w:widowControl/>
              <w:spacing w:beforeLines="0"/>
              <w:jc w:val="left"/>
              <w:rPr>
                <w:rFonts w:hint="eastAsia" w:ascii="宋体" w:hAnsi="宋体" w:cs="宋体"/>
                <w:color w:val="auto"/>
                <w:kern w:val="0"/>
                <w:sz w:val="22"/>
                <w:szCs w:val="22"/>
                <w:highlight w:val="none"/>
              </w:rPr>
            </w:pPr>
            <w:bookmarkStart w:id="36" w:name="OLE_LINK3"/>
            <w:r>
              <w:rPr>
                <w:rFonts w:hint="eastAsia" w:ascii="宋体" w:hAnsi="宋体" w:cs="宋体"/>
                <w:color w:val="auto"/>
                <w:kern w:val="0"/>
                <w:sz w:val="22"/>
                <w:szCs w:val="22"/>
                <w:highlight w:val="none"/>
              </w:rPr>
              <w:t>云服务器</w:t>
            </w:r>
            <w:bookmarkEnd w:id="36"/>
            <w:r>
              <w:rPr>
                <w:rFonts w:hint="eastAsia" w:ascii="宋体" w:hAnsi="宋体" w:cs="宋体"/>
                <w:color w:val="auto"/>
                <w:kern w:val="0"/>
                <w:sz w:val="22"/>
                <w:szCs w:val="22"/>
                <w:highlight w:val="none"/>
              </w:rPr>
              <w:t>1</w:t>
            </w:r>
          </w:p>
        </w:tc>
        <w:tc>
          <w:tcPr>
            <w:tcW w:w="2261" w:type="dxa"/>
            <w:noWrap w:val="0"/>
            <w:vAlign w:val="center"/>
          </w:tcPr>
          <w:p w14:paraId="20F093DC">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处理器≥8核/内存≥16GB/系统盘≥100GB/数据盘≥200GB/操作系统: 信创操作系统</w:t>
            </w:r>
          </w:p>
        </w:tc>
        <w:tc>
          <w:tcPr>
            <w:tcW w:w="1134" w:type="dxa"/>
            <w:vMerge w:val="restart"/>
            <w:noWrap w:val="0"/>
            <w:vAlign w:val="center"/>
          </w:tcPr>
          <w:p w14:paraId="3579E40F">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绍兴政务云卫生专网</w:t>
            </w:r>
          </w:p>
        </w:tc>
        <w:tc>
          <w:tcPr>
            <w:tcW w:w="709" w:type="dxa"/>
            <w:noWrap w:val="0"/>
            <w:vAlign w:val="center"/>
          </w:tcPr>
          <w:p w14:paraId="280289A5">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708" w:type="dxa"/>
            <w:noWrap w:val="0"/>
            <w:vAlign w:val="center"/>
          </w:tcPr>
          <w:p w14:paraId="6916C743">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台</w:t>
            </w:r>
          </w:p>
        </w:tc>
        <w:tc>
          <w:tcPr>
            <w:tcW w:w="993" w:type="dxa"/>
            <w:vMerge w:val="restart"/>
            <w:noWrap w:val="0"/>
            <w:vAlign w:val="center"/>
          </w:tcPr>
          <w:p w14:paraId="359C540B">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云服务租赁期限：三年</w:t>
            </w:r>
          </w:p>
        </w:tc>
      </w:tr>
      <w:tr w14:paraId="5250F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06" w:type="dxa"/>
            <w:noWrap w:val="0"/>
            <w:vAlign w:val="center"/>
          </w:tcPr>
          <w:p w14:paraId="5485C827">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1745" w:type="dxa"/>
            <w:vMerge w:val="continue"/>
            <w:noWrap w:val="0"/>
            <w:vAlign w:val="center"/>
          </w:tcPr>
          <w:p w14:paraId="13410557">
            <w:pPr>
              <w:widowControl/>
              <w:spacing w:beforeLines="0"/>
              <w:jc w:val="left"/>
              <w:rPr>
                <w:rFonts w:ascii="宋体" w:hAnsi="宋体" w:cs="宋体"/>
                <w:color w:val="auto"/>
                <w:kern w:val="0"/>
                <w:sz w:val="22"/>
                <w:szCs w:val="22"/>
                <w:highlight w:val="none"/>
              </w:rPr>
            </w:pPr>
          </w:p>
        </w:tc>
        <w:tc>
          <w:tcPr>
            <w:tcW w:w="806" w:type="dxa"/>
            <w:noWrap w:val="0"/>
            <w:vAlign w:val="center"/>
          </w:tcPr>
          <w:p w14:paraId="756A8CE0">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云服务器2</w:t>
            </w:r>
          </w:p>
        </w:tc>
        <w:tc>
          <w:tcPr>
            <w:tcW w:w="2261" w:type="dxa"/>
            <w:noWrap w:val="0"/>
            <w:vAlign w:val="center"/>
          </w:tcPr>
          <w:p w14:paraId="7E080EBE">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处理器≥16核/内存≥32GB/系统盘≥100GB/数据盘≥100GB/操作系统: 信创操作系统</w:t>
            </w:r>
          </w:p>
        </w:tc>
        <w:tc>
          <w:tcPr>
            <w:tcW w:w="1134" w:type="dxa"/>
            <w:vMerge w:val="continue"/>
            <w:noWrap w:val="0"/>
            <w:vAlign w:val="center"/>
          </w:tcPr>
          <w:p w14:paraId="10F5D450">
            <w:pPr>
              <w:widowControl/>
              <w:spacing w:beforeLines="0"/>
              <w:jc w:val="left"/>
              <w:rPr>
                <w:rFonts w:ascii="宋体" w:hAnsi="宋体" w:cs="宋体"/>
                <w:color w:val="auto"/>
                <w:kern w:val="0"/>
                <w:sz w:val="22"/>
                <w:szCs w:val="22"/>
                <w:highlight w:val="none"/>
              </w:rPr>
            </w:pPr>
          </w:p>
        </w:tc>
        <w:tc>
          <w:tcPr>
            <w:tcW w:w="709" w:type="dxa"/>
            <w:noWrap w:val="0"/>
            <w:vAlign w:val="center"/>
          </w:tcPr>
          <w:p w14:paraId="21FB82E7">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708" w:type="dxa"/>
            <w:noWrap w:val="0"/>
            <w:vAlign w:val="center"/>
          </w:tcPr>
          <w:p w14:paraId="056696E4">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台</w:t>
            </w:r>
          </w:p>
        </w:tc>
        <w:tc>
          <w:tcPr>
            <w:tcW w:w="993" w:type="dxa"/>
            <w:vMerge w:val="continue"/>
            <w:noWrap w:val="0"/>
            <w:vAlign w:val="center"/>
          </w:tcPr>
          <w:p w14:paraId="5247662C">
            <w:pPr>
              <w:widowControl/>
              <w:spacing w:beforeLines="0"/>
              <w:jc w:val="left"/>
              <w:rPr>
                <w:rFonts w:ascii="宋体" w:hAnsi="宋体" w:cs="宋体"/>
                <w:color w:val="auto"/>
                <w:kern w:val="0"/>
                <w:sz w:val="22"/>
                <w:szCs w:val="22"/>
                <w:highlight w:val="none"/>
              </w:rPr>
            </w:pPr>
          </w:p>
        </w:tc>
      </w:tr>
      <w:tr w14:paraId="0D3CA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06" w:type="dxa"/>
            <w:noWrap w:val="0"/>
            <w:vAlign w:val="center"/>
          </w:tcPr>
          <w:p w14:paraId="016FC460">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1745" w:type="dxa"/>
            <w:vMerge w:val="continue"/>
            <w:noWrap w:val="0"/>
            <w:vAlign w:val="center"/>
          </w:tcPr>
          <w:p w14:paraId="0B025D6D">
            <w:pPr>
              <w:widowControl/>
              <w:spacing w:beforeLines="0"/>
              <w:jc w:val="left"/>
              <w:rPr>
                <w:rFonts w:ascii="宋体" w:hAnsi="宋体" w:cs="宋体"/>
                <w:color w:val="auto"/>
                <w:kern w:val="0"/>
                <w:sz w:val="22"/>
                <w:szCs w:val="22"/>
                <w:highlight w:val="none"/>
              </w:rPr>
            </w:pPr>
          </w:p>
        </w:tc>
        <w:tc>
          <w:tcPr>
            <w:tcW w:w="806" w:type="dxa"/>
            <w:noWrap w:val="0"/>
            <w:vAlign w:val="center"/>
          </w:tcPr>
          <w:p w14:paraId="1D59F85F">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云服务器3</w:t>
            </w:r>
          </w:p>
        </w:tc>
        <w:tc>
          <w:tcPr>
            <w:tcW w:w="2261" w:type="dxa"/>
            <w:noWrap w:val="0"/>
            <w:vAlign w:val="center"/>
          </w:tcPr>
          <w:p w14:paraId="1748D7B0">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处理器≥32核/内存≥64GB/系统盘≥100GB/数据盘≥3072GB/操作系统:信创操作系统</w:t>
            </w:r>
          </w:p>
        </w:tc>
        <w:tc>
          <w:tcPr>
            <w:tcW w:w="1134" w:type="dxa"/>
            <w:vMerge w:val="continue"/>
            <w:noWrap w:val="0"/>
            <w:vAlign w:val="center"/>
          </w:tcPr>
          <w:p w14:paraId="6D9FCF46">
            <w:pPr>
              <w:widowControl/>
              <w:spacing w:beforeLines="0"/>
              <w:jc w:val="left"/>
              <w:rPr>
                <w:rFonts w:ascii="宋体" w:hAnsi="宋体" w:cs="宋体"/>
                <w:color w:val="auto"/>
                <w:kern w:val="0"/>
                <w:sz w:val="22"/>
                <w:szCs w:val="22"/>
                <w:highlight w:val="none"/>
              </w:rPr>
            </w:pPr>
          </w:p>
        </w:tc>
        <w:tc>
          <w:tcPr>
            <w:tcW w:w="709" w:type="dxa"/>
            <w:noWrap w:val="0"/>
            <w:vAlign w:val="center"/>
          </w:tcPr>
          <w:p w14:paraId="7AC8E535">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708" w:type="dxa"/>
            <w:noWrap w:val="0"/>
            <w:vAlign w:val="center"/>
          </w:tcPr>
          <w:p w14:paraId="6D7AC8E4">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台</w:t>
            </w:r>
          </w:p>
        </w:tc>
        <w:tc>
          <w:tcPr>
            <w:tcW w:w="993" w:type="dxa"/>
            <w:vMerge w:val="continue"/>
            <w:noWrap w:val="0"/>
            <w:vAlign w:val="center"/>
          </w:tcPr>
          <w:p w14:paraId="75A2F8D2">
            <w:pPr>
              <w:widowControl/>
              <w:spacing w:beforeLines="0"/>
              <w:jc w:val="left"/>
              <w:rPr>
                <w:rFonts w:ascii="宋体" w:hAnsi="宋体" w:cs="宋体"/>
                <w:color w:val="auto"/>
                <w:kern w:val="0"/>
                <w:sz w:val="22"/>
                <w:szCs w:val="22"/>
                <w:highlight w:val="none"/>
              </w:rPr>
            </w:pPr>
          </w:p>
        </w:tc>
      </w:tr>
      <w:tr w14:paraId="3C4A0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06" w:type="dxa"/>
            <w:noWrap w:val="0"/>
            <w:vAlign w:val="center"/>
          </w:tcPr>
          <w:p w14:paraId="528F8C3E">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1745" w:type="dxa"/>
            <w:vMerge w:val="continue"/>
            <w:noWrap w:val="0"/>
            <w:vAlign w:val="center"/>
          </w:tcPr>
          <w:p w14:paraId="32EEB5A6">
            <w:pPr>
              <w:widowControl/>
              <w:spacing w:beforeLines="0"/>
              <w:jc w:val="left"/>
              <w:rPr>
                <w:rFonts w:ascii="宋体" w:hAnsi="宋体" w:cs="宋体"/>
                <w:color w:val="auto"/>
                <w:kern w:val="0"/>
                <w:sz w:val="22"/>
                <w:szCs w:val="22"/>
                <w:highlight w:val="none"/>
              </w:rPr>
            </w:pPr>
          </w:p>
        </w:tc>
        <w:tc>
          <w:tcPr>
            <w:tcW w:w="806" w:type="dxa"/>
            <w:noWrap w:val="0"/>
            <w:vAlign w:val="center"/>
          </w:tcPr>
          <w:p w14:paraId="64595A10">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云服务器4</w:t>
            </w:r>
          </w:p>
        </w:tc>
        <w:tc>
          <w:tcPr>
            <w:tcW w:w="2261" w:type="dxa"/>
            <w:noWrap w:val="0"/>
            <w:vAlign w:val="center"/>
          </w:tcPr>
          <w:p w14:paraId="7E2AC058">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处理器≥16核/内存≥64GB/数据盘≥1TB/操作系统：信创操作系统</w:t>
            </w:r>
          </w:p>
        </w:tc>
        <w:tc>
          <w:tcPr>
            <w:tcW w:w="1134" w:type="dxa"/>
            <w:vMerge w:val="continue"/>
            <w:noWrap w:val="0"/>
            <w:vAlign w:val="center"/>
          </w:tcPr>
          <w:p w14:paraId="03791912">
            <w:pPr>
              <w:widowControl/>
              <w:spacing w:beforeLines="0"/>
              <w:jc w:val="left"/>
              <w:rPr>
                <w:rFonts w:ascii="宋体" w:hAnsi="宋体" w:cs="宋体"/>
                <w:color w:val="auto"/>
                <w:kern w:val="0"/>
                <w:sz w:val="22"/>
                <w:szCs w:val="22"/>
                <w:highlight w:val="none"/>
              </w:rPr>
            </w:pPr>
          </w:p>
        </w:tc>
        <w:tc>
          <w:tcPr>
            <w:tcW w:w="709" w:type="dxa"/>
            <w:noWrap w:val="0"/>
            <w:vAlign w:val="center"/>
          </w:tcPr>
          <w:p w14:paraId="6FDAAC80">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708" w:type="dxa"/>
            <w:noWrap w:val="0"/>
            <w:vAlign w:val="center"/>
          </w:tcPr>
          <w:p w14:paraId="06D1B04F">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台</w:t>
            </w:r>
          </w:p>
        </w:tc>
        <w:tc>
          <w:tcPr>
            <w:tcW w:w="993" w:type="dxa"/>
            <w:vMerge w:val="continue"/>
            <w:noWrap w:val="0"/>
            <w:vAlign w:val="center"/>
          </w:tcPr>
          <w:p w14:paraId="1F42E33B">
            <w:pPr>
              <w:widowControl/>
              <w:spacing w:beforeLines="0"/>
              <w:jc w:val="left"/>
              <w:rPr>
                <w:rFonts w:ascii="宋体" w:hAnsi="宋体" w:cs="宋体"/>
                <w:color w:val="auto"/>
                <w:kern w:val="0"/>
                <w:sz w:val="22"/>
                <w:szCs w:val="22"/>
                <w:highlight w:val="none"/>
              </w:rPr>
            </w:pPr>
          </w:p>
        </w:tc>
      </w:tr>
      <w:tr w14:paraId="2B869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06" w:type="dxa"/>
            <w:noWrap w:val="0"/>
            <w:vAlign w:val="center"/>
          </w:tcPr>
          <w:p w14:paraId="06D2CCB7">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w:t>
            </w:r>
          </w:p>
        </w:tc>
        <w:tc>
          <w:tcPr>
            <w:tcW w:w="1745" w:type="dxa"/>
            <w:vMerge w:val="continue"/>
            <w:noWrap w:val="0"/>
            <w:vAlign w:val="center"/>
          </w:tcPr>
          <w:p w14:paraId="3611D366">
            <w:pPr>
              <w:widowControl/>
              <w:spacing w:beforeLines="0"/>
              <w:jc w:val="left"/>
              <w:rPr>
                <w:rFonts w:ascii="宋体" w:hAnsi="宋体" w:cs="宋体"/>
                <w:color w:val="auto"/>
                <w:kern w:val="0"/>
                <w:sz w:val="22"/>
                <w:szCs w:val="22"/>
                <w:highlight w:val="none"/>
              </w:rPr>
            </w:pPr>
          </w:p>
        </w:tc>
        <w:tc>
          <w:tcPr>
            <w:tcW w:w="806" w:type="dxa"/>
            <w:noWrap w:val="0"/>
            <w:vAlign w:val="center"/>
          </w:tcPr>
          <w:p w14:paraId="1F8390A3">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云服务器5</w:t>
            </w:r>
          </w:p>
        </w:tc>
        <w:tc>
          <w:tcPr>
            <w:tcW w:w="2261" w:type="dxa"/>
            <w:noWrap w:val="0"/>
            <w:vAlign w:val="center"/>
          </w:tcPr>
          <w:p w14:paraId="37EFCB69">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处理器≥8核/内存：32GB/数据盘≥1TB/操作系统：信创操作系统</w:t>
            </w:r>
          </w:p>
        </w:tc>
        <w:tc>
          <w:tcPr>
            <w:tcW w:w="1134" w:type="dxa"/>
            <w:vMerge w:val="continue"/>
            <w:noWrap w:val="0"/>
            <w:vAlign w:val="center"/>
          </w:tcPr>
          <w:p w14:paraId="7ADE49E9">
            <w:pPr>
              <w:widowControl/>
              <w:spacing w:beforeLines="0"/>
              <w:jc w:val="left"/>
              <w:rPr>
                <w:rFonts w:ascii="宋体" w:hAnsi="宋体" w:cs="宋体"/>
                <w:color w:val="auto"/>
                <w:kern w:val="0"/>
                <w:sz w:val="22"/>
                <w:szCs w:val="22"/>
                <w:highlight w:val="none"/>
              </w:rPr>
            </w:pPr>
          </w:p>
        </w:tc>
        <w:tc>
          <w:tcPr>
            <w:tcW w:w="709" w:type="dxa"/>
            <w:noWrap w:val="0"/>
            <w:vAlign w:val="center"/>
          </w:tcPr>
          <w:p w14:paraId="2E369E1B">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708" w:type="dxa"/>
            <w:noWrap w:val="0"/>
            <w:vAlign w:val="center"/>
          </w:tcPr>
          <w:p w14:paraId="0E0CBE68">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台</w:t>
            </w:r>
          </w:p>
        </w:tc>
        <w:tc>
          <w:tcPr>
            <w:tcW w:w="993" w:type="dxa"/>
            <w:vMerge w:val="continue"/>
            <w:noWrap w:val="0"/>
            <w:vAlign w:val="center"/>
          </w:tcPr>
          <w:p w14:paraId="4084F30E">
            <w:pPr>
              <w:widowControl/>
              <w:spacing w:beforeLines="0"/>
              <w:jc w:val="left"/>
              <w:rPr>
                <w:rFonts w:ascii="宋体" w:hAnsi="宋体" w:cs="宋体"/>
                <w:color w:val="auto"/>
                <w:kern w:val="0"/>
                <w:sz w:val="22"/>
                <w:szCs w:val="22"/>
                <w:highlight w:val="none"/>
              </w:rPr>
            </w:pPr>
          </w:p>
        </w:tc>
      </w:tr>
      <w:tr w14:paraId="2DCB0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06" w:type="dxa"/>
            <w:noWrap w:val="0"/>
            <w:vAlign w:val="center"/>
          </w:tcPr>
          <w:p w14:paraId="321A298D">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6</w:t>
            </w:r>
          </w:p>
        </w:tc>
        <w:tc>
          <w:tcPr>
            <w:tcW w:w="1745" w:type="dxa"/>
            <w:vMerge w:val="continue"/>
            <w:noWrap w:val="0"/>
            <w:vAlign w:val="center"/>
          </w:tcPr>
          <w:p w14:paraId="6DBA8D97">
            <w:pPr>
              <w:widowControl/>
              <w:spacing w:beforeLines="0"/>
              <w:jc w:val="left"/>
              <w:rPr>
                <w:rFonts w:ascii="宋体" w:hAnsi="宋体" w:cs="宋体"/>
                <w:color w:val="auto"/>
                <w:kern w:val="0"/>
                <w:sz w:val="22"/>
                <w:szCs w:val="22"/>
                <w:highlight w:val="none"/>
              </w:rPr>
            </w:pPr>
          </w:p>
        </w:tc>
        <w:tc>
          <w:tcPr>
            <w:tcW w:w="806" w:type="dxa"/>
            <w:noWrap w:val="0"/>
            <w:vAlign w:val="center"/>
          </w:tcPr>
          <w:p w14:paraId="6B3A06F6">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云服务器6</w:t>
            </w:r>
          </w:p>
        </w:tc>
        <w:tc>
          <w:tcPr>
            <w:tcW w:w="2261" w:type="dxa"/>
            <w:noWrap w:val="0"/>
            <w:vAlign w:val="center"/>
          </w:tcPr>
          <w:p w14:paraId="1653C537">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处理器≥8核/内存：32GB/数据盘≥2TB/操作系统:信创操作系统</w:t>
            </w:r>
          </w:p>
        </w:tc>
        <w:tc>
          <w:tcPr>
            <w:tcW w:w="1134" w:type="dxa"/>
            <w:vMerge w:val="continue"/>
            <w:noWrap w:val="0"/>
            <w:vAlign w:val="center"/>
          </w:tcPr>
          <w:p w14:paraId="08BB1C76">
            <w:pPr>
              <w:widowControl/>
              <w:spacing w:beforeLines="0"/>
              <w:jc w:val="left"/>
              <w:rPr>
                <w:rFonts w:ascii="宋体" w:hAnsi="宋体" w:cs="宋体"/>
                <w:color w:val="auto"/>
                <w:kern w:val="0"/>
                <w:sz w:val="22"/>
                <w:szCs w:val="22"/>
                <w:highlight w:val="none"/>
              </w:rPr>
            </w:pPr>
          </w:p>
        </w:tc>
        <w:tc>
          <w:tcPr>
            <w:tcW w:w="709" w:type="dxa"/>
            <w:noWrap w:val="0"/>
            <w:vAlign w:val="center"/>
          </w:tcPr>
          <w:p w14:paraId="1B592C7C">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708" w:type="dxa"/>
            <w:noWrap w:val="0"/>
            <w:vAlign w:val="center"/>
          </w:tcPr>
          <w:p w14:paraId="0C614D64">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台</w:t>
            </w:r>
          </w:p>
        </w:tc>
        <w:tc>
          <w:tcPr>
            <w:tcW w:w="993" w:type="dxa"/>
            <w:vMerge w:val="continue"/>
            <w:noWrap w:val="0"/>
            <w:vAlign w:val="center"/>
          </w:tcPr>
          <w:p w14:paraId="7B812018">
            <w:pPr>
              <w:widowControl/>
              <w:spacing w:beforeLines="0"/>
              <w:jc w:val="left"/>
              <w:rPr>
                <w:rFonts w:ascii="宋体" w:hAnsi="宋体" w:cs="宋体"/>
                <w:color w:val="auto"/>
                <w:kern w:val="0"/>
                <w:sz w:val="22"/>
                <w:szCs w:val="22"/>
                <w:highlight w:val="none"/>
              </w:rPr>
            </w:pPr>
          </w:p>
        </w:tc>
      </w:tr>
      <w:tr w14:paraId="3EC3A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806" w:type="dxa"/>
            <w:noWrap w:val="0"/>
            <w:vAlign w:val="center"/>
          </w:tcPr>
          <w:p w14:paraId="6A1FFA2F">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7</w:t>
            </w:r>
          </w:p>
        </w:tc>
        <w:tc>
          <w:tcPr>
            <w:tcW w:w="1745" w:type="dxa"/>
            <w:vMerge w:val="restart"/>
            <w:noWrap w:val="0"/>
            <w:vAlign w:val="center"/>
          </w:tcPr>
          <w:p w14:paraId="30637EDA">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安全设备</w:t>
            </w:r>
          </w:p>
        </w:tc>
        <w:tc>
          <w:tcPr>
            <w:tcW w:w="806" w:type="dxa"/>
            <w:noWrap w:val="0"/>
            <w:vAlign w:val="center"/>
          </w:tcPr>
          <w:p w14:paraId="6F98B8A7">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基础安全包</w:t>
            </w:r>
          </w:p>
        </w:tc>
        <w:tc>
          <w:tcPr>
            <w:tcW w:w="2261" w:type="dxa"/>
            <w:noWrap w:val="0"/>
            <w:vAlign w:val="center"/>
          </w:tcPr>
          <w:p w14:paraId="7F5D611C">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需要包含主机安全加固（webshell检测、防暴力破解、安全基线）、综合日志审计、服务器加固、态势感知、堡垒机服务。</w:t>
            </w:r>
          </w:p>
        </w:tc>
        <w:tc>
          <w:tcPr>
            <w:tcW w:w="1134" w:type="dxa"/>
            <w:vMerge w:val="restart"/>
            <w:noWrap w:val="0"/>
            <w:vAlign w:val="center"/>
          </w:tcPr>
          <w:p w14:paraId="6368F5CC">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绍兴政务云卫生专网</w:t>
            </w:r>
          </w:p>
        </w:tc>
        <w:tc>
          <w:tcPr>
            <w:tcW w:w="709" w:type="dxa"/>
            <w:noWrap w:val="0"/>
            <w:vAlign w:val="center"/>
          </w:tcPr>
          <w:p w14:paraId="418039CB">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708" w:type="dxa"/>
            <w:noWrap w:val="0"/>
            <w:vAlign w:val="center"/>
          </w:tcPr>
          <w:p w14:paraId="0295FC6E">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993" w:type="dxa"/>
            <w:vMerge w:val="restart"/>
            <w:noWrap w:val="0"/>
            <w:vAlign w:val="center"/>
          </w:tcPr>
          <w:p w14:paraId="215E1952">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云服务租赁期限：三年</w:t>
            </w:r>
          </w:p>
        </w:tc>
      </w:tr>
      <w:tr w14:paraId="7D2A9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06" w:type="dxa"/>
            <w:noWrap w:val="0"/>
            <w:vAlign w:val="center"/>
          </w:tcPr>
          <w:p w14:paraId="12440D3F">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8</w:t>
            </w:r>
          </w:p>
        </w:tc>
        <w:tc>
          <w:tcPr>
            <w:tcW w:w="1745" w:type="dxa"/>
            <w:vMerge w:val="continue"/>
            <w:noWrap w:val="0"/>
            <w:vAlign w:val="center"/>
          </w:tcPr>
          <w:p w14:paraId="6ED7A31C">
            <w:pPr>
              <w:widowControl/>
              <w:spacing w:beforeLines="0"/>
              <w:jc w:val="left"/>
              <w:rPr>
                <w:rFonts w:ascii="宋体" w:hAnsi="宋体" w:cs="宋体"/>
                <w:color w:val="auto"/>
                <w:kern w:val="0"/>
                <w:sz w:val="22"/>
                <w:szCs w:val="22"/>
                <w:highlight w:val="none"/>
              </w:rPr>
            </w:pPr>
          </w:p>
        </w:tc>
        <w:tc>
          <w:tcPr>
            <w:tcW w:w="806" w:type="dxa"/>
            <w:noWrap w:val="0"/>
            <w:vAlign w:val="center"/>
          </w:tcPr>
          <w:p w14:paraId="48670CFE">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云</w:t>
            </w:r>
            <w:r>
              <w:rPr>
                <w:rFonts w:hint="eastAsia" w:ascii="宋体" w:hAnsi="宋体" w:cs="宋体"/>
                <w:color w:val="auto"/>
                <w:kern w:val="0"/>
                <w:sz w:val="24"/>
                <w:szCs w:val="24"/>
                <w:highlight w:val="none"/>
              </w:rPr>
              <w:t>WAF应用防火墙</w:t>
            </w:r>
          </w:p>
        </w:tc>
        <w:tc>
          <w:tcPr>
            <w:tcW w:w="2261" w:type="dxa"/>
            <w:noWrap w:val="0"/>
            <w:vAlign w:val="center"/>
          </w:tcPr>
          <w:p w14:paraId="28A0AB44">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需要包含Web常见攻击防护（防御OWASP 常见威胁：SQL注入、XSS跨站、Webshell上传、后门隔离保护、命令注入）、访问控制、提供基于源目的ip、源目的端口及时间维度的网络访问控制及黑白名单服务。</w:t>
            </w:r>
          </w:p>
        </w:tc>
        <w:tc>
          <w:tcPr>
            <w:tcW w:w="1134" w:type="dxa"/>
            <w:vMerge w:val="continue"/>
            <w:noWrap w:val="0"/>
            <w:vAlign w:val="center"/>
          </w:tcPr>
          <w:p w14:paraId="34D6E1D7">
            <w:pPr>
              <w:widowControl/>
              <w:spacing w:beforeLines="0"/>
              <w:jc w:val="left"/>
              <w:rPr>
                <w:rFonts w:ascii="宋体" w:hAnsi="宋体" w:cs="宋体"/>
                <w:color w:val="auto"/>
                <w:kern w:val="0"/>
                <w:sz w:val="22"/>
                <w:szCs w:val="22"/>
                <w:highlight w:val="none"/>
              </w:rPr>
            </w:pPr>
          </w:p>
        </w:tc>
        <w:tc>
          <w:tcPr>
            <w:tcW w:w="709" w:type="dxa"/>
            <w:noWrap w:val="0"/>
            <w:vAlign w:val="center"/>
          </w:tcPr>
          <w:p w14:paraId="72A72BC2">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708" w:type="dxa"/>
            <w:noWrap w:val="0"/>
            <w:vAlign w:val="center"/>
          </w:tcPr>
          <w:p w14:paraId="77C21B40">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993" w:type="dxa"/>
            <w:vMerge w:val="continue"/>
            <w:noWrap w:val="0"/>
            <w:vAlign w:val="center"/>
          </w:tcPr>
          <w:p w14:paraId="6F8336C9">
            <w:pPr>
              <w:widowControl/>
              <w:spacing w:beforeLines="0"/>
              <w:jc w:val="left"/>
              <w:rPr>
                <w:rFonts w:ascii="宋体" w:hAnsi="宋体" w:cs="宋体"/>
                <w:color w:val="auto"/>
                <w:kern w:val="0"/>
                <w:sz w:val="22"/>
                <w:szCs w:val="22"/>
                <w:highlight w:val="none"/>
              </w:rPr>
            </w:pPr>
          </w:p>
        </w:tc>
      </w:tr>
      <w:tr w14:paraId="18ABB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806" w:type="dxa"/>
            <w:noWrap w:val="0"/>
            <w:vAlign w:val="center"/>
          </w:tcPr>
          <w:p w14:paraId="0BCA4F83">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9</w:t>
            </w:r>
          </w:p>
        </w:tc>
        <w:tc>
          <w:tcPr>
            <w:tcW w:w="1745" w:type="dxa"/>
            <w:vMerge w:val="continue"/>
            <w:noWrap w:val="0"/>
            <w:vAlign w:val="center"/>
          </w:tcPr>
          <w:p w14:paraId="2F98B1D7">
            <w:pPr>
              <w:widowControl/>
              <w:spacing w:beforeLines="0"/>
              <w:jc w:val="left"/>
              <w:rPr>
                <w:rFonts w:ascii="宋体" w:hAnsi="宋体" w:cs="宋体"/>
                <w:color w:val="auto"/>
                <w:kern w:val="0"/>
                <w:sz w:val="22"/>
                <w:szCs w:val="22"/>
                <w:highlight w:val="none"/>
              </w:rPr>
            </w:pPr>
          </w:p>
        </w:tc>
        <w:tc>
          <w:tcPr>
            <w:tcW w:w="806" w:type="dxa"/>
            <w:noWrap w:val="0"/>
            <w:vAlign w:val="center"/>
          </w:tcPr>
          <w:p w14:paraId="4B53F61E">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云防火墙</w:t>
            </w:r>
          </w:p>
        </w:tc>
        <w:tc>
          <w:tcPr>
            <w:tcW w:w="2261" w:type="dxa"/>
            <w:noWrap w:val="0"/>
            <w:vAlign w:val="center"/>
          </w:tcPr>
          <w:p w14:paraId="79ACE5ED">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需要包含防病毒、入侵防御、对恶意软件进行防御的网络防护设备，防护各类病毒和恶意软件，对其进行隔离和清除，提供下一代防火墙功能。</w:t>
            </w:r>
          </w:p>
        </w:tc>
        <w:tc>
          <w:tcPr>
            <w:tcW w:w="1134" w:type="dxa"/>
            <w:vMerge w:val="continue"/>
            <w:noWrap w:val="0"/>
            <w:vAlign w:val="center"/>
          </w:tcPr>
          <w:p w14:paraId="6B5F1B4F">
            <w:pPr>
              <w:widowControl/>
              <w:spacing w:beforeLines="0"/>
              <w:jc w:val="left"/>
              <w:rPr>
                <w:rFonts w:ascii="宋体" w:hAnsi="宋体" w:cs="宋体"/>
                <w:color w:val="auto"/>
                <w:kern w:val="0"/>
                <w:sz w:val="22"/>
                <w:szCs w:val="22"/>
                <w:highlight w:val="none"/>
              </w:rPr>
            </w:pPr>
          </w:p>
        </w:tc>
        <w:tc>
          <w:tcPr>
            <w:tcW w:w="709" w:type="dxa"/>
            <w:noWrap w:val="0"/>
            <w:vAlign w:val="center"/>
          </w:tcPr>
          <w:p w14:paraId="07BD952D">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708" w:type="dxa"/>
            <w:noWrap w:val="0"/>
            <w:vAlign w:val="center"/>
          </w:tcPr>
          <w:p w14:paraId="482B8FAA">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993" w:type="dxa"/>
            <w:vMerge w:val="continue"/>
            <w:noWrap w:val="0"/>
            <w:vAlign w:val="center"/>
          </w:tcPr>
          <w:p w14:paraId="7EF68DAB">
            <w:pPr>
              <w:widowControl/>
              <w:spacing w:beforeLines="0"/>
              <w:jc w:val="left"/>
              <w:rPr>
                <w:rFonts w:ascii="宋体" w:hAnsi="宋体" w:cs="宋体"/>
                <w:color w:val="auto"/>
                <w:kern w:val="0"/>
                <w:sz w:val="22"/>
                <w:szCs w:val="22"/>
                <w:highlight w:val="none"/>
              </w:rPr>
            </w:pPr>
          </w:p>
        </w:tc>
      </w:tr>
      <w:tr w14:paraId="1D367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806" w:type="dxa"/>
            <w:noWrap w:val="0"/>
            <w:vAlign w:val="center"/>
          </w:tcPr>
          <w:p w14:paraId="48D4FDED">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10</w:t>
            </w:r>
          </w:p>
        </w:tc>
        <w:tc>
          <w:tcPr>
            <w:tcW w:w="1745" w:type="dxa"/>
            <w:vMerge w:val="continue"/>
            <w:noWrap w:val="0"/>
            <w:vAlign w:val="center"/>
          </w:tcPr>
          <w:p w14:paraId="330E2E5B">
            <w:pPr>
              <w:widowControl/>
              <w:spacing w:beforeLines="0"/>
              <w:jc w:val="left"/>
              <w:rPr>
                <w:rFonts w:ascii="宋体" w:hAnsi="宋体" w:cs="宋体"/>
                <w:color w:val="auto"/>
                <w:kern w:val="0"/>
                <w:sz w:val="22"/>
                <w:szCs w:val="22"/>
                <w:highlight w:val="none"/>
              </w:rPr>
            </w:pPr>
          </w:p>
        </w:tc>
        <w:tc>
          <w:tcPr>
            <w:tcW w:w="806" w:type="dxa"/>
            <w:noWrap w:val="0"/>
            <w:vAlign w:val="center"/>
          </w:tcPr>
          <w:p w14:paraId="484E1A4B">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数据库审计</w:t>
            </w:r>
          </w:p>
        </w:tc>
        <w:tc>
          <w:tcPr>
            <w:tcW w:w="2261" w:type="dxa"/>
            <w:noWrap w:val="0"/>
            <w:vAlign w:val="center"/>
          </w:tcPr>
          <w:p w14:paraId="05B6A8FE">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需要包含传统数据库审计功能、网络协议审计功能、中间件协议审计功能、规则策略、回放功能、报表功能、连接监控与审计、告警响应、日志导出、翻译功能等。</w:t>
            </w:r>
          </w:p>
        </w:tc>
        <w:tc>
          <w:tcPr>
            <w:tcW w:w="1134" w:type="dxa"/>
            <w:vMerge w:val="continue"/>
            <w:noWrap w:val="0"/>
            <w:vAlign w:val="center"/>
          </w:tcPr>
          <w:p w14:paraId="777D7452">
            <w:pPr>
              <w:widowControl/>
              <w:spacing w:beforeLines="0"/>
              <w:jc w:val="left"/>
              <w:rPr>
                <w:rFonts w:ascii="宋体" w:hAnsi="宋体" w:cs="宋体"/>
                <w:color w:val="auto"/>
                <w:kern w:val="0"/>
                <w:sz w:val="22"/>
                <w:szCs w:val="22"/>
                <w:highlight w:val="none"/>
              </w:rPr>
            </w:pPr>
          </w:p>
        </w:tc>
        <w:tc>
          <w:tcPr>
            <w:tcW w:w="709" w:type="dxa"/>
            <w:noWrap w:val="0"/>
            <w:vAlign w:val="center"/>
          </w:tcPr>
          <w:p w14:paraId="681D5A57">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708" w:type="dxa"/>
            <w:noWrap w:val="0"/>
            <w:vAlign w:val="center"/>
          </w:tcPr>
          <w:p w14:paraId="02308924">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993" w:type="dxa"/>
            <w:vMerge w:val="continue"/>
            <w:noWrap w:val="0"/>
            <w:vAlign w:val="center"/>
          </w:tcPr>
          <w:p w14:paraId="331D7BA1">
            <w:pPr>
              <w:widowControl/>
              <w:spacing w:beforeLines="0"/>
              <w:jc w:val="left"/>
              <w:rPr>
                <w:rFonts w:ascii="宋体" w:hAnsi="宋体" w:cs="宋体"/>
                <w:color w:val="auto"/>
                <w:kern w:val="0"/>
                <w:sz w:val="22"/>
                <w:szCs w:val="22"/>
                <w:highlight w:val="none"/>
              </w:rPr>
            </w:pPr>
          </w:p>
        </w:tc>
      </w:tr>
      <w:tr w14:paraId="07E54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06" w:type="dxa"/>
            <w:noWrap w:val="0"/>
            <w:vAlign w:val="center"/>
          </w:tcPr>
          <w:p w14:paraId="79DD370F">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11</w:t>
            </w:r>
          </w:p>
        </w:tc>
        <w:tc>
          <w:tcPr>
            <w:tcW w:w="1745" w:type="dxa"/>
            <w:noWrap w:val="0"/>
            <w:vAlign w:val="center"/>
          </w:tcPr>
          <w:p w14:paraId="4BD5F89A">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系统软件</w:t>
            </w:r>
          </w:p>
        </w:tc>
        <w:tc>
          <w:tcPr>
            <w:tcW w:w="806" w:type="dxa"/>
            <w:noWrap w:val="0"/>
            <w:vAlign w:val="center"/>
          </w:tcPr>
          <w:p w14:paraId="2CF0ABA2">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数据库软件</w:t>
            </w:r>
          </w:p>
        </w:tc>
        <w:tc>
          <w:tcPr>
            <w:tcW w:w="2261" w:type="dxa"/>
            <w:noWrap w:val="0"/>
            <w:vAlign w:val="center"/>
          </w:tcPr>
          <w:p w14:paraId="0FBA327E">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信创数据库</w:t>
            </w:r>
          </w:p>
        </w:tc>
        <w:tc>
          <w:tcPr>
            <w:tcW w:w="1134" w:type="dxa"/>
            <w:noWrap w:val="0"/>
            <w:vAlign w:val="center"/>
          </w:tcPr>
          <w:p w14:paraId="5F8A0190">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绍兴政务云卫生专网</w:t>
            </w:r>
          </w:p>
        </w:tc>
        <w:tc>
          <w:tcPr>
            <w:tcW w:w="709" w:type="dxa"/>
            <w:noWrap w:val="0"/>
            <w:vAlign w:val="center"/>
          </w:tcPr>
          <w:p w14:paraId="14BF8634">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708" w:type="dxa"/>
            <w:noWrap w:val="0"/>
            <w:vAlign w:val="center"/>
          </w:tcPr>
          <w:p w14:paraId="7E7056AE">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993" w:type="dxa"/>
            <w:noWrap w:val="0"/>
            <w:vAlign w:val="center"/>
          </w:tcPr>
          <w:p w14:paraId="67CEAB02">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云服务租赁期限：三年</w:t>
            </w:r>
          </w:p>
        </w:tc>
      </w:tr>
    </w:tbl>
    <w:p w14:paraId="3297F37E">
      <w:pPr>
        <w:widowControl/>
        <w:spacing w:before="156"/>
        <w:jc w:val="left"/>
        <w:textAlignment w:val="center"/>
        <w:rPr>
          <w:color w:val="auto"/>
          <w:highlight w:val="none"/>
        </w:rPr>
      </w:pPr>
    </w:p>
    <w:p w14:paraId="18297749">
      <w:pPr>
        <w:bidi w:val="0"/>
        <w:rPr>
          <w:color w:val="auto"/>
          <w:highlight w:val="none"/>
        </w:rPr>
      </w:pPr>
    </w:p>
    <w:p w14:paraId="1457FB15">
      <w:pPr>
        <w:bidi w:val="0"/>
        <w:rPr>
          <w:color w:val="auto"/>
          <w:highlight w:val="none"/>
        </w:rPr>
      </w:pPr>
    </w:p>
    <w:p w14:paraId="123787F2">
      <w:pPr>
        <w:spacing w:beforeLines="0" w:line="360" w:lineRule="auto"/>
        <w:ind w:firstLine="482" w:firstLineChars="200"/>
        <w:outlineLvl w:val="2"/>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3.2 技术指标要求</w:t>
      </w:r>
    </w:p>
    <w:p w14:paraId="16580DB1">
      <w:pPr>
        <w:pStyle w:val="5"/>
        <w:numPr>
          <w:ilvl w:val="0"/>
          <w:numId w:val="0"/>
        </w:numPr>
        <w:ind w:left="822"/>
        <w:rPr>
          <w:rFonts w:hint="eastAsia" w:ascii="宋体" w:hAnsi="宋体" w:cs="宋体"/>
          <w:color w:val="auto"/>
          <w:sz w:val="24"/>
          <w:szCs w:val="24"/>
          <w:highlight w:val="none"/>
        </w:rPr>
      </w:pPr>
      <w:bookmarkStart w:id="37" w:name="_Toc530663150"/>
      <w:r>
        <w:rPr>
          <w:rFonts w:hint="eastAsia" w:ascii="宋体" w:hAnsi="宋体" w:cs="宋体"/>
          <w:color w:val="auto"/>
          <w:sz w:val="24"/>
          <w:szCs w:val="24"/>
          <w:highlight w:val="none"/>
        </w:rPr>
        <w:t>3.2.1食源性疾病数据采集上报</w:t>
      </w:r>
    </w:p>
    <w:tbl>
      <w:tblPr>
        <w:tblStyle w:val="20"/>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2409"/>
        <w:gridCol w:w="4962"/>
      </w:tblGrid>
      <w:tr w14:paraId="0F138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noWrap w:val="0"/>
            <w:vAlign w:val="center"/>
          </w:tcPr>
          <w:p w14:paraId="5D066348">
            <w:pPr>
              <w:widowControl/>
              <w:spacing w:beforeLines="0"/>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子系统</w:t>
            </w:r>
          </w:p>
        </w:tc>
        <w:tc>
          <w:tcPr>
            <w:tcW w:w="2409" w:type="dxa"/>
            <w:noWrap w:val="0"/>
            <w:vAlign w:val="center"/>
          </w:tcPr>
          <w:p w14:paraId="66C83C33">
            <w:pPr>
              <w:widowControl/>
              <w:spacing w:beforeLines="0"/>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功能模块</w:t>
            </w:r>
          </w:p>
        </w:tc>
        <w:tc>
          <w:tcPr>
            <w:tcW w:w="4962" w:type="dxa"/>
            <w:noWrap w:val="0"/>
            <w:vAlign w:val="center"/>
          </w:tcPr>
          <w:p w14:paraId="67584493">
            <w:pPr>
              <w:widowControl/>
              <w:spacing w:beforeLines="0"/>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指标要求</w:t>
            </w:r>
          </w:p>
        </w:tc>
      </w:tr>
      <w:tr w14:paraId="4A4A5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restart"/>
            <w:noWrap w:val="0"/>
            <w:vAlign w:val="center"/>
          </w:tcPr>
          <w:p w14:paraId="41BFE297">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数据采集</w:t>
            </w:r>
          </w:p>
        </w:tc>
        <w:tc>
          <w:tcPr>
            <w:tcW w:w="2409" w:type="dxa"/>
            <w:noWrap w:val="0"/>
            <w:vAlign w:val="center"/>
          </w:tcPr>
          <w:p w14:paraId="6B117631">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疾病病例监测报卡（非哨点）</w:t>
            </w:r>
          </w:p>
        </w:tc>
        <w:tc>
          <w:tcPr>
            <w:tcW w:w="4962" w:type="dxa"/>
            <w:noWrap w:val="0"/>
            <w:vAlign w:val="center"/>
          </w:tcPr>
          <w:p w14:paraId="0C33509A">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支持疾病病例监测报卡（非哨点）填报</w:t>
            </w:r>
          </w:p>
        </w:tc>
      </w:tr>
      <w:tr w14:paraId="78BFE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21A4E071">
            <w:pPr>
              <w:widowControl/>
              <w:spacing w:beforeLines="0"/>
              <w:jc w:val="left"/>
              <w:rPr>
                <w:rFonts w:ascii="宋体" w:hAnsi="宋体" w:cs="宋体"/>
                <w:color w:val="auto"/>
                <w:kern w:val="0"/>
                <w:sz w:val="22"/>
                <w:szCs w:val="22"/>
                <w:highlight w:val="none"/>
              </w:rPr>
            </w:pPr>
          </w:p>
        </w:tc>
        <w:tc>
          <w:tcPr>
            <w:tcW w:w="2409" w:type="dxa"/>
            <w:noWrap w:val="0"/>
            <w:vAlign w:val="center"/>
          </w:tcPr>
          <w:p w14:paraId="17EFCFCC">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疾病主动监测病例报卡（哨点）</w:t>
            </w:r>
          </w:p>
        </w:tc>
        <w:tc>
          <w:tcPr>
            <w:tcW w:w="4962" w:type="dxa"/>
            <w:noWrap w:val="0"/>
            <w:vAlign w:val="center"/>
          </w:tcPr>
          <w:p w14:paraId="208F3280">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支持疾病主动监测病例报卡（哨点）填报</w:t>
            </w:r>
          </w:p>
        </w:tc>
      </w:tr>
      <w:tr w14:paraId="4F86C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76B0B505">
            <w:pPr>
              <w:widowControl/>
              <w:spacing w:beforeLines="0"/>
              <w:jc w:val="left"/>
              <w:rPr>
                <w:rFonts w:ascii="宋体" w:hAnsi="宋体" w:cs="宋体"/>
                <w:color w:val="auto"/>
                <w:kern w:val="0"/>
                <w:sz w:val="22"/>
                <w:szCs w:val="22"/>
                <w:highlight w:val="none"/>
              </w:rPr>
            </w:pPr>
          </w:p>
        </w:tc>
        <w:tc>
          <w:tcPr>
            <w:tcW w:w="2409" w:type="dxa"/>
            <w:noWrap w:val="0"/>
            <w:vAlign w:val="center"/>
          </w:tcPr>
          <w:p w14:paraId="092AEF28">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防漏报监测</w:t>
            </w:r>
          </w:p>
        </w:tc>
        <w:tc>
          <w:tcPr>
            <w:tcW w:w="4962" w:type="dxa"/>
            <w:noWrap w:val="0"/>
            <w:vAlign w:val="center"/>
          </w:tcPr>
          <w:p w14:paraId="22C9717A">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支持防漏报监测等功能</w:t>
            </w:r>
          </w:p>
        </w:tc>
      </w:tr>
      <w:tr w14:paraId="01F09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restart"/>
            <w:noWrap w:val="0"/>
            <w:vAlign w:val="center"/>
          </w:tcPr>
          <w:p w14:paraId="7368CFF4">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数据交换</w:t>
            </w:r>
          </w:p>
        </w:tc>
        <w:tc>
          <w:tcPr>
            <w:tcW w:w="2409" w:type="dxa"/>
            <w:noWrap w:val="0"/>
            <w:vAlign w:val="center"/>
          </w:tcPr>
          <w:p w14:paraId="4A4019EC">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食源性疾病监测上报接口</w:t>
            </w:r>
          </w:p>
        </w:tc>
        <w:tc>
          <w:tcPr>
            <w:tcW w:w="4962" w:type="dxa"/>
            <w:noWrap w:val="0"/>
            <w:vAlign w:val="center"/>
          </w:tcPr>
          <w:p w14:paraId="640B8339">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支持食源性疾病监测数据上报</w:t>
            </w:r>
          </w:p>
        </w:tc>
      </w:tr>
      <w:tr w14:paraId="4CE10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1AC0F92F">
            <w:pPr>
              <w:widowControl/>
              <w:spacing w:beforeLines="0"/>
              <w:jc w:val="left"/>
              <w:rPr>
                <w:rFonts w:ascii="宋体" w:hAnsi="宋体" w:cs="宋体"/>
                <w:color w:val="auto"/>
                <w:kern w:val="0"/>
                <w:sz w:val="22"/>
                <w:szCs w:val="22"/>
                <w:highlight w:val="none"/>
              </w:rPr>
            </w:pPr>
          </w:p>
        </w:tc>
        <w:tc>
          <w:tcPr>
            <w:tcW w:w="2409" w:type="dxa"/>
            <w:noWrap w:val="0"/>
            <w:vAlign w:val="center"/>
          </w:tcPr>
          <w:p w14:paraId="2BED51D1">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食源性疾病主动病例监测上报接口</w:t>
            </w:r>
          </w:p>
        </w:tc>
        <w:tc>
          <w:tcPr>
            <w:tcW w:w="4962" w:type="dxa"/>
            <w:noWrap w:val="0"/>
            <w:vAlign w:val="center"/>
          </w:tcPr>
          <w:p w14:paraId="25251EB2">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支持食源性疾病主动病例监测数据上报</w:t>
            </w:r>
          </w:p>
        </w:tc>
      </w:tr>
      <w:tr w14:paraId="4EF5C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18C4F1BC">
            <w:pPr>
              <w:widowControl/>
              <w:spacing w:beforeLines="0"/>
              <w:jc w:val="left"/>
              <w:rPr>
                <w:rFonts w:ascii="宋体" w:hAnsi="宋体" w:cs="宋体"/>
                <w:color w:val="auto"/>
                <w:kern w:val="0"/>
                <w:sz w:val="22"/>
                <w:szCs w:val="22"/>
                <w:highlight w:val="none"/>
              </w:rPr>
            </w:pPr>
          </w:p>
        </w:tc>
        <w:tc>
          <w:tcPr>
            <w:tcW w:w="2409" w:type="dxa"/>
            <w:noWrap w:val="0"/>
            <w:vAlign w:val="center"/>
          </w:tcPr>
          <w:p w14:paraId="28B8DABD">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省内腹泻信息汇总相关接口</w:t>
            </w:r>
          </w:p>
        </w:tc>
        <w:tc>
          <w:tcPr>
            <w:tcW w:w="4962" w:type="dxa"/>
            <w:noWrap w:val="0"/>
            <w:vAlign w:val="center"/>
          </w:tcPr>
          <w:p w14:paraId="0F82D718">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支持省内腹泻汇总数据上传</w:t>
            </w:r>
          </w:p>
        </w:tc>
      </w:tr>
      <w:tr w14:paraId="67D27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0E3D91D5">
            <w:pPr>
              <w:widowControl/>
              <w:spacing w:beforeLines="0"/>
              <w:jc w:val="left"/>
              <w:rPr>
                <w:rFonts w:ascii="宋体" w:hAnsi="宋体" w:cs="宋体"/>
                <w:color w:val="auto"/>
                <w:kern w:val="0"/>
                <w:sz w:val="22"/>
                <w:szCs w:val="22"/>
                <w:highlight w:val="none"/>
              </w:rPr>
            </w:pPr>
          </w:p>
        </w:tc>
        <w:tc>
          <w:tcPr>
            <w:tcW w:w="2409" w:type="dxa"/>
            <w:noWrap w:val="0"/>
            <w:vAlign w:val="center"/>
          </w:tcPr>
          <w:p w14:paraId="5E66B6DA">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国家腹泻信息汇总相关接口</w:t>
            </w:r>
          </w:p>
        </w:tc>
        <w:tc>
          <w:tcPr>
            <w:tcW w:w="4962" w:type="dxa"/>
            <w:noWrap w:val="0"/>
            <w:vAlign w:val="center"/>
          </w:tcPr>
          <w:p w14:paraId="363F7E87">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支持国家腹泻信息汇总数据上传</w:t>
            </w:r>
          </w:p>
        </w:tc>
      </w:tr>
      <w:tr w14:paraId="1ED5B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66B3CFF7">
            <w:pPr>
              <w:widowControl/>
              <w:spacing w:beforeLines="0"/>
              <w:jc w:val="left"/>
              <w:rPr>
                <w:rFonts w:ascii="宋体" w:hAnsi="宋体" w:cs="宋体"/>
                <w:color w:val="auto"/>
                <w:kern w:val="0"/>
                <w:sz w:val="22"/>
                <w:szCs w:val="22"/>
                <w:highlight w:val="none"/>
              </w:rPr>
            </w:pPr>
          </w:p>
        </w:tc>
        <w:tc>
          <w:tcPr>
            <w:tcW w:w="2409" w:type="dxa"/>
            <w:noWrap w:val="0"/>
            <w:vAlign w:val="center"/>
          </w:tcPr>
          <w:p w14:paraId="091F2B93">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食源性上级接口对账管理</w:t>
            </w:r>
          </w:p>
        </w:tc>
        <w:tc>
          <w:tcPr>
            <w:tcW w:w="4962" w:type="dxa"/>
            <w:noWrap w:val="0"/>
            <w:vAlign w:val="center"/>
          </w:tcPr>
          <w:p w14:paraId="262ECA4E">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支持食源性上级接口对账管理、接收、反馈上传数据状态信息</w:t>
            </w:r>
          </w:p>
        </w:tc>
      </w:tr>
      <w:tr w14:paraId="2BDA7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restart"/>
            <w:noWrap w:val="0"/>
            <w:vAlign w:val="center"/>
          </w:tcPr>
          <w:p w14:paraId="22F0CDC1">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食源性疾病病例管理</w:t>
            </w:r>
          </w:p>
        </w:tc>
        <w:tc>
          <w:tcPr>
            <w:tcW w:w="2409" w:type="dxa"/>
            <w:noWrap w:val="0"/>
            <w:vAlign w:val="center"/>
          </w:tcPr>
          <w:p w14:paraId="01325F42">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病例上报查询</w:t>
            </w:r>
          </w:p>
        </w:tc>
        <w:tc>
          <w:tcPr>
            <w:tcW w:w="4962" w:type="dxa"/>
            <w:noWrap w:val="0"/>
            <w:vAlign w:val="center"/>
          </w:tcPr>
          <w:p w14:paraId="356CEE3E">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支持病例上报查询、重置、修改、审核</w:t>
            </w:r>
          </w:p>
        </w:tc>
      </w:tr>
      <w:tr w14:paraId="3AC9F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7DCAAB99">
            <w:pPr>
              <w:widowControl/>
              <w:spacing w:beforeLines="0"/>
              <w:jc w:val="left"/>
              <w:rPr>
                <w:rFonts w:ascii="宋体" w:hAnsi="宋体" w:cs="宋体"/>
                <w:color w:val="auto"/>
                <w:kern w:val="0"/>
                <w:sz w:val="22"/>
                <w:szCs w:val="22"/>
                <w:highlight w:val="none"/>
              </w:rPr>
            </w:pPr>
          </w:p>
        </w:tc>
        <w:tc>
          <w:tcPr>
            <w:tcW w:w="2409" w:type="dxa"/>
            <w:noWrap w:val="0"/>
            <w:vAlign w:val="center"/>
          </w:tcPr>
          <w:p w14:paraId="69B1483A">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病例上报查重</w:t>
            </w:r>
          </w:p>
        </w:tc>
        <w:tc>
          <w:tcPr>
            <w:tcW w:w="4962" w:type="dxa"/>
            <w:noWrap w:val="0"/>
            <w:vAlign w:val="center"/>
          </w:tcPr>
          <w:p w14:paraId="24347951">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支持病例上报查重、查重数据删除与合并</w:t>
            </w:r>
          </w:p>
        </w:tc>
      </w:tr>
      <w:tr w14:paraId="3C614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0FFFC354">
            <w:pPr>
              <w:widowControl/>
              <w:spacing w:beforeLines="0"/>
              <w:jc w:val="left"/>
              <w:rPr>
                <w:rFonts w:ascii="宋体" w:hAnsi="宋体" w:cs="宋体"/>
                <w:color w:val="auto"/>
                <w:kern w:val="0"/>
                <w:sz w:val="22"/>
                <w:szCs w:val="22"/>
                <w:highlight w:val="none"/>
              </w:rPr>
            </w:pPr>
          </w:p>
        </w:tc>
        <w:tc>
          <w:tcPr>
            <w:tcW w:w="2409" w:type="dxa"/>
            <w:noWrap w:val="0"/>
            <w:vAlign w:val="center"/>
          </w:tcPr>
          <w:p w14:paraId="08F2534E">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病例上报审核</w:t>
            </w:r>
          </w:p>
        </w:tc>
        <w:tc>
          <w:tcPr>
            <w:tcW w:w="4962" w:type="dxa"/>
            <w:noWrap w:val="0"/>
            <w:vAlign w:val="center"/>
          </w:tcPr>
          <w:p w14:paraId="3D76825F">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支持病例上报审核、删除、导出</w:t>
            </w:r>
          </w:p>
        </w:tc>
      </w:tr>
      <w:tr w14:paraId="10031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restart"/>
            <w:noWrap w:val="0"/>
            <w:vAlign w:val="center"/>
          </w:tcPr>
          <w:p w14:paraId="201347E4">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统计分析</w:t>
            </w:r>
          </w:p>
        </w:tc>
        <w:tc>
          <w:tcPr>
            <w:tcW w:w="2409" w:type="dxa"/>
            <w:noWrap w:val="0"/>
            <w:vAlign w:val="center"/>
          </w:tcPr>
          <w:p w14:paraId="6CD7DF4A">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病例信息统计</w:t>
            </w:r>
          </w:p>
        </w:tc>
        <w:tc>
          <w:tcPr>
            <w:tcW w:w="4962" w:type="dxa"/>
            <w:noWrap w:val="0"/>
            <w:vAlign w:val="center"/>
          </w:tcPr>
          <w:p w14:paraId="22567B33">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支持病例信息统计，支持对查询出的结果以不同的图表形式进行展现，支持对数据进行下载</w:t>
            </w:r>
          </w:p>
        </w:tc>
      </w:tr>
      <w:tr w14:paraId="60D09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1BEF44A7">
            <w:pPr>
              <w:widowControl/>
              <w:spacing w:beforeLines="0"/>
              <w:jc w:val="left"/>
              <w:rPr>
                <w:rFonts w:ascii="宋体" w:hAnsi="宋体" w:cs="宋体"/>
                <w:color w:val="auto"/>
                <w:kern w:val="0"/>
                <w:sz w:val="22"/>
                <w:szCs w:val="22"/>
                <w:highlight w:val="none"/>
              </w:rPr>
            </w:pPr>
          </w:p>
        </w:tc>
        <w:tc>
          <w:tcPr>
            <w:tcW w:w="2409" w:type="dxa"/>
            <w:noWrap w:val="0"/>
            <w:vAlign w:val="center"/>
          </w:tcPr>
          <w:p w14:paraId="1DEEC17A">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暴露食品统计</w:t>
            </w:r>
          </w:p>
        </w:tc>
        <w:tc>
          <w:tcPr>
            <w:tcW w:w="4962" w:type="dxa"/>
            <w:noWrap w:val="0"/>
            <w:vAlign w:val="center"/>
          </w:tcPr>
          <w:p w14:paraId="3604F98E">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支持暴露食品数据统计，支持对查询出的结果以不同的图表形式进行展现，支持对数据进行下载</w:t>
            </w:r>
          </w:p>
        </w:tc>
      </w:tr>
      <w:tr w14:paraId="1C4CB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04F06256">
            <w:pPr>
              <w:widowControl/>
              <w:spacing w:beforeLines="0"/>
              <w:jc w:val="left"/>
              <w:rPr>
                <w:rFonts w:ascii="宋体" w:hAnsi="宋体" w:cs="宋体"/>
                <w:color w:val="auto"/>
                <w:kern w:val="0"/>
                <w:sz w:val="22"/>
                <w:szCs w:val="22"/>
                <w:highlight w:val="none"/>
              </w:rPr>
            </w:pPr>
          </w:p>
        </w:tc>
        <w:tc>
          <w:tcPr>
            <w:tcW w:w="2409" w:type="dxa"/>
            <w:noWrap w:val="0"/>
            <w:vAlign w:val="center"/>
          </w:tcPr>
          <w:p w14:paraId="7DCA1EFD">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病原体信息统计</w:t>
            </w:r>
          </w:p>
        </w:tc>
        <w:tc>
          <w:tcPr>
            <w:tcW w:w="4962" w:type="dxa"/>
            <w:noWrap w:val="0"/>
            <w:vAlign w:val="center"/>
          </w:tcPr>
          <w:p w14:paraId="7CDD5416">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支持病原体信息统计，支持对查询出的结果以不同的图表形式进行展现，支持对数据进行下载</w:t>
            </w:r>
          </w:p>
        </w:tc>
      </w:tr>
      <w:tr w14:paraId="0BA2D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0EFDE625">
            <w:pPr>
              <w:widowControl/>
              <w:spacing w:beforeLines="0"/>
              <w:jc w:val="left"/>
              <w:rPr>
                <w:rFonts w:ascii="宋体" w:hAnsi="宋体" w:cs="宋体"/>
                <w:color w:val="auto"/>
                <w:kern w:val="0"/>
                <w:sz w:val="22"/>
                <w:szCs w:val="22"/>
                <w:highlight w:val="none"/>
              </w:rPr>
            </w:pPr>
          </w:p>
        </w:tc>
        <w:tc>
          <w:tcPr>
            <w:tcW w:w="2409" w:type="dxa"/>
            <w:noWrap w:val="0"/>
            <w:vAlign w:val="center"/>
          </w:tcPr>
          <w:p w14:paraId="20719A70">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样本信息统计</w:t>
            </w:r>
          </w:p>
        </w:tc>
        <w:tc>
          <w:tcPr>
            <w:tcW w:w="4962" w:type="dxa"/>
            <w:noWrap w:val="0"/>
            <w:vAlign w:val="center"/>
          </w:tcPr>
          <w:p w14:paraId="3751B273">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支持样本信息统计，支持对查询出的结果以不同的图表形式进行展现，支持对数据进行下载</w:t>
            </w:r>
          </w:p>
        </w:tc>
      </w:tr>
    </w:tbl>
    <w:p w14:paraId="4C21DA75">
      <w:pPr>
        <w:spacing w:before="156"/>
        <w:rPr>
          <w:rFonts w:ascii="宋体" w:hAnsi="宋体" w:cs="宋体"/>
          <w:color w:val="auto"/>
          <w:sz w:val="24"/>
          <w:szCs w:val="24"/>
          <w:highlight w:val="none"/>
        </w:rPr>
      </w:pPr>
    </w:p>
    <w:p w14:paraId="1617E6E1">
      <w:pPr>
        <w:pStyle w:val="5"/>
        <w:numPr>
          <w:ilvl w:val="0"/>
          <w:numId w:val="0"/>
        </w:numPr>
        <w:autoSpaceDE/>
        <w:autoSpaceDN/>
        <w:adjustRightInd/>
        <w:ind w:left="822"/>
        <w:rPr>
          <w:rFonts w:hint="eastAsia" w:ascii="宋体" w:hAnsi="宋体" w:cs="宋体"/>
          <w:color w:val="auto"/>
          <w:sz w:val="24"/>
          <w:szCs w:val="24"/>
          <w:highlight w:val="none"/>
        </w:rPr>
      </w:pPr>
      <w:r>
        <w:rPr>
          <w:rFonts w:hint="eastAsia" w:ascii="宋体" w:hAnsi="宋体" w:cs="宋体"/>
          <w:color w:val="auto"/>
          <w:sz w:val="24"/>
          <w:szCs w:val="24"/>
          <w:highlight w:val="none"/>
        </w:rPr>
        <w:t>3.2.2慢病医防融合</w:t>
      </w:r>
    </w:p>
    <w:tbl>
      <w:tblPr>
        <w:tblStyle w:val="20"/>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2409"/>
        <w:gridCol w:w="4962"/>
      </w:tblGrid>
      <w:tr w14:paraId="7AE33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noWrap w:val="0"/>
            <w:vAlign w:val="center"/>
          </w:tcPr>
          <w:p w14:paraId="115A2E4A">
            <w:pPr>
              <w:widowControl/>
              <w:spacing w:beforeLines="0"/>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子系统</w:t>
            </w:r>
          </w:p>
        </w:tc>
        <w:tc>
          <w:tcPr>
            <w:tcW w:w="2409" w:type="dxa"/>
            <w:noWrap w:val="0"/>
            <w:vAlign w:val="center"/>
          </w:tcPr>
          <w:p w14:paraId="260AC101">
            <w:pPr>
              <w:widowControl/>
              <w:spacing w:beforeLines="0"/>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功能模块</w:t>
            </w:r>
          </w:p>
        </w:tc>
        <w:tc>
          <w:tcPr>
            <w:tcW w:w="4962" w:type="dxa"/>
            <w:noWrap w:val="0"/>
            <w:vAlign w:val="center"/>
          </w:tcPr>
          <w:p w14:paraId="3C3C6BCD">
            <w:pPr>
              <w:widowControl/>
              <w:spacing w:beforeLines="0"/>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指标要求</w:t>
            </w:r>
          </w:p>
        </w:tc>
      </w:tr>
      <w:tr w14:paraId="25491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restart"/>
            <w:noWrap w:val="0"/>
            <w:vAlign w:val="center"/>
          </w:tcPr>
          <w:p w14:paraId="653FF31B">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慢病一体化门诊管理信息系统</w:t>
            </w:r>
          </w:p>
        </w:tc>
        <w:tc>
          <w:tcPr>
            <w:tcW w:w="2409" w:type="dxa"/>
            <w:noWrap w:val="0"/>
            <w:vAlign w:val="center"/>
          </w:tcPr>
          <w:p w14:paraId="4F305B58">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候诊列表</w:t>
            </w:r>
          </w:p>
        </w:tc>
        <w:tc>
          <w:tcPr>
            <w:tcW w:w="4962" w:type="dxa"/>
            <w:noWrap w:val="0"/>
            <w:vAlign w:val="center"/>
          </w:tcPr>
          <w:p w14:paraId="0D02856D">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支持同步HIS患者信息（在慢病一体化门诊以列表形式），展示候诊患者就诊序号、姓名、性别、年龄等信息的功能。</w:t>
            </w:r>
          </w:p>
        </w:tc>
      </w:tr>
      <w:tr w14:paraId="097CB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09803FFE">
            <w:pPr>
              <w:widowControl/>
              <w:spacing w:beforeLines="0"/>
              <w:jc w:val="left"/>
              <w:rPr>
                <w:rFonts w:ascii="宋体" w:hAnsi="宋体" w:cs="宋体"/>
                <w:color w:val="auto"/>
                <w:kern w:val="0"/>
                <w:sz w:val="22"/>
                <w:szCs w:val="22"/>
                <w:highlight w:val="none"/>
              </w:rPr>
            </w:pPr>
          </w:p>
        </w:tc>
        <w:tc>
          <w:tcPr>
            <w:tcW w:w="2409" w:type="dxa"/>
            <w:noWrap w:val="0"/>
            <w:vAlign w:val="center"/>
          </w:tcPr>
          <w:p w14:paraId="75E26293">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患者检索</w:t>
            </w:r>
          </w:p>
        </w:tc>
        <w:tc>
          <w:tcPr>
            <w:tcW w:w="4962" w:type="dxa"/>
            <w:noWrap w:val="0"/>
            <w:vAlign w:val="center"/>
          </w:tcPr>
          <w:p w14:paraId="0FF35D08">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支持依据患者姓名、档案编号、身份证号、门诊号、随访情况、签约情况、末次血压异常情况、末次血糖异常情况检索患者的功能。</w:t>
            </w:r>
          </w:p>
        </w:tc>
      </w:tr>
      <w:tr w14:paraId="2AC15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3DD8C4A5">
            <w:pPr>
              <w:widowControl/>
              <w:spacing w:beforeLines="0"/>
              <w:jc w:val="left"/>
              <w:rPr>
                <w:rFonts w:ascii="宋体" w:hAnsi="宋体" w:cs="宋体"/>
                <w:color w:val="auto"/>
                <w:kern w:val="0"/>
                <w:sz w:val="22"/>
                <w:szCs w:val="22"/>
                <w:highlight w:val="none"/>
              </w:rPr>
            </w:pPr>
          </w:p>
        </w:tc>
        <w:tc>
          <w:tcPr>
            <w:tcW w:w="2409" w:type="dxa"/>
            <w:noWrap w:val="0"/>
            <w:vAlign w:val="center"/>
          </w:tcPr>
          <w:p w14:paraId="22076264">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患者识别</w:t>
            </w:r>
          </w:p>
        </w:tc>
        <w:tc>
          <w:tcPr>
            <w:tcW w:w="4962" w:type="dxa"/>
            <w:noWrap w:val="0"/>
            <w:vAlign w:val="center"/>
          </w:tcPr>
          <w:p w14:paraId="08BE9D71">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支持健康画像查看功能，有医务人员在诊前查看患者健康画像信息的功能。</w:t>
            </w:r>
          </w:p>
        </w:tc>
      </w:tr>
      <w:tr w14:paraId="30776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5B566E4F">
            <w:pPr>
              <w:widowControl/>
              <w:spacing w:beforeLines="0"/>
              <w:jc w:val="left"/>
              <w:rPr>
                <w:rFonts w:ascii="宋体" w:hAnsi="宋体" w:cs="宋体"/>
                <w:color w:val="auto"/>
                <w:kern w:val="0"/>
                <w:sz w:val="22"/>
                <w:szCs w:val="22"/>
                <w:highlight w:val="none"/>
              </w:rPr>
            </w:pPr>
          </w:p>
        </w:tc>
        <w:tc>
          <w:tcPr>
            <w:tcW w:w="2409" w:type="dxa"/>
            <w:noWrap w:val="0"/>
            <w:vAlign w:val="center"/>
          </w:tcPr>
          <w:p w14:paraId="66C4E845">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画像查看</w:t>
            </w:r>
          </w:p>
        </w:tc>
        <w:tc>
          <w:tcPr>
            <w:tcW w:w="4962" w:type="dxa"/>
            <w:noWrap w:val="0"/>
            <w:vAlign w:val="center"/>
          </w:tcPr>
          <w:p w14:paraId="066AC64F">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支持有对已测量和未测量体征的患者进行区分标识的功能。</w:t>
            </w:r>
          </w:p>
        </w:tc>
      </w:tr>
      <w:tr w14:paraId="7154F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4E3DF258">
            <w:pPr>
              <w:widowControl/>
              <w:spacing w:beforeLines="0"/>
              <w:jc w:val="left"/>
              <w:rPr>
                <w:rFonts w:ascii="宋体" w:hAnsi="宋体" w:cs="宋体"/>
                <w:color w:val="auto"/>
                <w:kern w:val="0"/>
                <w:sz w:val="22"/>
                <w:szCs w:val="22"/>
                <w:highlight w:val="none"/>
              </w:rPr>
            </w:pPr>
          </w:p>
        </w:tc>
        <w:tc>
          <w:tcPr>
            <w:tcW w:w="2409" w:type="dxa"/>
            <w:noWrap w:val="0"/>
            <w:vAlign w:val="center"/>
          </w:tcPr>
          <w:p w14:paraId="1F481353">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体征测量</w:t>
            </w:r>
          </w:p>
        </w:tc>
        <w:tc>
          <w:tcPr>
            <w:tcW w:w="4962" w:type="dxa"/>
            <w:noWrap w:val="0"/>
            <w:vAlign w:val="center"/>
          </w:tcPr>
          <w:p w14:paraId="32D0DF80">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支持诊前体征采集设备测量数据同步的功能。</w:t>
            </w:r>
          </w:p>
        </w:tc>
      </w:tr>
      <w:tr w14:paraId="6B1E0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6C1047FB">
            <w:pPr>
              <w:widowControl/>
              <w:spacing w:beforeLines="0"/>
              <w:jc w:val="left"/>
              <w:rPr>
                <w:rFonts w:ascii="宋体" w:hAnsi="宋体" w:cs="宋体"/>
                <w:color w:val="auto"/>
                <w:kern w:val="0"/>
                <w:sz w:val="22"/>
                <w:szCs w:val="22"/>
                <w:highlight w:val="none"/>
              </w:rPr>
            </w:pPr>
          </w:p>
        </w:tc>
        <w:tc>
          <w:tcPr>
            <w:tcW w:w="2409" w:type="dxa"/>
            <w:noWrap w:val="0"/>
            <w:vAlign w:val="center"/>
          </w:tcPr>
          <w:p w14:paraId="20A77C8E">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异常提醒</w:t>
            </w:r>
          </w:p>
        </w:tc>
        <w:tc>
          <w:tcPr>
            <w:tcW w:w="4962" w:type="dxa"/>
            <w:noWrap w:val="0"/>
            <w:vAlign w:val="center"/>
          </w:tcPr>
          <w:p w14:paraId="1F7AD477">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支持对异常体征信息进行提示，并支持医务人员对体征数据的核验、调整，支持对无法采集到的信息手工录入。</w:t>
            </w:r>
          </w:p>
        </w:tc>
      </w:tr>
      <w:tr w14:paraId="65E00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3E9D8408">
            <w:pPr>
              <w:widowControl/>
              <w:spacing w:beforeLines="0"/>
              <w:jc w:val="left"/>
              <w:rPr>
                <w:rFonts w:ascii="宋体" w:hAnsi="宋体" w:cs="宋体"/>
                <w:color w:val="auto"/>
                <w:kern w:val="0"/>
                <w:sz w:val="22"/>
                <w:szCs w:val="22"/>
                <w:highlight w:val="none"/>
              </w:rPr>
            </w:pPr>
          </w:p>
        </w:tc>
        <w:tc>
          <w:tcPr>
            <w:tcW w:w="2409" w:type="dxa"/>
            <w:noWrap w:val="0"/>
            <w:vAlign w:val="center"/>
          </w:tcPr>
          <w:p w14:paraId="728418BE">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数据同步</w:t>
            </w:r>
          </w:p>
        </w:tc>
        <w:tc>
          <w:tcPr>
            <w:tcW w:w="4962" w:type="dxa"/>
            <w:noWrap w:val="0"/>
            <w:vAlign w:val="center"/>
          </w:tcPr>
          <w:p w14:paraId="67491446">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支持相关体征数据同步功能。</w:t>
            </w:r>
          </w:p>
        </w:tc>
      </w:tr>
      <w:tr w14:paraId="04663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77DF6A5B">
            <w:pPr>
              <w:widowControl/>
              <w:spacing w:beforeLines="0"/>
              <w:jc w:val="left"/>
              <w:rPr>
                <w:rFonts w:ascii="宋体" w:hAnsi="宋体" w:cs="宋体"/>
                <w:color w:val="auto"/>
                <w:kern w:val="0"/>
                <w:sz w:val="22"/>
                <w:szCs w:val="22"/>
                <w:highlight w:val="none"/>
              </w:rPr>
            </w:pPr>
          </w:p>
        </w:tc>
        <w:tc>
          <w:tcPr>
            <w:tcW w:w="2409" w:type="dxa"/>
            <w:noWrap w:val="0"/>
            <w:vAlign w:val="center"/>
          </w:tcPr>
          <w:p w14:paraId="05B3359F">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上次测量记录</w:t>
            </w:r>
          </w:p>
        </w:tc>
        <w:tc>
          <w:tcPr>
            <w:tcW w:w="4962" w:type="dxa"/>
            <w:noWrap w:val="0"/>
            <w:vAlign w:val="center"/>
          </w:tcPr>
          <w:p w14:paraId="48867B59">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支持医务人员查看上次测量记录信息功能。</w:t>
            </w:r>
          </w:p>
        </w:tc>
      </w:tr>
      <w:tr w14:paraId="1DDCD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3D572FCB">
            <w:pPr>
              <w:widowControl/>
              <w:spacing w:beforeLines="0"/>
              <w:jc w:val="left"/>
              <w:rPr>
                <w:rFonts w:ascii="宋体" w:hAnsi="宋体" w:cs="宋体"/>
                <w:color w:val="auto"/>
                <w:kern w:val="0"/>
                <w:sz w:val="22"/>
                <w:szCs w:val="22"/>
                <w:highlight w:val="none"/>
              </w:rPr>
            </w:pPr>
          </w:p>
        </w:tc>
        <w:tc>
          <w:tcPr>
            <w:tcW w:w="2409" w:type="dxa"/>
            <w:noWrap w:val="0"/>
            <w:vAlign w:val="center"/>
          </w:tcPr>
          <w:p w14:paraId="5B74602E">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数据更新</w:t>
            </w:r>
          </w:p>
        </w:tc>
        <w:tc>
          <w:tcPr>
            <w:tcW w:w="4962" w:type="dxa"/>
            <w:noWrap w:val="0"/>
            <w:vAlign w:val="center"/>
          </w:tcPr>
          <w:p w14:paraId="1233D7EC">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支持数据手动更新功能。</w:t>
            </w:r>
          </w:p>
        </w:tc>
      </w:tr>
      <w:tr w14:paraId="64441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2FA28446">
            <w:pPr>
              <w:widowControl/>
              <w:spacing w:beforeLines="0"/>
              <w:jc w:val="left"/>
              <w:rPr>
                <w:rFonts w:ascii="宋体" w:hAnsi="宋体" w:cs="宋体"/>
                <w:color w:val="auto"/>
                <w:kern w:val="0"/>
                <w:sz w:val="22"/>
                <w:szCs w:val="22"/>
                <w:highlight w:val="none"/>
              </w:rPr>
            </w:pPr>
          </w:p>
        </w:tc>
        <w:tc>
          <w:tcPr>
            <w:tcW w:w="2409" w:type="dxa"/>
            <w:noWrap w:val="0"/>
            <w:vAlign w:val="center"/>
          </w:tcPr>
          <w:p w14:paraId="222D9538">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信息引入</w:t>
            </w:r>
          </w:p>
        </w:tc>
        <w:tc>
          <w:tcPr>
            <w:tcW w:w="4962" w:type="dxa"/>
            <w:noWrap w:val="0"/>
            <w:vAlign w:val="center"/>
          </w:tcPr>
          <w:p w14:paraId="7998D2A1">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支持引入随访、体检、档案等记录生活习惯信息的功能。</w:t>
            </w:r>
          </w:p>
        </w:tc>
      </w:tr>
      <w:tr w14:paraId="664DF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64F19E93">
            <w:pPr>
              <w:widowControl/>
              <w:spacing w:beforeLines="0"/>
              <w:jc w:val="left"/>
              <w:rPr>
                <w:rFonts w:ascii="宋体" w:hAnsi="宋体" w:cs="宋体"/>
                <w:color w:val="auto"/>
                <w:kern w:val="0"/>
                <w:sz w:val="22"/>
                <w:szCs w:val="22"/>
                <w:highlight w:val="none"/>
              </w:rPr>
            </w:pPr>
          </w:p>
        </w:tc>
        <w:tc>
          <w:tcPr>
            <w:tcW w:w="2409" w:type="dxa"/>
            <w:noWrap w:val="0"/>
            <w:vAlign w:val="center"/>
          </w:tcPr>
          <w:p w14:paraId="5A558098">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信息核验</w:t>
            </w:r>
          </w:p>
        </w:tc>
        <w:tc>
          <w:tcPr>
            <w:tcW w:w="4962" w:type="dxa"/>
            <w:noWrap w:val="0"/>
            <w:vAlign w:val="center"/>
          </w:tcPr>
          <w:p w14:paraId="4D2715B5">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支持信息核验、调整、录入等功能。</w:t>
            </w:r>
          </w:p>
        </w:tc>
      </w:tr>
      <w:tr w14:paraId="47E69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636521DD">
            <w:pPr>
              <w:widowControl/>
              <w:spacing w:beforeLines="0"/>
              <w:jc w:val="left"/>
              <w:rPr>
                <w:rFonts w:ascii="宋体" w:hAnsi="宋体" w:cs="宋体"/>
                <w:color w:val="auto"/>
                <w:kern w:val="0"/>
                <w:sz w:val="22"/>
                <w:szCs w:val="22"/>
                <w:highlight w:val="none"/>
              </w:rPr>
            </w:pPr>
          </w:p>
        </w:tc>
        <w:tc>
          <w:tcPr>
            <w:tcW w:w="2409" w:type="dxa"/>
            <w:noWrap w:val="0"/>
            <w:vAlign w:val="center"/>
          </w:tcPr>
          <w:p w14:paraId="0D4777E4">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症状同步</w:t>
            </w:r>
          </w:p>
        </w:tc>
        <w:tc>
          <w:tcPr>
            <w:tcW w:w="4962" w:type="dxa"/>
            <w:noWrap w:val="0"/>
            <w:vAlign w:val="center"/>
          </w:tcPr>
          <w:p w14:paraId="3CA15F32">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支持同步患者最近一次高血压、糖尿病随访记录中相关症状信息的功能。</w:t>
            </w:r>
          </w:p>
        </w:tc>
      </w:tr>
      <w:tr w14:paraId="026A7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2430D998">
            <w:pPr>
              <w:widowControl/>
              <w:spacing w:beforeLines="0"/>
              <w:jc w:val="left"/>
              <w:rPr>
                <w:rFonts w:ascii="宋体" w:hAnsi="宋体" w:cs="宋体"/>
                <w:color w:val="auto"/>
                <w:kern w:val="0"/>
                <w:sz w:val="22"/>
                <w:szCs w:val="22"/>
                <w:highlight w:val="none"/>
              </w:rPr>
            </w:pPr>
          </w:p>
        </w:tc>
        <w:tc>
          <w:tcPr>
            <w:tcW w:w="2409" w:type="dxa"/>
            <w:noWrap w:val="0"/>
            <w:vAlign w:val="center"/>
          </w:tcPr>
          <w:p w14:paraId="78E21606">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症状采集</w:t>
            </w:r>
          </w:p>
        </w:tc>
        <w:tc>
          <w:tcPr>
            <w:tcW w:w="4962" w:type="dxa"/>
            <w:noWrap w:val="0"/>
            <w:vAlign w:val="center"/>
          </w:tcPr>
          <w:p w14:paraId="3564D16A">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支持对同步的相关症状信息进行核验调整、对在管患者未同步到的症状信息进行录入等功能。</w:t>
            </w:r>
          </w:p>
        </w:tc>
      </w:tr>
      <w:tr w14:paraId="4D42B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4D70F89E">
            <w:pPr>
              <w:widowControl/>
              <w:spacing w:beforeLines="0"/>
              <w:jc w:val="left"/>
              <w:rPr>
                <w:rFonts w:ascii="宋体" w:hAnsi="宋体" w:cs="宋体"/>
                <w:color w:val="auto"/>
                <w:kern w:val="0"/>
                <w:sz w:val="22"/>
                <w:szCs w:val="22"/>
                <w:highlight w:val="none"/>
              </w:rPr>
            </w:pPr>
          </w:p>
        </w:tc>
        <w:tc>
          <w:tcPr>
            <w:tcW w:w="2409" w:type="dxa"/>
            <w:noWrap w:val="0"/>
            <w:vAlign w:val="center"/>
          </w:tcPr>
          <w:p w14:paraId="69CB5813">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用药信息采集</w:t>
            </w:r>
          </w:p>
        </w:tc>
        <w:tc>
          <w:tcPr>
            <w:tcW w:w="4962" w:type="dxa"/>
            <w:noWrap w:val="0"/>
            <w:vAlign w:val="center"/>
          </w:tcPr>
          <w:p w14:paraId="58D62316">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支持录入患者相关用药信息的功能。</w:t>
            </w:r>
          </w:p>
        </w:tc>
      </w:tr>
      <w:tr w14:paraId="3A8C2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3797AF1D">
            <w:pPr>
              <w:widowControl/>
              <w:spacing w:beforeLines="0"/>
              <w:jc w:val="left"/>
              <w:rPr>
                <w:rFonts w:ascii="宋体" w:hAnsi="宋体" w:cs="宋体"/>
                <w:color w:val="auto"/>
                <w:kern w:val="0"/>
                <w:sz w:val="22"/>
                <w:szCs w:val="22"/>
                <w:highlight w:val="none"/>
              </w:rPr>
            </w:pPr>
          </w:p>
        </w:tc>
        <w:tc>
          <w:tcPr>
            <w:tcW w:w="2409" w:type="dxa"/>
            <w:noWrap w:val="0"/>
            <w:vAlign w:val="center"/>
          </w:tcPr>
          <w:p w14:paraId="5471B900">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随访用药采集</w:t>
            </w:r>
          </w:p>
        </w:tc>
        <w:tc>
          <w:tcPr>
            <w:tcW w:w="4962" w:type="dxa"/>
            <w:noWrap w:val="0"/>
            <w:vAlign w:val="center"/>
          </w:tcPr>
          <w:p w14:paraId="5DA7E55B">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支持引入患者最近一次随访记录中用药信息的功能。</w:t>
            </w:r>
          </w:p>
        </w:tc>
      </w:tr>
      <w:tr w14:paraId="53806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249C1CB0">
            <w:pPr>
              <w:widowControl/>
              <w:spacing w:beforeLines="0"/>
              <w:jc w:val="left"/>
              <w:rPr>
                <w:rFonts w:ascii="宋体" w:hAnsi="宋体" w:cs="宋体"/>
                <w:color w:val="auto"/>
                <w:kern w:val="0"/>
                <w:sz w:val="22"/>
                <w:szCs w:val="22"/>
                <w:highlight w:val="none"/>
              </w:rPr>
            </w:pPr>
          </w:p>
        </w:tc>
        <w:tc>
          <w:tcPr>
            <w:tcW w:w="2409" w:type="dxa"/>
            <w:noWrap w:val="0"/>
            <w:vAlign w:val="center"/>
          </w:tcPr>
          <w:p w14:paraId="4FA14BC0">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门诊用药采集</w:t>
            </w:r>
          </w:p>
        </w:tc>
        <w:tc>
          <w:tcPr>
            <w:tcW w:w="4962" w:type="dxa"/>
            <w:noWrap w:val="0"/>
            <w:vAlign w:val="center"/>
          </w:tcPr>
          <w:p w14:paraId="0A1B6382">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支持引入患者最近一年门诊用药记录中用药信息的功能。</w:t>
            </w:r>
          </w:p>
        </w:tc>
      </w:tr>
      <w:tr w14:paraId="38F75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09B01595">
            <w:pPr>
              <w:widowControl/>
              <w:spacing w:beforeLines="0"/>
              <w:jc w:val="left"/>
              <w:rPr>
                <w:rFonts w:ascii="宋体" w:hAnsi="宋体" w:cs="宋体"/>
                <w:color w:val="auto"/>
                <w:kern w:val="0"/>
                <w:sz w:val="22"/>
                <w:szCs w:val="22"/>
                <w:highlight w:val="none"/>
              </w:rPr>
            </w:pPr>
          </w:p>
        </w:tc>
        <w:tc>
          <w:tcPr>
            <w:tcW w:w="2409" w:type="dxa"/>
            <w:noWrap w:val="0"/>
            <w:vAlign w:val="center"/>
          </w:tcPr>
          <w:p w14:paraId="66704CEF">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中医体质辨识</w:t>
            </w:r>
          </w:p>
        </w:tc>
        <w:tc>
          <w:tcPr>
            <w:tcW w:w="4962" w:type="dxa"/>
            <w:noWrap w:val="0"/>
            <w:vAlign w:val="center"/>
          </w:tcPr>
          <w:p w14:paraId="14C4C79F">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支持中医体质辨识评估功能。</w:t>
            </w:r>
          </w:p>
        </w:tc>
      </w:tr>
      <w:tr w14:paraId="69509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78341374">
            <w:pPr>
              <w:widowControl/>
              <w:spacing w:beforeLines="0"/>
              <w:jc w:val="left"/>
              <w:rPr>
                <w:rFonts w:ascii="宋体" w:hAnsi="宋体" w:cs="宋体"/>
                <w:color w:val="auto"/>
                <w:kern w:val="0"/>
                <w:sz w:val="22"/>
                <w:szCs w:val="22"/>
                <w:highlight w:val="none"/>
              </w:rPr>
            </w:pPr>
          </w:p>
        </w:tc>
        <w:tc>
          <w:tcPr>
            <w:tcW w:w="2409" w:type="dxa"/>
            <w:noWrap w:val="0"/>
            <w:vAlign w:val="center"/>
          </w:tcPr>
          <w:p w14:paraId="35AB3847">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其他信息采集</w:t>
            </w:r>
          </w:p>
        </w:tc>
        <w:tc>
          <w:tcPr>
            <w:tcW w:w="4962" w:type="dxa"/>
            <w:noWrap w:val="0"/>
            <w:vAlign w:val="center"/>
          </w:tcPr>
          <w:p w14:paraId="216DA813">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支持诊前录入患者其他健康信息的功能。</w:t>
            </w:r>
          </w:p>
        </w:tc>
      </w:tr>
      <w:tr w14:paraId="4E0C1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4BC02BA7">
            <w:pPr>
              <w:widowControl/>
              <w:spacing w:beforeLines="0"/>
              <w:jc w:val="left"/>
              <w:rPr>
                <w:rFonts w:ascii="宋体" w:hAnsi="宋体" w:cs="宋体"/>
                <w:color w:val="auto"/>
                <w:kern w:val="0"/>
                <w:sz w:val="22"/>
                <w:szCs w:val="22"/>
                <w:highlight w:val="none"/>
              </w:rPr>
            </w:pPr>
          </w:p>
        </w:tc>
        <w:tc>
          <w:tcPr>
            <w:tcW w:w="2409" w:type="dxa"/>
            <w:noWrap w:val="0"/>
            <w:vAlign w:val="center"/>
          </w:tcPr>
          <w:p w14:paraId="0EF5A6D2">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路径查看</w:t>
            </w:r>
          </w:p>
        </w:tc>
        <w:tc>
          <w:tcPr>
            <w:tcW w:w="4962" w:type="dxa"/>
            <w:noWrap w:val="0"/>
            <w:vAlign w:val="center"/>
          </w:tcPr>
          <w:p w14:paraId="4C968A04">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支持慢病标准化诊疗路径生成功能。</w:t>
            </w:r>
          </w:p>
        </w:tc>
      </w:tr>
      <w:tr w14:paraId="19E2C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1AFC72B7">
            <w:pPr>
              <w:widowControl/>
              <w:spacing w:beforeLines="0"/>
              <w:jc w:val="left"/>
              <w:rPr>
                <w:rFonts w:ascii="宋体" w:hAnsi="宋体" w:cs="宋体"/>
                <w:color w:val="auto"/>
                <w:kern w:val="0"/>
                <w:sz w:val="22"/>
                <w:szCs w:val="22"/>
                <w:highlight w:val="none"/>
              </w:rPr>
            </w:pPr>
          </w:p>
        </w:tc>
        <w:tc>
          <w:tcPr>
            <w:tcW w:w="2409" w:type="dxa"/>
            <w:noWrap w:val="0"/>
            <w:vAlign w:val="center"/>
          </w:tcPr>
          <w:p w14:paraId="1FB55FB3">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路径提示</w:t>
            </w:r>
          </w:p>
        </w:tc>
        <w:tc>
          <w:tcPr>
            <w:tcW w:w="4962" w:type="dxa"/>
            <w:noWrap w:val="0"/>
            <w:vAlign w:val="center"/>
          </w:tcPr>
          <w:p w14:paraId="4AF2DBA6">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支持自动定位诊疗路径功能。</w:t>
            </w:r>
          </w:p>
        </w:tc>
      </w:tr>
      <w:tr w14:paraId="6DA9A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15702F52">
            <w:pPr>
              <w:widowControl/>
              <w:spacing w:beforeLines="0"/>
              <w:jc w:val="left"/>
              <w:rPr>
                <w:rFonts w:ascii="宋体" w:hAnsi="宋体" w:cs="宋体"/>
                <w:color w:val="auto"/>
                <w:kern w:val="0"/>
                <w:sz w:val="22"/>
                <w:szCs w:val="22"/>
                <w:highlight w:val="none"/>
              </w:rPr>
            </w:pPr>
          </w:p>
        </w:tc>
        <w:tc>
          <w:tcPr>
            <w:tcW w:w="2409" w:type="dxa"/>
            <w:noWrap w:val="0"/>
            <w:vAlign w:val="center"/>
          </w:tcPr>
          <w:p w14:paraId="46F5F654">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体检提示</w:t>
            </w:r>
          </w:p>
        </w:tc>
        <w:tc>
          <w:tcPr>
            <w:tcW w:w="4962" w:type="dxa"/>
            <w:noWrap w:val="0"/>
            <w:vAlign w:val="center"/>
          </w:tcPr>
          <w:p w14:paraId="1F58AF3F">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支持最近一次体检时间提醒功能。</w:t>
            </w:r>
          </w:p>
        </w:tc>
      </w:tr>
      <w:tr w14:paraId="484B5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2A34994E">
            <w:pPr>
              <w:widowControl/>
              <w:spacing w:beforeLines="0"/>
              <w:jc w:val="left"/>
              <w:rPr>
                <w:rFonts w:ascii="宋体" w:hAnsi="宋体" w:cs="宋体"/>
                <w:color w:val="auto"/>
                <w:kern w:val="0"/>
                <w:sz w:val="22"/>
                <w:szCs w:val="22"/>
                <w:highlight w:val="none"/>
              </w:rPr>
            </w:pPr>
          </w:p>
        </w:tc>
        <w:tc>
          <w:tcPr>
            <w:tcW w:w="2409" w:type="dxa"/>
            <w:noWrap w:val="0"/>
            <w:vAlign w:val="center"/>
          </w:tcPr>
          <w:p w14:paraId="1B3CBE4A">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并发症提示</w:t>
            </w:r>
          </w:p>
        </w:tc>
        <w:tc>
          <w:tcPr>
            <w:tcW w:w="4962" w:type="dxa"/>
            <w:noWrap w:val="0"/>
            <w:vAlign w:val="center"/>
          </w:tcPr>
          <w:p w14:paraId="1F3646F9">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支持患者相关并发症提示功能。</w:t>
            </w:r>
          </w:p>
        </w:tc>
      </w:tr>
      <w:tr w14:paraId="28242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4EA799FB">
            <w:pPr>
              <w:widowControl/>
              <w:spacing w:beforeLines="0"/>
              <w:jc w:val="left"/>
              <w:rPr>
                <w:rFonts w:ascii="宋体" w:hAnsi="宋体" w:cs="宋体"/>
                <w:color w:val="auto"/>
                <w:kern w:val="0"/>
                <w:sz w:val="22"/>
                <w:szCs w:val="22"/>
                <w:highlight w:val="none"/>
              </w:rPr>
            </w:pPr>
          </w:p>
        </w:tc>
        <w:tc>
          <w:tcPr>
            <w:tcW w:w="2409" w:type="dxa"/>
            <w:noWrap w:val="0"/>
            <w:vAlign w:val="center"/>
          </w:tcPr>
          <w:p w14:paraId="5B64EC45">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管理级别提示</w:t>
            </w:r>
          </w:p>
        </w:tc>
        <w:tc>
          <w:tcPr>
            <w:tcW w:w="4962" w:type="dxa"/>
            <w:noWrap w:val="0"/>
            <w:vAlign w:val="center"/>
          </w:tcPr>
          <w:p w14:paraId="2616F335">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支持患者管理级别提示功能。</w:t>
            </w:r>
          </w:p>
        </w:tc>
      </w:tr>
      <w:tr w14:paraId="0EF2E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0594DD33">
            <w:pPr>
              <w:widowControl/>
              <w:spacing w:beforeLines="0"/>
              <w:jc w:val="left"/>
              <w:rPr>
                <w:rFonts w:ascii="宋体" w:hAnsi="宋体" w:cs="宋体"/>
                <w:color w:val="auto"/>
                <w:kern w:val="0"/>
                <w:sz w:val="22"/>
                <w:szCs w:val="22"/>
                <w:highlight w:val="none"/>
              </w:rPr>
            </w:pPr>
          </w:p>
        </w:tc>
        <w:tc>
          <w:tcPr>
            <w:tcW w:w="2409" w:type="dxa"/>
            <w:noWrap w:val="0"/>
            <w:vAlign w:val="center"/>
          </w:tcPr>
          <w:p w14:paraId="426A798D">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浮窗设置</w:t>
            </w:r>
          </w:p>
        </w:tc>
        <w:tc>
          <w:tcPr>
            <w:tcW w:w="4962" w:type="dxa"/>
            <w:noWrap w:val="0"/>
            <w:vAlign w:val="center"/>
          </w:tcPr>
          <w:p w14:paraId="08C23CC6">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支持一键开启、关闭智能提醒浮窗等功能。</w:t>
            </w:r>
          </w:p>
        </w:tc>
      </w:tr>
      <w:tr w14:paraId="370FC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24E2A6A2">
            <w:pPr>
              <w:widowControl/>
              <w:spacing w:beforeLines="0"/>
              <w:jc w:val="left"/>
              <w:rPr>
                <w:rFonts w:ascii="宋体" w:hAnsi="宋体" w:cs="宋体"/>
                <w:color w:val="auto"/>
                <w:kern w:val="0"/>
                <w:sz w:val="22"/>
                <w:szCs w:val="22"/>
                <w:highlight w:val="none"/>
              </w:rPr>
            </w:pPr>
          </w:p>
        </w:tc>
        <w:tc>
          <w:tcPr>
            <w:tcW w:w="2409" w:type="dxa"/>
            <w:noWrap w:val="0"/>
            <w:vAlign w:val="center"/>
          </w:tcPr>
          <w:p w14:paraId="571AF548">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健康指数</w:t>
            </w:r>
          </w:p>
        </w:tc>
        <w:tc>
          <w:tcPr>
            <w:tcW w:w="4962" w:type="dxa"/>
            <w:noWrap w:val="0"/>
            <w:vAlign w:val="center"/>
          </w:tcPr>
          <w:p w14:paraId="1C35570C">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支持诊间助手展示健康指数、风险层级等功能。</w:t>
            </w:r>
          </w:p>
        </w:tc>
      </w:tr>
      <w:tr w14:paraId="7F9DB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33785775">
            <w:pPr>
              <w:widowControl/>
              <w:spacing w:beforeLines="0"/>
              <w:jc w:val="left"/>
              <w:rPr>
                <w:rFonts w:ascii="宋体" w:hAnsi="宋体" w:cs="宋体"/>
                <w:color w:val="auto"/>
                <w:kern w:val="0"/>
                <w:sz w:val="22"/>
                <w:szCs w:val="22"/>
                <w:highlight w:val="none"/>
              </w:rPr>
            </w:pPr>
          </w:p>
        </w:tc>
        <w:tc>
          <w:tcPr>
            <w:tcW w:w="2409" w:type="dxa"/>
            <w:noWrap w:val="0"/>
            <w:vAlign w:val="center"/>
          </w:tcPr>
          <w:p w14:paraId="2D7ECA96">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诊前提示</w:t>
            </w:r>
          </w:p>
        </w:tc>
        <w:tc>
          <w:tcPr>
            <w:tcW w:w="4962" w:type="dxa"/>
            <w:noWrap w:val="0"/>
            <w:vAlign w:val="center"/>
          </w:tcPr>
          <w:p w14:paraId="574C0F79">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支持是否已完成诊前信息录入提示的功能。</w:t>
            </w:r>
          </w:p>
        </w:tc>
      </w:tr>
      <w:tr w14:paraId="497FA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107B53FF">
            <w:pPr>
              <w:widowControl/>
              <w:spacing w:beforeLines="0"/>
              <w:jc w:val="left"/>
              <w:rPr>
                <w:rFonts w:ascii="宋体" w:hAnsi="宋体" w:cs="宋体"/>
                <w:color w:val="auto"/>
                <w:kern w:val="0"/>
                <w:sz w:val="22"/>
                <w:szCs w:val="22"/>
                <w:highlight w:val="none"/>
              </w:rPr>
            </w:pPr>
          </w:p>
        </w:tc>
        <w:tc>
          <w:tcPr>
            <w:tcW w:w="2409" w:type="dxa"/>
            <w:noWrap w:val="0"/>
            <w:vAlign w:val="center"/>
          </w:tcPr>
          <w:p w14:paraId="6CBF5CCF">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患病标签</w:t>
            </w:r>
          </w:p>
        </w:tc>
        <w:tc>
          <w:tcPr>
            <w:tcW w:w="4962" w:type="dxa"/>
            <w:noWrap w:val="0"/>
            <w:vAlign w:val="center"/>
          </w:tcPr>
          <w:p w14:paraId="2145B832">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支持患者疾病标签的功能。</w:t>
            </w:r>
          </w:p>
        </w:tc>
      </w:tr>
      <w:tr w14:paraId="431C6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58C4D5CD">
            <w:pPr>
              <w:widowControl/>
              <w:spacing w:beforeLines="0"/>
              <w:jc w:val="left"/>
              <w:rPr>
                <w:rFonts w:ascii="宋体" w:hAnsi="宋体" w:cs="宋体"/>
                <w:color w:val="auto"/>
                <w:kern w:val="0"/>
                <w:sz w:val="22"/>
                <w:szCs w:val="22"/>
                <w:highlight w:val="none"/>
              </w:rPr>
            </w:pPr>
          </w:p>
        </w:tc>
        <w:tc>
          <w:tcPr>
            <w:tcW w:w="2409" w:type="dxa"/>
            <w:noWrap w:val="0"/>
            <w:vAlign w:val="center"/>
          </w:tcPr>
          <w:p w14:paraId="5ED73E03">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诊前信息</w:t>
            </w:r>
          </w:p>
        </w:tc>
        <w:tc>
          <w:tcPr>
            <w:tcW w:w="4962" w:type="dxa"/>
            <w:noWrap w:val="0"/>
            <w:vAlign w:val="center"/>
          </w:tcPr>
          <w:p w14:paraId="6BB8CCFC">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支持患者诊前体征信息查看的功能。</w:t>
            </w:r>
          </w:p>
        </w:tc>
      </w:tr>
      <w:tr w14:paraId="0AB15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430893F6">
            <w:pPr>
              <w:widowControl/>
              <w:spacing w:beforeLines="0"/>
              <w:jc w:val="left"/>
              <w:rPr>
                <w:rFonts w:ascii="宋体" w:hAnsi="宋体" w:cs="宋体"/>
                <w:color w:val="auto"/>
                <w:kern w:val="0"/>
                <w:sz w:val="22"/>
                <w:szCs w:val="22"/>
                <w:highlight w:val="none"/>
              </w:rPr>
            </w:pPr>
          </w:p>
        </w:tc>
        <w:tc>
          <w:tcPr>
            <w:tcW w:w="2409" w:type="dxa"/>
            <w:noWrap w:val="0"/>
            <w:vAlign w:val="center"/>
          </w:tcPr>
          <w:p w14:paraId="7D8B35D2">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随访计划</w:t>
            </w:r>
          </w:p>
        </w:tc>
        <w:tc>
          <w:tcPr>
            <w:tcW w:w="4962" w:type="dxa"/>
            <w:noWrap w:val="0"/>
            <w:vAlign w:val="center"/>
          </w:tcPr>
          <w:p w14:paraId="16B77A39">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支持诊间随访计划、一键随访等功能。</w:t>
            </w:r>
          </w:p>
        </w:tc>
      </w:tr>
      <w:tr w14:paraId="75114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187D894C">
            <w:pPr>
              <w:widowControl/>
              <w:spacing w:beforeLines="0"/>
              <w:jc w:val="left"/>
              <w:rPr>
                <w:rFonts w:ascii="宋体" w:hAnsi="宋体" w:cs="宋体"/>
                <w:color w:val="auto"/>
                <w:kern w:val="0"/>
                <w:sz w:val="22"/>
                <w:szCs w:val="22"/>
                <w:highlight w:val="none"/>
              </w:rPr>
            </w:pPr>
          </w:p>
        </w:tc>
        <w:tc>
          <w:tcPr>
            <w:tcW w:w="2409" w:type="dxa"/>
            <w:noWrap w:val="0"/>
            <w:vAlign w:val="center"/>
          </w:tcPr>
          <w:p w14:paraId="63B55F0E">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关键体征</w:t>
            </w:r>
          </w:p>
        </w:tc>
        <w:tc>
          <w:tcPr>
            <w:tcW w:w="4962" w:type="dxa"/>
            <w:noWrap w:val="0"/>
            <w:vAlign w:val="center"/>
          </w:tcPr>
          <w:p w14:paraId="5E191314">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支持患者近半年血压、血糖趋势图展示等功能。</w:t>
            </w:r>
          </w:p>
        </w:tc>
      </w:tr>
      <w:tr w14:paraId="41B26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75883776">
            <w:pPr>
              <w:widowControl/>
              <w:spacing w:beforeLines="0"/>
              <w:jc w:val="left"/>
              <w:rPr>
                <w:rFonts w:ascii="宋体" w:hAnsi="宋体" w:cs="宋体"/>
                <w:color w:val="auto"/>
                <w:kern w:val="0"/>
                <w:sz w:val="22"/>
                <w:szCs w:val="22"/>
                <w:highlight w:val="none"/>
              </w:rPr>
            </w:pPr>
          </w:p>
        </w:tc>
        <w:tc>
          <w:tcPr>
            <w:tcW w:w="2409" w:type="dxa"/>
            <w:noWrap w:val="0"/>
            <w:vAlign w:val="center"/>
          </w:tcPr>
          <w:p w14:paraId="27BE4CAD">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项目推荐</w:t>
            </w:r>
          </w:p>
        </w:tc>
        <w:tc>
          <w:tcPr>
            <w:tcW w:w="4962" w:type="dxa"/>
            <w:noWrap w:val="0"/>
            <w:vAlign w:val="center"/>
          </w:tcPr>
          <w:p w14:paraId="5040E314">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支持诊间查体项目推荐功能。</w:t>
            </w:r>
          </w:p>
        </w:tc>
      </w:tr>
      <w:tr w14:paraId="1719D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200849C9">
            <w:pPr>
              <w:widowControl/>
              <w:spacing w:beforeLines="0"/>
              <w:jc w:val="left"/>
              <w:rPr>
                <w:rFonts w:ascii="宋体" w:hAnsi="宋体" w:cs="宋体"/>
                <w:color w:val="auto"/>
                <w:kern w:val="0"/>
                <w:sz w:val="22"/>
                <w:szCs w:val="22"/>
                <w:highlight w:val="none"/>
              </w:rPr>
            </w:pPr>
          </w:p>
        </w:tc>
        <w:tc>
          <w:tcPr>
            <w:tcW w:w="2409" w:type="dxa"/>
            <w:noWrap w:val="0"/>
            <w:vAlign w:val="center"/>
          </w:tcPr>
          <w:p w14:paraId="07126E6A">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数据同步</w:t>
            </w:r>
          </w:p>
        </w:tc>
        <w:tc>
          <w:tcPr>
            <w:tcW w:w="4962" w:type="dxa"/>
            <w:noWrap w:val="0"/>
            <w:vAlign w:val="center"/>
          </w:tcPr>
          <w:p w14:paraId="4AECBE9C">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支持诊间监测数据同步功能。</w:t>
            </w:r>
          </w:p>
        </w:tc>
      </w:tr>
      <w:tr w14:paraId="4063A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06B40F12">
            <w:pPr>
              <w:widowControl/>
              <w:spacing w:beforeLines="0"/>
              <w:jc w:val="left"/>
              <w:rPr>
                <w:rFonts w:ascii="宋体" w:hAnsi="宋体" w:cs="宋体"/>
                <w:color w:val="auto"/>
                <w:kern w:val="0"/>
                <w:sz w:val="22"/>
                <w:szCs w:val="22"/>
                <w:highlight w:val="none"/>
              </w:rPr>
            </w:pPr>
          </w:p>
        </w:tc>
        <w:tc>
          <w:tcPr>
            <w:tcW w:w="2409" w:type="dxa"/>
            <w:noWrap w:val="0"/>
            <w:vAlign w:val="center"/>
          </w:tcPr>
          <w:p w14:paraId="493E2647">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异常提示</w:t>
            </w:r>
          </w:p>
        </w:tc>
        <w:tc>
          <w:tcPr>
            <w:tcW w:w="4962" w:type="dxa"/>
            <w:noWrap w:val="0"/>
            <w:vAlign w:val="center"/>
          </w:tcPr>
          <w:p w14:paraId="279078DD">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支持在诊间提示查看患者末次检验检查异常项目、结果、日期等功能。</w:t>
            </w:r>
          </w:p>
        </w:tc>
      </w:tr>
      <w:tr w14:paraId="6317B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690C8031">
            <w:pPr>
              <w:widowControl/>
              <w:spacing w:beforeLines="0"/>
              <w:jc w:val="left"/>
              <w:rPr>
                <w:rFonts w:ascii="宋体" w:hAnsi="宋体" w:cs="宋体"/>
                <w:color w:val="auto"/>
                <w:kern w:val="0"/>
                <w:sz w:val="22"/>
                <w:szCs w:val="22"/>
                <w:highlight w:val="none"/>
              </w:rPr>
            </w:pPr>
          </w:p>
        </w:tc>
        <w:tc>
          <w:tcPr>
            <w:tcW w:w="2409" w:type="dxa"/>
            <w:noWrap w:val="0"/>
            <w:vAlign w:val="center"/>
          </w:tcPr>
          <w:p w14:paraId="5F84E984">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推荐项目</w:t>
            </w:r>
          </w:p>
        </w:tc>
        <w:tc>
          <w:tcPr>
            <w:tcW w:w="4962" w:type="dxa"/>
            <w:noWrap w:val="0"/>
            <w:vAlign w:val="center"/>
          </w:tcPr>
          <w:p w14:paraId="46FE7D31">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支持诊间推荐检验检查项功能。</w:t>
            </w:r>
          </w:p>
        </w:tc>
      </w:tr>
      <w:tr w14:paraId="2BBF8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6F851150">
            <w:pPr>
              <w:widowControl/>
              <w:spacing w:beforeLines="0"/>
              <w:jc w:val="left"/>
              <w:rPr>
                <w:rFonts w:ascii="宋体" w:hAnsi="宋体" w:cs="宋体"/>
                <w:color w:val="auto"/>
                <w:kern w:val="0"/>
                <w:sz w:val="22"/>
                <w:szCs w:val="22"/>
                <w:highlight w:val="none"/>
              </w:rPr>
            </w:pPr>
          </w:p>
        </w:tc>
        <w:tc>
          <w:tcPr>
            <w:tcW w:w="2409" w:type="dxa"/>
            <w:noWrap w:val="0"/>
            <w:vAlign w:val="center"/>
          </w:tcPr>
          <w:p w14:paraId="52156D85">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随访提示</w:t>
            </w:r>
          </w:p>
        </w:tc>
        <w:tc>
          <w:tcPr>
            <w:tcW w:w="4962" w:type="dxa"/>
            <w:noWrap w:val="0"/>
            <w:vAlign w:val="center"/>
          </w:tcPr>
          <w:p w14:paraId="78BF06F4">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支持诊间随访提示功能。</w:t>
            </w:r>
          </w:p>
        </w:tc>
      </w:tr>
      <w:tr w14:paraId="4C527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220E242A">
            <w:pPr>
              <w:widowControl/>
              <w:spacing w:beforeLines="0"/>
              <w:jc w:val="left"/>
              <w:rPr>
                <w:rFonts w:ascii="宋体" w:hAnsi="宋体" w:cs="宋体"/>
                <w:color w:val="auto"/>
                <w:kern w:val="0"/>
                <w:sz w:val="22"/>
                <w:szCs w:val="22"/>
                <w:highlight w:val="none"/>
              </w:rPr>
            </w:pPr>
          </w:p>
        </w:tc>
        <w:tc>
          <w:tcPr>
            <w:tcW w:w="2409" w:type="dxa"/>
            <w:noWrap w:val="0"/>
            <w:vAlign w:val="center"/>
          </w:tcPr>
          <w:p w14:paraId="0614C0D3">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随访任务</w:t>
            </w:r>
          </w:p>
        </w:tc>
        <w:tc>
          <w:tcPr>
            <w:tcW w:w="4962" w:type="dxa"/>
            <w:noWrap w:val="0"/>
            <w:vAlign w:val="center"/>
          </w:tcPr>
          <w:p w14:paraId="7C11D3F1">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支持诊间一键随访功能。</w:t>
            </w:r>
          </w:p>
        </w:tc>
      </w:tr>
      <w:tr w14:paraId="0C56A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593036AA">
            <w:pPr>
              <w:widowControl/>
              <w:spacing w:beforeLines="0"/>
              <w:jc w:val="left"/>
              <w:rPr>
                <w:rFonts w:ascii="宋体" w:hAnsi="宋体" w:cs="宋体"/>
                <w:color w:val="auto"/>
                <w:kern w:val="0"/>
                <w:sz w:val="22"/>
                <w:szCs w:val="22"/>
                <w:highlight w:val="none"/>
              </w:rPr>
            </w:pPr>
          </w:p>
        </w:tc>
        <w:tc>
          <w:tcPr>
            <w:tcW w:w="2409" w:type="dxa"/>
            <w:noWrap w:val="0"/>
            <w:vAlign w:val="center"/>
          </w:tcPr>
          <w:p w14:paraId="62781127">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末次用药分析</w:t>
            </w:r>
          </w:p>
        </w:tc>
        <w:tc>
          <w:tcPr>
            <w:tcW w:w="4962" w:type="dxa"/>
            <w:noWrap w:val="0"/>
            <w:vAlign w:val="center"/>
          </w:tcPr>
          <w:p w14:paraId="63044CF5">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支持诊间末次用药信息、用药评估分析等功能。</w:t>
            </w:r>
          </w:p>
        </w:tc>
      </w:tr>
      <w:tr w14:paraId="21D08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7A6243FE">
            <w:pPr>
              <w:widowControl/>
              <w:spacing w:beforeLines="0"/>
              <w:jc w:val="left"/>
              <w:rPr>
                <w:rFonts w:ascii="宋体" w:hAnsi="宋体" w:cs="宋体"/>
                <w:color w:val="auto"/>
                <w:kern w:val="0"/>
                <w:sz w:val="22"/>
                <w:szCs w:val="22"/>
                <w:highlight w:val="none"/>
              </w:rPr>
            </w:pPr>
          </w:p>
        </w:tc>
        <w:tc>
          <w:tcPr>
            <w:tcW w:w="2409" w:type="dxa"/>
            <w:noWrap w:val="0"/>
            <w:vAlign w:val="center"/>
          </w:tcPr>
          <w:p w14:paraId="124EA64C">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辅助用药决策</w:t>
            </w:r>
          </w:p>
        </w:tc>
        <w:tc>
          <w:tcPr>
            <w:tcW w:w="4962" w:type="dxa"/>
            <w:noWrap w:val="0"/>
            <w:vAlign w:val="center"/>
          </w:tcPr>
          <w:p w14:paraId="04B09E9C">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支持辅助用药建议功能。</w:t>
            </w:r>
          </w:p>
        </w:tc>
      </w:tr>
      <w:tr w14:paraId="6B70B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5FFC75CD">
            <w:pPr>
              <w:widowControl/>
              <w:spacing w:beforeLines="0"/>
              <w:jc w:val="left"/>
              <w:rPr>
                <w:rFonts w:ascii="宋体" w:hAnsi="宋体" w:cs="宋体"/>
                <w:color w:val="auto"/>
                <w:kern w:val="0"/>
                <w:sz w:val="22"/>
                <w:szCs w:val="22"/>
                <w:highlight w:val="none"/>
              </w:rPr>
            </w:pPr>
          </w:p>
        </w:tc>
        <w:tc>
          <w:tcPr>
            <w:tcW w:w="2409" w:type="dxa"/>
            <w:noWrap w:val="0"/>
            <w:vAlign w:val="center"/>
          </w:tcPr>
          <w:p w14:paraId="713A961F">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处方查看</w:t>
            </w:r>
          </w:p>
        </w:tc>
        <w:tc>
          <w:tcPr>
            <w:tcW w:w="4962" w:type="dxa"/>
            <w:noWrap w:val="0"/>
            <w:vAlign w:val="center"/>
          </w:tcPr>
          <w:p w14:paraId="1361527C">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支持健康处方查看功能。</w:t>
            </w:r>
          </w:p>
        </w:tc>
      </w:tr>
      <w:tr w14:paraId="0D409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64825398">
            <w:pPr>
              <w:widowControl/>
              <w:spacing w:beforeLines="0"/>
              <w:jc w:val="left"/>
              <w:rPr>
                <w:rFonts w:ascii="宋体" w:hAnsi="宋体" w:cs="宋体"/>
                <w:color w:val="auto"/>
                <w:kern w:val="0"/>
                <w:sz w:val="22"/>
                <w:szCs w:val="22"/>
                <w:highlight w:val="none"/>
              </w:rPr>
            </w:pPr>
          </w:p>
        </w:tc>
        <w:tc>
          <w:tcPr>
            <w:tcW w:w="2409" w:type="dxa"/>
            <w:noWrap w:val="0"/>
            <w:vAlign w:val="center"/>
          </w:tcPr>
          <w:p w14:paraId="20F1849B">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处方开具</w:t>
            </w:r>
          </w:p>
        </w:tc>
        <w:tc>
          <w:tcPr>
            <w:tcW w:w="4962" w:type="dxa"/>
            <w:noWrap w:val="0"/>
            <w:vAlign w:val="center"/>
          </w:tcPr>
          <w:p w14:paraId="49500648">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支持开具健康处方功能。</w:t>
            </w:r>
          </w:p>
        </w:tc>
      </w:tr>
      <w:tr w14:paraId="754BC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66A6BCFE">
            <w:pPr>
              <w:widowControl/>
              <w:spacing w:beforeLines="0"/>
              <w:jc w:val="left"/>
              <w:rPr>
                <w:rFonts w:ascii="宋体" w:hAnsi="宋体" w:cs="宋体"/>
                <w:color w:val="auto"/>
                <w:kern w:val="0"/>
                <w:sz w:val="22"/>
                <w:szCs w:val="22"/>
                <w:highlight w:val="none"/>
              </w:rPr>
            </w:pPr>
          </w:p>
        </w:tc>
        <w:tc>
          <w:tcPr>
            <w:tcW w:w="2409" w:type="dxa"/>
            <w:noWrap w:val="0"/>
            <w:vAlign w:val="center"/>
          </w:tcPr>
          <w:p w14:paraId="2CC7AD42">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管理级别</w:t>
            </w:r>
          </w:p>
        </w:tc>
        <w:tc>
          <w:tcPr>
            <w:tcW w:w="4962" w:type="dxa"/>
            <w:noWrap w:val="0"/>
            <w:vAlign w:val="center"/>
          </w:tcPr>
          <w:p w14:paraId="5E2DAAAB">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支持建议慢病管理级别功能。</w:t>
            </w:r>
          </w:p>
        </w:tc>
      </w:tr>
      <w:tr w14:paraId="05EA0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5C60119E">
            <w:pPr>
              <w:widowControl/>
              <w:spacing w:beforeLines="0"/>
              <w:jc w:val="left"/>
              <w:rPr>
                <w:rFonts w:ascii="宋体" w:hAnsi="宋体" w:cs="宋体"/>
                <w:color w:val="auto"/>
                <w:kern w:val="0"/>
                <w:sz w:val="22"/>
                <w:szCs w:val="22"/>
                <w:highlight w:val="none"/>
              </w:rPr>
            </w:pPr>
          </w:p>
        </w:tc>
        <w:tc>
          <w:tcPr>
            <w:tcW w:w="2409" w:type="dxa"/>
            <w:noWrap w:val="0"/>
            <w:vAlign w:val="center"/>
          </w:tcPr>
          <w:p w14:paraId="286BABD8">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转诊指征</w:t>
            </w:r>
          </w:p>
        </w:tc>
        <w:tc>
          <w:tcPr>
            <w:tcW w:w="4962" w:type="dxa"/>
            <w:noWrap w:val="0"/>
            <w:vAlign w:val="center"/>
          </w:tcPr>
          <w:p w14:paraId="074823C6">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支持一键转诊功能。</w:t>
            </w:r>
          </w:p>
        </w:tc>
      </w:tr>
      <w:tr w14:paraId="5D428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283F7D0F">
            <w:pPr>
              <w:widowControl/>
              <w:spacing w:beforeLines="0"/>
              <w:jc w:val="left"/>
              <w:rPr>
                <w:rFonts w:ascii="宋体" w:hAnsi="宋体" w:cs="宋体"/>
                <w:color w:val="auto"/>
                <w:kern w:val="0"/>
                <w:sz w:val="22"/>
                <w:szCs w:val="22"/>
                <w:highlight w:val="none"/>
              </w:rPr>
            </w:pPr>
          </w:p>
        </w:tc>
        <w:tc>
          <w:tcPr>
            <w:tcW w:w="2409" w:type="dxa"/>
            <w:noWrap w:val="0"/>
            <w:vAlign w:val="center"/>
          </w:tcPr>
          <w:p w14:paraId="1F4B9529">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就诊报告</w:t>
            </w:r>
          </w:p>
        </w:tc>
        <w:tc>
          <w:tcPr>
            <w:tcW w:w="4962" w:type="dxa"/>
            <w:noWrap w:val="0"/>
            <w:vAlign w:val="center"/>
          </w:tcPr>
          <w:p w14:paraId="7DE928DA">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支持本次就诊评估报告查看功能。</w:t>
            </w:r>
          </w:p>
        </w:tc>
      </w:tr>
      <w:tr w14:paraId="263CB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3F2BE78D">
            <w:pPr>
              <w:widowControl/>
              <w:spacing w:beforeLines="0"/>
              <w:jc w:val="left"/>
              <w:rPr>
                <w:rFonts w:ascii="宋体" w:hAnsi="宋体" w:cs="宋体"/>
                <w:color w:val="auto"/>
                <w:kern w:val="0"/>
                <w:sz w:val="22"/>
                <w:szCs w:val="22"/>
                <w:highlight w:val="none"/>
              </w:rPr>
            </w:pPr>
          </w:p>
        </w:tc>
        <w:tc>
          <w:tcPr>
            <w:tcW w:w="2409" w:type="dxa"/>
            <w:noWrap w:val="0"/>
            <w:vAlign w:val="center"/>
          </w:tcPr>
          <w:p w14:paraId="3E8668C7">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管理路径</w:t>
            </w:r>
          </w:p>
        </w:tc>
        <w:tc>
          <w:tcPr>
            <w:tcW w:w="4962" w:type="dxa"/>
            <w:noWrap w:val="0"/>
            <w:vAlign w:val="center"/>
          </w:tcPr>
          <w:p w14:paraId="4B474D68">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支持当前管理路径查看功能。</w:t>
            </w:r>
          </w:p>
        </w:tc>
      </w:tr>
      <w:tr w14:paraId="71014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5C9445B0">
            <w:pPr>
              <w:widowControl/>
              <w:spacing w:beforeLines="0"/>
              <w:jc w:val="left"/>
              <w:rPr>
                <w:rFonts w:ascii="宋体" w:hAnsi="宋体" w:cs="宋体"/>
                <w:color w:val="auto"/>
                <w:kern w:val="0"/>
                <w:sz w:val="22"/>
                <w:szCs w:val="22"/>
                <w:highlight w:val="none"/>
              </w:rPr>
            </w:pPr>
          </w:p>
        </w:tc>
        <w:tc>
          <w:tcPr>
            <w:tcW w:w="2409" w:type="dxa"/>
            <w:noWrap w:val="0"/>
            <w:vAlign w:val="center"/>
          </w:tcPr>
          <w:p w14:paraId="0A0B097F">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画像查阅</w:t>
            </w:r>
          </w:p>
        </w:tc>
        <w:tc>
          <w:tcPr>
            <w:tcW w:w="4962" w:type="dxa"/>
            <w:noWrap w:val="0"/>
            <w:vAlign w:val="center"/>
          </w:tcPr>
          <w:p w14:paraId="32EA9EF7">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支持查看患者健康画像信息功能。</w:t>
            </w:r>
          </w:p>
        </w:tc>
      </w:tr>
      <w:tr w14:paraId="5E7E5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1EFBD710">
            <w:pPr>
              <w:widowControl/>
              <w:spacing w:beforeLines="0"/>
              <w:jc w:val="left"/>
              <w:rPr>
                <w:rFonts w:ascii="宋体" w:hAnsi="宋体" w:cs="宋体"/>
                <w:color w:val="auto"/>
                <w:kern w:val="0"/>
                <w:sz w:val="22"/>
                <w:szCs w:val="22"/>
                <w:highlight w:val="none"/>
              </w:rPr>
            </w:pPr>
          </w:p>
        </w:tc>
        <w:tc>
          <w:tcPr>
            <w:tcW w:w="2409" w:type="dxa"/>
            <w:noWrap w:val="0"/>
            <w:vAlign w:val="center"/>
          </w:tcPr>
          <w:p w14:paraId="3F99BCD2">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高血压智能评估</w:t>
            </w:r>
          </w:p>
        </w:tc>
        <w:tc>
          <w:tcPr>
            <w:tcW w:w="4962" w:type="dxa"/>
            <w:noWrap w:val="0"/>
            <w:vAlign w:val="center"/>
          </w:tcPr>
          <w:p w14:paraId="7676CCEA">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支持系统高血压情况智能提示、重新评估等功能。</w:t>
            </w:r>
          </w:p>
        </w:tc>
      </w:tr>
      <w:tr w14:paraId="7DF11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7B23C778">
            <w:pPr>
              <w:widowControl/>
              <w:spacing w:beforeLines="0"/>
              <w:jc w:val="left"/>
              <w:rPr>
                <w:rFonts w:ascii="宋体" w:hAnsi="宋体" w:cs="宋体"/>
                <w:color w:val="auto"/>
                <w:kern w:val="0"/>
                <w:sz w:val="22"/>
                <w:szCs w:val="22"/>
                <w:highlight w:val="none"/>
              </w:rPr>
            </w:pPr>
          </w:p>
        </w:tc>
        <w:tc>
          <w:tcPr>
            <w:tcW w:w="2409" w:type="dxa"/>
            <w:noWrap w:val="0"/>
            <w:vAlign w:val="center"/>
          </w:tcPr>
          <w:p w14:paraId="7700AAB4">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糖尿病智能评估</w:t>
            </w:r>
          </w:p>
        </w:tc>
        <w:tc>
          <w:tcPr>
            <w:tcW w:w="4962" w:type="dxa"/>
            <w:noWrap w:val="0"/>
            <w:vAlign w:val="center"/>
          </w:tcPr>
          <w:p w14:paraId="3531CE90">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支持系统糖尿病情况智能提示、重新评估等功能。</w:t>
            </w:r>
          </w:p>
        </w:tc>
      </w:tr>
      <w:tr w14:paraId="4E8D9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47022D26">
            <w:pPr>
              <w:widowControl/>
              <w:spacing w:beforeLines="0"/>
              <w:jc w:val="left"/>
              <w:rPr>
                <w:rFonts w:ascii="宋体" w:hAnsi="宋体" w:cs="宋体"/>
                <w:color w:val="auto"/>
                <w:kern w:val="0"/>
                <w:sz w:val="22"/>
                <w:szCs w:val="22"/>
                <w:highlight w:val="none"/>
              </w:rPr>
            </w:pPr>
          </w:p>
        </w:tc>
        <w:tc>
          <w:tcPr>
            <w:tcW w:w="2409" w:type="dxa"/>
            <w:noWrap w:val="0"/>
            <w:vAlign w:val="center"/>
          </w:tcPr>
          <w:p w14:paraId="3AD5DA21">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检查检验记录</w:t>
            </w:r>
          </w:p>
        </w:tc>
        <w:tc>
          <w:tcPr>
            <w:tcW w:w="4962" w:type="dxa"/>
            <w:noWrap w:val="0"/>
            <w:vAlign w:val="center"/>
          </w:tcPr>
          <w:p w14:paraId="1370A92C">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支持查看检查检验（关键指标）记录近一年、半年、一季度、一个月结果情况等功能。</w:t>
            </w:r>
          </w:p>
        </w:tc>
      </w:tr>
      <w:tr w14:paraId="285FE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389CEFE9">
            <w:pPr>
              <w:widowControl/>
              <w:spacing w:beforeLines="0"/>
              <w:jc w:val="left"/>
              <w:rPr>
                <w:rFonts w:ascii="宋体" w:hAnsi="宋体" w:cs="宋体"/>
                <w:color w:val="auto"/>
                <w:kern w:val="0"/>
                <w:sz w:val="22"/>
                <w:szCs w:val="22"/>
                <w:highlight w:val="none"/>
              </w:rPr>
            </w:pPr>
          </w:p>
        </w:tc>
        <w:tc>
          <w:tcPr>
            <w:tcW w:w="2409" w:type="dxa"/>
            <w:noWrap w:val="0"/>
            <w:vAlign w:val="center"/>
          </w:tcPr>
          <w:p w14:paraId="4F693728">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推荐项目</w:t>
            </w:r>
          </w:p>
        </w:tc>
        <w:tc>
          <w:tcPr>
            <w:tcW w:w="4962" w:type="dxa"/>
            <w:noWrap w:val="0"/>
            <w:vAlign w:val="center"/>
          </w:tcPr>
          <w:p w14:paraId="0D2E77DE">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支持诊间推荐检验检查项功能。</w:t>
            </w:r>
          </w:p>
        </w:tc>
      </w:tr>
      <w:tr w14:paraId="3590D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65930AE8">
            <w:pPr>
              <w:widowControl/>
              <w:spacing w:beforeLines="0"/>
              <w:jc w:val="left"/>
              <w:rPr>
                <w:rFonts w:ascii="宋体" w:hAnsi="宋体" w:cs="宋体"/>
                <w:color w:val="auto"/>
                <w:kern w:val="0"/>
                <w:sz w:val="22"/>
                <w:szCs w:val="22"/>
                <w:highlight w:val="none"/>
              </w:rPr>
            </w:pPr>
          </w:p>
        </w:tc>
        <w:tc>
          <w:tcPr>
            <w:tcW w:w="2409" w:type="dxa"/>
            <w:noWrap w:val="0"/>
            <w:vAlign w:val="center"/>
          </w:tcPr>
          <w:p w14:paraId="6CDC9674">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诊间随访提示</w:t>
            </w:r>
          </w:p>
        </w:tc>
        <w:tc>
          <w:tcPr>
            <w:tcW w:w="4962" w:type="dxa"/>
            <w:noWrap w:val="0"/>
            <w:vAlign w:val="center"/>
          </w:tcPr>
          <w:p w14:paraId="41BC300B">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支持展示随访提示功能。</w:t>
            </w:r>
          </w:p>
        </w:tc>
      </w:tr>
      <w:tr w14:paraId="49A7B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6E2B616F">
            <w:pPr>
              <w:widowControl/>
              <w:spacing w:beforeLines="0"/>
              <w:jc w:val="left"/>
              <w:rPr>
                <w:rFonts w:ascii="宋体" w:hAnsi="宋体" w:cs="宋体"/>
                <w:color w:val="auto"/>
                <w:kern w:val="0"/>
                <w:sz w:val="22"/>
                <w:szCs w:val="22"/>
                <w:highlight w:val="none"/>
              </w:rPr>
            </w:pPr>
          </w:p>
        </w:tc>
        <w:tc>
          <w:tcPr>
            <w:tcW w:w="2409" w:type="dxa"/>
            <w:noWrap w:val="0"/>
            <w:vAlign w:val="center"/>
          </w:tcPr>
          <w:p w14:paraId="2735E488">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随访任务</w:t>
            </w:r>
          </w:p>
        </w:tc>
        <w:tc>
          <w:tcPr>
            <w:tcW w:w="4962" w:type="dxa"/>
            <w:noWrap w:val="0"/>
            <w:vAlign w:val="center"/>
          </w:tcPr>
          <w:p w14:paraId="4E891B5D">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支持生成患者随访任务内容功能。</w:t>
            </w:r>
          </w:p>
        </w:tc>
      </w:tr>
      <w:tr w14:paraId="25D86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64FC9130">
            <w:pPr>
              <w:widowControl/>
              <w:spacing w:beforeLines="0"/>
              <w:jc w:val="left"/>
              <w:rPr>
                <w:rFonts w:ascii="宋体" w:hAnsi="宋体" w:cs="宋体"/>
                <w:color w:val="auto"/>
                <w:kern w:val="0"/>
                <w:sz w:val="22"/>
                <w:szCs w:val="22"/>
                <w:highlight w:val="none"/>
              </w:rPr>
            </w:pPr>
          </w:p>
        </w:tc>
        <w:tc>
          <w:tcPr>
            <w:tcW w:w="2409" w:type="dxa"/>
            <w:noWrap w:val="0"/>
            <w:vAlign w:val="center"/>
          </w:tcPr>
          <w:p w14:paraId="12285580">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任务制定</w:t>
            </w:r>
          </w:p>
        </w:tc>
        <w:tc>
          <w:tcPr>
            <w:tcW w:w="4962" w:type="dxa"/>
            <w:noWrap w:val="0"/>
            <w:vAlign w:val="center"/>
          </w:tcPr>
          <w:p w14:paraId="76544B1B">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支持诊间责任医生健康任务制定功能。</w:t>
            </w:r>
          </w:p>
        </w:tc>
      </w:tr>
      <w:tr w14:paraId="42973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3EE3F356">
            <w:pPr>
              <w:widowControl/>
              <w:spacing w:beforeLines="0"/>
              <w:jc w:val="left"/>
              <w:rPr>
                <w:rFonts w:ascii="宋体" w:hAnsi="宋体" w:cs="宋体"/>
                <w:color w:val="auto"/>
                <w:kern w:val="0"/>
                <w:sz w:val="22"/>
                <w:szCs w:val="22"/>
                <w:highlight w:val="none"/>
              </w:rPr>
            </w:pPr>
          </w:p>
        </w:tc>
        <w:tc>
          <w:tcPr>
            <w:tcW w:w="2409" w:type="dxa"/>
            <w:noWrap w:val="0"/>
            <w:vAlign w:val="center"/>
          </w:tcPr>
          <w:p w14:paraId="4C6619B9">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跟进随访任务</w:t>
            </w:r>
          </w:p>
        </w:tc>
        <w:tc>
          <w:tcPr>
            <w:tcW w:w="4962" w:type="dxa"/>
            <w:noWrap w:val="0"/>
            <w:vAlign w:val="center"/>
          </w:tcPr>
          <w:p w14:paraId="4FBB5452">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支持责任医生跟进随访任务功能。</w:t>
            </w:r>
          </w:p>
        </w:tc>
      </w:tr>
      <w:tr w14:paraId="43F31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5DC09583">
            <w:pPr>
              <w:widowControl/>
              <w:spacing w:beforeLines="0"/>
              <w:jc w:val="left"/>
              <w:rPr>
                <w:rFonts w:ascii="宋体" w:hAnsi="宋体" w:cs="宋体"/>
                <w:color w:val="auto"/>
                <w:kern w:val="0"/>
                <w:sz w:val="22"/>
                <w:szCs w:val="22"/>
                <w:highlight w:val="none"/>
              </w:rPr>
            </w:pPr>
          </w:p>
        </w:tc>
        <w:tc>
          <w:tcPr>
            <w:tcW w:w="2409" w:type="dxa"/>
            <w:noWrap w:val="0"/>
            <w:vAlign w:val="center"/>
          </w:tcPr>
          <w:p w14:paraId="50B61D6F">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血压测量任务</w:t>
            </w:r>
          </w:p>
        </w:tc>
        <w:tc>
          <w:tcPr>
            <w:tcW w:w="4962" w:type="dxa"/>
            <w:noWrap w:val="0"/>
            <w:vAlign w:val="center"/>
          </w:tcPr>
          <w:p w14:paraId="4D1CD8F2">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支持责任医生跟进血压测量任务功能。</w:t>
            </w:r>
          </w:p>
        </w:tc>
      </w:tr>
      <w:tr w14:paraId="74F3A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3CFB2087">
            <w:pPr>
              <w:widowControl/>
              <w:spacing w:beforeLines="0"/>
              <w:jc w:val="left"/>
              <w:rPr>
                <w:rFonts w:ascii="宋体" w:hAnsi="宋体" w:cs="宋体"/>
                <w:color w:val="auto"/>
                <w:kern w:val="0"/>
                <w:sz w:val="22"/>
                <w:szCs w:val="22"/>
                <w:highlight w:val="none"/>
              </w:rPr>
            </w:pPr>
          </w:p>
        </w:tc>
        <w:tc>
          <w:tcPr>
            <w:tcW w:w="2409" w:type="dxa"/>
            <w:noWrap w:val="0"/>
            <w:vAlign w:val="center"/>
          </w:tcPr>
          <w:p w14:paraId="60FA00C6">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空腹血糖测量任务</w:t>
            </w:r>
          </w:p>
        </w:tc>
        <w:tc>
          <w:tcPr>
            <w:tcW w:w="4962" w:type="dxa"/>
            <w:noWrap w:val="0"/>
            <w:vAlign w:val="center"/>
          </w:tcPr>
          <w:p w14:paraId="333E0D9B">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支持责任医生跟进空腹血糖测量任务功能。</w:t>
            </w:r>
          </w:p>
        </w:tc>
      </w:tr>
      <w:tr w14:paraId="0C1BB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0225DD57">
            <w:pPr>
              <w:widowControl/>
              <w:spacing w:beforeLines="0"/>
              <w:jc w:val="left"/>
              <w:rPr>
                <w:rFonts w:ascii="宋体" w:hAnsi="宋体" w:cs="宋体"/>
                <w:color w:val="auto"/>
                <w:kern w:val="0"/>
                <w:sz w:val="22"/>
                <w:szCs w:val="22"/>
                <w:highlight w:val="none"/>
              </w:rPr>
            </w:pPr>
          </w:p>
        </w:tc>
        <w:tc>
          <w:tcPr>
            <w:tcW w:w="2409" w:type="dxa"/>
            <w:noWrap w:val="0"/>
            <w:vAlign w:val="center"/>
          </w:tcPr>
          <w:p w14:paraId="4612EC93">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餐后2小时血糖测量任务</w:t>
            </w:r>
          </w:p>
        </w:tc>
        <w:tc>
          <w:tcPr>
            <w:tcW w:w="4962" w:type="dxa"/>
            <w:noWrap w:val="0"/>
            <w:vAlign w:val="center"/>
          </w:tcPr>
          <w:p w14:paraId="7610D670">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支持责任医生跟进餐后2小时血糖测量任务功能。</w:t>
            </w:r>
          </w:p>
        </w:tc>
      </w:tr>
      <w:tr w14:paraId="13A0D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6D3156CE">
            <w:pPr>
              <w:widowControl/>
              <w:spacing w:beforeLines="0"/>
              <w:jc w:val="left"/>
              <w:rPr>
                <w:rFonts w:ascii="宋体" w:hAnsi="宋体" w:cs="宋体"/>
                <w:color w:val="auto"/>
                <w:kern w:val="0"/>
                <w:sz w:val="22"/>
                <w:szCs w:val="22"/>
                <w:highlight w:val="none"/>
              </w:rPr>
            </w:pPr>
          </w:p>
        </w:tc>
        <w:tc>
          <w:tcPr>
            <w:tcW w:w="2409" w:type="dxa"/>
            <w:noWrap w:val="0"/>
            <w:vAlign w:val="center"/>
          </w:tcPr>
          <w:p w14:paraId="615556ED">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糖化血红蛋白测量任务</w:t>
            </w:r>
          </w:p>
        </w:tc>
        <w:tc>
          <w:tcPr>
            <w:tcW w:w="4962" w:type="dxa"/>
            <w:noWrap w:val="0"/>
            <w:vAlign w:val="center"/>
          </w:tcPr>
          <w:p w14:paraId="0C928D77">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支持责任医生跟进糖化血红蛋白测量任务功能。</w:t>
            </w:r>
          </w:p>
        </w:tc>
      </w:tr>
      <w:tr w14:paraId="03896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1F90591C">
            <w:pPr>
              <w:widowControl/>
              <w:spacing w:beforeLines="0"/>
              <w:jc w:val="left"/>
              <w:rPr>
                <w:rFonts w:ascii="宋体" w:hAnsi="宋体" w:cs="宋体"/>
                <w:color w:val="auto"/>
                <w:kern w:val="0"/>
                <w:sz w:val="22"/>
                <w:szCs w:val="22"/>
                <w:highlight w:val="none"/>
              </w:rPr>
            </w:pPr>
          </w:p>
        </w:tc>
        <w:tc>
          <w:tcPr>
            <w:tcW w:w="2409" w:type="dxa"/>
            <w:noWrap w:val="0"/>
            <w:vAlign w:val="center"/>
          </w:tcPr>
          <w:p w14:paraId="01B3563F">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任务追踪</w:t>
            </w:r>
          </w:p>
        </w:tc>
        <w:tc>
          <w:tcPr>
            <w:tcW w:w="4962" w:type="dxa"/>
            <w:noWrap w:val="0"/>
            <w:vAlign w:val="center"/>
          </w:tcPr>
          <w:p w14:paraId="453E6019">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支持查看健康完成情况的功能。</w:t>
            </w:r>
          </w:p>
        </w:tc>
      </w:tr>
      <w:tr w14:paraId="39233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0AE52954">
            <w:pPr>
              <w:widowControl/>
              <w:spacing w:beforeLines="0"/>
              <w:jc w:val="left"/>
              <w:rPr>
                <w:rFonts w:ascii="宋体" w:hAnsi="宋体" w:cs="宋体"/>
                <w:color w:val="auto"/>
                <w:kern w:val="0"/>
                <w:sz w:val="22"/>
                <w:szCs w:val="22"/>
                <w:highlight w:val="none"/>
              </w:rPr>
            </w:pPr>
          </w:p>
        </w:tc>
        <w:tc>
          <w:tcPr>
            <w:tcW w:w="2409" w:type="dxa"/>
            <w:noWrap w:val="0"/>
            <w:vAlign w:val="center"/>
          </w:tcPr>
          <w:p w14:paraId="01924CA6">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记录查看</w:t>
            </w:r>
          </w:p>
        </w:tc>
        <w:tc>
          <w:tcPr>
            <w:tcW w:w="4962" w:type="dxa"/>
            <w:noWrap w:val="0"/>
            <w:vAlign w:val="center"/>
          </w:tcPr>
          <w:p w14:paraId="6EB66F1A">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支持查看患者当前、历史健康指导内容等功能。</w:t>
            </w:r>
          </w:p>
        </w:tc>
      </w:tr>
      <w:tr w14:paraId="163F7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5B949804">
            <w:pPr>
              <w:widowControl/>
              <w:spacing w:beforeLines="0"/>
              <w:jc w:val="left"/>
              <w:rPr>
                <w:rFonts w:ascii="宋体" w:hAnsi="宋体" w:cs="宋体"/>
                <w:color w:val="auto"/>
                <w:kern w:val="0"/>
                <w:sz w:val="22"/>
                <w:szCs w:val="22"/>
                <w:highlight w:val="none"/>
              </w:rPr>
            </w:pPr>
          </w:p>
        </w:tc>
        <w:tc>
          <w:tcPr>
            <w:tcW w:w="2409" w:type="dxa"/>
            <w:noWrap w:val="0"/>
            <w:vAlign w:val="center"/>
          </w:tcPr>
          <w:p w14:paraId="36530A42">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新增健康指导</w:t>
            </w:r>
          </w:p>
        </w:tc>
        <w:tc>
          <w:tcPr>
            <w:tcW w:w="4962" w:type="dxa"/>
            <w:noWrap w:val="0"/>
            <w:vAlign w:val="center"/>
          </w:tcPr>
          <w:p w14:paraId="021D42A9">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支持开具个性化健康指导的功能。</w:t>
            </w:r>
          </w:p>
        </w:tc>
      </w:tr>
      <w:tr w14:paraId="5007F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75E81067">
            <w:pPr>
              <w:widowControl/>
              <w:spacing w:beforeLines="0"/>
              <w:jc w:val="left"/>
              <w:rPr>
                <w:rFonts w:ascii="宋体" w:hAnsi="宋体" w:cs="宋体"/>
                <w:color w:val="auto"/>
                <w:kern w:val="0"/>
                <w:sz w:val="22"/>
                <w:szCs w:val="22"/>
                <w:highlight w:val="none"/>
              </w:rPr>
            </w:pPr>
          </w:p>
        </w:tc>
        <w:tc>
          <w:tcPr>
            <w:tcW w:w="2409" w:type="dxa"/>
            <w:noWrap w:val="0"/>
            <w:vAlign w:val="center"/>
          </w:tcPr>
          <w:p w14:paraId="6CF6FCEA">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膳食方案</w:t>
            </w:r>
          </w:p>
        </w:tc>
        <w:tc>
          <w:tcPr>
            <w:tcW w:w="4962" w:type="dxa"/>
            <w:noWrap w:val="0"/>
            <w:vAlign w:val="center"/>
          </w:tcPr>
          <w:p w14:paraId="293E1CC3">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sz w:val="24"/>
                <w:szCs w:val="24"/>
                <w:highlight w:val="none"/>
              </w:rPr>
              <w:t>▲</w:t>
            </w:r>
            <w:r>
              <w:rPr>
                <w:rFonts w:hint="eastAsia" w:ascii="宋体" w:hAnsi="宋体" w:cs="宋体"/>
                <w:color w:val="auto"/>
                <w:kern w:val="0"/>
                <w:sz w:val="22"/>
                <w:szCs w:val="22"/>
                <w:highlight w:val="none"/>
              </w:rPr>
              <w:t>支持开具个性化膳食方案的功能。</w:t>
            </w:r>
          </w:p>
        </w:tc>
      </w:tr>
      <w:tr w14:paraId="4B21C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2BB64AA0">
            <w:pPr>
              <w:widowControl/>
              <w:spacing w:beforeLines="0"/>
              <w:jc w:val="left"/>
              <w:rPr>
                <w:rFonts w:ascii="宋体" w:hAnsi="宋体" w:cs="宋体"/>
                <w:color w:val="auto"/>
                <w:kern w:val="0"/>
                <w:sz w:val="22"/>
                <w:szCs w:val="22"/>
                <w:highlight w:val="none"/>
              </w:rPr>
            </w:pPr>
          </w:p>
        </w:tc>
        <w:tc>
          <w:tcPr>
            <w:tcW w:w="2409" w:type="dxa"/>
            <w:noWrap w:val="0"/>
            <w:vAlign w:val="center"/>
          </w:tcPr>
          <w:p w14:paraId="22D982F1">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健康处方打印</w:t>
            </w:r>
          </w:p>
        </w:tc>
        <w:tc>
          <w:tcPr>
            <w:tcW w:w="4962" w:type="dxa"/>
            <w:noWrap w:val="0"/>
            <w:vAlign w:val="center"/>
          </w:tcPr>
          <w:p w14:paraId="33B5645F">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支持健康处方打印功能。</w:t>
            </w:r>
          </w:p>
        </w:tc>
      </w:tr>
      <w:tr w14:paraId="06E8A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33C908A9">
            <w:pPr>
              <w:widowControl/>
              <w:spacing w:beforeLines="0"/>
              <w:jc w:val="left"/>
              <w:rPr>
                <w:rFonts w:ascii="宋体" w:hAnsi="宋体" w:cs="宋体"/>
                <w:color w:val="auto"/>
                <w:kern w:val="0"/>
                <w:sz w:val="22"/>
                <w:szCs w:val="22"/>
                <w:highlight w:val="none"/>
              </w:rPr>
            </w:pPr>
          </w:p>
        </w:tc>
        <w:tc>
          <w:tcPr>
            <w:tcW w:w="2409" w:type="dxa"/>
            <w:noWrap w:val="0"/>
            <w:vAlign w:val="center"/>
          </w:tcPr>
          <w:p w14:paraId="76B7DBE3">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报告查看</w:t>
            </w:r>
          </w:p>
        </w:tc>
        <w:tc>
          <w:tcPr>
            <w:tcW w:w="4962" w:type="dxa"/>
            <w:noWrap w:val="0"/>
            <w:vAlign w:val="center"/>
          </w:tcPr>
          <w:p w14:paraId="5D989062">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支持患者本次就诊评估报告查看的功能。</w:t>
            </w:r>
          </w:p>
        </w:tc>
      </w:tr>
      <w:tr w14:paraId="54F6F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29A56127">
            <w:pPr>
              <w:widowControl/>
              <w:spacing w:beforeLines="0"/>
              <w:jc w:val="left"/>
              <w:rPr>
                <w:rFonts w:ascii="宋体" w:hAnsi="宋体" w:cs="宋体"/>
                <w:color w:val="auto"/>
                <w:kern w:val="0"/>
                <w:sz w:val="22"/>
                <w:szCs w:val="22"/>
                <w:highlight w:val="none"/>
              </w:rPr>
            </w:pPr>
          </w:p>
        </w:tc>
        <w:tc>
          <w:tcPr>
            <w:tcW w:w="2409" w:type="dxa"/>
            <w:noWrap w:val="0"/>
            <w:vAlign w:val="center"/>
          </w:tcPr>
          <w:p w14:paraId="089A6134">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报告打印</w:t>
            </w:r>
          </w:p>
        </w:tc>
        <w:tc>
          <w:tcPr>
            <w:tcW w:w="4962" w:type="dxa"/>
            <w:noWrap w:val="0"/>
            <w:vAlign w:val="center"/>
          </w:tcPr>
          <w:p w14:paraId="3383FB3F">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支持就诊报告打印功能。</w:t>
            </w:r>
          </w:p>
        </w:tc>
      </w:tr>
      <w:tr w14:paraId="11FA5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3ACDF3C8">
            <w:pPr>
              <w:widowControl/>
              <w:spacing w:beforeLines="0"/>
              <w:jc w:val="left"/>
              <w:rPr>
                <w:rFonts w:ascii="宋体" w:hAnsi="宋体" w:cs="宋体"/>
                <w:color w:val="auto"/>
                <w:kern w:val="0"/>
                <w:sz w:val="22"/>
                <w:szCs w:val="22"/>
                <w:highlight w:val="none"/>
              </w:rPr>
            </w:pPr>
          </w:p>
        </w:tc>
        <w:tc>
          <w:tcPr>
            <w:tcW w:w="2409" w:type="dxa"/>
            <w:noWrap w:val="0"/>
            <w:vAlign w:val="center"/>
          </w:tcPr>
          <w:p w14:paraId="3691B106">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指南查看</w:t>
            </w:r>
          </w:p>
        </w:tc>
        <w:tc>
          <w:tcPr>
            <w:tcW w:w="4962" w:type="dxa"/>
            <w:noWrap w:val="0"/>
            <w:vAlign w:val="center"/>
          </w:tcPr>
          <w:p w14:paraId="1C5AA917">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支持管理指南查看功能。</w:t>
            </w:r>
          </w:p>
        </w:tc>
      </w:tr>
      <w:tr w14:paraId="58450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131F7182">
            <w:pPr>
              <w:widowControl/>
              <w:spacing w:beforeLines="0"/>
              <w:jc w:val="left"/>
              <w:rPr>
                <w:rFonts w:ascii="宋体" w:hAnsi="宋体" w:cs="宋体"/>
                <w:color w:val="auto"/>
                <w:kern w:val="0"/>
                <w:sz w:val="22"/>
                <w:szCs w:val="22"/>
                <w:highlight w:val="none"/>
              </w:rPr>
            </w:pPr>
          </w:p>
        </w:tc>
        <w:tc>
          <w:tcPr>
            <w:tcW w:w="2409" w:type="dxa"/>
            <w:noWrap w:val="0"/>
            <w:vAlign w:val="center"/>
          </w:tcPr>
          <w:p w14:paraId="72186717">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指南检索</w:t>
            </w:r>
          </w:p>
        </w:tc>
        <w:tc>
          <w:tcPr>
            <w:tcW w:w="4962" w:type="dxa"/>
            <w:noWrap w:val="0"/>
            <w:vAlign w:val="center"/>
          </w:tcPr>
          <w:p w14:paraId="6990E16F">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支持指南检索功能。</w:t>
            </w:r>
          </w:p>
        </w:tc>
      </w:tr>
      <w:tr w14:paraId="52F10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3C8DE2B9">
            <w:pPr>
              <w:widowControl/>
              <w:spacing w:beforeLines="0"/>
              <w:jc w:val="left"/>
              <w:rPr>
                <w:rFonts w:ascii="宋体" w:hAnsi="宋体" w:cs="宋体"/>
                <w:color w:val="auto"/>
                <w:kern w:val="0"/>
                <w:sz w:val="22"/>
                <w:szCs w:val="22"/>
                <w:highlight w:val="none"/>
              </w:rPr>
            </w:pPr>
          </w:p>
        </w:tc>
        <w:tc>
          <w:tcPr>
            <w:tcW w:w="2409" w:type="dxa"/>
            <w:noWrap w:val="0"/>
            <w:vAlign w:val="center"/>
          </w:tcPr>
          <w:p w14:paraId="54E83F33">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诊后患者</w:t>
            </w:r>
          </w:p>
        </w:tc>
        <w:tc>
          <w:tcPr>
            <w:tcW w:w="4962" w:type="dxa"/>
            <w:noWrap w:val="0"/>
            <w:vAlign w:val="center"/>
          </w:tcPr>
          <w:p w14:paraId="6E3A9A0F">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支持诊后患者列表查看功能。</w:t>
            </w:r>
          </w:p>
        </w:tc>
      </w:tr>
      <w:tr w14:paraId="4097D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73CF88A7">
            <w:pPr>
              <w:widowControl/>
              <w:spacing w:beforeLines="0"/>
              <w:jc w:val="left"/>
              <w:rPr>
                <w:rFonts w:ascii="宋体" w:hAnsi="宋体" w:cs="宋体"/>
                <w:color w:val="auto"/>
                <w:kern w:val="0"/>
                <w:sz w:val="22"/>
                <w:szCs w:val="22"/>
                <w:highlight w:val="none"/>
              </w:rPr>
            </w:pPr>
          </w:p>
        </w:tc>
        <w:tc>
          <w:tcPr>
            <w:tcW w:w="2409" w:type="dxa"/>
            <w:noWrap w:val="0"/>
            <w:vAlign w:val="center"/>
          </w:tcPr>
          <w:p w14:paraId="4B42C99D">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诊后随访</w:t>
            </w:r>
          </w:p>
        </w:tc>
        <w:tc>
          <w:tcPr>
            <w:tcW w:w="4962" w:type="dxa"/>
            <w:noWrap w:val="0"/>
            <w:vAlign w:val="center"/>
          </w:tcPr>
          <w:p w14:paraId="0101B33B">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支持诊后随访服务功能。</w:t>
            </w:r>
          </w:p>
        </w:tc>
      </w:tr>
      <w:tr w14:paraId="6EEC2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4FC6E0E8">
            <w:pPr>
              <w:widowControl/>
              <w:spacing w:beforeLines="0"/>
              <w:jc w:val="left"/>
              <w:rPr>
                <w:rFonts w:ascii="宋体" w:hAnsi="宋体" w:cs="宋体"/>
                <w:color w:val="auto"/>
                <w:kern w:val="0"/>
                <w:sz w:val="22"/>
                <w:szCs w:val="22"/>
                <w:highlight w:val="none"/>
              </w:rPr>
            </w:pPr>
          </w:p>
        </w:tc>
        <w:tc>
          <w:tcPr>
            <w:tcW w:w="2409" w:type="dxa"/>
            <w:noWrap w:val="0"/>
            <w:vAlign w:val="center"/>
          </w:tcPr>
          <w:p w14:paraId="62CE08DF">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患者检索</w:t>
            </w:r>
          </w:p>
        </w:tc>
        <w:tc>
          <w:tcPr>
            <w:tcW w:w="4962" w:type="dxa"/>
            <w:noWrap w:val="0"/>
            <w:vAlign w:val="center"/>
          </w:tcPr>
          <w:p w14:paraId="42654862">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支持患者检索功能。</w:t>
            </w:r>
          </w:p>
        </w:tc>
      </w:tr>
      <w:tr w14:paraId="6C0E1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17323044">
            <w:pPr>
              <w:widowControl/>
              <w:spacing w:beforeLines="0"/>
              <w:jc w:val="left"/>
              <w:rPr>
                <w:rFonts w:ascii="宋体" w:hAnsi="宋体" w:cs="宋体"/>
                <w:color w:val="auto"/>
                <w:kern w:val="0"/>
                <w:sz w:val="22"/>
                <w:szCs w:val="22"/>
                <w:highlight w:val="none"/>
              </w:rPr>
            </w:pPr>
          </w:p>
        </w:tc>
        <w:tc>
          <w:tcPr>
            <w:tcW w:w="2409" w:type="dxa"/>
            <w:noWrap w:val="0"/>
            <w:vAlign w:val="center"/>
          </w:tcPr>
          <w:p w14:paraId="5B82AABF">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信息核验</w:t>
            </w:r>
          </w:p>
        </w:tc>
        <w:tc>
          <w:tcPr>
            <w:tcW w:w="4962" w:type="dxa"/>
            <w:noWrap w:val="0"/>
            <w:vAlign w:val="center"/>
          </w:tcPr>
          <w:p w14:paraId="674276C7">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支持患者就诊信息核验功能。</w:t>
            </w:r>
          </w:p>
        </w:tc>
      </w:tr>
      <w:tr w14:paraId="32DA9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5EB4881C">
            <w:pPr>
              <w:widowControl/>
              <w:spacing w:beforeLines="0"/>
              <w:jc w:val="left"/>
              <w:rPr>
                <w:rFonts w:ascii="宋体" w:hAnsi="宋体" w:cs="宋体"/>
                <w:color w:val="auto"/>
                <w:kern w:val="0"/>
                <w:sz w:val="22"/>
                <w:szCs w:val="22"/>
                <w:highlight w:val="none"/>
              </w:rPr>
            </w:pPr>
          </w:p>
        </w:tc>
        <w:tc>
          <w:tcPr>
            <w:tcW w:w="2409" w:type="dxa"/>
            <w:noWrap w:val="0"/>
            <w:vAlign w:val="center"/>
          </w:tcPr>
          <w:p w14:paraId="22ADEEE9">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信息归档</w:t>
            </w:r>
          </w:p>
        </w:tc>
        <w:tc>
          <w:tcPr>
            <w:tcW w:w="4962" w:type="dxa"/>
            <w:noWrap w:val="0"/>
            <w:vAlign w:val="center"/>
          </w:tcPr>
          <w:p w14:paraId="0BF66FB1">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支持患者就诊信息归档、同步等功能。</w:t>
            </w:r>
          </w:p>
        </w:tc>
      </w:tr>
      <w:tr w14:paraId="5B7A7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3E7F4416">
            <w:pPr>
              <w:widowControl/>
              <w:spacing w:beforeLines="0"/>
              <w:jc w:val="left"/>
              <w:rPr>
                <w:rFonts w:ascii="宋体" w:hAnsi="宋体" w:cs="宋体"/>
                <w:color w:val="auto"/>
                <w:kern w:val="0"/>
                <w:sz w:val="22"/>
                <w:szCs w:val="22"/>
                <w:highlight w:val="none"/>
              </w:rPr>
            </w:pPr>
          </w:p>
        </w:tc>
        <w:tc>
          <w:tcPr>
            <w:tcW w:w="2409" w:type="dxa"/>
            <w:noWrap w:val="0"/>
            <w:vAlign w:val="center"/>
          </w:tcPr>
          <w:p w14:paraId="6D6F2B62">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评估报告查看</w:t>
            </w:r>
          </w:p>
        </w:tc>
        <w:tc>
          <w:tcPr>
            <w:tcW w:w="4962" w:type="dxa"/>
            <w:noWrap w:val="0"/>
            <w:vAlign w:val="center"/>
          </w:tcPr>
          <w:p w14:paraId="2E6C5F9D">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支持诊后查看和打印就诊评估报告、年度健康评估报告的功能。</w:t>
            </w:r>
          </w:p>
        </w:tc>
      </w:tr>
      <w:tr w14:paraId="7D602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3FCD345D">
            <w:pPr>
              <w:widowControl/>
              <w:spacing w:beforeLines="0"/>
              <w:jc w:val="left"/>
              <w:rPr>
                <w:rFonts w:ascii="宋体" w:hAnsi="宋体" w:cs="宋体"/>
                <w:color w:val="auto"/>
                <w:kern w:val="0"/>
                <w:sz w:val="22"/>
                <w:szCs w:val="22"/>
                <w:highlight w:val="none"/>
              </w:rPr>
            </w:pPr>
          </w:p>
        </w:tc>
        <w:tc>
          <w:tcPr>
            <w:tcW w:w="2409" w:type="dxa"/>
            <w:noWrap w:val="0"/>
            <w:vAlign w:val="center"/>
          </w:tcPr>
          <w:p w14:paraId="20EB9DB5">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路径查看</w:t>
            </w:r>
          </w:p>
        </w:tc>
        <w:tc>
          <w:tcPr>
            <w:tcW w:w="4962" w:type="dxa"/>
            <w:noWrap w:val="0"/>
            <w:vAlign w:val="center"/>
          </w:tcPr>
          <w:p w14:paraId="3B6AD4F6">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支持诊后患者健康管理路径查看功能。</w:t>
            </w:r>
          </w:p>
        </w:tc>
      </w:tr>
      <w:tr w14:paraId="2B11D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55B781F2">
            <w:pPr>
              <w:widowControl/>
              <w:spacing w:beforeLines="0"/>
              <w:jc w:val="left"/>
              <w:rPr>
                <w:rFonts w:ascii="宋体" w:hAnsi="宋体" w:cs="宋体"/>
                <w:color w:val="auto"/>
                <w:kern w:val="0"/>
                <w:sz w:val="22"/>
                <w:szCs w:val="22"/>
                <w:highlight w:val="none"/>
              </w:rPr>
            </w:pPr>
          </w:p>
        </w:tc>
        <w:tc>
          <w:tcPr>
            <w:tcW w:w="2409" w:type="dxa"/>
            <w:noWrap w:val="0"/>
            <w:vAlign w:val="center"/>
          </w:tcPr>
          <w:p w14:paraId="731E8B5F">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任务追踪</w:t>
            </w:r>
          </w:p>
        </w:tc>
        <w:tc>
          <w:tcPr>
            <w:tcW w:w="4962" w:type="dxa"/>
            <w:noWrap w:val="0"/>
            <w:vAlign w:val="center"/>
          </w:tcPr>
          <w:p w14:paraId="1D4B0F32">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支持诊后患者健康任务追踪功能。</w:t>
            </w:r>
          </w:p>
        </w:tc>
      </w:tr>
      <w:tr w14:paraId="6B5FB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1A0D798A">
            <w:pPr>
              <w:widowControl/>
              <w:spacing w:beforeLines="0"/>
              <w:jc w:val="left"/>
              <w:rPr>
                <w:rFonts w:ascii="宋体" w:hAnsi="宋体" w:cs="宋体"/>
                <w:color w:val="auto"/>
                <w:kern w:val="0"/>
                <w:sz w:val="22"/>
                <w:szCs w:val="22"/>
                <w:highlight w:val="none"/>
              </w:rPr>
            </w:pPr>
          </w:p>
        </w:tc>
        <w:tc>
          <w:tcPr>
            <w:tcW w:w="2409" w:type="dxa"/>
            <w:noWrap w:val="0"/>
            <w:vAlign w:val="center"/>
          </w:tcPr>
          <w:p w14:paraId="382056F1">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患者提醒</w:t>
            </w:r>
          </w:p>
        </w:tc>
        <w:tc>
          <w:tcPr>
            <w:tcW w:w="4962" w:type="dxa"/>
            <w:noWrap w:val="0"/>
            <w:vAlign w:val="center"/>
          </w:tcPr>
          <w:p w14:paraId="53575C6F">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支持患者复诊预约提醒功能。</w:t>
            </w:r>
          </w:p>
        </w:tc>
      </w:tr>
      <w:tr w14:paraId="70A22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3B1DD155">
            <w:pPr>
              <w:widowControl/>
              <w:spacing w:beforeLines="0"/>
              <w:jc w:val="left"/>
              <w:rPr>
                <w:rFonts w:ascii="宋体" w:hAnsi="宋体" w:cs="宋体"/>
                <w:color w:val="auto"/>
                <w:kern w:val="0"/>
                <w:sz w:val="22"/>
                <w:szCs w:val="22"/>
                <w:highlight w:val="none"/>
              </w:rPr>
            </w:pPr>
          </w:p>
        </w:tc>
        <w:tc>
          <w:tcPr>
            <w:tcW w:w="2409" w:type="dxa"/>
            <w:noWrap w:val="0"/>
            <w:vAlign w:val="center"/>
          </w:tcPr>
          <w:p w14:paraId="5137E91F">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逾期患者</w:t>
            </w:r>
          </w:p>
        </w:tc>
        <w:tc>
          <w:tcPr>
            <w:tcW w:w="4962" w:type="dxa"/>
            <w:noWrap w:val="0"/>
            <w:vAlign w:val="center"/>
          </w:tcPr>
          <w:p w14:paraId="68297635">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支持逾期患者提示功能。</w:t>
            </w:r>
          </w:p>
        </w:tc>
      </w:tr>
      <w:tr w14:paraId="00654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7086C5CC">
            <w:pPr>
              <w:widowControl/>
              <w:spacing w:beforeLines="0"/>
              <w:jc w:val="left"/>
              <w:rPr>
                <w:rFonts w:ascii="宋体" w:hAnsi="宋体" w:cs="宋体"/>
                <w:color w:val="auto"/>
                <w:kern w:val="0"/>
                <w:sz w:val="22"/>
                <w:szCs w:val="22"/>
                <w:highlight w:val="none"/>
              </w:rPr>
            </w:pPr>
          </w:p>
        </w:tc>
        <w:tc>
          <w:tcPr>
            <w:tcW w:w="2409" w:type="dxa"/>
            <w:noWrap w:val="0"/>
            <w:vAlign w:val="center"/>
          </w:tcPr>
          <w:p w14:paraId="1328695C">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重新预约</w:t>
            </w:r>
          </w:p>
        </w:tc>
        <w:tc>
          <w:tcPr>
            <w:tcW w:w="4962" w:type="dxa"/>
            <w:noWrap w:val="0"/>
            <w:vAlign w:val="center"/>
          </w:tcPr>
          <w:p w14:paraId="215EDA5B">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支持患者重新预约功能。</w:t>
            </w:r>
          </w:p>
        </w:tc>
      </w:tr>
      <w:tr w14:paraId="3A8D4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6BC870C5">
            <w:pPr>
              <w:widowControl/>
              <w:spacing w:beforeLines="0"/>
              <w:jc w:val="left"/>
              <w:rPr>
                <w:rFonts w:ascii="宋体" w:hAnsi="宋体" w:cs="宋体"/>
                <w:color w:val="auto"/>
                <w:kern w:val="0"/>
                <w:sz w:val="22"/>
                <w:szCs w:val="22"/>
                <w:highlight w:val="none"/>
              </w:rPr>
            </w:pPr>
          </w:p>
        </w:tc>
        <w:tc>
          <w:tcPr>
            <w:tcW w:w="2409" w:type="dxa"/>
            <w:noWrap w:val="0"/>
            <w:vAlign w:val="center"/>
          </w:tcPr>
          <w:p w14:paraId="245801CB">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医务人员工作量统计</w:t>
            </w:r>
          </w:p>
        </w:tc>
        <w:tc>
          <w:tcPr>
            <w:tcW w:w="4962" w:type="dxa"/>
            <w:noWrap w:val="0"/>
            <w:vAlign w:val="center"/>
          </w:tcPr>
          <w:p w14:paraId="726B65EE">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支持医务人员一体化门诊工作量统计功能。</w:t>
            </w:r>
          </w:p>
        </w:tc>
      </w:tr>
      <w:tr w14:paraId="094AD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11F2ECC0">
            <w:pPr>
              <w:widowControl/>
              <w:spacing w:beforeLines="0"/>
              <w:jc w:val="left"/>
              <w:rPr>
                <w:rFonts w:ascii="宋体" w:hAnsi="宋体" w:cs="宋体"/>
                <w:color w:val="auto"/>
                <w:kern w:val="0"/>
                <w:sz w:val="22"/>
                <w:szCs w:val="22"/>
                <w:highlight w:val="none"/>
              </w:rPr>
            </w:pPr>
          </w:p>
        </w:tc>
        <w:tc>
          <w:tcPr>
            <w:tcW w:w="2409" w:type="dxa"/>
            <w:noWrap w:val="0"/>
            <w:vAlign w:val="center"/>
          </w:tcPr>
          <w:p w14:paraId="01249D43">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乡镇工作量统计</w:t>
            </w:r>
          </w:p>
        </w:tc>
        <w:tc>
          <w:tcPr>
            <w:tcW w:w="4962" w:type="dxa"/>
            <w:noWrap w:val="0"/>
            <w:vAlign w:val="center"/>
          </w:tcPr>
          <w:p w14:paraId="685D84AF">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支持乡镇内医务人员一体化门诊工作量统计功能。</w:t>
            </w:r>
          </w:p>
        </w:tc>
      </w:tr>
      <w:tr w14:paraId="2AB5E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7891F7CB">
            <w:pPr>
              <w:widowControl/>
              <w:spacing w:beforeLines="0"/>
              <w:jc w:val="left"/>
              <w:rPr>
                <w:rFonts w:ascii="宋体" w:hAnsi="宋体" w:cs="宋体"/>
                <w:color w:val="auto"/>
                <w:kern w:val="0"/>
                <w:sz w:val="22"/>
                <w:szCs w:val="22"/>
                <w:highlight w:val="none"/>
              </w:rPr>
            </w:pPr>
          </w:p>
        </w:tc>
        <w:tc>
          <w:tcPr>
            <w:tcW w:w="2409" w:type="dxa"/>
            <w:noWrap w:val="0"/>
            <w:vAlign w:val="center"/>
          </w:tcPr>
          <w:p w14:paraId="5BE8C241">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区域工作量统计</w:t>
            </w:r>
          </w:p>
        </w:tc>
        <w:tc>
          <w:tcPr>
            <w:tcW w:w="4962" w:type="dxa"/>
            <w:noWrap w:val="0"/>
            <w:vAlign w:val="center"/>
          </w:tcPr>
          <w:p w14:paraId="5092115A">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支持区域内乡镇一体化门诊工作量统计功能。</w:t>
            </w:r>
          </w:p>
        </w:tc>
      </w:tr>
      <w:tr w14:paraId="6777E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46B2024D">
            <w:pPr>
              <w:widowControl/>
              <w:spacing w:beforeLines="0"/>
              <w:jc w:val="left"/>
              <w:rPr>
                <w:rFonts w:ascii="宋体" w:hAnsi="宋体" w:cs="宋体"/>
                <w:color w:val="auto"/>
                <w:kern w:val="0"/>
                <w:sz w:val="22"/>
                <w:szCs w:val="22"/>
                <w:highlight w:val="none"/>
              </w:rPr>
            </w:pPr>
          </w:p>
        </w:tc>
        <w:tc>
          <w:tcPr>
            <w:tcW w:w="2409" w:type="dxa"/>
            <w:noWrap w:val="0"/>
            <w:vAlign w:val="center"/>
          </w:tcPr>
          <w:p w14:paraId="39D961D0">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乡镇当量设置</w:t>
            </w:r>
          </w:p>
        </w:tc>
        <w:tc>
          <w:tcPr>
            <w:tcW w:w="4962" w:type="dxa"/>
            <w:noWrap w:val="0"/>
            <w:vAlign w:val="center"/>
          </w:tcPr>
          <w:p w14:paraId="7BA89301">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支持乡镇一体化门诊各统计项设定当量功能。</w:t>
            </w:r>
          </w:p>
        </w:tc>
      </w:tr>
      <w:tr w14:paraId="7A600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restart"/>
            <w:noWrap w:val="0"/>
            <w:vAlign w:val="center"/>
          </w:tcPr>
          <w:p w14:paraId="6F110620">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慢阻肺管理系统</w:t>
            </w:r>
          </w:p>
        </w:tc>
        <w:tc>
          <w:tcPr>
            <w:tcW w:w="2409" w:type="dxa"/>
            <w:noWrap w:val="0"/>
            <w:vAlign w:val="center"/>
          </w:tcPr>
          <w:p w14:paraId="545324DF">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风险筛查</w:t>
            </w:r>
          </w:p>
        </w:tc>
        <w:tc>
          <w:tcPr>
            <w:tcW w:w="4962" w:type="dxa"/>
            <w:noWrap w:val="0"/>
            <w:vAlign w:val="center"/>
          </w:tcPr>
          <w:p w14:paraId="6A020D13">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持一般人群、主要慢性病高危人群、专病高危人群筛查等功能。</w:t>
            </w:r>
          </w:p>
        </w:tc>
      </w:tr>
      <w:tr w14:paraId="73F7B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37BB80ED">
            <w:pPr>
              <w:widowControl/>
              <w:spacing w:beforeLines="0"/>
              <w:jc w:val="left"/>
              <w:rPr>
                <w:rFonts w:ascii="宋体" w:hAnsi="宋体" w:cs="宋体"/>
                <w:color w:val="auto"/>
                <w:kern w:val="0"/>
                <w:sz w:val="22"/>
                <w:szCs w:val="22"/>
                <w:highlight w:val="none"/>
              </w:rPr>
            </w:pPr>
          </w:p>
        </w:tc>
        <w:tc>
          <w:tcPr>
            <w:tcW w:w="2409" w:type="dxa"/>
            <w:noWrap w:val="0"/>
            <w:vAlign w:val="center"/>
          </w:tcPr>
          <w:p w14:paraId="15FF0048">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风险评估</w:t>
            </w:r>
          </w:p>
        </w:tc>
        <w:tc>
          <w:tcPr>
            <w:tcW w:w="4962" w:type="dxa"/>
            <w:noWrap w:val="0"/>
            <w:vAlign w:val="center"/>
          </w:tcPr>
          <w:p w14:paraId="19369529">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sz w:val="24"/>
                <w:szCs w:val="24"/>
                <w:highlight w:val="none"/>
              </w:rPr>
              <w:t>▲</w:t>
            </w:r>
            <w:r>
              <w:rPr>
                <w:rFonts w:hint="eastAsia" w:ascii="宋体" w:hAnsi="宋体" w:cs="宋体"/>
                <w:color w:val="auto"/>
                <w:kern w:val="0"/>
                <w:sz w:val="22"/>
                <w:szCs w:val="22"/>
                <w:highlight w:val="none"/>
              </w:rPr>
              <w:t>支持风险评估展示、人群分类管理等功能。</w:t>
            </w:r>
          </w:p>
        </w:tc>
      </w:tr>
      <w:tr w14:paraId="71547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540F51D3">
            <w:pPr>
              <w:widowControl/>
              <w:spacing w:beforeLines="0"/>
              <w:jc w:val="left"/>
              <w:rPr>
                <w:rFonts w:ascii="宋体" w:hAnsi="宋体" w:cs="宋体"/>
                <w:color w:val="auto"/>
                <w:kern w:val="0"/>
                <w:sz w:val="22"/>
                <w:szCs w:val="22"/>
                <w:highlight w:val="none"/>
              </w:rPr>
            </w:pPr>
          </w:p>
        </w:tc>
        <w:tc>
          <w:tcPr>
            <w:tcW w:w="2409" w:type="dxa"/>
            <w:noWrap w:val="0"/>
            <w:vAlign w:val="center"/>
          </w:tcPr>
          <w:p w14:paraId="21E50F7D">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管理人群</w:t>
            </w:r>
          </w:p>
        </w:tc>
        <w:tc>
          <w:tcPr>
            <w:tcW w:w="4962" w:type="dxa"/>
            <w:noWrap w:val="0"/>
            <w:vAlign w:val="center"/>
          </w:tcPr>
          <w:p w14:paraId="61F64CF4">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支持人群查询、人群批量管理操作等功能。</w:t>
            </w:r>
          </w:p>
        </w:tc>
      </w:tr>
      <w:tr w14:paraId="4013B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4D097016">
            <w:pPr>
              <w:widowControl/>
              <w:spacing w:beforeLines="0"/>
              <w:jc w:val="left"/>
              <w:rPr>
                <w:rFonts w:ascii="宋体" w:hAnsi="宋体" w:cs="宋体"/>
                <w:color w:val="auto"/>
                <w:kern w:val="0"/>
                <w:sz w:val="22"/>
                <w:szCs w:val="22"/>
                <w:highlight w:val="none"/>
              </w:rPr>
            </w:pPr>
          </w:p>
        </w:tc>
        <w:tc>
          <w:tcPr>
            <w:tcW w:w="2409" w:type="dxa"/>
            <w:noWrap w:val="0"/>
            <w:vAlign w:val="center"/>
          </w:tcPr>
          <w:p w14:paraId="4E5DFCEE">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管理档案</w:t>
            </w:r>
          </w:p>
        </w:tc>
        <w:tc>
          <w:tcPr>
            <w:tcW w:w="4962" w:type="dxa"/>
            <w:noWrap w:val="0"/>
            <w:vAlign w:val="center"/>
          </w:tcPr>
          <w:p w14:paraId="7C4FCD32">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支持人群的动态健康档案管理功能。</w:t>
            </w:r>
          </w:p>
        </w:tc>
      </w:tr>
      <w:tr w14:paraId="13E0C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550F2DCE">
            <w:pPr>
              <w:widowControl/>
              <w:spacing w:beforeLines="0"/>
              <w:jc w:val="left"/>
              <w:rPr>
                <w:rFonts w:ascii="宋体" w:hAnsi="宋体" w:cs="宋体"/>
                <w:color w:val="auto"/>
                <w:kern w:val="0"/>
                <w:sz w:val="22"/>
                <w:szCs w:val="22"/>
                <w:highlight w:val="none"/>
              </w:rPr>
            </w:pPr>
          </w:p>
        </w:tc>
        <w:tc>
          <w:tcPr>
            <w:tcW w:w="2409" w:type="dxa"/>
            <w:noWrap w:val="0"/>
            <w:vAlign w:val="center"/>
          </w:tcPr>
          <w:p w14:paraId="132FF3B5">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慢阻肺病历</w:t>
            </w:r>
          </w:p>
        </w:tc>
        <w:tc>
          <w:tcPr>
            <w:tcW w:w="4962" w:type="dxa"/>
            <w:noWrap w:val="0"/>
            <w:vAlign w:val="center"/>
          </w:tcPr>
          <w:p w14:paraId="7C3B7916">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支持慢阻肺专病高危人群县乡协同共管慢性病病历指标功能。</w:t>
            </w:r>
          </w:p>
        </w:tc>
      </w:tr>
      <w:tr w14:paraId="35F48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62BCD8F3">
            <w:pPr>
              <w:widowControl/>
              <w:spacing w:beforeLines="0"/>
              <w:jc w:val="left"/>
              <w:rPr>
                <w:rFonts w:ascii="宋体" w:hAnsi="宋体" w:cs="宋体"/>
                <w:color w:val="auto"/>
                <w:kern w:val="0"/>
                <w:sz w:val="22"/>
                <w:szCs w:val="22"/>
                <w:highlight w:val="none"/>
              </w:rPr>
            </w:pPr>
          </w:p>
        </w:tc>
        <w:tc>
          <w:tcPr>
            <w:tcW w:w="2409" w:type="dxa"/>
            <w:noWrap w:val="0"/>
            <w:vAlign w:val="center"/>
          </w:tcPr>
          <w:p w14:paraId="19F286A9">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管理方案模板</w:t>
            </w:r>
          </w:p>
        </w:tc>
        <w:tc>
          <w:tcPr>
            <w:tcW w:w="4962" w:type="dxa"/>
            <w:noWrap w:val="0"/>
            <w:vAlign w:val="center"/>
          </w:tcPr>
          <w:p w14:paraId="013115E5">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支持管理方案模板设置功能。</w:t>
            </w:r>
          </w:p>
        </w:tc>
      </w:tr>
      <w:tr w14:paraId="0E3BA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7D33D791">
            <w:pPr>
              <w:widowControl/>
              <w:spacing w:beforeLines="0"/>
              <w:jc w:val="left"/>
              <w:rPr>
                <w:rFonts w:ascii="宋体" w:hAnsi="宋体" w:cs="宋体"/>
                <w:color w:val="auto"/>
                <w:kern w:val="0"/>
                <w:sz w:val="22"/>
                <w:szCs w:val="22"/>
                <w:highlight w:val="none"/>
              </w:rPr>
            </w:pPr>
          </w:p>
        </w:tc>
        <w:tc>
          <w:tcPr>
            <w:tcW w:w="2409" w:type="dxa"/>
            <w:noWrap w:val="0"/>
            <w:vAlign w:val="center"/>
          </w:tcPr>
          <w:p w14:paraId="43151E35">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管理方案制定</w:t>
            </w:r>
          </w:p>
        </w:tc>
        <w:tc>
          <w:tcPr>
            <w:tcW w:w="4962" w:type="dxa"/>
            <w:noWrap w:val="0"/>
            <w:vAlign w:val="center"/>
          </w:tcPr>
          <w:p w14:paraId="133E1B07">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支持推荐管理方案模板、个性化管理方案等功能。</w:t>
            </w:r>
          </w:p>
        </w:tc>
      </w:tr>
      <w:tr w14:paraId="4E442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35C5A5B1">
            <w:pPr>
              <w:widowControl/>
              <w:spacing w:beforeLines="0"/>
              <w:jc w:val="left"/>
              <w:rPr>
                <w:rFonts w:ascii="宋体" w:hAnsi="宋体" w:cs="宋体"/>
                <w:color w:val="auto"/>
                <w:kern w:val="0"/>
                <w:sz w:val="22"/>
                <w:szCs w:val="22"/>
                <w:highlight w:val="none"/>
              </w:rPr>
            </w:pPr>
          </w:p>
        </w:tc>
        <w:tc>
          <w:tcPr>
            <w:tcW w:w="2409" w:type="dxa"/>
            <w:noWrap w:val="0"/>
            <w:vAlign w:val="center"/>
          </w:tcPr>
          <w:p w14:paraId="5E6700BE">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健康教育模板</w:t>
            </w:r>
          </w:p>
        </w:tc>
        <w:tc>
          <w:tcPr>
            <w:tcW w:w="4962" w:type="dxa"/>
            <w:noWrap w:val="0"/>
            <w:vAlign w:val="center"/>
          </w:tcPr>
          <w:p w14:paraId="14C16236">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支持慢阻肺健康教育模板功能。</w:t>
            </w:r>
          </w:p>
        </w:tc>
      </w:tr>
      <w:tr w14:paraId="2303B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691430E5">
            <w:pPr>
              <w:widowControl/>
              <w:spacing w:beforeLines="0"/>
              <w:jc w:val="left"/>
              <w:rPr>
                <w:rFonts w:ascii="宋体" w:hAnsi="宋体" w:cs="宋体"/>
                <w:color w:val="auto"/>
                <w:kern w:val="0"/>
                <w:sz w:val="22"/>
                <w:szCs w:val="22"/>
                <w:highlight w:val="none"/>
              </w:rPr>
            </w:pPr>
          </w:p>
        </w:tc>
        <w:tc>
          <w:tcPr>
            <w:tcW w:w="2409" w:type="dxa"/>
            <w:noWrap w:val="0"/>
            <w:vAlign w:val="center"/>
          </w:tcPr>
          <w:p w14:paraId="47CA37DD">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健康宣教模板</w:t>
            </w:r>
          </w:p>
        </w:tc>
        <w:tc>
          <w:tcPr>
            <w:tcW w:w="4962" w:type="dxa"/>
            <w:noWrap w:val="0"/>
            <w:vAlign w:val="center"/>
          </w:tcPr>
          <w:p w14:paraId="3C88889C">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支持健康宣教模板功能。</w:t>
            </w:r>
          </w:p>
        </w:tc>
      </w:tr>
      <w:tr w14:paraId="1DCFF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0915476B">
            <w:pPr>
              <w:widowControl/>
              <w:spacing w:beforeLines="0"/>
              <w:jc w:val="left"/>
              <w:rPr>
                <w:rFonts w:ascii="宋体" w:hAnsi="宋体" w:cs="宋体"/>
                <w:color w:val="auto"/>
                <w:kern w:val="0"/>
                <w:sz w:val="22"/>
                <w:szCs w:val="22"/>
                <w:highlight w:val="none"/>
              </w:rPr>
            </w:pPr>
          </w:p>
        </w:tc>
        <w:tc>
          <w:tcPr>
            <w:tcW w:w="2409" w:type="dxa"/>
            <w:noWrap w:val="0"/>
            <w:vAlign w:val="center"/>
          </w:tcPr>
          <w:p w14:paraId="48DEC264">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健康教育制定</w:t>
            </w:r>
          </w:p>
        </w:tc>
        <w:tc>
          <w:tcPr>
            <w:tcW w:w="4962" w:type="dxa"/>
            <w:noWrap w:val="0"/>
            <w:vAlign w:val="center"/>
          </w:tcPr>
          <w:p w14:paraId="6CAF314C">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支持个性化教育内容推送功能。</w:t>
            </w:r>
          </w:p>
        </w:tc>
      </w:tr>
      <w:tr w14:paraId="04655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4F1719B3">
            <w:pPr>
              <w:widowControl/>
              <w:spacing w:beforeLines="0"/>
              <w:jc w:val="left"/>
              <w:rPr>
                <w:rFonts w:ascii="宋体" w:hAnsi="宋体" w:cs="宋体"/>
                <w:color w:val="auto"/>
                <w:kern w:val="0"/>
                <w:sz w:val="22"/>
                <w:szCs w:val="22"/>
                <w:highlight w:val="none"/>
              </w:rPr>
            </w:pPr>
          </w:p>
        </w:tc>
        <w:tc>
          <w:tcPr>
            <w:tcW w:w="2409" w:type="dxa"/>
            <w:noWrap w:val="0"/>
            <w:vAlign w:val="center"/>
          </w:tcPr>
          <w:p w14:paraId="475E96E2">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随访问卷模板</w:t>
            </w:r>
          </w:p>
        </w:tc>
        <w:tc>
          <w:tcPr>
            <w:tcW w:w="4962" w:type="dxa"/>
            <w:noWrap w:val="0"/>
            <w:vAlign w:val="center"/>
          </w:tcPr>
          <w:p w14:paraId="67831D4E">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支持随访问卷模板功能。</w:t>
            </w:r>
          </w:p>
        </w:tc>
      </w:tr>
      <w:tr w14:paraId="5E044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5C7AAE87">
            <w:pPr>
              <w:widowControl/>
              <w:spacing w:beforeLines="0"/>
              <w:jc w:val="left"/>
              <w:rPr>
                <w:rFonts w:ascii="宋体" w:hAnsi="宋体" w:cs="宋体"/>
                <w:color w:val="auto"/>
                <w:kern w:val="0"/>
                <w:sz w:val="22"/>
                <w:szCs w:val="22"/>
                <w:highlight w:val="none"/>
              </w:rPr>
            </w:pPr>
          </w:p>
        </w:tc>
        <w:tc>
          <w:tcPr>
            <w:tcW w:w="2409" w:type="dxa"/>
            <w:noWrap w:val="0"/>
            <w:vAlign w:val="center"/>
          </w:tcPr>
          <w:p w14:paraId="4CCEC6EB">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随访结果查询</w:t>
            </w:r>
          </w:p>
        </w:tc>
        <w:tc>
          <w:tcPr>
            <w:tcW w:w="4962" w:type="dxa"/>
            <w:noWrap w:val="0"/>
            <w:vAlign w:val="center"/>
          </w:tcPr>
          <w:p w14:paraId="311B2F6D">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支持随访问卷填写结果查看功能。</w:t>
            </w:r>
          </w:p>
        </w:tc>
      </w:tr>
      <w:tr w14:paraId="4811A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101893DD">
            <w:pPr>
              <w:widowControl/>
              <w:spacing w:beforeLines="0"/>
              <w:jc w:val="left"/>
              <w:rPr>
                <w:rFonts w:ascii="宋体" w:hAnsi="宋体" w:cs="宋体"/>
                <w:color w:val="auto"/>
                <w:kern w:val="0"/>
                <w:sz w:val="22"/>
                <w:szCs w:val="22"/>
                <w:highlight w:val="none"/>
              </w:rPr>
            </w:pPr>
          </w:p>
        </w:tc>
        <w:tc>
          <w:tcPr>
            <w:tcW w:w="2409" w:type="dxa"/>
            <w:noWrap w:val="0"/>
            <w:vAlign w:val="center"/>
          </w:tcPr>
          <w:p w14:paraId="24A2C280">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随访数据收集</w:t>
            </w:r>
          </w:p>
        </w:tc>
        <w:tc>
          <w:tcPr>
            <w:tcW w:w="4962" w:type="dxa"/>
            <w:noWrap w:val="0"/>
            <w:vAlign w:val="center"/>
          </w:tcPr>
          <w:p w14:paraId="6108F057">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支持随访问卷数据收集功能。</w:t>
            </w:r>
          </w:p>
        </w:tc>
      </w:tr>
      <w:tr w14:paraId="2E61B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046BCEF0">
            <w:pPr>
              <w:widowControl/>
              <w:spacing w:beforeLines="0"/>
              <w:jc w:val="left"/>
              <w:rPr>
                <w:rFonts w:ascii="宋体" w:hAnsi="宋体" w:cs="宋体"/>
                <w:color w:val="auto"/>
                <w:kern w:val="0"/>
                <w:sz w:val="22"/>
                <w:szCs w:val="22"/>
                <w:highlight w:val="none"/>
              </w:rPr>
            </w:pPr>
          </w:p>
        </w:tc>
        <w:tc>
          <w:tcPr>
            <w:tcW w:w="2409" w:type="dxa"/>
            <w:noWrap w:val="0"/>
            <w:vAlign w:val="center"/>
          </w:tcPr>
          <w:p w14:paraId="4AEDDA44">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随访数据统计</w:t>
            </w:r>
          </w:p>
        </w:tc>
        <w:tc>
          <w:tcPr>
            <w:tcW w:w="4962" w:type="dxa"/>
            <w:noWrap w:val="0"/>
            <w:vAlign w:val="center"/>
          </w:tcPr>
          <w:p w14:paraId="11A04B16">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支持自动统计相关随访数据功能。</w:t>
            </w:r>
          </w:p>
        </w:tc>
      </w:tr>
      <w:tr w14:paraId="45307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5F6458A1">
            <w:pPr>
              <w:widowControl/>
              <w:spacing w:beforeLines="0"/>
              <w:jc w:val="left"/>
              <w:rPr>
                <w:rFonts w:ascii="宋体" w:hAnsi="宋体" w:cs="宋体"/>
                <w:color w:val="auto"/>
                <w:kern w:val="0"/>
                <w:sz w:val="22"/>
                <w:szCs w:val="22"/>
                <w:highlight w:val="none"/>
              </w:rPr>
            </w:pPr>
          </w:p>
        </w:tc>
        <w:tc>
          <w:tcPr>
            <w:tcW w:w="2409" w:type="dxa"/>
            <w:noWrap w:val="0"/>
            <w:vAlign w:val="center"/>
          </w:tcPr>
          <w:p w14:paraId="5B6838B6">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设备对接</w:t>
            </w:r>
          </w:p>
        </w:tc>
        <w:tc>
          <w:tcPr>
            <w:tcW w:w="4962" w:type="dxa"/>
            <w:noWrap w:val="0"/>
            <w:vAlign w:val="center"/>
          </w:tcPr>
          <w:p w14:paraId="49661D8B">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支持设备接入、监测数据上传等功能。</w:t>
            </w:r>
          </w:p>
        </w:tc>
      </w:tr>
      <w:tr w14:paraId="53769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40362548">
            <w:pPr>
              <w:widowControl/>
              <w:spacing w:beforeLines="0"/>
              <w:jc w:val="left"/>
              <w:rPr>
                <w:rFonts w:ascii="宋体" w:hAnsi="宋体" w:cs="宋体"/>
                <w:color w:val="auto"/>
                <w:kern w:val="0"/>
                <w:sz w:val="22"/>
                <w:szCs w:val="22"/>
                <w:highlight w:val="none"/>
              </w:rPr>
            </w:pPr>
          </w:p>
        </w:tc>
        <w:tc>
          <w:tcPr>
            <w:tcW w:w="2409" w:type="dxa"/>
            <w:noWrap w:val="0"/>
            <w:vAlign w:val="center"/>
          </w:tcPr>
          <w:p w14:paraId="4E1EF94D">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监测结果</w:t>
            </w:r>
          </w:p>
        </w:tc>
        <w:tc>
          <w:tcPr>
            <w:tcW w:w="4962" w:type="dxa"/>
            <w:noWrap w:val="0"/>
            <w:vAlign w:val="center"/>
          </w:tcPr>
          <w:p w14:paraId="0EF01A9F">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支持用户监测数据查看、数据变化情况展示等功能。</w:t>
            </w:r>
          </w:p>
        </w:tc>
      </w:tr>
      <w:tr w14:paraId="42202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23F5A47D">
            <w:pPr>
              <w:widowControl/>
              <w:spacing w:beforeLines="0"/>
              <w:jc w:val="left"/>
              <w:rPr>
                <w:rFonts w:ascii="宋体" w:hAnsi="宋体" w:cs="宋体"/>
                <w:color w:val="auto"/>
                <w:kern w:val="0"/>
                <w:sz w:val="22"/>
                <w:szCs w:val="22"/>
                <w:highlight w:val="none"/>
              </w:rPr>
            </w:pPr>
          </w:p>
        </w:tc>
        <w:tc>
          <w:tcPr>
            <w:tcW w:w="2409" w:type="dxa"/>
            <w:noWrap w:val="0"/>
            <w:vAlign w:val="center"/>
          </w:tcPr>
          <w:p w14:paraId="1C984BBB">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指标监测统计</w:t>
            </w:r>
          </w:p>
        </w:tc>
        <w:tc>
          <w:tcPr>
            <w:tcW w:w="4962" w:type="dxa"/>
            <w:noWrap w:val="0"/>
            <w:vAlign w:val="center"/>
          </w:tcPr>
          <w:p w14:paraId="145E2E08">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支持自动统计设备采集数据功能。</w:t>
            </w:r>
          </w:p>
        </w:tc>
      </w:tr>
      <w:tr w14:paraId="04864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65F89906">
            <w:pPr>
              <w:widowControl/>
              <w:spacing w:beforeLines="0"/>
              <w:jc w:val="left"/>
              <w:rPr>
                <w:rFonts w:ascii="宋体" w:hAnsi="宋体" w:cs="宋体"/>
                <w:color w:val="auto"/>
                <w:kern w:val="0"/>
                <w:sz w:val="22"/>
                <w:szCs w:val="22"/>
                <w:highlight w:val="none"/>
              </w:rPr>
            </w:pPr>
          </w:p>
        </w:tc>
        <w:tc>
          <w:tcPr>
            <w:tcW w:w="2409" w:type="dxa"/>
            <w:noWrap w:val="0"/>
            <w:vAlign w:val="center"/>
          </w:tcPr>
          <w:p w14:paraId="1BE0A659">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危险预警</w:t>
            </w:r>
          </w:p>
        </w:tc>
        <w:tc>
          <w:tcPr>
            <w:tcW w:w="4962" w:type="dxa"/>
            <w:noWrap w:val="0"/>
            <w:vAlign w:val="center"/>
          </w:tcPr>
          <w:p w14:paraId="20FCC6E4">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支持危险预警、预警消息发送等功能。</w:t>
            </w:r>
          </w:p>
        </w:tc>
      </w:tr>
      <w:tr w14:paraId="5BEA5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466DFB2C">
            <w:pPr>
              <w:widowControl/>
              <w:spacing w:beforeLines="0"/>
              <w:jc w:val="left"/>
              <w:rPr>
                <w:rFonts w:ascii="宋体" w:hAnsi="宋体" w:cs="宋体"/>
                <w:color w:val="auto"/>
                <w:kern w:val="0"/>
                <w:sz w:val="22"/>
                <w:szCs w:val="22"/>
                <w:highlight w:val="none"/>
              </w:rPr>
            </w:pPr>
          </w:p>
        </w:tc>
        <w:tc>
          <w:tcPr>
            <w:tcW w:w="2409" w:type="dxa"/>
            <w:noWrap w:val="0"/>
            <w:vAlign w:val="center"/>
          </w:tcPr>
          <w:p w14:paraId="1D9EEF99">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预警处理</w:t>
            </w:r>
          </w:p>
        </w:tc>
        <w:tc>
          <w:tcPr>
            <w:tcW w:w="4962" w:type="dxa"/>
            <w:noWrap w:val="0"/>
            <w:vAlign w:val="center"/>
          </w:tcPr>
          <w:p w14:paraId="018F4670">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支持预警信息处理、记录等功能。</w:t>
            </w:r>
          </w:p>
        </w:tc>
      </w:tr>
      <w:tr w14:paraId="6F7BC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200BC4C6">
            <w:pPr>
              <w:widowControl/>
              <w:spacing w:beforeLines="0"/>
              <w:jc w:val="left"/>
              <w:rPr>
                <w:rFonts w:ascii="宋体" w:hAnsi="宋体" w:cs="宋体"/>
                <w:color w:val="auto"/>
                <w:kern w:val="0"/>
                <w:sz w:val="22"/>
                <w:szCs w:val="22"/>
                <w:highlight w:val="none"/>
              </w:rPr>
            </w:pPr>
          </w:p>
        </w:tc>
        <w:tc>
          <w:tcPr>
            <w:tcW w:w="2409" w:type="dxa"/>
            <w:noWrap w:val="0"/>
            <w:vAlign w:val="center"/>
          </w:tcPr>
          <w:p w14:paraId="6243226B">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预警统计</w:t>
            </w:r>
          </w:p>
        </w:tc>
        <w:tc>
          <w:tcPr>
            <w:tcW w:w="4962" w:type="dxa"/>
            <w:noWrap w:val="0"/>
            <w:vAlign w:val="center"/>
          </w:tcPr>
          <w:p w14:paraId="2286279A">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支持预警信息处理时效、结果统计等功能。</w:t>
            </w:r>
          </w:p>
        </w:tc>
      </w:tr>
      <w:tr w14:paraId="2EC45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09EB9E23">
            <w:pPr>
              <w:widowControl/>
              <w:spacing w:beforeLines="0"/>
              <w:jc w:val="left"/>
              <w:rPr>
                <w:rFonts w:ascii="宋体" w:hAnsi="宋体" w:cs="宋体"/>
                <w:color w:val="auto"/>
                <w:kern w:val="0"/>
                <w:sz w:val="22"/>
                <w:szCs w:val="22"/>
                <w:highlight w:val="none"/>
              </w:rPr>
            </w:pPr>
          </w:p>
        </w:tc>
        <w:tc>
          <w:tcPr>
            <w:tcW w:w="2409" w:type="dxa"/>
            <w:noWrap w:val="0"/>
            <w:vAlign w:val="center"/>
          </w:tcPr>
          <w:p w14:paraId="2616DB09">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线上问诊</w:t>
            </w:r>
          </w:p>
        </w:tc>
        <w:tc>
          <w:tcPr>
            <w:tcW w:w="4962" w:type="dxa"/>
            <w:noWrap w:val="0"/>
            <w:vAlign w:val="center"/>
          </w:tcPr>
          <w:p w14:paraId="3B374C4E">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支持线上图文问诊功能。</w:t>
            </w:r>
          </w:p>
        </w:tc>
      </w:tr>
      <w:tr w14:paraId="1322F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40A3879A">
            <w:pPr>
              <w:widowControl/>
              <w:spacing w:beforeLines="0"/>
              <w:jc w:val="left"/>
              <w:rPr>
                <w:rFonts w:ascii="宋体" w:hAnsi="宋体" w:cs="宋体"/>
                <w:color w:val="auto"/>
                <w:kern w:val="0"/>
                <w:sz w:val="22"/>
                <w:szCs w:val="22"/>
                <w:highlight w:val="none"/>
              </w:rPr>
            </w:pPr>
          </w:p>
        </w:tc>
        <w:tc>
          <w:tcPr>
            <w:tcW w:w="2409" w:type="dxa"/>
            <w:noWrap w:val="0"/>
            <w:vAlign w:val="center"/>
          </w:tcPr>
          <w:p w14:paraId="606D5247">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智能分诊</w:t>
            </w:r>
          </w:p>
        </w:tc>
        <w:tc>
          <w:tcPr>
            <w:tcW w:w="4962" w:type="dxa"/>
            <w:noWrap w:val="0"/>
            <w:vAlign w:val="center"/>
          </w:tcPr>
          <w:p w14:paraId="5F8B63DF">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支持线上患者智能分诊、转诊功能。</w:t>
            </w:r>
          </w:p>
        </w:tc>
      </w:tr>
      <w:tr w14:paraId="0DF45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6C5885B6">
            <w:pPr>
              <w:widowControl/>
              <w:spacing w:beforeLines="0"/>
              <w:jc w:val="left"/>
              <w:rPr>
                <w:rFonts w:ascii="宋体" w:hAnsi="宋体" w:cs="宋体"/>
                <w:color w:val="auto"/>
                <w:kern w:val="0"/>
                <w:sz w:val="22"/>
                <w:szCs w:val="22"/>
                <w:highlight w:val="none"/>
              </w:rPr>
            </w:pPr>
          </w:p>
        </w:tc>
        <w:tc>
          <w:tcPr>
            <w:tcW w:w="2409" w:type="dxa"/>
            <w:noWrap w:val="0"/>
            <w:vAlign w:val="center"/>
          </w:tcPr>
          <w:p w14:paraId="36476F8C">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线上问诊统计</w:t>
            </w:r>
          </w:p>
        </w:tc>
        <w:tc>
          <w:tcPr>
            <w:tcW w:w="4962" w:type="dxa"/>
            <w:noWrap w:val="0"/>
            <w:vAlign w:val="center"/>
          </w:tcPr>
          <w:p w14:paraId="0E15CD5C">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支持线上问诊服务记录统计功能。</w:t>
            </w:r>
          </w:p>
        </w:tc>
      </w:tr>
      <w:tr w14:paraId="42103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4BCC32A3">
            <w:pPr>
              <w:widowControl/>
              <w:spacing w:beforeLines="0"/>
              <w:jc w:val="left"/>
              <w:rPr>
                <w:rFonts w:ascii="宋体" w:hAnsi="宋体" w:cs="宋体"/>
                <w:color w:val="auto"/>
                <w:kern w:val="0"/>
                <w:sz w:val="22"/>
                <w:szCs w:val="22"/>
                <w:highlight w:val="none"/>
              </w:rPr>
            </w:pPr>
          </w:p>
        </w:tc>
        <w:tc>
          <w:tcPr>
            <w:tcW w:w="2409" w:type="dxa"/>
            <w:noWrap w:val="0"/>
            <w:vAlign w:val="center"/>
          </w:tcPr>
          <w:p w14:paraId="4F9B7B12">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双向转诊</w:t>
            </w:r>
          </w:p>
        </w:tc>
        <w:tc>
          <w:tcPr>
            <w:tcW w:w="4962" w:type="dxa"/>
            <w:noWrap w:val="0"/>
            <w:vAlign w:val="center"/>
          </w:tcPr>
          <w:p w14:paraId="658CC7FE">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支持对接院内双向转诊系统功能。</w:t>
            </w:r>
          </w:p>
        </w:tc>
      </w:tr>
      <w:tr w14:paraId="0346F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26BDEF0D">
            <w:pPr>
              <w:widowControl/>
              <w:spacing w:beforeLines="0"/>
              <w:jc w:val="left"/>
              <w:rPr>
                <w:rFonts w:ascii="宋体" w:hAnsi="宋体" w:cs="宋体"/>
                <w:color w:val="auto"/>
                <w:kern w:val="0"/>
                <w:sz w:val="22"/>
                <w:szCs w:val="22"/>
                <w:highlight w:val="none"/>
              </w:rPr>
            </w:pPr>
          </w:p>
        </w:tc>
        <w:tc>
          <w:tcPr>
            <w:tcW w:w="2409" w:type="dxa"/>
            <w:noWrap w:val="0"/>
            <w:vAlign w:val="center"/>
          </w:tcPr>
          <w:p w14:paraId="4924D069">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消息模板</w:t>
            </w:r>
          </w:p>
        </w:tc>
        <w:tc>
          <w:tcPr>
            <w:tcW w:w="4962" w:type="dxa"/>
            <w:noWrap w:val="0"/>
            <w:vAlign w:val="center"/>
          </w:tcPr>
          <w:p w14:paraId="2802AEA7">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支持对消息模板维护功能。</w:t>
            </w:r>
          </w:p>
        </w:tc>
      </w:tr>
      <w:tr w14:paraId="71C1E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1FD0C4AF">
            <w:pPr>
              <w:widowControl/>
              <w:spacing w:beforeLines="0"/>
              <w:jc w:val="left"/>
              <w:rPr>
                <w:rFonts w:ascii="宋体" w:hAnsi="宋体" w:cs="宋体"/>
                <w:color w:val="auto"/>
                <w:kern w:val="0"/>
                <w:sz w:val="22"/>
                <w:szCs w:val="22"/>
                <w:highlight w:val="none"/>
              </w:rPr>
            </w:pPr>
          </w:p>
        </w:tc>
        <w:tc>
          <w:tcPr>
            <w:tcW w:w="2409" w:type="dxa"/>
            <w:noWrap w:val="0"/>
            <w:vAlign w:val="center"/>
          </w:tcPr>
          <w:p w14:paraId="3864CD9C">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消息记录</w:t>
            </w:r>
          </w:p>
        </w:tc>
        <w:tc>
          <w:tcPr>
            <w:tcW w:w="4962" w:type="dxa"/>
            <w:noWrap w:val="0"/>
            <w:vAlign w:val="center"/>
          </w:tcPr>
          <w:p w14:paraId="7EEB0124">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支持对消息记录进行查询功能。</w:t>
            </w:r>
          </w:p>
        </w:tc>
      </w:tr>
      <w:tr w14:paraId="19CEA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4941A3A6">
            <w:pPr>
              <w:widowControl/>
              <w:spacing w:beforeLines="0"/>
              <w:jc w:val="left"/>
              <w:rPr>
                <w:rFonts w:ascii="宋体" w:hAnsi="宋体" w:cs="宋体"/>
                <w:color w:val="auto"/>
                <w:kern w:val="0"/>
                <w:sz w:val="22"/>
                <w:szCs w:val="22"/>
                <w:highlight w:val="none"/>
              </w:rPr>
            </w:pPr>
          </w:p>
        </w:tc>
        <w:tc>
          <w:tcPr>
            <w:tcW w:w="2409" w:type="dxa"/>
            <w:noWrap w:val="0"/>
            <w:vAlign w:val="center"/>
          </w:tcPr>
          <w:p w14:paraId="538A7FDA">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短信平台对接</w:t>
            </w:r>
          </w:p>
        </w:tc>
        <w:tc>
          <w:tcPr>
            <w:tcW w:w="4962" w:type="dxa"/>
            <w:noWrap w:val="0"/>
            <w:vAlign w:val="center"/>
          </w:tcPr>
          <w:p w14:paraId="199FB254">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支持对接医疗机构短信平台功能。</w:t>
            </w:r>
          </w:p>
        </w:tc>
      </w:tr>
      <w:tr w14:paraId="2AD6F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0259C11C">
            <w:pPr>
              <w:widowControl/>
              <w:spacing w:beforeLines="0"/>
              <w:jc w:val="left"/>
              <w:rPr>
                <w:rFonts w:ascii="宋体" w:hAnsi="宋体" w:cs="宋体"/>
                <w:color w:val="auto"/>
                <w:kern w:val="0"/>
                <w:sz w:val="22"/>
                <w:szCs w:val="22"/>
                <w:highlight w:val="none"/>
              </w:rPr>
            </w:pPr>
          </w:p>
        </w:tc>
        <w:tc>
          <w:tcPr>
            <w:tcW w:w="2409" w:type="dxa"/>
            <w:noWrap w:val="0"/>
            <w:vAlign w:val="center"/>
          </w:tcPr>
          <w:p w14:paraId="2985AE98">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可视化统计分析</w:t>
            </w:r>
          </w:p>
        </w:tc>
        <w:tc>
          <w:tcPr>
            <w:tcW w:w="4962" w:type="dxa"/>
            <w:noWrap w:val="0"/>
            <w:vAlign w:val="center"/>
          </w:tcPr>
          <w:p w14:paraId="69EFCE52">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支持可视化统计分析功能。</w:t>
            </w:r>
          </w:p>
        </w:tc>
      </w:tr>
      <w:tr w14:paraId="1C491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26587A63">
            <w:pPr>
              <w:widowControl/>
              <w:spacing w:beforeLines="0"/>
              <w:jc w:val="left"/>
              <w:rPr>
                <w:rFonts w:ascii="宋体" w:hAnsi="宋体" w:cs="宋体"/>
                <w:color w:val="auto"/>
                <w:kern w:val="0"/>
                <w:sz w:val="22"/>
                <w:szCs w:val="22"/>
                <w:highlight w:val="none"/>
              </w:rPr>
            </w:pPr>
          </w:p>
        </w:tc>
        <w:tc>
          <w:tcPr>
            <w:tcW w:w="2409" w:type="dxa"/>
            <w:noWrap w:val="0"/>
            <w:vAlign w:val="center"/>
          </w:tcPr>
          <w:p w14:paraId="3318746B">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绩效考核统计分析</w:t>
            </w:r>
          </w:p>
        </w:tc>
        <w:tc>
          <w:tcPr>
            <w:tcW w:w="4962" w:type="dxa"/>
            <w:noWrap w:val="0"/>
            <w:vAlign w:val="center"/>
          </w:tcPr>
          <w:p w14:paraId="08F98DBB">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支持绩效考核指标统计功能。</w:t>
            </w:r>
          </w:p>
        </w:tc>
      </w:tr>
      <w:tr w14:paraId="12A27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1BBADCEA">
            <w:pPr>
              <w:widowControl/>
              <w:spacing w:beforeLines="0"/>
              <w:jc w:val="left"/>
              <w:rPr>
                <w:rFonts w:ascii="宋体" w:hAnsi="宋体" w:cs="宋体"/>
                <w:color w:val="auto"/>
                <w:kern w:val="0"/>
                <w:sz w:val="22"/>
                <w:szCs w:val="22"/>
                <w:highlight w:val="none"/>
              </w:rPr>
            </w:pPr>
          </w:p>
        </w:tc>
        <w:tc>
          <w:tcPr>
            <w:tcW w:w="2409" w:type="dxa"/>
            <w:noWrap w:val="0"/>
            <w:vAlign w:val="center"/>
          </w:tcPr>
          <w:p w14:paraId="141D5562">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待办事项</w:t>
            </w:r>
          </w:p>
        </w:tc>
        <w:tc>
          <w:tcPr>
            <w:tcW w:w="4962" w:type="dxa"/>
            <w:noWrap w:val="0"/>
            <w:vAlign w:val="center"/>
          </w:tcPr>
          <w:p w14:paraId="5A33F5C4">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支持展示高危人群查看、高危人群随访任务查看、待管患者查看、慢病随访任务查看、转诊回访任务查看等功能。</w:t>
            </w:r>
          </w:p>
        </w:tc>
      </w:tr>
      <w:tr w14:paraId="5208F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7AF4D914">
            <w:pPr>
              <w:widowControl/>
              <w:spacing w:beforeLines="0"/>
              <w:jc w:val="left"/>
              <w:rPr>
                <w:rFonts w:ascii="宋体" w:hAnsi="宋体" w:cs="宋体"/>
                <w:color w:val="auto"/>
                <w:kern w:val="0"/>
                <w:sz w:val="22"/>
                <w:szCs w:val="22"/>
                <w:highlight w:val="none"/>
              </w:rPr>
            </w:pPr>
          </w:p>
        </w:tc>
        <w:tc>
          <w:tcPr>
            <w:tcW w:w="2409" w:type="dxa"/>
            <w:noWrap w:val="0"/>
            <w:vAlign w:val="center"/>
          </w:tcPr>
          <w:p w14:paraId="36C0F123">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患者端首页</w:t>
            </w:r>
          </w:p>
        </w:tc>
        <w:tc>
          <w:tcPr>
            <w:tcW w:w="4962" w:type="dxa"/>
            <w:noWrap w:val="0"/>
            <w:vAlign w:val="center"/>
          </w:tcPr>
          <w:p w14:paraId="254439A4">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支持管理方案、健康监测、日历打卡等功能。</w:t>
            </w:r>
          </w:p>
        </w:tc>
      </w:tr>
      <w:tr w14:paraId="76BF7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3033ADAD">
            <w:pPr>
              <w:widowControl/>
              <w:spacing w:beforeLines="0"/>
              <w:jc w:val="left"/>
              <w:rPr>
                <w:rFonts w:ascii="宋体" w:hAnsi="宋体" w:cs="宋体"/>
                <w:color w:val="auto"/>
                <w:kern w:val="0"/>
                <w:sz w:val="22"/>
                <w:szCs w:val="22"/>
                <w:highlight w:val="none"/>
              </w:rPr>
            </w:pPr>
          </w:p>
        </w:tc>
        <w:tc>
          <w:tcPr>
            <w:tcW w:w="2409" w:type="dxa"/>
            <w:noWrap w:val="0"/>
            <w:vAlign w:val="center"/>
          </w:tcPr>
          <w:p w14:paraId="17E67822">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患者端消息中心</w:t>
            </w:r>
          </w:p>
        </w:tc>
        <w:tc>
          <w:tcPr>
            <w:tcW w:w="4962" w:type="dxa"/>
            <w:noWrap w:val="0"/>
            <w:vAlign w:val="center"/>
          </w:tcPr>
          <w:p w14:paraId="3EACD990">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支持咨询互动、消息中心等功能。</w:t>
            </w:r>
          </w:p>
        </w:tc>
      </w:tr>
      <w:tr w14:paraId="3A498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60C27F1D">
            <w:pPr>
              <w:widowControl/>
              <w:spacing w:beforeLines="0"/>
              <w:jc w:val="left"/>
              <w:rPr>
                <w:rFonts w:ascii="宋体" w:hAnsi="宋体" w:cs="宋体"/>
                <w:color w:val="auto"/>
                <w:kern w:val="0"/>
                <w:sz w:val="22"/>
                <w:szCs w:val="22"/>
                <w:highlight w:val="none"/>
              </w:rPr>
            </w:pPr>
          </w:p>
        </w:tc>
        <w:tc>
          <w:tcPr>
            <w:tcW w:w="2409" w:type="dxa"/>
            <w:noWrap w:val="0"/>
            <w:vAlign w:val="center"/>
          </w:tcPr>
          <w:p w14:paraId="49FE8B30">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患者端我的</w:t>
            </w:r>
          </w:p>
        </w:tc>
        <w:tc>
          <w:tcPr>
            <w:tcW w:w="4962" w:type="dxa"/>
            <w:noWrap w:val="0"/>
            <w:vAlign w:val="center"/>
          </w:tcPr>
          <w:p w14:paraId="1D2144F9">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支持个人信息进行查看、修改等功能。</w:t>
            </w:r>
          </w:p>
        </w:tc>
      </w:tr>
      <w:tr w14:paraId="61D5C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1849695E">
            <w:pPr>
              <w:widowControl/>
              <w:spacing w:beforeLines="0"/>
              <w:jc w:val="left"/>
              <w:rPr>
                <w:rFonts w:ascii="宋体" w:hAnsi="宋体" w:cs="宋体"/>
                <w:color w:val="auto"/>
                <w:kern w:val="0"/>
                <w:sz w:val="22"/>
                <w:szCs w:val="22"/>
                <w:highlight w:val="none"/>
              </w:rPr>
            </w:pPr>
          </w:p>
        </w:tc>
        <w:tc>
          <w:tcPr>
            <w:tcW w:w="2409" w:type="dxa"/>
            <w:noWrap w:val="0"/>
            <w:vAlign w:val="center"/>
          </w:tcPr>
          <w:p w14:paraId="18E4EAB4">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慢阻肺数据库-数据对接</w:t>
            </w:r>
          </w:p>
        </w:tc>
        <w:tc>
          <w:tcPr>
            <w:tcW w:w="4962" w:type="dxa"/>
            <w:noWrap w:val="0"/>
            <w:vAlign w:val="center"/>
          </w:tcPr>
          <w:p w14:paraId="79FC06F4">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支持制定数据集标准、对接医疗服务信息化系统等功能。</w:t>
            </w:r>
          </w:p>
        </w:tc>
      </w:tr>
      <w:tr w14:paraId="7F8F0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7BD2173F">
            <w:pPr>
              <w:widowControl/>
              <w:spacing w:beforeLines="0"/>
              <w:jc w:val="left"/>
              <w:rPr>
                <w:rFonts w:ascii="宋体" w:hAnsi="宋体" w:cs="宋体"/>
                <w:color w:val="auto"/>
                <w:kern w:val="0"/>
                <w:sz w:val="22"/>
                <w:szCs w:val="22"/>
                <w:highlight w:val="none"/>
              </w:rPr>
            </w:pPr>
          </w:p>
        </w:tc>
        <w:tc>
          <w:tcPr>
            <w:tcW w:w="2409" w:type="dxa"/>
            <w:noWrap w:val="0"/>
            <w:vAlign w:val="center"/>
          </w:tcPr>
          <w:p w14:paraId="09F347E0">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慢阻肺数据库-数据采集</w:t>
            </w:r>
          </w:p>
        </w:tc>
        <w:tc>
          <w:tcPr>
            <w:tcW w:w="4962" w:type="dxa"/>
            <w:noWrap w:val="0"/>
            <w:vAlign w:val="center"/>
          </w:tcPr>
          <w:p w14:paraId="04C35898">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支持对不同数据库对接、数据采集功能。</w:t>
            </w:r>
          </w:p>
        </w:tc>
      </w:tr>
      <w:tr w14:paraId="239E2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3698C114">
            <w:pPr>
              <w:widowControl/>
              <w:spacing w:beforeLines="0"/>
              <w:jc w:val="left"/>
              <w:rPr>
                <w:rFonts w:ascii="宋体" w:hAnsi="宋体" w:cs="宋体"/>
                <w:color w:val="auto"/>
                <w:kern w:val="0"/>
                <w:sz w:val="22"/>
                <w:szCs w:val="22"/>
                <w:highlight w:val="none"/>
              </w:rPr>
            </w:pPr>
          </w:p>
        </w:tc>
        <w:tc>
          <w:tcPr>
            <w:tcW w:w="2409" w:type="dxa"/>
            <w:noWrap w:val="0"/>
            <w:vAlign w:val="center"/>
          </w:tcPr>
          <w:p w14:paraId="7900DCA2">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慢阻肺数据库-数据治理</w:t>
            </w:r>
          </w:p>
        </w:tc>
        <w:tc>
          <w:tcPr>
            <w:tcW w:w="4962" w:type="dxa"/>
            <w:noWrap w:val="0"/>
            <w:vAlign w:val="center"/>
          </w:tcPr>
          <w:p w14:paraId="55027BDA">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支持对抽取的数据进行治理的功能。</w:t>
            </w:r>
          </w:p>
        </w:tc>
      </w:tr>
      <w:tr w14:paraId="300A9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restart"/>
            <w:noWrap w:val="0"/>
            <w:vAlign w:val="center"/>
          </w:tcPr>
          <w:p w14:paraId="12E1723C">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血脂异常管理系统</w:t>
            </w:r>
          </w:p>
        </w:tc>
        <w:tc>
          <w:tcPr>
            <w:tcW w:w="2409" w:type="dxa"/>
            <w:noWrap w:val="0"/>
            <w:vAlign w:val="center"/>
          </w:tcPr>
          <w:p w14:paraId="34FB1E4D">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高危线索筛查</w:t>
            </w:r>
          </w:p>
        </w:tc>
        <w:tc>
          <w:tcPr>
            <w:tcW w:w="4962" w:type="dxa"/>
            <w:noWrap w:val="0"/>
            <w:vAlign w:val="center"/>
          </w:tcPr>
          <w:p w14:paraId="122335F2">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支持筛查血脂数据、生成高危线索等功能。</w:t>
            </w:r>
          </w:p>
        </w:tc>
      </w:tr>
      <w:tr w14:paraId="53DBC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637AE08E">
            <w:pPr>
              <w:widowControl/>
              <w:spacing w:beforeLines="0"/>
              <w:jc w:val="left"/>
              <w:rPr>
                <w:rFonts w:ascii="宋体" w:hAnsi="宋体" w:cs="宋体"/>
                <w:color w:val="auto"/>
                <w:kern w:val="0"/>
                <w:sz w:val="22"/>
                <w:szCs w:val="22"/>
                <w:highlight w:val="none"/>
              </w:rPr>
            </w:pPr>
          </w:p>
        </w:tc>
        <w:tc>
          <w:tcPr>
            <w:tcW w:w="2409" w:type="dxa"/>
            <w:noWrap w:val="0"/>
            <w:vAlign w:val="center"/>
          </w:tcPr>
          <w:p w14:paraId="2B94C84E">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高危线索列表</w:t>
            </w:r>
          </w:p>
        </w:tc>
        <w:tc>
          <w:tcPr>
            <w:tcW w:w="4962" w:type="dxa"/>
            <w:noWrap w:val="0"/>
            <w:vAlign w:val="center"/>
          </w:tcPr>
          <w:p w14:paraId="5215751A">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支持高危线索列表展示、线索查询等功能。</w:t>
            </w:r>
          </w:p>
        </w:tc>
      </w:tr>
      <w:tr w14:paraId="4D912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46C2634D">
            <w:pPr>
              <w:widowControl/>
              <w:spacing w:beforeLines="0"/>
              <w:jc w:val="left"/>
              <w:rPr>
                <w:rFonts w:ascii="宋体" w:hAnsi="宋体" w:cs="宋体"/>
                <w:color w:val="auto"/>
                <w:kern w:val="0"/>
                <w:sz w:val="22"/>
                <w:szCs w:val="22"/>
                <w:highlight w:val="none"/>
              </w:rPr>
            </w:pPr>
          </w:p>
        </w:tc>
        <w:tc>
          <w:tcPr>
            <w:tcW w:w="2409" w:type="dxa"/>
            <w:noWrap w:val="0"/>
            <w:vAlign w:val="center"/>
          </w:tcPr>
          <w:p w14:paraId="15DC5D72">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高危线索详情</w:t>
            </w:r>
          </w:p>
        </w:tc>
        <w:tc>
          <w:tcPr>
            <w:tcW w:w="4962" w:type="dxa"/>
            <w:noWrap w:val="0"/>
            <w:vAlign w:val="center"/>
          </w:tcPr>
          <w:p w14:paraId="3E574B53">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支持高危线索详细内容的展示的功能。</w:t>
            </w:r>
          </w:p>
        </w:tc>
      </w:tr>
      <w:tr w14:paraId="2398A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34C9AB47">
            <w:pPr>
              <w:widowControl/>
              <w:spacing w:beforeLines="0"/>
              <w:jc w:val="left"/>
              <w:rPr>
                <w:rFonts w:ascii="宋体" w:hAnsi="宋体" w:cs="宋体"/>
                <w:color w:val="auto"/>
                <w:kern w:val="0"/>
                <w:sz w:val="22"/>
                <w:szCs w:val="22"/>
                <w:highlight w:val="none"/>
              </w:rPr>
            </w:pPr>
          </w:p>
        </w:tc>
        <w:tc>
          <w:tcPr>
            <w:tcW w:w="2409" w:type="dxa"/>
            <w:noWrap w:val="0"/>
            <w:vAlign w:val="center"/>
          </w:tcPr>
          <w:p w14:paraId="696B43A3">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高危分层评估</w:t>
            </w:r>
          </w:p>
        </w:tc>
        <w:tc>
          <w:tcPr>
            <w:tcW w:w="4962" w:type="dxa"/>
            <w:noWrap w:val="0"/>
            <w:vAlign w:val="center"/>
          </w:tcPr>
          <w:p w14:paraId="48A283D2">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支持心血管病危险分层评估功能。</w:t>
            </w:r>
          </w:p>
        </w:tc>
      </w:tr>
      <w:tr w14:paraId="3BBF7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6CDB0F01">
            <w:pPr>
              <w:widowControl/>
              <w:spacing w:beforeLines="0"/>
              <w:jc w:val="left"/>
              <w:rPr>
                <w:rFonts w:ascii="宋体" w:hAnsi="宋体" w:cs="宋体"/>
                <w:color w:val="auto"/>
                <w:kern w:val="0"/>
                <w:sz w:val="22"/>
                <w:szCs w:val="22"/>
                <w:highlight w:val="none"/>
              </w:rPr>
            </w:pPr>
          </w:p>
        </w:tc>
        <w:tc>
          <w:tcPr>
            <w:tcW w:w="2409" w:type="dxa"/>
            <w:noWrap w:val="0"/>
            <w:vAlign w:val="center"/>
          </w:tcPr>
          <w:p w14:paraId="57E64D4B">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高危专项建档</w:t>
            </w:r>
          </w:p>
        </w:tc>
        <w:tc>
          <w:tcPr>
            <w:tcW w:w="4962" w:type="dxa"/>
            <w:noWrap w:val="0"/>
            <w:vAlign w:val="center"/>
          </w:tcPr>
          <w:p w14:paraId="3A740453">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支持高危人群专项档案登记、预填入高危判定因素等功能。</w:t>
            </w:r>
          </w:p>
        </w:tc>
      </w:tr>
      <w:tr w14:paraId="25E41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7312AF30">
            <w:pPr>
              <w:widowControl/>
              <w:spacing w:beforeLines="0"/>
              <w:jc w:val="left"/>
              <w:rPr>
                <w:rFonts w:ascii="宋体" w:hAnsi="宋体" w:cs="宋体"/>
                <w:color w:val="auto"/>
                <w:kern w:val="0"/>
                <w:sz w:val="22"/>
                <w:szCs w:val="22"/>
                <w:highlight w:val="none"/>
              </w:rPr>
            </w:pPr>
          </w:p>
        </w:tc>
        <w:tc>
          <w:tcPr>
            <w:tcW w:w="2409" w:type="dxa"/>
            <w:noWrap w:val="0"/>
            <w:vAlign w:val="center"/>
          </w:tcPr>
          <w:p w14:paraId="0AE57313">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高危人员列表</w:t>
            </w:r>
          </w:p>
        </w:tc>
        <w:tc>
          <w:tcPr>
            <w:tcW w:w="4962" w:type="dxa"/>
            <w:noWrap w:val="0"/>
            <w:vAlign w:val="center"/>
          </w:tcPr>
          <w:p w14:paraId="552E6EC0">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支持血脂异常高危人群的集中展示、按条件检索等功能。</w:t>
            </w:r>
          </w:p>
        </w:tc>
      </w:tr>
      <w:tr w14:paraId="0FE1E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1D6F2FCE">
            <w:pPr>
              <w:widowControl/>
              <w:spacing w:beforeLines="0"/>
              <w:jc w:val="left"/>
              <w:rPr>
                <w:rFonts w:ascii="宋体" w:hAnsi="宋体" w:cs="宋体"/>
                <w:color w:val="auto"/>
                <w:kern w:val="0"/>
                <w:sz w:val="22"/>
                <w:szCs w:val="22"/>
                <w:highlight w:val="none"/>
              </w:rPr>
            </w:pPr>
          </w:p>
        </w:tc>
        <w:tc>
          <w:tcPr>
            <w:tcW w:w="2409" w:type="dxa"/>
            <w:noWrap w:val="0"/>
            <w:vAlign w:val="center"/>
          </w:tcPr>
          <w:p w14:paraId="685E3C90">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高危档案管理</w:t>
            </w:r>
          </w:p>
        </w:tc>
        <w:tc>
          <w:tcPr>
            <w:tcW w:w="4962" w:type="dxa"/>
            <w:noWrap w:val="0"/>
            <w:vAlign w:val="center"/>
          </w:tcPr>
          <w:p w14:paraId="06A790ED">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支持血脂异常高危人群专项档案展示、二次编辑等功能。</w:t>
            </w:r>
          </w:p>
        </w:tc>
      </w:tr>
      <w:tr w14:paraId="51215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1D660627">
            <w:pPr>
              <w:widowControl/>
              <w:spacing w:beforeLines="0"/>
              <w:jc w:val="left"/>
              <w:rPr>
                <w:rFonts w:ascii="宋体" w:hAnsi="宋体" w:cs="宋体"/>
                <w:color w:val="auto"/>
                <w:kern w:val="0"/>
                <w:sz w:val="22"/>
                <w:szCs w:val="22"/>
                <w:highlight w:val="none"/>
              </w:rPr>
            </w:pPr>
          </w:p>
        </w:tc>
        <w:tc>
          <w:tcPr>
            <w:tcW w:w="2409" w:type="dxa"/>
            <w:noWrap w:val="0"/>
            <w:vAlign w:val="center"/>
          </w:tcPr>
          <w:p w14:paraId="5FB52EE9">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高危档案备份</w:t>
            </w:r>
          </w:p>
        </w:tc>
        <w:tc>
          <w:tcPr>
            <w:tcW w:w="4962" w:type="dxa"/>
            <w:noWrap w:val="0"/>
            <w:vAlign w:val="center"/>
          </w:tcPr>
          <w:p w14:paraId="767E10DB">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支持自定义备份字段、批量备份居民血脂异常高危人群专项档案等功能。</w:t>
            </w:r>
          </w:p>
        </w:tc>
      </w:tr>
      <w:tr w14:paraId="2C046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2C702310">
            <w:pPr>
              <w:widowControl/>
              <w:spacing w:beforeLines="0"/>
              <w:jc w:val="left"/>
              <w:rPr>
                <w:rFonts w:ascii="宋体" w:hAnsi="宋体" w:cs="宋体"/>
                <w:color w:val="auto"/>
                <w:kern w:val="0"/>
                <w:sz w:val="22"/>
                <w:szCs w:val="22"/>
                <w:highlight w:val="none"/>
              </w:rPr>
            </w:pPr>
          </w:p>
        </w:tc>
        <w:tc>
          <w:tcPr>
            <w:tcW w:w="2409" w:type="dxa"/>
            <w:noWrap w:val="0"/>
            <w:vAlign w:val="center"/>
          </w:tcPr>
          <w:p w14:paraId="6F9927B4">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高危人员随访</w:t>
            </w:r>
          </w:p>
        </w:tc>
        <w:tc>
          <w:tcPr>
            <w:tcW w:w="4962" w:type="dxa"/>
            <w:noWrap w:val="0"/>
            <w:vAlign w:val="center"/>
          </w:tcPr>
          <w:p w14:paraId="6B6EAD11">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支持血脂异常高危随访功能。</w:t>
            </w:r>
          </w:p>
        </w:tc>
      </w:tr>
      <w:tr w14:paraId="4B8B4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06F9A123">
            <w:pPr>
              <w:widowControl/>
              <w:spacing w:beforeLines="0"/>
              <w:jc w:val="left"/>
              <w:rPr>
                <w:rFonts w:ascii="宋体" w:hAnsi="宋体" w:cs="宋体"/>
                <w:color w:val="auto"/>
                <w:kern w:val="0"/>
                <w:sz w:val="22"/>
                <w:szCs w:val="22"/>
                <w:highlight w:val="none"/>
              </w:rPr>
            </w:pPr>
          </w:p>
        </w:tc>
        <w:tc>
          <w:tcPr>
            <w:tcW w:w="2409" w:type="dxa"/>
            <w:noWrap w:val="0"/>
            <w:vAlign w:val="center"/>
          </w:tcPr>
          <w:p w14:paraId="20A421FE">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高危人员新增</w:t>
            </w:r>
          </w:p>
        </w:tc>
        <w:tc>
          <w:tcPr>
            <w:tcW w:w="4962" w:type="dxa"/>
            <w:noWrap w:val="0"/>
            <w:vAlign w:val="center"/>
          </w:tcPr>
          <w:p w14:paraId="0A9A1874">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支持直接选择居民进行高危人群专项档案登记功能。</w:t>
            </w:r>
          </w:p>
        </w:tc>
      </w:tr>
      <w:tr w14:paraId="1AB8E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069FC2C1">
            <w:pPr>
              <w:widowControl/>
              <w:spacing w:beforeLines="0"/>
              <w:jc w:val="left"/>
              <w:rPr>
                <w:rFonts w:ascii="宋体" w:hAnsi="宋体" w:cs="宋体"/>
                <w:color w:val="auto"/>
                <w:kern w:val="0"/>
                <w:sz w:val="22"/>
                <w:szCs w:val="22"/>
                <w:highlight w:val="none"/>
              </w:rPr>
            </w:pPr>
          </w:p>
        </w:tc>
        <w:tc>
          <w:tcPr>
            <w:tcW w:w="2409" w:type="dxa"/>
            <w:noWrap w:val="0"/>
            <w:vAlign w:val="center"/>
          </w:tcPr>
          <w:p w14:paraId="34E01FAB">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高危随访任务列表</w:t>
            </w:r>
          </w:p>
        </w:tc>
        <w:tc>
          <w:tcPr>
            <w:tcW w:w="4962" w:type="dxa"/>
            <w:noWrap w:val="0"/>
            <w:vAlign w:val="center"/>
          </w:tcPr>
          <w:p w14:paraId="15D0D638">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支持血脂异常高危随访任务展示、按条件检索等功能。</w:t>
            </w:r>
          </w:p>
        </w:tc>
      </w:tr>
      <w:tr w14:paraId="7DDCD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5EEDDB15">
            <w:pPr>
              <w:widowControl/>
              <w:spacing w:beforeLines="0"/>
              <w:jc w:val="left"/>
              <w:rPr>
                <w:rFonts w:ascii="宋体" w:hAnsi="宋体" w:cs="宋体"/>
                <w:color w:val="auto"/>
                <w:kern w:val="0"/>
                <w:sz w:val="22"/>
                <w:szCs w:val="22"/>
                <w:highlight w:val="none"/>
              </w:rPr>
            </w:pPr>
          </w:p>
        </w:tc>
        <w:tc>
          <w:tcPr>
            <w:tcW w:w="2409" w:type="dxa"/>
            <w:noWrap w:val="0"/>
            <w:vAlign w:val="center"/>
          </w:tcPr>
          <w:p w14:paraId="5F66FE7A">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高危随访任务处理</w:t>
            </w:r>
          </w:p>
        </w:tc>
        <w:tc>
          <w:tcPr>
            <w:tcW w:w="4962" w:type="dxa"/>
            <w:noWrap w:val="0"/>
            <w:vAlign w:val="center"/>
          </w:tcPr>
          <w:p w14:paraId="38EE3276">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支持高危随访功能。</w:t>
            </w:r>
          </w:p>
        </w:tc>
      </w:tr>
      <w:tr w14:paraId="2D423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113AB50E">
            <w:pPr>
              <w:widowControl/>
              <w:spacing w:beforeLines="0"/>
              <w:jc w:val="left"/>
              <w:rPr>
                <w:rFonts w:ascii="宋体" w:hAnsi="宋体" w:cs="宋体"/>
                <w:color w:val="auto"/>
                <w:kern w:val="0"/>
                <w:sz w:val="22"/>
                <w:szCs w:val="22"/>
                <w:highlight w:val="none"/>
              </w:rPr>
            </w:pPr>
          </w:p>
        </w:tc>
        <w:tc>
          <w:tcPr>
            <w:tcW w:w="2409" w:type="dxa"/>
            <w:noWrap w:val="0"/>
            <w:vAlign w:val="center"/>
          </w:tcPr>
          <w:p w14:paraId="67ACF96C">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高危转归评估</w:t>
            </w:r>
          </w:p>
        </w:tc>
        <w:tc>
          <w:tcPr>
            <w:tcW w:w="4962" w:type="dxa"/>
            <w:noWrap w:val="0"/>
            <w:vAlign w:val="center"/>
          </w:tcPr>
          <w:p w14:paraId="03410862">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支持转归类别评估包括转一般人群、转血脂异常者等功能。</w:t>
            </w:r>
          </w:p>
        </w:tc>
      </w:tr>
      <w:tr w14:paraId="1C046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1F4C1CFD">
            <w:pPr>
              <w:widowControl/>
              <w:spacing w:beforeLines="0"/>
              <w:jc w:val="left"/>
              <w:rPr>
                <w:rFonts w:ascii="宋体" w:hAnsi="宋体" w:cs="宋体"/>
                <w:color w:val="auto"/>
                <w:kern w:val="0"/>
                <w:sz w:val="22"/>
                <w:szCs w:val="22"/>
                <w:highlight w:val="none"/>
              </w:rPr>
            </w:pPr>
          </w:p>
        </w:tc>
        <w:tc>
          <w:tcPr>
            <w:tcW w:w="2409" w:type="dxa"/>
            <w:noWrap w:val="0"/>
            <w:vAlign w:val="center"/>
          </w:tcPr>
          <w:p w14:paraId="3384D917">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高危随访状态标识</w:t>
            </w:r>
          </w:p>
        </w:tc>
        <w:tc>
          <w:tcPr>
            <w:tcW w:w="4962" w:type="dxa"/>
            <w:noWrap w:val="0"/>
            <w:vAlign w:val="center"/>
          </w:tcPr>
          <w:p w14:paraId="32EB5E51">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支持对随访任务进行逾期、近一周待随访标记、按条件检索等功能。</w:t>
            </w:r>
          </w:p>
        </w:tc>
      </w:tr>
      <w:tr w14:paraId="362EB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3BBC79C2">
            <w:pPr>
              <w:widowControl/>
              <w:spacing w:beforeLines="0"/>
              <w:jc w:val="left"/>
              <w:rPr>
                <w:rFonts w:ascii="宋体" w:hAnsi="宋体" w:cs="宋体"/>
                <w:color w:val="auto"/>
                <w:kern w:val="0"/>
                <w:sz w:val="22"/>
                <w:szCs w:val="22"/>
                <w:highlight w:val="none"/>
              </w:rPr>
            </w:pPr>
          </w:p>
        </w:tc>
        <w:tc>
          <w:tcPr>
            <w:tcW w:w="2409" w:type="dxa"/>
            <w:noWrap w:val="0"/>
            <w:vAlign w:val="center"/>
          </w:tcPr>
          <w:p w14:paraId="6A6AF9E6">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高危随访记录列表</w:t>
            </w:r>
          </w:p>
        </w:tc>
        <w:tc>
          <w:tcPr>
            <w:tcW w:w="4962" w:type="dxa"/>
            <w:noWrap w:val="0"/>
            <w:vAlign w:val="center"/>
          </w:tcPr>
          <w:p w14:paraId="13508414">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支持血脂异常高危随访记录展示、按条件检索的功能。</w:t>
            </w:r>
          </w:p>
        </w:tc>
      </w:tr>
      <w:tr w14:paraId="13C24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1FB5ABD4">
            <w:pPr>
              <w:widowControl/>
              <w:spacing w:beforeLines="0"/>
              <w:jc w:val="left"/>
              <w:rPr>
                <w:rFonts w:ascii="宋体" w:hAnsi="宋体" w:cs="宋体"/>
                <w:color w:val="auto"/>
                <w:kern w:val="0"/>
                <w:sz w:val="22"/>
                <w:szCs w:val="22"/>
                <w:highlight w:val="none"/>
              </w:rPr>
            </w:pPr>
          </w:p>
        </w:tc>
        <w:tc>
          <w:tcPr>
            <w:tcW w:w="2409" w:type="dxa"/>
            <w:noWrap w:val="0"/>
            <w:vAlign w:val="center"/>
          </w:tcPr>
          <w:p w14:paraId="03B877AB">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高危随访记录详情</w:t>
            </w:r>
          </w:p>
        </w:tc>
        <w:tc>
          <w:tcPr>
            <w:tcW w:w="4962" w:type="dxa"/>
            <w:noWrap w:val="0"/>
            <w:vAlign w:val="center"/>
          </w:tcPr>
          <w:p w14:paraId="17D61126">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sz w:val="24"/>
                <w:szCs w:val="24"/>
                <w:highlight w:val="none"/>
              </w:rPr>
              <w:t>▲</w:t>
            </w:r>
            <w:r>
              <w:rPr>
                <w:rFonts w:hint="eastAsia" w:ascii="宋体" w:hAnsi="宋体" w:cs="宋体"/>
                <w:color w:val="auto"/>
                <w:kern w:val="0"/>
                <w:sz w:val="22"/>
                <w:szCs w:val="22"/>
                <w:highlight w:val="none"/>
              </w:rPr>
              <w:t>支持血脂异常高危人群随访管理内容展示、二次编辑等功能。</w:t>
            </w:r>
          </w:p>
        </w:tc>
      </w:tr>
      <w:tr w14:paraId="1B46A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43747AEC">
            <w:pPr>
              <w:widowControl/>
              <w:spacing w:beforeLines="0"/>
              <w:jc w:val="left"/>
              <w:rPr>
                <w:rFonts w:ascii="宋体" w:hAnsi="宋体" w:cs="宋体"/>
                <w:color w:val="auto"/>
                <w:kern w:val="0"/>
                <w:sz w:val="22"/>
                <w:szCs w:val="22"/>
                <w:highlight w:val="none"/>
              </w:rPr>
            </w:pPr>
          </w:p>
        </w:tc>
        <w:tc>
          <w:tcPr>
            <w:tcW w:w="2409" w:type="dxa"/>
            <w:noWrap w:val="0"/>
            <w:vAlign w:val="center"/>
          </w:tcPr>
          <w:p w14:paraId="2255FC42">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高危随访记录备份</w:t>
            </w:r>
          </w:p>
        </w:tc>
        <w:tc>
          <w:tcPr>
            <w:tcW w:w="4962" w:type="dxa"/>
            <w:noWrap w:val="0"/>
            <w:vAlign w:val="center"/>
          </w:tcPr>
          <w:p w14:paraId="3E7F6628">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支持自定义备份字段、批量备份居民血脂异常高危人群随访记录等功能。</w:t>
            </w:r>
          </w:p>
        </w:tc>
      </w:tr>
      <w:tr w14:paraId="52CE5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118493F7">
            <w:pPr>
              <w:widowControl/>
              <w:spacing w:beforeLines="0"/>
              <w:jc w:val="left"/>
              <w:rPr>
                <w:rFonts w:ascii="宋体" w:hAnsi="宋体" w:cs="宋体"/>
                <w:color w:val="auto"/>
                <w:kern w:val="0"/>
                <w:sz w:val="22"/>
                <w:szCs w:val="22"/>
                <w:highlight w:val="none"/>
              </w:rPr>
            </w:pPr>
          </w:p>
        </w:tc>
        <w:tc>
          <w:tcPr>
            <w:tcW w:w="2409" w:type="dxa"/>
            <w:noWrap w:val="0"/>
            <w:vAlign w:val="center"/>
          </w:tcPr>
          <w:p w14:paraId="1C54FFD8">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异常线索筛查</w:t>
            </w:r>
          </w:p>
        </w:tc>
        <w:tc>
          <w:tcPr>
            <w:tcW w:w="4962" w:type="dxa"/>
            <w:noWrap w:val="0"/>
            <w:vAlign w:val="center"/>
          </w:tcPr>
          <w:p w14:paraId="5680E344">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支持筛查血脂数据、生成异常线索等功能。</w:t>
            </w:r>
          </w:p>
        </w:tc>
      </w:tr>
      <w:tr w14:paraId="213D2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7A5710BD">
            <w:pPr>
              <w:widowControl/>
              <w:spacing w:beforeLines="0"/>
              <w:jc w:val="left"/>
              <w:rPr>
                <w:rFonts w:ascii="宋体" w:hAnsi="宋体" w:cs="宋体"/>
                <w:color w:val="auto"/>
                <w:kern w:val="0"/>
                <w:sz w:val="22"/>
                <w:szCs w:val="22"/>
                <w:highlight w:val="none"/>
              </w:rPr>
            </w:pPr>
          </w:p>
        </w:tc>
        <w:tc>
          <w:tcPr>
            <w:tcW w:w="2409" w:type="dxa"/>
            <w:noWrap w:val="0"/>
            <w:vAlign w:val="center"/>
          </w:tcPr>
          <w:p w14:paraId="1F82D063">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异常线索列表</w:t>
            </w:r>
          </w:p>
        </w:tc>
        <w:tc>
          <w:tcPr>
            <w:tcW w:w="4962" w:type="dxa"/>
            <w:noWrap w:val="0"/>
            <w:vAlign w:val="center"/>
          </w:tcPr>
          <w:p w14:paraId="054789B3">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支持异常线索列表展示、按条件检索功能。</w:t>
            </w:r>
          </w:p>
        </w:tc>
      </w:tr>
      <w:tr w14:paraId="7146F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20676260">
            <w:pPr>
              <w:widowControl/>
              <w:spacing w:beforeLines="0"/>
              <w:jc w:val="left"/>
              <w:rPr>
                <w:rFonts w:ascii="宋体" w:hAnsi="宋体" w:cs="宋体"/>
                <w:color w:val="auto"/>
                <w:kern w:val="0"/>
                <w:sz w:val="22"/>
                <w:szCs w:val="22"/>
                <w:highlight w:val="none"/>
              </w:rPr>
            </w:pPr>
          </w:p>
        </w:tc>
        <w:tc>
          <w:tcPr>
            <w:tcW w:w="2409" w:type="dxa"/>
            <w:noWrap w:val="0"/>
            <w:vAlign w:val="center"/>
          </w:tcPr>
          <w:p w14:paraId="48CAC032">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异常线索详情</w:t>
            </w:r>
          </w:p>
        </w:tc>
        <w:tc>
          <w:tcPr>
            <w:tcW w:w="4962" w:type="dxa"/>
            <w:noWrap w:val="0"/>
            <w:vAlign w:val="center"/>
          </w:tcPr>
          <w:p w14:paraId="41DA8C8D">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支持异常线索详情展示、按条件检索功能。</w:t>
            </w:r>
          </w:p>
        </w:tc>
      </w:tr>
      <w:tr w14:paraId="6117E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24769568">
            <w:pPr>
              <w:widowControl/>
              <w:spacing w:beforeLines="0"/>
              <w:jc w:val="left"/>
              <w:rPr>
                <w:rFonts w:ascii="宋体" w:hAnsi="宋体" w:cs="宋体"/>
                <w:color w:val="auto"/>
                <w:kern w:val="0"/>
                <w:sz w:val="22"/>
                <w:szCs w:val="22"/>
                <w:highlight w:val="none"/>
              </w:rPr>
            </w:pPr>
          </w:p>
        </w:tc>
        <w:tc>
          <w:tcPr>
            <w:tcW w:w="2409" w:type="dxa"/>
            <w:noWrap w:val="0"/>
            <w:vAlign w:val="center"/>
          </w:tcPr>
          <w:p w14:paraId="10C02CD6">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异常者分级评估</w:t>
            </w:r>
          </w:p>
        </w:tc>
        <w:tc>
          <w:tcPr>
            <w:tcW w:w="4962" w:type="dxa"/>
            <w:noWrap w:val="0"/>
            <w:vAlign w:val="center"/>
          </w:tcPr>
          <w:p w14:paraId="45B33FDD">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支持心血管病危险分层、生成管理级别功能。</w:t>
            </w:r>
          </w:p>
        </w:tc>
      </w:tr>
      <w:tr w14:paraId="76207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42C809A5">
            <w:pPr>
              <w:widowControl/>
              <w:spacing w:beforeLines="0"/>
              <w:jc w:val="left"/>
              <w:rPr>
                <w:rFonts w:ascii="宋体" w:hAnsi="宋体" w:cs="宋体"/>
                <w:color w:val="auto"/>
                <w:kern w:val="0"/>
                <w:sz w:val="22"/>
                <w:szCs w:val="22"/>
                <w:highlight w:val="none"/>
              </w:rPr>
            </w:pPr>
          </w:p>
        </w:tc>
        <w:tc>
          <w:tcPr>
            <w:tcW w:w="2409" w:type="dxa"/>
            <w:noWrap w:val="0"/>
            <w:vAlign w:val="center"/>
          </w:tcPr>
          <w:p w14:paraId="1D147FA4">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异常者专项建档</w:t>
            </w:r>
          </w:p>
        </w:tc>
        <w:tc>
          <w:tcPr>
            <w:tcW w:w="4962" w:type="dxa"/>
            <w:noWrap w:val="0"/>
            <w:vAlign w:val="center"/>
          </w:tcPr>
          <w:p w14:paraId="35308D32">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支持异常者专项档案登记，预填入建档时心血管病危险分层、建档时管理级别等功能。</w:t>
            </w:r>
          </w:p>
        </w:tc>
      </w:tr>
      <w:tr w14:paraId="36D7E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3F310A49">
            <w:pPr>
              <w:widowControl/>
              <w:spacing w:beforeLines="0"/>
              <w:jc w:val="left"/>
              <w:rPr>
                <w:rFonts w:ascii="宋体" w:hAnsi="宋体" w:cs="宋体"/>
                <w:color w:val="auto"/>
                <w:kern w:val="0"/>
                <w:sz w:val="22"/>
                <w:szCs w:val="22"/>
                <w:highlight w:val="none"/>
              </w:rPr>
            </w:pPr>
          </w:p>
        </w:tc>
        <w:tc>
          <w:tcPr>
            <w:tcW w:w="2409" w:type="dxa"/>
            <w:noWrap w:val="0"/>
            <w:vAlign w:val="center"/>
          </w:tcPr>
          <w:p w14:paraId="78A008C5">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异常者列表</w:t>
            </w:r>
          </w:p>
        </w:tc>
        <w:tc>
          <w:tcPr>
            <w:tcW w:w="4962" w:type="dxa"/>
            <w:noWrap w:val="0"/>
            <w:vAlign w:val="center"/>
          </w:tcPr>
          <w:p w14:paraId="3D96B6A6">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支持血脂异常者列表展示、按条件检索等功能。</w:t>
            </w:r>
          </w:p>
        </w:tc>
      </w:tr>
      <w:tr w14:paraId="07BFD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39BEDA2A">
            <w:pPr>
              <w:widowControl/>
              <w:spacing w:beforeLines="0"/>
              <w:jc w:val="left"/>
              <w:rPr>
                <w:rFonts w:ascii="宋体" w:hAnsi="宋体" w:cs="宋体"/>
                <w:color w:val="auto"/>
                <w:kern w:val="0"/>
                <w:sz w:val="22"/>
                <w:szCs w:val="22"/>
                <w:highlight w:val="none"/>
              </w:rPr>
            </w:pPr>
          </w:p>
        </w:tc>
        <w:tc>
          <w:tcPr>
            <w:tcW w:w="2409" w:type="dxa"/>
            <w:noWrap w:val="0"/>
            <w:vAlign w:val="center"/>
          </w:tcPr>
          <w:p w14:paraId="6C66EB98">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异常者档案管理</w:t>
            </w:r>
          </w:p>
        </w:tc>
        <w:tc>
          <w:tcPr>
            <w:tcW w:w="4962" w:type="dxa"/>
            <w:noWrap w:val="0"/>
            <w:vAlign w:val="center"/>
          </w:tcPr>
          <w:p w14:paraId="30FC3CE7">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支持血脂异常者专项档案内容展示、二次编辑等功能。</w:t>
            </w:r>
          </w:p>
        </w:tc>
      </w:tr>
      <w:tr w14:paraId="2BE2C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4A26C9FB">
            <w:pPr>
              <w:widowControl/>
              <w:spacing w:beforeLines="0"/>
              <w:jc w:val="left"/>
              <w:rPr>
                <w:rFonts w:ascii="宋体" w:hAnsi="宋体" w:cs="宋体"/>
                <w:color w:val="auto"/>
                <w:kern w:val="0"/>
                <w:sz w:val="22"/>
                <w:szCs w:val="22"/>
                <w:highlight w:val="none"/>
              </w:rPr>
            </w:pPr>
          </w:p>
        </w:tc>
        <w:tc>
          <w:tcPr>
            <w:tcW w:w="2409" w:type="dxa"/>
            <w:noWrap w:val="0"/>
            <w:vAlign w:val="center"/>
          </w:tcPr>
          <w:p w14:paraId="57D60DE3">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异常者档案备份</w:t>
            </w:r>
          </w:p>
        </w:tc>
        <w:tc>
          <w:tcPr>
            <w:tcW w:w="4962" w:type="dxa"/>
            <w:noWrap w:val="0"/>
            <w:vAlign w:val="center"/>
          </w:tcPr>
          <w:p w14:paraId="2FAB0193">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支持自定义备份字段、批量备份居民血脂异常者专项档案登记表内容等功能。</w:t>
            </w:r>
          </w:p>
        </w:tc>
      </w:tr>
      <w:tr w14:paraId="41BAD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37E015A8">
            <w:pPr>
              <w:widowControl/>
              <w:spacing w:beforeLines="0"/>
              <w:jc w:val="left"/>
              <w:rPr>
                <w:rFonts w:ascii="宋体" w:hAnsi="宋体" w:cs="宋体"/>
                <w:color w:val="auto"/>
                <w:kern w:val="0"/>
                <w:sz w:val="22"/>
                <w:szCs w:val="22"/>
                <w:highlight w:val="none"/>
              </w:rPr>
            </w:pPr>
          </w:p>
        </w:tc>
        <w:tc>
          <w:tcPr>
            <w:tcW w:w="2409" w:type="dxa"/>
            <w:noWrap w:val="0"/>
            <w:vAlign w:val="center"/>
          </w:tcPr>
          <w:p w14:paraId="1075D725">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异常者随访</w:t>
            </w:r>
          </w:p>
        </w:tc>
        <w:tc>
          <w:tcPr>
            <w:tcW w:w="4962" w:type="dxa"/>
            <w:noWrap w:val="0"/>
            <w:vAlign w:val="center"/>
          </w:tcPr>
          <w:p w14:paraId="00D3ADD2">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支持直接选择血脂异常者进行血脂异常者随访管理功能。</w:t>
            </w:r>
          </w:p>
        </w:tc>
      </w:tr>
      <w:tr w14:paraId="6F465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73E368F2">
            <w:pPr>
              <w:widowControl/>
              <w:spacing w:beforeLines="0"/>
              <w:jc w:val="left"/>
              <w:rPr>
                <w:rFonts w:ascii="宋体" w:hAnsi="宋体" w:cs="宋体"/>
                <w:color w:val="auto"/>
                <w:kern w:val="0"/>
                <w:sz w:val="22"/>
                <w:szCs w:val="22"/>
                <w:highlight w:val="none"/>
              </w:rPr>
            </w:pPr>
          </w:p>
        </w:tc>
        <w:tc>
          <w:tcPr>
            <w:tcW w:w="2409" w:type="dxa"/>
            <w:noWrap w:val="0"/>
            <w:vAlign w:val="center"/>
          </w:tcPr>
          <w:p w14:paraId="1D543B03">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异常者评估</w:t>
            </w:r>
          </w:p>
        </w:tc>
        <w:tc>
          <w:tcPr>
            <w:tcW w:w="4962" w:type="dxa"/>
            <w:noWrap w:val="0"/>
            <w:vAlign w:val="center"/>
          </w:tcPr>
          <w:p w14:paraId="0C891844">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支持直接选择血脂异常者进行心血管病危险分层、管理级别的评估的功能。</w:t>
            </w:r>
          </w:p>
        </w:tc>
      </w:tr>
      <w:tr w14:paraId="3DDE1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7BA209A6">
            <w:pPr>
              <w:widowControl/>
              <w:spacing w:beforeLines="0"/>
              <w:jc w:val="left"/>
              <w:rPr>
                <w:rFonts w:ascii="宋体" w:hAnsi="宋体" w:cs="宋体"/>
                <w:color w:val="auto"/>
                <w:kern w:val="0"/>
                <w:sz w:val="22"/>
                <w:szCs w:val="22"/>
                <w:highlight w:val="none"/>
              </w:rPr>
            </w:pPr>
          </w:p>
        </w:tc>
        <w:tc>
          <w:tcPr>
            <w:tcW w:w="2409" w:type="dxa"/>
            <w:noWrap w:val="0"/>
            <w:vAlign w:val="center"/>
          </w:tcPr>
          <w:p w14:paraId="3A1ABE6C">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异常者新增</w:t>
            </w:r>
          </w:p>
        </w:tc>
        <w:tc>
          <w:tcPr>
            <w:tcW w:w="4962" w:type="dxa"/>
            <w:noWrap w:val="0"/>
            <w:vAlign w:val="center"/>
          </w:tcPr>
          <w:p w14:paraId="529A0290">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支持直接选择血脂异常者进行心血管病危险分层、管理级别的评估的功能。</w:t>
            </w:r>
          </w:p>
        </w:tc>
      </w:tr>
      <w:tr w14:paraId="21F9F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3E1438B1">
            <w:pPr>
              <w:widowControl/>
              <w:spacing w:beforeLines="0"/>
              <w:jc w:val="left"/>
              <w:rPr>
                <w:rFonts w:ascii="宋体" w:hAnsi="宋体" w:cs="宋体"/>
                <w:color w:val="auto"/>
                <w:kern w:val="0"/>
                <w:sz w:val="22"/>
                <w:szCs w:val="22"/>
                <w:highlight w:val="none"/>
              </w:rPr>
            </w:pPr>
          </w:p>
        </w:tc>
        <w:tc>
          <w:tcPr>
            <w:tcW w:w="2409" w:type="dxa"/>
            <w:noWrap w:val="0"/>
            <w:vAlign w:val="center"/>
          </w:tcPr>
          <w:p w14:paraId="00170795">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异常者随访任务列表</w:t>
            </w:r>
          </w:p>
        </w:tc>
        <w:tc>
          <w:tcPr>
            <w:tcW w:w="4962" w:type="dxa"/>
            <w:noWrap w:val="0"/>
            <w:vAlign w:val="center"/>
          </w:tcPr>
          <w:p w14:paraId="05950061">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支持血脂异常者随访任务展示、支持按条件检索功能。</w:t>
            </w:r>
          </w:p>
        </w:tc>
      </w:tr>
      <w:tr w14:paraId="2D74F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0A84D51B">
            <w:pPr>
              <w:widowControl/>
              <w:spacing w:beforeLines="0"/>
              <w:jc w:val="left"/>
              <w:rPr>
                <w:rFonts w:ascii="宋体" w:hAnsi="宋体" w:cs="宋体"/>
                <w:color w:val="auto"/>
                <w:kern w:val="0"/>
                <w:sz w:val="22"/>
                <w:szCs w:val="22"/>
                <w:highlight w:val="none"/>
              </w:rPr>
            </w:pPr>
          </w:p>
        </w:tc>
        <w:tc>
          <w:tcPr>
            <w:tcW w:w="2409" w:type="dxa"/>
            <w:noWrap w:val="0"/>
            <w:vAlign w:val="center"/>
          </w:tcPr>
          <w:p w14:paraId="7152A370">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异常者随访任务处理</w:t>
            </w:r>
          </w:p>
        </w:tc>
        <w:tc>
          <w:tcPr>
            <w:tcW w:w="4962" w:type="dxa"/>
            <w:noWrap w:val="0"/>
            <w:vAlign w:val="center"/>
          </w:tcPr>
          <w:p w14:paraId="3C1363A3">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支持对居民进行血脂异常者随访任务处理功能。</w:t>
            </w:r>
          </w:p>
        </w:tc>
      </w:tr>
      <w:tr w14:paraId="197FD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2F60DA0D">
            <w:pPr>
              <w:widowControl/>
              <w:spacing w:beforeLines="0"/>
              <w:jc w:val="left"/>
              <w:rPr>
                <w:rFonts w:ascii="宋体" w:hAnsi="宋体" w:cs="宋体"/>
                <w:color w:val="auto"/>
                <w:kern w:val="0"/>
                <w:sz w:val="22"/>
                <w:szCs w:val="22"/>
                <w:highlight w:val="none"/>
              </w:rPr>
            </w:pPr>
          </w:p>
        </w:tc>
        <w:tc>
          <w:tcPr>
            <w:tcW w:w="2409" w:type="dxa"/>
            <w:noWrap w:val="0"/>
            <w:vAlign w:val="center"/>
          </w:tcPr>
          <w:p w14:paraId="20F193BD">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异常者随访状态标识</w:t>
            </w:r>
          </w:p>
        </w:tc>
        <w:tc>
          <w:tcPr>
            <w:tcW w:w="4962" w:type="dxa"/>
            <w:noWrap w:val="0"/>
            <w:vAlign w:val="center"/>
          </w:tcPr>
          <w:p w14:paraId="4AD1F601">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支持对血脂异常者随访任务进行逾期、近一周待随访标记、支持条件检索等功能。</w:t>
            </w:r>
          </w:p>
        </w:tc>
      </w:tr>
      <w:tr w14:paraId="74BB5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1220FA5B">
            <w:pPr>
              <w:widowControl/>
              <w:spacing w:beforeLines="0"/>
              <w:jc w:val="left"/>
              <w:rPr>
                <w:rFonts w:ascii="宋体" w:hAnsi="宋体" w:cs="宋体"/>
                <w:color w:val="auto"/>
                <w:kern w:val="0"/>
                <w:sz w:val="22"/>
                <w:szCs w:val="22"/>
                <w:highlight w:val="none"/>
              </w:rPr>
            </w:pPr>
          </w:p>
        </w:tc>
        <w:tc>
          <w:tcPr>
            <w:tcW w:w="2409" w:type="dxa"/>
            <w:noWrap w:val="0"/>
            <w:vAlign w:val="center"/>
          </w:tcPr>
          <w:p w14:paraId="750E7F90">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异常者回访任务列表</w:t>
            </w:r>
          </w:p>
        </w:tc>
        <w:tc>
          <w:tcPr>
            <w:tcW w:w="4962" w:type="dxa"/>
            <w:noWrap w:val="0"/>
            <w:vAlign w:val="center"/>
          </w:tcPr>
          <w:p w14:paraId="1A2776B5">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支持转诊人员回访任务展示、支持按条件检索功能。</w:t>
            </w:r>
          </w:p>
        </w:tc>
      </w:tr>
      <w:tr w14:paraId="5A58B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3D3C20D5">
            <w:pPr>
              <w:widowControl/>
              <w:spacing w:beforeLines="0"/>
              <w:jc w:val="left"/>
              <w:rPr>
                <w:rFonts w:ascii="宋体" w:hAnsi="宋体" w:cs="宋体"/>
                <w:color w:val="auto"/>
                <w:kern w:val="0"/>
                <w:sz w:val="22"/>
                <w:szCs w:val="22"/>
                <w:highlight w:val="none"/>
              </w:rPr>
            </w:pPr>
          </w:p>
        </w:tc>
        <w:tc>
          <w:tcPr>
            <w:tcW w:w="2409" w:type="dxa"/>
            <w:noWrap w:val="0"/>
            <w:vAlign w:val="center"/>
          </w:tcPr>
          <w:p w14:paraId="0CCEF3F7">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异常者回访任务处理</w:t>
            </w:r>
          </w:p>
        </w:tc>
        <w:tc>
          <w:tcPr>
            <w:tcW w:w="4962" w:type="dxa"/>
            <w:noWrap w:val="0"/>
            <w:vAlign w:val="center"/>
          </w:tcPr>
          <w:p w14:paraId="41DFCC7F">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支持对转诊人员进行回访的功能。</w:t>
            </w:r>
          </w:p>
        </w:tc>
      </w:tr>
      <w:tr w14:paraId="033F0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0F8B1E60">
            <w:pPr>
              <w:widowControl/>
              <w:spacing w:beforeLines="0"/>
              <w:jc w:val="left"/>
              <w:rPr>
                <w:rFonts w:ascii="宋体" w:hAnsi="宋体" w:cs="宋体"/>
                <w:color w:val="auto"/>
                <w:kern w:val="0"/>
                <w:sz w:val="22"/>
                <w:szCs w:val="22"/>
                <w:highlight w:val="none"/>
              </w:rPr>
            </w:pPr>
          </w:p>
        </w:tc>
        <w:tc>
          <w:tcPr>
            <w:tcW w:w="2409" w:type="dxa"/>
            <w:noWrap w:val="0"/>
            <w:vAlign w:val="center"/>
          </w:tcPr>
          <w:p w14:paraId="33094BD8">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异常者随访记录列表</w:t>
            </w:r>
          </w:p>
        </w:tc>
        <w:tc>
          <w:tcPr>
            <w:tcW w:w="4962" w:type="dxa"/>
            <w:noWrap w:val="0"/>
            <w:vAlign w:val="center"/>
          </w:tcPr>
          <w:p w14:paraId="3362297F">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支持血脂异常者随访记录展示、支持按条件检索等功能。</w:t>
            </w:r>
          </w:p>
        </w:tc>
      </w:tr>
      <w:tr w14:paraId="488E3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0937F399">
            <w:pPr>
              <w:widowControl/>
              <w:spacing w:beforeLines="0"/>
              <w:jc w:val="left"/>
              <w:rPr>
                <w:rFonts w:ascii="宋体" w:hAnsi="宋体" w:cs="宋体"/>
                <w:color w:val="auto"/>
                <w:kern w:val="0"/>
                <w:sz w:val="22"/>
                <w:szCs w:val="22"/>
                <w:highlight w:val="none"/>
              </w:rPr>
            </w:pPr>
          </w:p>
        </w:tc>
        <w:tc>
          <w:tcPr>
            <w:tcW w:w="2409" w:type="dxa"/>
            <w:noWrap w:val="0"/>
            <w:vAlign w:val="center"/>
          </w:tcPr>
          <w:p w14:paraId="17016FAB">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异常者随访记录详情</w:t>
            </w:r>
          </w:p>
        </w:tc>
        <w:tc>
          <w:tcPr>
            <w:tcW w:w="4962" w:type="dxa"/>
            <w:noWrap w:val="0"/>
            <w:vAlign w:val="center"/>
          </w:tcPr>
          <w:p w14:paraId="26E498B1">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支持血脂异常者随访管理表详细内容展示、二次编辑等功能。</w:t>
            </w:r>
          </w:p>
        </w:tc>
      </w:tr>
      <w:tr w14:paraId="5D3B4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051B79CA">
            <w:pPr>
              <w:widowControl/>
              <w:spacing w:beforeLines="0"/>
              <w:jc w:val="left"/>
              <w:rPr>
                <w:rFonts w:ascii="宋体" w:hAnsi="宋体" w:cs="宋体"/>
                <w:color w:val="auto"/>
                <w:kern w:val="0"/>
                <w:sz w:val="22"/>
                <w:szCs w:val="22"/>
                <w:highlight w:val="none"/>
              </w:rPr>
            </w:pPr>
          </w:p>
        </w:tc>
        <w:tc>
          <w:tcPr>
            <w:tcW w:w="2409" w:type="dxa"/>
            <w:noWrap w:val="0"/>
            <w:vAlign w:val="center"/>
          </w:tcPr>
          <w:p w14:paraId="73739E6C">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异常者随访记录备份</w:t>
            </w:r>
          </w:p>
        </w:tc>
        <w:tc>
          <w:tcPr>
            <w:tcW w:w="4962" w:type="dxa"/>
            <w:noWrap w:val="0"/>
            <w:vAlign w:val="center"/>
          </w:tcPr>
          <w:p w14:paraId="17DDBDBB">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支持用户自定义备份字段、批量导出居民血脂异常者随访管理表内容等功能。</w:t>
            </w:r>
          </w:p>
        </w:tc>
      </w:tr>
      <w:tr w14:paraId="5DBD5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21C5AB96">
            <w:pPr>
              <w:widowControl/>
              <w:spacing w:beforeLines="0"/>
              <w:jc w:val="left"/>
              <w:rPr>
                <w:rFonts w:ascii="宋体" w:hAnsi="宋体" w:cs="宋体"/>
                <w:color w:val="auto"/>
                <w:kern w:val="0"/>
                <w:sz w:val="22"/>
                <w:szCs w:val="22"/>
                <w:highlight w:val="none"/>
              </w:rPr>
            </w:pPr>
          </w:p>
        </w:tc>
        <w:tc>
          <w:tcPr>
            <w:tcW w:w="2409" w:type="dxa"/>
            <w:noWrap w:val="0"/>
            <w:vAlign w:val="center"/>
          </w:tcPr>
          <w:p w14:paraId="5ECCC6D6">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评估任务列表</w:t>
            </w:r>
          </w:p>
        </w:tc>
        <w:tc>
          <w:tcPr>
            <w:tcW w:w="4962" w:type="dxa"/>
            <w:noWrap w:val="0"/>
            <w:vAlign w:val="center"/>
          </w:tcPr>
          <w:p w14:paraId="70BEA3D9">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支持批量对血脂异常者生成年度评估任务和展示、支持按条件检索等功能。</w:t>
            </w:r>
          </w:p>
        </w:tc>
      </w:tr>
      <w:tr w14:paraId="579E7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70B4E094">
            <w:pPr>
              <w:widowControl/>
              <w:spacing w:beforeLines="0"/>
              <w:jc w:val="left"/>
              <w:rPr>
                <w:rFonts w:ascii="宋体" w:hAnsi="宋体" w:cs="宋体"/>
                <w:color w:val="auto"/>
                <w:kern w:val="0"/>
                <w:sz w:val="22"/>
                <w:szCs w:val="22"/>
                <w:highlight w:val="none"/>
              </w:rPr>
            </w:pPr>
          </w:p>
        </w:tc>
        <w:tc>
          <w:tcPr>
            <w:tcW w:w="2409" w:type="dxa"/>
            <w:noWrap w:val="0"/>
            <w:vAlign w:val="center"/>
          </w:tcPr>
          <w:p w14:paraId="294DE083">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ASCVD风险评估</w:t>
            </w:r>
          </w:p>
        </w:tc>
        <w:tc>
          <w:tcPr>
            <w:tcW w:w="4962" w:type="dxa"/>
            <w:noWrap w:val="0"/>
            <w:vAlign w:val="center"/>
          </w:tcPr>
          <w:p w14:paraId="775E63AE">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支持自动进行ASCVD心血管风险评估、智能计算评估结果、按需调整重新生成评估结果等功能。</w:t>
            </w:r>
          </w:p>
        </w:tc>
      </w:tr>
      <w:tr w14:paraId="60DF8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34F73D92">
            <w:pPr>
              <w:widowControl/>
              <w:spacing w:beforeLines="0"/>
              <w:jc w:val="left"/>
              <w:rPr>
                <w:rFonts w:ascii="宋体" w:hAnsi="宋体" w:cs="宋体"/>
                <w:color w:val="auto"/>
                <w:kern w:val="0"/>
                <w:sz w:val="22"/>
                <w:szCs w:val="22"/>
                <w:highlight w:val="none"/>
              </w:rPr>
            </w:pPr>
          </w:p>
        </w:tc>
        <w:tc>
          <w:tcPr>
            <w:tcW w:w="2409" w:type="dxa"/>
            <w:noWrap w:val="0"/>
            <w:vAlign w:val="center"/>
          </w:tcPr>
          <w:p w14:paraId="11DE797E">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评估记录列表</w:t>
            </w:r>
          </w:p>
        </w:tc>
        <w:tc>
          <w:tcPr>
            <w:tcW w:w="4962" w:type="dxa"/>
            <w:noWrap w:val="0"/>
            <w:vAlign w:val="center"/>
          </w:tcPr>
          <w:p w14:paraId="331F9F49">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支持血脂评估记录展示、支持按条件检索等功能。</w:t>
            </w:r>
          </w:p>
        </w:tc>
      </w:tr>
      <w:tr w14:paraId="1264F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47FF667F">
            <w:pPr>
              <w:widowControl/>
              <w:spacing w:beforeLines="0"/>
              <w:jc w:val="left"/>
              <w:rPr>
                <w:rFonts w:ascii="宋体" w:hAnsi="宋体" w:cs="宋体"/>
                <w:color w:val="auto"/>
                <w:kern w:val="0"/>
                <w:sz w:val="22"/>
                <w:szCs w:val="22"/>
                <w:highlight w:val="none"/>
              </w:rPr>
            </w:pPr>
          </w:p>
        </w:tc>
        <w:tc>
          <w:tcPr>
            <w:tcW w:w="2409" w:type="dxa"/>
            <w:noWrap w:val="0"/>
            <w:vAlign w:val="center"/>
          </w:tcPr>
          <w:p w14:paraId="332D5797">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评估记录详情</w:t>
            </w:r>
          </w:p>
        </w:tc>
        <w:tc>
          <w:tcPr>
            <w:tcW w:w="4962" w:type="dxa"/>
            <w:noWrap w:val="0"/>
            <w:vAlign w:val="center"/>
          </w:tcPr>
          <w:p w14:paraId="7001923C">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支持血脂评估表单详细内容展示的功能。</w:t>
            </w:r>
          </w:p>
        </w:tc>
      </w:tr>
      <w:tr w14:paraId="4F7ED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487B8089">
            <w:pPr>
              <w:widowControl/>
              <w:spacing w:beforeLines="0"/>
              <w:jc w:val="left"/>
              <w:rPr>
                <w:rFonts w:ascii="宋体" w:hAnsi="宋体" w:cs="宋体"/>
                <w:color w:val="auto"/>
                <w:kern w:val="0"/>
                <w:sz w:val="22"/>
                <w:szCs w:val="22"/>
                <w:highlight w:val="none"/>
              </w:rPr>
            </w:pPr>
          </w:p>
        </w:tc>
        <w:tc>
          <w:tcPr>
            <w:tcW w:w="2409" w:type="dxa"/>
            <w:noWrap w:val="0"/>
            <w:vAlign w:val="center"/>
          </w:tcPr>
          <w:p w14:paraId="54130BFC">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新增血脂评估</w:t>
            </w:r>
          </w:p>
        </w:tc>
        <w:tc>
          <w:tcPr>
            <w:tcW w:w="4962" w:type="dxa"/>
            <w:noWrap w:val="0"/>
            <w:vAlign w:val="center"/>
          </w:tcPr>
          <w:p w14:paraId="6B5D4CC6">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支持手动选择血脂异常者进行血脂评估的功能。</w:t>
            </w:r>
          </w:p>
        </w:tc>
      </w:tr>
      <w:tr w14:paraId="5AF2F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01318ECE">
            <w:pPr>
              <w:widowControl/>
              <w:spacing w:beforeLines="0"/>
              <w:jc w:val="left"/>
              <w:rPr>
                <w:rFonts w:ascii="宋体" w:hAnsi="宋体" w:cs="宋体"/>
                <w:color w:val="auto"/>
                <w:kern w:val="0"/>
                <w:sz w:val="22"/>
                <w:szCs w:val="22"/>
                <w:highlight w:val="none"/>
              </w:rPr>
            </w:pPr>
          </w:p>
        </w:tc>
        <w:tc>
          <w:tcPr>
            <w:tcW w:w="2409" w:type="dxa"/>
            <w:noWrap w:val="0"/>
            <w:vAlign w:val="center"/>
          </w:tcPr>
          <w:p w14:paraId="33538BB5">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画像总览</w:t>
            </w:r>
          </w:p>
        </w:tc>
        <w:tc>
          <w:tcPr>
            <w:tcW w:w="4962" w:type="dxa"/>
            <w:noWrap w:val="0"/>
            <w:vAlign w:val="center"/>
          </w:tcPr>
          <w:p w14:paraId="29673D98">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支持血脂相关风险标签、管理情况展示等功能。</w:t>
            </w:r>
          </w:p>
        </w:tc>
      </w:tr>
      <w:tr w14:paraId="2BFFD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3CB1C954">
            <w:pPr>
              <w:widowControl/>
              <w:spacing w:beforeLines="0"/>
              <w:jc w:val="left"/>
              <w:rPr>
                <w:rFonts w:ascii="宋体" w:hAnsi="宋体" w:cs="宋体"/>
                <w:color w:val="auto"/>
                <w:kern w:val="0"/>
                <w:sz w:val="22"/>
                <w:szCs w:val="22"/>
                <w:highlight w:val="none"/>
              </w:rPr>
            </w:pPr>
          </w:p>
        </w:tc>
        <w:tc>
          <w:tcPr>
            <w:tcW w:w="2409" w:type="dxa"/>
            <w:noWrap w:val="0"/>
            <w:vAlign w:val="center"/>
          </w:tcPr>
          <w:p w14:paraId="58A696DC">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症状体征</w:t>
            </w:r>
          </w:p>
        </w:tc>
        <w:tc>
          <w:tcPr>
            <w:tcW w:w="4962" w:type="dxa"/>
            <w:noWrap w:val="0"/>
            <w:vAlign w:val="center"/>
          </w:tcPr>
          <w:p w14:paraId="688DDD1F">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支持展示总胆固醇、甘油三酯、高密度脂蛋白胆固醇、低密度脂蛋白胆固醇四个指标趋势图、测量记录等的功能。</w:t>
            </w:r>
          </w:p>
        </w:tc>
      </w:tr>
      <w:tr w14:paraId="280F8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46A8C78E">
            <w:pPr>
              <w:widowControl/>
              <w:spacing w:beforeLines="0"/>
              <w:jc w:val="left"/>
              <w:rPr>
                <w:rFonts w:ascii="宋体" w:hAnsi="宋体" w:cs="宋体"/>
                <w:color w:val="auto"/>
                <w:kern w:val="0"/>
                <w:sz w:val="22"/>
                <w:szCs w:val="22"/>
                <w:highlight w:val="none"/>
              </w:rPr>
            </w:pPr>
          </w:p>
        </w:tc>
        <w:tc>
          <w:tcPr>
            <w:tcW w:w="2409" w:type="dxa"/>
            <w:noWrap w:val="0"/>
            <w:vAlign w:val="center"/>
          </w:tcPr>
          <w:p w14:paraId="38E2F65D">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合并症</w:t>
            </w:r>
          </w:p>
        </w:tc>
        <w:tc>
          <w:tcPr>
            <w:tcW w:w="4962" w:type="dxa"/>
            <w:noWrap w:val="0"/>
            <w:vAlign w:val="center"/>
          </w:tcPr>
          <w:p w14:paraId="50325DF0">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支持血脂相关并发症展示功能。</w:t>
            </w:r>
          </w:p>
        </w:tc>
      </w:tr>
      <w:tr w14:paraId="2F7D4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644C4D4B">
            <w:pPr>
              <w:widowControl/>
              <w:spacing w:beforeLines="0"/>
              <w:jc w:val="left"/>
              <w:rPr>
                <w:rFonts w:ascii="宋体" w:hAnsi="宋体" w:cs="宋体"/>
                <w:color w:val="auto"/>
                <w:kern w:val="0"/>
                <w:sz w:val="22"/>
                <w:szCs w:val="22"/>
                <w:highlight w:val="none"/>
              </w:rPr>
            </w:pPr>
          </w:p>
        </w:tc>
        <w:tc>
          <w:tcPr>
            <w:tcW w:w="2409" w:type="dxa"/>
            <w:noWrap w:val="0"/>
            <w:vAlign w:val="center"/>
          </w:tcPr>
          <w:p w14:paraId="7B09EDFA">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血脂监测</w:t>
            </w:r>
          </w:p>
        </w:tc>
        <w:tc>
          <w:tcPr>
            <w:tcW w:w="4962" w:type="dxa"/>
            <w:noWrap w:val="0"/>
            <w:vAlign w:val="center"/>
          </w:tcPr>
          <w:p w14:paraId="289728A4">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支持血脂相关指标控制目标设置功能。</w:t>
            </w:r>
          </w:p>
        </w:tc>
      </w:tr>
      <w:tr w14:paraId="6268A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033604E5">
            <w:pPr>
              <w:widowControl/>
              <w:spacing w:beforeLines="0"/>
              <w:jc w:val="left"/>
              <w:rPr>
                <w:rFonts w:ascii="宋体" w:hAnsi="宋体" w:cs="宋体"/>
                <w:color w:val="auto"/>
                <w:kern w:val="0"/>
                <w:sz w:val="22"/>
                <w:szCs w:val="22"/>
                <w:highlight w:val="none"/>
              </w:rPr>
            </w:pPr>
          </w:p>
        </w:tc>
        <w:tc>
          <w:tcPr>
            <w:tcW w:w="2409" w:type="dxa"/>
            <w:noWrap w:val="0"/>
            <w:vAlign w:val="center"/>
          </w:tcPr>
          <w:p w14:paraId="39C15745">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健康指导</w:t>
            </w:r>
          </w:p>
        </w:tc>
        <w:tc>
          <w:tcPr>
            <w:tcW w:w="4962" w:type="dxa"/>
            <w:noWrap w:val="0"/>
            <w:vAlign w:val="center"/>
          </w:tcPr>
          <w:p w14:paraId="373260D7">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支持开具个性化健康指导内容的功能。</w:t>
            </w:r>
          </w:p>
        </w:tc>
      </w:tr>
      <w:tr w14:paraId="5ABE1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02044A95">
            <w:pPr>
              <w:widowControl/>
              <w:spacing w:beforeLines="0"/>
              <w:jc w:val="left"/>
              <w:rPr>
                <w:rFonts w:ascii="宋体" w:hAnsi="宋体" w:cs="宋体"/>
                <w:color w:val="auto"/>
                <w:kern w:val="0"/>
                <w:sz w:val="22"/>
                <w:szCs w:val="22"/>
                <w:highlight w:val="none"/>
              </w:rPr>
            </w:pPr>
          </w:p>
        </w:tc>
        <w:tc>
          <w:tcPr>
            <w:tcW w:w="2409" w:type="dxa"/>
            <w:noWrap w:val="0"/>
            <w:vAlign w:val="center"/>
          </w:tcPr>
          <w:p w14:paraId="41DD017C">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监测计划</w:t>
            </w:r>
          </w:p>
        </w:tc>
        <w:tc>
          <w:tcPr>
            <w:tcW w:w="4962" w:type="dxa"/>
            <w:noWrap w:val="0"/>
            <w:vAlign w:val="center"/>
          </w:tcPr>
          <w:p w14:paraId="50812C7F">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支持生成定期监测计划、展示检查结果、异常标记等功能。</w:t>
            </w:r>
          </w:p>
        </w:tc>
      </w:tr>
      <w:tr w14:paraId="3F4F8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550FA338">
            <w:pPr>
              <w:widowControl/>
              <w:spacing w:beforeLines="0"/>
              <w:jc w:val="left"/>
              <w:rPr>
                <w:rFonts w:ascii="宋体" w:hAnsi="宋体" w:cs="宋体"/>
                <w:color w:val="auto"/>
                <w:kern w:val="0"/>
                <w:sz w:val="22"/>
                <w:szCs w:val="22"/>
                <w:highlight w:val="none"/>
              </w:rPr>
            </w:pPr>
          </w:p>
        </w:tc>
        <w:tc>
          <w:tcPr>
            <w:tcW w:w="2409" w:type="dxa"/>
            <w:noWrap w:val="0"/>
            <w:vAlign w:val="center"/>
          </w:tcPr>
          <w:p w14:paraId="1B6F8493">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血脂路径</w:t>
            </w:r>
          </w:p>
        </w:tc>
        <w:tc>
          <w:tcPr>
            <w:tcW w:w="4962" w:type="dxa"/>
            <w:noWrap w:val="0"/>
            <w:vAlign w:val="center"/>
          </w:tcPr>
          <w:p w14:paraId="255D5261">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支持生成血脂管理路径功能。</w:t>
            </w:r>
          </w:p>
        </w:tc>
      </w:tr>
      <w:tr w14:paraId="4ED66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77948626">
            <w:pPr>
              <w:widowControl/>
              <w:spacing w:beforeLines="0"/>
              <w:jc w:val="left"/>
              <w:rPr>
                <w:rFonts w:ascii="宋体" w:hAnsi="宋体" w:cs="宋体"/>
                <w:color w:val="auto"/>
                <w:kern w:val="0"/>
                <w:sz w:val="22"/>
                <w:szCs w:val="22"/>
                <w:highlight w:val="none"/>
              </w:rPr>
            </w:pPr>
          </w:p>
        </w:tc>
        <w:tc>
          <w:tcPr>
            <w:tcW w:w="2409" w:type="dxa"/>
            <w:noWrap w:val="0"/>
            <w:vAlign w:val="center"/>
          </w:tcPr>
          <w:p w14:paraId="6C91AE80">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统计维度</w:t>
            </w:r>
          </w:p>
        </w:tc>
        <w:tc>
          <w:tcPr>
            <w:tcW w:w="4962" w:type="dxa"/>
            <w:noWrap w:val="0"/>
            <w:vAlign w:val="center"/>
          </w:tcPr>
          <w:p w14:paraId="10250107">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支持按年度统计、季度统计、月度统计等功能。</w:t>
            </w:r>
          </w:p>
        </w:tc>
      </w:tr>
      <w:tr w14:paraId="3F1F5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1E0A58E3">
            <w:pPr>
              <w:widowControl/>
              <w:spacing w:beforeLines="0"/>
              <w:jc w:val="left"/>
              <w:rPr>
                <w:rFonts w:ascii="宋体" w:hAnsi="宋体" w:cs="宋体"/>
                <w:color w:val="auto"/>
                <w:kern w:val="0"/>
                <w:sz w:val="22"/>
                <w:szCs w:val="22"/>
                <w:highlight w:val="none"/>
              </w:rPr>
            </w:pPr>
          </w:p>
        </w:tc>
        <w:tc>
          <w:tcPr>
            <w:tcW w:w="2409" w:type="dxa"/>
            <w:noWrap w:val="0"/>
            <w:vAlign w:val="center"/>
          </w:tcPr>
          <w:p w14:paraId="34E738D8">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报表导出</w:t>
            </w:r>
          </w:p>
        </w:tc>
        <w:tc>
          <w:tcPr>
            <w:tcW w:w="4962" w:type="dxa"/>
            <w:noWrap w:val="0"/>
            <w:vAlign w:val="center"/>
          </w:tcPr>
          <w:p w14:paraId="0320DF22">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支持导出血脂异常高危人群健康管理工作情况汇总表的功能。</w:t>
            </w:r>
          </w:p>
        </w:tc>
      </w:tr>
      <w:tr w14:paraId="2B903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5BA65B1F">
            <w:pPr>
              <w:widowControl/>
              <w:spacing w:beforeLines="0"/>
              <w:jc w:val="left"/>
              <w:rPr>
                <w:rFonts w:ascii="宋体" w:hAnsi="宋体" w:cs="宋体"/>
                <w:color w:val="auto"/>
                <w:kern w:val="0"/>
                <w:sz w:val="22"/>
                <w:szCs w:val="22"/>
                <w:highlight w:val="none"/>
              </w:rPr>
            </w:pPr>
          </w:p>
        </w:tc>
        <w:tc>
          <w:tcPr>
            <w:tcW w:w="2409" w:type="dxa"/>
            <w:noWrap w:val="0"/>
            <w:vAlign w:val="center"/>
          </w:tcPr>
          <w:p w14:paraId="537FCF21">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报表详情</w:t>
            </w:r>
          </w:p>
        </w:tc>
        <w:tc>
          <w:tcPr>
            <w:tcW w:w="4962" w:type="dxa"/>
            <w:noWrap w:val="0"/>
            <w:vAlign w:val="center"/>
          </w:tcPr>
          <w:p w14:paraId="5171BAA3">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支持查看血脂异常高危人群健康管理工作情况汇总表内容的功能。</w:t>
            </w:r>
          </w:p>
        </w:tc>
      </w:tr>
      <w:tr w14:paraId="72444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742DEA5E">
            <w:pPr>
              <w:widowControl/>
              <w:spacing w:beforeLines="0"/>
              <w:jc w:val="left"/>
              <w:rPr>
                <w:rFonts w:ascii="宋体" w:hAnsi="宋体" w:cs="宋体"/>
                <w:color w:val="auto"/>
                <w:kern w:val="0"/>
                <w:sz w:val="22"/>
                <w:szCs w:val="22"/>
                <w:highlight w:val="none"/>
              </w:rPr>
            </w:pPr>
          </w:p>
        </w:tc>
        <w:tc>
          <w:tcPr>
            <w:tcW w:w="2409" w:type="dxa"/>
            <w:noWrap w:val="0"/>
            <w:vAlign w:val="center"/>
          </w:tcPr>
          <w:p w14:paraId="400A9675">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统计维度</w:t>
            </w:r>
          </w:p>
        </w:tc>
        <w:tc>
          <w:tcPr>
            <w:tcW w:w="4962" w:type="dxa"/>
            <w:noWrap w:val="0"/>
            <w:vAlign w:val="center"/>
          </w:tcPr>
          <w:p w14:paraId="583BF54E">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支持按年度/季度/月度、管理级别进行统计的功能。</w:t>
            </w:r>
          </w:p>
        </w:tc>
      </w:tr>
      <w:tr w14:paraId="06D85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6C16086E">
            <w:pPr>
              <w:widowControl/>
              <w:spacing w:beforeLines="0"/>
              <w:jc w:val="left"/>
              <w:rPr>
                <w:rFonts w:ascii="宋体" w:hAnsi="宋体" w:cs="宋体"/>
                <w:color w:val="auto"/>
                <w:kern w:val="0"/>
                <w:sz w:val="22"/>
                <w:szCs w:val="22"/>
                <w:highlight w:val="none"/>
              </w:rPr>
            </w:pPr>
          </w:p>
        </w:tc>
        <w:tc>
          <w:tcPr>
            <w:tcW w:w="2409" w:type="dxa"/>
            <w:noWrap w:val="0"/>
            <w:vAlign w:val="center"/>
          </w:tcPr>
          <w:p w14:paraId="2E589F8A">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报表导出</w:t>
            </w:r>
          </w:p>
        </w:tc>
        <w:tc>
          <w:tcPr>
            <w:tcW w:w="4962" w:type="dxa"/>
            <w:noWrap w:val="0"/>
            <w:vAlign w:val="center"/>
          </w:tcPr>
          <w:p w14:paraId="2F7B993F">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支持导出血脂异常者健康管理工作情况汇总表的功能。</w:t>
            </w:r>
          </w:p>
        </w:tc>
      </w:tr>
      <w:tr w14:paraId="563D6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0CCE36CE">
            <w:pPr>
              <w:widowControl/>
              <w:spacing w:beforeLines="0"/>
              <w:jc w:val="left"/>
              <w:rPr>
                <w:rFonts w:ascii="宋体" w:hAnsi="宋体" w:cs="宋体"/>
                <w:color w:val="auto"/>
                <w:kern w:val="0"/>
                <w:sz w:val="22"/>
                <w:szCs w:val="22"/>
                <w:highlight w:val="none"/>
              </w:rPr>
            </w:pPr>
          </w:p>
        </w:tc>
        <w:tc>
          <w:tcPr>
            <w:tcW w:w="2409" w:type="dxa"/>
            <w:noWrap w:val="0"/>
            <w:vAlign w:val="center"/>
          </w:tcPr>
          <w:p w14:paraId="64CAE303">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报表详情</w:t>
            </w:r>
          </w:p>
        </w:tc>
        <w:tc>
          <w:tcPr>
            <w:tcW w:w="4962" w:type="dxa"/>
            <w:noWrap w:val="0"/>
            <w:vAlign w:val="center"/>
          </w:tcPr>
          <w:p w14:paraId="296A35E4">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支持导出血脂异常者健康管理工作情况汇总表的功能。</w:t>
            </w:r>
          </w:p>
        </w:tc>
      </w:tr>
      <w:tr w14:paraId="30FB8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69C5714B">
            <w:pPr>
              <w:widowControl/>
              <w:spacing w:beforeLines="0"/>
              <w:jc w:val="left"/>
              <w:rPr>
                <w:rFonts w:ascii="宋体" w:hAnsi="宋体" w:cs="宋体"/>
                <w:color w:val="auto"/>
                <w:kern w:val="0"/>
                <w:sz w:val="22"/>
                <w:szCs w:val="22"/>
                <w:highlight w:val="none"/>
              </w:rPr>
            </w:pPr>
          </w:p>
        </w:tc>
        <w:tc>
          <w:tcPr>
            <w:tcW w:w="2409" w:type="dxa"/>
            <w:noWrap w:val="0"/>
            <w:vAlign w:val="center"/>
          </w:tcPr>
          <w:p w14:paraId="0E619F2F">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主索引管理</w:t>
            </w:r>
          </w:p>
        </w:tc>
        <w:tc>
          <w:tcPr>
            <w:tcW w:w="4962" w:type="dxa"/>
            <w:noWrap w:val="0"/>
            <w:vAlign w:val="center"/>
          </w:tcPr>
          <w:p w14:paraId="08D6CEFD">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支持建立居民主索引功能。</w:t>
            </w:r>
          </w:p>
        </w:tc>
      </w:tr>
      <w:tr w14:paraId="1C4B1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632B7428">
            <w:pPr>
              <w:widowControl/>
              <w:spacing w:beforeLines="0"/>
              <w:jc w:val="left"/>
              <w:rPr>
                <w:rFonts w:ascii="宋体" w:hAnsi="宋体" w:cs="宋体"/>
                <w:color w:val="auto"/>
                <w:kern w:val="0"/>
                <w:sz w:val="22"/>
                <w:szCs w:val="22"/>
                <w:highlight w:val="none"/>
              </w:rPr>
            </w:pPr>
          </w:p>
        </w:tc>
        <w:tc>
          <w:tcPr>
            <w:tcW w:w="2409" w:type="dxa"/>
            <w:noWrap w:val="0"/>
            <w:vAlign w:val="center"/>
          </w:tcPr>
          <w:p w14:paraId="4659F36A">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基础数据库</w:t>
            </w:r>
          </w:p>
        </w:tc>
        <w:tc>
          <w:tcPr>
            <w:tcW w:w="4962" w:type="dxa"/>
            <w:noWrap w:val="0"/>
            <w:vAlign w:val="center"/>
          </w:tcPr>
          <w:p w14:paraId="62699E9D">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支持从电子健康档案、全民健康信息平台等系统中抽取归集血脂异常相关数据的功能。</w:t>
            </w:r>
          </w:p>
        </w:tc>
      </w:tr>
      <w:tr w14:paraId="711C5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64863D9D">
            <w:pPr>
              <w:widowControl/>
              <w:spacing w:beforeLines="0"/>
              <w:jc w:val="left"/>
              <w:rPr>
                <w:rFonts w:ascii="宋体" w:hAnsi="宋体" w:cs="宋体"/>
                <w:color w:val="auto"/>
                <w:kern w:val="0"/>
                <w:sz w:val="22"/>
                <w:szCs w:val="22"/>
                <w:highlight w:val="none"/>
              </w:rPr>
            </w:pPr>
          </w:p>
        </w:tc>
        <w:tc>
          <w:tcPr>
            <w:tcW w:w="2409" w:type="dxa"/>
            <w:noWrap w:val="0"/>
            <w:vAlign w:val="center"/>
          </w:tcPr>
          <w:p w14:paraId="16A3FC39">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业务数据库</w:t>
            </w:r>
          </w:p>
        </w:tc>
        <w:tc>
          <w:tcPr>
            <w:tcW w:w="4962" w:type="dxa"/>
            <w:noWrap w:val="0"/>
            <w:vAlign w:val="center"/>
          </w:tcPr>
          <w:p w14:paraId="5DFC488A">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支持存储血脂异常管理业务中产生业务数据的功能。</w:t>
            </w:r>
          </w:p>
        </w:tc>
      </w:tr>
      <w:tr w14:paraId="1F15E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31C8AA7E">
            <w:pPr>
              <w:widowControl/>
              <w:spacing w:beforeLines="0"/>
              <w:jc w:val="left"/>
              <w:rPr>
                <w:rFonts w:ascii="宋体" w:hAnsi="宋体" w:cs="宋体"/>
                <w:color w:val="auto"/>
                <w:kern w:val="0"/>
                <w:sz w:val="22"/>
                <w:szCs w:val="22"/>
                <w:highlight w:val="none"/>
              </w:rPr>
            </w:pPr>
          </w:p>
        </w:tc>
        <w:tc>
          <w:tcPr>
            <w:tcW w:w="2409" w:type="dxa"/>
            <w:noWrap w:val="0"/>
            <w:vAlign w:val="center"/>
          </w:tcPr>
          <w:p w14:paraId="2114147B">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决策分析库</w:t>
            </w:r>
          </w:p>
        </w:tc>
        <w:tc>
          <w:tcPr>
            <w:tcW w:w="4962" w:type="dxa"/>
            <w:noWrap w:val="0"/>
            <w:vAlign w:val="center"/>
          </w:tcPr>
          <w:p w14:paraId="2E23CCAE">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支持存储用于决策分析的统计、计算数据的功能。</w:t>
            </w:r>
          </w:p>
        </w:tc>
      </w:tr>
      <w:tr w14:paraId="4840F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109050CC">
            <w:pPr>
              <w:widowControl/>
              <w:spacing w:beforeLines="0"/>
              <w:jc w:val="left"/>
              <w:rPr>
                <w:rFonts w:ascii="宋体" w:hAnsi="宋体" w:cs="宋体"/>
                <w:color w:val="auto"/>
                <w:kern w:val="0"/>
                <w:sz w:val="22"/>
                <w:szCs w:val="22"/>
                <w:highlight w:val="none"/>
              </w:rPr>
            </w:pPr>
          </w:p>
        </w:tc>
        <w:tc>
          <w:tcPr>
            <w:tcW w:w="2409" w:type="dxa"/>
            <w:noWrap w:val="0"/>
            <w:vAlign w:val="center"/>
          </w:tcPr>
          <w:p w14:paraId="6415D0B8">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接口校验</w:t>
            </w:r>
          </w:p>
        </w:tc>
        <w:tc>
          <w:tcPr>
            <w:tcW w:w="4962" w:type="dxa"/>
            <w:noWrap w:val="0"/>
            <w:vAlign w:val="center"/>
          </w:tcPr>
          <w:p w14:paraId="6CDDAC29">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支持血脂异常数据接口规范确认、数据连通性测试等功能。</w:t>
            </w:r>
          </w:p>
        </w:tc>
      </w:tr>
      <w:tr w14:paraId="1B0B2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373CDB9F">
            <w:pPr>
              <w:widowControl/>
              <w:spacing w:beforeLines="0"/>
              <w:jc w:val="left"/>
              <w:rPr>
                <w:rFonts w:ascii="宋体" w:hAnsi="宋体" w:cs="宋体"/>
                <w:color w:val="auto"/>
                <w:kern w:val="0"/>
                <w:sz w:val="22"/>
                <w:szCs w:val="22"/>
                <w:highlight w:val="none"/>
              </w:rPr>
            </w:pPr>
          </w:p>
        </w:tc>
        <w:tc>
          <w:tcPr>
            <w:tcW w:w="2409" w:type="dxa"/>
            <w:noWrap w:val="0"/>
            <w:vAlign w:val="center"/>
          </w:tcPr>
          <w:p w14:paraId="7B346021">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数据分析</w:t>
            </w:r>
          </w:p>
        </w:tc>
        <w:tc>
          <w:tcPr>
            <w:tcW w:w="4962" w:type="dxa"/>
            <w:noWrap w:val="0"/>
            <w:vAlign w:val="center"/>
          </w:tcPr>
          <w:p w14:paraId="0F5C3158">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支持血脂异常数据可用性、数据规模、数据结构分析等功能。</w:t>
            </w:r>
          </w:p>
        </w:tc>
      </w:tr>
      <w:tr w14:paraId="7FE57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3C6482EA">
            <w:pPr>
              <w:widowControl/>
              <w:spacing w:beforeLines="0"/>
              <w:jc w:val="left"/>
              <w:rPr>
                <w:rFonts w:ascii="宋体" w:hAnsi="宋体" w:cs="宋体"/>
                <w:color w:val="auto"/>
                <w:kern w:val="0"/>
                <w:sz w:val="22"/>
                <w:szCs w:val="22"/>
                <w:highlight w:val="none"/>
              </w:rPr>
            </w:pPr>
          </w:p>
        </w:tc>
        <w:tc>
          <w:tcPr>
            <w:tcW w:w="2409" w:type="dxa"/>
            <w:noWrap w:val="0"/>
            <w:vAlign w:val="center"/>
          </w:tcPr>
          <w:p w14:paraId="41530C6D">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数据采集</w:t>
            </w:r>
          </w:p>
        </w:tc>
        <w:tc>
          <w:tcPr>
            <w:tcW w:w="4962" w:type="dxa"/>
            <w:noWrap w:val="0"/>
            <w:vAlign w:val="center"/>
          </w:tcPr>
          <w:p w14:paraId="13298967">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支持血脂异常数据采集等功能。</w:t>
            </w:r>
          </w:p>
        </w:tc>
      </w:tr>
      <w:tr w14:paraId="0DF45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21FCB399">
            <w:pPr>
              <w:widowControl/>
              <w:spacing w:beforeLines="0"/>
              <w:jc w:val="left"/>
              <w:rPr>
                <w:rFonts w:ascii="宋体" w:hAnsi="宋体" w:cs="宋体"/>
                <w:color w:val="auto"/>
                <w:kern w:val="0"/>
                <w:sz w:val="22"/>
                <w:szCs w:val="22"/>
                <w:highlight w:val="none"/>
              </w:rPr>
            </w:pPr>
          </w:p>
        </w:tc>
        <w:tc>
          <w:tcPr>
            <w:tcW w:w="2409" w:type="dxa"/>
            <w:noWrap w:val="0"/>
            <w:vAlign w:val="center"/>
          </w:tcPr>
          <w:p w14:paraId="6DE1E9BD">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数据转换</w:t>
            </w:r>
          </w:p>
        </w:tc>
        <w:tc>
          <w:tcPr>
            <w:tcW w:w="4962" w:type="dxa"/>
            <w:noWrap w:val="0"/>
            <w:vAlign w:val="center"/>
          </w:tcPr>
          <w:p w14:paraId="12F1C513">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支持血脂异常数据的清洗与转换等功能。</w:t>
            </w:r>
          </w:p>
        </w:tc>
      </w:tr>
      <w:tr w14:paraId="7251B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5E3468C4">
            <w:pPr>
              <w:widowControl/>
              <w:spacing w:beforeLines="0"/>
              <w:jc w:val="left"/>
              <w:rPr>
                <w:rFonts w:ascii="宋体" w:hAnsi="宋体" w:cs="宋体"/>
                <w:color w:val="auto"/>
                <w:kern w:val="0"/>
                <w:sz w:val="22"/>
                <w:szCs w:val="22"/>
                <w:highlight w:val="none"/>
              </w:rPr>
            </w:pPr>
          </w:p>
        </w:tc>
        <w:tc>
          <w:tcPr>
            <w:tcW w:w="2409" w:type="dxa"/>
            <w:noWrap w:val="0"/>
            <w:vAlign w:val="center"/>
          </w:tcPr>
          <w:p w14:paraId="7B96DB3B">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数据上传</w:t>
            </w:r>
          </w:p>
        </w:tc>
        <w:tc>
          <w:tcPr>
            <w:tcW w:w="4962" w:type="dxa"/>
            <w:noWrap w:val="0"/>
            <w:vAlign w:val="center"/>
          </w:tcPr>
          <w:p w14:paraId="694A63A1">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支持与上层业务接口对接、数据上传等功能。</w:t>
            </w:r>
          </w:p>
        </w:tc>
      </w:tr>
      <w:tr w14:paraId="1D2C0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5F3D9D95">
            <w:pPr>
              <w:widowControl/>
              <w:spacing w:beforeLines="0"/>
              <w:jc w:val="left"/>
              <w:rPr>
                <w:rFonts w:ascii="宋体" w:hAnsi="宋体" w:cs="宋体"/>
                <w:color w:val="auto"/>
                <w:kern w:val="0"/>
                <w:sz w:val="22"/>
                <w:szCs w:val="22"/>
                <w:highlight w:val="none"/>
              </w:rPr>
            </w:pPr>
          </w:p>
        </w:tc>
        <w:tc>
          <w:tcPr>
            <w:tcW w:w="2409" w:type="dxa"/>
            <w:noWrap w:val="0"/>
            <w:vAlign w:val="center"/>
          </w:tcPr>
          <w:p w14:paraId="783FCF0F">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数据监控</w:t>
            </w:r>
          </w:p>
        </w:tc>
        <w:tc>
          <w:tcPr>
            <w:tcW w:w="4962" w:type="dxa"/>
            <w:noWrap w:val="0"/>
            <w:vAlign w:val="center"/>
          </w:tcPr>
          <w:p w14:paraId="5EDD5A82">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支持转换过程监控、数据监控等功能。</w:t>
            </w:r>
          </w:p>
        </w:tc>
      </w:tr>
      <w:tr w14:paraId="27DF2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29D30D2F">
            <w:pPr>
              <w:widowControl/>
              <w:spacing w:beforeLines="0"/>
              <w:jc w:val="left"/>
              <w:rPr>
                <w:rFonts w:ascii="宋体" w:hAnsi="宋体" w:cs="宋体"/>
                <w:color w:val="auto"/>
                <w:kern w:val="0"/>
                <w:sz w:val="22"/>
                <w:szCs w:val="22"/>
                <w:highlight w:val="none"/>
              </w:rPr>
            </w:pPr>
          </w:p>
        </w:tc>
        <w:tc>
          <w:tcPr>
            <w:tcW w:w="2409" w:type="dxa"/>
            <w:noWrap w:val="0"/>
            <w:vAlign w:val="center"/>
          </w:tcPr>
          <w:p w14:paraId="0B854501">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数据展现</w:t>
            </w:r>
          </w:p>
        </w:tc>
        <w:tc>
          <w:tcPr>
            <w:tcW w:w="4962" w:type="dxa"/>
            <w:noWrap w:val="0"/>
            <w:vAlign w:val="center"/>
          </w:tcPr>
          <w:p w14:paraId="0377D5DF">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支持数据展现功能。</w:t>
            </w:r>
          </w:p>
        </w:tc>
      </w:tr>
      <w:tr w14:paraId="7C968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41BCBAA3">
            <w:pPr>
              <w:widowControl/>
              <w:spacing w:beforeLines="0"/>
              <w:jc w:val="left"/>
              <w:rPr>
                <w:rFonts w:ascii="宋体" w:hAnsi="宋体" w:cs="宋体"/>
                <w:color w:val="auto"/>
                <w:kern w:val="0"/>
                <w:sz w:val="22"/>
                <w:szCs w:val="22"/>
                <w:highlight w:val="none"/>
              </w:rPr>
            </w:pPr>
          </w:p>
        </w:tc>
        <w:tc>
          <w:tcPr>
            <w:tcW w:w="2409" w:type="dxa"/>
            <w:noWrap w:val="0"/>
            <w:vAlign w:val="center"/>
          </w:tcPr>
          <w:p w14:paraId="0C30996E">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数据质量管理</w:t>
            </w:r>
          </w:p>
        </w:tc>
        <w:tc>
          <w:tcPr>
            <w:tcW w:w="4962" w:type="dxa"/>
            <w:noWrap w:val="0"/>
            <w:vAlign w:val="center"/>
          </w:tcPr>
          <w:p w14:paraId="33959AA5">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支持数据质量分析、评估等功能。</w:t>
            </w:r>
          </w:p>
        </w:tc>
      </w:tr>
    </w:tbl>
    <w:p w14:paraId="1A2859B5">
      <w:pPr>
        <w:spacing w:before="156"/>
        <w:rPr>
          <w:rFonts w:hint="eastAsia"/>
          <w:color w:val="auto"/>
          <w:highlight w:val="none"/>
        </w:rPr>
      </w:pPr>
    </w:p>
    <w:p w14:paraId="10FD23B6">
      <w:pPr>
        <w:pStyle w:val="5"/>
        <w:numPr>
          <w:ilvl w:val="0"/>
          <w:numId w:val="0"/>
        </w:numPr>
        <w:ind w:left="822"/>
        <w:rPr>
          <w:rFonts w:ascii="宋体" w:hAnsi="宋体" w:cs="宋体"/>
          <w:color w:val="auto"/>
          <w:sz w:val="24"/>
          <w:szCs w:val="24"/>
          <w:highlight w:val="none"/>
        </w:rPr>
      </w:pPr>
      <w:bookmarkStart w:id="38" w:name="_Toc164767668"/>
      <w:bookmarkStart w:id="39" w:name="_Toc168398435"/>
      <w:r>
        <w:rPr>
          <w:rFonts w:hint="eastAsia" w:ascii="宋体" w:hAnsi="宋体" w:cs="宋体"/>
          <w:color w:val="auto"/>
          <w:sz w:val="24"/>
          <w:szCs w:val="24"/>
          <w:highlight w:val="none"/>
        </w:rPr>
        <w:t>3.2.3体检报告AI智能分析系统</w:t>
      </w:r>
    </w:p>
    <w:tbl>
      <w:tblPr>
        <w:tblStyle w:val="20"/>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2409"/>
        <w:gridCol w:w="4962"/>
      </w:tblGrid>
      <w:tr w14:paraId="1A962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noWrap w:val="0"/>
            <w:vAlign w:val="center"/>
          </w:tcPr>
          <w:p w14:paraId="0CF3537D">
            <w:pPr>
              <w:widowControl/>
              <w:spacing w:beforeLines="0"/>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子系统</w:t>
            </w:r>
          </w:p>
        </w:tc>
        <w:tc>
          <w:tcPr>
            <w:tcW w:w="2409" w:type="dxa"/>
            <w:noWrap w:val="0"/>
            <w:vAlign w:val="center"/>
          </w:tcPr>
          <w:p w14:paraId="26B1BD86">
            <w:pPr>
              <w:widowControl/>
              <w:spacing w:beforeLines="0"/>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功能模块</w:t>
            </w:r>
          </w:p>
        </w:tc>
        <w:tc>
          <w:tcPr>
            <w:tcW w:w="4962" w:type="dxa"/>
            <w:noWrap w:val="0"/>
            <w:vAlign w:val="center"/>
          </w:tcPr>
          <w:p w14:paraId="2D3F8C84">
            <w:pPr>
              <w:widowControl/>
              <w:spacing w:beforeLines="0"/>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指标要求</w:t>
            </w:r>
          </w:p>
        </w:tc>
      </w:tr>
      <w:tr w14:paraId="30BA9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restart"/>
            <w:noWrap w:val="0"/>
            <w:vAlign w:val="center"/>
          </w:tcPr>
          <w:p w14:paraId="449EA4C1">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体检报告解读AI能力</w:t>
            </w:r>
          </w:p>
        </w:tc>
        <w:tc>
          <w:tcPr>
            <w:tcW w:w="2409" w:type="dxa"/>
            <w:noWrap w:val="0"/>
            <w:vAlign w:val="center"/>
          </w:tcPr>
          <w:p w14:paraId="2D2BD7DF">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实体意义抽取</w:t>
            </w:r>
          </w:p>
        </w:tc>
        <w:tc>
          <w:tcPr>
            <w:tcW w:w="4962" w:type="dxa"/>
            <w:noWrap w:val="0"/>
            <w:vAlign w:val="center"/>
          </w:tcPr>
          <w:p w14:paraId="27889E38">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通过命名实体识别可从文本中抽取出具有特定意义的实体。</w:t>
            </w:r>
          </w:p>
        </w:tc>
      </w:tr>
      <w:tr w14:paraId="62DC0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1EB15390">
            <w:pPr>
              <w:widowControl/>
              <w:spacing w:beforeLines="0"/>
              <w:jc w:val="left"/>
              <w:rPr>
                <w:rFonts w:ascii="宋体" w:hAnsi="宋体" w:cs="宋体"/>
                <w:color w:val="auto"/>
                <w:kern w:val="0"/>
                <w:sz w:val="22"/>
                <w:szCs w:val="22"/>
                <w:highlight w:val="none"/>
              </w:rPr>
            </w:pPr>
          </w:p>
        </w:tc>
        <w:tc>
          <w:tcPr>
            <w:tcW w:w="2409" w:type="dxa"/>
            <w:noWrap w:val="0"/>
            <w:vAlign w:val="center"/>
          </w:tcPr>
          <w:p w14:paraId="36941990">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语义信息训练</w:t>
            </w:r>
          </w:p>
        </w:tc>
        <w:tc>
          <w:tcPr>
            <w:tcW w:w="4962" w:type="dxa"/>
            <w:noWrap w:val="0"/>
            <w:vAlign w:val="center"/>
          </w:tcPr>
          <w:p w14:paraId="0510B9DA">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基于深度学习技术，基于神经网络的模型通过大量预训练数据学习体检相关的语义信息。</w:t>
            </w:r>
          </w:p>
        </w:tc>
      </w:tr>
      <w:tr w14:paraId="2545C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727008ED">
            <w:pPr>
              <w:widowControl/>
              <w:spacing w:beforeLines="0"/>
              <w:jc w:val="left"/>
              <w:rPr>
                <w:rFonts w:ascii="宋体" w:hAnsi="宋体" w:cs="宋体"/>
                <w:color w:val="auto"/>
                <w:kern w:val="0"/>
                <w:sz w:val="22"/>
                <w:szCs w:val="22"/>
                <w:highlight w:val="none"/>
              </w:rPr>
            </w:pPr>
          </w:p>
        </w:tc>
        <w:tc>
          <w:tcPr>
            <w:tcW w:w="2409" w:type="dxa"/>
            <w:noWrap w:val="0"/>
            <w:vAlign w:val="center"/>
          </w:tcPr>
          <w:p w14:paraId="0195D1CE">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上下文实体识别</w:t>
            </w:r>
          </w:p>
        </w:tc>
        <w:tc>
          <w:tcPr>
            <w:tcW w:w="4962" w:type="dxa"/>
            <w:noWrap w:val="0"/>
            <w:vAlign w:val="center"/>
          </w:tcPr>
          <w:p w14:paraId="52CF36DC">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结合上下文信息进行实体识别，保障信息识别的准确性。</w:t>
            </w:r>
          </w:p>
        </w:tc>
      </w:tr>
      <w:tr w14:paraId="3147C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64EBDD27">
            <w:pPr>
              <w:widowControl/>
              <w:spacing w:beforeLines="0"/>
              <w:jc w:val="left"/>
              <w:rPr>
                <w:rFonts w:ascii="宋体" w:hAnsi="宋体" w:cs="宋体"/>
                <w:color w:val="auto"/>
                <w:kern w:val="0"/>
                <w:sz w:val="22"/>
                <w:szCs w:val="22"/>
                <w:highlight w:val="none"/>
              </w:rPr>
            </w:pPr>
          </w:p>
        </w:tc>
        <w:tc>
          <w:tcPr>
            <w:tcW w:w="2409" w:type="dxa"/>
            <w:noWrap w:val="0"/>
            <w:vAlign w:val="center"/>
          </w:tcPr>
          <w:p w14:paraId="5E0C5C07">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实体映射</w:t>
            </w:r>
          </w:p>
        </w:tc>
        <w:tc>
          <w:tcPr>
            <w:tcW w:w="4962" w:type="dxa"/>
            <w:noWrap w:val="0"/>
            <w:vAlign w:val="center"/>
          </w:tcPr>
          <w:p w14:paraId="086E4445">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面对多源异构数据中存在的重复或相似实体，需要通过实体链接技术将其映射到现实世界中唯一的实体上。实体消歧是确保数据准确性的关键步骤。</w:t>
            </w:r>
          </w:p>
        </w:tc>
      </w:tr>
      <w:tr w14:paraId="463E7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7E121978">
            <w:pPr>
              <w:widowControl/>
              <w:spacing w:beforeLines="0"/>
              <w:jc w:val="left"/>
              <w:rPr>
                <w:rFonts w:ascii="宋体" w:hAnsi="宋体" w:cs="宋体"/>
                <w:color w:val="auto"/>
                <w:kern w:val="0"/>
                <w:sz w:val="22"/>
                <w:szCs w:val="22"/>
                <w:highlight w:val="none"/>
              </w:rPr>
            </w:pPr>
          </w:p>
        </w:tc>
        <w:tc>
          <w:tcPr>
            <w:tcW w:w="2409" w:type="dxa"/>
            <w:noWrap w:val="0"/>
            <w:vAlign w:val="center"/>
          </w:tcPr>
          <w:p w14:paraId="29E24358">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知识一致性</w:t>
            </w:r>
          </w:p>
        </w:tc>
        <w:tc>
          <w:tcPr>
            <w:tcW w:w="4962" w:type="dxa"/>
            <w:noWrap w:val="0"/>
            <w:vAlign w:val="center"/>
          </w:tcPr>
          <w:p w14:paraId="225D8635">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通过实体消歧技术消除数据冗余，保证知识的一致性。</w:t>
            </w:r>
          </w:p>
        </w:tc>
      </w:tr>
      <w:tr w14:paraId="3CE75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026C45BE">
            <w:pPr>
              <w:widowControl/>
              <w:spacing w:beforeLines="0"/>
              <w:jc w:val="left"/>
              <w:rPr>
                <w:rFonts w:ascii="宋体" w:hAnsi="宋体" w:cs="宋体"/>
                <w:color w:val="auto"/>
                <w:kern w:val="0"/>
                <w:sz w:val="22"/>
                <w:szCs w:val="22"/>
                <w:highlight w:val="none"/>
              </w:rPr>
            </w:pPr>
          </w:p>
        </w:tc>
        <w:tc>
          <w:tcPr>
            <w:tcW w:w="2409" w:type="dxa"/>
            <w:noWrap w:val="0"/>
            <w:vAlign w:val="center"/>
          </w:tcPr>
          <w:p w14:paraId="0DDD79C4">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实体关系明确</w:t>
            </w:r>
          </w:p>
        </w:tc>
        <w:tc>
          <w:tcPr>
            <w:tcW w:w="4962" w:type="dxa"/>
            <w:noWrap w:val="0"/>
            <w:vAlign w:val="center"/>
          </w:tcPr>
          <w:p w14:paraId="107D72CA">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通过指代消解技术的应用进一步明确实体之间的关系，为关系抽取提供基础。</w:t>
            </w:r>
          </w:p>
        </w:tc>
      </w:tr>
      <w:tr w14:paraId="4C286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314463A5">
            <w:pPr>
              <w:widowControl/>
              <w:spacing w:beforeLines="0"/>
              <w:jc w:val="left"/>
              <w:rPr>
                <w:rFonts w:ascii="宋体" w:hAnsi="宋体" w:cs="宋体"/>
                <w:color w:val="auto"/>
                <w:kern w:val="0"/>
                <w:sz w:val="22"/>
                <w:szCs w:val="22"/>
                <w:highlight w:val="none"/>
              </w:rPr>
            </w:pPr>
          </w:p>
        </w:tc>
        <w:tc>
          <w:tcPr>
            <w:tcW w:w="2409" w:type="dxa"/>
            <w:noWrap w:val="0"/>
            <w:vAlign w:val="center"/>
          </w:tcPr>
          <w:p w14:paraId="226336A7">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术语标准管理体系</w:t>
            </w:r>
          </w:p>
        </w:tc>
        <w:tc>
          <w:tcPr>
            <w:tcW w:w="4962" w:type="dxa"/>
            <w:noWrap w:val="0"/>
            <w:vAlign w:val="center"/>
          </w:tcPr>
          <w:p w14:paraId="7E045A1C">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术语归一化是实现数据标准化的重要手段。面对临床上成百上千种不同写法的检验检查项目、药品等信息，建立一套完善的术语标准管理体系。</w:t>
            </w:r>
          </w:p>
        </w:tc>
      </w:tr>
      <w:tr w14:paraId="08938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78B16D9B">
            <w:pPr>
              <w:widowControl/>
              <w:spacing w:beforeLines="0"/>
              <w:jc w:val="left"/>
              <w:rPr>
                <w:rFonts w:ascii="宋体" w:hAnsi="宋体" w:cs="宋体"/>
                <w:color w:val="auto"/>
                <w:kern w:val="0"/>
                <w:sz w:val="22"/>
                <w:szCs w:val="22"/>
                <w:highlight w:val="none"/>
              </w:rPr>
            </w:pPr>
          </w:p>
        </w:tc>
        <w:tc>
          <w:tcPr>
            <w:tcW w:w="2409" w:type="dxa"/>
            <w:noWrap w:val="0"/>
            <w:vAlign w:val="center"/>
          </w:tcPr>
          <w:p w14:paraId="58EF5BF8">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标准术语统一</w:t>
            </w:r>
          </w:p>
        </w:tc>
        <w:tc>
          <w:tcPr>
            <w:tcW w:w="4962" w:type="dxa"/>
            <w:noWrap w:val="0"/>
            <w:vAlign w:val="center"/>
          </w:tcPr>
          <w:p w14:paraId="0B4AA568">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通过术语映射工具将不同表述统一到标准术语上。提高数据的可读性和可比性，为后续的统计分析提供基础。</w:t>
            </w:r>
          </w:p>
        </w:tc>
      </w:tr>
      <w:tr w14:paraId="2B4F8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724458BA">
            <w:pPr>
              <w:widowControl/>
              <w:spacing w:beforeLines="0"/>
              <w:jc w:val="left"/>
              <w:rPr>
                <w:rFonts w:ascii="宋体" w:hAnsi="宋体" w:cs="宋体"/>
                <w:color w:val="auto"/>
                <w:kern w:val="0"/>
                <w:sz w:val="22"/>
                <w:szCs w:val="22"/>
                <w:highlight w:val="none"/>
              </w:rPr>
            </w:pPr>
          </w:p>
        </w:tc>
        <w:tc>
          <w:tcPr>
            <w:tcW w:w="2409" w:type="dxa"/>
            <w:noWrap w:val="0"/>
            <w:vAlign w:val="center"/>
          </w:tcPr>
          <w:p w14:paraId="709622E8">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检查检验解析</w:t>
            </w:r>
          </w:p>
        </w:tc>
        <w:tc>
          <w:tcPr>
            <w:tcW w:w="4962" w:type="dxa"/>
            <w:noWrap w:val="0"/>
            <w:vAlign w:val="center"/>
          </w:tcPr>
          <w:p w14:paraId="3F43E7E4">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提供检查检验解析服务，基于自然语言处理和检查检验医学知识信息对来源于各医疗机构或基层医疗机构的检查检验项目和检查检验结果信息进行标准化解析或知识标注。</w:t>
            </w:r>
          </w:p>
        </w:tc>
      </w:tr>
      <w:tr w14:paraId="12937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5932C230">
            <w:pPr>
              <w:widowControl/>
              <w:spacing w:beforeLines="0"/>
              <w:jc w:val="left"/>
              <w:rPr>
                <w:rFonts w:ascii="宋体" w:hAnsi="宋体" w:cs="宋体"/>
                <w:color w:val="auto"/>
                <w:kern w:val="0"/>
                <w:sz w:val="22"/>
                <w:szCs w:val="22"/>
                <w:highlight w:val="none"/>
              </w:rPr>
            </w:pPr>
          </w:p>
        </w:tc>
        <w:tc>
          <w:tcPr>
            <w:tcW w:w="2409" w:type="dxa"/>
            <w:noWrap w:val="0"/>
            <w:vAlign w:val="center"/>
          </w:tcPr>
          <w:p w14:paraId="7F445618">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检查检验基础分析</w:t>
            </w:r>
          </w:p>
        </w:tc>
        <w:tc>
          <w:tcPr>
            <w:tcW w:w="4962" w:type="dxa"/>
            <w:noWrap w:val="0"/>
            <w:vAlign w:val="center"/>
          </w:tcPr>
          <w:p w14:paraId="3FA063A8">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确保检查和检验术语字典的准确性和一致性，为体检报告AI智能分析系统提供基于检查检验维度的基础分析数据。</w:t>
            </w:r>
          </w:p>
        </w:tc>
      </w:tr>
      <w:tr w14:paraId="50294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4FC1F009">
            <w:pPr>
              <w:widowControl/>
              <w:spacing w:beforeLines="0"/>
              <w:jc w:val="left"/>
              <w:rPr>
                <w:rFonts w:ascii="宋体" w:hAnsi="宋体" w:cs="宋体"/>
                <w:color w:val="auto"/>
                <w:kern w:val="0"/>
                <w:sz w:val="22"/>
                <w:szCs w:val="22"/>
                <w:highlight w:val="none"/>
              </w:rPr>
            </w:pPr>
          </w:p>
        </w:tc>
        <w:tc>
          <w:tcPr>
            <w:tcW w:w="2409" w:type="dxa"/>
            <w:noWrap w:val="0"/>
            <w:vAlign w:val="center"/>
          </w:tcPr>
          <w:p w14:paraId="2DB17034">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专业术语理解</w:t>
            </w:r>
          </w:p>
        </w:tc>
        <w:tc>
          <w:tcPr>
            <w:tcW w:w="4962" w:type="dxa"/>
            <w:noWrap w:val="0"/>
            <w:vAlign w:val="center"/>
          </w:tcPr>
          <w:p w14:paraId="4BA66D77">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医学术语理解是体检报告解读的基础能力，保障准确、清晰地理解和解释医学领域的专业术语和概念。</w:t>
            </w:r>
          </w:p>
        </w:tc>
      </w:tr>
      <w:tr w14:paraId="59BD8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37F913B7">
            <w:pPr>
              <w:widowControl/>
              <w:spacing w:beforeLines="0"/>
              <w:jc w:val="left"/>
              <w:rPr>
                <w:rFonts w:ascii="宋体" w:hAnsi="宋体" w:cs="宋体"/>
                <w:color w:val="auto"/>
                <w:kern w:val="0"/>
                <w:sz w:val="22"/>
                <w:szCs w:val="22"/>
                <w:highlight w:val="none"/>
              </w:rPr>
            </w:pPr>
          </w:p>
        </w:tc>
        <w:tc>
          <w:tcPr>
            <w:tcW w:w="2409" w:type="dxa"/>
            <w:noWrap w:val="0"/>
            <w:vAlign w:val="center"/>
          </w:tcPr>
          <w:p w14:paraId="4550996A">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医学语句理解</w:t>
            </w:r>
          </w:p>
        </w:tc>
        <w:tc>
          <w:tcPr>
            <w:tcW w:w="4962" w:type="dxa"/>
            <w:noWrap w:val="0"/>
            <w:vAlign w:val="center"/>
          </w:tcPr>
          <w:p w14:paraId="3D8EA17D">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支持机器自动理解医学术语的内涵，并能够将它们组合成有意义的句子或短语。</w:t>
            </w:r>
          </w:p>
        </w:tc>
      </w:tr>
      <w:tr w14:paraId="44CB6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638741A9">
            <w:pPr>
              <w:widowControl/>
              <w:spacing w:beforeLines="0"/>
              <w:jc w:val="left"/>
              <w:rPr>
                <w:rFonts w:ascii="宋体" w:hAnsi="宋体" w:cs="宋体"/>
                <w:color w:val="auto"/>
                <w:kern w:val="0"/>
                <w:sz w:val="22"/>
                <w:szCs w:val="22"/>
                <w:highlight w:val="none"/>
              </w:rPr>
            </w:pPr>
          </w:p>
        </w:tc>
        <w:tc>
          <w:tcPr>
            <w:tcW w:w="2409" w:type="dxa"/>
            <w:noWrap w:val="0"/>
            <w:vAlign w:val="center"/>
          </w:tcPr>
          <w:p w14:paraId="4B815646">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上下文匹配</w:t>
            </w:r>
          </w:p>
        </w:tc>
        <w:tc>
          <w:tcPr>
            <w:tcW w:w="4962" w:type="dxa"/>
            <w:noWrap w:val="0"/>
            <w:vAlign w:val="center"/>
          </w:tcPr>
          <w:p w14:paraId="145244D9">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通过自然语言处理技术，系统结合上下文意义，支持精准匹配与连贯理解，满足系统对体检报告解读的基础文本理解需求。</w:t>
            </w:r>
          </w:p>
        </w:tc>
      </w:tr>
      <w:tr w14:paraId="50EA6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0B2E70F7">
            <w:pPr>
              <w:widowControl/>
              <w:spacing w:beforeLines="0"/>
              <w:jc w:val="left"/>
              <w:rPr>
                <w:rFonts w:ascii="宋体" w:hAnsi="宋体" w:cs="宋体"/>
                <w:color w:val="auto"/>
                <w:kern w:val="0"/>
                <w:sz w:val="22"/>
                <w:szCs w:val="22"/>
                <w:highlight w:val="none"/>
              </w:rPr>
            </w:pPr>
          </w:p>
        </w:tc>
        <w:tc>
          <w:tcPr>
            <w:tcW w:w="2409" w:type="dxa"/>
            <w:noWrap w:val="0"/>
            <w:vAlign w:val="center"/>
          </w:tcPr>
          <w:p w14:paraId="34DA71D5">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知识图谱构建</w:t>
            </w:r>
          </w:p>
        </w:tc>
        <w:tc>
          <w:tcPr>
            <w:tcW w:w="4962" w:type="dxa"/>
            <w:noWrap w:val="0"/>
            <w:vAlign w:val="center"/>
          </w:tcPr>
          <w:p w14:paraId="1D684E04">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疾病知识图谱可展示与疾病相关的因素，症状、检验检查信息以图谱的形式直观呈现。</w:t>
            </w:r>
          </w:p>
        </w:tc>
      </w:tr>
      <w:tr w14:paraId="5DC4A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146A54E6">
            <w:pPr>
              <w:widowControl/>
              <w:spacing w:beforeLines="0"/>
              <w:jc w:val="left"/>
              <w:rPr>
                <w:rFonts w:ascii="宋体" w:hAnsi="宋体" w:cs="宋体"/>
                <w:color w:val="auto"/>
                <w:kern w:val="0"/>
                <w:sz w:val="22"/>
                <w:szCs w:val="22"/>
                <w:highlight w:val="none"/>
              </w:rPr>
            </w:pPr>
          </w:p>
        </w:tc>
        <w:tc>
          <w:tcPr>
            <w:tcW w:w="2409" w:type="dxa"/>
            <w:noWrap w:val="0"/>
            <w:vAlign w:val="center"/>
          </w:tcPr>
          <w:p w14:paraId="40CA3B59">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知识图谱下钻</w:t>
            </w:r>
          </w:p>
        </w:tc>
        <w:tc>
          <w:tcPr>
            <w:tcW w:w="4962" w:type="dxa"/>
            <w:noWrap w:val="0"/>
            <w:vAlign w:val="center"/>
          </w:tcPr>
          <w:p w14:paraId="1221B10A">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支持图谱下钻，尽可能的全面展示知识库的相关知识。</w:t>
            </w:r>
          </w:p>
        </w:tc>
      </w:tr>
      <w:tr w14:paraId="58C0C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4ED0C988">
            <w:pPr>
              <w:widowControl/>
              <w:spacing w:beforeLines="0"/>
              <w:jc w:val="left"/>
              <w:rPr>
                <w:rFonts w:ascii="宋体" w:hAnsi="宋体" w:cs="宋体"/>
                <w:color w:val="auto"/>
                <w:kern w:val="0"/>
                <w:sz w:val="22"/>
                <w:szCs w:val="22"/>
                <w:highlight w:val="none"/>
              </w:rPr>
            </w:pPr>
          </w:p>
        </w:tc>
        <w:tc>
          <w:tcPr>
            <w:tcW w:w="2409" w:type="dxa"/>
            <w:noWrap w:val="0"/>
            <w:vAlign w:val="center"/>
          </w:tcPr>
          <w:p w14:paraId="581AFF81">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数据关系分析</w:t>
            </w:r>
          </w:p>
        </w:tc>
        <w:tc>
          <w:tcPr>
            <w:tcW w:w="4962" w:type="dxa"/>
            <w:noWrap w:val="0"/>
            <w:vAlign w:val="center"/>
          </w:tcPr>
          <w:p w14:paraId="5F9BF742">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支持用于去分析体检报告数据与疾病之间的关系。</w:t>
            </w:r>
          </w:p>
        </w:tc>
      </w:tr>
      <w:tr w14:paraId="51CF6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017BF8F8">
            <w:pPr>
              <w:widowControl/>
              <w:spacing w:beforeLines="0"/>
              <w:jc w:val="left"/>
              <w:rPr>
                <w:rFonts w:ascii="宋体" w:hAnsi="宋体" w:cs="宋体"/>
                <w:color w:val="auto"/>
                <w:kern w:val="0"/>
                <w:sz w:val="22"/>
                <w:szCs w:val="22"/>
                <w:highlight w:val="none"/>
              </w:rPr>
            </w:pPr>
          </w:p>
        </w:tc>
        <w:tc>
          <w:tcPr>
            <w:tcW w:w="2409" w:type="dxa"/>
            <w:noWrap w:val="0"/>
            <w:vAlign w:val="center"/>
          </w:tcPr>
          <w:p w14:paraId="32720833">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异常指标分析</w:t>
            </w:r>
          </w:p>
        </w:tc>
        <w:tc>
          <w:tcPr>
            <w:tcW w:w="4962" w:type="dxa"/>
            <w:noWrap w:val="0"/>
            <w:vAlign w:val="center"/>
          </w:tcPr>
          <w:p w14:paraId="19B755E0">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对体检报告中的异常指标进行分析。通过对异常指标的评估和解读，系统可以了解体检者是否存在潜在的健康问题。</w:t>
            </w:r>
          </w:p>
        </w:tc>
      </w:tr>
      <w:tr w14:paraId="465FE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6BDBBD5C">
            <w:pPr>
              <w:widowControl/>
              <w:spacing w:beforeLines="0"/>
              <w:jc w:val="left"/>
              <w:rPr>
                <w:rFonts w:ascii="宋体" w:hAnsi="宋体" w:cs="宋体"/>
                <w:color w:val="auto"/>
                <w:kern w:val="0"/>
                <w:sz w:val="22"/>
                <w:szCs w:val="22"/>
                <w:highlight w:val="none"/>
              </w:rPr>
            </w:pPr>
          </w:p>
        </w:tc>
        <w:tc>
          <w:tcPr>
            <w:tcW w:w="2409" w:type="dxa"/>
            <w:noWrap w:val="0"/>
            <w:vAlign w:val="center"/>
          </w:tcPr>
          <w:p w14:paraId="10C9C5D2">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血压异常分析</w:t>
            </w:r>
          </w:p>
        </w:tc>
        <w:tc>
          <w:tcPr>
            <w:tcW w:w="4962" w:type="dxa"/>
            <w:noWrap w:val="0"/>
            <w:vAlign w:val="center"/>
          </w:tcPr>
          <w:p w14:paraId="562B6B35">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当体检报告显示血压偏高时，系统可以提醒患者需要进一步关注血压的控制，并给出一些建议，如改善饮食、增加运动等。</w:t>
            </w:r>
          </w:p>
        </w:tc>
      </w:tr>
      <w:tr w14:paraId="6ABAB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28C2C066">
            <w:pPr>
              <w:widowControl/>
              <w:spacing w:beforeLines="0"/>
              <w:jc w:val="left"/>
              <w:rPr>
                <w:rFonts w:ascii="宋体" w:hAnsi="宋体" w:cs="宋体"/>
                <w:color w:val="auto"/>
                <w:kern w:val="0"/>
                <w:sz w:val="22"/>
                <w:szCs w:val="22"/>
                <w:highlight w:val="none"/>
              </w:rPr>
            </w:pPr>
          </w:p>
        </w:tc>
        <w:tc>
          <w:tcPr>
            <w:tcW w:w="2409" w:type="dxa"/>
            <w:noWrap w:val="0"/>
            <w:vAlign w:val="center"/>
          </w:tcPr>
          <w:p w14:paraId="2A415A63">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血糖异常分析</w:t>
            </w:r>
          </w:p>
        </w:tc>
        <w:tc>
          <w:tcPr>
            <w:tcW w:w="4962" w:type="dxa"/>
            <w:noWrap w:val="0"/>
            <w:vAlign w:val="center"/>
          </w:tcPr>
          <w:p w14:paraId="719A3435">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当体检报告显示血糖水平偏高时，系统可以建议患者进一步检查以明确诊断，并给出相应的治疗建议。</w:t>
            </w:r>
          </w:p>
        </w:tc>
      </w:tr>
      <w:tr w14:paraId="1E861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4F222C78">
            <w:pPr>
              <w:widowControl/>
              <w:spacing w:beforeLines="0"/>
              <w:jc w:val="left"/>
              <w:rPr>
                <w:rFonts w:ascii="宋体" w:hAnsi="宋体" w:cs="宋体"/>
                <w:color w:val="auto"/>
                <w:kern w:val="0"/>
                <w:sz w:val="22"/>
                <w:szCs w:val="22"/>
                <w:highlight w:val="none"/>
              </w:rPr>
            </w:pPr>
          </w:p>
        </w:tc>
        <w:tc>
          <w:tcPr>
            <w:tcW w:w="2409" w:type="dxa"/>
            <w:noWrap w:val="0"/>
            <w:vAlign w:val="center"/>
          </w:tcPr>
          <w:p w14:paraId="63CC20DD">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检测结果分析</w:t>
            </w:r>
          </w:p>
        </w:tc>
        <w:tc>
          <w:tcPr>
            <w:tcW w:w="4962" w:type="dxa"/>
            <w:noWrap w:val="0"/>
            <w:vAlign w:val="center"/>
          </w:tcPr>
          <w:p w14:paraId="6A588074">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系统对体检报告中的各项检测结果进行分析，评估体检者的健康状况。通过对检测结果的解读，可以协助确定体检者是否存在某些疾病的风险或早期征兆。</w:t>
            </w:r>
          </w:p>
        </w:tc>
      </w:tr>
      <w:tr w14:paraId="4FDAF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3438D16D">
            <w:pPr>
              <w:widowControl/>
              <w:spacing w:beforeLines="0"/>
              <w:jc w:val="left"/>
              <w:rPr>
                <w:rFonts w:ascii="宋体" w:hAnsi="宋体" w:cs="宋体"/>
                <w:color w:val="auto"/>
                <w:kern w:val="0"/>
                <w:sz w:val="22"/>
                <w:szCs w:val="22"/>
                <w:highlight w:val="none"/>
              </w:rPr>
            </w:pPr>
          </w:p>
        </w:tc>
        <w:tc>
          <w:tcPr>
            <w:tcW w:w="2409" w:type="dxa"/>
            <w:noWrap w:val="0"/>
            <w:vAlign w:val="center"/>
          </w:tcPr>
          <w:p w14:paraId="3882FB58">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病史信息融合分析</w:t>
            </w:r>
          </w:p>
        </w:tc>
        <w:tc>
          <w:tcPr>
            <w:tcW w:w="4962" w:type="dxa"/>
            <w:noWrap w:val="0"/>
            <w:vAlign w:val="center"/>
          </w:tcPr>
          <w:p w14:paraId="6178A977">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系统可以将其他病史信息与体检报告结果进行融合分析，其他病史信息可能对解读体检报告具有重要的参考价值。</w:t>
            </w:r>
          </w:p>
        </w:tc>
      </w:tr>
      <w:tr w14:paraId="2D952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241EB582">
            <w:pPr>
              <w:widowControl/>
              <w:spacing w:beforeLines="0"/>
              <w:jc w:val="left"/>
              <w:rPr>
                <w:rFonts w:ascii="宋体" w:hAnsi="宋体" w:cs="宋体"/>
                <w:color w:val="auto"/>
                <w:kern w:val="0"/>
                <w:sz w:val="22"/>
                <w:szCs w:val="22"/>
                <w:highlight w:val="none"/>
              </w:rPr>
            </w:pPr>
          </w:p>
        </w:tc>
        <w:tc>
          <w:tcPr>
            <w:tcW w:w="2409" w:type="dxa"/>
            <w:noWrap w:val="0"/>
            <w:vAlign w:val="center"/>
          </w:tcPr>
          <w:p w14:paraId="1CC0E951">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医疗健康建议</w:t>
            </w:r>
          </w:p>
        </w:tc>
        <w:tc>
          <w:tcPr>
            <w:tcW w:w="4962" w:type="dxa"/>
            <w:noWrap w:val="0"/>
            <w:vAlign w:val="center"/>
          </w:tcPr>
          <w:p w14:paraId="58E98014">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为体检者提供一些健康建议，以帮助他们维持良好的健康状态。</w:t>
            </w:r>
          </w:p>
        </w:tc>
      </w:tr>
      <w:tr w14:paraId="2AEB1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7196693E">
            <w:pPr>
              <w:widowControl/>
              <w:spacing w:beforeLines="0"/>
              <w:jc w:val="left"/>
              <w:rPr>
                <w:rFonts w:ascii="宋体" w:hAnsi="宋体" w:cs="宋体"/>
                <w:color w:val="auto"/>
                <w:kern w:val="0"/>
                <w:sz w:val="22"/>
                <w:szCs w:val="22"/>
                <w:highlight w:val="none"/>
              </w:rPr>
            </w:pPr>
          </w:p>
        </w:tc>
        <w:tc>
          <w:tcPr>
            <w:tcW w:w="2409" w:type="dxa"/>
            <w:noWrap w:val="0"/>
            <w:vAlign w:val="center"/>
          </w:tcPr>
          <w:p w14:paraId="1E3A6054">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体检复查建议</w:t>
            </w:r>
          </w:p>
        </w:tc>
        <w:tc>
          <w:tcPr>
            <w:tcW w:w="4962" w:type="dxa"/>
            <w:noWrap w:val="0"/>
            <w:vAlign w:val="center"/>
          </w:tcPr>
          <w:p w14:paraId="68E3DBE5">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对于某些体检结果异常或存在疑点的体检者，系统可以建议他们进行进一步的复查，帮助进一步确诊或排除潜在的疾病，为患者提供正确的医疗建议。</w:t>
            </w:r>
          </w:p>
        </w:tc>
      </w:tr>
      <w:tr w14:paraId="2B847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restart"/>
            <w:noWrap w:val="0"/>
            <w:vAlign w:val="center"/>
          </w:tcPr>
          <w:p w14:paraId="6AF4E460">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监管端应用</w:t>
            </w:r>
          </w:p>
        </w:tc>
        <w:tc>
          <w:tcPr>
            <w:tcW w:w="2409" w:type="dxa"/>
            <w:noWrap w:val="0"/>
            <w:vAlign w:val="center"/>
          </w:tcPr>
          <w:p w14:paraId="290C1BB6">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累计数据资产统计</w:t>
            </w:r>
          </w:p>
        </w:tc>
        <w:tc>
          <w:tcPr>
            <w:tcW w:w="4962" w:type="dxa"/>
            <w:noWrap w:val="0"/>
            <w:vAlign w:val="center"/>
          </w:tcPr>
          <w:p w14:paraId="30920414">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支持对系统对接数据的累计体检报告数、体检患者数进行统计。</w:t>
            </w:r>
          </w:p>
        </w:tc>
      </w:tr>
      <w:tr w14:paraId="0455F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4EFF940C">
            <w:pPr>
              <w:widowControl/>
              <w:spacing w:beforeLines="0"/>
              <w:jc w:val="left"/>
              <w:rPr>
                <w:rFonts w:ascii="宋体" w:hAnsi="宋体" w:cs="宋体"/>
                <w:color w:val="auto"/>
                <w:kern w:val="0"/>
                <w:sz w:val="22"/>
                <w:szCs w:val="22"/>
                <w:highlight w:val="none"/>
              </w:rPr>
            </w:pPr>
          </w:p>
        </w:tc>
        <w:tc>
          <w:tcPr>
            <w:tcW w:w="2409" w:type="dxa"/>
            <w:noWrap w:val="0"/>
            <w:vAlign w:val="center"/>
          </w:tcPr>
          <w:p w14:paraId="4EE9E760">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新增数据资产统计</w:t>
            </w:r>
          </w:p>
        </w:tc>
        <w:tc>
          <w:tcPr>
            <w:tcW w:w="4962" w:type="dxa"/>
            <w:noWrap w:val="0"/>
            <w:vAlign w:val="center"/>
          </w:tcPr>
          <w:p w14:paraId="11971E6D">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支持对系统对接数据的新增报告数、患者数进行统计。 </w:t>
            </w:r>
          </w:p>
        </w:tc>
      </w:tr>
      <w:tr w14:paraId="2498E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2D97B8B0">
            <w:pPr>
              <w:widowControl/>
              <w:spacing w:beforeLines="0"/>
              <w:jc w:val="left"/>
              <w:rPr>
                <w:rFonts w:ascii="宋体" w:hAnsi="宋体" w:cs="宋体"/>
                <w:color w:val="auto"/>
                <w:kern w:val="0"/>
                <w:sz w:val="22"/>
                <w:szCs w:val="22"/>
                <w:highlight w:val="none"/>
              </w:rPr>
            </w:pPr>
          </w:p>
        </w:tc>
        <w:tc>
          <w:tcPr>
            <w:tcW w:w="2409" w:type="dxa"/>
            <w:noWrap w:val="0"/>
            <w:vAlign w:val="center"/>
          </w:tcPr>
          <w:p w14:paraId="29345B64">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体检报告数量趋势变化</w:t>
            </w:r>
          </w:p>
        </w:tc>
        <w:tc>
          <w:tcPr>
            <w:tcW w:w="4962" w:type="dxa"/>
            <w:noWrap w:val="0"/>
            <w:vAlign w:val="center"/>
          </w:tcPr>
          <w:p w14:paraId="21EA18E1">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支持对系统对接数据的体检报告数量趋势变化进行可视化展示。</w:t>
            </w:r>
          </w:p>
        </w:tc>
      </w:tr>
      <w:tr w14:paraId="6EF05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723C8A25">
            <w:pPr>
              <w:widowControl/>
              <w:spacing w:beforeLines="0"/>
              <w:jc w:val="left"/>
              <w:rPr>
                <w:rFonts w:ascii="宋体" w:hAnsi="宋体" w:cs="宋体"/>
                <w:color w:val="auto"/>
                <w:kern w:val="0"/>
                <w:sz w:val="22"/>
                <w:szCs w:val="22"/>
                <w:highlight w:val="none"/>
              </w:rPr>
            </w:pPr>
          </w:p>
        </w:tc>
        <w:tc>
          <w:tcPr>
            <w:tcW w:w="2409" w:type="dxa"/>
            <w:noWrap w:val="0"/>
            <w:vAlign w:val="center"/>
          </w:tcPr>
          <w:p w14:paraId="663775A9">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体检患者数量趋势变化</w:t>
            </w:r>
          </w:p>
        </w:tc>
        <w:tc>
          <w:tcPr>
            <w:tcW w:w="4962" w:type="dxa"/>
            <w:noWrap w:val="0"/>
            <w:vAlign w:val="center"/>
          </w:tcPr>
          <w:p w14:paraId="2A4688EB">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支持对系统对接数据的体检数量趋势变化进行可视化展示。</w:t>
            </w:r>
          </w:p>
        </w:tc>
      </w:tr>
      <w:tr w14:paraId="1A80A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33322877">
            <w:pPr>
              <w:widowControl/>
              <w:spacing w:beforeLines="0"/>
              <w:jc w:val="left"/>
              <w:rPr>
                <w:rFonts w:ascii="宋体" w:hAnsi="宋体" w:cs="宋体"/>
                <w:color w:val="auto"/>
                <w:kern w:val="0"/>
                <w:sz w:val="22"/>
                <w:szCs w:val="22"/>
                <w:highlight w:val="none"/>
              </w:rPr>
            </w:pPr>
          </w:p>
        </w:tc>
        <w:tc>
          <w:tcPr>
            <w:tcW w:w="2409" w:type="dxa"/>
            <w:noWrap w:val="0"/>
            <w:vAlign w:val="center"/>
          </w:tcPr>
          <w:p w14:paraId="3CC6FDBF">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体检报告多维度查询</w:t>
            </w:r>
          </w:p>
        </w:tc>
        <w:tc>
          <w:tcPr>
            <w:tcW w:w="4962" w:type="dxa"/>
            <w:noWrap w:val="0"/>
            <w:vAlign w:val="center"/>
          </w:tcPr>
          <w:p w14:paraId="790E457F">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提供对体检报告的多维度查询功能。用户可以通过关键词搜索的方式进行体检报告的查询，并进行结果查看。</w:t>
            </w:r>
          </w:p>
        </w:tc>
      </w:tr>
      <w:tr w14:paraId="25747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5A790FD9">
            <w:pPr>
              <w:widowControl/>
              <w:spacing w:beforeLines="0"/>
              <w:jc w:val="left"/>
              <w:rPr>
                <w:rFonts w:ascii="宋体" w:hAnsi="宋体" w:cs="宋体"/>
                <w:color w:val="auto"/>
                <w:kern w:val="0"/>
                <w:sz w:val="22"/>
                <w:szCs w:val="22"/>
                <w:highlight w:val="none"/>
              </w:rPr>
            </w:pPr>
          </w:p>
        </w:tc>
        <w:tc>
          <w:tcPr>
            <w:tcW w:w="2409" w:type="dxa"/>
            <w:noWrap w:val="0"/>
            <w:vAlign w:val="center"/>
          </w:tcPr>
          <w:p w14:paraId="4AC44648">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关键词搜索框</w:t>
            </w:r>
          </w:p>
        </w:tc>
        <w:tc>
          <w:tcPr>
            <w:tcW w:w="4962" w:type="dxa"/>
            <w:noWrap w:val="0"/>
            <w:vAlign w:val="center"/>
          </w:tcPr>
          <w:p w14:paraId="598CF900">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提供一个关键词搜索框，支持用户输入搜索关键词。用户只需在搜索框中输入想要查找的关键词，点击搜索按钮，系统便会返回与该关键词相关的体检报告信息，方便快速获取所需信息。</w:t>
            </w:r>
          </w:p>
        </w:tc>
      </w:tr>
      <w:tr w14:paraId="4FC77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35C6388F">
            <w:pPr>
              <w:widowControl/>
              <w:spacing w:beforeLines="0"/>
              <w:jc w:val="left"/>
              <w:rPr>
                <w:rFonts w:ascii="宋体" w:hAnsi="宋体" w:cs="宋体"/>
                <w:color w:val="auto"/>
                <w:kern w:val="0"/>
                <w:sz w:val="22"/>
                <w:szCs w:val="22"/>
                <w:highlight w:val="none"/>
              </w:rPr>
            </w:pPr>
          </w:p>
        </w:tc>
        <w:tc>
          <w:tcPr>
            <w:tcW w:w="2409" w:type="dxa"/>
            <w:noWrap w:val="0"/>
            <w:vAlign w:val="center"/>
          </w:tcPr>
          <w:p w14:paraId="34D77A8D">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关键词分词处理</w:t>
            </w:r>
          </w:p>
        </w:tc>
        <w:tc>
          <w:tcPr>
            <w:tcW w:w="4962" w:type="dxa"/>
            <w:noWrap w:val="0"/>
            <w:vAlign w:val="center"/>
          </w:tcPr>
          <w:p w14:paraId="34508BB0">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支持对用户输入的关键词进行文本分析，将其分拆成多个实体词。支持在精确模式的基础上进行切分，从而提高召回率。这种分词处理技术有助于更全面地理解用户需求，提供更精准的搜索结果。</w:t>
            </w:r>
          </w:p>
        </w:tc>
      </w:tr>
      <w:tr w14:paraId="4D246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3E08252A">
            <w:pPr>
              <w:widowControl/>
              <w:spacing w:beforeLines="0"/>
              <w:jc w:val="left"/>
              <w:rPr>
                <w:rFonts w:ascii="宋体" w:hAnsi="宋体" w:cs="宋体"/>
                <w:color w:val="auto"/>
                <w:kern w:val="0"/>
                <w:sz w:val="22"/>
                <w:szCs w:val="22"/>
                <w:highlight w:val="none"/>
              </w:rPr>
            </w:pPr>
          </w:p>
        </w:tc>
        <w:tc>
          <w:tcPr>
            <w:tcW w:w="2409" w:type="dxa"/>
            <w:noWrap w:val="0"/>
            <w:vAlign w:val="center"/>
          </w:tcPr>
          <w:p w14:paraId="16CB3F8A">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关键词搜索结果排序</w:t>
            </w:r>
          </w:p>
        </w:tc>
        <w:tc>
          <w:tcPr>
            <w:tcW w:w="4962" w:type="dxa"/>
            <w:noWrap w:val="0"/>
            <w:vAlign w:val="center"/>
          </w:tcPr>
          <w:p w14:paraId="0C5A61AC">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按照搜索结果的相关性进行排序展示。通过复杂的算法对搜索结果进行排序，系统确保用户能够在前几页甚至前几项中看到最相关的内容。这种排序机制帮助用户快速筛选出最重要的信息，提高信息检索的效率和质量。</w:t>
            </w:r>
          </w:p>
        </w:tc>
      </w:tr>
      <w:tr w14:paraId="5C40C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36909CC5">
            <w:pPr>
              <w:widowControl/>
              <w:spacing w:beforeLines="0"/>
              <w:jc w:val="left"/>
              <w:rPr>
                <w:rFonts w:ascii="宋体" w:hAnsi="宋体" w:cs="宋体"/>
                <w:color w:val="auto"/>
                <w:kern w:val="0"/>
                <w:sz w:val="22"/>
                <w:szCs w:val="22"/>
                <w:highlight w:val="none"/>
              </w:rPr>
            </w:pPr>
          </w:p>
        </w:tc>
        <w:tc>
          <w:tcPr>
            <w:tcW w:w="2409" w:type="dxa"/>
            <w:noWrap w:val="0"/>
            <w:vAlign w:val="center"/>
          </w:tcPr>
          <w:p w14:paraId="40E9816C">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关键词搜索结果分页</w:t>
            </w:r>
          </w:p>
        </w:tc>
        <w:tc>
          <w:tcPr>
            <w:tcW w:w="4962" w:type="dxa"/>
            <w:noWrap w:val="0"/>
            <w:vAlign w:val="center"/>
          </w:tcPr>
          <w:p w14:paraId="3FCB83A0">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提供搜索结果分页功能，允许用户通过切换分页的方式浏览搜索结果。每页显示一定数量的结果，用户可以根据需要选择查看不同页码的内容，避免了一次性加载过多数据导致的页面加载缓慢问题，提升了用户体验。</w:t>
            </w:r>
          </w:p>
        </w:tc>
      </w:tr>
      <w:tr w14:paraId="1D8DA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46D1940E">
            <w:pPr>
              <w:widowControl/>
              <w:spacing w:beforeLines="0"/>
              <w:jc w:val="left"/>
              <w:rPr>
                <w:rFonts w:ascii="宋体" w:hAnsi="宋体" w:cs="宋体"/>
                <w:color w:val="auto"/>
                <w:kern w:val="0"/>
                <w:sz w:val="22"/>
                <w:szCs w:val="22"/>
                <w:highlight w:val="none"/>
              </w:rPr>
            </w:pPr>
          </w:p>
        </w:tc>
        <w:tc>
          <w:tcPr>
            <w:tcW w:w="2409" w:type="dxa"/>
            <w:noWrap w:val="0"/>
            <w:vAlign w:val="center"/>
          </w:tcPr>
          <w:p w14:paraId="382B2914">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体检报告查看</w:t>
            </w:r>
          </w:p>
        </w:tc>
        <w:tc>
          <w:tcPr>
            <w:tcW w:w="4962" w:type="dxa"/>
            <w:noWrap w:val="0"/>
            <w:vAlign w:val="center"/>
          </w:tcPr>
          <w:p w14:paraId="03220008">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支持查看体检报告数据详情，包括基本信息、体检数据信息。</w:t>
            </w:r>
          </w:p>
        </w:tc>
      </w:tr>
      <w:tr w14:paraId="12045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6D6CAD54">
            <w:pPr>
              <w:widowControl/>
              <w:spacing w:beforeLines="0"/>
              <w:jc w:val="left"/>
              <w:rPr>
                <w:rFonts w:ascii="宋体" w:hAnsi="宋体" w:cs="宋体"/>
                <w:color w:val="auto"/>
                <w:kern w:val="0"/>
                <w:sz w:val="22"/>
                <w:szCs w:val="22"/>
                <w:highlight w:val="none"/>
              </w:rPr>
            </w:pPr>
          </w:p>
        </w:tc>
        <w:tc>
          <w:tcPr>
            <w:tcW w:w="2409" w:type="dxa"/>
            <w:noWrap w:val="0"/>
            <w:vAlign w:val="center"/>
          </w:tcPr>
          <w:p w14:paraId="1F71DDCE">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体检报告全生命周期展示</w:t>
            </w:r>
          </w:p>
        </w:tc>
        <w:tc>
          <w:tcPr>
            <w:tcW w:w="4962" w:type="dxa"/>
            <w:noWrap w:val="0"/>
            <w:vAlign w:val="center"/>
          </w:tcPr>
          <w:p w14:paraId="260D2226">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支持以时间方式排序，展示体检人在各个时间节点的体检标签，选择指定时间节点的标签信息即可查看完整体检报告信息。</w:t>
            </w:r>
          </w:p>
        </w:tc>
      </w:tr>
      <w:tr w14:paraId="302FB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0F86D250">
            <w:pPr>
              <w:widowControl/>
              <w:spacing w:beforeLines="0"/>
              <w:jc w:val="left"/>
              <w:rPr>
                <w:rFonts w:ascii="宋体" w:hAnsi="宋体" w:cs="宋体"/>
                <w:color w:val="auto"/>
                <w:kern w:val="0"/>
                <w:sz w:val="22"/>
                <w:szCs w:val="22"/>
                <w:highlight w:val="none"/>
              </w:rPr>
            </w:pPr>
          </w:p>
        </w:tc>
        <w:tc>
          <w:tcPr>
            <w:tcW w:w="2409" w:type="dxa"/>
            <w:noWrap w:val="0"/>
            <w:vAlign w:val="center"/>
          </w:tcPr>
          <w:p w14:paraId="363FB43D">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应覆盖机构数量统计</w:t>
            </w:r>
          </w:p>
        </w:tc>
        <w:tc>
          <w:tcPr>
            <w:tcW w:w="4962" w:type="dxa"/>
            <w:noWrap w:val="0"/>
            <w:vAlign w:val="center"/>
          </w:tcPr>
          <w:p w14:paraId="4720BDC7">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支持对项目应覆盖的机构数量进行统计，支持按等级医院、基层机构等不同维度进行分别统计。</w:t>
            </w:r>
          </w:p>
        </w:tc>
      </w:tr>
      <w:tr w14:paraId="306AE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08CFEDA2">
            <w:pPr>
              <w:widowControl/>
              <w:spacing w:beforeLines="0"/>
              <w:jc w:val="left"/>
              <w:rPr>
                <w:rFonts w:ascii="宋体" w:hAnsi="宋体" w:cs="宋体"/>
                <w:color w:val="auto"/>
                <w:kern w:val="0"/>
                <w:sz w:val="22"/>
                <w:szCs w:val="22"/>
                <w:highlight w:val="none"/>
              </w:rPr>
            </w:pPr>
          </w:p>
        </w:tc>
        <w:tc>
          <w:tcPr>
            <w:tcW w:w="2409" w:type="dxa"/>
            <w:noWrap w:val="0"/>
            <w:vAlign w:val="center"/>
          </w:tcPr>
          <w:p w14:paraId="05B261D8">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实际覆盖情况统计</w:t>
            </w:r>
          </w:p>
        </w:tc>
        <w:tc>
          <w:tcPr>
            <w:tcW w:w="4962" w:type="dxa"/>
            <w:noWrap w:val="0"/>
            <w:vAlign w:val="center"/>
          </w:tcPr>
          <w:p w14:paraId="32E6ED6E">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支持对项目实际覆盖的机构数量进行统计，支持按等级医院、基层机构等不同维度进行分别统计。</w:t>
            </w:r>
          </w:p>
        </w:tc>
      </w:tr>
      <w:tr w14:paraId="0B4AD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612D2326">
            <w:pPr>
              <w:widowControl/>
              <w:spacing w:beforeLines="0"/>
              <w:jc w:val="left"/>
              <w:rPr>
                <w:rFonts w:ascii="宋体" w:hAnsi="宋体" w:cs="宋体"/>
                <w:color w:val="auto"/>
                <w:kern w:val="0"/>
                <w:sz w:val="22"/>
                <w:szCs w:val="22"/>
                <w:highlight w:val="none"/>
              </w:rPr>
            </w:pPr>
          </w:p>
        </w:tc>
        <w:tc>
          <w:tcPr>
            <w:tcW w:w="2409" w:type="dxa"/>
            <w:noWrap w:val="0"/>
            <w:vAlign w:val="center"/>
          </w:tcPr>
          <w:p w14:paraId="62A37DAF">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监测覆盖度统计</w:t>
            </w:r>
          </w:p>
        </w:tc>
        <w:tc>
          <w:tcPr>
            <w:tcW w:w="4962" w:type="dxa"/>
            <w:noWrap w:val="0"/>
            <w:vAlign w:val="center"/>
          </w:tcPr>
          <w:p w14:paraId="6B412773">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支持对项目机构覆盖度进行统计，支持按等级医院、基层机构等不同维度进行分别统计。</w:t>
            </w:r>
          </w:p>
        </w:tc>
      </w:tr>
      <w:tr w14:paraId="259BE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0A5A8D5A">
            <w:pPr>
              <w:widowControl/>
              <w:spacing w:beforeLines="0"/>
              <w:jc w:val="left"/>
              <w:rPr>
                <w:rFonts w:ascii="宋体" w:hAnsi="宋体" w:cs="宋体"/>
                <w:color w:val="auto"/>
                <w:kern w:val="0"/>
                <w:sz w:val="22"/>
                <w:szCs w:val="22"/>
                <w:highlight w:val="none"/>
              </w:rPr>
            </w:pPr>
          </w:p>
        </w:tc>
        <w:tc>
          <w:tcPr>
            <w:tcW w:w="2409" w:type="dxa"/>
            <w:noWrap w:val="0"/>
            <w:vAlign w:val="center"/>
          </w:tcPr>
          <w:p w14:paraId="35CFE6C1">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各区域监测覆盖度排行</w:t>
            </w:r>
          </w:p>
        </w:tc>
        <w:tc>
          <w:tcPr>
            <w:tcW w:w="4962" w:type="dxa"/>
            <w:noWrap w:val="0"/>
            <w:vAlign w:val="center"/>
          </w:tcPr>
          <w:p w14:paraId="4525E62C">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支持对项目各区域机构监测覆盖度排位进行可视化展示，支持按等级医院、基层机构等不同维度进行分别统计。</w:t>
            </w:r>
          </w:p>
        </w:tc>
      </w:tr>
      <w:tr w14:paraId="7936D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3C8F5B88">
            <w:pPr>
              <w:widowControl/>
              <w:spacing w:beforeLines="0"/>
              <w:jc w:val="left"/>
              <w:rPr>
                <w:rFonts w:ascii="宋体" w:hAnsi="宋体" w:cs="宋体"/>
                <w:color w:val="auto"/>
                <w:kern w:val="0"/>
                <w:sz w:val="22"/>
                <w:szCs w:val="22"/>
                <w:highlight w:val="none"/>
              </w:rPr>
            </w:pPr>
          </w:p>
        </w:tc>
        <w:tc>
          <w:tcPr>
            <w:tcW w:w="2409" w:type="dxa"/>
            <w:noWrap w:val="0"/>
            <w:vAlign w:val="center"/>
          </w:tcPr>
          <w:p w14:paraId="235CA0BE">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各区域监测覆盖度明细</w:t>
            </w:r>
          </w:p>
        </w:tc>
        <w:tc>
          <w:tcPr>
            <w:tcW w:w="4962" w:type="dxa"/>
            <w:noWrap w:val="0"/>
            <w:vAlign w:val="center"/>
          </w:tcPr>
          <w:p w14:paraId="23870E6C">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支持对项目各区域机构监测覆盖度统计明细进行展示，支持按区域查询汇总指标数据，支持按等级医院、基层机构等不同维度进行分别统计。</w:t>
            </w:r>
          </w:p>
        </w:tc>
      </w:tr>
      <w:tr w14:paraId="7A9C8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6B8B908E">
            <w:pPr>
              <w:widowControl/>
              <w:spacing w:beforeLines="0"/>
              <w:jc w:val="left"/>
              <w:rPr>
                <w:rFonts w:ascii="宋体" w:hAnsi="宋体" w:cs="宋体"/>
                <w:color w:val="auto"/>
                <w:kern w:val="0"/>
                <w:sz w:val="22"/>
                <w:szCs w:val="22"/>
                <w:highlight w:val="none"/>
              </w:rPr>
            </w:pPr>
          </w:p>
        </w:tc>
        <w:tc>
          <w:tcPr>
            <w:tcW w:w="2409" w:type="dxa"/>
            <w:noWrap w:val="0"/>
            <w:vAlign w:val="center"/>
          </w:tcPr>
          <w:p w14:paraId="2B1B4407">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机构上报排位分析</w:t>
            </w:r>
          </w:p>
        </w:tc>
        <w:tc>
          <w:tcPr>
            <w:tcW w:w="4962" w:type="dxa"/>
            <w:noWrap w:val="0"/>
            <w:vAlign w:val="center"/>
          </w:tcPr>
          <w:p w14:paraId="400547C6">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支持机构上报排位分析，帮助了解不同医疗机构进行体检报告的活跃程度。通过分析医疗机构的体检数据，揭示哪些机构在体检时的业务吞吐量较大。</w:t>
            </w:r>
          </w:p>
        </w:tc>
      </w:tr>
      <w:tr w14:paraId="450CA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7CD9B346">
            <w:pPr>
              <w:widowControl/>
              <w:spacing w:beforeLines="0"/>
              <w:jc w:val="left"/>
              <w:rPr>
                <w:rFonts w:ascii="宋体" w:hAnsi="宋体" w:cs="宋体"/>
                <w:color w:val="auto"/>
                <w:kern w:val="0"/>
                <w:sz w:val="22"/>
                <w:szCs w:val="22"/>
                <w:highlight w:val="none"/>
              </w:rPr>
            </w:pPr>
          </w:p>
        </w:tc>
        <w:tc>
          <w:tcPr>
            <w:tcW w:w="2409" w:type="dxa"/>
            <w:noWrap w:val="0"/>
            <w:vAlign w:val="center"/>
          </w:tcPr>
          <w:p w14:paraId="351F8C7A">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机构分类排位分析</w:t>
            </w:r>
          </w:p>
        </w:tc>
        <w:tc>
          <w:tcPr>
            <w:tcW w:w="4962" w:type="dxa"/>
            <w:noWrap w:val="0"/>
            <w:vAlign w:val="center"/>
          </w:tcPr>
          <w:p w14:paraId="40B70218">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支持体检报告类型排位分析，帮助了解不同体检报告类型的分布情况。通过分析体检报告的分布情况，揭示哪些类型的体检人数较多，有助于了解整体的体检分布状况。</w:t>
            </w:r>
          </w:p>
        </w:tc>
      </w:tr>
      <w:tr w14:paraId="745C5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7896000D">
            <w:pPr>
              <w:widowControl/>
              <w:spacing w:beforeLines="0"/>
              <w:jc w:val="left"/>
              <w:rPr>
                <w:rFonts w:ascii="宋体" w:hAnsi="宋体" w:cs="宋体"/>
                <w:color w:val="auto"/>
                <w:kern w:val="0"/>
                <w:sz w:val="22"/>
                <w:szCs w:val="22"/>
                <w:highlight w:val="none"/>
              </w:rPr>
            </w:pPr>
          </w:p>
        </w:tc>
        <w:tc>
          <w:tcPr>
            <w:tcW w:w="2409" w:type="dxa"/>
            <w:noWrap w:val="0"/>
            <w:vAlign w:val="center"/>
          </w:tcPr>
          <w:p w14:paraId="579AAC69">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体检总数统计</w:t>
            </w:r>
          </w:p>
        </w:tc>
        <w:tc>
          <w:tcPr>
            <w:tcW w:w="4962" w:type="dxa"/>
            <w:noWrap w:val="0"/>
            <w:vAlign w:val="center"/>
          </w:tcPr>
          <w:p w14:paraId="0AC135B3">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系统支持对体检总人次、体检总人数等指标进行统计与展示，支持了解本管辖区服务的总量情况。</w:t>
            </w:r>
          </w:p>
        </w:tc>
      </w:tr>
      <w:tr w14:paraId="05605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050D12B2">
            <w:pPr>
              <w:widowControl/>
              <w:spacing w:beforeLines="0"/>
              <w:jc w:val="left"/>
              <w:rPr>
                <w:rFonts w:ascii="宋体" w:hAnsi="宋体" w:cs="宋体"/>
                <w:color w:val="auto"/>
                <w:kern w:val="0"/>
                <w:sz w:val="22"/>
                <w:szCs w:val="22"/>
                <w:highlight w:val="none"/>
              </w:rPr>
            </w:pPr>
          </w:p>
        </w:tc>
        <w:tc>
          <w:tcPr>
            <w:tcW w:w="2409" w:type="dxa"/>
            <w:noWrap w:val="0"/>
            <w:vAlign w:val="center"/>
          </w:tcPr>
          <w:p w14:paraId="2FB516F0">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体检趋势情况分析</w:t>
            </w:r>
          </w:p>
        </w:tc>
        <w:tc>
          <w:tcPr>
            <w:tcW w:w="4962" w:type="dxa"/>
            <w:noWrap w:val="0"/>
            <w:vAlign w:val="center"/>
          </w:tcPr>
          <w:p w14:paraId="6E3DF591">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系统支持按年、季、月时间维度展示体检人员总数变化情况趋势图，方便管理人员了解年度、季度、月度体检人次的变化情况，为管理层提供人员支撑的决策支持。</w:t>
            </w:r>
          </w:p>
        </w:tc>
      </w:tr>
      <w:tr w14:paraId="17A32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7DDB0CAA">
            <w:pPr>
              <w:widowControl/>
              <w:spacing w:beforeLines="0"/>
              <w:jc w:val="left"/>
              <w:rPr>
                <w:rFonts w:ascii="宋体" w:hAnsi="宋体" w:cs="宋体"/>
                <w:color w:val="auto"/>
                <w:kern w:val="0"/>
                <w:sz w:val="22"/>
                <w:szCs w:val="22"/>
                <w:highlight w:val="none"/>
              </w:rPr>
            </w:pPr>
          </w:p>
        </w:tc>
        <w:tc>
          <w:tcPr>
            <w:tcW w:w="2409" w:type="dxa"/>
            <w:noWrap w:val="0"/>
            <w:vAlign w:val="center"/>
          </w:tcPr>
          <w:p w14:paraId="0018E351">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机构业务量分析</w:t>
            </w:r>
          </w:p>
        </w:tc>
        <w:tc>
          <w:tcPr>
            <w:tcW w:w="4962" w:type="dxa"/>
            <w:noWrap w:val="0"/>
            <w:vAlign w:val="center"/>
          </w:tcPr>
          <w:p w14:paraId="6DA9B65E">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系统支持查看一定时间范围内各机构体检量，用于识别各机构的人员负荷情况，以便有针对性的进行人员调配和培养。</w:t>
            </w:r>
          </w:p>
        </w:tc>
      </w:tr>
      <w:tr w14:paraId="3EF10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1755E9CB">
            <w:pPr>
              <w:widowControl/>
              <w:spacing w:beforeLines="0"/>
              <w:jc w:val="left"/>
              <w:rPr>
                <w:rFonts w:ascii="宋体" w:hAnsi="宋体" w:cs="宋体"/>
                <w:color w:val="auto"/>
                <w:kern w:val="0"/>
                <w:sz w:val="22"/>
                <w:szCs w:val="22"/>
                <w:highlight w:val="none"/>
              </w:rPr>
            </w:pPr>
          </w:p>
        </w:tc>
        <w:tc>
          <w:tcPr>
            <w:tcW w:w="2409" w:type="dxa"/>
            <w:noWrap w:val="0"/>
            <w:vAlign w:val="center"/>
          </w:tcPr>
          <w:p w14:paraId="7C7F5221">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机构TOP5分析</w:t>
            </w:r>
          </w:p>
        </w:tc>
        <w:tc>
          <w:tcPr>
            <w:tcW w:w="4962" w:type="dxa"/>
            <w:noWrap w:val="0"/>
            <w:vAlign w:val="center"/>
          </w:tcPr>
          <w:p w14:paraId="538601EF">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系统支持查看一定时间范围内，体检量TOP5排名的机构。</w:t>
            </w:r>
          </w:p>
        </w:tc>
      </w:tr>
      <w:tr w14:paraId="7BF93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32AB04DC">
            <w:pPr>
              <w:widowControl/>
              <w:spacing w:beforeLines="0"/>
              <w:jc w:val="left"/>
              <w:rPr>
                <w:rFonts w:ascii="宋体" w:hAnsi="宋体" w:cs="宋体"/>
                <w:color w:val="auto"/>
                <w:kern w:val="0"/>
                <w:sz w:val="22"/>
                <w:szCs w:val="22"/>
                <w:highlight w:val="none"/>
              </w:rPr>
            </w:pPr>
          </w:p>
        </w:tc>
        <w:tc>
          <w:tcPr>
            <w:tcW w:w="2409" w:type="dxa"/>
            <w:noWrap w:val="0"/>
            <w:vAlign w:val="center"/>
          </w:tcPr>
          <w:p w14:paraId="30D42479">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体检病例年龄占比及分析</w:t>
            </w:r>
          </w:p>
        </w:tc>
        <w:tc>
          <w:tcPr>
            <w:tcW w:w="4962" w:type="dxa"/>
            <w:noWrap w:val="0"/>
            <w:vAlign w:val="center"/>
          </w:tcPr>
          <w:p w14:paraId="13C95CB1">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系统支持可查看一定时间范围内，体检居民年龄占比情况并以可视化的形式进行展示，为管理人员进行以年龄为专题的分析提供更直观决策分析图，以便了解本管理辖区的体检年龄分布情况。</w:t>
            </w:r>
          </w:p>
        </w:tc>
      </w:tr>
      <w:tr w14:paraId="74350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09905440">
            <w:pPr>
              <w:widowControl/>
              <w:spacing w:beforeLines="0"/>
              <w:jc w:val="left"/>
              <w:rPr>
                <w:rFonts w:ascii="宋体" w:hAnsi="宋体" w:cs="宋体"/>
                <w:color w:val="auto"/>
                <w:kern w:val="0"/>
                <w:sz w:val="22"/>
                <w:szCs w:val="22"/>
                <w:highlight w:val="none"/>
              </w:rPr>
            </w:pPr>
          </w:p>
        </w:tc>
        <w:tc>
          <w:tcPr>
            <w:tcW w:w="2409" w:type="dxa"/>
            <w:noWrap w:val="0"/>
            <w:vAlign w:val="center"/>
          </w:tcPr>
          <w:p w14:paraId="2C99C42B">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体检病例性别占比及分析</w:t>
            </w:r>
          </w:p>
        </w:tc>
        <w:tc>
          <w:tcPr>
            <w:tcW w:w="4962" w:type="dxa"/>
            <w:noWrap w:val="0"/>
            <w:vAlign w:val="center"/>
          </w:tcPr>
          <w:p w14:paraId="26FE62ED">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系统支持可查看一定时间范围内，体检人员的性别占比情况并以可视化的形式进行展示，为管理人员进行以性别为专题的分析提供更直观决策分析图，以便了解本管理辖区的体检性别分布情况。</w:t>
            </w:r>
          </w:p>
        </w:tc>
      </w:tr>
      <w:tr w14:paraId="0D601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3ED7558C">
            <w:pPr>
              <w:widowControl/>
              <w:spacing w:beforeLines="0"/>
              <w:jc w:val="left"/>
              <w:rPr>
                <w:rFonts w:ascii="宋体" w:hAnsi="宋体" w:cs="宋体"/>
                <w:color w:val="auto"/>
                <w:kern w:val="0"/>
                <w:sz w:val="22"/>
                <w:szCs w:val="22"/>
                <w:highlight w:val="none"/>
              </w:rPr>
            </w:pPr>
          </w:p>
        </w:tc>
        <w:tc>
          <w:tcPr>
            <w:tcW w:w="2409" w:type="dxa"/>
            <w:noWrap w:val="0"/>
            <w:vAlign w:val="center"/>
          </w:tcPr>
          <w:p w14:paraId="52BDB764">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体检指标项阳性检出率</w:t>
            </w:r>
          </w:p>
        </w:tc>
        <w:tc>
          <w:tcPr>
            <w:tcW w:w="4962" w:type="dxa"/>
            <w:noWrap w:val="0"/>
            <w:vAlign w:val="center"/>
          </w:tcPr>
          <w:p w14:paraId="147C09CC">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系统支持查看一定时间范围内，特定指标项的阳性检出率。</w:t>
            </w:r>
          </w:p>
        </w:tc>
      </w:tr>
      <w:tr w14:paraId="26EA8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125AEC79">
            <w:pPr>
              <w:widowControl/>
              <w:spacing w:beforeLines="0"/>
              <w:jc w:val="left"/>
              <w:rPr>
                <w:rFonts w:ascii="宋体" w:hAnsi="宋体" w:cs="宋体"/>
                <w:color w:val="auto"/>
                <w:kern w:val="0"/>
                <w:sz w:val="22"/>
                <w:szCs w:val="22"/>
                <w:highlight w:val="none"/>
              </w:rPr>
            </w:pPr>
          </w:p>
        </w:tc>
        <w:tc>
          <w:tcPr>
            <w:tcW w:w="2409" w:type="dxa"/>
            <w:noWrap w:val="0"/>
            <w:vAlign w:val="center"/>
          </w:tcPr>
          <w:p w14:paraId="1DC93692">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体检病例肥胖人员占比及分析</w:t>
            </w:r>
          </w:p>
        </w:tc>
        <w:tc>
          <w:tcPr>
            <w:tcW w:w="4962" w:type="dxa"/>
            <w:noWrap w:val="0"/>
            <w:vAlign w:val="center"/>
          </w:tcPr>
          <w:p w14:paraId="4ED2B4DA">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系统支持可查看一定时间范围内，体检人员的肥胖占比情况并以可视化的形式进行展示，为管理人员进行以体重为专题的分析提供更直观决策分析图，以便了解本管理辖区的体检体重分布情况。</w:t>
            </w:r>
          </w:p>
        </w:tc>
      </w:tr>
      <w:tr w14:paraId="69CE2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52C56C6F">
            <w:pPr>
              <w:widowControl/>
              <w:spacing w:beforeLines="0"/>
              <w:jc w:val="left"/>
              <w:rPr>
                <w:rFonts w:ascii="宋体" w:hAnsi="宋体" w:cs="宋体"/>
                <w:color w:val="auto"/>
                <w:kern w:val="0"/>
                <w:sz w:val="22"/>
                <w:szCs w:val="22"/>
                <w:highlight w:val="none"/>
              </w:rPr>
            </w:pPr>
          </w:p>
        </w:tc>
        <w:tc>
          <w:tcPr>
            <w:tcW w:w="2409" w:type="dxa"/>
            <w:noWrap w:val="0"/>
            <w:vAlign w:val="center"/>
          </w:tcPr>
          <w:p w14:paraId="7760A26D">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体检病例生活方式和健康状态分析</w:t>
            </w:r>
          </w:p>
        </w:tc>
        <w:tc>
          <w:tcPr>
            <w:tcW w:w="4962" w:type="dxa"/>
            <w:noWrap w:val="0"/>
            <w:vAlign w:val="center"/>
          </w:tcPr>
          <w:p w14:paraId="631ECA61">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系统支持查看一定时间范围内，相关体检人员的生活方式情况，以便了解本辖区的老年人生活方式是否健康，为后续健康宣教重点宣教对象提供决策支持。</w:t>
            </w:r>
          </w:p>
        </w:tc>
      </w:tr>
      <w:tr w14:paraId="24AF5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56A31445">
            <w:pPr>
              <w:widowControl/>
              <w:spacing w:beforeLines="0"/>
              <w:jc w:val="left"/>
              <w:rPr>
                <w:rFonts w:ascii="宋体" w:hAnsi="宋体" w:cs="宋体"/>
                <w:color w:val="auto"/>
                <w:kern w:val="0"/>
                <w:sz w:val="22"/>
                <w:szCs w:val="22"/>
                <w:highlight w:val="none"/>
              </w:rPr>
            </w:pPr>
          </w:p>
        </w:tc>
        <w:tc>
          <w:tcPr>
            <w:tcW w:w="2409" w:type="dxa"/>
            <w:noWrap w:val="0"/>
            <w:vAlign w:val="center"/>
          </w:tcPr>
          <w:p w14:paraId="66B8491C">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体检病例乙肝检测阳性检出率</w:t>
            </w:r>
          </w:p>
        </w:tc>
        <w:tc>
          <w:tcPr>
            <w:tcW w:w="4962" w:type="dxa"/>
            <w:noWrap w:val="0"/>
            <w:vAlign w:val="center"/>
          </w:tcPr>
          <w:p w14:paraId="0EF71095">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系统支持查看一定时间范围内，乙肝阳性检出率。</w:t>
            </w:r>
          </w:p>
        </w:tc>
      </w:tr>
      <w:tr w14:paraId="202C9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2E10F6F8">
            <w:pPr>
              <w:widowControl/>
              <w:spacing w:beforeLines="0"/>
              <w:jc w:val="left"/>
              <w:rPr>
                <w:rFonts w:ascii="宋体" w:hAnsi="宋体" w:cs="宋体"/>
                <w:color w:val="auto"/>
                <w:kern w:val="0"/>
                <w:sz w:val="22"/>
                <w:szCs w:val="22"/>
                <w:highlight w:val="none"/>
              </w:rPr>
            </w:pPr>
          </w:p>
        </w:tc>
        <w:tc>
          <w:tcPr>
            <w:tcW w:w="2409" w:type="dxa"/>
            <w:noWrap w:val="0"/>
            <w:vAlign w:val="center"/>
          </w:tcPr>
          <w:p w14:paraId="0DA7D0BC">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体检病例血脂异常检测阳性检出率</w:t>
            </w:r>
          </w:p>
        </w:tc>
        <w:tc>
          <w:tcPr>
            <w:tcW w:w="4962" w:type="dxa"/>
            <w:noWrap w:val="0"/>
            <w:vAlign w:val="center"/>
          </w:tcPr>
          <w:p w14:paraId="157D717D">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系统支持查看一定时间范围内，血脂异常阳性检出率。</w:t>
            </w:r>
          </w:p>
        </w:tc>
      </w:tr>
      <w:tr w14:paraId="27C9A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3E0708C3">
            <w:pPr>
              <w:widowControl/>
              <w:spacing w:beforeLines="0"/>
              <w:jc w:val="left"/>
              <w:rPr>
                <w:rFonts w:ascii="宋体" w:hAnsi="宋体" w:cs="宋体"/>
                <w:color w:val="auto"/>
                <w:kern w:val="0"/>
                <w:sz w:val="22"/>
                <w:szCs w:val="22"/>
                <w:highlight w:val="none"/>
              </w:rPr>
            </w:pPr>
          </w:p>
        </w:tc>
        <w:tc>
          <w:tcPr>
            <w:tcW w:w="2409" w:type="dxa"/>
            <w:noWrap w:val="0"/>
            <w:vAlign w:val="center"/>
          </w:tcPr>
          <w:p w14:paraId="56EBD8EF">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体检病例肿瘤标志物检测阳性检出率</w:t>
            </w:r>
          </w:p>
        </w:tc>
        <w:tc>
          <w:tcPr>
            <w:tcW w:w="4962" w:type="dxa"/>
            <w:noWrap w:val="0"/>
            <w:vAlign w:val="center"/>
          </w:tcPr>
          <w:p w14:paraId="0B43990A">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系统支持查看一定时间范围内，肿瘤标志物阳性检出率。</w:t>
            </w:r>
          </w:p>
        </w:tc>
      </w:tr>
      <w:tr w14:paraId="0ED6A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79F889D8">
            <w:pPr>
              <w:widowControl/>
              <w:spacing w:beforeLines="0"/>
              <w:jc w:val="left"/>
              <w:rPr>
                <w:rFonts w:ascii="宋体" w:hAnsi="宋体" w:cs="宋体"/>
                <w:color w:val="auto"/>
                <w:kern w:val="0"/>
                <w:sz w:val="22"/>
                <w:szCs w:val="22"/>
                <w:highlight w:val="none"/>
              </w:rPr>
            </w:pPr>
          </w:p>
        </w:tc>
        <w:tc>
          <w:tcPr>
            <w:tcW w:w="2409" w:type="dxa"/>
            <w:noWrap w:val="0"/>
            <w:vAlign w:val="center"/>
          </w:tcPr>
          <w:p w14:paraId="3A860892">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体检病例宫颈涂片阳性检出率</w:t>
            </w:r>
          </w:p>
        </w:tc>
        <w:tc>
          <w:tcPr>
            <w:tcW w:w="4962" w:type="dxa"/>
            <w:noWrap w:val="0"/>
            <w:vAlign w:val="center"/>
          </w:tcPr>
          <w:p w14:paraId="68612E39">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系统支持查看一定时间范围内，宫颈涂片阳性检出率。</w:t>
            </w:r>
          </w:p>
        </w:tc>
      </w:tr>
      <w:tr w14:paraId="1ECF1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restart"/>
            <w:noWrap w:val="0"/>
            <w:vAlign w:val="center"/>
          </w:tcPr>
          <w:p w14:paraId="64B1754F">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医生端应用</w:t>
            </w:r>
          </w:p>
        </w:tc>
        <w:tc>
          <w:tcPr>
            <w:tcW w:w="2409" w:type="dxa"/>
            <w:noWrap w:val="0"/>
            <w:vAlign w:val="center"/>
          </w:tcPr>
          <w:p w14:paraId="25923113">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医生端关键词搜索框</w:t>
            </w:r>
          </w:p>
        </w:tc>
        <w:tc>
          <w:tcPr>
            <w:tcW w:w="4962" w:type="dxa"/>
            <w:noWrap w:val="0"/>
            <w:vAlign w:val="center"/>
          </w:tcPr>
          <w:p w14:paraId="4EDEB63B">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针对医生端提供一个关键词搜索框，支持用户输入搜索关键词。用户只需在搜索框中输入想要查找的关键词，点击搜索按钮，系统便会返回与该关键词相关的体检报告信息，方便快速获取所需信息。</w:t>
            </w:r>
          </w:p>
        </w:tc>
      </w:tr>
      <w:tr w14:paraId="2A9AC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53A6334B">
            <w:pPr>
              <w:widowControl/>
              <w:spacing w:beforeLines="0"/>
              <w:jc w:val="left"/>
              <w:rPr>
                <w:rFonts w:ascii="宋体" w:hAnsi="宋体" w:cs="宋体"/>
                <w:color w:val="auto"/>
                <w:kern w:val="0"/>
                <w:sz w:val="22"/>
                <w:szCs w:val="22"/>
                <w:highlight w:val="none"/>
              </w:rPr>
            </w:pPr>
          </w:p>
        </w:tc>
        <w:tc>
          <w:tcPr>
            <w:tcW w:w="2409" w:type="dxa"/>
            <w:noWrap w:val="0"/>
            <w:vAlign w:val="center"/>
          </w:tcPr>
          <w:p w14:paraId="035CFB83">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医生端关键词分词处理</w:t>
            </w:r>
          </w:p>
        </w:tc>
        <w:tc>
          <w:tcPr>
            <w:tcW w:w="4962" w:type="dxa"/>
            <w:noWrap w:val="0"/>
            <w:vAlign w:val="center"/>
          </w:tcPr>
          <w:p w14:paraId="0104B695">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针对医生端支持对用户输入的关键词进行文本分析，将其分拆成多个实体词。支持在精确模式的基础上进行切分，从而提高召回率。</w:t>
            </w:r>
          </w:p>
        </w:tc>
      </w:tr>
      <w:tr w14:paraId="1338C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545DB08D">
            <w:pPr>
              <w:widowControl/>
              <w:spacing w:beforeLines="0"/>
              <w:jc w:val="left"/>
              <w:rPr>
                <w:rFonts w:ascii="宋体" w:hAnsi="宋体" w:cs="宋体"/>
                <w:color w:val="auto"/>
                <w:kern w:val="0"/>
                <w:sz w:val="22"/>
                <w:szCs w:val="22"/>
                <w:highlight w:val="none"/>
              </w:rPr>
            </w:pPr>
          </w:p>
        </w:tc>
        <w:tc>
          <w:tcPr>
            <w:tcW w:w="2409" w:type="dxa"/>
            <w:noWrap w:val="0"/>
            <w:vAlign w:val="center"/>
          </w:tcPr>
          <w:p w14:paraId="0464677A">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医生端关键词搜索结果排序</w:t>
            </w:r>
          </w:p>
        </w:tc>
        <w:tc>
          <w:tcPr>
            <w:tcW w:w="4962" w:type="dxa"/>
            <w:noWrap w:val="0"/>
            <w:vAlign w:val="center"/>
          </w:tcPr>
          <w:p w14:paraId="70EEA8A1">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针对医生端支持按照搜索结果的相关性进行排序展示。通过复杂的算法对搜索结果进行排序。</w:t>
            </w:r>
          </w:p>
        </w:tc>
      </w:tr>
      <w:tr w14:paraId="241DF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07B2D55E">
            <w:pPr>
              <w:widowControl/>
              <w:spacing w:beforeLines="0"/>
              <w:jc w:val="left"/>
              <w:rPr>
                <w:rFonts w:ascii="宋体" w:hAnsi="宋体" w:cs="宋体"/>
                <w:color w:val="auto"/>
                <w:kern w:val="0"/>
                <w:sz w:val="22"/>
                <w:szCs w:val="22"/>
                <w:highlight w:val="none"/>
              </w:rPr>
            </w:pPr>
          </w:p>
        </w:tc>
        <w:tc>
          <w:tcPr>
            <w:tcW w:w="2409" w:type="dxa"/>
            <w:noWrap w:val="0"/>
            <w:vAlign w:val="center"/>
          </w:tcPr>
          <w:p w14:paraId="069402EA">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医生端关键词搜索结果分页</w:t>
            </w:r>
          </w:p>
        </w:tc>
        <w:tc>
          <w:tcPr>
            <w:tcW w:w="4962" w:type="dxa"/>
            <w:noWrap w:val="0"/>
            <w:vAlign w:val="center"/>
          </w:tcPr>
          <w:p w14:paraId="244C7F6D">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针对医生端支持提供搜索结果分页功能，允许用户通过切换分页的方式浏览搜索结果。</w:t>
            </w:r>
          </w:p>
        </w:tc>
      </w:tr>
      <w:tr w14:paraId="3297D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3E5448CF">
            <w:pPr>
              <w:widowControl/>
              <w:spacing w:beforeLines="0"/>
              <w:jc w:val="left"/>
              <w:rPr>
                <w:rFonts w:ascii="宋体" w:hAnsi="宋体" w:cs="宋体"/>
                <w:color w:val="auto"/>
                <w:kern w:val="0"/>
                <w:sz w:val="22"/>
                <w:szCs w:val="22"/>
                <w:highlight w:val="none"/>
              </w:rPr>
            </w:pPr>
          </w:p>
        </w:tc>
        <w:tc>
          <w:tcPr>
            <w:tcW w:w="2409" w:type="dxa"/>
            <w:noWrap w:val="0"/>
            <w:vAlign w:val="center"/>
          </w:tcPr>
          <w:p w14:paraId="19A3D9AC">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体检报告查看</w:t>
            </w:r>
          </w:p>
        </w:tc>
        <w:tc>
          <w:tcPr>
            <w:tcW w:w="4962" w:type="dxa"/>
            <w:noWrap w:val="0"/>
            <w:vAlign w:val="center"/>
          </w:tcPr>
          <w:p w14:paraId="0C1286E8">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支持查看体检报告数据详情，包括基本信息、体检数据信息。</w:t>
            </w:r>
          </w:p>
        </w:tc>
      </w:tr>
      <w:tr w14:paraId="7D6F4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3DC501D3">
            <w:pPr>
              <w:widowControl/>
              <w:spacing w:beforeLines="0"/>
              <w:jc w:val="left"/>
              <w:rPr>
                <w:rFonts w:ascii="宋体" w:hAnsi="宋体" w:cs="宋体"/>
                <w:color w:val="auto"/>
                <w:kern w:val="0"/>
                <w:sz w:val="22"/>
                <w:szCs w:val="22"/>
                <w:highlight w:val="none"/>
              </w:rPr>
            </w:pPr>
          </w:p>
        </w:tc>
        <w:tc>
          <w:tcPr>
            <w:tcW w:w="2409" w:type="dxa"/>
            <w:noWrap w:val="0"/>
            <w:vAlign w:val="center"/>
          </w:tcPr>
          <w:p w14:paraId="61B0061C">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体检报告全生命周期展示</w:t>
            </w:r>
          </w:p>
        </w:tc>
        <w:tc>
          <w:tcPr>
            <w:tcW w:w="4962" w:type="dxa"/>
            <w:noWrap w:val="0"/>
            <w:vAlign w:val="center"/>
          </w:tcPr>
          <w:p w14:paraId="0C4ACD13">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支持以时间方式排序，展示体检人在各个时间节点的体检标签，选择指定时间节点的标签信息即可查看完整体检报告信息。</w:t>
            </w:r>
          </w:p>
        </w:tc>
      </w:tr>
      <w:tr w14:paraId="34659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5A5A49FD">
            <w:pPr>
              <w:widowControl/>
              <w:spacing w:beforeLines="0"/>
              <w:jc w:val="left"/>
              <w:rPr>
                <w:rFonts w:ascii="宋体" w:hAnsi="宋体" w:cs="宋体"/>
                <w:color w:val="auto"/>
                <w:kern w:val="0"/>
                <w:sz w:val="22"/>
                <w:szCs w:val="22"/>
                <w:highlight w:val="none"/>
              </w:rPr>
            </w:pPr>
          </w:p>
        </w:tc>
        <w:tc>
          <w:tcPr>
            <w:tcW w:w="2409" w:type="dxa"/>
            <w:noWrap w:val="0"/>
            <w:vAlign w:val="center"/>
          </w:tcPr>
          <w:p w14:paraId="1A3CADB9">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异常数据标记</w:t>
            </w:r>
          </w:p>
        </w:tc>
        <w:tc>
          <w:tcPr>
            <w:tcW w:w="4962" w:type="dxa"/>
            <w:noWrap w:val="0"/>
            <w:vAlign w:val="center"/>
          </w:tcPr>
          <w:p w14:paraId="399020B1">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系统支持通过先进的数据分析技术，识别并标记体检报告中的异常数据。</w:t>
            </w:r>
          </w:p>
        </w:tc>
      </w:tr>
      <w:tr w14:paraId="0829E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08D5A001">
            <w:pPr>
              <w:widowControl/>
              <w:spacing w:beforeLines="0"/>
              <w:jc w:val="left"/>
              <w:rPr>
                <w:rFonts w:ascii="宋体" w:hAnsi="宋体" w:cs="宋体"/>
                <w:color w:val="auto"/>
                <w:kern w:val="0"/>
                <w:sz w:val="22"/>
                <w:szCs w:val="22"/>
                <w:highlight w:val="none"/>
              </w:rPr>
            </w:pPr>
          </w:p>
        </w:tc>
        <w:tc>
          <w:tcPr>
            <w:tcW w:w="2409" w:type="dxa"/>
            <w:noWrap w:val="0"/>
            <w:vAlign w:val="center"/>
          </w:tcPr>
          <w:p w14:paraId="484F08F6">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异常信息提示</w:t>
            </w:r>
          </w:p>
        </w:tc>
        <w:tc>
          <w:tcPr>
            <w:tcW w:w="4962" w:type="dxa"/>
            <w:noWrap w:val="0"/>
            <w:vAlign w:val="center"/>
          </w:tcPr>
          <w:p w14:paraId="212E9FC1">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支持医生可快速查看体检患者中的异常信息，用于对患者进行提示。</w:t>
            </w:r>
          </w:p>
        </w:tc>
      </w:tr>
      <w:tr w14:paraId="15C34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40414162">
            <w:pPr>
              <w:widowControl/>
              <w:spacing w:beforeLines="0"/>
              <w:jc w:val="left"/>
              <w:rPr>
                <w:rFonts w:ascii="宋体" w:hAnsi="宋体" w:cs="宋体"/>
                <w:color w:val="auto"/>
                <w:kern w:val="0"/>
                <w:sz w:val="22"/>
                <w:szCs w:val="22"/>
                <w:highlight w:val="none"/>
              </w:rPr>
            </w:pPr>
          </w:p>
        </w:tc>
        <w:tc>
          <w:tcPr>
            <w:tcW w:w="2409" w:type="dxa"/>
            <w:noWrap w:val="0"/>
            <w:vAlign w:val="center"/>
          </w:tcPr>
          <w:p w14:paraId="7AEBDCD5">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常规体检历史数据比对</w:t>
            </w:r>
          </w:p>
        </w:tc>
        <w:tc>
          <w:tcPr>
            <w:tcW w:w="4962" w:type="dxa"/>
            <w:noWrap w:val="0"/>
            <w:vAlign w:val="center"/>
          </w:tcPr>
          <w:p w14:paraId="21FC0744">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系统支持自动提取体检关键数据，并进行比较分析并展示出数据的变化趋势，通过历史数据的智能比对，能够更加清晰地分析体检患者健康状况及发展情况趋势。</w:t>
            </w:r>
          </w:p>
        </w:tc>
      </w:tr>
      <w:tr w14:paraId="6A175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7BBBFB0C">
            <w:pPr>
              <w:widowControl/>
              <w:spacing w:beforeLines="0"/>
              <w:jc w:val="left"/>
              <w:rPr>
                <w:rFonts w:ascii="宋体" w:hAnsi="宋体" w:cs="宋体"/>
                <w:color w:val="auto"/>
                <w:kern w:val="0"/>
                <w:sz w:val="22"/>
                <w:szCs w:val="22"/>
                <w:highlight w:val="none"/>
              </w:rPr>
            </w:pPr>
          </w:p>
        </w:tc>
        <w:tc>
          <w:tcPr>
            <w:tcW w:w="2409" w:type="dxa"/>
            <w:noWrap w:val="0"/>
            <w:vAlign w:val="center"/>
          </w:tcPr>
          <w:p w14:paraId="1E9C26E2">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健康管理计划</w:t>
            </w:r>
          </w:p>
        </w:tc>
        <w:tc>
          <w:tcPr>
            <w:tcW w:w="4962" w:type="dxa"/>
            <w:noWrap w:val="0"/>
            <w:vAlign w:val="center"/>
          </w:tcPr>
          <w:p w14:paraId="604A371E">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健康管理建议根据体检人的身体状况、生活习惯、遗传因素等信息，制定出适合其个人的健康管理计划。</w:t>
            </w:r>
          </w:p>
        </w:tc>
      </w:tr>
      <w:tr w14:paraId="4E87A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4D834EF0">
            <w:pPr>
              <w:widowControl/>
              <w:spacing w:beforeLines="0"/>
              <w:jc w:val="left"/>
              <w:rPr>
                <w:rFonts w:ascii="宋体" w:hAnsi="宋体" w:cs="宋体"/>
                <w:color w:val="auto"/>
                <w:kern w:val="0"/>
                <w:sz w:val="22"/>
                <w:szCs w:val="22"/>
                <w:highlight w:val="none"/>
              </w:rPr>
            </w:pPr>
          </w:p>
        </w:tc>
        <w:tc>
          <w:tcPr>
            <w:tcW w:w="2409" w:type="dxa"/>
            <w:noWrap w:val="0"/>
            <w:vAlign w:val="center"/>
          </w:tcPr>
          <w:p w14:paraId="41F846E0">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饮食方案计划</w:t>
            </w:r>
          </w:p>
        </w:tc>
        <w:tc>
          <w:tcPr>
            <w:tcW w:w="4962" w:type="dxa"/>
            <w:noWrap w:val="0"/>
            <w:vAlign w:val="center"/>
          </w:tcPr>
          <w:p w14:paraId="6CD0DD9D">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根据个体的身体状况和营养需求，制定出合理的饮食计划，包括食物名称、摄入量等。</w:t>
            </w:r>
          </w:p>
        </w:tc>
      </w:tr>
      <w:tr w14:paraId="3F66A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7A0789FE">
            <w:pPr>
              <w:widowControl/>
              <w:spacing w:beforeLines="0"/>
              <w:jc w:val="left"/>
              <w:rPr>
                <w:rFonts w:ascii="宋体" w:hAnsi="宋体" w:cs="宋体"/>
                <w:color w:val="auto"/>
                <w:kern w:val="0"/>
                <w:sz w:val="22"/>
                <w:szCs w:val="22"/>
                <w:highlight w:val="none"/>
              </w:rPr>
            </w:pPr>
          </w:p>
        </w:tc>
        <w:tc>
          <w:tcPr>
            <w:tcW w:w="2409" w:type="dxa"/>
            <w:noWrap w:val="0"/>
            <w:vAlign w:val="center"/>
          </w:tcPr>
          <w:p w14:paraId="263C8C35">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运动方案计划</w:t>
            </w:r>
          </w:p>
        </w:tc>
        <w:tc>
          <w:tcPr>
            <w:tcW w:w="4962" w:type="dxa"/>
            <w:noWrap w:val="0"/>
            <w:vAlign w:val="center"/>
          </w:tcPr>
          <w:p w14:paraId="32593E5E">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根据个体的身体状况和运动能力，制定出适合其个人的运动计划，包括运动类型、强度和频率等。</w:t>
            </w:r>
          </w:p>
        </w:tc>
      </w:tr>
      <w:tr w14:paraId="66664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restart"/>
            <w:noWrap w:val="0"/>
            <w:vAlign w:val="center"/>
          </w:tcPr>
          <w:p w14:paraId="5D243991">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居民端应用</w:t>
            </w:r>
          </w:p>
        </w:tc>
        <w:tc>
          <w:tcPr>
            <w:tcW w:w="2409" w:type="dxa"/>
            <w:noWrap w:val="0"/>
            <w:vAlign w:val="center"/>
          </w:tcPr>
          <w:p w14:paraId="26AA2ED2">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用户登录</w:t>
            </w:r>
          </w:p>
        </w:tc>
        <w:tc>
          <w:tcPr>
            <w:tcW w:w="4962" w:type="dxa"/>
            <w:noWrap w:val="0"/>
            <w:vAlign w:val="center"/>
          </w:tcPr>
          <w:p w14:paraId="7AA2A366">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实现用户登录功能，支持用户通过手机号登录。</w:t>
            </w:r>
          </w:p>
        </w:tc>
      </w:tr>
      <w:tr w14:paraId="695C1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37854A5F">
            <w:pPr>
              <w:widowControl/>
              <w:spacing w:beforeLines="0"/>
              <w:jc w:val="left"/>
              <w:rPr>
                <w:rFonts w:ascii="宋体" w:hAnsi="宋体" w:cs="宋体"/>
                <w:color w:val="auto"/>
                <w:kern w:val="0"/>
                <w:sz w:val="22"/>
                <w:szCs w:val="22"/>
                <w:highlight w:val="none"/>
              </w:rPr>
            </w:pPr>
          </w:p>
        </w:tc>
        <w:tc>
          <w:tcPr>
            <w:tcW w:w="2409" w:type="dxa"/>
            <w:noWrap w:val="0"/>
            <w:vAlign w:val="center"/>
          </w:tcPr>
          <w:p w14:paraId="0EE42681">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用户隐私管理</w:t>
            </w:r>
          </w:p>
        </w:tc>
        <w:tc>
          <w:tcPr>
            <w:tcW w:w="4962" w:type="dxa"/>
            <w:noWrap w:val="0"/>
            <w:vAlign w:val="center"/>
          </w:tcPr>
          <w:p w14:paraId="773E7926">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支持查看隐私政策、用户协议，登录必须勾选隐私政策，进入后查询查看系统功能。</w:t>
            </w:r>
          </w:p>
        </w:tc>
      </w:tr>
      <w:tr w14:paraId="67C76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4A0A94D0">
            <w:pPr>
              <w:widowControl/>
              <w:spacing w:beforeLines="0"/>
              <w:jc w:val="left"/>
              <w:rPr>
                <w:rFonts w:ascii="宋体" w:hAnsi="宋体" w:cs="宋体"/>
                <w:color w:val="auto"/>
                <w:kern w:val="0"/>
                <w:sz w:val="22"/>
                <w:szCs w:val="22"/>
                <w:highlight w:val="none"/>
              </w:rPr>
            </w:pPr>
          </w:p>
        </w:tc>
        <w:tc>
          <w:tcPr>
            <w:tcW w:w="2409" w:type="dxa"/>
            <w:noWrap w:val="0"/>
            <w:vAlign w:val="center"/>
          </w:tcPr>
          <w:p w14:paraId="78C3FF58">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体检报告列表</w:t>
            </w:r>
          </w:p>
        </w:tc>
        <w:tc>
          <w:tcPr>
            <w:tcW w:w="4962" w:type="dxa"/>
            <w:noWrap w:val="0"/>
            <w:vAlign w:val="center"/>
          </w:tcPr>
          <w:p w14:paraId="16FB1909">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支持查看该用户账号下全量的体检报告列表，包括体检人姓名、体检人性别、体检报告名称、报告日期及查看报告的操作。</w:t>
            </w:r>
          </w:p>
        </w:tc>
      </w:tr>
      <w:tr w14:paraId="0111F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0E9AA593">
            <w:pPr>
              <w:widowControl/>
              <w:spacing w:beforeLines="0"/>
              <w:jc w:val="left"/>
              <w:rPr>
                <w:rFonts w:ascii="宋体" w:hAnsi="宋体" w:cs="宋体"/>
                <w:color w:val="auto"/>
                <w:kern w:val="0"/>
                <w:sz w:val="22"/>
                <w:szCs w:val="22"/>
                <w:highlight w:val="none"/>
              </w:rPr>
            </w:pPr>
          </w:p>
        </w:tc>
        <w:tc>
          <w:tcPr>
            <w:tcW w:w="2409" w:type="dxa"/>
            <w:noWrap w:val="0"/>
            <w:vAlign w:val="center"/>
          </w:tcPr>
          <w:p w14:paraId="5A0240C7">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详情查看</w:t>
            </w:r>
          </w:p>
        </w:tc>
        <w:tc>
          <w:tcPr>
            <w:tcW w:w="4962" w:type="dxa"/>
            <w:noWrap w:val="0"/>
            <w:vAlign w:val="center"/>
          </w:tcPr>
          <w:p w14:paraId="5B62A463">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支持点击【查看报告】可查看该体检报告的详情。</w:t>
            </w:r>
          </w:p>
        </w:tc>
      </w:tr>
      <w:tr w14:paraId="253EE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3BD77A6F">
            <w:pPr>
              <w:widowControl/>
              <w:spacing w:beforeLines="0"/>
              <w:jc w:val="left"/>
              <w:rPr>
                <w:rFonts w:ascii="宋体" w:hAnsi="宋体" w:cs="宋体"/>
                <w:color w:val="auto"/>
                <w:kern w:val="0"/>
                <w:sz w:val="22"/>
                <w:szCs w:val="22"/>
                <w:highlight w:val="none"/>
              </w:rPr>
            </w:pPr>
          </w:p>
        </w:tc>
        <w:tc>
          <w:tcPr>
            <w:tcW w:w="2409" w:type="dxa"/>
            <w:noWrap w:val="0"/>
            <w:vAlign w:val="center"/>
          </w:tcPr>
          <w:p w14:paraId="09E65EF3">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体检报告全文查看</w:t>
            </w:r>
          </w:p>
        </w:tc>
        <w:tc>
          <w:tcPr>
            <w:tcW w:w="4962" w:type="dxa"/>
            <w:noWrap w:val="0"/>
            <w:vAlign w:val="center"/>
          </w:tcPr>
          <w:p w14:paraId="2759ECC0">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支持查看体检报告的详情内容，包括症状、一般状况、生活方式、脏器功能、查体、辅助检查、住院治疗情况、主要用药情况、非免疫规划预防接种史、健康评价、健康指导等检查内容。</w:t>
            </w:r>
          </w:p>
        </w:tc>
      </w:tr>
      <w:tr w14:paraId="698E4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6499EE68">
            <w:pPr>
              <w:widowControl/>
              <w:spacing w:beforeLines="0"/>
              <w:jc w:val="left"/>
              <w:rPr>
                <w:rFonts w:ascii="宋体" w:hAnsi="宋体" w:cs="宋体"/>
                <w:color w:val="auto"/>
                <w:kern w:val="0"/>
                <w:sz w:val="22"/>
                <w:szCs w:val="22"/>
                <w:highlight w:val="none"/>
              </w:rPr>
            </w:pPr>
          </w:p>
        </w:tc>
        <w:tc>
          <w:tcPr>
            <w:tcW w:w="2409" w:type="dxa"/>
            <w:noWrap w:val="0"/>
            <w:vAlign w:val="center"/>
          </w:tcPr>
          <w:p w14:paraId="648CC17C">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体检报告异常项查看</w:t>
            </w:r>
          </w:p>
        </w:tc>
        <w:tc>
          <w:tcPr>
            <w:tcW w:w="4962" w:type="dxa"/>
            <w:noWrap w:val="0"/>
            <w:vAlign w:val="center"/>
          </w:tcPr>
          <w:p w14:paraId="569B9556">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系统支持通过先进的数据分析技术，识别体检者体检报告中的异常数据，如血压、血糖等关键指标。</w:t>
            </w:r>
          </w:p>
        </w:tc>
      </w:tr>
      <w:tr w14:paraId="0D115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654C414C">
            <w:pPr>
              <w:widowControl/>
              <w:spacing w:beforeLines="0"/>
              <w:jc w:val="left"/>
              <w:rPr>
                <w:rFonts w:ascii="宋体" w:hAnsi="宋体" w:cs="宋体"/>
                <w:color w:val="auto"/>
                <w:kern w:val="0"/>
                <w:sz w:val="22"/>
                <w:szCs w:val="22"/>
                <w:highlight w:val="none"/>
              </w:rPr>
            </w:pPr>
          </w:p>
        </w:tc>
        <w:tc>
          <w:tcPr>
            <w:tcW w:w="2409" w:type="dxa"/>
            <w:noWrap w:val="0"/>
            <w:vAlign w:val="center"/>
          </w:tcPr>
          <w:p w14:paraId="212C4C30">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体检异常识别</w:t>
            </w:r>
          </w:p>
        </w:tc>
        <w:tc>
          <w:tcPr>
            <w:tcW w:w="4962" w:type="dxa"/>
            <w:noWrap w:val="0"/>
            <w:vAlign w:val="center"/>
          </w:tcPr>
          <w:p w14:paraId="13544F25">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支持用户端查看系统识别出来的异常项，实现早期发现和预防潜在问题的目的，提醒体检者及时关注和及时干预。</w:t>
            </w:r>
          </w:p>
        </w:tc>
      </w:tr>
      <w:tr w14:paraId="0A4A3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0608ABD0">
            <w:pPr>
              <w:widowControl/>
              <w:spacing w:beforeLines="0"/>
              <w:jc w:val="left"/>
              <w:rPr>
                <w:rFonts w:ascii="宋体" w:hAnsi="宋体" w:cs="宋体"/>
                <w:color w:val="auto"/>
                <w:kern w:val="0"/>
                <w:sz w:val="22"/>
                <w:szCs w:val="22"/>
                <w:highlight w:val="none"/>
              </w:rPr>
            </w:pPr>
          </w:p>
        </w:tc>
        <w:tc>
          <w:tcPr>
            <w:tcW w:w="2409" w:type="dxa"/>
            <w:noWrap w:val="0"/>
            <w:vAlign w:val="center"/>
          </w:tcPr>
          <w:p w14:paraId="3B826B2A">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体检数据提取</w:t>
            </w:r>
          </w:p>
        </w:tc>
        <w:tc>
          <w:tcPr>
            <w:tcW w:w="4962" w:type="dxa"/>
            <w:noWrap w:val="0"/>
            <w:vAlign w:val="center"/>
          </w:tcPr>
          <w:p w14:paraId="2EC579F3">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系统支持自动提取体检关键数据，如血压、血糖、胆固醇等指标。</w:t>
            </w:r>
          </w:p>
        </w:tc>
      </w:tr>
      <w:tr w14:paraId="388C9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0024EEC5">
            <w:pPr>
              <w:widowControl/>
              <w:spacing w:beforeLines="0"/>
              <w:jc w:val="left"/>
              <w:rPr>
                <w:rFonts w:ascii="宋体" w:hAnsi="宋体" w:cs="宋体"/>
                <w:color w:val="auto"/>
                <w:kern w:val="0"/>
                <w:sz w:val="22"/>
                <w:szCs w:val="22"/>
                <w:highlight w:val="none"/>
              </w:rPr>
            </w:pPr>
          </w:p>
        </w:tc>
        <w:tc>
          <w:tcPr>
            <w:tcW w:w="2409" w:type="dxa"/>
            <w:noWrap w:val="0"/>
            <w:vAlign w:val="center"/>
          </w:tcPr>
          <w:p w14:paraId="67705F42">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历史数据变化趋势</w:t>
            </w:r>
          </w:p>
        </w:tc>
        <w:tc>
          <w:tcPr>
            <w:tcW w:w="4962" w:type="dxa"/>
            <w:noWrap w:val="0"/>
            <w:vAlign w:val="center"/>
          </w:tcPr>
          <w:p w14:paraId="66AF3497">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进行比较分析并展示出数据的变化趋势，通过历史数据的智能比对，用户能够更加清晰地了解自己的健康状况，及时发现并处理健康问题。</w:t>
            </w:r>
          </w:p>
        </w:tc>
      </w:tr>
      <w:tr w14:paraId="4C97C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790DE582">
            <w:pPr>
              <w:widowControl/>
              <w:spacing w:beforeLines="0"/>
              <w:jc w:val="left"/>
              <w:rPr>
                <w:rFonts w:ascii="宋体" w:hAnsi="宋体" w:cs="宋体"/>
                <w:color w:val="auto"/>
                <w:kern w:val="0"/>
                <w:sz w:val="22"/>
                <w:szCs w:val="22"/>
                <w:highlight w:val="none"/>
              </w:rPr>
            </w:pPr>
          </w:p>
        </w:tc>
        <w:tc>
          <w:tcPr>
            <w:tcW w:w="2409" w:type="dxa"/>
            <w:noWrap w:val="0"/>
            <w:vAlign w:val="center"/>
          </w:tcPr>
          <w:p w14:paraId="66EEDBC0">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疾病风险预估</w:t>
            </w:r>
          </w:p>
        </w:tc>
        <w:tc>
          <w:tcPr>
            <w:tcW w:w="4962" w:type="dxa"/>
            <w:noWrap w:val="0"/>
            <w:vAlign w:val="center"/>
          </w:tcPr>
          <w:p w14:paraId="042E59F9">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用户端提供体检者登录后，查看体检报告的智能解读，解读内容报告疾病风险预估和健康管理方案。</w:t>
            </w:r>
          </w:p>
        </w:tc>
      </w:tr>
      <w:tr w14:paraId="7FD9C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2B6E8CED">
            <w:pPr>
              <w:widowControl/>
              <w:spacing w:beforeLines="0"/>
              <w:jc w:val="left"/>
              <w:rPr>
                <w:rFonts w:ascii="宋体" w:hAnsi="宋体" w:cs="宋体"/>
                <w:color w:val="auto"/>
                <w:kern w:val="0"/>
                <w:sz w:val="22"/>
                <w:szCs w:val="22"/>
                <w:highlight w:val="none"/>
              </w:rPr>
            </w:pPr>
          </w:p>
        </w:tc>
        <w:tc>
          <w:tcPr>
            <w:tcW w:w="2409" w:type="dxa"/>
            <w:noWrap w:val="0"/>
            <w:vAlign w:val="center"/>
          </w:tcPr>
          <w:p w14:paraId="645E91DF">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患病风险解读</w:t>
            </w:r>
          </w:p>
        </w:tc>
        <w:tc>
          <w:tcPr>
            <w:tcW w:w="4962" w:type="dxa"/>
            <w:noWrap w:val="0"/>
            <w:vAlign w:val="center"/>
          </w:tcPr>
          <w:p w14:paraId="68A62F2D">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sz w:val="24"/>
                <w:szCs w:val="24"/>
                <w:highlight w:val="none"/>
              </w:rPr>
              <w:t>▲</w:t>
            </w:r>
            <w:r>
              <w:rPr>
                <w:rFonts w:hint="eastAsia" w:ascii="宋体" w:hAnsi="宋体" w:cs="宋体"/>
                <w:color w:val="auto"/>
                <w:kern w:val="0"/>
                <w:sz w:val="22"/>
                <w:szCs w:val="22"/>
                <w:highlight w:val="none"/>
              </w:rPr>
              <w:t>体检报告AI智能解读主要是基于体检报告评估体检人员的患病风险等内容。</w:t>
            </w:r>
          </w:p>
        </w:tc>
      </w:tr>
      <w:tr w14:paraId="706A5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231669BC">
            <w:pPr>
              <w:widowControl/>
              <w:spacing w:beforeLines="0"/>
              <w:jc w:val="left"/>
              <w:rPr>
                <w:rFonts w:ascii="宋体" w:hAnsi="宋体" w:cs="宋体"/>
                <w:color w:val="auto"/>
                <w:kern w:val="0"/>
                <w:sz w:val="22"/>
                <w:szCs w:val="22"/>
                <w:highlight w:val="none"/>
              </w:rPr>
            </w:pPr>
          </w:p>
        </w:tc>
        <w:tc>
          <w:tcPr>
            <w:tcW w:w="2409" w:type="dxa"/>
            <w:noWrap w:val="0"/>
            <w:vAlign w:val="center"/>
          </w:tcPr>
          <w:p w14:paraId="134B4EC4">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健康管理计划</w:t>
            </w:r>
          </w:p>
        </w:tc>
        <w:tc>
          <w:tcPr>
            <w:tcW w:w="4962" w:type="dxa"/>
            <w:noWrap w:val="0"/>
            <w:vAlign w:val="center"/>
          </w:tcPr>
          <w:p w14:paraId="1F25F3C6">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健康管理建议根据其他类型体检者的身体状况、生活习惯、遗传因素等信息，制定出适合其个人的健康管理计划。</w:t>
            </w:r>
          </w:p>
        </w:tc>
      </w:tr>
      <w:tr w14:paraId="17510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15FEE9DB">
            <w:pPr>
              <w:widowControl/>
              <w:spacing w:beforeLines="0"/>
              <w:jc w:val="left"/>
              <w:rPr>
                <w:rFonts w:ascii="宋体" w:hAnsi="宋体" w:cs="宋体"/>
                <w:color w:val="auto"/>
                <w:kern w:val="0"/>
                <w:sz w:val="22"/>
                <w:szCs w:val="22"/>
                <w:highlight w:val="none"/>
              </w:rPr>
            </w:pPr>
          </w:p>
        </w:tc>
        <w:tc>
          <w:tcPr>
            <w:tcW w:w="2409" w:type="dxa"/>
            <w:noWrap w:val="0"/>
            <w:vAlign w:val="center"/>
          </w:tcPr>
          <w:p w14:paraId="18113460">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饮食方案计划</w:t>
            </w:r>
          </w:p>
        </w:tc>
        <w:tc>
          <w:tcPr>
            <w:tcW w:w="4962" w:type="dxa"/>
            <w:noWrap w:val="0"/>
            <w:vAlign w:val="center"/>
          </w:tcPr>
          <w:p w14:paraId="536E5925">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sz w:val="24"/>
                <w:szCs w:val="24"/>
                <w:highlight w:val="none"/>
              </w:rPr>
              <w:t>▲</w:t>
            </w:r>
            <w:r>
              <w:rPr>
                <w:rFonts w:hint="eastAsia" w:ascii="宋体" w:hAnsi="宋体" w:cs="宋体"/>
                <w:color w:val="auto"/>
                <w:kern w:val="0"/>
                <w:sz w:val="22"/>
                <w:szCs w:val="22"/>
                <w:highlight w:val="none"/>
              </w:rPr>
              <w:t>根据个体的身体状况和营养需求，制定出合理的饮食计划，包括食物名称、摄入量等。</w:t>
            </w:r>
          </w:p>
        </w:tc>
      </w:tr>
      <w:tr w14:paraId="66B6D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noWrap w:val="0"/>
            <w:vAlign w:val="center"/>
          </w:tcPr>
          <w:p w14:paraId="19FAF86E">
            <w:pPr>
              <w:widowControl/>
              <w:spacing w:beforeLines="0"/>
              <w:jc w:val="left"/>
              <w:rPr>
                <w:rFonts w:ascii="宋体" w:hAnsi="宋体" w:cs="宋体"/>
                <w:color w:val="auto"/>
                <w:kern w:val="0"/>
                <w:sz w:val="22"/>
                <w:szCs w:val="22"/>
                <w:highlight w:val="none"/>
              </w:rPr>
            </w:pPr>
          </w:p>
        </w:tc>
        <w:tc>
          <w:tcPr>
            <w:tcW w:w="2409" w:type="dxa"/>
            <w:noWrap w:val="0"/>
            <w:vAlign w:val="center"/>
          </w:tcPr>
          <w:p w14:paraId="3D9A5445">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运动方案计划</w:t>
            </w:r>
          </w:p>
        </w:tc>
        <w:tc>
          <w:tcPr>
            <w:tcW w:w="4962" w:type="dxa"/>
            <w:noWrap w:val="0"/>
            <w:vAlign w:val="center"/>
          </w:tcPr>
          <w:p w14:paraId="4121B527">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sz w:val="24"/>
                <w:szCs w:val="24"/>
                <w:highlight w:val="none"/>
              </w:rPr>
              <w:t>▲</w:t>
            </w:r>
            <w:r>
              <w:rPr>
                <w:rFonts w:hint="eastAsia" w:ascii="宋体" w:hAnsi="宋体" w:cs="宋体"/>
                <w:color w:val="auto"/>
                <w:kern w:val="0"/>
                <w:sz w:val="22"/>
                <w:szCs w:val="22"/>
                <w:highlight w:val="none"/>
              </w:rPr>
              <w:t>根据个体的身体状况和运动能力，制定出适合其个人的运动计划，包括运动类型、强度和频率等。</w:t>
            </w:r>
          </w:p>
        </w:tc>
      </w:tr>
    </w:tbl>
    <w:p w14:paraId="65AD72B2">
      <w:pPr>
        <w:spacing w:before="156"/>
        <w:rPr>
          <w:rFonts w:hint="eastAsia"/>
          <w:color w:val="auto"/>
          <w:highlight w:val="none"/>
        </w:rPr>
      </w:pPr>
    </w:p>
    <w:bookmarkEnd w:id="38"/>
    <w:bookmarkEnd w:id="39"/>
    <w:p w14:paraId="3E63869C">
      <w:pPr>
        <w:pStyle w:val="5"/>
        <w:numPr>
          <w:ilvl w:val="0"/>
          <w:numId w:val="0"/>
        </w:numPr>
        <w:ind w:left="822"/>
        <w:rPr>
          <w:rFonts w:ascii="宋体" w:hAnsi="宋体" w:cs="宋体"/>
          <w:color w:val="auto"/>
          <w:sz w:val="24"/>
          <w:szCs w:val="24"/>
          <w:highlight w:val="none"/>
        </w:rPr>
      </w:pPr>
      <w:r>
        <w:rPr>
          <w:rFonts w:hint="eastAsia" w:ascii="宋体" w:hAnsi="宋体" w:cs="宋体"/>
          <w:color w:val="auto"/>
          <w:sz w:val="24"/>
          <w:szCs w:val="24"/>
          <w:highlight w:val="none"/>
        </w:rPr>
        <w:t>3.2.4系统对接</w:t>
      </w:r>
    </w:p>
    <w:tbl>
      <w:tblPr>
        <w:tblStyle w:val="20"/>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0"/>
        <w:gridCol w:w="6638"/>
      </w:tblGrid>
      <w:tr w14:paraId="4D54F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0" w:type="dxa"/>
            <w:noWrap w:val="0"/>
            <w:vAlign w:val="center"/>
          </w:tcPr>
          <w:p w14:paraId="61C402EE">
            <w:pPr>
              <w:widowControl/>
              <w:spacing w:before="156"/>
              <w:jc w:val="center"/>
              <w:textAlignment w:val="center"/>
              <w:rPr>
                <w:rFonts w:hint="eastAsia" w:ascii="仿宋" w:hAnsi="仿宋" w:cs="仿宋"/>
                <w:b/>
                <w:bCs/>
                <w:color w:val="auto"/>
                <w:kern w:val="0"/>
                <w:sz w:val="22"/>
                <w:highlight w:val="none"/>
                <w:lang w:bidi="ar"/>
              </w:rPr>
            </w:pPr>
            <w:r>
              <w:rPr>
                <w:rFonts w:hint="eastAsia" w:ascii="仿宋" w:hAnsi="仿宋" w:cs="仿宋"/>
                <w:b/>
                <w:bCs/>
                <w:color w:val="auto"/>
                <w:kern w:val="0"/>
                <w:sz w:val="22"/>
                <w:highlight w:val="none"/>
                <w:lang w:bidi="ar"/>
              </w:rPr>
              <w:t>指标项</w:t>
            </w:r>
          </w:p>
        </w:tc>
        <w:tc>
          <w:tcPr>
            <w:tcW w:w="6638" w:type="dxa"/>
            <w:noWrap w:val="0"/>
            <w:vAlign w:val="center"/>
          </w:tcPr>
          <w:p w14:paraId="4856E389">
            <w:pPr>
              <w:widowControl/>
              <w:spacing w:before="156"/>
              <w:jc w:val="center"/>
              <w:textAlignment w:val="center"/>
              <w:rPr>
                <w:rFonts w:hint="eastAsia" w:ascii="仿宋" w:hAnsi="仿宋" w:cs="仿宋"/>
                <w:b/>
                <w:bCs/>
                <w:color w:val="auto"/>
                <w:kern w:val="0"/>
                <w:sz w:val="22"/>
                <w:highlight w:val="none"/>
                <w:lang w:bidi="ar"/>
              </w:rPr>
            </w:pPr>
            <w:r>
              <w:rPr>
                <w:rFonts w:hint="eastAsia" w:ascii="仿宋" w:hAnsi="仿宋" w:cs="仿宋"/>
                <w:b/>
                <w:bCs/>
                <w:color w:val="auto"/>
                <w:kern w:val="0"/>
                <w:sz w:val="22"/>
                <w:highlight w:val="none"/>
                <w:lang w:bidi="ar"/>
              </w:rPr>
              <w:t>指标要求</w:t>
            </w:r>
          </w:p>
        </w:tc>
      </w:tr>
      <w:tr w14:paraId="07F27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0" w:type="dxa"/>
            <w:noWrap w:val="0"/>
            <w:vAlign w:val="center"/>
          </w:tcPr>
          <w:p w14:paraId="7068D1B9">
            <w:pPr>
              <w:widowControl/>
              <w:spacing w:before="156"/>
              <w:jc w:val="left"/>
              <w:textAlignment w:val="center"/>
              <w:rPr>
                <w:rFonts w:ascii="仿宋" w:hAnsi="仿宋" w:cs="仿宋"/>
                <w:color w:val="auto"/>
                <w:sz w:val="22"/>
                <w:highlight w:val="none"/>
              </w:rPr>
            </w:pPr>
            <w:r>
              <w:rPr>
                <w:rFonts w:hint="eastAsia" w:ascii="仿宋" w:hAnsi="仿宋" w:cs="仿宋"/>
                <w:color w:val="auto"/>
                <w:kern w:val="0"/>
                <w:sz w:val="22"/>
                <w:highlight w:val="none"/>
                <w:lang w:bidi="ar"/>
              </w:rPr>
              <w:t>诸暨健康大脑一体化平台对接</w:t>
            </w:r>
          </w:p>
        </w:tc>
        <w:tc>
          <w:tcPr>
            <w:tcW w:w="6638" w:type="dxa"/>
            <w:noWrap w:val="0"/>
            <w:vAlign w:val="center"/>
          </w:tcPr>
          <w:p w14:paraId="6FEEEFCE">
            <w:pPr>
              <w:widowControl/>
              <w:spacing w:before="156"/>
              <w:jc w:val="left"/>
              <w:textAlignment w:val="center"/>
              <w:rPr>
                <w:rFonts w:ascii="仿宋" w:hAnsi="仿宋" w:cs="仿宋"/>
                <w:color w:val="auto"/>
                <w:sz w:val="22"/>
                <w:highlight w:val="none"/>
              </w:rPr>
            </w:pPr>
            <w:r>
              <w:rPr>
                <w:rFonts w:hint="eastAsia" w:ascii="仿宋" w:hAnsi="仿宋" w:cs="仿宋"/>
                <w:color w:val="auto"/>
                <w:kern w:val="0"/>
                <w:sz w:val="22"/>
                <w:highlight w:val="none"/>
                <w:lang w:bidi="ar"/>
              </w:rPr>
              <w:t>与诸暨健康大脑一体化平台对接，归集两慢病的基础医疗、卫生、监测、体检等数据项。包含应店街镇中心卫生院、璜山镇中心卫生院、姚江镇中心卫生院、次坞镇中心卫生院、浬浦镇中心卫生院、暨南街道社区卫生服务中心、陶朱街道社区卫生服务中心等17家社区卫生服务中心(乡镇卫生院)的机构信息、机构用户信息、健康档案信息（健康档案基本信息、管档医生基本信息、家族史信息、药物过敏史信息等）、门诊挂号信息、门诊就诊信息、门诊诊断信息、门诊处方信息门诊处方明细、门诊费用明细、门诊病历信息、体检信息、患者基本信息（患者姓名、年龄、性别、联系方式等）、病历和诊断信息（患者的病史、诊断结果、过去的治疗记录等）、处方和用药信息（患者的处方药品信息、用药剂量和频率等）、患者就诊记录（患者的门诊、用药记录等）、远程会诊和沟通记录（患者与医生之间的远程会诊和沟通记录等）、一般检查信息、采集血液检查信息、尿液检查信息、内窥镜检查信息、住院治疗情况信息等的统一非实时对接，服务于慢病医防融合和体检报告AI智能分析系统。</w:t>
            </w:r>
          </w:p>
        </w:tc>
      </w:tr>
      <w:tr w14:paraId="6F1A0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0" w:type="dxa"/>
            <w:noWrap w:val="0"/>
            <w:vAlign w:val="center"/>
          </w:tcPr>
          <w:p w14:paraId="531E5CA5">
            <w:pPr>
              <w:widowControl/>
              <w:spacing w:before="156"/>
              <w:jc w:val="left"/>
              <w:textAlignment w:val="center"/>
              <w:rPr>
                <w:rFonts w:ascii="仿宋" w:hAnsi="仿宋" w:cs="仿宋"/>
                <w:color w:val="auto"/>
                <w:sz w:val="22"/>
                <w:highlight w:val="none"/>
              </w:rPr>
            </w:pPr>
            <w:r>
              <w:rPr>
                <w:rFonts w:hint="eastAsia" w:ascii="仿宋" w:hAnsi="仿宋" w:cs="仿宋"/>
                <w:color w:val="auto"/>
                <w:kern w:val="0"/>
                <w:sz w:val="22"/>
                <w:highlight w:val="none"/>
                <w:lang w:bidi="ar"/>
              </w:rPr>
              <w:t>疾病预防控制平台对接</w:t>
            </w:r>
          </w:p>
        </w:tc>
        <w:tc>
          <w:tcPr>
            <w:tcW w:w="6638" w:type="dxa"/>
            <w:noWrap w:val="0"/>
            <w:vAlign w:val="center"/>
          </w:tcPr>
          <w:p w14:paraId="6E62789F">
            <w:pPr>
              <w:widowControl/>
              <w:spacing w:before="156"/>
              <w:jc w:val="left"/>
              <w:textAlignment w:val="center"/>
              <w:rPr>
                <w:rFonts w:ascii="仿宋" w:hAnsi="仿宋" w:cs="仿宋"/>
                <w:color w:val="auto"/>
                <w:sz w:val="22"/>
                <w:highlight w:val="none"/>
              </w:rPr>
            </w:pPr>
            <w:r>
              <w:rPr>
                <w:rFonts w:hint="eastAsia" w:ascii="仿宋" w:hAnsi="仿宋" w:cs="仿宋"/>
                <w:color w:val="auto"/>
                <w:kern w:val="0"/>
                <w:sz w:val="22"/>
                <w:highlight w:val="none"/>
                <w:lang w:bidi="ar"/>
              </w:rPr>
              <w:t>与疾病预防控制平台对接，包含全市医疗机构（诸暨市第五人民医院除外），包括疾病相关信息（患者的症状、就诊日期、疾病类型（如食物中毒、食物过敏等）、就诊医院等）、食品相关信息（疾病发病前摄入的食品种类、品牌、购买地点、购买日期等）、检查报告和实验室数据（患者进行的相关检查、实验室结果，如食物样品检测、病原微生物检测等），实现食源性疾病数据上报。</w:t>
            </w:r>
          </w:p>
        </w:tc>
      </w:tr>
    </w:tbl>
    <w:p w14:paraId="587D1D48">
      <w:pPr>
        <w:spacing w:before="156" w:line="360" w:lineRule="auto"/>
        <w:ind w:firstLine="480" w:firstLineChars="200"/>
        <w:rPr>
          <w:rFonts w:hint="eastAsia" w:ascii="宋体" w:hAnsi="宋体" w:cs="宋体"/>
          <w:color w:val="auto"/>
          <w:sz w:val="24"/>
          <w:szCs w:val="24"/>
          <w:highlight w:val="none"/>
        </w:rPr>
      </w:pPr>
    </w:p>
    <w:p w14:paraId="08D4BE53">
      <w:pPr>
        <w:pStyle w:val="5"/>
        <w:numPr>
          <w:ilvl w:val="0"/>
          <w:numId w:val="0"/>
        </w:numPr>
        <w:ind w:left="822"/>
        <w:rPr>
          <w:rFonts w:ascii="宋体" w:hAnsi="宋体" w:cs="宋体"/>
          <w:color w:val="auto"/>
          <w:sz w:val="24"/>
          <w:szCs w:val="24"/>
          <w:highlight w:val="none"/>
        </w:rPr>
      </w:pPr>
      <w:r>
        <w:rPr>
          <w:rFonts w:hint="eastAsia" w:ascii="宋体" w:hAnsi="宋体" w:cs="宋体"/>
          <w:color w:val="auto"/>
          <w:sz w:val="24"/>
          <w:szCs w:val="24"/>
          <w:highlight w:val="none"/>
        </w:rPr>
        <w:t>3.2.5服务器和计算机设备</w:t>
      </w:r>
    </w:p>
    <w:tbl>
      <w:tblPr>
        <w:tblStyle w:val="20"/>
        <w:tblW w:w="85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7"/>
        <w:gridCol w:w="6626"/>
      </w:tblGrid>
      <w:tr w14:paraId="59B2D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877" w:type="dxa"/>
            <w:noWrap w:val="0"/>
            <w:vAlign w:val="center"/>
          </w:tcPr>
          <w:p w14:paraId="52FCAE3A">
            <w:pPr>
              <w:widowControl/>
              <w:spacing w:beforeLines="0"/>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指标项</w:t>
            </w:r>
          </w:p>
        </w:tc>
        <w:tc>
          <w:tcPr>
            <w:tcW w:w="6626" w:type="dxa"/>
            <w:noWrap w:val="0"/>
            <w:vAlign w:val="center"/>
          </w:tcPr>
          <w:p w14:paraId="1D546665">
            <w:pPr>
              <w:widowControl/>
              <w:spacing w:beforeLines="0"/>
              <w:jc w:val="center"/>
              <w:rPr>
                <w:rFonts w:hint="eastAsia" w:ascii="宋体" w:hAnsi="宋体" w:cs="宋体"/>
                <w:color w:val="auto"/>
                <w:kern w:val="0"/>
                <w:sz w:val="22"/>
                <w:szCs w:val="22"/>
                <w:highlight w:val="none"/>
              </w:rPr>
            </w:pPr>
            <w:r>
              <w:rPr>
                <w:rFonts w:hint="eastAsia" w:ascii="宋体" w:hAnsi="宋体" w:cs="宋体"/>
                <w:b/>
                <w:color w:val="auto"/>
                <w:kern w:val="0"/>
                <w:sz w:val="22"/>
                <w:szCs w:val="22"/>
                <w:highlight w:val="none"/>
              </w:rPr>
              <w:t>指标要求</w:t>
            </w:r>
          </w:p>
        </w:tc>
      </w:tr>
      <w:tr w14:paraId="16AA6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877" w:type="dxa"/>
            <w:noWrap w:val="0"/>
            <w:vAlign w:val="center"/>
          </w:tcPr>
          <w:p w14:paraId="1653CB0A">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云服务器1</w:t>
            </w:r>
          </w:p>
        </w:tc>
        <w:tc>
          <w:tcPr>
            <w:tcW w:w="6626" w:type="dxa"/>
            <w:noWrap w:val="0"/>
            <w:vAlign w:val="center"/>
          </w:tcPr>
          <w:p w14:paraId="3CAC4D61">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处理器≥8核/内存≥16GB/系统盘≥100GB/数据盘≥200GB/操作系统: 信创操作系统</w:t>
            </w:r>
          </w:p>
        </w:tc>
      </w:tr>
      <w:tr w14:paraId="347C8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877" w:type="dxa"/>
            <w:noWrap w:val="0"/>
            <w:vAlign w:val="center"/>
          </w:tcPr>
          <w:p w14:paraId="42522F94">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云服务器2</w:t>
            </w:r>
          </w:p>
        </w:tc>
        <w:tc>
          <w:tcPr>
            <w:tcW w:w="6626" w:type="dxa"/>
            <w:noWrap w:val="0"/>
            <w:vAlign w:val="center"/>
          </w:tcPr>
          <w:p w14:paraId="2E4C94CF">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处理器≥16核/内存≥32GB/系统盘≥100GB/数据盘≥100GB/操作系统: 信创操作系统</w:t>
            </w:r>
          </w:p>
        </w:tc>
      </w:tr>
      <w:tr w14:paraId="37609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877" w:type="dxa"/>
            <w:noWrap w:val="0"/>
            <w:vAlign w:val="center"/>
          </w:tcPr>
          <w:p w14:paraId="10B06905">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云服务器3</w:t>
            </w:r>
          </w:p>
        </w:tc>
        <w:tc>
          <w:tcPr>
            <w:tcW w:w="6626" w:type="dxa"/>
            <w:noWrap w:val="0"/>
            <w:vAlign w:val="center"/>
          </w:tcPr>
          <w:p w14:paraId="58962BF2">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处理器≥32核/内存≥64GB/系统盘≥100GB/数据盘≥3072GB/操作系统:信创操作系统</w:t>
            </w:r>
          </w:p>
        </w:tc>
      </w:tr>
      <w:tr w14:paraId="17134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877" w:type="dxa"/>
            <w:noWrap w:val="0"/>
            <w:vAlign w:val="center"/>
          </w:tcPr>
          <w:p w14:paraId="2575BD03">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云服务器4</w:t>
            </w:r>
          </w:p>
        </w:tc>
        <w:tc>
          <w:tcPr>
            <w:tcW w:w="6626" w:type="dxa"/>
            <w:noWrap w:val="0"/>
            <w:vAlign w:val="center"/>
          </w:tcPr>
          <w:p w14:paraId="409D77B3">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处理器≥16核/内存≥64GB/数据盘≥1TB/操作系统：信创操作系统</w:t>
            </w:r>
          </w:p>
        </w:tc>
      </w:tr>
      <w:tr w14:paraId="1D575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877" w:type="dxa"/>
            <w:noWrap w:val="0"/>
            <w:vAlign w:val="center"/>
          </w:tcPr>
          <w:p w14:paraId="0E28507C">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云服务器5</w:t>
            </w:r>
          </w:p>
        </w:tc>
        <w:tc>
          <w:tcPr>
            <w:tcW w:w="6626" w:type="dxa"/>
            <w:noWrap w:val="0"/>
            <w:vAlign w:val="center"/>
          </w:tcPr>
          <w:p w14:paraId="79D6BD0A">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处理器≥8核/内存：32GB/数据盘≥1TB/操作系统：信创操作系统</w:t>
            </w:r>
          </w:p>
        </w:tc>
      </w:tr>
      <w:tr w14:paraId="3681B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877" w:type="dxa"/>
            <w:noWrap w:val="0"/>
            <w:vAlign w:val="center"/>
          </w:tcPr>
          <w:p w14:paraId="3FC635F5">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云服务器6</w:t>
            </w:r>
          </w:p>
        </w:tc>
        <w:tc>
          <w:tcPr>
            <w:tcW w:w="6626" w:type="dxa"/>
            <w:noWrap w:val="0"/>
            <w:vAlign w:val="center"/>
          </w:tcPr>
          <w:p w14:paraId="56C9F4C9">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处理器≥8核/内存：32GB/数据盘≥2TB/操作系统:信创操作系统</w:t>
            </w:r>
          </w:p>
        </w:tc>
      </w:tr>
      <w:tr w14:paraId="1D2FC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877" w:type="dxa"/>
            <w:noWrap w:val="0"/>
            <w:vAlign w:val="center"/>
          </w:tcPr>
          <w:p w14:paraId="33404832">
            <w:pPr>
              <w:widowControl/>
              <w:spacing w:beforeLines="0"/>
              <w:jc w:val="center"/>
              <w:rPr>
                <w:rFonts w:hint="eastAsia" w:ascii="宋体" w:hAnsi="宋体" w:cs="宋体"/>
                <w:color w:val="auto"/>
                <w:kern w:val="0"/>
                <w:sz w:val="22"/>
                <w:szCs w:val="22"/>
                <w:highlight w:val="none"/>
              </w:rPr>
            </w:pPr>
            <w:bookmarkStart w:id="40" w:name="_Hlk183167533"/>
            <w:bookmarkStart w:id="41" w:name="OLE_LINK4" w:colFirst="0" w:colLast="65"/>
            <w:r>
              <w:rPr>
                <w:rFonts w:hint="eastAsia" w:ascii="宋体" w:hAnsi="宋体" w:cs="宋体"/>
                <w:color w:val="auto"/>
                <w:kern w:val="0"/>
                <w:sz w:val="22"/>
                <w:szCs w:val="22"/>
                <w:highlight w:val="none"/>
              </w:rPr>
              <w:t>部署位置</w:t>
            </w:r>
          </w:p>
        </w:tc>
        <w:tc>
          <w:tcPr>
            <w:tcW w:w="6626" w:type="dxa"/>
            <w:noWrap w:val="0"/>
            <w:vAlign w:val="center"/>
          </w:tcPr>
          <w:p w14:paraId="25AE8D00">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绍兴政务云卫生专网</w:t>
            </w:r>
          </w:p>
        </w:tc>
      </w:tr>
      <w:tr w14:paraId="69E3F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877" w:type="dxa"/>
            <w:noWrap w:val="0"/>
            <w:vAlign w:val="center"/>
          </w:tcPr>
          <w:p w14:paraId="0F4DBE02">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租赁年限</w:t>
            </w:r>
          </w:p>
        </w:tc>
        <w:tc>
          <w:tcPr>
            <w:tcW w:w="6626" w:type="dxa"/>
            <w:noWrap w:val="0"/>
            <w:vAlign w:val="center"/>
          </w:tcPr>
          <w:p w14:paraId="1955A41D">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三年</w:t>
            </w:r>
          </w:p>
        </w:tc>
      </w:tr>
      <w:bookmarkEnd w:id="40"/>
      <w:bookmarkEnd w:id="41"/>
    </w:tbl>
    <w:p w14:paraId="56314160">
      <w:pPr>
        <w:spacing w:before="156"/>
        <w:rPr>
          <w:rFonts w:hint="eastAsia"/>
          <w:color w:val="auto"/>
          <w:highlight w:val="none"/>
        </w:rPr>
      </w:pPr>
    </w:p>
    <w:p w14:paraId="45ACF9F9">
      <w:pPr>
        <w:pStyle w:val="5"/>
        <w:numPr>
          <w:ilvl w:val="0"/>
          <w:numId w:val="0"/>
        </w:numPr>
        <w:ind w:left="822"/>
        <w:rPr>
          <w:rFonts w:ascii="宋体" w:hAnsi="宋体" w:cs="宋体"/>
          <w:color w:val="auto"/>
          <w:sz w:val="24"/>
          <w:szCs w:val="24"/>
          <w:highlight w:val="none"/>
        </w:rPr>
      </w:pPr>
      <w:bookmarkStart w:id="42" w:name="_Toc164767674"/>
      <w:bookmarkStart w:id="43" w:name="_Toc168398440"/>
      <w:r>
        <w:rPr>
          <w:rFonts w:hint="eastAsia" w:ascii="宋体" w:hAnsi="宋体" w:cs="宋体"/>
          <w:color w:val="auto"/>
          <w:sz w:val="24"/>
          <w:szCs w:val="24"/>
          <w:highlight w:val="none"/>
        </w:rPr>
        <w:t>3.2.</w:t>
      </w:r>
      <w:bookmarkEnd w:id="42"/>
      <w:bookmarkEnd w:id="43"/>
      <w:r>
        <w:rPr>
          <w:rFonts w:hint="eastAsia" w:ascii="宋体" w:hAnsi="宋体" w:cs="宋体"/>
          <w:color w:val="auto"/>
          <w:sz w:val="24"/>
          <w:szCs w:val="24"/>
          <w:highlight w:val="none"/>
        </w:rPr>
        <w:t>6安全设备</w:t>
      </w:r>
    </w:p>
    <w:tbl>
      <w:tblPr>
        <w:tblStyle w:val="20"/>
        <w:tblW w:w="85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1"/>
        <w:gridCol w:w="6683"/>
      </w:tblGrid>
      <w:tr w14:paraId="3E3D1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1" w:type="dxa"/>
            <w:noWrap w:val="0"/>
            <w:vAlign w:val="center"/>
          </w:tcPr>
          <w:p w14:paraId="26BD5513">
            <w:pPr>
              <w:widowControl/>
              <w:spacing w:beforeLines="0"/>
              <w:jc w:val="center"/>
              <w:rPr>
                <w:rFonts w:hint="eastAsia" w:ascii="宋体" w:hAnsi="宋体" w:cs="宋体"/>
                <w:color w:val="auto"/>
                <w:kern w:val="0"/>
                <w:sz w:val="22"/>
                <w:szCs w:val="22"/>
                <w:highlight w:val="none"/>
              </w:rPr>
            </w:pPr>
            <w:r>
              <w:rPr>
                <w:rFonts w:hint="eastAsia" w:ascii="宋体" w:hAnsi="宋体" w:cs="宋体"/>
                <w:b/>
                <w:color w:val="auto"/>
                <w:kern w:val="0"/>
                <w:sz w:val="22"/>
                <w:szCs w:val="22"/>
                <w:highlight w:val="none"/>
              </w:rPr>
              <w:t>指标项</w:t>
            </w:r>
          </w:p>
        </w:tc>
        <w:tc>
          <w:tcPr>
            <w:tcW w:w="6683" w:type="dxa"/>
            <w:noWrap w:val="0"/>
            <w:vAlign w:val="center"/>
          </w:tcPr>
          <w:p w14:paraId="3A1E2E68">
            <w:pPr>
              <w:widowControl/>
              <w:spacing w:beforeLines="0"/>
              <w:jc w:val="center"/>
              <w:rPr>
                <w:rFonts w:hint="eastAsia" w:ascii="宋体" w:hAnsi="宋体" w:cs="宋体"/>
                <w:color w:val="auto"/>
                <w:kern w:val="0"/>
                <w:sz w:val="22"/>
                <w:szCs w:val="22"/>
                <w:highlight w:val="none"/>
              </w:rPr>
            </w:pPr>
            <w:r>
              <w:rPr>
                <w:rFonts w:hint="eastAsia" w:ascii="宋体" w:hAnsi="宋体" w:cs="宋体"/>
                <w:b/>
                <w:color w:val="auto"/>
                <w:kern w:val="0"/>
                <w:sz w:val="22"/>
                <w:szCs w:val="22"/>
                <w:highlight w:val="none"/>
              </w:rPr>
              <w:t>指标要求</w:t>
            </w:r>
          </w:p>
        </w:tc>
      </w:tr>
      <w:tr w14:paraId="5BB2B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1" w:type="dxa"/>
            <w:noWrap w:val="0"/>
            <w:vAlign w:val="center"/>
          </w:tcPr>
          <w:p w14:paraId="74EAAC53">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基础安全包</w:t>
            </w:r>
          </w:p>
        </w:tc>
        <w:tc>
          <w:tcPr>
            <w:tcW w:w="6683" w:type="dxa"/>
            <w:noWrap w:val="0"/>
            <w:vAlign w:val="center"/>
          </w:tcPr>
          <w:p w14:paraId="4975D622">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需要包含主机安全加固（webshell检测、防暴力破解、安全基线）、综合日志审计、服务器加固、态势感知、堡垒机服务。</w:t>
            </w:r>
          </w:p>
        </w:tc>
      </w:tr>
      <w:tr w14:paraId="4FEC3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1" w:type="dxa"/>
            <w:noWrap w:val="0"/>
            <w:vAlign w:val="center"/>
          </w:tcPr>
          <w:p w14:paraId="633A171E">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云WAF应用防火墙</w:t>
            </w:r>
          </w:p>
        </w:tc>
        <w:tc>
          <w:tcPr>
            <w:tcW w:w="6683" w:type="dxa"/>
            <w:noWrap w:val="0"/>
            <w:vAlign w:val="center"/>
          </w:tcPr>
          <w:p w14:paraId="659EF3DE">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需要包含Web常见攻击防护（防御OWASP 常见威胁：SQL注入、XSS跨站、Webshell上传、后门隔离保护、命令注入）、访问控制、提供基于源目的ip、源目的端口及时间维度的网络访问控制及黑白名单服务。</w:t>
            </w:r>
          </w:p>
        </w:tc>
      </w:tr>
      <w:tr w14:paraId="6BD34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1" w:type="dxa"/>
            <w:noWrap w:val="0"/>
            <w:vAlign w:val="center"/>
          </w:tcPr>
          <w:p w14:paraId="03A60233">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云防火墙</w:t>
            </w:r>
          </w:p>
        </w:tc>
        <w:tc>
          <w:tcPr>
            <w:tcW w:w="6683" w:type="dxa"/>
            <w:noWrap w:val="0"/>
            <w:vAlign w:val="center"/>
          </w:tcPr>
          <w:p w14:paraId="3C9EBE0C">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需要包含防病毒、入侵防御、对恶意软件进行防御的网络防护设备，防护各类病毒和恶意软件，对其进行隔离和清除，提供下一代防火墙功能。</w:t>
            </w:r>
          </w:p>
        </w:tc>
      </w:tr>
      <w:tr w14:paraId="77F4F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1" w:type="dxa"/>
            <w:noWrap w:val="0"/>
            <w:vAlign w:val="center"/>
          </w:tcPr>
          <w:p w14:paraId="52154771">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数据库审计</w:t>
            </w:r>
          </w:p>
        </w:tc>
        <w:tc>
          <w:tcPr>
            <w:tcW w:w="6683" w:type="dxa"/>
            <w:noWrap w:val="0"/>
            <w:vAlign w:val="center"/>
          </w:tcPr>
          <w:p w14:paraId="0CD8FD1D">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需要包含传统数据库审计功能、网络协议审计功能、中间件协议审计功能、规则策略、回放功能、报表功能、连接监控与审计、告警响应、日志导出、翻译功能等。</w:t>
            </w:r>
          </w:p>
        </w:tc>
      </w:tr>
      <w:tr w14:paraId="66F06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1" w:type="dxa"/>
            <w:noWrap w:val="0"/>
            <w:vAlign w:val="center"/>
          </w:tcPr>
          <w:p w14:paraId="2E32DE5B">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部署位置</w:t>
            </w:r>
          </w:p>
        </w:tc>
        <w:tc>
          <w:tcPr>
            <w:tcW w:w="6683" w:type="dxa"/>
            <w:noWrap w:val="0"/>
            <w:vAlign w:val="center"/>
          </w:tcPr>
          <w:p w14:paraId="7940DEAC">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绍兴政务云卫生专网</w:t>
            </w:r>
          </w:p>
        </w:tc>
      </w:tr>
      <w:tr w14:paraId="46C56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1" w:type="dxa"/>
            <w:noWrap w:val="0"/>
            <w:vAlign w:val="center"/>
          </w:tcPr>
          <w:p w14:paraId="61C5847A">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租赁年限</w:t>
            </w:r>
          </w:p>
        </w:tc>
        <w:tc>
          <w:tcPr>
            <w:tcW w:w="6683" w:type="dxa"/>
            <w:noWrap w:val="0"/>
            <w:vAlign w:val="center"/>
          </w:tcPr>
          <w:p w14:paraId="62D74CE6">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三年</w:t>
            </w:r>
          </w:p>
        </w:tc>
      </w:tr>
    </w:tbl>
    <w:p w14:paraId="17BB4CE5">
      <w:pPr>
        <w:widowControl/>
        <w:spacing w:beforeLines="0"/>
        <w:jc w:val="center"/>
        <w:rPr>
          <w:rFonts w:hint="eastAsia" w:ascii="宋体" w:hAnsi="宋体" w:cs="宋体"/>
          <w:color w:val="auto"/>
          <w:kern w:val="0"/>
          <w:sz w:val="22"/>
          <w:szCs w:val="22"/>
          <w:highlight w:val="none"/>
        </w:rPr>
      </w:pPr>
    </w:p>
    <w:p w14:paraId="52AC5876">
      <w:pPr>
        <w:pStyle w:val="5"/>
        <w:numPr>
          <w:ilvl w:val="0"/>
          <w:numId w:val="0"/>
        </w:numPr>
        <w:ind w:left="822"/>
        <w:rPr>
          <w:rFonts w:hint="eastAsia" w:ascii="宋体" w:hAnsi="宋体" w:cs="宋体"/>
          <w:color w:val="auto"/>
          <w:sz w:val="24"/>
          <w:szCs w:val="24"/>
          <w:highlight w:val="none"/>
        </w:rPr>
      </w:pPr>
      <w:bookmarkStart w:id="44" w:name="_Toc168398441"/>
      <w:r>
        <w:rPr>
          <w:rFonts w:hint="eastAsia" w:ascii="宋体" w:hAnsi="宋体" w:cs="宋体"/>
          <w:color w:val="auto"/>
          <w:sz w:val="24"/>
          <w:szCs w:val="24"/>
          <w:highlight w:val="none"/>
        </w:rPr>
        <w:t>3.2.</w:t>
      </w:r>
      <w:bookmarkEnd w:id="44"/>
      <w:r>
        <w:rPr>
          <w:rFonts w:hint="eastAsia" w:ascii="宋体" w:hAnsi="宋体" w:cs="宋体"/>
          <w:color w:val="auto"/>
          <w:sz w:val="24"/>
          <w:szCs w:val="24"/>
          <w:highlight w:val="none"/>
        </w:rPr>
        <w:t>7数据库软件</w:t>
      </w:r>
    </w:p>
    <w:tbl>
      <w:tblPr>
        <w:tblStyle w:val="20"/>
        <w:tblW w:w="461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9"/>
        <w:gridCol w:w="5798"/>
      </w:tblGrid>
      <w:tr w14:paraId="6D038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6" w:type="pct"/>
            <w:noWrap/>
            <w:vAlign w:val="center"/>
          </w:tcPr>
          <w:p w14:paraId="786C0ECA">
            <w:pPr>
              <w:widowControl/>
              <w:spacing w:beforeLines="0"/>
              <w:jc w:val="center"/>
              <w:rPr>
                <w:rFonts w:hint="eastAsia" w:ascii="宋体" w:hAnsi="宋体" w:cs="宋体"/>
                <w:b/>
                <w:color w:val="auto"/>
                <w:kern w:val="0"/>
                <w:sz w:val="22"/>
                <w:szCs w:val="22"/>
                <w:highlight w:val="none"/>
              </w:rPr>
            </w:pPr>
            <w:r>
              <w:rPr>
                <w:rFonts w:hint="eastAsia" w:ascii="宋体" w:hAnsi="宋体" w:cs="宋体"/>
                <w:b/>
                <w:color w:val="auto"/>
                <w:kern w:val="0"/>
                <w:sz w:val="22"/>
                <w:szCs w:val="22"/>
                <w:highlight w:val="none"/>
              </w:rPr>
              <w:t>指标项</w:t>
            </w:r>
          </w:p>
        </w:tc>
        <w:tc>
          <w:tcPr>
            <w:tcW w:w="3384" w:type="pct"/>
            <w:noWrap/>
            <w:vAlign w:val="center"/>
          </w:tcPr>
          <w:p w14:paraId="2F1B6F0E">
            <w:pPr>
              <w:widowControl/>
              <w:spacing w:beforeLines="0"/>
              <w:jc w:val="center"/>
              <w:rPr>
                <w:rFonts w:hint="eastAsia" w:ascii="宋体" w:hAnsi="宋体" w:cs="宋体"/>
                <w:b/>
                <w:color w:val="auto"/>
                <w:kern w:val="0"/>
                <w:sz w:val="22"/>
                <w:szCs w:val="22"/>
                <w:highlight w:val="none"/>
              </w:rPr>
            </w:pPr>
            <w:r>
              <w:rPr>
                <w:rFonts w:hint="eastAsia" w:ascii="宋体" w:hAnsi="宋体" w:cs="宋体"/>
                <w:b/>
                <w:color w:val="auto"/>
                <w:kern w:val="0"/>
                <w:sz w:val="22"/>
                <w:szCs w:val="22"/>
                <w:highlight w:val="none"/>
              </w:rPr>
              <w:t>指标要求</w:t>
            </w:r>
          </w:p>
        </w:tc>
      </w:tr>
      <w:tr w14:paraId="619EB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6" w:type="pct"/>
            <w:noWrap/>
            <w:vAlign w:val="center"/>
          </w:tcPr>
          <w:p w14:paraId="6C3E8076">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数据库软件</w:t>
            </w:r>
          </w:p>
        </w:tc>
        <w:tc>
          <w:tcPr>
            <w:tcW w:w="3384" w:type="pct"/>
            <w:noWrap/>
            <w:vAlign w:val="center"/>
          </w:tcPr>
          <w:p w14:paraId="5A130451">
            <w:pPr>
              <w:widowControl/>
              <w:spacing w:beforeLine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信创数据库</w:t>
            </w:r>
          </w:p>
        </w:tc>
      </w:tr>
      <w:tr w14:paraId="39A69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16" w:type="pct"/>
            <w:noWrap/>
            <w:vAlign w:val="center"/>
          </w:tcPr>
          <w:p w14:paraId="68F848DA">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部署位置</w:t>
            </w:r>
          </w:p>
        </w:tc>
        <w:tc>
          <w:tcPr>
            <w:tcW w:w="3384" w:type="pct"/>
            <w:noWrap/>
            <w:vAlign w:val="center"/>
          </w:tcPr>
          <w:p w14:paraId="5FEFED2F">
            <w:pPr>
              <w:spacing w:before="156"/>
              <w:jc w:val="left"/>
              <w:rPr>
                <w:rFonts w:hint="eastAsia" w:ascii="宋体" w:hAnsi="宋体"/>
                <w:color w:val="auto"/>
                <w:sz w:val="22"/>
                <w:szCs w:val="22"/>
                <w:highlight w:val="none"/>
              </w:rPr>
            </w:pPr>
            <w:r>
              <w:rPr>
                <w:rFonts w:hint="eastAsia" w:ascii="宋体" w:hAnsi="宋体" w:cs="宋体"/>
                <w:color w:val="auto"/>
                <w:kern w:val="0"/>
                <w:sz w:val="22"/>
                <w:szCs w:val="22"/>
                <w:highlight w:val="none"/>
              </w:rPr>
              <w:t>绍兴政务云卫生专网</w:t>
            </w:r>
          </w:p>
        </w:tc>
      </w:tr>
      <w:tr w14:paraId="2DC01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6" w:type="pct"/>
            <w:noWrap/>
            <w:vAlign w:val="center"/>
          </w:tcPr>
          <w:p w14:paraId="47FAC156">
            <w:pPr>
              <w:widowControl/>
              <w:spacing w:beforeLine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租赁年限</w:t>
            </w:r>
          </w:p>
        </w:tc>
        <w:tc>
          <w:tcPr>
            <w:tcW w:w="3384" w:type="pct"/>
            <w:noWrap/>
            <w:vAlign w:val="center"/>
          </w:tcPr>
          <w:p w14:paraId="3A029DE2">
            <w:pPr>
              <w:spacing w:before="156"/>
              <w:jc w:val="left"/>
              <w:rPr>
                <w:rFonts w:hint="eastAsia" w:ascii="宋体" w:hAnsi="宋体"/>
                <w:color w:val="auto"/>
                <w:sz w:val="22"/>
                <w:szCs w:val="22"/>
                <w:highlight w:val="none"/>
              </w:rPr>
            </w:pPr>
            <w:r>
              <w:rPr>
                <w:rFonts w:hint="eastAsia" w:ascii="宋体" w:hAnsi="宋体" w:cs="宋体"/>
                <w:color w:val="auto"/>
                <w:kern w:val="0"/>
                <w:sz w:val="22"/>
                <w:szCs w:val="22"/>
                <w:highlight w:val="none"/>
              </w:rPr>
              <w:t>三年</w:t>
            </w:r>
          </w:p>
        </w:tc>
      </w:tr>
    </w:tbl>
    <w:p w14:paraId="05F620E1">
      <w:pPr>
        <w:pStyle w:val="5"/>
        <w:numPr>
          <w:ilvl w:val="0"/>
          <w:numId w:val="0"/>
        </w:numPr>
        <w:ind w:left="822"/>
        <w:rPr>
          <w:rFonts w:ascii="宋体" w:hAnsi="宋体" w:cs="宋体"/>
          <w:color w:val="auto"/>
          <w:sz w:val="24"/>
          <w:szCs w:val="24"/>
          <w:highlight w:val="none"/>
        </w:rPr>
      </w:pPr>
      <w:bookmarkStart w:id="45" w:name="_Hlk183438670"/>
      <w:r>
        <w:rPr>
          <w:rFonts w:hint="eastAsia" w:ascii="宋体" w:hAnsi="宋体" w:cs="宋体"/>
          <w:color w:val="auto"/>
          <w:sz w:val="24"/>
          <w:szCs w:val="24"/>
          <w:highlight w:val="none"/>
        </w:rPr>
        <w:t>3.</w:t>
      </w:r>
      <w:r>
        <w:rPr>
          <w:rFonts w:ascii="宋体" w:hAnsi="宋体" w:cs="宋体"/>
          <w:color w:val="auto"/>
          <w:sz w:val="24"/>
          <w:szCs w:val="24"/>
          <w:highlight w:val="none"/>
        </w:rPr>
        <w:t>2</w:t>
      </w:r>
      <w:r>
        <w:rPr>
          <w:rFonts w:hint="eastAsia" w:ascii="宋体" w:hAnsi="宋体" w:cs="宋体"/>
          <w:color w:val="auto"/>
          <w:sz w:val="24"/>
          <w:szCs w:val="24"/>
          <w:highlight w:val="none"/>
        </w:rPr>
        <w:t>.</w:t>
      </w:r>
      <w:r>
        <w:rPr>
          <w:rFonts w:ascii="宋体" w:hAnsi="宋体" w:cs="宋体"/>
          <w:color w:val="auto"/>
          <w:sz w:val="24"/>
          <w:szCs w:val="24"/>
          <w:highlight w:val="none"/>
        </w:rPr>
        <w:t>8</w:t>
      </w:r>
      <w:r>
        <w:rPr>
          <w:rFonts w:hint="eastAsia" w:ascii="宋体" w:hAnsi="宋体" w:cs="宋体"/>
          <w:color w:val="auto"/>
          <w:sz w:val="24"/>
          <w:szCs w:val="24"/>
          <w:highlight w:val="none"/>
        </w:rPr>
        <w:t>信创适配改造</w:t>
      </w:r>
    </w:p>
    <w:p w14:paraId="5D05F57A">
      <w:pPr>
        <w:snapToGrid w:val="0"/>
        <w:spacing w:before="156"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供应商需按照相关政务信息化项目建设要求完成信创适配改造。</w:t>
      </w:r>
    </w:p>
    <w:bookmarkEnd w:id="45"/>
    <w:p w14:paraId="6BC8D515">
      <w:pPr>
        <w:pStyle w:val="4"/>
        <w:numPr>
          <w:ilvl w:val="0"/>
          <w:numId w:val="0"/>
        </w:numPr>
        <w:autoSpaceDE/>
        <w:autoSpaceDN/>
        <w:adjustRightInd/>
        <w:spacing w:before="0" w:afterLines="-2147483648"/>
        <w:ind w:left="420" w:leftChars="0" w:firstLine="0" w:firstLineChars="0"/>
        <w:rPr>
          <w:rFonts w:hint="eastAsia" w:ascii="Arial" w:hAnsi="Arial" w:eastAsia="宋体" w:cs="Times New Roman"/>
          <w:b/>
          <w:bCs/>
          <w:color w:val="auto"/>
          <w:kern w:val="0"/>
          <w:sz w:val="24"/>
          <w:szCs w:val="32"/>
          <w:highlight w:val="none"/>
          <w:lang w:val="en-US" w:eastAsia="zh-CN" w:bidi="ar-SA"/>
        </w:rPr>
      </w:pPr>
      <w:r>
        <w:rPr>
          <w:rFonts w:hint="eastAsia" w:ascii="Arial" w:hAnsi="Arial" w:eastAsia="宋体" w:cs="Times New Roman"/>
          <w:b/>
          <w:bCs/>
          <w:color w:val="auto"/>
          <w:kern w:val="0"/>
          <w:sz w:val="24"/>
          <w:szCs w:val="32"/>
          <w:highlight w:val="none"/>
          <w:lang w:val="en-US" w:eastAsia="zh-CN" w:bidi="ar-SA"/>
        </w:rPr>
        <w:t>四</w:t>
      </w:r>
      <w:r>
        <w:rPr>
          <w:rFonts w:hint="eastAsia" w:eastAsia="宋体" w:cs="Times New Roman"/>
          <w:b/>
          <w:bCs/>
          <w:color w:val="auto"/>
          <w:kern w:val="0"/>
          <w:sz w:val="24"/>
          <w:szCs w:val="32"/>
          <w:highlight w:val="none"/>
          <w:lang w:val="en-US" w:eastAsia="zh-CN" w:bidi="ar-SA"/>
        </w:rPr>
        <w:t>、</w:t>
      </w:r>
      <w:r>
        <w:rPr>
          <w:rFonts w:hint="eastAsia" w:ascii="Arial" w:hAnsi="Arial" w:eastAsia="宋体" w:cs="Times New Roman"/>
          <w:b/>
          <w:bCs/>
          <w:color w:val="auto"/>
          <w:kern w:val="0"/>
          <w:sz w:val="24"/>
          <w:szCs w:val="32"/>
          <w:highlight w:val="none"/>
          <w:lang w:val="en-US" w:eastAsia="zh-CN" w:bidi="ar-SA"/>
        </w:rPr>
        <w:t>项目实施及服务要求</w:t>
      </w:r>
    </w:p>
    <w:bookmarkEnd w:id="37"/>
    <w:p w14:paraId="74303A69">
      <w:pPr>
        <w:autoSpaceDE/>
        <w:autoSpaceDN/>
        <w:adjustRightInd/>
        <w:spacing w:before="156" w:beforeLines="50" w:line="360" w:lineRule="auto"/>
        <w:ind w:firstLine="482" w:firstLineChars="200"/>
        <w:outlineLvl w:val="2"/>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4.1 项目实施总体要求</w:t>
      </w:r>
    </w:p>
    <w:p w14:paraId="7F6DD0C2">
      <w:pPr>
        <w:snapToGrid w:val="0"/>
        <w:spacing w:before="156"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中标</w:t>
      </w:r>
      <w:r>
        <w:rPr>
          <w:rFonts w:hint="eastAsia" w:ascii="宋体" w:hAnsi="宋体" w:cs="宋体"/>
          <w:color w:val="auto"/>
          <w:sz w:val="24"/>
          <w:szCs w:val="24"/>
          <w:highlight w:val="none"/>
        </w:rPr>
        <w:t>人应在项目实施前向采购人提交详尽的项目实施方案和实施计划，采购人审核同意后方可进行项目实施工作。</w:t>
      </w:r>
      <w:r>
        <w:rPr>
          <w:rFonts w:hint="eastAsia" w:ascii="宋体" w:hAnsi="宋体" w:cs="宋体"/>
          <w:color w:val="auto"/>
          <w:sz w:val="24"/>
          <w:szCs w:val="24"/>
          <w:highlight w:val="none"/>
          <w:lang w:val="en-US" w:eastAsia="zh-CN"/>
        </w:rPr>
        <w:t>中标</w:t>
      </w:r>
      <w:r>
        <w:rPr>
          <w:rFonts w:hint="eastAsia" w:ascii="宋体" w:hAnsi="宋体" w:cs="宋体"/>
          <w:color w:val="auto"/>
          <w:sz w:val="24"/>
          <w:szCs w:val="24"/>
          <w:highlight w:val="none"/>
        </w:rPr>
        <w:t>人应在系统实施方案中描述具体的实施团队的组成、工作的内容、投入人员、项目实施计划、项目进程表及采购人的配合等内容。</w:t>
      </w:r>
      <w:r>
        <w:rPr>
          <w:rFonts w:hint="eastAsia" w:ascii="宋体" w:hAnsi="宋体" w:cs="宋体"/>
          <w:color w:val="auto"/>
          <w:sz w:val="24"/>
          <w:szCs w:val="24"/>
          <w:highlight w:val="none"/>
          <w:lang w:val="en-US" w:eastAsia="zh-CN"/>
        </w:rPr>
        <w:t>中标</w:t>
      </w:r>
      <w:r>
        <w:rPr>
          <w:rFonts w:hint="eastAsia" w:ascii="宋体" w:hAnsi="宋体" w:cs="宋体"/>
          <w:color w:val="auto"/>
          <w:sz w:val="24"/>
          <w:szCs w:val="24"/>
          <w:highlight w:val="none"/>
        </w:rPr>
        <w:t>人能够针对本项目提供完整、详细、准确、可行的整体解决方案并负责工程实施，包括但不仅限于实施方案制定、设备安装调试、用例测试、设备配置、系统对接、系统联调、业务开通及割接等工作。</w:t>
      </w:r>
    </w:p>
    <w:p w14:paraId="0F6A167A">
      <w:pPr>
        <w:snapToGrid w:val="0"/>
        <w:spacing w:before="156"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（2）项目须由中标人实施不允许转包，如发现项目转包情况，采购人有权解除合同、没收履约保证金并追究中标人的违约责任。</w:t>
      </w:r>
    </w:p>
    <w:p w14:paraId="4259E465">
      <w:pPr>
        <w:snapToGrid w:val="0"/>
        <w:spacing w:before="156"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（3）项目实施所需的工具、仪表及其他安装调试设备材料等应由</w:t>
      </w:r>
      <w:r>
        <w:rPr>
          <w:rFonts w:hint="eastAsia" w:ascii="宋体" w:hAnsi="宋体" w:cs="宋体"/>
          <w:color w:val="auto"/>
          <w:sz w:val="24"/>
          <w:szCs w:val="24"/>
          <w:highlight w:val="none"/>
          <w:lang w:val="en-US" w:eastAsia="zh-CN"/>
        </w:rPr>
        <w:t>中标</w:t>
      </w:r>
      <w:r>
        <w:rPr>
          <w:rFonts w:hint="eastAsia" w:ascii="宋体" w:hAnsi="宋体" w:cs="宋体"/>
          <w:color w:val="auto"/>
          <w:sz w:val="24"/>
          <w:szCs w:val="24"/>
          <w:highlight w:val="none"/>
        </w:rPr>
        <w:t>人自行解决。</w:t>
      </w:r>
      <w:r>
        <w:rPr>
          <w:rFonts w:hint="eastAsia" w:ascii="宋体" w:hAnsi="宋体" w:cs="宋体"/>
          <w:color w:val="auto"/>
          <w:sz w:val="24"/>
          <w:szCs w:val="24"/>
          <w:highlight w:val="none"/>
          <w:lang w:val="en-US" w:eastAsia="zh-CN"/>
        </w:rPr>
        <w:t>中标</w:t>
      </w:r>
      <w:r>
        <w:rPr>
          <w:rFonts w:hint="eastAsia" w:ascii="宋体" w:hAnsi="宋体" w:cs="宋体"/>
          <w:color w:val="auto"/>
          <w:sz w:val="24"/>
          <w:szCs w:val="24"/>
          <w:highlight w:val="none"/>
        </w:rPr>
        <w:t>人在实施过程中应严格执行相关的安全实施规范，在实施过程中和质保期间所产生的一切安全责任均由</w:t>
      </w:r>
      <w:r>
        <w:rPr>
          <w:rFonts w:hint="eastAsia" w:ascii="宋体" w:hAnsi="宋体" w:cs="宋体"/>
          <w:color w:val="auto"/>
          <w:sz w:val="24"/>
          <w:szCs w:val="24"/>
          <w:highlight w:val="none"/>
          <w:lang w:val="en-US" w:eastAsia="zh-CN"/>
        </w:rPr>
        <w:t>中标</w:t>
      </w:r>
      <w:r>
        <w:rPr>
          <w:rFonts w:hint="eastAsia" w:ascii="宋体" w:hAnsi="宋体" w:cs="宋体"/>
          <w:color w:val="auto"/>
          <w:sz w:val="24"/>
          <w:szCs w:val="24"/>
          <w:highlight w:val="none"/>
        </w:rPr>
        <w:t>人自行承担。</w:t>
      </w:r>
    </w:p>
    <w:p w14:paraId="238175F4">
      <w:pPr>
        <w:snapToGrid w:val="0"/>
        <w:spacing w:before="156"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（4）本项目涉及第三方系统的接口开发、系统对接等费用（包括第三方系统原供应商配合该项目提供的接口开发、系统对接费用）皆由</w:t>
      </w:r>
      <w:r>
        <w:rPr>
          <w:rFonts w:hint="eastAsia" w:ascii="宋体" w:hAnsi="宋体" w:cs="宋体"/>
          <w:color w:val="auto"/>
          <w:sz w:val="24"/>
          <w:szCs w:val="24"/>
          <w:highlight w:val="none"/>
          <w:lang w:val="en-US" w:eastAsia="zh-CN"/>
        </w:rPr>
        <w:t>中标</w:t>
      </w:r>
      <w:r>
        <w:rPr>
          <w:rFonts w:hint="eastAsia" w:ascii="宋体" w:hAnsi="宋体" w:cs="宋体"/>
          <w:color w:val="auto"/>
          <w:sz w:val="24"/>
          <w:szCs w:val="24"/>
          <w:highlight w:val="none"/>
        </w:rPr>
        <w:t>人承担。</w:t>
      </w:r>
    </w:p>
    <w:p w14:paraId="425170BA">
      <w:pPr>
        <w:widowControl/>
        <w:snapToGrid w:val="0"/>
        <w:spacing w:before="156"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（5）若在项目实施过程中发现招标文件中遗漏或缺少系统正常运行必要的软件模块、接口或服务等配套产品，</w:t>
      </w:r>
      <w:r>
        <w:rPr>
          <w:rFonts w:hint="eastAsia" w:ascii="宋体" w:hAnsi="宋体" w:cs="宋体"/>
          <w:color w:val="auto"/>
          <w:sz w:val="24"/>
          <w:szCs w:val="24"/>
          <w:highlight w:val="none"/>
          <w:lang w:val="en-US" w:eastAsia="zh-CN"/>
        </w:rPr>
        <w:t>投标人</w:t>
      </w:r>
      <w:r>
        <w:rPr>
          <w:rFonts w:hint="eastAsia" w:ascii="宋体" w:hAnsi="宋体" w:cs="宋体"/>
          <w:color w:val="auto"/>
          <w:sz w:val="24"/>
          <w:szCs w:val="24"/>
          <w:highlight w:val="none"/>
        </w:rPr>
        <w:t>有义务在投标文件中指出，并提出解决方案供采购人、采购</w:t>
      </w:r>
      <w:r>
        <w:rPr>
          <w:rFonts w:hint="eastAsia" w:ascii="宋体" w:hAnsi="宋体" w:cs="宋体"/>
          <w:color w:val="auto"/>
          <w:sz w:val="24"/>
          <w:szCs w:val="24"/>
          <w:highlight w:val="none"/>
          <w:lang w:val="en-US" w:eastAsia="zh-CN"/>
        </w:rPr>
        <w:t>代理</w:t>
      </w:r>
      <w:r>
        <w:rPr>
          <w:rFonts w:hint="eastAsia" w:ascii="宋体" w:hAnsi="宋体" w:cs="宋体"/>
          <w:color w:val="auto"/>
          <w:sz w:val="24"/>
          <w:szCs w:val="24"/>
          <w:highlight w:val="none"/>
        </w:rPr>
        <w:t>机构参考。若项目系统因缺少必要软件模块、接口或服务等配套产品而导致采购人系统无法正常运行的，</w:t>
      </w:r>
      <w:r>
        <w:rPr>
          <w:rFonts w:hint="eastAsia" w:ascii="宋体" w:hAnsi="宋体" w:cs="宋体"/>
          <w:color w:val="auto"/>
          <w:sz w:val="24"/>
          <w:szCs w:val="24"/>
          <w:highlight w:val="none"/>
          <w:lang w:val="en-US" w:eastAsia="zh-CN"/>
        </w:rPr>
        <w:t>投标</w:t>
      </w:r>
      <w:r>
        <w:rPr>
          <w:rFonts w:hint="eastAsia" w:ascii="宋体" w:hAnsi="宋体" w:cs="宋体"/>
          <w:color w:val="auto"/>
          <w:sz w:val="24"/>
          <w:szCs w:val="24"/>
          <w:highlight w:val="none"/>
        </w:rPr>
        <w:t>人有义务保证采购人系统的完整性，须承诺免费提供</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投标文件中提供承诺函并加盖公章，格式自拟</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w:t>
      </w:r>
    </w:p>
    <w:p w14:paraId="5C04C263">
      <w:pPr>
        <w:spacing w:before="156" w:line="360" w:lineRule="auto"/>
        <w:ind w:firstLine="482" w:firstLineChars="200"/>
        <w:outlineLvl w:val="2"/>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4.2 项目进度要求</w:t>
      </w:r>
    </w:p>
    <w:p w14:paraId="61F8CFE7">
      <w:pPr>
        <w:widowControl/>
        <w:snapToGrid w:val="0"/>
        <w:spacing w:before="156"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（1）软件部分：</w:t>
      </w:r>
    </w:p>
    <w:p w14:paraId="068189A9">
      <w:pPr>
        <w:widowControl/>
        <w:snapToGrid w:val="0"/>
        <w:spacing w:before="156"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自合同签订生效后，</w:t>
      </w:r>
      <w:r>
        <w:rPr>
          <w:rFonts w:ascii="宋体" w:hAnsi="宋体" w:cs="宋体"/>
          <w:color w:val="auto"/>
          <w:sz w:val="24"/>
          <w:szCs w:val="24"/>
          <w:highlight w:val="none"/>
        </w:rPr>
        <w:t>6</w:t>
      </w:r>
      <w:r>
        <w:rPr>
          <w:rFonts w:hint="eastAsia" w:ascii="宋体" w:hAnsi="宋体" w:cs="宋体"/>
          <w:color w:val="auto"/>
          <w:sz w:val="24"/>
          <w:szCs w:val="24"/>
          <w:highlight w:val="none"/>
        </w:rPr>
        <w:t>个月内完成建设</w:t>
      </w:r>
      <w:r>
        <w:rPr>
          <w:rFonts w:hint="eastAsia" w:ascii="宋体" w:hAnsi="宋体" w:cs="宋体"/>
          <w:color w:val="auto"/>
          <w:sz w:val="24"/>
          <w:szCs w:val="24"/>
          <w:highlight w:val="none"/>
          <w:lang w:val="en-US" w:eastAsia="zh-CN"/>
        </w:rPr>
        <w:t>后</w:t>
      </w:r>
      <w:r>
        <w:rPr>
          <w:rFonts w:hint="eastAsia" w:ascii="宋体" w:hAnsi="宋体" w:cs="宋体"/>
          <w:color w:val="auto"/>
          <w:sz w:val="24"/>
          <w:szCs w:val="24"/>
          <w:highlight w:val="none"/>
        </w:rPr>
        <w:t>，进行系统上线试运行，项目终验合格后进入质保期。</w:t>
      </w:r>
    </w:p>
    <w:p w14:paraId="1DD5414B">
      <w:pPr>
        <w:widowControl/>
        <w:snapToGrid w:val="0"/>
        <w:spacing w:before="156"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（2）云资源部分：</w:t>
      </w:r>
    </w:p>
    <w:p w14:paraId="0193154D">
      <w:pPr>
        <w:widowControl/>
        <w:snapToGrid w:val="0"/>
        <w:spacing w:before="156"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服务期限</w:t>
      </w:r>
      <w:r>
        <w:rPr>
          <w:rFonts w:ascii="宋体" w:hAnsi="宋体" w:cs="宋体"/>
          <w:color w:val="auto"/>
          <w:sz w:val="24"/>
          <w:szCs w:val="24"/>
          <w:highlight w:val="none"/>
        </w:rPr>
        <w:t>3</w:t>
      </w:r>
      <w:r>
        <w:rPr>
          <w:rFonts w:hint="eastAsia" w:ascii="宋体" w:hAnsi="宋体" w:cs="宋体"/>
          <w:color w:val="auto"/>
          <w:sz w:val="24"/>
          <w:szCs w:val="24"/>
          <w:highlight w:val="none"/>
        </w:rPr>
        <w:t>年，按服务要求进行交付。</w:t>
      </w:r>
    </w:p>
    <w:p w14:paraId="083805FB">
      <w:pPr>
        <w:spacing w:before="156" w:line="360" w:lineRule="auto"/>
        <w:ind w:firstLine="482" w:firstLineChars="200"/>
        <w:outlineLvl w:val="2"/>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4.3 项目管理要求</w:t>
      </w:r>
    </w:p>
    <w:p w14:paraId="245C4693">
      <w:pPr>
        <w:numPr>
          <w:ilvl w:val="0"/>
          <w:numId w:val="3"/>
        </w:numPr>
        <w:spacing w:before="156" w:line="360" w:lineRule="auto"/>
        <w:ind w:firstLine="48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投标人应充分考虑满足本项目的建设要求，在投标文件中提出完整的项目管理、项目组织施工设计、人员培训、项目验收和售后服务等方案。应根据对项目的理解作出项目的人员配置管理计划，包括</w:t>
      </w:r>
      <w:r>
        <w:rPr>
          <w:rFonts w:hint="eastAsia" w:ascii="宋体" w:hAnsi="宋体" w:cs="宋体"/>
          <w:color w:val="auto"/>
          <w:sz w:val="24"/>
          <w:szCs w:val="24"/>
          <w:highlight w:val="none"/>
          <w:lang w:val="en-US" w:eastAsia="zh-CN" w:bidi="ar"/>
        </w:rPr>
        <w:t>但不仅限于</w:t>
      </w:r>
      <w:r>
        <w:rPr>
          <w:rFonts w:hint="eastAsia" w:ascii="宋体" w:hAnsi="宋体" w:cs="宋体"/>
          <w:color w:val="auto"/>
          <w:sz w:val="24"/>
          <w:szCs w:val="24"/>
          <w:highlight w:val="none"/>
          <w:lang w:bidi="ar"/>
        </w:rPr>
        <w:t>组织结构、项目负责人、组成人员及分工职责。</w:t>
      </w:r>
    </w:p>
    <w:p w14:paraId="72A5F1A7">
      <w:pPr>
        <w:numPr>
          <w:ilvl w:val="0"/>
          <w:numId w:val="3"/>
        </w:numPr>
        <w:spacing w:before="156" w:line="360" w:lineRule="auto"/>
        <w:ind w:firstLine="48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投标人在投标文件中应根据对项目的理解作出项目实施的初步计划，成为中标人后必须提交正式实施方案，明确招标项目工作的方式、方法、过程步骤、按阶段分解的详细计划、对应计划应提交的工作成果、需要</w:t>
      </w:r>
      <w:r>
        <w:rPr>
          <w:rFonts w:hint="eastAsia" w:ascii="宋体" w:hAnsi="宋体" w:cs="宋体"/>
          <w:color w:val="auto"/>
          <w:sz w:val="24"/>
          <w:szCs w:val="24"/>
          <w:highlight w:val="none"/>
          <w:lang w:val="en-US" w:eastAsia="zh-CN" w:bidi="ar"/>
        </w:rPr>
        <w:t>采购</w:t>
      </w:r>
      <w:r>
        <w:rPr>
          <w:rFonts w:hint="eastAsia" w:ascii="宋体" w:hAnsi="宋体" w:cs="宋体"/>
          <w:color w:val="auto"/>
          <w:sz w:val="24"/>
          <w:szCs w:val="24"/>
          <w:highlight w:val="none"/>
          <w:lang w:bidi="ar"/>
        </w:rPr>
        <w:t>人协调与配合的事项，并经</w:t>
      </w:r>
      <w:r>
        <w:rPr>
          <w:rFonts w:hint="eastAsia" w:ascii="宋体" w:hAnsi="宋体" w:cs="宋体"/>
          <w:color w:val="auto"/>
          <w:sz w:val="24"/>
          <w:szCs w:val="24"/>
          <w:highlight w:val="none"/>
          <w:lang w:val="en-US" w:eastAsia="zh-CN" w:bidi="ar"/>
        </w:rPr>
        <w:t>采购</w:t>
      </w:r>
      <w:r>
        <w:rPr>
          <w:rFonts w:hint="eastAsia" w:ascii="宋体" w:hAnsi="宋体" w:cs="宋体"/>
          <w:color w:val="auto"/>
          <w:sz w:val="24"/>
          <w:szCs w:val="24"/>
          <w:highlight w:val="none"/>
          <w:lang w:bidi="ar"/>
        </w:rPr>
        <w:t>人审核批准后实施。</w:t>
      </w:r>
    </w:p>
    <w:p w14:paraId="2683B17A">
      <w:pPr>
        <w:numPr>
          <w:ilvl w:val="0"/>
          <w:numId w:val="3"/>
        </w:numPr>
        <w:spacing w:before="156" w:line="360" w:lineRule="auto"/>
        <w:ind w:firstLine="48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中标人在项目实施过程中必须分别按周提交进度报告，对项目问题及进度延迟原因进行说明，制定合理的解决措施并有效执行。</w:t>
      </w:r>
    </w:p>
    <w:p w14:paraId="6CEBF496">
      <w:pPr>
        <w:spacing w:before="156" w:line="360" w:lineRule="auto"/>
        <w:ind w:firstLine="482" w:firstLineChars="200"/>
        <w:outlineLvl w:val="2"/>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4.4 系统测试要求</w:t>
      </w:r>
    </w:p>
    <w:p w14:paraId="7CB3D497">
      <w:pPr>
        <w:numPr>
          <w:ilvl w:val="0"/>
          <w:numId w:val="4"/>
        </w:numPr>
        <w:spacing w:before="156" w:line="360" w:lineRule="auto"/>
        <w:ind w:firstLine="48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项目建设完成后，经采购人和中标人双方确认后进行软硬件系统测试。软硬件系统测试由中标人负责，采购人、使用单位和监理单位（如有）派人参与，</w:t>
      </w:r>
      <w:r>
        <w:rPr>
          <w:rFonts w:hint="eastAsia" w:ascii="宋体" w:hAnsi="宋体" w:cs="宋体"/>
          <w:color w:val="auto"/>
          <w:sz w:val="24"/>
          <w:szCs w:val="24"/>
          <w:highlight w:val="none"/>
          <w:lang w:val="en-US" w:eastAsia="zh-CN" w:bidi="ar"/>
        </w:rPr>
        <w:t>共同</w:t>
      </w:r>
      <w:r>
        <w:rPr>
          <w:rFonts w:hint="eastAsia" w:ascii="宋体" w:hAnsi="宋体" w:cs="宋体"/>
          <w:color w:val="auto"/>
          <w:sz w:val="24"/>
          <w:szCs w:val="24"/>
          <w:highlight w:val="none"/>
          <w:lang w:bidi="ar"/>
        </w:rPr>
        <w:t>测试项目建设的需求完成度。</w:t>
      </w:r>
    </w:p>
    <w:p w14:paraId="25A49CD8">
      <w:pPr>
        <w:numPr>
          <w:ilvl w:val="0"/>
          <w:numId w:val="4"/>
        </w:numPr>
        <w:spacing w:before="156" w:line="360" w:lineRule="auto"/>
        <w:ind w:firstLine="48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采购人若发现软硬件系统功能、性能、安全性不符合招标要求，有权要求中标人进行功能、性能和质量的第三方测试。中标人需积极配合，并承担相应评测费用。如因中标人不配合采购人提出的第三方测试而导致项目延期，一切责任由中标人承担。</w:t>
      </w:r>
    </w:p>
    <w:p w14:paraId="7F9D5973">
      <w:pPr>
        <w:numPr>
          <w:ilvl w:val="0"/>
          <w:numId w:val="4"/>
        </w:numPr>
        <w:spacing w:before="156" w:line="360" w:lineRule="auto"/>
        <w:ind w:firstLine="48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测试将依据本招标文件项目技术要求及项目功能、性能、质量及安全等要求。</w:t>
      </w:r>
    </w:p>
    <w:p w14:paraId="7332AD48">
      <w:pPr>
        <w:numPr>
          <w:ilvl w:val="0"/>
          <w:numId w:val="4"/>
        </w:numPr>
        <w:spacing w:before="156" w:line="360" w:lineRule="auto"/>
        <w:ind w:firstLine="48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如第三方测试未通过，中标人需在30天内进行整改，若中标人拒绝进行整改或在30天内整改后仍未达到招标要求，采购人可单方面解除合同，并没收履约保证金，所造成的其他损失由中标人负责。</w:t>
      </w:r>
    </w:p>
    <w:p w14:paraId="4D3F2CB3">
      <w:pPr>
        <w:spacing w:before="156" w:line="360" w:lineRule="auto"/>
        <w:ind w:firstLine="482" w:firstLineChars="200"/>
        <w:outlineLvl w:val="2"/>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4.5 技术培训要求</w:t>
      </w:r>
    </w:p>
    <w:p w14:paraId="483693BF">
      <w:pPr>
        <w:spacing w:before="156"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中标人必须根据项目软件系统的功能和特点，充分考虑到系统使用人员实际水平，提出详细的系统培训方案。目标是通过系统培训使系统管理人员和操作人员能独立进行相应应用与管理、故障处理、日常维护等工作，确保系统能正常安全运行。中标人未按采购人（或使用单位）要求开展培训，采购人可拒绝项目验收。</w:t>
      </w:r>
    </w:p>
    <w:p w14:paraId="6861087B">
      <w:pPr>
        <w:spacing w:before="156"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技术培训费用应包含在投标总价中，技术培训要求在系统试运行期间完成。</w:t>
      </w:r>
    </w:p>
    <w:p w14:paraId="16F89926">
      <w:pPr>
        <w:spacing w:before="156"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技术培训应包括但不仅限于下列内容：</w:t>
      </w:r>
    </w:p>
    <w:p w14:paraId="358E7B9D">
      <w:pPr>
        <w:spacing w:before="156"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1）中标人有责任完成对使用单位相关人员组织具有针对性的培训课程，培训内容要求分为三类，分别为系统开发和管理培训、运行与维护管理培训和用户使用培训。软件日常操作培训主要面向系统管理员等使用系统的人员；软件日常维护系统培训主要面向诸暨市大数据发展管理中心信息化管理技术人员进行培训，使其具备独立进行软件日常维护、故障的诊断与处理等方面的</w:t>
      </w:r>
      <w:r>
        <w:rPr>
          <w:rFonts w:hint="eastAsia" w:ascii="宋体" w:hAnsi="宋体" w:cs="宋体"/>
          <w:color w:val="auto"/>
          <w:sz w:val="24"/>
          <w:szCs w:val="24"/>
          <w:highlight w:val="none"/>
          <w:lang w:val="en-US" w:eastAsia="zh-CN"/>
        </w:rPr>
        <w:t>能力</w:t>
      </w:r>
      <w:r>
        <w:rPr>
          <w:rFonts w:hint="eastAsia" w:ascii="宋体" w:hAnsi="宋体" w:cs="宋体"/>
          <w:color w:val="auto"/>
          <w:sz w:val="24"/>
          <w:szCs w:val="24"/>
          <w:highlight w:val="none"/>
        </w:rPr>
        <w:t>。</w:t>
      </w:r>
    </w:p>
    <w:p w14:paraId="559C1F80">
      <w:pPr>
        <w:spacing w:before="156"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（2）培训形式包括但不仅限于集中培训、现场培训、上机培训、培训考核。</w:t>
      </w:r>
    </w:p>
    <w:p w14:paraId="10E8C855">
      <w:pPr>
        <w:spacing w:before="156"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（3）培训时间、周期、频率和培训人数均由采购人指定，以满足系统正常上线、相关人员均可独立熟练操作为准。</w:t>
      </w:r>
    </w:p>
    <w:p w14:paraId="376DB109">
      <w:pPr>
        <w:spacing w:before="156"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（4）中标方派出的培训教员必须是</w:t>
      </w:r>
      <w:r>
        <w:rPr>
          <w:rFonts w:hint="eastAsia" w:ascii="宋体" w:hAnsi="宋体" w:cs="宋体"/>
          <w:color w:val="auto"/>
          <w:sz w:val="24"/>
          <w:szCs w:val="24"/>
          <w:highlight w:val="none"/>
          <w:lang w:val="en-US" w:eastAsia="zh-CN"/>
        </w:rPr>
        <w:t>中标</w:t>
      </w:r>
      <w:r>
        <w:rPr>
          <w:rFonts w:hint="eastAsia" w:ascii="宋体" w:hAnsi="宋体" w:cs="宋体"/>
          <w:color w:val="auto"/>
          <w:sz w:val="24"/>
          <w:szCs w:val="24"/>
          <w:highlight w:val="none"/>
        </w:rPr>
        <w:t>单位的正式雇员或产品原厂单位雇员，应具备丰富的相同课程教学经验，并为被培训人员提供完整的培训资料、培训计划等文档。如果使用第三方培训机构，投标单位应在谈判响应文件中提供培训机构的名称，并能根据情况调整。</w:t>
      </w:r>
    </w:p>
    <w:p w14:paraId="2A31DFC4">
      <w:pPr>
        <w:spacing w:before="156" w:line="360" w:lineRule="auto"/>
        <w:ind w:firstLine="482" w:firstLineChars="200"/>
        <w:outlineLvl w:val="2"/>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4.6 项目验收要求</w:t>
      </w:r>
    </w:p>
    <w:p w14:paraId="3EF6F365">
      <w:pPr>
        <w:spacing w:before="156"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项目实施完成后，由采购人根据国家关于项目验收的有关规定和合同规定进行验收。采购文件条款、谈判响应文件承诺及国家有关的质量检验标准均为验收的依据。验收具体工作由采购人、使用单位和中标人三方派代表参与筹备。</w:t>
      </w:r>
    </w:p>
    <w:p w14:paraId="6BBAB372">
      <w:pPr>
        <w:spacing w:before="156"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（2）软件部分：</w:t>
      </w:r>
    </w:p>
    <w:p w14:paraId="4B2C9B29">
      <w:pPr>
        <w:spacing w:before="156"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项目软件部分完工后由中标人对软件系统进行自测，应确保项目各系统功能、性能满足招标要求，自测合格后，中标人可向</w:t>
      </w:r>
      <w:r>
        <w:rPr>
          <w:rFonts w:hint="eastAsia" w:ascii="宋体" w:hAnsi="宋体" w:cs="宋体"/>
          <w:color w:val="auto"/>
          <w:sz w:val="24"/>
          <w:szCs w:val="24"/>
          <w:highlight w:val="none"/>
          <w:lang w:val="en-US" w:eastAsia="zh-CN"/>
        </w:rPr>
        <w:t>采购</w:t>
      </w:r>
      <w:r>
        <w:rPr>
          <w:rFonts w:hint="eastAsia" w:ascii="宋体" w:hAnsi="宋体" w:cs="宋体"/>
          <w:color w:val="auto"/>
          <w:sz w:val="24"/>
          <w:szCs w:val="24"/>
          <w:highlight w:val="none"/>
        </w:rPr>
        <w:t>人书面申请软件初验，经</w:t>
      </w:r>
      <w:r>
        <w:rPr>
          <w:rFonts w:hint="eastAsia" w:ascii="宋体" w:hAnsi="宋体" w:cs="宋体"/>
          <w:color w:val="auto"/>
          <w:sz w:val="24"/>
          <w:szCs w:val="24"/>
          <w:highlight w:val="none"/>
          <w:lang w:val="en-US" w:eastAsia="zh-CN"/>
        </w:rPr>
        <w:t>采购</w:t>
      </w:r>
      <w:r>
        <w:rPr>
          <w:rFonts w:hint="eastAsia" w:ascii="宋体" w:hAnsi="宋体" w:cs="宋体"/>
          <w:color w:val="auto"/>
          <w:sz w:val="24"/>
          <w:szCs w:val="24"/>
          <w:highlight w:val="none"/>
        </w:rPr>
        <w:t>人确认后，由</w:t>
      </w:r>
      <w:r>
        <w:rPr>
          <w:rFonts w:hint="eastAsia" w:ascii="宋体" w:hAnsi="宋体" w:cs="宋体"/>
          <w:color w:val="auto"/>
          <w:sz w:val="24"/>
          <w:szCs w:val="24"/>
          <w:highlight w:val="none"/>
          <w:lang w:val="en-US" w:eastAsia="zh-CN"/>
        </w:rPr>
        <w:t>采购</w:t>
      </w:r>
      <w:r>
        <w:rPr>
          <w:rFonts w:hint="eastAsia" w:ascii="宋体" w:hAnsi="宋体" w:cs="宋体"/>
          <w:color w:val="auto"/>
          <w:sz w:val="24"/>
          <w:szCs w:val="24"/>
          <w:highlight w:val="none"/>
        </w:rPr>
        <w:t>人组织初验小组进行项目软件部分初验；项目软件部分初验合格后，进入试运行阶段，试运行期间，中标人应使系统任何故障或问题都能在收到故障通知后尽快（含节假日期间）被修复和解决，并且所有试运行期间软件的修改和故障的修复细节都应记录在试运行报告中；系统正常试运行满60天后，中标人可向</w:t>
      </w:r>
      <w:r>
        <w:rPr>
          <w:rFonts w:hint="eastAsia" w:ascii="宋体" w:hAnsi="宋体" w:cs="宋体"/>
          <w:color w:val="auto"/>
          <w:sz w:val="24"/>
          <w:szCs w:val="24"/>
          <w:highlight w:val="none"/>
          <w:lang w:val="en-US" w:eastAsia="zh-CN"/>
        </w:rPr>
        <w:t>采购</w:t>
      </w:r>
      <w:r>
        <w:rPr>
          <w:rFonts w:hint="eastAsia" w:ascii="宋体" w:hAnsi="宋体" w:cs="宋体"/>
          <w:color w:val="auto"/>
          <w:sz w:val="24"/>
          <w:szCs w:val="24"/>
          <w:highlight w:val="none"/>
        </w:rPr>
        <w:t>人书面申请项目软件部分终验，经</w:t>
      </w:r>
      <w:r>
        <w:rPr>
          <w:rFonts w:hint="eastAsia" w:ascii="宋体" w:hAnsi="宋体" w:cs="宋体"/>
          <w:color w:val="auto"/>
          <w:sz w:val="24"/>
          <w:szCs w:val="24"/>
          <w:highlight w:val="none"/>
          <w:lang w:val="en-US" w:eastAsia="zh-CN"/>
        </w:rPr>
        <w:t>采购</w:t>
      </w:r>
      <w:r>
        <w:rPr>
          <w:rFonts w:hint="eastAsia" w:ascii="宋体" w:hAnsi="宋体" w:cs="宋体"/>
          <w:color w:val="auto"/>
          <w:sz w:val="24"/>
          <w:szCs w:val="24"/>
          <w:highlight w:val="none"/>
        </w:rPr>
        <w:t>人确认后，由</w:t>
      </w:r>
      <w:r>
        <w:rPr>
          <w:rFonts w:hint="eastAsia" w:ascii="宋体" w:hAnsi="宋体" w:cs="宋体"/>
          <w:color w:val="auto"/>
          <w:sz w:val="24"/>
          <w:szCs w:val="24"/>
          <w:highlight w:val="none"/>
          <w:lang w:val="en-US" w:eastAsia="zh-CN"/>
        </w:rPr>
        <w:t>采购</w:t>
      </w:r>
      <w:r>
        <w:rPr>
          <w:rFonts w:hint="eastAsia" w:ascii="宋体" w:hAnsi="宋体" w:cs="宋体"/>
          <w:color w:val="auto"/>
          <w:sz w:val="24"/>
          <w:szCs w:val="24"/>
          <w:highlight w:val="none"/>
        </w:rPr>
        <w:t>人组织验收小组进行项目软件部分终验。终验合格后，进入项目质保期。</w:t>
      </w:r>
    </w:p>
    <w:p w14:paraId="34140693">
      <w:pPr>
        <w:spacing w:before="156"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（3）云资源部分：</w:t>
      </w:r>
    </w:p>
    <w:p w14:paraId="0222F783">
      <w:pPr>
        <w:spacing w:before="156"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服务期</w:t>
      </w:r>
      <w:r>
        <w:rPr>
          <w:rFonts w:ascii="宋体" w:hAnsi="宋体" w:cs="宋体"/>
          <w:color w:val="auto"/>
          <w:sz w:val="24"/>
          <w:szCs w:val="24"/>
          <w:highlight w:val="none"/>
        </w:rPr>
        <w:t>3</w:t>
      </w:r>
      <w:r>
        <w:rPr>
          <w:rFonts w:hint="eastAsia" w:ascii="宋体" w:hAnsi="宋体" w:cs="宋体"/>
          <w:color w:val="auto"/>
          <w:sz w:val="24"/>
          <w:szCs w:val="24"/>
          <w:highlight w:val="none"/>
        </w:rPr>
        <w:t>年，由使用单位出具服务合格意见证明，经</w:t>
      </w:r>
      <w:r>
        <w:rPr>
          <w:rFonts w:hint="eastAsia" w:ascii="宋体" w:hAnsi="宋体" w:cs="宋体"/>
          <w:color w:val="auto"/>
          <w:sz w:val="24"/>
          <w:szCs w:val="24"/>
          <w:highlight w:val="none"/>
          <w:lang w:val="en-US" w:eastAsia="zh-CN"/>
        </w:rPr>
        <w:t>采购</w:t>
      </w:r>
      <w:r>
        <w:rPr>
          <w:rFonts w:hint="eastAsia" w:ascii="宋体" w:hAnsi="宋体" w:cs="宋体"/>
          <w:color w:val="auto"/>
          <w:sz w:val="24"/>
          <w:szCs w:val="24"/>
          <w:highlight w:val="none"/>
        </w:rPr>
        <w:t>人确认后由</w:t>
      </w:r>
      <w:r>
        <w:rPr>
          <w:rFonts w:hint="eastAsia" w:ascii="宋体" w:hAnsi="宋体" w:cs="宋体"/>
          <w:color w:val="auto"/>
          <w:sz w:val="24"/>
          <w:szCs w:val="24"/>
          <w:highlight w:val="none"/>
          <w:lang w:val="en-US" w:eastAsia="zh-CN"/>
        </w:rPr>
        <w:t>采购</w:t>
      </w:r>
      <w:r>
        <w:rPr>
          <w:rFonts w:hint="eastAsia" w:ascii="宋体" w:hAnsi="宋体" w:cs="宋体"/>
          <w:color w:val="auto"/>
          <w:sz w:val="24"/>
          <w:szCs w:val="24"/>
          <w:highlight w:val="none"/>
        </w:rPr>
        <w:t>人组织验收小组进行云资源部分验收。</w:t>
      </w:r>
    </w:p>
    <w:p w14:paraId="0C66C9AE">
      <w:pPr>
        <w:spacing w:before="156"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4）项目验收时，中标人应按采购人和监理方（如有）要求将所有项目文档完整移交采购人，包括但不限于：项目实施方案、实施计划，系统备份方案，应急方案，项目需求规格说明书，概要设计说明书，详细设计说明书，数据库设计说明书，系统测试方案，系统测试报告，项目培训资料，使用操作手册，试运行报告，使用单位用户报告，项目总结报告。</w:t>
      </w:r>
    </w:p>
    <w:p w14:paraId="4A8CD517">
      <w:pPr>
        <w:spacing w:before="156" w:line="360" w:lineRule="auto"/>
        <w:ind w:firstLine="482" w:firstLineChars="200"/>
        <w:outlineLvl w:val="2"/>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4.7 知识产权</w:t>
      </w:r>
    </w:p>
    <w:p w14:paraId="51CC2BE6">
      <w:pPr>
        <w:spacing w:before="156"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（1）本项目开发的建设成果（含核心源代码）版权归采购人所有，未经采购人同意，</w:t>
      </w:r>
      <w:r>
        <w:rPr>
          <w:rFonts w:hint="eastAsia" w:ascii="宋体" w:hAnsi="宋体" w:cs="宋体"/>
          <w:color w:val="auto"/>
          <w:sz w:val="24"/>
          <w:szCs w:val="24"/>
          <w:highlight w:val="none"/>
          <w:lang w:val="en-US" w:eastAsia="zh-CN"/>
        </w:rPr>
        <w:t>中标</w:t>
      </w:r>
      <w:r>
        <w:rPr>
          <w:rFonts w:hint="eastAsia" w:ascii="宋体" w:hAnsi="宋体" w:cs="宋体"/>
          <w:color w:val="auto"/>
          <w:sz w:val="24"/>
          <w:szCs w:val="24"/>
          <w:highlight w:val="none"/>
        </w:rPr>
        <w:t>人不得自行扩散或提供给第三方使用(但开发前</w:t>
      </w:r>
      <w:r>
        <w:rPr>
          <w:rFonts w:hint="eastAsia" w:ascii="宋体" w:hAnsi="宋体" w:cs="宋体"/>
          <w:color w:val="auto"/>
          <w:sz w:val="24"/>
          <w:szCs w:val="24"/>
          <w:highlight w:val="none"/>
          <w:lang w:val="en-US" w:eastAsia="zh-CN"/>
        </w:rPr>
        <w:t>中标</w:t>
      </w:r>
      <w:r>
        <w:rPr>
          <w:rFonts w:hint="eastAsia" w:ascii="宋体" w:hAnsi="宋体" w:cs="宋体"/>
          <w:color w:val="auto"/>
          <w:sz w:val="24"/>
          <w:szCs w:val="24"/>
          <w:highlight w:val="none"/>
        </w:rPr>
        <w:t>人自有的原型系统、技术模块、数据模型、开发工具软件包等知识产权仍属于</w:t>
      </w:r>
      <w:r>
        <w:rPr>
          <w:rFonts w:hint="eastAsia" w:ascii="宋体" w:hAnsi="宋体" w:cs="宋体"/>
          <w:color w:val="auto"/>
          <w:sz w:val="24"/>
          <w:szCs w:val="24"/>
          <w:highlight w:val="none"/>
          <w:lang w:val="en-US" w:eastAsia="zh-CN"/>
        </w:rPr>
        <w:t>中标</w:t>
      </w:r>
      <w:r>
        <w:rPr>
          <w:rFonts w:hint="eastAsia" w:ascii="宋体" w:hAnsi="宋体" w:cs="宋体"/>
          <w:color w:val="auto"/>
          <w:sz w:val="24"/>
          <w:szCs w:val="24"/>
          <w:highlight w:val="none"/>
        </w:rPr>
        <w:t>人，采购人可以在本项目范围内使用)。</w:t>
      </w:r>
    </w:p>
    <w:p w14:paraId="6F8E8EF9">
      <w:pPr>
        <w:spacing w:before="156"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2）投标人须保证交付采购人的软件产品无任何抵押、查封、债务转移等产权瑕疵。投标人须保证所提供软件产品在本项目范围内使用过程中出现知识产权或使用权纠纷，应由投标人负责，若因该纠纷产生的一切损失均由投标人承担，采购人不承担任何责任。</w:t>
      </w:r>
    </w:p>
    <w:p w14:paraId="2113C13B">
      <w:pPr>
        <w:spacing w:before="156"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）项目最终验收时，</w:t>
      </w:r>
      <w:r>
        <w:rPr>
          <w:rFonts w:hint="eastAsia" w:ascii="宋体" w:hAnsi="宋体" w:cs="宋体"/>
          <w:color w:val="auto"/>
          <w:sz w:val="24"/>
          <w:szCs w:val="24"/>
          <w:highlight w:val="none"/>
          <w:lang w:val="en-US" w:eastAsia="zh-CN"/>
        </w:rPr>
        <w:t>中标</w:t>
      </w:r>
      <w:r>
        <w:rPr>
          <w:rFonts w:hint="eastAsia" w:ascii="宋体" w:hAnsi="宋体" w:cs="宋体"/>
          <w:color w:val="auto"/>
          <w:sz w:val="24"/>
          <w:szCs w:val="24"/>
          <w:highlight w:val="none"/>
        </w:rPr>
        <w:t>人应提供完整的软件平台包和数据给采购人，并按照软件技术规范的国家标准，提交项目文档，项目中涉及的定制开发功能，</w:t>
      </w:r>
      <w:r>
        <w:rPr>
          <w:rFonts w:hint="eastAsia" w:ascii="宋体" w:hAnsi="宋体" w:cs="宋体"/>
          <w:color w:val="auto"/>
          <w:sz w:val="24"/>
          <w:szCs w:val="24"/>
          <w:highlight w:val="none"/>
          <w:lang w:val="en-US" w:eastAsia="zh-CN"/>
        </w:rPr>
        <w:t>中标</w:t>
      </w:r>
      <w:r>
        <w:rPr>
          <w:rFonts w:hint="eastAsia" w:ascii="宋体" w:hAnsi="宋体" w:cs="宋体"/>
          <w:color w:val="auto"/>
          <w:sz w:val="24"/>
          <w:szCs w:val="24"/>
          <w:highlight w:val="none"/>
        </w:rPr>
        <w:t>人应在验收时提交项目实施过程的软件包和数据（数据中台部分需要提供源代码），作为验收主要要素，以备后续维护与后续开发所用，并为采购人提供软件著作权申请（所有申请的知识产权归采购人所有）等做好软件相关的配合工作。</w:t>
      </w:r>
    </w:p>
    <w:p w14:paraId="6A24C158">
      <w:pPr>
        <w:spacing w:before="156" w:line="360" w:lineRule="auto"/>
        <w:ind w:firstLine="482" w:firstLineChars="200"/>
        <w:outlineLvl w:val="2"/>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4.8 质量要求</w:t>
      </w:r>
    </w:p>
    <w:p w14:paraId="09B48B6C">
      <w:pPr>
        <w:spacing w:before="156"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中标</w:t>
      </w:r>
      <w:r>
        <w:rPr>
          <w:rFonts w:hint="eastAsia" w:ascii="宋体" w:hAnsi="宋体" w:cs="宋体"/>
          <w:color w:val="auto"/>
          <w:sz w:val="24"/>
          <w:szCs w:val="24"/>
          <w:highlight w:val="none"/>
        </w:rPr>
        <w:t>人应确保产品质量，所有产品均需符合国家产品的有关技术规范、质量标准和产品厂家的出厂标准，并保证产品是出厂原装合格产品。进口产品须是获得国家商检局颁布安全生产许可证的出厂原装合格产品。</w:t>
      </w:r>
    </w:p>
    <w:p w14:paraId="254F058F">
      <w:pPr>
        <w:spacing w:before="156"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中标</w:t>
      </w:r>
      <w:r>
        <w:rPr>
          <w:rFonts w:hint="eastAsia" w:ascii="宋体" w:hAnsi="宋体" w:cs="宋体"/>
          <w:color w:val="auto"/>
          <w:sz w:val="24"/>
          <w:szCs w:val="24"/>
          <w:highlight w:val="none"/>
        </w:rPr>
        <w:t>人须保证所提供产品符合国家有关规定，应确保其产品的完整性、实用性，在使用期内各项功能、性能等指标能满足招标文件和采购人需求，若出现因</w:t>
      </w:r>
      <w:r>
        <w:rPr>
          <w:rFonts w:hint="eastAsia" w:ascii="宋体" w:hAnsi="宋体" w:cs="宋体"/>
          <w:color w:val="auto"/>
          <w:sz w:val="24"/>
          <w:szCs w:val="24"/>
          <w:highlight w:val="none"/>
          <w:lang w:val="en-US" w:eastAsia="zh-CN"/>
        </w:rPr>
        <w:t>中标</w:t>
      </w:r>
      <w:r>
        <w:rPr>
          <w:rFonts w:hint="eastAsia" w:ascii="宋体" w:hAnsi="宋体" w:cs="宋体"/>
          <w:color w:val="auto"/>
          <w:sz w:val="24"/>
          <w:szCs w:val="24"/>
          <w:highlight w:val="none"/>
        </w:rPr>
        <w:t>人提供的产品不满足要求、不合理，或者其所提供的技术支持和服务不全面，而导致系统无法实现或不能完全实现的状况，</w:t>
      </w:r>
      <w:r>
        <w:rPr>
          <w:rFonts w:hint="eastAsia" w:ascii="宋体" w:hAnsi="宋体" w:cs="宋体"/>
          <w:color w:val="auto"/>
          <w:sz w:val="24"/>
          <w:szCs w:val="24"/>
          <w:highlight w:val="none"/>
          <w:lang w:val="en-US" w:eastAsia="zh-CN"/>
        </w:rPr>
        <w:t>中标</w:t>
      </w:r>
      <w:r>
        <w:rPr>
          <w:rFonts w:hint="eastAsia" w:ascii="宋体" w:hAnsi="宋体" w:cs="宋体"/>
          <w:color w:val="auto"/>
          <w:sz w:val="24"/>
          <w:szCs w:val="24"/>
          <w:highlight w:val="none"/>
        </w:rPr>
        <w:t>人负全部责任。</w:t>
      </w:r>
    </w:p>
    <w:p w14:paraId="6EF733D7">
      <w:pPr>
        <w:spacing w:before="156"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val="en-US" w:eastAsia="zh-CN"/>
        </w:rPr>
        <w:t>中标</w:t>
      </w:r>
      <w:r>
        <w:rPr>
          <w:rFonts w:hint="eastAsia" w:ascii="宋体" w:hAnsi="宋体" w:cs="宋体"/>
          <w:color w:val="auto"/>
          <w:sz w:val="24"/>
          <w:szCs w:val="24"/>
          <w:highlight w:val="none"/>
        </w:rPr>
        <w:t>人应保证设备经正确安装、正常运转和保养，保证在其使用寿命内应具有满意的性能。</w:t>
      </w:r>
    </w:p>
    <w:p w14:paraId="7FB0FB46">
      <w:pPr>
        <w:spacing w:before="156"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（4）如发生质量异议，采购人有权要求更换产品；若</w:t>
      </w:r>
      <w:r>
        <w:rPr>
          <w:rFonts w:hint="eastAsia" w:ascii="宋体" w:hAnsi="宋体" w:cs="宋体"/>
          <w:color w:val="auto"/>
          <w:sz w:val="24"/>
          <w:szCs w:val="24"/>
          <w:highlight w:val="none"/>
          <w:lang w:val="en-US" w:eastAsia="zh-CN"/>
        </w:rPr>
        <w:t>中标</w:t>
      </w:r>
      <w:r>
        <w:rPr>
          <w:rFonts w:hint="eastAsia" w:ascii="宋体" w:hAnsi="宋体" w:cs="宋体"/>
          <w:color w:val="auto"/>
          <w:sz w:val="24"/>
          <w:szCs w:val="24"/>
          <w:highlight w:val="none"/>
        </w:rPr>
        <w:t>人拒绝，按《中华人民共和国产品质量法》等有关规定处理。</w:t>
      </w:r>
    </w:p>
    <w:p w14:paraId="2F668FF6">
      <w:pPr>
        <w:spacing w:before="156" w:line="360" w:lineRule="auto"/>
        <w:ind w:firstLine="482" w:firstLineChars="200"/>
        <w:outlineLvl w:val="2"/>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4.9 安全及保密要求</w:t>
      </w:r>
    </w:p>
    <w:p w14:paraId="54206485">
      <w:pPr>
        <w:snapToGrid w:val="0"/>
        <w:spacing w:before="156"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中标</w:t>
      </w:r>
      <w:r>
        <w:rPr>
          <w:rFonts w:hint="eastAsia" w:ascii="宋体" w:hAnsi="宋体" w:cs="宋体"/>
          <w:color w:val="auto"/>
          <w:sz w:val="24"/>
          <w:szCs w:val="24"/>
          <w:highlight w:val="none"/>
        </w:rPr>
        <w:t>人应严格保守在合作过程中所了解的采购人的商业及技术机密，否则应对由此造成的损失承担赔偿。</w:t>
      </w:r>
    </w:p>
    <w:p w14:paraId="3953C2E6">
      <w:pPr>
        <w:snapToGrid w:val="0"/>
        <w:spacing w:before="156"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中标</w:t>
      </w:r>
      <w:r>
        <w:rPr>
          <w:rFonts w:hint="eastAsia" w:ascii="宋体" w:hAnsi="宋体" w:cs="宋体"/>
          <w:color w:val="auto"/>
          <w:sz w:val="24"/>
          <w:szCs w:val="24"/>
          <w:highlight w:val="none"/>
        </w:rPr>
        <w:t>人不得出于除履行本项目以外任何目的的披露、传播、复制或使用来自采购人的所有或者部分保密信息；不得在未经采购人书面明确同意的前提下向任何第三方披露本项目相关保密信息；本项目履行完毕后，</w:t>
      </w:r>
      <w:r>
        <w:rPr>
          <w:rFonts w:hint="eastAsia" w:ascii="宋体" w:hAnsi="宋体" w:cs="宋体"/>
          <w:color w:val="auto"/>
          <w:sz w:val="24"/>
          <w:szCs w:val="24"/>
          <w:highlight w:val="none"/>
          <w:lang w:val="en-US" w:eastAsia="zh-CN"/>
        </w:rPr>
        <w:t>中标</w:t>
      </w:r>
      <w:r>
        <w:rPr>
          <w:rFonts w:hint="eastAsia" w:ascii="宋体" w:hAnsi="宋体" w:cs="宋体"/>
          <w:color w:val="auto"/>
          <w:sz w:val="24"/>
          <w:szCs w:val="24"/>
          <w:highlight w:val="none"/>
        </w:rPr>
        <w:t>人应当将所有涉及保密信息的载体交还采购人或自行做好管理，不得保留任何形式的存档。</w:t>
      </w:r>
    </w:p>
    <w:p w14:paraId="084DB1D5">
      <w:pPr>
        <w:snapToGrid w:val="0"/>
        <w:spacing w:before="156"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val="en-US" w:eastAsia="zh-CN"/>
        </w:rPr>
        <w:t>中标</w:t>
      </w:r>
      <w:r>
        <w:rPr>
          <w:rFonts w:hint="eastAsia" w:ascii="宋体" w:hAnsi="宋体" w:cs="宋体"/>
          <w:color w:val="auto"/>
          <w:sz w:val="24"/>
          <w:szCs w:val="24"/>
          <w:highlight w:val="none"/>
        </w:rPr>
        <w:t>人应严格遵循采购人的各项安全保密制度，所有信息数据迁移、处理等过程中严禁私自复制、传输，完成建设任务后，</w:t>
      </w:r>
      <w:r>
        <w:rPr>
          <w:rFonts w:hint="eastAsia" w:ascii="宋体" w:hAnsi="宋体" w:cs="宋体"/>
          <w:color w:val="auto"/>
          <w:sz w:val="24"/>
          <w:szCs w:val="24"/>
          <w:highlight w:val="none"/>
          <w:lang w:val="en-US" w:eastAsia="zh-CN"/>
        </w:rPr>
        <w:t>中标</w:t>
      </w:r>
      <w:r>
        <w:rPr>
          <w:rFonts w:hint="eastAsia" w:ascii="宋体" w:hAnsi="宋体" w:cs="宋体"/>
          <w:color w:val="auto"/>
          <w:sz w:val="24"/>
          <w:szCs w:val="24"/>
          <w:highlight w:val="none"/>
        </w:rPr>
        <w:t>人使用的用户信息等敏感数据必须物理清除。</w:t>
      </w:r>
    </w:p>
    <w:p w14:paraId="47FD558F">
      <w:pPr>
        <w:snapToGrid w:val="0"/>
        <w:spacing w:before="156"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（4）</w:t>
      </w:r>
      <w:r>
        <w:rPr>
          <w:rFonts w:hint="eastAsia" w:ascii="宋体" w:hAnsi="宋体" w:cs="宋体"/>
          <w:color w:val="auto"/>
          <w:sz w:val="24"/>
          <w:szCs w:val="24"/>
          <w:highlight w:val="none"/>
          <w:lang w:val="en-US" w:eastAsia="zh-CN"/>
        </w:rPr>
        <w:t>中标</w:t>
      </w:r>
      <w:r>
        <w:rPr>
          <w:rFonts w:hint="eastAsia" w:ascii="宋体" w:hAnsi="宋体" w:cs="宋体"/>
          <w:color w:val="auto"/>
          <w:sz w:val="24"/>
          <w:szCs w:val="24"/>
          <w:highlight w:val="none"/>
        </w:rPr>
        <w:t>人有义务保障平台的稳定性、账户的安全性，因软件系统原因导致平台崩溃、账户盗号或被攻击发布非法信息等引发的问题，所有经济责任及法律责任均由</w:t>
      </w:r>
      <w:r>
        <w:rPr>
          <w:rFonts w:hint="eastAsia" w:ascii="宋体" w:hAnsi="宋体" w:cs="宋体"/>
          <w:color w:val="auto"/>
          <w:sz w:val="24"/>
          <w:szCs w:val="24"/>
          <w:highlight w:val="none"/>
          <w:lang w:val="en-US" w:eastAsia="zh-CN"/>
        </w:rPr>
        <w:t>中标</w:t>
      </w:r>
      <w:r>
        <w:rPr>
          <w:rFonts w:hint="eastAsia" w:ascii="宋体" w:hAnsi="宋体" w:cs="宋体"/>
          <w:color w:val="auto"/>
          <w:sz w:val="24"/>
          <w:szCs w:val="24"/>
          <w:highlight w:val="none"/>
        </w:rPr>
        <w:t>人承担，涉及违法犯罪的交由公安机关处理。</w:t>
      </w:r>
    </w:p>
    <w:p w14:paraId="7A20E5AA">
      <w:pPr>
        <w:spacing w:before="156"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（5）投标人违反网络安全、数据安全、个人信息保护有关法律、法规规定的，由网信、公安等部门按照职责依法予以查处。</w:t>
      </w:r>
    </w:p>
    <w:p w14:paraId="3518421F">
      <w:pPr>
        <w:spacing w:before="156" w:line="360" w:lineRule="auto"/>
        <w:ind w:firstLine="482" w:firstLineChars="200"/>
        <w:outlineLvl w:val="2"/>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4.10 售后服务要求</w:t>
      </w:r>
    </w:p>
    <w:p w14:paraId="55BCE1FA">
      <w:pPr>
        <w:spacing w:before="156"/>
        <w:ind w:firstLine="482"/>
        <w:outlineLvl w:val="3"/>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4.10.1 项目质保期要求</w:t>
      </w:r>
    </w:p>
    <w:p w14:paraId="7B85CEA3">
      <w:pPr>
        <w:spacing w:before="156"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本项目质保期要求：不少于</w:t>
      </w:r>
      <w:r>
        <w:rPr>
          <w:rFonts w:hint="eastAsia" w:ascii="宋体" w:hAnsi="宋体" w:cs="宋体"/>
          <w:b/>
          <w:bCs/>
          <w:color w:val="auto"/>
          <w:sz w:val="24"/>
          <w:szCs w:val="24"/>
          <w:highlight w:val="none"/>
        </w:rPr>
        <w:t>叁</w:t>
      </w:r>
      <w:r>
        <w:rPr>
          <w:rFonts w:hint="eastAsia" w:ascii="宋体" w:hAnsi="宋体" w:cs="宋体"/>
          <w:color w:val="auto"/>
          <w:sz w:val="24"/>
          <w:szCs w:val="24"/>
          <w:highlight w:val="none"/>
        </w:rPr>
        <w:t>年（自项目终验之日起计算）。</w:t>
      </w:r>
    </w:p>
    <w:p w14:paraId="0FABFC3A">
      <w:pPr>
        <w:spacing w:before="156"/>
        <w:ind w:firstLine="482"/>
        <w:outlineLvl w:val="3"/>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4.10.2 售后服务内容</w:t>
      </w:r>
    </w:p>
    <w:p w14:paraId="1C727D21">
      <w:pPr>
        <w:spacing w:before="156"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中标</w:t>
      </w:r>
      <w:r>
        <w:rPr>
          <w:rFonts w:hint="eastAsia" w:ascii="宋体" w:hAnsi="宋体" w:cs="宋体"/>
          <w:color w:val="auto"/>
          <w:sz w:val="24"/>
          <w:szCs w:val="24"/>
          <w:highlight w:val="none"/>
        </w:rPr>
        <w:t>人应配备专门的技术服务部门负责对用户的全方位的技术支持和服务，通过电话服务、远程服务和现场服务向采购方提供快速、高效的维护服务，及时准确解决产品出现的各种故障，进行平台的完善性升级，保障系统长期安全、可靠、高效运行。</w:t>
      </w:r>
      <w:r>
        <w:rPr>
          <w:rFonts w:hint="eastAsia" w:ascii="宋体" w:hAnsi="宋体" w:cs="宋体"/>
          <w:bCs/>
          <w:color w:val="auto"/>
          <w:sz w:val="24"/>
          <w:szCs w:val="24"/>
          <w:highlight w:val="none"/>
        </w:rPr>
        <w:t>维保服务内容</w:t>
      </w:r>
      <w:r>
        <w:rPr>
          <w:rFonts w:hint="eastAsia" w:ascii="宋体" w:hAnsi="宋体" w:cs="宋体"/>
          <w:color w:val="auto"/>
          <w:sz w:val="24"/>
          <w:szCs w:val="24"/>
          <w:highlight w:val="none"/>
        </w:rPr>
        <w:t>包括但不仅限于：</w:t>
      </w:r>
    </w:p>
    <w:p w14:paraId="45896667">
      <w:pPr>
        <w:pStyle w:val="25"/>
        <w:tabs>
          <w:tab w:val="left" w:pos="3025"/>
        </w:tabs>
        <w:autoSpaceDE w:val="0"/>
        <w:autoSpaceDN w:val="0"/>
        <w:adjustRightInd w:val="0"/>
        <w:spacing w:after="156"/>
        <w:ind w:firstLine="480"/>
        <w:rPr>
          <w:rFonts w:hint="eastAsia" w:hAnsi="宋体" w:cs="宋体"/>
          <w:color w:val="auto"/>
          <w:sz w:val="24"/>
          <w:highlight w:val="none"/>
        </w:rPr>
      </w:pPr>
      <w:bookmarkStart w:id="46" w:name="_Toc117784948"/>
      <w:bookmarkStart w:id="47" w:name="_Toc27401"/>
      <w:r>
        <w:rPr>
          <w:rFonts w:hint="eastAsia" w:hAnsi="宋体" w:cs="宋体"/>
          <w:color w:val="auto"/>
          <w:sz w:val="24"/>
          <w:highlight w:val="none"/>
        </w:rPr>
        <w:t>（1）日常使用</w:t>
      </w:r>
      <w:bookmarkEnd w:id="46"/>
      <w:bookmarkEnd w:id="47"/>
      <w:r>
        <w:rPr>
          <w:rFonts w:hint="eastAsia" w:hAnsi="宋体" w:cs="宋体"/>
          <w:color w:val="auto"/>
          <w:sz w:val="24"/>
          <w:highlight w:val="none"/>
        </w:rPr>
        <w:t>技术支持</w:t>
      </w:r>
    </w:p>
    <w:p w14:paraId="6C0AC855">
      <w:pPr>
        <w:pStyle w:val="25"/>
        <w:tabs>
          <w:tab w:val="left" w:pos="3025"/>
        </w:tabs>
        <w:autoSpaceDE w:val="0"/>
        <w:autoSpaceDN w:val="0"/>
        <w:adjustRightInd w:val="0"/>
        <w:spacing w:after="156"/>
        <w:ind w:firstLine="480"/>
        <w:rPr>
          <w:rFonts w:hint="eastAsia" w:hAnsi="宋体" w:cs="宋体"/>
          <w:color w:val="auto"/>
          <w:sz w:val="24"/>
          <w:highlight w:val="none"/>
        </w:rPr>
      </w:pPr>
      <w:r>
        <w:rPr>
          <w:rFonts w:hint="eastAsia" w:hAnsi="宋体" w:cs="宋体"/>
          <w:color w:val="auto"/>
          <w:sz w:val="24"/>
          <w:highlight w:val="none"/>
        </w:rPr>
        <w:t>对系统使用单位在日常使用系统过程中出现的操作困难，</w:t>
      </w:r>
      <w:r>
        <w:rPr>
          <w:rFonts w:hint="eastAsia" w:ascii="宋体" w:hAnsi="宋体" w:cs="宋体"/>
          <w:color w:val="auto"/>
          <w:sz w:val="24"/>
          <w:szCs w:val="24"/>
          <w:highlight w:val="none"/>
          <w:lang w:val="en-US" w:eastAsia="zh-CN"/>
        </w:rPr>
        <w:t>中标</w:t>
      </w:r>
      <w:r>
        <w:rPr>
          <w:rFonts w:hint="eastAsia" w:hAnsi="宋体" w:cs="宋体"/>
          <w:color w:val="auto"/>
          <w:sz w:val="24"/>
          <w:highlight w:val="none"/>
        </w:rPr>
        <w:t>人需提供必要的讲解、指导或现场帮助，保证用户在最短的时间内解决操作问题。</w:t>
      </w:r>
    </w:p>
    <w:p w14:paraId="1DE36D79">
      <w:pPr>
        <w:pStyle w:val="25"/>
        <w:tabs>
          <w:tab w:val="left" w:pos="3025"/>
        </w:tabs>
        <w:autoSpaceDE w:val="0"/>
        <w:autoSpaceDN w:val="0"/>
        <w:adjustRightInd w:val="0"/>
        <w:spacing w:after="156"/>
        <w:ind w:firstLine="480"/>
        <w:rPr>
          <w:rFonts w:hint="eastAsia" w:hAnsi="宋体" w:cs="宋体"/>
          <w:color w:val="auto"/>
          <w:sz w:val="24"/>
          <w:highlight w:val="none"/>
        </w:rPr>
      </w:pPr>
      <w:bookmarkStart w:id="48" w:name="_Toc15369"/>
      <w:bookmarkStart w:id="49" w:name="_Toc117784949"/>
      <w:r>
        <w:rPr>
          <w:rFonts w:hint="eastAsia" w:hAnsi="宋体" w:cs="宋体"/>
          <w:color w:val="auto"/>
          <w:sz w:val="24"/>
          <w:highlight w:val="none"/>
        </w:rPr>
        <w:t>（2）系统日常维护</w:t>
      </w:r>
      <w:bookmarkEnd w:id="48"/>
      <w:bookmarkEnd w:id="49"/>
    </w:p>
    <w:p w14:paraId="7975D677">
      <w:pPr>
        <w:pStyle w:val="25"/>
        <w:tabs>
          <w:tab w:val="left" w:pos="3025"/>
        </w:tabs>
        <w:autoSpaceDE w:val="0"/>
        <w:autoSpaceDN w:val="0"/>
        <w:adjustRightInd w:val="0"/>
        <w:spacing w:after="156"/>
        <w:ind w:firstLine="480"/>
        <w:rPr>
          <w:rFonts w:hint="eastAsia" w:hAnsi="宋体" w:cs="宋体"/>
          <w:color w:val="auto"/>
          <w:sz w:val="24"/>
          <w:highlight w:val="none"/>
        </w:rPr>
      </w:pPr>
      <w:r>
        <w:rPr>
          <w:rFonts w:hint="eastAsia" w:hAnsi="宋体" w:cs="宋体"/>
          <w:color w:val="auto"/>
          <w:sz w:val="24"/>
          <w:highlight w:val="none"/>
        </w:rPr>
        <w:t>每日监控系统运行情况，若发现异常情况及时处理。</w:t>
      </w:r>
    </w:p>
    <w:p w14:paraId="2DECC2E9">
      <w:pPr>
        <w:pStyle w:val="25"/>
        <w:tabs>
          <w:tab w:val="left" w:pos="3025"/>
        </w:tabs>
        <w:autoSpaceDE w:val="0"/>
        <w:autoSpaceDN w:val="0"/>
        <w:adjustRightInd w:val="0"/>
        <w:spacing w:after="156"/>
        <w:ind w:firstLine="480"/>
        <w:rPr>
          <w:rFonts w:hint="eastAsia" w:hAnsi="宋体" w:cs="宋体"/>
          <w:color w:val="auto"/>
          <w:sz w:val="24"/>
          <w:highlight w:val="none"/>
        </w:rPr>
      </w:pPr>
      <w:r>
        <w:rPr>
          <w:rFonts w:hint="eastAsia" w:hAnsi="宋体" w:cs="宋体"/>
          <w:color w:val="auto"/>
          <w:sz w:val="24"/>
          <w:highlight w:val="none"/>
        </w:rPr>
        <w:t>定期收集记录用户在使用系统过程中发现的BUG，并根据问题的严重程度及用户要求的紧急程度，给予及时的解决。</w:t>
      </w:r>
    </w:p>
    <w:p w14:paraId="56B0429A">
      <w:pPr>
        <w:pStyle w:val="25"/>
        <w:tabs>
          <w:tab w:val="left" w:pos="3025"/>
        </w:tabs>
        <w:autoSpaceDE w:val="0"/>
        <w:autoSpaceDN w:val="0"/>
        <w:adjustRightInd w:val="0"/>
        <w:spacing w:after="156"/>
        <w:ind w:firstLine="480"/>
        <w:rPr>
          <w:rFonts w:hint="eastAsia" w:hAnsi="宋体" w:cs="宋体"/>
          <w:color w:val="auto"/>
          <w:sz w:val="24"/>
          <w:highlight w:val="none"/>
        </w:rPr>
      </w:pPr>
      <w:r>
        <w:rPr>
          <w:rFonts w:hint="eastAsia" w:hAnsi="宋体" w:cs="宋体"/>
          <w:color w:val="auto"/>
          <w:sz w:val="24"/>
          <w:highlight w:val="none"/>
        </w:rPr>
        <w:t>定期查看整理系统运行日志，发现并解决问题。</w:t>
      </w:r>
    </w:p>
    <w:p w14:paraId="3EC753AD">
      <w:pPr>
        <w:pStyle w:val="25"/>
        <w:tabs>
          <w:tab w:val="left" w:pos="3025"/>
        </w:tabs>
        <w:autoSpaceDE w:val="0"/>
        <w:autoSpaceDN w:val="0"/>
        <w:adjustRightInd w:val="0"/>
        <w:spacing w:after="156"/>
        <w:ind w:firstLine="480"/>
        <w:rPr>
          <w:rFonts w:hint="eastAsia" w:hAnsi="宋体" w:cs="宋体"/>
          <w:color w:val="auto"/>
          <w:sz w:val="24"/>
          <w:highlight w:val="none"/>
        </w:rPr>
      </w:pPr>
      <w:r>
        <w:rPr>
          <w:rFonts w:hint="eastAsia" w:hAnsi="宋体" w:cs="宋体"/>
          <w:color w:val="auto"/>
          <w:sz w:val="24"/>
          <w:highlight w:val="none"/>
        </w:rPr>
        <w:t>定期组织对系统运行情况的检查与审核，通过现场核查、调取相关的运维工作记录、审查运维报告等方式，对各系统的日常工作情况进行全面的检查与审核，以发现、分析系统整体的运行问题。对于发现的问题，经双方协商调用必要的服务支持资源及时予以解决。</w:t>
      </w:r>
    </w:p>
    <w:p w14:paraId="0452534C">
      <w:pPr>
        <w:pStyle w:val="25"/>
        <w:tabs>
          <w:tab w:val="left" w:pos="3025"/>
        </w:tabs>
        <w:autoSpaceDE w:val="0"/>
        <w:autoSpaceDN w:val="0"/>
        <w:adjustRightInd w:val="0"/>
        <w:spacing w:after="156"/>
        <w:ind w:firstLine="480"/>
        <w:rPr>
          <w:rFonts w:hint="eastAsia" w:hAnsi="宋体" w:cs="宋体"/>
          <w:color w:val="auto"/>
          <w:sz w:val="24"/>
          <w:highlight w:val="none"/>
        </w:rPr>
      </w:pPr>
      <w:bookmarkStart w:id="50" w:name="_Toc117784950"/>
      <w:bookmarkStart w:id="51" w:name="_Toc19520"/>
      <w:r>
        <w:rPr>
          <w:rFonts w:hint="eastAsia" w:hAnsi="宋体" w:cs="宋体"/>
          <w:color w:val="auto"/>
          <w:sz w:val="24"/>
          <w:highlight w:val="none"/>
        </w:rPr>
        <w:t>（3）系统调优升级</w:t>
      </w:r>
      <w:bookmarkEnd w:id="50"/>
      <w:bookmarkEnd w:id="51"/>
    </w:p>
    <w:p w14:paraId="540C9D74">
      <w:pPr>
        <w:pStyle w:val="25"/>
        <w:tabs>
          <w:tab w:val="left" w:pos="3025"/>
        </w:tabs>
        <w:autoSpaceDE w:val="0"/>
        <w:autoSpaceDN w:val="0"/>
        <w:adjustRightInd w:val="0"/>
        <w:spacing w:after="156" w:line="360" w:lineRule="auto"/>
        <w:ind w:firstLine="480"/>
        <w:rPr>
          <w:rFonts w:hint="eastAsia" w:hAnsi="宋体" w:cs="宋体"/>
          <w:color w:val="auto"/>
          <w:sz w:val="24"/>
          <w:highlight w:val="none"/>
        </w:rPr>
      </w:pPr>
      <w:r>
        <w:rPr>
          <w:rFonts w:hint="eastAsia" w:hAnsi="宋体" w:cs="宋体"/>
          <w:color w:val="auto"/>
          <w:sz w:val="24"/>
          <w:highlight w:val="none"/>
        </w:rPr>
        <w:t>定期测试系统的性能指标，并采取措施对系统的性能进行优化。</w:t>
      </w:r>
      <w:r>
        <w:rPr>
          <w:rFonts w:hint="eastAsia" w:ascii="宋体" w:hAnsi="宋体" w:cs="宋体"/>
          <w:color w:val="auto"/>
          <w:sz w:val="24"/>
          <w:szCs w:val="24"/>
          <w:highlight w:val="none"/>
          <w:lang w:val="en-US" w:eastAsia="zh-CN"/>
        </w:rPr>
        <w:t>中标人</w:t>
      </w:r>
      <w:r>
        <w:rPr>
          <w:rFonts w:hint="eastAsia" w:hAnsi="宋体" w:cs="宋体"/>
          <w:color w:val="auto"/>
          <w:sz w:val="24"/>
          <w:highlight w:val="none"/>
        </w:rPr>
        <w:t>若对系统对应的产品进行了升级，在经过用户同意的情况下，给用户升级。</w:t>
      </w:r>
    </w:p>
    <w:p w14:paraId="762E503B">
      <w:pPr>
        <w:pStyle w:val="25"/>
        <w:tabs>
          <w:tab w:val="left" w:pos="3025"/>
        </w:tabs>
        <w:autoSpaceDE w:val="0"/>
        <w:autoSpaceDN w:val="0"/>
        <w:adjustRightInd w:val="0"/>
        <w:spacing w:after="156"/>
        <w:ind w:firstLine="480"/>
        <w:rPr>
          <w:rFonts w:hint="eastAsia" w:hAnsi="宋体" w:cs="宋体"/>
          <w:color w:val="auto"/>
          <w:sz w:val="24"/>
          <w:highlight w:val="none"/>
        </w:rPr>
      </w:pPr>
      <w:bookmarkStart w:id="52" w:name="_Toc117784951"/>
      <w:bookmarkStart w:id="53" w:name="_Toc6436"/>
      <w:r>
        <w:rPr>
          <w:rFonts w:hint="eastAsia" w:hAnsi="宋体" w:cs="宋体"/>
          <w:color w:val="auto"/>
          <w:sz w:val="24"/>
          <w:highlight w:val="none"/>
        </w:rPr>
        <w:t>（4）系统完善修改</w:t>
      </w:r>
      <w:bookmarkEnd w:id="52"/>
      <w:bookmarkEnd w:id="53"/>
    </w:p>
    <w:p w14:paraId="718B88DF">
      <w:pPr>
        <w:pStyle w:val="25"/>
        <w:tabs>
          <w:tab w:val="left" w:pos="3025"/>
        </w:tabs>
        <w:autoSpaceDE w:val="0"/>
        <w:autoSpaceDN w:val="0"/>
        <w:adjustRightInd w:val="0"/>
        <w:spacing w:after="156"/>
        <w:ind w:firstLine="480"/>
        <w:rPr>
          <w:rFonts w:hint="eastAsia" w:hAnsi="宋体" w:cs="宋体"/>
          <w:color w:val="auto"/>
          <w:sz w:val="24"/>
          <w:highlight w:val="none"/>
        </w:rPr>
      </w:pPr>
      <w:r>
        <w:rPr>
          <w:rFonts w:hint="eastAsia" w:hAnsi="宋体" w:cs="宋体"/>
          <w:color w:val="auto"/>
          <w:sz w:val="24"/>
          <w:highlight w:val="none"/>
        </w:rPr>
        <w:t>对于用户在系统运营过程中提出的修改需求，如不涉及核心架构修改、全新功能模块增加以及大工作量的研发投入，都应在本项目内予以免费解决。</w:t>
      </w:r>
    </w:p>
    <w:p w14:paraId="457ACCBF">
      <w:pPr>
        <w:spacing w:before="156"/>
        <w:ind w:firstLine="482"/>
        <w:outlineLvl w:val="3"/>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4.10.3 响应时间</w:t>
      </w:r>
    </w:p>
    <w:p w14:paraId="38BAF2BC">
      <w:pPr>
        <w:spacing w:before="156"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中标人</w:t>
      </w:r>
      <w:r>
        <w:rPr>
          <w:rFonts w:hint="eastAsia" w:ascii="宋体" w:hAnsi="宋体" w:cs="宋体"/>
          <w:color w:val="auto"/>
          <w:sz w:val="24"/>
          <w:szCs w:val="24"/>
          <w:highlight w:val="none"/>
        </w:rPr>
        <w:t>应具备较强的售后服务能力，拥有足够的技术服务人员；能够免费提供7×24小时技术支持服务，应在接到采购人或系统使用单位故障通知半小时内做出响应，紧急问题3小时内到达现场，24小时解决问题，特殊情况不超过48小时；故障发生后24小时内不能解决的，软件故障则免费完成项目应急预案落地，直至系统恢复正常运行。</w:t>
      </w:r>
    </w:p>
    <w:p w14:paraId="572E0560">
      <w:pPr>
        <w:spacing w:before="156"/>
        <w:ind w:firstLine="482"/>
        <w:outlineLvl w:val="3"/>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4.10.4 定期巡检</w:t>
      </w:r>
    </w:p>
    <w:p w14:paraId="1B2753FA">
      <w:pPr>
        <w:spacing w:before="156"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中标人应在质保期内每年提供不少于2次的系统巡检服务，并向采购人提交巡检报告。系统巡检预防性维护服务的内容主要包括对系统的运行状况进行跟踪了解，及时发现各种隐患问题，并进行相应整改解决（巡检报告作为尾款付款的重要依据）。</w:t>
      </w:r>
    </w:p>
    <w:p w14:paraId="5F3BFCFC">
      <w:pPr>
        <w:spacing w:before="156"/>
        <w:ind w:firstLine="482"/>
        <w:outlineLvl w:val="3"/>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4.10.5 退换货处理</w:t>
      </w:r>
    </w:p>
    <w:p w14:paraId="484F1377">
      <w:pPr>
        <w:spacing w:before="156"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中标人提供的设备及软件在质保期内因其本身的质量问题发生故障，中标人应负责免费更换。对达不到技术要求者，根据实际情况，经双方协商，可按以下办法处理：</w:t>
      </w:r>
    </w:p>
    <w:p w14:paraId="4FE48C6B">
      <w:pPr>
        <w:spacing w:before="156" w:line="360" w:lineRule="auto"/>
        <w:ind w:firstLine="480"/>
        <w:rPr>
          <w:rFonts w:hint="eastAsia" w:ascii="宋体" w:hAnsi="宋体" w:cs="宋体"/>
          <w:bCs/>
          <w:color w:val="auto"/>
          <w:sz w:val="24"/>
          <w:szCs w:val="24"/>
          <w:highlight w:val="none"/>
        </w:rPr>
      </w:pPr>
      <w:r>
        <w:rPr>
          <w:rFonts w:hint="eastAsia" w:ascii="宋体" w:hAnsi="宋体" w:cs="宋体"/>
          <w:bCs/>
          <w:color w:val="auto"/>
          <w:sz w:val="24"/>
          <w:szCs w:val="24"/>
          <w:highlight w:val="none"/>
        </w:rPr>
        <w:t>1）更换：由中标人承担所发生的全部费用。</w:t>
      </w:r>
    </w:p>
    <w:p w14:paraId="3E39B5F7">
      <w:pPr>
        <w:spacing w:before="156" w:line="360" w:lineRule="auto"/>
        <w:ind w:firstLine="480"/>
        <w:rPr>
          <w:rFonts w:ascii="宋体" w:hAnsi="宋体" w:cs="宋体"/>
          <w:bCs/>
          <w:color w:val="auto"/>
          <w:sz w:val="24"/>
          <w:szCs w:val="24"/>
          <w:highlight w:val="none"/>
        </w:rPr>
      </w:pPr>
      <w:r>
        <w:rPr>
          <w:rFonts w:hint="eastAsia" w:ascii="宋体" w:hAnsi="宋体" w:cs="宋体"/>
          <w:bCs/>
          <w:color w:val="auto"/>
          <w:sz w:val="24"/>
          <w:szCs w:val="24"/>
          <w:highlight w:val="none"/>
        </w:rPr>
        <w:t>2）退货处理：中标人应退还采购人支付的合同款，同时应承担该项目的直接费用（检验、货款利息及银行手续费等）。</w:t>
      </w:r>
    </w:p>
    <w:p w14:paraId="2F61CBCB">
      <w:pPr>
        <w:spacing w:before="156" w:line="360" w:lineRule="auto"/>
        <w:ind w:firstLine="480"/>
        <w:rPr>
          <w:rFonts w:ascii="宋体" w:hAnsi="宋体" w:cs="宋体"/>
          <w:b/>
          <w:color w:val="auto"/>
          <w:sz w:val="24"/>
          <w:szCs w:val="24"/>
          <w:highlight w:val="none"/>
        </w:rPr>
      </w:pPr>
      <w:r>
        <w:rPr>
          <w:rFonts w:hint="eastAsia" w:ascii="宋体" w:hAnsi="宋体" w:cs="宋体"/>
          <w:b/>
          <w:color w:val="auto"/>
          <w:sz w:val="24"/>
          <w:szCs w:val="24"/>
          <w:highlight w:val="none"/>
        </w:rPr>
        <w:t>4</w:t>
      </w:r>
      <w:r>
        <w:rPr>
          <w:rFonts w:ascii="宋体" w:hAnsi="宋体" w:cs="宋体"/>
          <w:b/>
          <w:color w:val="auto"/>
          <w:sz w:val="24"/>
          <w:szCs w:val="24"/>
          <w:highlight w:val="none"/>
        </w:rPr>
        <w:t>.10.6</w:t>
      </w:r>
      <w:r>
        <w:rPr>
          <w:rFonts w:hint="eastAsia" w:ascii="宋体" w:hAnsi="宋体" w:cs="宋体"/>
          <w:b/>
          <w:color w:val="auto"/>
          <w:sz w:val="24"/>
          <w:szCs w:val="24"/>
          <w:highlight w:val="none"/>
        </w:rPr>
        <w:t>人员驻场</w:t>
      </w:r>
    </w:p>
    <w:p w14:paraId="350CCC27">
      <w:pPr>
        <w:spacing w:before="156" w:line="360" w:lineRule="auto"/>
        <w:ind w:firstLine="480"/>
        <w:rPr>
          <w:rFonts w:hint="eastAsia" w:ascii="宋体" w:hAnsi="宋体" w:cs="宋体"/>
          <w:bCs/>
          <w:color w:val="auto"/>
          <w:sz w:val="24"/>
          <w:szCs w:val="24"/>
          <w:highlight w:val="none"/>
        </w:rPr>
      </w:pPr>
      <w:r>
        <w:rPr>
          <w:rFonts w:hint="eastAsia" w:ascii="宋体" w:hAnsi="宋体" w:cs="宋体"/>
          <w:color w:val="auto"/>
          <w:sz w:val="24"/>
          <w:szCs w:val="24"/>
          <w:highlight w:val="none"/>
        </w:rPr>
        <w:t>★</w:t>
      </w:r>
      <w:r>
        <w:rPr>
          <w:rFonts w:hint="eastAsia" w:ascii="宋体" w:hAnsi="宋体" w:cs="宋体"/>
          <w:bCs/>
          <w:color w:val="auto"/>
          <w:sz w:val="24"/>
          <w:szCs w:val="24"/>
          <w:highlight w:val="none"/>
        </w:rPr>
        <w:t>中标人应在质保期内提供不少于2人在采购人指定地点进行驻点，保障项目整体运行质量。（投标文件中提供承诺函并加盖公章，格式自拟）</w:t>
      </w:r>
    </w:p>
    <w:p w14:paraId="3358B6A0">
      <w:pPr>
        <w:spacing w:before="156"/>
        <w:ind w:firstLine="482"/>
        <w:outlineLvl w:val="1"/>
        <w:rPr>
          <w:rFonts w:hint="eastAsia" w:ascii="宋体" w:hAnsi="宋体" w:cs="宋体"/>
          <w:b/>
          <w:color w:val="auto"/>
          <w:sz w:val="24"/>
          <w:szCs w:val="24"/>
          <w:highlight w:val="none"/>
        </w:rPr>
      </w:pPr>
      <w:r>
        <w:rPr>
          <w:rFonts w:hint="eastAsia" w:ascii="宋体" w:hAnsi="宋体" w:cs="宋体"/>
          <w:b/>
          <w:color w:val="auto"/>
          <w:sz w:val="24"/>
          <w:szCs w:val="24"/>
          <w:highlight w:val="none"/>
        </w:rPr>
        <w:t>（五）履约保证金</w:t>
      </w:r>
    </w:p>
    <w:p w14:paraId="1B53EF61">
      <w:pPr>
        <w:spacing w:before="156" w:line="360" w:lineRule="auto"/>
        <w:ind w:firstLine="420"/>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签订合同前，中标人需向采购人缴纳合同总金额1%的履约保证金，项目终验合格无任何问题退回，不计息。</w:t>
      </w:r>
    </w:p>
    <w:p w14:paraId="07CA9994">
      <w:pPr>
        <w:numPr>
          <w:ilvl w:val="0"/>
          <w:numId w:val="5"/>
        </w:numPr>
        <w:spacing w:before="156"/>
        <w:ind w:firstLine="482"/>
        <w:outlineLvl w:val="1"/>
        <w:rPr>
          <w:rFonts w:hint="eastAsia" w:ascii="宋体" w:hAnsi="宋体" w:cs="宋体"/>
          <w:b/>
          <w:color w:val="auto"/>
          <w:sz w:val="24"/>
          <w:szCs w:val="24"/>
          <w:highlight w:val="none"/>
        </w:rPr>
      </w:pPr>
      <w:r>
        <w:rPr>
          <w:rFonts w:hint="eastAsia" w:ascii="宋体" w:hAnsi="宋体" w:cs="宋体"/>
          <w:b/>
          <w:color w:val="auto"/>
          <w:sz w:val="24"/>
          <w:szCs w:val="24"/>
          <w:highlight w:val="none"/>
        </w:rPr>
        <w:t>付款方式</w:t>
      </w:r>
    </w:p>
    <w:p w14:paraId="5F70A387">
      <w:pPr>
        <w:spacing w:before="156" w:line="360" w:lineRule="auto"/>
        <w:ind w:firstLine="480"/>
        <w:rPr>
          <w:rFonts w:ascii="宋体" w:hAnsi="宋体" w:cs="宋体"/>
          <w:b/>
          <w:color w:val="auto"/>
          <w:sz w:val="24"/>
          <w:szCs w:val="24"/>
          <w:highlight w:val="none"/>
        </w:rPr>
      </w:pPr>
      <w:r>
        <w:rPr>
          <w:rFonts w:hint="eastAsia" w:ascii="宋体" w:hAnsi="宋体" w:cs="宋体"/>
          <w:b/>
          <w:color w:val="auto"/>
          <w:sz w:val="24"/>
          <w:szCs w:val="24"/>
          <w:highlight w:val="none"/>
        </w:rPr>
        <w:t>（1）软件部分：</w:t>
      </w:r>
    </w:p>
    <w:p w14:paraId="67CF1FE6">
      <w:pPr>
        <w:spacing w:before="156" w:line="360" w:lineRule="auto"/>
        <w:ind w:firstLine="420"/>
        <w:rPr>
          <w:rFonts w:ascii="宋体" w:hAns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）项目初验合格且在收到</w:t>
      </w:r>
      <w:r>
        <w:rPr>
          <w:rFonts w:hint="eastAsia" w:ascii="宋体" w:hAnsi="宋体" w:cs="宋体"/>
          <w:color w:val="auto"/>
          <w:sz w:val="24"/>
          <w:szCs w:val="24"/>
          <w:highlight w:val="none"/>
          <w:lang w:val="en-US" w:eastAsia="zh-CN"/>
        </w:rPr>
        <w:t>中标</w:t>
      </w:r>
      <w:r>
        <w:rPr>
          <w:rFonts w:hint="eastAsia" w:ascii="宋体" w:hAnsi="宋体" w:cs="宋体"/>
          <w:color w:val="auto"/>
          <w:sz w:val="24"/>
          <w:szCs w:val="24"/>
          <w:highlight w:val="none"/>
        </w:rPr>
        <w:t>人提供的相关付款材料3个月内，</w:t>
      </w:r>
      <w:r>
        <w:rPr>
          <w:rFonts w:hint="eastAsia" w:ascii="宋体" w:hAnsi="宋体" w:cs="宋体"/>
          <w:color w:val="auto"/>
          <w:sz w:val="24"/>
          <w:szCs w:val="24"/>
          <w:highlight w:val="none"/>
          <w:lang w:val="en-US" w:eastAsia="zh-CN"/>
        </w:rPr>
        <w:t>采购</w:t>
      </w:r>
      <w:r>
        <w:rPr>
          <w:rFonts w:hint="eastAsia" w:ascii="宋体" w:hAnsi="宋体" w:cs="宋体"/>
          <w:color w:val="auto"/>
          <w:sz w:val="24"/>
          <w:szCs w:val="24"/>
          <w:highlight w:val="none"/>
        </w:rPr>
        <w:t>人向</w:t>
      </w:r>
      <w:r>
        <w:rPr>
          <w:rFonts w:hint="eastAsia" w:ascii="宋体" w:hAnsi="宋体" w:cs="宋体"/>
          <w:color w:val="auto"/>
          <w:sz w:val="24"/>
          <w:szCs w:val="24"/>
          <w:highlight w:val="none"/>
          <w:lang w:val="en-US" w:eastAsia="zh-CN"/>
        </w:rPr>
        <w:t>中标</w:t>
      </w:r>
      <w:r>
        <w:rPr>
          <w:rFonts w:hint="eastAsia" w:ascii="宋体" w:hAnsi="宋体" w:cs="宋体"/>
          <w:color w:val="auto"/>
          <w:sz w:val="24"/>
          <w:szCs w:val="24"/>
          <w:highlight w:val="none"/>
        </w:rPr>
        <w:t>人支付合同中支付</w:t>
      </w:r>
      <w:r>
        <w:rPr>
          <w:rFonts w:hint="eastAsia" w:ascii="宋体" w:hAnsi="宋体" w:cs="宋体"/>
          <w:bCs/>
          <w:color w:val="auto"/>
          <w:sz w:val="24"/>
          <w:szCs w:val="24"/>
          <w:highlight w:val="none"/>
          <w:lang w:val="zh-CN"/>
        </w:rPr>
        <w:t>软件</w:t>
      </w:r>
      <w:r>
        <w:rPr>
          <w:rFonts w:hint="eastAsia" w:ascii="宋体" w:hAnsi="宋体" w:cs="宋体"/>
          <w:color w:val="auto"/>
          <w:sz w:val="24"/>
          <w:szCs w:val="24"/>
          <w:highlight w:val="none"/>
        </w:rPr>
        <w:t>部分合计金额</w:t>
      </w:r>
      <w:r>
        <w:rPr>
          <w:rFonts w:ascii="宋体" w:hAnsi="宋体" w:cs="宋体"/>
          <w:color w:val="auto"/>
          <w:sz w:val="24"/>
          <w:szCs w:val="24"/>
          <w:highlight w:val="none"/>
        </w:rPr>
        <w:t>40</w:t>
      </w:r>
      <w:r>
        <w:rPr>
          <w:rFonts w:hint="eastAsia" w:ascii="宋体" w:hAnsi="宋体" w:cs="宋体"/>
          <w:color w:val="auto"/>
          <w:sz w:val="24"/>
          <w:szCs w:val="24"/>
          <w:highlight w:val="none"/>
        </w:rPr>
        <w:t>%的款项。</w:t>
      </w:r>
    </w:p>
    <w:p w14:paraId="78726291">
      <w:pPr>
        <w:spacing w:before="156" w:line="360" w:lineRule="auto"/>
        <w:ind w:firstLine="420"/>
        <w:rPr>
          <w:rFonts w:ascii="宋体" w:hAnsi="宋体" w:cs="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）项目终验合格后且在收到</w:t>
      </w:r>
      <w:r>
        <w:rPr>
          <w:rFonts w:hint="eastAsia" w:ascii="宋体" w:hAnsi="宋体" w:cs="宋体"/>
          <w:color w:val="auto"/>
          <w:sz w:val="24"/>
          <w:szCs w:val="24"/>
          <w:highlight w:val="none"/>
          <w:lang w:val="en-US" w:eastAsia="zh-CN"/>
        </w:rPr>
        <w:t>中标</w:t>
      </w:r>
      <w:r>
        <w:rPr>
          <w:rFonts w:hint="eastAsia" w:ascii="宋体" w:hAnsi="宋体" w:cs="宋体"/>
          <w:color w:val="auto"/>
          <w:sz w:val="24"/>
          <w:szCs w:val="24"/>
          <w:highlight w:val="none"/>
        </w:rPr>
        <w:t>人提供的相关付款材料3个月内，</w:t>
      </w:r>
      <w:r>
        <w:rPr>
          <w:rFonts w:hint="eastAsia" w:ascii="宋体" w:hAnsi="宋体" w:cs="宋体"/>
          <w:color w:val="auto"/>
          <w:sz w:val="24"/>
          <w:szCs w:val="24"/>
          <w:highlight w:val="none"/>
          <w:lang w:val="en-US" w:eastAsia="zh-CN"/>
        </w:rPr>
        <w:t>采购</w:t>
      </w:r>
      <w:r>
        <w:rPr>
          <w:rFonts w:hint="eastAsia" w:ascii="宋体" w:hAnsi="宋体" w:cs="宋体"/>
          <w:color w:val="auto"/>
          <w:sz w:val="24"/>
          <w:szCs w:val="24"/>
          <w:highlight w:val="none"/>
        </w:rPr>
        <w:t>人向</w:t>
      </w:r>
      <w:r>
        <w:rPr>
          <w:rFonts w:hint="eastAsia" w:ascii="宋体" w:hAnsi="宋体" w:cs="宋体"/>
          <w:color w:val="auto"/>
          <w:sz w:val="24"/>
          <w:szCs w:val="24"/>
          <w:highlight w:val="none"/>
          <w:lang w:val="en-US" w:eastAsia="zh-CN"/>
        </w:rPr>
        <w:t>中标</w:t>
      </w:r>
      <w:r>
        <w:rPr>
          <w:rFonts w:hint="eastAsia" w:ascii="宋体" w:hAnsi="宋体" w:cs="宋体"/>
          <w:color w:val="auto"/>
          <w:sz w:val="24"/>
          <w:szCs w:val="24"/>
          <w:highlight w:val="none"/>
        </w:rPr>
        <w:t>人支付合同中软件部分合计金额50%的款项；</w:t>
      </w:r>
      <w:r>
        <w:rPr>
          <w:rFonts w:ascii="宋体" w:hAnsi="宋体" w:cs="宋体"/>
          <w:color w:val="auto"/>
          <w:sz w:val="24"/>
          <w:szCs w:val="24"/>
          <w:highlight w:val="none"/>
        </w:rPr>
        <w:t xml:space="preserve"> </w:t>
      </w:r>
    </w:p>
    <w:p w14:paraId="0873C854">
      <w:pPr>
        <w:spacing w:before="156" w:line="360" w:lineRule="auto"/>
        <w:ind w:firstLine="420"/>
        <w:rPr>
          <w:rFonts w:ascii="宋体" w:hAnsi="宋体" w:cs="宋体"/>
          <w:b/>
          <w:color w:val="auto"/>
          <w:sz w:val="24"/>
          <w:highlight w:val="none"/>
          <w:lang w:val="zh-CN"/>
        </w:rPr>
      </w:pPr>
      <w:r>
        <w:rPr>
          <w:rFonts w:hint="eastAsia" w:ascii="宋体" w:hAnsi="宋体" w:cs="宋体"/>
          <w:color w:val="auto"/>
          <w:sz w:val="24"/>
          <w:szCs w:val="24"/>
          <w:highlight w:val="none"/>
        </w:rPr>
        <w:t>3）项目质保期满后，由使用单位出具运维合格意见后3个月内付清合同中软件部分合计金额尾款（均无息）。</w:t>
      </w:r>
    </w:p>
    <w:p w14:paraId="76636929">
      <w:pPr>
        <w:spacing w:before="156" w:line="360" w:lineRule="auto"/>
        <w:ind w:firstLine="480"/>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lang w:val="en-US" w:eastAsia="zh-CN"/>
        </w:rPr>
        <w:t>注：</w:t>
      </w:r>
      <w:r>
        <w:rPr>
          <w:rFonts w:hint="eastAsia" w:ascii="宋体" w:hAnsi="宋体" w:cs="宋体"/>
          <w:b w:val="0"/>
          <w:bCs/>
          <w:color w:val="auto"/>
          <w:sz w:val="24"/>
          <w:szCs w:val="24"/>
          <w:highlight w:val="none"/>
        </w:rPr>
        <w:t>每次结算时，中标人须向采购人提供相应金额的增值税发票。</w:t>
      </w:r>
    </w:p>
    <w:p w14:paraId="0CE8CF2B">
      <w:pPr>
        <w:spacing w:before="156" w:line="360" w:lineRule="auto"/>
        <w:ind w:firstLine="480"/>
        <w:rPr>
          <w:rFonts w:hint="eastAsia" w:ascii="宋体" w:hAnsi="宋体" w:cs="宋体"/>
          <w:b/>
          <w:color w:val="auto"/>
          <w:sz w:val="24"/>
          <w:szCs w:val="24"/>
          <w:highlight w:val="none"/>
        </w:rPr>
      </w:pPr>
      <w:r>
        <w:rPr>
          <w:rFonts w:hint="eastAsia" w:ascii="宋体" w:hAnsi="宋体" w:cs="宋体"/>
          <w:b/>
          <w:color w:val="auto"/>
          <w:sz w:val="24"/>
          <w:szCs w:val="24"/>
          <w:highlight w:val="none"/>
        </w:rPr>
        <w:t>（</w:t>
      </w:r>
      <w:r>
        <w:rPr>
          <w:rFonts w:ascii="宋体" w:hAnsi="宋体" w:cs="宋体"/>
          <w:b/>
          <w:color w:val="auto"/>
          <w:sz w:val="24"/>
          <w:szCs w:val="24"/>
          <w:highlight w:val="none"/>
        </w:rPr>
        <w:t>2</w:t>
      </w:r>
      <w:r>
        <w:rPr>
          <w:rFonts w:hint="eastAsia" w:ascii="宋体" w:hAnsi="宋体" w:cs="宋体"/>
          <w:b/>
          <w:color w:val="auto"/>
          <w:sz w:val="24"/>
          <w:szCs w:val="24"/>
          <w:highlight w:val="none"/>
        </w:rPr>
        <w:t>）云资源部分：</w:t>
      </w:r>
    </w:p>
    <w:p w14:paraId="4E1C5DED">
      <w:pPr>
        <w:spacing w:before="156" w:line="360" w:lineRule="auto"/>
        <w:ind w:firstLine="420"/>
        <w:rPr>
          <w:rFonts w:hint="eastAsia" w:ascii="宋体" w:hAnsi="宋体" w:cs="宋体"/>
          <w:bCs/>
          <w:color w:val="auto"/>
          <w:sz w:val="24"/>
          <w:szCs w:val="24"/>
          <w:highlight w:val="none"/>
          <w:lang w:val="zh-CN"/>
        </w:rPr>
      </w:pPr>
      <w:r>
        <w:rPr>
          <w:rFonts w:hint="eastAsia" w:ascii="宋体" w:hAnsi="宋体" w:cs="宋体"/>
          <w:color w:val="auto"/>
          <w:sz w:val="24"/>
          <w:szCs w:val="24"/>
          <w:highlight w:val="none"/>
        </w:rPr>
        <w:t>自项目终验合格之日起三年，服务费用每年支付一次，每次支付合同中服务部分合计金额的</w:t>
      </w:r>
      <w:r>
        <w:rPr>
          <w:rFonts w:ascii="宋体" w:hAnsi="宋体" w:cs="宋体"/>
          <w:color w:val="auto"/>
          <w:sz w:val="24"/>
          <w:szCs w:val="24"/>
          <w:highlight w:val="none"/>
        </w:rPr>
        <w:t>1/3</w:t>
      </w:r>
      <w:r>
        <w:rPr>
          <w:rFonts w:hint="eastAsia" w:ascii="宋体" w:hAnsi="宋体" w:cs="宋体"/>
          <w:color w:val="auto"/>
          <w:sz w:val="24"/>
          <w:szCs w:val="24"/>
          <w:highlight w:val="none"/>
        </w:rPr>
        <w:t>，每期</w:t>
      </w:r>
      <w:r>
        <w:rPr>
          <w:rFonts w:hint="eastAsia" w:ascii="宋体" w:hAnsi="宋体" w:cs="宋体"/>
          <w:bCs/>
          <w:color w:val="auto"/>
          <w:sz w:val="24"/>
          <w:szCs w:val="24"/>
          <w:highlight w:val="none"/>
          <w:lang w:val="zh-CN"/>
        </w:rPr>
        <w:t>费用</w:t>
      </w:r>
      <w:r>
        <w:rPr>
          <w:rFonts w:hint="eastAsia" w:ascii="宋体" w:hAnsi="宋体" w:cs="宋体"/>
          <w:color w:val="auto"/>
          <w:sz w:val="24"/>
          <w:szCs w:val="24"/>
          <w:highlight w:val="none"/>
        </w:rPr>
        <w:t>在收到</w:t>
      </w:r>
      <w:r>
        <w:rPr>
          <w:rFonts w:hint="eastAsia" w:ascii="宋体" w:hAnsi="宋体" w:cs="宋体"/>
          <w:color w:val="auto"/>
          <w:sz w:val="24"/>
          <w:szCs w:val="24"/>
          <w:highlight w:val="none"/>
          <w:lang w:val="en-US" w:eastAsia="zh-CN"/>
        </w:rPr>
        <w:t>中标</w:t>
      </w:r>
      <w:r>
        <w:rPr>
          <w:rFonts w:hint="eastAsia" w:ascii="宋体" w:hAnsi="宋体" w:cs="宋体"/>
          <w:color w:val="auto"/>
          <w:sz w:val="24"/>
          <w:szCs w:val="24"/>
          <w:highlight w:val="none"/>
        </w:rPr>
        <w:t>人提供的相关资料并由使用单位出具服务合格意见后3个月内支付（均无息）。</w:t>
      </w:r>
    </w:p>
    <w:p w14:paraId="355BA091">
      <w:pPr>
        <w:spacing w:before="156"/>
        <w:ind w:firstLine="482"/>
        <w:outlineLvl w:val="1"/>
        <w:rPr>
          <w:rFonts w:hint="eastAsia" w:ascii="宋体" w:hAnsi="宋体" w:cs="宋体"/>
          <w:b/>
          <w:color w:val="auto"/>
          <w:sz w:val="24"/>
          <w:szCs w:val="24"/>
          <w:highlight w:val="none"/>
        </w:rPr>
      </w:pPr>
      <w:r>
        <w:rPr>
          <w:rFonts w:hint="eastAsia" w:ascii="宋体" w:hAnsi="宋体" w:cs="宋体"/>
          <w:b/>
          <w:color w:val="auto"/>
          <w:sz w:val="24"/>
          <w:szCs w:val="24"/>
          <w:highlight w:val="none"/>
        </w:rPr>
        <w:t>（七）违约责任</w:t>
      </w:r>
    </w:p>
    <w:p w14:paraId="0343918E">
      <w:pPr>
        <w:spacing w:before="156" w:line="360" w:lineRule="auto"/>
        <w:ind w:firstLine="480"/>
        <w:rPr>
          <w:rFonts w:hint="eastAsia" w:ascii="宋体" w:hAnsi="宋体" w:cs="宋体"/>
          <w:bCs/>
          <w:color w:val="auto"/>
          <w:sz w:val="24"/>
          <w:szCs w:val="24"/>
          <w:highlight w:val="none"/>
        </w:rPr>
      </w:pPr>
      <w:bookmarkStart w:id="54" w:name="_Hlk183108502"/>
      <w:r>
        <w:rPr>
          <w:rFonts w:hint="eastAsia" w:ascii="宋体" w:hAnsi="宋体" w:cs="宋体"/>
          <w:color w:val="auto"/>
          <w:sz w:val="24"/>
          <w:szCs w:val="24"/>
          <w:highlight w:val="none"/>
        </w:rPr>
        <w:t>1、</w:t>
      </w:r>
      <w:r>
        <w:rPr>
          <w:rFonts w:hint="eastAsia" w:ascii="宋体" w:hAnsi="宋体" w:cs="宋体"/>
          <w:bCs/>
          <w:color w:val="auto"/>
          <w:sz w:val="24"/>
          <w:szCs w:val="24"/>
          <w:highlight w:val="none"/>
        </w:rPr>
        <w:t>采购人无正当理由拒收建设成果的，采购人向中标人偿付拒收的货款总值的百分之十违约金。</w:t>
      </w:r>
    </w:p>
    <w:p w14:paraId="7523B804">
      <w:pPr>
        <w:spacing w:before="156" w:line="360" w:lineRule="auto"/>
        <w:ind w:firstLine="480"/>
        <w:rPr>
          <w:rFonts w:hint="eastAsia" w:ascii="宋体" w:hAnsi="宋体" w:cs="宋体"/>
          <w:bCs/>
          <w:color w:val="auto"/>
          <w:sz w:val="24"/>
          <w:szCs w:val="24"/>
          <w:highlight w:val="none"/>
        </w:rPr>
      </w:pPr>
      <w:r>
        <w:rPr>
          <w:rFonts w:hint="eastAsia" w:ascii="宋体" w:hAnsi="宋体" w:cs="宋体"/>
          <w:bCs/>
          <w:color w:val="auto"/>
          <w:sz w:val="24"/>
          <w:szCs w:val="24"/>
          <w:highlight w:val="none"/>
        </w:rPr>
        <w:t>2、中标人逾期提交阶段建设成果的，中标人应按照合同总额每日万分之五向采购人支付违约金，由采购人从履约保证金中扣除，</w:t>
      </w:r>
      <w:r>
        <w:rPr>
          <w:rFonts w:hint="eastAsia" w:ascii="宋体" w:hAnsi="宋体" w:cs="宋体"/>
          <w:color w:val="auto"/>
          <w:sz w:val="24"/>
          <w:szCs w:val="24"/>
          <w:highlight w:val="none"/>
        </w:rPr>
        <w:t>此项违约金额不超过合同总款的</w:t>
      </w:r>
      <w:r>
        <w:rPr>
          <w:rFonts w:hint="eastAsia" w:ascii="宋体" w:hAnsi="宋体" w:cs="宋体"/>
          <w:bCs/>
          <w:color w:val="auto"/>
          <w:sz w:val="24"/>
          <w:szCs w:val="24"/>
          <w:highlight w:val="none"/>
        </w:rPr>
        <w:t>百分之二十。逾期超过约定日期30天不能提交建设成果的，采购人有权解除合同并保留进一步追究中标人违约责任的权力。中标人提交的建设成果如不能通过评审或验收的，视同未提交。中标人因逾期交货或因其他违约行为导致采购人与最终用户解除合同的，中标人应向采购人支付合同总值5%的违约金，如造成采购人损失超过违约金的，超出部分由中标人继续承担赔偿责任。</w:t>
      </w:r>
    </w:p>
    <w:p w14:paraId="64CDA90B">
      <w:pPr>
        <w:spacing w:before="156"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3、中标人所提交的产品数量、型号、功能、性能等技术参数不符合合同规定及招标文件规定标准的，采购人有权拒收，中标人愿意整改但逾期交货的，按中标人逾期交货处理。若</w:t>
      </w:r>
      <w:r>
        <w:rPr>
          <w:rFonts w:hint="eastAsia" w:ascii="宋体" w:hAnsi="宋体" w:cs="宋体"/>
          <w:bCs/>
          <w:color w:val="auto"/>
          <w:sz w:val="24"/>
          <w:szCs w:val="24"/>
          <w:highlight w:val="none"/>
        </w:rPr>
        <w:t>中标人</w:t>
      </w:r>
      <w:r>
        <w:rPr>
          <w:rFonts w:hint="eastAsia" w:ascii="宋体" w:hAnsi="宋体" w:cs="宋体"/>
          <w:color w:val="auto"/>
          <w:sz w:val="24"/>
          <w:szCs w:val="24"/>
          <w:highlight w:val="none"/>
        </w:rPr>
        <w:t>拒绝进行整改，</w:t>
      </w:r>
      <w:r>
        <w:rPr>
          <w:rFonts w:hint="eastAsia" w:ascii="宋体" w:hAnsi="宋体" w:cs="宋体"/>
          <w:bCs/>
          <w:color w:val="auto"/>
          <w:sz w:val="24"/>
          <w:szCs w:val="24"/>
          <w:highlight w:val="none"/>
        </w:rPr>
        <w:t>采购人</w:t>
      </w:r>
      <w:r>
        <w:rPr>
          <w:rFonts w:hint="eastAsia" w:ascii="宋体" w:hAnsi="宋体" w:cs="宋体"/>
          <w:color w:val="auto"/>
          <w:sz w:val="24"/>
          <w:szCs w:val="24"/>
          <w:highlight w:val="none"/>
        </w:rPr>
        <w:t>可单方面解除合同，并没收履约保证金，所造成的其他损失由</w:t>
      </w:r>
      <w:r>
        <w:rPr>
          <w:rFonts w:hint="eastAsia" w:ascii="宋体" w:hAnsi="宋体" w:cs="宋体"/>
          <w:bCs/>
          <w:color w:val="auto"/>
          <w:sz w:val="24"/>
          <w:szCs w:val="24"/>
          <w:highlight w:val="none"/>
        </w:rPr>
        <w:t>中标人</w:t>
      </w:r>
      <w:r>
        <w:rPr>
          <w:rFonts w:hint="eastAsia" w:ascii="宋体" w:hAnsi="宋体" w:cs="宋体"/>
          <w:color w:val="auto"/>
          <w:sz w:val="24"/>
          <w:szCs w:val="24"/>
          <w:highlight w:val="none"/>
        </w:rPr>
        <w:t>负责。</w:t>
      </w:r>
    </w:p>
    <w:p w14:paraId="33187AC5">
      <w:pPr>
        <w:spacing w:before="156"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4、项目完工后，</w:t>
      </w:r>
      <w:r>
        <w:rPr>
          <w:rFonts w:hint="eastAsia" w:ascii="宋体" w:hAnsi="宋体" w:cs="宋体"/>
          <w:bCs/>
          <w:color w:val="auto"/>
          <w:sz w:val="24"/>
          <w:szCs w:val="24"/>
          <w:highlight w:val="none"/>
        </w:rPr>
        <w:t>中标人所交付的</w:t>
      </w:r>
      <w:r>
        <w:rPr>
          <w:rFonts w:hint="eastAsia" w:ascii="宋体" w:hAnsi="宋体" w:cs="宋体"/>
          <w:color w:val="auto"/>
          <w:sz w:val="24"/>
          <w:szCs w:val="24"/>
          <w:highlight w:val="none"/>
        </w:rPr>
        <w:t>产品的功能、性能、安全性等技术指标经系统测试（含第三方检测）发现</w:t>
      </w:r>
      <w:r>
        <w:rPr>
          <w:rFonts w:hint="eastAsia" w:ascii="宋体" w:hAnsi="宋体" w:cs="宋体"/>
          <w:color w:val="auto"/>
          <w:sz w:val="24"/>
          <w:szCs w:val="24"/>
          <w:highlight w:val="none"/>
          <w:lang w:bidi="ar"/>
        </w:rPr>
        <w:t>系统功能、性能、安全性等不符合</w:t>
      </w:r>
      <w:r>
        <w:rPr>
          <w:rFonts w:hint="eastAsia" w:ascii="宋体" w:hAnsi="宋体" w:cs="宋体"/>
          <w:bCs/>
          <w:color w:val="auto"/>
          <w:sz w:val="24"/>
          <w:szCs w:val="24"/>
          <w:highlight w:val="none"/>
        </w:rPr>
        <w:t>合同规定及</w:t>
      </w:r>
      <w:r>
        <w:rPr>
          <w:rFonts w:hint="eastAsia" w:ascii="宋体" w:hAnsi="宋体" w:cs="宋体"/>
          <w:color w:val="auto"/>
          <w:sz w:val="24"/>
          <w:szCs w:val="24"/>
          <w:highlight w:val="none"/>
          <w:lang w:bidi="ar"/>
        </w:rPr>
        <w:t>招标要求的</w:t>
      </w:r>
      <w:r>
        <w:rPr>
          <w:rFonts w:hint="eastAsia" w:ascii="宋体" w:hAnsi="宋体" w:cs="宋体"/>
          <w:color w:val="auto"/>
          <w:sz w:val="24"/>
          <w:szCs w:val="24"/>
          <w:highlight w:val="none"/>
        </w:rPr>
        <w:t>，</w:t>
      </w:r>
      <w:r>
        <w:rPr>
          <w:rFonts w:hint="eastAsia" w:ascii="宋体" w:hAnsi="宋体" w:cs="宋体"/>
          <w:bCs/>
          <w:color w:val="auto"/>
          <w:sz w:val="24"/>
          <w:szCs w:val="24"/>
          <w:highlight w:val="none"/>
        </w:rPr>
        <w:t>中标人</w:t>
      </w:r>
      <w:r>
        <w:rPr>
          <w:rFonts w:hint="eastAsia" w:ascii="宋体" w:hAnsi="宋体" w:cs="宋体"/>
          <w:color w:val="auto"/>
          <w:sz w:val="24"/>
          <w:szCs w:val="24"/>
          <w:highlight w:val="none"/>
        </w:rPr>
        <w:t>应无条件在30天内进行整改，因整改造成的项目进度延期，按照“违约责任第2条”处理；若</w:t>
      </w:r>
      <w:r>
        <w:rPr>
          <w:rFonts w:hint="eastAsia" w:ascii="宋体" w:hAnsi="宋体" w:cs="宋体"/>
          <w:bCs/>
          <w:color w:val="auto"/>
          <w:sz w:val="24"/>
          <w:szCs w:val="24"/>
          <w:highlight w:val="none"/>
        </w:rPr>
        <w:t>中标人</w:t>
      </w:r>
      <w:r>
        <w:rPr>
          <w:rFonts w:hint="eastAsia" w:ascii="宋体" w:hAnsi="宋体" w:cs="宋体"/>
          <w:color w:val="auto"/>
          <w:sz w:val="24"/>
          <w:szCs w:val="24"/>
          <w:highlight w:val="none"/>
        </w:rPr>
        <w:t>拒绝进行整改，</w:t>
      </w:r>
      <w:r>
        <w:rPr>
          <w:rFonts w:hint="eastAsia" w:ascii="宋体" w:hAnsi="宋体" w:cs="宋体"/>
          <w:bCs/>
          <w:color w:val="auto"/>
          <w:sz w:val="24"/>
          <w:szCs w:val="24"/>
          <w:highlight w:val="none"/>
        </w:rPr>
        <w:t>采购人</w:t>
      </w:r>
      <w:r>
        <w:rPr>
          <w:rFonts w:hint="eastAsia" w:ascii="宋体" w:hAnsi="宋体" w:cs="宋体"/>
          <w:color w:val="auto"/>
          <w:sz w:val="24"/>
          <w:szCs w:val="24"/>
          <w:highlight w:val="none"/>
        </w:rPr>
        <w:t>可单方面解除合同，并没收履约保证金，所造成的其他损失由</w:t>
      </w:r>
      <w:r>
        <w:rPr>
          <w:rFonts w:hint="eastAsia" w:ascii="宋体" w:hAnsi="宋体" w:cs="宋体"/>
          <w:bCs/>
          <w:color w:val="auto"/>
          <w:sz w:val="24"/>
          <w:szCs w:val="24"/>
          <w:highlight w:val="none"/>
        </w:rPr>
        <w:t>中标人</w:t>
      </w:r>
      <w:r>
        <w:rPr>
          <w:rFonts w:hint="eastAsia" w:ascii="宋体" w:hAnsi="宋体" w:cs="宋体"/>
          <w:color w:val="auto"/>
          <w:sz w:val="24"/>
          <w:szCs w:val="24"/>
          <w:highlight w:val="none"/>
        </w:rPr>
        <w:t>负责。</w:t>
      </w:r>
    </w:p>
    <w:p w14:paraId="0B67EDB0">
      <w:pPr>
        <w:spacing w:before="156"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5、在系统试运行期间，如因中标人技术原因导致系统重大故障或对系统使用单位业务正常运行造成影响或损失的，中标人应承担全部责任，并且采购人有权保留进一步追究中标人的违约责任的权力。</w:t>
      </w:r>
    </w:p>
    <w:p w14:paraId="28ADA643">
      <w:pPr>
        <w:spacing w:before="156"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6、若</w:t>
      </w:r>
      <w:r>
        <w:rPr>
          <w:rFonts w:hint="eastAsia" w:ascii="宋体" w:hAnsi="宋体" w:cs="宋体"/>
          <w:bCs/>
          <w:color w:val="auto"/>
          <w:sz w:val="24"/>
          <w:szCs w:val="24"/>
          <w:highlight w:val="none"/>
        </w:rPr>
        <w:t>中标人未能在质保期内按要求及时提供技术支持和解决故障，或售后服务受到使用单位有效投诉成立的</w:t>
      </w:r>
      <w:r>
        <w:rPr>
          <w:rFonts w:hint="eastAsia" w:ascii="宋体" w:hAnsi="宋体" w:cs="宋体"/>
          <w:color w:val="auto"/>
          <w:sz w:val="24"/>
          <w:szCs w:val="24"/>
          <w:highlight w:val="none"/>
        </w:rPr>
        <w:t>，每次处以5000元罚款，且</w:t>
      </w:r>
      <w:r>
        <w:rPr>
          <w:rFonts w:hint="eastAsia" w:ascii="宋体" w:hAnsi="宋体" w:cs="宋体"/>
          <w:bCs/>
          <w:color w:val="auto"/>
          <w:sz w:val="24"/>
          <w:szCs w:val="24"/>
          <w:highlight w:val="none"/>
        </w:rPr>
        <w:t>采购人</w:t>
      </w:r>
      <w:r>
        <w:rPr>
          <w:rFonts w:hint="eastAsia" w:ascii="宋体" w:hAnsi="宋体" w:cs="宋体"/>
          <w:color w:val="auto"/>
          <w:sz w:val="24"/>
          <w:szCs w:val="24"/>
          <w:highlight w:val="none"/>
        </w:rPr>
        <w:t>有权从未支付款项中予以扣除。</w:t>
      </w:r>
      <w:r>
        <w:rPr>
          <w:rFonts w:hint="eastAsia" w:ascii="宋体" w:hAnsi="宋体" w:cs="宋体"/>
          <w:bCs/>
          <w:color w:val="auto"/>
          <w:sz w:val="24"/>
          <w:szCs w:val="24"/>
          <w:highlight w:val="none"/>
        </w:rPr>
        <w:t>若在质保期内因中标人原因未能及时提供技术支持或故障维护而引起的安全责任事故，所有经济责任及法律责任均</w:t>
      </w:r>
      <w:r>
        <w:rPr>
          <w:rFonts w:hint="eastAsia" w:ascii="宋体" w:hAnsi="宋体" w:cs="宋体"/>
          <w:color w:val="auto"/>
          <w:sz w:val="24"/>
          <w:szCs w:val="24"/>
          <w:highlight w:val="none"/>
        </w:rPr>
        <w:t>由中标人承担。因第三方故意破坏或不可抗因素造成故障处理超过约定时间，不再追究中标人规定时间内解决故障的违约责任。</w:t>
      </w:r>
    </w:p>
    <w:p w14:paraId="5AEF104C">
      <w:pPr>
        <w:spacing w:before="156"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7、若中标人违反了“安全及保密要求”中的任一条款，需向采购人支付合同总值的10%作为违约金；若实际损失超过中标人支付违约金的，采购人有权继续向中标人追偿，因追偿产生的一切费用均由中标人承担。</w:t>
      </w:r>
    </w:p>
    <w:p w14:paraId="03B64521">
      <w:pPr>
        <w:spacing w:before="156"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8、上述因中标人违约造成的损失，采购人均有权从未付款项中扣除。</w:t>
      </w:r>
      <w:bookmarkEnd w:id="54"/>
    </w:p>
    <w:p w14:paraId="0E3972E2">
      <w:pPr>
        <w:spacing w:before="156"/>
        <w:ind w:firstLine="482"/>
        <w:outlineLvl w:val="1"/>
        <w:rPr>
          <w:rFonts w:hint="eastAsia" w:ascii="宋体" w:hAnsi="宋体" w:cs="宋体"/>
          <w:b/>
          <w:color w:val="auto"/>
          <w:sz w:val="24"/>
          <w:szCs w:val="24"/>
          <w:highlight w:val="none"/>
        </w:rPr>
      </w:pPr>
      <w:r>
        <w:rPr>
          <w:rFonts w:hint="eastAsia" w:ascii="宋体" w:hAnsi="宋体" w:cs="宋体"/>
          <w:b/>
          <w:color w:val="auto"/>
          <w:sz w:val="24"/>
          <w:szCs w:val="24"/>
          <w:highlight w:val="none"/>
        </w:rPr>
        <w:t>（八）最高限价</w:t>
      </w:r>
    </w:p>
    <w:p w14:paraId="698CCF93">
      <w:pPr>
        <w:spacing w:before="156" w:line="360" w:lineRule="auto"/>
        <w:ind w:firstLine="482"/>
        <w:rPr>
          <w:rFonts w:hint="eastAsia" w:ascii="宋体" w:hAnsi="宋体" w:cs="宋体"/>
          <w:color w:val="auto"/>
          <w:highlight w:val="none"/>
        </w:rPr>
      </w:pPr>
      <w:bookmarkStart w:id="55" w:name="_Hlk183108513"/>
      <w:r>
        <w:rPr>
          <w:rFonts w:hint="eastAsia" w:ascii="宋体" w:hAnsi="宋体" w:cs="宋体"/>
          <w:b/>
          <w:bCs/>
          <w:color w:val="auto"/>
          <w:sz w:val="24"/>
          <w:szCs w:val="24"/>
          <w:highlight w:val="none"/>
          <w:u w:val="single"/>
          <w:lang w:val="zh-CN"/>
        </w:rPr>
        <w:t>本次</w:t>
      </w:r>
      <w:r>
        <w:rPr>
          <w:rFonts w:hint="eastAsia" w:ascii="宋体" w:hAnsi="宋体" w:cs="宋体"/>
          <w:b/>
          <w:bCs/>
          <w:color w:val="auto"/>
          <w:sz w:val="24"/>
          <w:szCs w:val="24"/>
          <w:highlight w:val="none"/>
          <w:u w:val="single"/>
        </w:rPr>
        <w:t>招标</w:t>
      </w:r>
      <w:r>
        <w:rPr>
          <w:rFonts w:hint="eastAsia" w:ascii="宋体" w:hAnsi="宋体" w:cs="宋体"/>
          <w:b/>
          <w:bCs/>
          <w:color w:val="auto"/>
          <w:sz w:val="24"/>
          <w:szCs w:val="24"/>
          <w:highlight w:val="none"/>
          <w:u w:val="single"/>
          <w:lang w:val="zh-CN"/>
        </w:rPr>
        <w:t>最高</w:t>
      </w:r>
      <w:r>
        <w:rPr>
          <w:rFonts w:hint="eastAsia" w:ascii="宋体" w:hAnsi="宋体" w:cs="宋体"/>
          <w:b/>
          <w:bCs/>
          <w:color w:val="auto"/>
          <w:sz w:val="24"/>
          <w:szCs w:val="24"/>
          <w:highlight w:val="none"/>
          <w:u w:val="single"/>
        </w:rPr>
        <w:t>限价为</w:t>
      </w:r>
      <w:r>
        <w:rPr>
          <w:rFonts w:hint="eastAsia" w:ascii="宋体" w:hAnsi="宋体" w:cs="宋体"/>
          <w:b/>
          <w:bCs/>
          <w:color w:val="auto"/>
          <w:sz w:val="24"/>
          <w:szCs w:val="24"/>
          <w:highlight w:val="none"/>
          <w:u w:val="single"/>
          <w:lang w:val="zh-CN"/>
        </w:rPr>
        <w:t>人民币</w:t>
      </w:r>
      <w:r>
        <w:rPr>
          <w:rFonts w:hint="eastAsia" w:ascii="宋体" w:hAnsi="宋体" w:cs="宋体"/>
          <w:b/>
          <w:bCs/>
          <w:color w:val="auto"/>
          <w:sz w:val="24"/>
          <w:szCs w:val="24"/>
          <w:highlight w:val="none"/>
          <w:u w:val="single"/>
        </w:rPr>
        <w:t>贰佰捌拾万元整</w:t>
      </w:r>
      <w:r>
        <w:rPr>
          <w:rFonts w:hint="eastAsia" w:ascii="宋体" w:hAnsi="宋体" w:cs="宋体"/>
          <w:b/>
          <w:bCs/>
          <w:color w:val="auto"/>
          <w:sz w:val="24"/>
          <w:szCs w:val="24"/>
          <w:highlight w:val="none"/>
          <w:u w:val="single"/>
          <w:lang w:val="zh-CN"/>
        </w:rPr>
        <w:t>（¥</w:t>
      </w:r>
      <w:r>
        <w:rPr>
          <w:rFonts w:hint="eastAsia" w:ascii="宋体" w:hAnsi="宋体" w:cs="宋体"/>
          <w:b/>
          <w:bCs/>
          <w:color w:val="auto"/>
          <w:sz w:val="24"/>
          <w:szCs w:val="24"/>
          <w:highlight w:val="none"/>
          <w:u w:val="single"/>
        </w:rPr>
        <w:t>2800000</w:t>
      </w:r>
      <w:r>
        <w:rPr>
          <w:rFonts w:hint="eastAsia" w:ascii="宋体" w:hAnsi="宋体" w:cs="宋体"/>
          <w:b/>
          <w:bCs/>
          <w:color w:val="auto"/>
          <w:sz w:val="24"/>
          <w:szCs w:val="24"/>
          <w:highlight w:val="none"/>
          <w:u w:val="single"/>
          <w:lang w:val="zh-CN"/>
        </w:rPr>
        <w:t>.00），任何超过最高限价的报价将被认定为无效报价。（投标报价包含材料、货物运输、配送、验收、送检费、安装、调试、培训、售后服务、</w:t>
      </w:r>
      <w:r>
        <w:rPr>
          <w:rFonts w:hint="eastAsia" w:ascii="宋体" w:hAnsi="宋体" w:cs="宋体"/>
          <w:b/>
          <w:bCs/>
          <w:color w:val="auto"/>
          <w:sz w:val="24"/>
          <w:szCs w:val="24"/>
          <w:highlight w:val="none"/>
          <w:u w:val="single"/>
        </w:rPr>
        <w:t>税费</w:t>
      </w:r>
      <w:r>
        <w:rPr>
          <w:rFonts w:hint="eastAsia" w:ascii="宋体" w:hAnsi="宋体" w:cs="宋体"/>
          <w:b/>
          <w:bCs/>
          <w:color w:val="auto"/>
          <w:sz w:val="24"/>
          <w:szCs w:val="24"/>
          <w:highlight w:val="none"/>
          <w:u w:val="single"/>
          <w:lang w:val="zh-CN"/>
        </w:rPr>
        <w:t>等</w:t>
      </w:r>
      <w:r>
        <w:rPr>
          <w:rFonts w:hint="eastAsia" w:ascii="宋体" w:hAnsi="宋体" w:cs="宋体"/>
          <w:b/>
          <w:bCs/>
          <w:color w:val="auto"/>
          <w:sz w:val="24"/>
          <w:szCs w:val="24"/>
          <w:highlight w:val="none"/>
          <w:u w:val="single"/>
        </w:rPr>
        <w:t>与项目建设相关的</w:t>
      </w:r>
      <w:r>
        <w:rPr>
          <w:rFonts w:hint="eastAsia" w:ascii="宋体" w:hAnsi="宋体" w:cs="宋体"/>
          <w:b/>
          <w:bCs/>
          <w:color w:val="auto"/>
          <w:sz w:val="24"/>
          <w:szCs w:val="24"/>
          <w:highlight w:val="none"/>
          <w:u w:val="single"/>
          <w:lang w:val="zh-CN"/>
        </w:rPr>
        <w:t>一切费用）。</w:t>
      </w:r>
      <w:bookmarkEnd w:id="55"/>
    </w:p>
    <w:p w14:paraId="5DE1E3CE">
      <w:pPr>
        <w:rPr>
          <w:color w:val="auto"/>
          <w:highlight w:val="none"/>
        </w:rPr>
      </w:pPr>
      <w:r>
        <w:rPr>
          <w:color w:val="auto"/>
          <w:highlight w:val="none"/>
        </w:rPr>
        <w:br w:type="page"/>
      </w:r>
    </w:p>
    <w:p w14:paraId="60BA3D83">
      <w:pPr>
        <w:numPr>
          <w:ilvl w:val="0"/>
          <w:numId w:val="0"/>
        </w:numPr>
        <w:spacing w:line="240" w:lineRule="auto"/>
        <w:jc w:val="center"/>
        <w:rPr>
          <w:rFonts w:hint="eastAsia" w:ascii="宋体" w:hAnsi="宋体" w:eastAsia="宋体" w:cs="宋体"/>
          <w:b/>
          <w:bCs/>
          <w:color w:val="auto"/>
          <w:sz w:val="36"/>
          <w:szCs w:val="28"/>
          <w:highlight w:val="none"/>
          <w:lang w:val="en-US" w:eastAsia="zh-CN"/>
        </w:rPr>
      </w:pPr>
      <w:r>
        <w:rPr>
          <w:rFonts w:hint="eastAsia" w:ascii="宋体" w:hAnsi="宋体" w:eastAsia="宋体" w:cs="宋体"/>
          <w:b/>
          <w:bCs/>
          <w:color w:val="auto"/>
          <w:sz w:val="36"/>
          <w:szCs w:val="28"/>
          <w:highlight w:val="none"/>
          <w:lang w:val="en-US" w:eastAsia="zh-CN"/>
        </w:rPr>
        <w:t>第五章  采购合同（参考格式）</w:t>
      </w:r>
    </w:p>
    <w:p w14:paraId="4494A9AB">
      <w:pPr>
        <w:bidi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此为参考</w:t>
      </w:r>
      <w:r>
        <w:rPr>
          <w:rFonts w:hint="eastAsia" w:ascii="宋体" w:hAnsi="宋体" w:eastAsia="宋体" w:cs="宋体"/>
          <w:color w:val="auto"/>
          <w:sz w:val="24"/>
          <w:szCs w:val="24"/>
          <w:highlight w:val="none"/>
          <w:lang w:eastAsia="zh-CN"/>
        </w:rPr>
        <w:t>范本，最终以双方认可版本为准）</w:t>
      </w:r>
    </w:p>
    <w:p w14:paraId="2ABC0030">
      <w:pPr>
        <w:keepNext w:val="0"/>
        <w:keepLines w:val="0"/>
        <w:pageBreakBefore w:val="0"/>
        <w:kinsoku/>
        <w:wordWrap/>
        <w:overflowPunct/>
        <w:topLinePunct w:val="0"/>
        <w:bidi w:val="0"/>
        <w:snapToGrid/>
        <w:spacing w:line="480" w:lineRule="auto"/>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合同编号：</w:t>
      </w:r>
      <w:r>
        <w:rPr>
          <w:rFonts w:hint="eastAsia" w:ascii="宋体" w:hAnsi="宋体" w:eastAsia="宋体" w:cs="宋体"/>
          <w:color w:val="auto"/>
          <w:sz w:val="24"/>
          <w:szCs w:val="24"/>
          <w:highlight w:val="none"/>
          <w:lang w:val="en-US" w:eastAsia="zh-CN"/>
        </w:rPr>
        <w:t>采购单位缩写-供货单位缩写-中标/成交日期</w:t>
      </w:r>
      <w:r>
        <w:rPr>
          <w:rFonts w:hint="eastAsia" w:ascii="宋体" w:hAnsi="宋体" w:eastAsia="宋体" w:cs="宋体"/>
          <w:color w:val="auto"/>
          <w:sz w:val="24"/>
          <w:szCs w:val="24"/>
          <w:highlight w:val="none"/>
          <w:lang w:eastAsia="zh-CN"/>
        </w:rPr>
        <w:t>）</w:t>
      </w:r>
    </w:p>
    <w:p w14:paraId="4F80C52E">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甲方（采购单位</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b w:val="0"/>
          <w:color w:val="auto"/>
          <w:kern w:val="0"/>
          <w:sz w:val="24"/>
          <w:szCs w:val="24"/>
          <w:highlight w:val="none"/>
        </w:rPr>
        <w:t>签订日期：</w:t>
      </w:r>
      <w:r>
        <w:rPr>
          <w:rFonts w:hint="eastAsia" w:ascii="宋体" w:hAnsi="宋体" w:eastAsia="宋体" w:cs="宋体"/>
          <w:b w:val="0"/>
          <w:color w:val="auto"/>
          <w:kern w:val="0"/>
          <w:sz w:val="24"/>
          <w:szCs w:val="24"/>
          <w:highlight w:val="none"/>
          <w:u w:val="single"/>
          <w:lang w:val="en-US" w:eastAsia="zh-CN"/>
        </w:rPr>
        <w:t xml:space="preserve">     </w:t>
      </w:r>
      <w:r>
        <w:rPr>
          <w:rFonts w:hint="eastAsia" w:ascii="宋体" w:hAnsi="宋体" w:eastAsia="宋体" w:cs="宋体"/>
          <w:b w:val="0"/>
          <w:color w:val="auto"/>
          <w:kern w:val="0"/>
          <w:sz w:val="24"/>
          <w:szCs w:val="24"/>
          <w:highlight w:val="none"/>
        </w:rPr>
        <w:t>年</w:t>
      </w:r>
      <w:r>
        <w:rPr>
          <w:rFonts w:hint="eastAsia" w:ascii="宋体" w:hAnsi="宋体" w:eastAsia="宋体" w:cs="宋体"/>
          <w:b w:val="0"/>
          <w:color w:val="auto"/>
          <w:kern w:val="0"/>
          <w:sz w:val="24"/>
          <w:szCs w:val="24"/>
          <w:highlight w:val="none"/>
          <w:u w:val="single"/>
          <w:lang w:val="en-US" w:eastAsia="zh-CN"/>
        </w:rPr>
        <w:t xml:space="preserve">   </w:t>
      </w:r>
      <w:r>
        <w:rPr>
          <w:rFonts w:hint="eastAsia" w:ascii="宋体" w:hAnsi="宋体" w:eastAsia="宋体" w:cs="宋体"/>
          <w:b w:val="0"/>
          <w:color w:val="auto"/>
          <w:kern w:val="0"/>
          <w:sz w:val="24"/>
          <w:szCs w:val="24"/>
          <w:highlight w:val="none"/>
        </w:rPr>
        <w:t>月</w:t>
      </w:r>
      <w:r>
        <w:rPr>
          <w:rFonts w:hint="eastAsia" w:ascii="宋体" w:hAnsi="宋体" w:eastAsia="宋体" w:cs="宋体"/>
          <w:b w:val="0"/>
          <w:color w:val="auto"/>
          <w:kern w:val="0"/>
          <w:sz w:val="24"/>
          <w:szCs w:val="24"/>
          <w:highlight w:val="none"/>
          <w:u w:val="single"/>
          <w:lang w:val="en-US" w:eastAsia="zh-CN"/>
        </w:rPr>
        <w:t xml:space="preserve">   </w:t>
      </w:r>
      <w:r>
        <w:rPr>
          <w:rFonts w:hint="eastAsia" w:ascii="宋体" w:hAnsi="宋体" w:eastAsia="宋体" w:cs="宋体"/>
          <w:b w:val="0"/>
          <w:color w:val="auto"/>
          <w:kern w:val="0"/>
          <w:sz w:val="24"/>
          <w:szCs w:val="24"/>
          <w:highlight w:val="none"/>
        </w:rPr>
        <w:t>日</w:t>
      </w:r>
    </w:p>
    <w:p w14:paraId="1DADB7F1">
      <w:pPr>
        <w:keepNext w:val="0"/>
        <w:keepLines w:val="0"/>
        <w:pageBreakBefore w:val="0"/>
        <w:widowControl w:val="0"/>
        <w:kinsoku/>
        <w:wordWrap/>
        <w:overflowPunct/>
        <w:topLinePunct w:val="0"/>
        <w:autoSpaceDE w:val="0"/>
        <w:autoSpaceDN w:val="0"/>
        <w:bidi w:val="0"/>
        <w:adjustRightInd w:val="0"/>
        <w:snapToGrid/>
        <w:spacing w:line="440" w:lineRule="exact"/>
        <w:jc w:val="left"/>
        <w:textAlignment w:val="auto"/>
        <w:rPr>
          <w:rFonts w:hint="eastAsia" w:ascii="宋体" w:hAnsi="宋体" w:eastAsia="宋体" w:cs="宋体"/>
          <w:color w:val="auto"/>
          <w:sz w:val="24"/>
          <w:szCs w:val="24"/>
          <w:highlight w:val="none"/>
          <w:u w:val="single"/>
          <w:lang w:val="en-US"/>
        </w:rPr>
      </w:pP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供货单位</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b w:val="0"/>
          <w:color w:val="auto"/>
          <w:kern w:val="0"/>
          <w:sz w:val="24"/>
          <w:szCs w:val="24"/>
          <w:highlight w:val="none"/>
        </w:rPr>
        <w:t>签订</w:t>
      </w:r>
      <w:r>
        <w:rPr>
          <w:rFonts w:hint="eastAsia" w:ascii="宋体" w:hAnsi="宋体" w:eastAsia="宋体" w:cs="宋体"/>
          <w:b w:val="0"/>
          <w:color w:val="auto"/>
          <w:kern w:val="0"/>
          <w:sz w:val="24"/>
          <w:szCs w:val="24"/>
          <w:highlight w:val="none"/>
          <w:lang w:val="en-US" w:eastAsia="zh-CN"/>
        </w:rPr>
        <w:t>地点</w:t>
      </w:r>
      <w:r>
        <w:rPr>
          <w:rFonts w:hint="eastAsia" w:ascii="宋体" w:hAnsi="宋体" w:eastAsia="宋体" w:cs="宋体"/>
          <w:b w:val="0"/>
          <w:color w:val="auto"/>
          <w:kern w:val="0"/>
          <w:sz w:val="24"/>
          <w:szCs w:val="24"/>
          <w:highlight w:val="none"/>
        </w:rPr>
        <w:t>：</w:t>
      </w:r>
      <w:r>
        <w:rPr>
          <w:rFonts w:hint="eastAsia" w:ascii="宋体" w:hAnsi="宋体" w:eastAsia="宋体" w:cs="宋体"/>
          <w:b w:val="0"/>
          <w:color w:val="auto"/>
          <w:kern w:val="0"/>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浙江诸暨 </w:t>
      </w:r>
      <w:r>
        <w:rPr>
          <w:rFonts w:hint="eastAsia" w:ascii="宋体" w:hAnsi="宋体" w:eastAsia="宋体" w:cs="宋体"/>
          <w:b w:val="0"/>
          <w:color w:val="auto"/>
          <w:kern w:val="0"/>
          <w:sz w:val="24"/>
          <w:szCs w:val="24"/>
          <w:highlight w:val="none"/>
          <w:u w:val="single"/>
          <w:lang w:val="en-US" w:eastAsia="zh-CN"/>
        </w:rPr>
        <w:t xml:space="preserve">     </w:t>
      </w:r>
    </w:p>
    <w:p w14:paraId="2D0AE326">
      <w:pPr>
        <w:keepNext w:val="0"/>
        <w:keepLines w:val="0"/>
        <w:pageBreakBefore w:val="0"/>
        <w:widowControl w:val="0"/>
        <w:kinsoku/>
        <w:wordWrap/>
        <w:overflowPunct/>
        <w:topLinePunct w:val="0"/>
        <w:autoSpaceDE w:val="0"/>
        <w:autoSpaceDN w:val="0"/>
        <w:bidi w:val="0"/>
        <w:adjustRightInd w:val="0"/>
        <w:snapToGrid/>
        <w:spacing w:before="157" w:beforeLines="50" w:line="46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w:t>
      </w:r>
      <w:r>
        <w:rPr>
          <w:rFonts w:hint="eastAsia" w:ascii="宋体" w:hAnsi="宋体" w:eastAsia="宋体" w:cs="宋体"/>
          <w:color w:val="auto"/>
          <w:sz w:val="24"/>
          <w:szCs w:val="24"/>
          <w:highlight w:val="none"/>
          <w:lang w:val="en-US" w:eastAsia="zh-CN"/>
        </w:rPr>
        <w:t>民法典</w:t>
      </w:r>
      <w:r>
        <w:rPr>
          <w:rFonts w:hint="eastAsia" w:ascii="宋体" w:hAnsi="宋体" w:eastAsia="宋体" w:cs="宋体"/>
          <w:color w:val="auto"/>
          <w:sz w:val="24"/>
          <w:szCs w:val="24"/>
          <w:highlight w:val="none"/>
        </w:rPr>
        <w:t>》《中华人民共和国政府采购法》等有关规定，以及</w:t>
      </w:r>
      <w:r>
        <w:rPr>
          <w:rFonts w:hint="eastAsia" w:ascii="宋体" w:hAnsi="宋体" w:eastAsia="宋体" w:cs="宋体"/>
          <w:color w:val="auto"/>
          <w:sz w:val="24"/>
          <w:szCs w:val="24"/>
          <w:highlight w:val="none"/>
          <w:u w:val="single"/>
          <w:lang w:val="en-US" w:eastAsia="zh-CN"/>
        </w:rPr>
        <w:t>招标文件名称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编号：</w:t>
      </w:r>
      <w:r>
        <w:rPr>
          <w:rFonts w:hint="eastAsia" w:ascii="宋体" w:hAnsi="宋体" w:eastAsia="宋体" w:cs="宋体"/>
          <w:color w:val="auto"/>
          <w:sz w:val="24"/>
          <w:szCs w:val="24"/>
          <w:highlight w:val="none"/>
          <w:lang w:val="en-US" w:eastAsia="zh-CN"/>
        </w:rPr>
        <w:t>XXXX</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的相关要求</w:t>
      </w:r>
      <w:r>
        <w:rPr>
          <w:rFonts w:hint="eastAsia" w:ascii="宋体" w:hAnsi="宋体" w:eastAsia="宋体" w:cs="宋体"/>
          <w:color w:val="auto"/>
          <w:sz w:val="24"/>
          <w:szCs w:val="24"/>
          <w:highlight w:val="none"/>
        </w:rPr>
        <w:t>，经法定程序采购，双方同意签订以下合同条款，以便双方共同遵守、履行合同。</w:t>
      </w:r>
    </w:p>
    <w:p w14:paraId="326FFC05">
      <w:pPr>
        <w:keepNext w:val="0"/>
        <w:keepLines w:val="0"/>
        <w:pageBreakBefore w:val="0"/>
        <w:widowControl w:val="0"/>
        <w:numPr>
          <w:ilvl w:val="0"/>
          <w:numId w:val="0"/>
        </w:numPr>
        <w:kinsoku/>
        <w:wordWrap/>
        <w:overflowPunct/>
        <w:topLinePunct w:val="0"/>
        <w:autoSpaceDE w:val="0"/>
        <w:autoSpaceDN w:val="0"/>
        <w:bidi w:val="0"/>
        <w:adjustRightInd w:val="0"/>
        <w:snapToGrid/>
        <w:spacing w:line="460" w:lineRule="exact"/>
        <w:ind w:left="482" w:leftChars="0"/>
        <w:textAlignment w:val="auto"/>
        <w:outlineLvl w:val="1"/>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 xml:space="preserve">第一条 </w:t>
      </w:r>
      <w:r>
        <w:rPr>
          <w:rFonts w:hint="eastAsia" w:ascii="宋体" w:hAnsi="宋体" w:eastAsia="宋体" w:cs="宋体"/>
          <w:b/>
          <w:color w:val="auto"/>
          <w:sz w:val="24"/>
          <w:szCs w:val="24"/>
          <w:highlight w:val="none"/>
        </w:rPr>
        <w:t>采购</w:t>
      </w:r>
      <w:r>
        <w:rPr>
          <w:rFonts w:hint="eastAsia" w:ascii="宋体" w:hAnsi="宋体" w:eastAsia="宋体" w:cs="宋体"/>
          <w:b/>
          <w:color w:val="auto"/>
          <w:sz w:val="24"/>
          <w:szCs w:val="24"/>
          <w:highlight w:val="none"/>
          <w:lang w:val="en-US" w:eastAsia="zh-CN"/>
        </w:rPr>
        <w:t>内容</w:t>
      </w:r>
    </w:p>
    <w:p w14:paraId="20FBBE05">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甲方就</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XXXX</w:t>
      </w:r>
      <w:r>
        <w:rPr>
          <w:rFonts w:hint="eastAsia" w:ascii="宋体" w:hAnsi="宋体" w:eastAsia="宋体" w:cs="宋体"/>
          <w:color w:val="auto"/>
          <w:sz w:val="24"/>
          <w:szCs w:val="24"/>
          <w:highlight w:val="none"/>
          <w:lang w:eastAsia="zh-CN"/>
        </w:rPr>
        <w:t>项目”</w:t>
      </w:r>
      <w:r>
        <w:rPr>
          <w:rFonts w:hint="eastAsia" w:ascii="宋体" w:hAnsi="宋体" w:eastAsia="宋体" w:cs="宋体"/>
          <w:color w:val="auto"/>
          <w:sz w:val="24"/>
          <w:szCs w:val="24"/>
          <w:highlight w:val="none"/>
          <w:lang w:val="en-US" w:eastAsia="zh-CN"/>
        </w:rPr>
        <w:t>委托</w:t>
      </w:r>
      <w:r>
        <w:rPr>
          <w:rFonts w:hint="eastAsia" w:ascii="宋体" w:hAnsi="宋体" w:eastAsia="宋体" w:cs="宋体"/>
          <w:color w:val="auto"/>
          <w:sz w:val="24"/>
          <w:szCs w:val="24"/>
          <w:highlight w:val="none"/>
        </w:rPr>
        <w:t>乙方实施与提供服务，乙方负责完成</w:t>
      </w:r>
      <w:r>
        <w:rPr>
          <w:rFonts w:hint="eastAsia" w:ascii="宋体" w:hAnsi="宋体" w:eastAsia="宋体" w:cs="宋体"/>
          <w:b w:val="0"/>
          <w:bCs w:val="0"/>
          <w:color w:val="auto"/>
          <w:sz w:val="24"/>
          <w:szCs w:val="24"/>
          <w:highlight w:val="none"/>
        </w:rPr>
        <w:t>软件系统开发、部署、</w:t>
      </w:r>
      <w:r>
        <w:rPr>
          <w:rFonts w:hint="eastAsia" w:ascii="宋体" w:hAnsi="宋体" w:eastAsia="宋体" w:cs="宋体"/>
          <w:b w:val="0"/>
          <w:bCs w:val="0"/>
          <w:color w:val="auto"/>
          <w:sz w:val="24"/>
          <w:szCs w:val="24"/>
          <w:highlight w:val="none"/>
          <w:lang w:val="en-US" w:eastAsia="zh-CN"/>
        </w:rPr>
        <w:t>测试</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系统对接</w:t>
      </w:r>
      <w:r>
        <w:rPr>
          <w:rFonts w:hint="eastAsia" w:ascii="宋体" w:hAnsi="宋体" w:eastAsia="宋体" w:cs="宋体"/>
          <w:b w:val="0"/>
          <w:bCs w:val="0"/>
          <w:color w:val="auto"/>
          <w:sz w:val="24"/>
          <w:szCs w:val="24"/>
          <w:highlight w:val="none"/>
        </w:rPr>
        <w:t>和技术培训</w:t>
      </w:r>
      <w:r>
        <w:rPr>
          <w:rFonts w:hint="eastAsia" w:ascii="宋体" w:hAnsi="宋体" w:eastAsia="宋体" w:cs="宋体"/>
          <w:color w:val="auto"/>
          <w:sz w:val="24"/>
          <w:szCs w:val="24"/>
          <w:highlight w:val="none"/>
        </w:rPr>
        <w:t>及相关其他服务工作，建设内容和要求按照</w:t>
      </w:r>
      <w:r>
        <w:rPr>
          <w:rFonts w:hint="eastAsia" w:ascii="宋体" w:hAnsi="宋体" w:eastAsia="宋体" w:cs="宋体"/>
          <w:color w:val="auto"/>
          <w:sz w:val="24"/>
          <w:szCs w:val="24"/>
          <w:highlight w:val="none"/>
          <w:lang w:val="en-US" w:eastAsia="zh-CN"/>
        </w:rPr>
        <w:t>招标文件和投标文件</w:t>
      </w:r>
      <w:r>
        <w:rPr>
          <w:rFonts w:hint="eastAsia" w:ascii="宋体" w:hAnsi="宋体" w:eastAsia="宋体" w:cs="宋体"/>
          <w:color w:val="auto"/>
          <w:sz w:val="24"/>
          <w:szCs w:val="24"/>
          <w:highlight w:val="none"/>
        </w:rPr>
        <w:t>执行，并保证该项目满足合同提出的所有要求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采购清单详见附件。</w:t>
      </w:r>
    </w:p>
    <w:p w14:paraId="2DD374EE">
      <w:pPr>
        <w:keepNext w:val="0"/>
        <w:keepLines w:val="0"/>
        <w:pageBreakBefore w:val="0"/>
        <w:widowControl w:val="0"/>
        <w:numPr>
          <w:ilvl w:val="0"/>
          <w:numId w:val="0"/>
        </w:numPr>
        <w:kinsoku/>
        <w:wordWrap/>
        <w:overflowPunct/>
        <w:topLinePunct w:val="0"/>
        <w:autoSpaceDE w:val="0"/>
        <w:autoSpaceDN w:val="0"/>
        <w:bidi w:val="0"/>
        <w:adjustRightInd w:val="0"/>
        <w:snapToGrid/>
        <w:spacing w:line="460" w:lineRule="exact"/>
        <w:ind w:firstLine="482" w:firstLineChars="200"/>
        <w:textAlignment w:val="auto"/>
        <w:outlineLvl w:val="1"/>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第二条 甲方责任</w:t>
      </w:r>
    </w:p>
    <w:p w14:paraId="43329F86">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甲方负责及时签收乙方交付的标的物</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按期进行工程进度的确认、项目系统的验收，并按照合同规定的付款方式及时付款。</w:t>
      </w:r>
    </w:p>
    <w:p w14:paraId="79A0F6DF">
      <w:pPr>
        <w:keepNext w:val="0"/>
        <w:keepLines w:val="0"/>
        <w:pageBreakBefore w:val="0"/>
        <w:widowControl w:val="0"/>
        <w:kinsoku/>
        <w:wordWrap/>
        <w:overflowPunct/>
        <w:topLinePunct w:val="0"/>
        <w:autoSpaceDE w:val="0"/>
        <w:autoSpaceDN w:val="0"/>
        <w:bidi w:val="0"/>
        <w:adjustRightInd w:val="0"/>
        <w:snapToGrid/>
        <w:spacing w:line="460" w:lineRule="exact"/>
        <w:ind w:firstLine="482" w:firstLineChars="200"/>
        <w:textAlignment w:val="auto"/>
        <w:outlineLvl w:val="1"/>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第</w:t>
      </w: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 xml:space="preserve">条 </w:t>
      </w:r>
      <w:r>
        <w:rPr>
          <w:rFonts w:hint="eastAsia" w:ascii="宋体" w:hAnsi="宋体" w:eastAsia="宋体" w:cs="宋体"/>
          <w:b/>
          <w:bCs/>
          <w:color w:val="auto"/>
          <w:sz w:val="24"/>
          <w:szCs w:val="24"/>
          <w:highlight w:val="none"/>
          <w:lang w:val="en-US" w:eastAsia="zh-CN"/>
        </w:rPr>
        <w:t>乙方责任</w:t>
      </w:r>
    </w:p>
    <w:p w14:paraId="24BF9EB0">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1、提交项目实施</w:t>
      </w:r>
      <w:r>
        <w:rPr>
          <w:rFonts w:hint="eastAsia" w:ascii="宋体" w:hAnsi="宋体" w:eastAsia="宋体" w:cs="宋体"/>
          <w:color w:val="auto"/>
          <w:sz w:val="24"/>
          <w:szCs w:val="24"/>
          <w:highlight w:val="none"/>
          <w:lang w:val="en-US" w:eastAsia="zh-CN"/>
        </w:rPr>
        <w:t>方案和实施</w:t>
      </w:r>
      <w:r>
        <w:rPr>
          <w:rFonts w:hint="eastAsia" w:ascii="宋体" w:hAnsi="宋体" w:eastAsia="宋体" w:cs="宋体"/>
          <w:color w:val="auto"/>
          <w:sz w:val="24"/>
          <w:szCs w:val="24"/>
          <w:highlight w:val="none"/>
        </w:rPr>
        <w:t>计划报甲方审批同意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按照本合同确定的工程进度认真、按时完成各阶段的任务，并及时向甲方提交阶段性工作汇报。</w:t>
      </w:r>
    </w:p>
    <w:p w14:paraId="23E7C98B">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、乙方负责对合同项目系统运行必需的</w:t>
      </w:r>
      <w:r>
        <w:rPr>
          <w:rFonts w:hint="eastAsia" w:ascii="宋体" w:hAnsi="宋体" w:eastAsia="宋体" w:cs="宋体"/>
          <w:color w:val="auto"/>
          <w:sz w:val="24"/>
          <w:szCs w:val="24"/>
          <w:highlight w:val="none"/>
          <w:lang w:val="en-US" w:eastAsia="zh-CN"/>
        </w:rPr>
        <w:t>服务器</w:t>
      </w:r>
      <w:r>
        <w:rPr>
          <w:rFonts w:hint="eastAsia" w:ascii="宋体" w:hAnsi="宋体" w:eastAsia="宋体" w:cs="宋体"/>
          <w:color w:val="auto"/>
          <w:sz w:val="24"/>
          <w:szCs w:val="24"/>
          <w:highlight w:val="none"/>
        </w:rPr>
        <w:t>硬件、网络提出合理化建议。确保做好</w:t>
      </w:r>
      <w:r>
        <w:rPr>
          <w:rFonts w:hint="eastAsia" w:ascii="宋体" w:hAnsi="宋体" w:eastAsia="宋体" w:cs="宋体"/>
          <w:color w:val="auto"/>
          <w:sz w:val="24"/>
          <w:szCs w:val="24"/>
          <w:highlight w:val="none"/>
          <w:lang w:val="en-US" w:eastAsia="zh-CN"/>
        </w:rPr>
        <w:t>需求调研</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软件开发部署</w:t>
      </w:r>
      <w:r>
        <w:rPr>
          <w:rFonts w:hint="eastAsia" w:ascii="宋体" w:hAnsi="宋体" w:eastAsia="宋体" w:cs="宋体"/>
          <w:color w:val="auto"/>
          <w:sz w:val="24"/>
          <w:szCs w:val="24"/>
          <w:highlight w:val="none"/>
        </w:rPr>
        <w:t>、系统集成、</w:t>
      </w:r>
      <w:r>
        <w:rPr>
          <w:rFonts w:hint="eastAsia" w:ascii="宋体" w:hAnsi="宋体" w:eastAsia="宋体" w:cs="宋体"/>
          <w:color w:val="auto"/>
          <w:sz w:val="24"/>
          <w:szCs w:val="24"/>
          <w:highlight w:val="none"/>
          <w:lang w:val="en-US" w:eastAsia="zh-CN"/>
        </w:rPr>
        <w:t>数据对接、</w:t>
      </w:r>
      <w:r>
        <w:rPr>
          <w:rFonts w:hint="eastAsia" w:ascii="宋体" w:hAnsi="宋体" w:eastAsia="宋体" w:cs="宋体"/>
          <w:color w:val="auto"/>
          <w:sz w:val="24"/>
          <w:szCs w:val="24"/>
          <w:highlight w:val="none"/>
        </w:rPr>
        <w:t>系统联调、运行维护及技术培训等工作。对</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现场操作、施工方法、技术措施、可靠安全性负完全责任，承担在施工过程中由于乙方原因发生的一切事故。</w:t>
      </w:r>
    </w:p>
    <w:p w14:paraId="78ACC9E2">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、积极配合甲方</w:t>
      </w:r>
      <w:r>
        <w:rPr>
          <w:rFonts w:hint="eastAsia" w:ascii="宋体" w:hAnsi="宋体" w:eastAsia="宋体" w:cs="宋体"/>
          <w:color w:val="auto"/>
          <w:sz w:val="24"/>
          <w:szCs w:val="24"/>
          <w:highlight w:val="none"/>
          <w:lang w:val="en-US" w:eastAsia="zh-CN"/>
        </w:rPr>
        <w:t>和监理（如有）</w:t>
      </w:r>
      <w:r>
        <w:rPr>
          <w:rFonts w:hint="eastAsia" w:ascii="宋体" w:hAnsi="宋体" w:eastAsia="宋体" w:cs="宋体"/>
          <w:color w:val="auto"/>
          <w:sz w:val="24"/>
          <w:szCs w:val="24"/>
          <w:highlight w:val="none"/>
        </w:rPr>
        <w:t>做好项目</w:t>
      </w:r>
      <w:r>
        <w:rPr>
          <w:rFonts w:hint="eastAsia" w:ascii="宋体" w:hAnsi="宋体" w:eastAsia="宋体" w:cs="宋体"/>
          <w:color w:val="auto"/>
          <w:sz w:val="24"/>
          <w:szCs w:val="24"/>
          <w:highlight w:val="none"/>
          <w:lang w:val="en-US" w:eastAsia="zh-CN"/>
        </w:rPr>
        <w:t>建设</w:t>
      </w:r>
      <w:r>
        <w:rPr>
          <w:rFonts w:hint="eastAsia" w:ascii="宋体" w:hAnsi="宋体" w:eastAsia="宋体" w:cs="宋体"/>
          <w:color w:val="auto"/>
          <w:sz w:val="24"/>
          <w:szCs w:val="24"/>
          <w:highlight w:val="none"/>
        </w:rPr>
        <w:t>工作，</w:t>
      </w:r>
      <w:r>
        <w:rPr>
          <w:rFonts w:hint="eastAsia" w:ascii="宋体" w:hAnsi="宋体" w:eastAsia="宋体" w:cs="宋体"/>
          <w:color w:val="auto"/>
          <w:sz w:val="24"/>
          <w:szCs w:val="24"/>
          <w:highlight w:val="none"/>
          <w:lang w:val="en-US" w:eastAsia="zh-CN"/>
        </w:rPr>
        <w:t>按要求</w:t>
      </w:r>
      <w:r>
        <w:rPr>
          <w:rFonts w:hint="eastAsia" w:ascii="宋体" w:hAnsi="宋体" w:eastAsia="宋体" w:cs="宋体"/>
          <w:color w:val="auto"/>
          <w:sz w:val="24"/>
          <w:szCs w:val="24"/>
          <w:highlight w:val="none"/>
        </w:rPr>
        <w:t>提交所需</w:t>
      </w:r>
      <w:r>
        <w:rPr>
          <w:rFonts w:hint="eastAsia" w:ascii="宋体" w:hAnsi="宋体" w:eastAsia="宋体" w:cs="宋体"/>
          <w:color w:val="auto"/>
          <w:sz w:val="24"/>
          <w:szCs w:val="24"/>
          <w:highlight w:val="none"/>
          <w:lang w:val="en-US" w:eastAsia="zh-CN"/>
        </w:rPr>
        <w:t>项目管理</w:t>
      </w:r>
      <w:r>
        <w:rPr>
          <w:rFonts w:hint="eastAsia" w:ascii="宋体" w:hAnsi="宋体" w:eastAsia="宋体" w:cs="宋体"/>
          <w:color w:val="auto"/>
          <w:sz w:val="24"/>
          <w:szCs w:val="24"/>
          <w:highlight w:val="none"/>
        </w:rPr>
        <w:t>文档。在本合同项目执行过程中，接受甲方</w:t>
      </w:r>
      <w:r>
        <w:rPr>
          <w:rFonts w:hint="eastAsia" w:ascii="宋体" w:hAnsi="宋体" w:eastAsia="宋体" w:cs="宋体"/>
          <w:color w:val="auto"/>
          <w:sz w:val="24"/>
          <w:szCs w:val="24"/>
          <w:highlight w:val="none"/>
          <w:lang w:val="en-US" w:eastAsia="zh-CN"/>
        </w:rPr>
        <w:t>和监理（如有）</w:t>
      </w:r>
      <w:r>
        <w:rPr>
          <w:rFonts w:hint="eastAsia" w:ascii="宋体" w:hAnsi="宋体" w:eastAsia="宋体" w:cs="宋体"/>
          <w:color w:val="auto"/>
          <w:sz w:val="24"/>
          <w:szCs w:val="24"/>
          <w:highlight w:val="none"/>
        </w:rPr>
        <w:t>的检查和监督。</w:t>
      </w:r>
    </w:p>
    <w:p w14:paraId="7C41271D">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lang w:val="en-US" w:eastAsia="zh-CN"/>
        </w:rPr>
        <w:t>4、乙方需</w:t>
      </w:r>
      <w:r>
        <w:rPr>
          <w:rFonts w:hint="eastAsia" w:ascii="宋体" w:hAnsi="宋体" w:eastAsia="宋体" w:cs="宋体"/>
          <w:color w:val="auto"/>
          <w:sz w:val="24"/>
          <w:highlight w:val="none"/>
        </w:rPr>
        <w:t>按照相关政务信息化项目建设要求完成信创适配改造</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如未按要求完成改造，</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rPr>
        <w:t>有权取消合同，并要求</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进行赔偿。</w:t>
      </w:r>
    </w:p>
    <w:p w14:paraId="0104C9F0">
      <w:pPr>
        <w:keepNext w:val="0"/>
        <w:keepLines w:val="0"/>
        <w:pageBreakBefore w:val="0"/>
        <w:widowControl w:val="0"/>
        <w:kinsoku/>
        <w:wordWrap/>
        <w:overflowPunct/>
        <w:topLinePunct w:val="0"/>
        <w:autoSpaceDE w:val="0"/>
        <w:autoSpaceDN w:val="0"/>
        <w:bidi w:val="0"/>
        <w:adjustRightInd w:val="0"/>
        <w:snapToGrid/>
        <w:spacing w:line="460" w:lineRule="exact"/>
        <w:ind w:firstLine="482" w:firstLineChars="200"/>
        <w:textAlignment w:val="auto"/>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w:t>
      </w: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 xml:space="preserve">条 </w:t>
      </w:r>
      <w:r>
        <w:rPr>
          <w:rFonts w:hint="eastAsia" w:ascii="宋体" w:hAnsi="宋体" w:eastAsia="宋体" w:cs="宋体"/>
          <w:b/>
          <w:bCs/>
          <w:color w:val="auto"/>
          <w:sz w:val="24"/>
          <w:szCs w:val="24"/>
          <w:highlight w:val="none"/>
          <w:lang w:val="en-US" w:eastAsia="zh-CN"/>
        </w:rPr>
        <w:t>进度要求</w:t>
      </w:r>
    </w:p>
    <w:p w14:paraId="22240FE3">
      <w:pPr>
        <w:keepNext w:val="0"/>
        <w:keepLines w:val="0"/>
        <w:pageBreakBefore w:val="0"/>
        <w:widowControl w:val="0"/>
        <w:kinsoku/>
        <w:wordWrap/>
        <w:overflowPunct/>
        <w:topLinePunct w:val="0"/>
        <w:autoSpaceDE w:val="0"/>
        <w:autoSpaceDN w:val="0"/>
        <w:bidi w:val="0"/>
        <w:adjustRightInd w:val="0"/>
        <w:snapToGrid/>
        <w:spacing w:line="460" w:lineRule="exact"/>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自合同签订生效后，</w:t>
      </w:r>
      <w:r>
        <w:rPr>
          <w:rFonts w:hint="eastAsia" w:ascii="宋体" w:hAnsi="宋体" w:eastAsia="宋体" w:cs="宋体"/>
          <w:color w:val="auto"/>
          <w:sz w:val="24"/>
          <w:szCs w:val="24"/>
          <w:highlight w:val="none"/>
          <w:lang w:val="en-US" w:eastAsia="zh-CN"/>
        </w:rPr>
        <w:t>乙方应</w:t>
      </w:r>
      <w:r>
        <w:rPr>
          <w:rFonts w:hint="eastAsia" w:ascii="宋体" w:hAnsi="宋体" w:eastAsia="宋体" w:cs="宋体"/>
          <w:b w:val="0"/>
          <w:bCs w:val="0"/>
          <w:color w:val="auto"/>
          <w:sz w:val="24"/>
          <w:szCs w:val="24"/>
          <w:highlight w:val="none"/>
          <w:lang w:val="en-US" w:eastAsia="zh-CN"/>
        </w:rPr>
        <w:t>在</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none"/>
          <w:lang w:val="en-US" w:eastAsia="zh-CN"/>
        </w:rPr>
        <w:t>天</w:t>
      </w:r>
      <w:r>
        <w:rPr>
          <w:rFonts w:hint="eastAsia" w:ascii="宋体" w:hAnsi="宋体" w:eastAsia="宋体" w:cs="宋体"/>
          <w:b w:val="0"/>
          <w:bCs w:val="0"/>
          <w:color w:val="auto"/>
          <w:sz w:val="24"/>
          <w:szCs w:val="24"/>
          <w:highlight w:val="none"/>
        </w:rPr>
        <w:t>内完成</w:t>
      </w:r>
      <w:r>
        <w:rPr>
          <w:rFonts w:hint="eastAsia" w:ascii="宋体" w:hAnsi="宋体" w:eastAsia="宋体" w:cs="宋体"/>
          <w:b w:val="0"/>
          <w:bCs w:val="0"/>
          <w:color w:val="auto"/>
          <w:sz w:val="24"/>
          <w:szCs w:val="24"/>
          <w:highlight w:val="none"/>
          <w:lang w:val="en-US" w:eastAsia="zh-CN"/>
        </w:rPr>
        <w:t>全部建设内容，包括</w:t>
      </w:r>
      <w:r>
        <w:rPr>
          <w:rFonts w:hint="eastAsia" w:ascii="宋体" w:hAnsi="宋体" w:eastAsia="宋体" w:cs="宋体"/>
          <w:b w:val="0"/>
          <w:bCs w:val="0"/>
          <w:color w:val="auto"/>
          <w:sz w:val="24"/>
          <w:szCs w:val="24"/>
          <w:highlight w:val="none"/>
        </w:rPr>
        <w:t>软件系统</w:t>
      </w:r>
      <w:r>
        <w:rPr>
          <w:rFonts w:hint="eastAsia" w:ascii="宋体" w:hAnsi="宋体" w:eastAsia="宋体" w:cs="宋体"/>
          <w:b w:val="0"/>
          <w:bCs w:val="0"/>
          <w:color w:val="auto"/>
          <w:sz w:val="24"/>
          <w:szCs w:val="24"/>
          <w:highlight w:val="none"/>
          <w:lang w:val="en-US" w:eastAsia="zh-CN"/>
        </w:rPr>
        <w:t>软件</w:t>
      </w:r>
      <w:r>
        <w:rPr>
          <w:rFonts w:hint="eastAsia" w:ascii="宋体" w:hAnsi="宋体" w:eastAsia="宋体" w:cs="宋体"/>
          <w:b w:val="0"/>
          <w:bCs w:val="0"/>
          <w:color w:val="auto"/>
          <w:sz w:val="24"/>
          <w:szCs w:val="24"/>
          <w:highlight w:val="none"/>
        </w:rPr>
        <w:t>开发、部署、</w:t>
      </w:r>
      <w:r>
        <w:rPr>
          <w:rFonts w:hint="eastAsia" w:ascii="宋体" w:hAnsi="宋体" w:eastAsia="宋体" w:cs="宋体"/>
          <w:b w:val="0"/>
          <w:bCs w:val="0"/>
          <w:color w:val="auto"/>
          <w:sz w:val="24"/>
          <w:szCs w:val="24"/>
          <w:highlight w:val="none"/>
          <w:lang w:val="en-US" w:eastAsia="zh-CN"/>
        </w:rPr>
        <w:t>测试</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系统对接</w:t>
      </w:r>
      <w:r>
        <w:rPr>
          <w:rFonts w:hint="eastAsia" w:ascii="宋体" w:hAnsi="宋体" w:eastAsia="宋体" w:cs="宋体"/>
          <w:b w:val="0"/>
          <w:bCs w:val="0"/>
          <w:color w:val="auto"/>
          <w:sz w:val="24"/>
          <w:szCs w:val="24"/>
          <w:highlight w:val="none"/>
        </w:rPr>
        <w:t>和技术培训等工作。</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val="en-US" w:eastAsia="zh-CN"/>
        </w:rPr>
        <w:t>实施完成</w:t>
      </w:r>
      <w:r>
        <w:rPr>
          <w:rFonts w:hint="eastAsia" w:ascii="宋体" w:hAnsi="宋体" w:eastAsia="宋体" w:cs="宋体"/>
          <w:color w:val="auto"/>
          <w:sz w:val="24"/>
          <w:szCs w:val="24"/>
          <w:highlight w:val="none"/>
        </w:rPr>
        <w:t>后由</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对软件系统进行</w:t>
      </w:r>
      <w:r>
        <w:rPr>
          <w:rFonts w:hint="eastAsia" w:ascii="宋体" w:hAnsi="宋体" w:eastAsia="宋体" w:cs="宋体"/>
          <w:color w:val="auto"/>
          <w:sz w:val="24"/>
          <w:szCs w:val="24"/>
          <w:highlight w:val="none"/>
          <w:lang w:val="en-US" w:eastAsia="zh-CN"/>
        </w:rPr>
        <w:t>测试</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测试</w:t>
      </w:r>
      <w:r>
        <w:rPr>
          <w:rFonts w:hint="eastAsia" w:ascii="宋体" w:hAnsi="宋体" w:eastAsia="宋体" w:cs="宋体"/>
          <w:color w:val="auto"/>
          <w:sz w:val="24"/>
          <w:szCs w:val="24"/>
          <w:highlight w:val="none"/>
        </w:rPr>
        <w:t>合格后可向</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书面申请初验，经</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确认后</w:t>
      </w:r>
      <w:r>
        <w:rPr>
          <w:rFonts w:hint="eastAsia" w:ascii="宋体" w:hAnsi="宋体" w:eastAsia="宋体" w:cs="宋体"/>
          <w:color w:val="auto"/>
          <w:sz w:val="24"/>
          <w:szCs w:val="24"/>
          <w:highlight w:val="none"/>
          <w:lang w:val="en-US" w:eastAsia="zh-CN"/>
        </w:rPr>
        <w:t>由甲方</w:t>
      </w:r>
      <w:r>
        <w:rPr>
          <w:rFonts w:hint="eastAsia" w:ascii="宋体" w:hAnsi="宋体" w:eastAsia="宋体" w:cs="宋体"/>
          <w:color w:val="auto"/>
          <w:sz w:val="24"/>
          <w:szCs w:val="24"/>
          <w:highlight w:val="none"/>
        </w:rPr>
        <w:t>组织项目初验</w:t>
      </w:r>
      <w:r>
        <w:rPr>
          <w:rFonts w:hint="eastAsia" w:ascii="宋体" w:hAnsi="宋体" w:eastAsia="宋体" w:cs="宋体"/>
          <w:color w:val="auto"/>
          <w:sz w:val="24"/>
          <w:szCs w:val="24"/>
          <w:highlight w:val="none"/>
          <w:lang w:eastAsia="zh-CN"/>
        </w:rPr>
        <w:t>。</w:t>
      </w:r>
      <w:r>
        <w:rPr>
          <w:rFonts w:hint="eastAsia" w:ascii="宋体" w:hAnsi="宋体" w:eastAsia="宋体" w:cs="宋体"/>
          <w:b w:val="0"/>
          <w:bCs w:val="0"/>
          <w:color w:val="auto"/>
          <w:sz w:val="24"/>
          <w:szCs w:val="24"/>
          <w:highlight w:val="none"/>
        </w:rPr>
        <w:t>初验合格后</w:t>
      </w:r>
      <w:r>
        <w:rPr>
          <w:rFonts w:hint="eastAsia" w:ascii="宋体" w:hAnsi="宋体" w:eastAsia="宋体" w:cs="宋体"/>
          <w:b w:val="0"/>
          <w:bCs w:val="0"/>
          <w:color w:val="auto"/>
          <w:sz w:val="24"/>
          <w:szCs w:val="24"/>
          <w:highlight w:val="none"/>
          <w:lang w:val="en-US" w:eastAsia="zh-CN"/>
        </w:rPr>
        <w:t>项目进入试运行阶段，系统正常试</w:t>
      </w:r>
      <w:r>
        <w:rPr>
          <w:rFonts w:hint="eastAsia" w:ascii="宋体" w:hAnsi="宋体" w:eastAsia="宋体" w:cs="宋体"/>
          <w:b w:val="0"/>
          <w:bCs w:val="0"/>
          <w:color w:val="auto"/>
          <w:sz w:val="24"/>
          <w:szCs w:val="24"/>
          <w:highlight w:val="none"/>
        </w:rPr>
        <w:t>运行</w:t>
      </w:r>
      <w:r>
        <w:rPr>
          <w:rFonts w:hint="eastAsia" w:ascii="宋体" w:hAnsi="宋体" w:eastAsia="宋体" w:cs="宋体"/>
          <w:b w:val="0"/>
          <w:bCs w:val="0"/>
          <w:color w:val="auto"/>
          <w:sz w:val="24"/>
          <w:szCs w:val="24"/>
          <w:highlight w:val="none"/>
          <w:lang w:val="en-US" w:eastAsia="zh-CN"/>
        </w:rPr>
        <w:t>满</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none"/>
          <w:lang w:val="en-US" w:eastAsia="zh-CN"/>
        </w:rPr>
        <w:t>天</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经</w:t>
      </w:r>
      <w:r>
        <w:rPr>
          <w:rFonts w:hint="eastAsia" w:ascii="宋体" w:hAnsi="宋体" w:eastAsia="宋体" w:cs="宋体"/>
          <w:b w:val="0"/>
          <w:bCs w:val="0"/>
          <w:color w:val="auto"/>
          <w:sz w:val="24"/>
          <w:szCs w:val="24"/>
          <w:highlight w:val="none"/>
          <w:lang w:val="en-US" w:eastAsia="zh-CN"/>
        </w:rPr>
        <w:t>甲方</w:t>
      </w:r>
      <w:r>
        <w:rPr>
          <w:rFonts w:hint="eastAsia" w:ascii="宋体" w:hAnsi="宋体" w:eastAsia="宋体" w:cs="宋体"/>
          <w:b w:val="0"/>
          <w:bCs w:val="0"/>
          <w:color w:val="auto"/>
          <w:sz w:val="24"/>
          <w:szCs w:val="24"/>
          <w:highlight w:val="none"/>
        </w:rPr>
        <w:t>确认</w:t>
      </w:r>
      <w:r>
        <w:rPr>
          <w:rFonts w:hint="eastAsia" w:ascii="宋体" w:hAnsi="宋体" w:eastAsia="宋体" w:cs="宋体"/>
          <w:b w:val="0"/>
          <w:bCs w:val="0"/>
          <w:color w:val="auto"/>
          <w:sz w:val="24"/>
          <w:szCs w:val="24"/>
          <w:highlight w:val="none"/>
          <w:lang w:val="en-US" w:eastAsia="zh-CN"/>
        </w:rPr>
        <w:t>试</w:t>
      </w:r>
      <w:r>
        <w:rPr>
          <w:rFonts w:hint="eastAsia" w:ascii="宋体" w:hAnsi="宋体" w:eastAsia="宋体" w:cs="宋体"/>
          <w:b w:val="0"/>
          <w:bCs w:val="0"/>
          <w:color w:val="auto"/>
          <w:sz w:val="24"/>
          <w:szCs w:val="24"/>
          <w:highlight w:val="none"/>
        </w:rPr>
        <w:t>运行合格后组织项目</w:t>
      </w:r>
      <w:r>
        <w:rPr>
          <w:rFonts w:hint="eastAsia" w:ascii="宋体" w:hAnsi="宋体" w:eastAsia="宋体" w:cs="宋体"/>
          <w:b w:val="0"/>
          <w:bCs w:val="0"/>
          <w:color w:val="auto"/>
          <w:sz w:val="24"/>
          <w:szCs w:val="24"/>
          <w:highlight w:val="none"/>
          <w:lang w:val="en-US" w:eastAsia="zh-CN"/>
        </w:rPr>
        <w:t>终验，</w:t>
      </w:r>
      <w:r>
        <w:rPr>
          <w:rFonts w:hint="eastAsia" w:ascii="宋体" w:hAnsi="宋体" w:eastAsia="宋体" w:cs="宋体"/>
          <w:b w:val="0"/>
          <w:bCs w:val="0"/>
          <w:color w:val="auto"/>
          <w:sz w:val="24"/>
          <w:szCs w:val="24"/>
          <w:highlight w:val="none"/>
        </w:rPr>
        <w:t>项目</w:t>
      </w:r>
      <w:r>
        <w:rPr>
          <w:rFonts w:hint="eastAsia" w:ascii="宋体" w:hAnsi="宋体" w:eastAsia="宋体" w:cs="宋体"/>
          <w:b w:val="0"/>
          <w:bCs w:val="0"/>
          <w:color w:val="auto"/>
          <w:sz w:val="24"/>
          <w:szCs w:val="24"/>
          <w:highlight w:val="none"/>
          <w:lang w:val="en-US" w:eastAsia="zh-CN"/>
        </w:rPr>
        <w:t>终验</w:t>
      </w:r>
      <w:r>
        <w:rPr>
          <w:rFonts w:hint="eastAsia" w:ascii="宋体" w:hAnsi="宋体" w:eastAsia="宋体" w:cs="宋体"/>
          <w:b w:val="0"/>
          <w:bCs w:val="0"/>
          <w:color w:val="auto"/>
          <w:sz w:val="24"/>
          <w:szCs w:val="24"/>
          <w:highlight w:val="none"/>
        </w:rPr>
        <w:t>合格后进入</w:t>
      </w:r>
      <w:r>
        <w:rPr>
          <w:rFonts w:hint="eastAsia" w:ascii="宋体" w:hAnsi="宋体" w:eastAsia="宋体" w:cs="宋体"/>
          <w:b w:val="0"/>
          <w:bCs w:val="0"/>
          <w:color w:val="auto"/>
          <w:sz w:val="24"/>
          <w:szCs w:val="24"/>
          <w:highlight w:val="none"/>
          <w:lang w:val="en-US" w:eastAsia="zh-CN"/>
        </w:rPr>
        <w:t>质保</w:t>
      </w:r>
      <w:r>
        <w:rPr>
          <w:rFonts w:hint="eastAsia" w:ascii="宋体" w:hAnsi="宋体" w:eastAsia="宋体" w:cs="宋体"/>
          <w:b w:val="0"/>
          <w:bCs w:val="0"/>
          <w:color w:val="auto"/>
          <w:sz w:val="24"/>
          <w:szCs w:val="24"/>
          <w:highlight w:val="none"/>
        </w:rPr>
        <w:t>期。</w:t>
      </w:r>
    </w:p>
    <w:p w14:paraId="0EEFCD15">
      <w:pPr>
        <w:keepNext w:val="0"/>
        <w:keepLines w:val="0"/>
        <w:pageBreakBefore w:val="0"/>
        <w:widowControl w:val="0"/>
        <w:kinsoku/>
        <w:wordWrap/>
        <w:overflowPunct/>
        <w:topLinePunct w:val="0"/>
        <w:autoSpaceDE w:val="0"/>
        <w:autoSpaceDN w:val="0"/>
        <w:bidi w:val="0"/>
        <w:adjustRightInd w:val="0"/>
        <w:snapToGrid/>
        <w:spacing w:line="460" w:lineRule="exact"/>
        <w:ind w:firstLine="482" w:firstLineChars="200"/>
        <w:textAlignment w:val="auto"/>
        <w:outlineLvl w:val="1"/>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第五条 测试要求</w:t>
      </w:r>
    </w:p>
    <w:p w14:paraId="7258E3F6">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outlineLvl w:val="9"/>
        <w:rPr>
          <w:rFonts w:hint="eastAsia" w:ascii="宋体" w:hAnsi="宋体" w:eastAsia="宋体" w:cs="宋体"/>
          <w:color w:val="auto"/>
          <w:kern w:val="0"/>
          <w:sz w:val="24"/>
          <w:szCs w:val="24"/>
          <w:highlight w:val="none"/>
          <w:lang w:val="en-US" w:bidi="ar"/>
        </w:rPr>
      </w:pPr>
      <w:r>
        <w:rPr>
          <w:rFonts w:hint="eastAsia" w:ascii="宋体" w:hAnsi="宋体" w:eastAsia="宋体" w:cs="宋体"/>
          <w:color w:val="auto"/>
          <w:kern w:val="0"/>
          <w:sz w:val="24"/>
          <w:szCs w:val="24"/>
          <w:highlight w:val="none"/>
          <w:lang w:val="en-US" w:eastAsia="zh-CN" w:bidi="ar"/>
        </w:rPr>
        <w:t>项目实施完成后，经甲、乙双方确认后进行软件系统测试。软件系统测试由乙方负责，甲方</w:t>
      </w:r>
      <w:r>
        <w:rPr>
          <w:rFonts w:hint="eastAsia" w:ascii="宋体" w:hAnsi="宋体" w:eastAsia="宋体" w:cs="宋体"/>
          <w:color w:val="auto"/>
          <w:kern w:val="0"/>
          <w:sz w:val="24"/>
          <w:szCs w:val="24"/>
          <w:highlight w:val="none"/>
          <w:u w:val="none"/>
          <w:lang w:val="en-US" w:eastAsia="zh-CN" w:bidi="ar"/>
        </w:rPr>
        <w:t>组织相关人员</w:t>
      </w:r>
      <w:r>
        <w:rPr>
          <w:rFonts w:hint="eastAsia" w:ascii="宋体" w:hAnsi="宋体" w:eastAsia="宋体" w:cs="宋体"/>
          <w:color w:val="auto"/>
          <w:kern w:val="0"/>
          <w:sz w:val="24"/>
          <w:szCs w:val="24"/>
          <w:highlight w:val="none"/>
          <w:lang w:val="en-US" w:eastAsia="zh-CN" w:bidi="ar"/>
        </w:rPr>
        <w:t>参与，测试软件系统的需求完成度，测试通过后，乙方应向甲方提交测试报告作为项目验收依据。</w:t>
      </w:r>
    </w:p>
    <w:p w14:paraId="2312957B">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甲方若</w:t>
      </w:r>
      <w:r>
        <w:rPr>
          <w:rFonts w:hint="eastAsia" w:ascii="宋体" w:hAnsi="宋体" w:eastAsia="宋体" w:cs="宋体"/>
          <w:color w:val="auto"/>
          <w:kern w:val="0"/>
          <w:sz w:val="24"/>
          <w:szCs w:val="24"/>
          <w:highlight w:val="none"/>
          <w:lang w:bidi="ar"/>
        </w:rPr>
        <w:t>发现软件系统功能、性能、安全性</w:t>
      </w:r>
      <w:r>
        <w:rPr>
          <w:rFonts w:hint="eastAsia" w:ascii="宋体" w:hAnsi="宋体" w:eastAsia="宋体" w:cs="宋体"/>
          <w:color w:val="auto"/>
          <w:kern w:val="0"/>
          <w:sz w:val="24"/>
          <w:szCs w:val="24"/>
          <w:highlight w:val="none"/>
          <w:lang w:val="en-US" w:eastAsia="zh-CN" w:bidi="ar"/>
        </w:rPr>
        <w:t>不符合招标文件和合同要求的，有权要求乙方进行第三方测试，且第三方检测费用由乙方承担。如因乙方不配合甲方提出的第三方测试而导致项目延期，一切责任由乙方承担。如检测结果证明项目确有质量问题、技术指标等不符合招标要求的，乙方应无条件同意整改，并承担因此逾期交货的违约风险；</w:t>
      </w:r>
      <w:r>
        <w:rPr>
          <w:rFonts w:hint="eastAsia" w:ascii="宋体" w:hAnsi="宋体" w:eastAsia="宋体" w:cs="宋体"/>
          <w:color w:val="auto"/>
          <w:kern w:val="0"/>
          <w:sz w:val="24"/>
          <w:szCs w:val="24"/>
          <w:highlight w:val="none"/>
        </w:rPr>
        <w:t>若</w:t>
      </w:r>
      <w:r>
        <w:rPr>
          <w:rFonts w:hint="eastAsia" w:ascii="宋体" w:hAnsi="宋体" w:eastAsia="宋体" w:cs="宋体"/>
          <w:bCs/>
          <w:color w:val="auto"/>
          <w:sz w:val="24"/>
          <w:szCs w:val="24"/>
          <w:highlight w:val="none"/>
          <w:lang w:val="en-US" w:eastAsia="zh-CN"/>
        </w:rPr>
        <w:t>乙方</w:t>
      </w:r>
      <w:r>
        <w:rPr>
          <w:rFonts w:hint="eastAsia" w:ascii="宋体" w:hAnsi="宋体" w:eastAsia="宋体" w:cs="宋体"/>
          <w:color w:val="auto"/>
          <w:kern w:val="0"/>
          <w:sz w:val="24"/>
          <w:szCs w:val="24"/>
          <w:highlight w:val="none"/>
        </w:rPr>
        <w:t>拒绝进行整改</w:t>
      </w:r>
      <w:r>
        <w:rPr>
          <w:rFonts w:hint="eastAsia" w:ascii="宋体" w:hAnsi="宋体" w:eastAsia="宋体" w:cs="宋体"/>
          <w:color w:val="auto"/>
          <w:kern w:val="0"/>
          <w:sz w:val="24"/>
          <w:szCs w:val="24"/>
          <w:highlight w:val="none"/>
          <w:lang w:val="en-US" w:eastAsia="zh-CN"/>
        </w:rPr>
        <w:t>或</w:t>
      </w:r>
      <w:r>
        <w:rPr>
          <w:rFonts w:hint="eastAsia" w:ascii="宋体" w:hAnsi="宋体" w:eastAsia="宋体" w:cs="宋体"/>
          <w:color w:val="auto"/>
          <w:kern w:val="0"/>
          <w:sz w:val="24"/>
          <w:szCs w:val="24"/>
          <w:highlight w:val="none"/>
          <w:lang w:val="en-US" w:eastAsia="zh-CN" w:bidi="ar"/>
        </w:rPr>
        <w:t>在30天内整改后仍未达到招标要求，甲方</w:t>
      </w:r>
      <w:r>
        <w:rPr>
          <w:rFonts w:hint="eastAsia" w:ascii="宋体" w:hAnsi="宋体" w:eastAsia="宋体" w:cs="宋体"/>
          <w:color w:val="auto"/>
          <w:kern w:val="0"/>
          <w:sz w:val="24"/>
          <w:szCs w:val="24"/>
          <w:highlight w:val="none"/>
        </w:rPr>
        <w:t>可单方面解除合同</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rPr>
        <w:t>并没收履约保证金，所造成的其他损失由</w:t>
      </w:r>
      <w:r>
        <w:rPr>
          <w:rFonts w:hint="eastAsia" w:ascii="宋体" w:hAnsi="宋体" w:eastAsia="宋体" w:cs="宋体"/>
          <w:bCs/>
          <w:color w:val="auto"/>
          <w:sz w:val="24"/>
          <w:szCs w:val="24"/>
          <w:highlight w:val="none"/>
          <w:lang w:val="en-US" w:eastAsia="zh-CN"/>
        </w:rPr>
        <w:t>乙方</w:t>
      </w:r>
      <w:r>
        <w:rPr>
          <w:rFonts w:hint="eastAsia" w:ascii="宋体" w:hAnsi="宋体" w:eastAsia="宋体" w:cs="宋体"/>
          <w:color w:val="auto"/>
          <w:kern w:val="0"/>
          <w:sz w:val="24"/>
          <w:szCs w:val="24"/>
          <w:highlight w:val="none"/>
        </w:rPr>
        <w:t>负责</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bidi="ar"/>
        </w:rPr>
        <w:t>如检测结果证明项目功能性能、产品或工程质量、安全性等皆符合甲方要求，甲方应无条件接受建设成果。</w:t>
      </w:r>
    </w:p>
    <w:p w14:paraId="48FA6ADA">
      <w:pPr>
        <w:keepNext w:val="0"/>
        <w:keepLines w:val="0"/>
        <w:pageBreakBefore w:val="0"/>
        <w:widowControl w:val="0"/>
        <w:kinsoku/>
        <w:wordWrap/>
        <w:overflowPunct/>
        <w:topLinePunct w:val="0"/>
        <w:autoSpaceDE w:val="0"/>
        <w:autoSpaceDN w:val="0"/>
        <w:bidi w:val="0"/>
        <w:adjustRightInd w:val="0"/>
        <w:snapToGrid/>
        <w:spacing w:line="460" w:lineRule="exact"/>
        <w:ind w:firstLine="482" w:firstLineChars="200"/>
        <w:textAlignment w:val="auto"/>
        <w:outlineLvl w:val="1"/>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第六条 培训要求</w:t>
      </w:r>
    </w:p>
    <w:p w14:paraId="6D4D38B1">
      <w:pPr>
        <w:keepNext w:val="0"/>
        <w:keepLines w:val="0"/>
        <w:pageBreakBefore w:val="0"/>
        <w:widowControl w:val="0"/>
        <w:numPr>
          <w:ilvl w:val="0"/>
          <w:numId w:val="0"/>
        </w:numPr>
        <w:kinsoku/>
        <w:wordWrap/>
        <w:overflowPunct/>
        <w:topLinePunct w:val="0"/>
        <w:autoSpaceDE w:val="0"/>
        <w:autoSpaceDN w:val="0"/>
        <w:bidi w:val="0"/>
        <w:adjustRightInd w:val="0"/>
        <w:snapToGrid/>
        <w:spacing w:line="460" w:lineRule="exact"/>
        <w:ind w:left="0" w:leftChars="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乙方提供免费培训（不限人数），培训时间、周期、频率均由甲方（或使用单位）指定，以满足系统正常上线、相关人员均可独立熟练操作为准。保证甲方（或使用单位）技术人员达到熟练操作、维护的程度，能进行一般的日常维护管理和检修，并能够处理简单的</w:t>
      </w:r>
      <w:r>
        <w:rPr>
          <w:rFonts w:hint="eastAsia" w:ascii="宋体" w:hAnsi="宋体" w:eastAsia="宋体" w:cs="宋体"/>
          <w:color w:val="auto"/>
          <w:sz w:val="24"/>
          <w:szCs w:val="24"/>
          <w:highlight w:val="none"/>
          <w:lang w:val="en-US" w:eastAsia="zh-CN"/>
        </w:rPr>
        <w:t>系统</w:t>
      </w:r>
      <w:r>
        <w:rPr>
          <w:rFonts w:hint="eastAsia" w:ascii="宋体" w:hAnsi="宋体" w:eastAsia="宋体" w:cs="宋体"/>
          <w:color w:val="auto"/>
          <w:sz w:val="24"/>
          <w:szCs w:val="24"/>
          <w:highlight w:val="none"/>
        </w:rPr>
        <w:t>故障。乙方</w:t>
      </w:r>
      <w:r>
        <w:rPr>
          <w:rFonts w:hint="eastAsia" w:ascii="宋体" w:hAnsi="宋体" w:eastAsia="宋体" w:cs="宋体"/>
          <w:color w:val="auto"/>
          <w:sz w:val="24"/>
          <w:szCs w:val="24"/>
          <w:highlight w:val="none"/>
          <w:lang w:val="en-US" w:eastAsia="zh-CN"/>
        </w:rPr>
        <w:t>若</w:t>
      </w:r>
      <w:r>
        <w:rPr>
          <w:rFonts w:hint="eastAsia" w:ascii="宋体" w:hAnsi="宋体" w:eastAsia="宋体" w:cs="宋体"/>
          <w:color w:val="auto"/>
          <w:sz w:val="24"/>
          <w:szCs w:val="24"/>
          <w:highlight w:val="none"/>
        </w:rPr>
        <w:t>未按甲方或使用单位要求开展培训，甲方可拒绝项目验收。</w:t>
      </w:r>
    </w:p>
    <w:p w14:paraId="6C089492">
      <w:pPr>
        <w:keepNext w:val="0"/>
        <w:keepLines w:val="0"/>
        <w:pageBreakBefore w:val="0"/>
        <w:widowControl w:val="0"/>
        <w:kinsoku/>
        <w:wordWrap/>
        <w:overflowPunct/>
        <w:topLinePunct w:val="0"/>
        <w:autoSpaceDE w:val="0"/>
        <w:autoSpaceDN w:val="0"/>
        <w:bidi w:val="0"/>
        <w:adjustRightInd w:val="0"/>
        <w:snapToGrid/>
        <w:spacing w:line="460" w:lineRule="exact"/>
        <w:ind w:firstLine="482" w:firstLineChars="200"/>
        <w:textAlignment w:val="auto"/>
        <w:outlineLvl w:val="1"/>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第七条 验收要求</w:t>
      </w:r>
    </w:p>
    <w:p w14:paraId="456D1CB8">
      <w:pPr>
        <w:keepNext w:val="0"/>
        <w:keepLines w:val="0"/>
        <w:pageBreakBefore w:val="0"/>
        <w:widowControl w:val="0"/>
        <w:kinsoku/>
        <w:wordWrap/>
        <w:overflowPunct/>
        <w:topLinePunct w:val="0"/>
        <w:autoSpaceDE w:val="0"/>
        <w:autoSpaceDN w:val="0"/>
        <w:bidi w:val="0"/>
        <w:adjustRightInd w:val="0"/>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kern w:val="2"/>
          <w:sz w:val="24"/>
          <w:szCs w:val="24"/>
          <w:highlight w:val="none"/>
          <w:lang w:val="en-US" w:eastAsia="zh-CN" w:bidi="ar-SA"/>
        </w:rPr>
        <w:t>项目实施完成后，由甲方根据国家关于项目验收的有关规定、招标文件要求以及合同规定进行验收。招标文件条款、投标文件承诺及国家有关的质量检验标准均为验收的依据。验收具体工作由甲方、乙方、使用单位（如有）和监理单位（如有）派代表参与。</w:t>
      </w:r>
    </w:p>
    <w:p w14:paraId="7B39EC2B">
      <w:pPr>
        <w:keepNext w:val="0"/>
        <w:keepLines w:val="0"/>
        <w:pageBreakBefore w:val="0"/>
        <w:widowControl w:val="0"/>
        <w:kinsoku/>
        <w:wordWrap/>
        <w:overflowPunct/>
        <w:topLinePunct w:val="0"/>
        <w:autoSpaceDE w:val="0"/>
        <w:autoSpaceDN w:val="0"/>
        <w:bidi w:val="0"/>
        <w:adjustRightInd w:val="0"/>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val="en-US" w:eastAsia="zh-CN"/>
        </w:rPr>
        <w:t>实施完成</w:t>
      </w:r>
      <w:r>
        <w:rPr>
          <w:rFonts w:hint="eastAsia" w:ascii="宋体" w:hAnsi="宋体" w:eastAsia="宋体" w:cs="宋体"/>
          <w:color w:val="auto"/>
          <w:sz w:val="24"/>
          <w:szCs w:val="24"/>
          <w:highlight w:val="none"/>
        </w:rPr>
        <w:t>后由</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对软件系统进行</w:t>
      </w:r>
      <w:r>
        <w:rPr>
          <w:rFonts w:hint="eastAsia" w:ascii="宋体" w:hAnsi="宋体" w:eastAsia="宋体" w:cs="宋体"/>
          <w:color w:val="auto"/>
          <w:sz w:val="24"/>
          <w:szCs w:val="24"/>
          <w:highlight w:val="none"/>
          <w:lang w:val="en-US" w:eastAsia="zh-CN"/>
        </w:rPr>
        <w:t>测试</w:t>
      </w:r>
      <w:r>
        <w:rPr>
          <w:rFonts w:hint="eastAsia" w:ascii="宋体" w:hAnsi="宋体" w:eastAsia="宋体" w:cs="宋体"/>
          <w:color w:val="auto"/>
          <w:sz w:val="24"/>
          <w:szCs w:val="24"/>
          <w:highlight w:val="none"/>
        </w:rPr>
        <w:t>，应确保项目各系统功能、性能满足</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需求，</w:t>
      </w:r>
      <w:r>
        <w:rPr>
          <w:rFonts w:hint="eastAsia" w:ascii="宋体" w:hAnsi="宋体" w:eastAsia="宋体" w:cs="宋体"/>
          <w:color w:val="auto"/>
          <w:sz w:val="24"/>
          <w:szCs w:val="24"/>
          <w:highlight w:val="none"/>
          <w:lang w:val="en-US" w:eastAsia="zh-CN"/>
        </w:rPr>
        <w:t>测试</w:t>
      </w:r>
      <w:r>
        <w:rPr>
          <w:rFonts w:hint="eastAsia" w:ascii="宋体" w:hAnsi="宋体" w:eastAsia="宋体" w:cs="宋体"/>
          <w:color w:val="auto"/>
          <w:sz w:val="24"/>
          <w:szCs w:val="24"/>
          <w:highlight w:val="none"/>
        </w:rPr>
        <w:t>合格后可向</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书面申请初验，经</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确认后，由</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组织初验小组进行项目初验；项目初验合格后，</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进入试运行阶段，在试运行期间，</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应使系统任何故障或问题都能在收到故障通知后尽快（含节假日期间）被修复和解决，并且所有试运行期间软件的修改和故障的修复细节都应记录在试运行报告中；系统正常试运行满</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后，</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可向</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书面申请</w:t>
      </w:r>
      <w:r>
        <w:rPr>
          <w:rFonts w:hint="eastAsia" w:ascii="宋体" w:hAnsi="宋体" w:eastAsia="宋体" w:cs="宋体"/>
          <w:color w:val="auto"/>
          <w:sz w:val="24"/>
          <w:szCs w:val="24"/>
          <w:highlight w:val="none"/>
          <w:lang w:val="en-US" w:eastAsia="zh-CN"/>
        </w:rPr>
        <w:t>终验</w:t>
      </w:r>
      <w:r>
        <w:rPr>
          <w:rFonts w:hint="eastAsia" w:ascii="宋体" w:hAnsi="宋体" w:eastAsia="宋体" w:cs="宋体"/>
          <w:color w:val="auto"/>
          <w:sz w:val="24"/>
          <w:szCs w:val="24"/>
          <w:highlight w:val="none"/>
        </w:rPr>
        <w:t>，经</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确认后，由</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组织验收小组进行项目</w:t>
      </w:r>
      <w:r>
        <w:rPr>
          <w:rFonts w:hint="eastAsia" w:ascii="宋体" w:hAnsi="宋体" w:eastAsia="宋体" w:cs="宋体"/>
          <w:color w:val="auto"/>
          <w:sz w:val="24"/>
          <w:szCs w:val="24"/>
          <w:highlight w:val="none"/>
          <w:lang w:val="en-US" w:eastAsia="zh-CN"/>
        </w:rPr>
        <w:t>终验</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终验合格后，甲乙双方、</w:t>
      </w:r>
      <w:r>
        <w:rPr>
          <w:rFonts w:hint="eastAsia" w:ascii="宋体" w:hAnsi="宋体" w:eastAsia="宋体" w:cs="宋体"/>
          <w:color w:val="auto"/>
          <w:kern w:val="0"/>
          <w:sz w:val="24"/>
          <w:szCs w:val="24"/>
          <w:highlight w:val="none"/>
          <w:u w:val="none"/>
          <w:lang w:val="en-US" w:eastAsia="zh-CN" w:bidi="ar"/>
        </w:rPr>
        <w:t>使用单位（如有）和监理单位（如有）</w:t>
      </w:r>
      <w:r>
        <w:rPr>
          <w:rFonts w:hint="eastAsia" w:ascii="宋体" w:hAnsi="宋体" w:eastAsia="宋体" w:cs="宋体"/>
          <w:color w:val="auto"/>
          <w:sz w:val="24"/>
          <w:szCs w:val="24"/>
          <w:highlight w:val="none"/>
          <w:lang w:val="en-US" w:eastAsia="zh-CN"/>
        </w:rPr>
        <w:t>共同签署《项目验收报告》，项目</w:t>
      </w:r>
      <w:r>
        <w:rPr>
          <w:rFonts w:hint="eastAsia" w:ascii="宋体" w:hAnsi="宋体" w:eastAsia="宋体" w:cs="宋体"/>
          <w:color w:val="auto"/>
          <w:kern w:val="2"/>
          <w:sz w:val="24"/>
          <w:szCs w:val="24"/>
          <w:highlight w:val="none"/>
          <w:lang w:val="en-US" w:eastAsia="zh-CN" w:bidi="ar-SA"/>
        </w:rPr>
        <w:t>进入项目质保期。</w:t>
      </w:r>
    </w:p>
    <w:p w14:paraId="031C0E3D">
      <w:pPr>
        <w:keepNext w:val="0"/>
        <w:keepLines w:val="0"/>
        <w:pageBreakBefore w:val="0"/>
        <w:widowControl w:val="0"/>
        <w:kinsoku/>
        <w:wordWrap/>
        <w:overflowPunct/>
        <w:topLinePunct w:val="0"/>
        <w:autoSpaceDE w:val="0"/>
        <w:autoSpaceDN w:val="0"/>
        <w:bidi w:val="0"/>
        <w:adjustRightInd w:val="0"/>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项目验收时，</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应按</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和监理方（如有）要求将所有项目文档完整移交</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，包括但不限于：可执行代码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含源代码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项目实施方案、实施计划，项目需求规格说明书，概要设计说明书，详细设计说明书，数据库设计说明书，系统测试方案，系统测试报告，项目培训资料，使用操作手册，试运行报告，使用单位用户报告，项目总结报告</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国有资产登记表等</w:t>
      </w:r>
      <w:r>
        <w:rPr>
          <w:rFonts w:hint="eastAsia" w:ascii="宋体" w:hAnsi="宋体" w:eastAsia="宋体" w:cs="宋体"/>
          <w:color w:val="auto"/>
          <w:sz w:val="24"/>
          <w:szCs w:val="24"/>
          <w:highlight w:val="none"/>
        </w:rPr>
        <w:t>。</w:t>
      </w:r>
    </w:p>
    <w:p w14:paraId="3F13F043">
      <w:pPr>
        <w:keepNext w:val="0"/>
        <w:keepLines w:val="0"/>
        <w:pageBreakBefore w:val="0"/>
        <w:widowControl w:val="0"/>
        <w:kinsoku/>
        <w:wordWrap/>
        <w:overflowPunct/>
        <w:topLinePunct w:val="0"/>
        <w:autoSpaceDE w:val="0"/>
        <w:autoSpaceDN w:val="0"/>
        <w:bidi w:val="0"/>
        <w:adjustRightInd w:val="0"/>
        <w:snapToGrid/>
        <w:spacing w:line="460" w:lineRule="exact"/>
        <w:ind w:firstLine="482" w:firstLineChars="200"/>
        <w:textAlignment w:val="auto"/>
        <w:outlineLvl w:val="1"/>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第八条 履约保证金</w:t>
      </w:r>
    </w:p>
    <w:p w14:paraId="1E687572">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乙方在签订合同之前，须向甲方</w:t>
      </w:r>
      <w:r>
        <w:rPr>
          <w:rFonts w:hint="eastAsia" w:ascii="宋体" w:hAnsi="宋体" w:eastAsia="宋体" w:cs="宋体"/>
          <w:color w:val="auto"/>
          <w:sz w:val="24"/>
          <w:szCs w:val="24"/>
          <w:highlight w:val="none"/>
          <w:lang w:val="en-US" w:eastAsia="zh-CN"/>
        </w:rPr>
        <w:t>指定账户</w:t>
      </w:r>
      <w:r>
        <w:rPr>
          <w:rFonts w:hint="eastAsia" w:ascii="宋体" w:hAnsi="宋体" w:eastAsia="宋体" w:cs="宋体"/>
          <w:color w:val="auto"/>
          <w:sz w:val="24"/>
          <w:szCs w:val="24"/>
          <w:highlight w:val="none"/>
        </w:rPr>
        <w:t>缴纳履约保证金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为</w:t>
      </w:r>
      <w:r>
        <w:rPr>
          <w:rFonts w:hint="eastAsia" w:ascii="宋体" w:hAnsi="宋体" w:eastAsia="宋体" w:cs="宋体"/>
          <w:color w:val="auto"/>
          <w:sz w:val="24"/>
          <w:szCs w:val="24"/>
          <w:highlight w:val="none"/>
        </w:rPr>
        <w:t>合同款的</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lang w:val="en-US" w:eastAsia="zh-CN"/>
        </w:rPr>
        <w:t>1%</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color w:val="auto"/>
          <w:sz w:val="24"/>
          <w:szCs w:val="24"/>
          <w:highlight w:val="none"/>
        </w:rPr>
        <w:t>，即</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bCs/>
          <w:color w:val="auto"/>
          <w:sz w:val="24"/>
          <w:szCs w:val="24"/>
          <w:highlight w:val="none"/>
          <w:u w:val="single"/>
          <w:lang w:val="en-US" w:eastAsia="zh-CN"/>
        </w:rPr>
        <w:t>***</w:t>
      </w:r>
      <w:r>
        <w:rPr>
          <w:rFonts w:hint="eastAsia" w:ascii="宋体" w:hAnsi="宋体" w:eastAsia="宋体" w:cs="宋体"/>
          <w:color w:val="auto"/>
          <w:sz w:val="24"/>
          <w:szCs w:val="24"/>
          <w:highlight w:val="none"/>
        </w:rPr>
        <w:t>，大写：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w:t>
      </w:r>
      <w:r>
        <w:rPr>
          <w:rFonts w:hint="eastAsia" w:ascii="宋体" w:hAnsi="宋体" w:eastAsia="宋体" w:cs="宋体"/>
          <w:color w:val="auto"/>
          <w:sz w:val="24"/>
          <w:szCs w:val="24"/>
          <w:highlight w:val="none"/>
          <w:u w:val="single"/>
          <w:lang w:val="en-US" w:eastAsia="zh-CN"/>
        </w:rPr>
        <w:t>元</w:t>
      </w:r>
      <w:r>
        <w:rPr>
          <w:rFonts w:hint="eastAsia" w:ascii="宋体" w:hAnsi="宋体" w:eastAsia="宋体" w:cs="宋体"/>
          <w:color w:val="auto"/>
          <w:sz w:val="24"/>
          <w:szCs w:val="24"/>
          <w:highlight w:val="none"/>
          <w:u w:val="none"/>
          <w:lang w:val="en-US" w:eastAsia="zh-CN"/>
        </w:rPr>
        <w:t>整</w:t>
      </w:r>
      <w:r>
        <w:rPr>
          <w:rFonts w:hint="eastAsia" w:ascii="宋体" w:hAnsi="宋体" w:eastAsia="宋体" w:cs="宋体"/>
          <w:color w:val="auto"/>
          <w:sz w:val="24"/>
          <w:szCs w:val="24"/>
          <w:highlight w:val="none"/>
        </w:rPr>
        <w:t>。</w:t>
      </w:r>
    </w:p>
    <w:p w14:paraId="75EB5AE1">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履约保证金在项目</w:t>
      </w:r>
      <w:r>
        <w:rPr>
          <w:rFonts w:hint="eastAsia" w:ascii="宋体" w:hAnsi="宋体" w:eastAsia="宋体" w:cs="宋体"/>
          <w:color w:val="auto"/>
          <w:sz w:val="24"/>
          <w:szCs w:val="24"/>
          <w:highlight w:val="none"/>
          <w:lang w:val="en-US" w:eastAsia="zh-CN"/>
        </w:rPr>
        <w:t>终验</w:t>
      </w:r>
      <w:r>
        <w:rPr>
          <w:rFonts w:hint="eastAsia" w:ascii="宋体" w:hAnsi="宋体" w:eastAsia="宋体" w:cs="宋体"/>
          <w:color w:val="auto"/>
          <w:sz w:val="24"/>
          <w:szCs w:val="24"/>
          <w:highlight w:val="none"/>
        </w:rPr>
        <w:t>合格无任何问题</w:t>
      </w:r>
      <w:r>
        <w:rPr>
          <w:rFonts w:hint="eastAsia" w:ascii="宋体" w:hAnsi="宋体" w:eastAsia="宋体" w:cs="宋体"/>
          <w:color w:val="auto"/>
          <w:sz w:val="24"/>
          <w:szCs w:val="24"/>
          <w:highlight w:val="none"/>
          <w:lang w:val="en-US" w:eastAsia="zh-CN"/>
        </w:rPr>
        <w:t>后</w:t>
      </w:r>
      <w:r>
        <w:rPr>
          <w:rFonts w:hint="eastAsia" w:ascii="宋体" w:hAnsi="宋体" w:eastAsia="宋体" w:cs="宋体"/>
          <w:color w:val="auto"/>
          <w:sz w:val="24"/>
          <w:szCs w:val="24"/>
          <w:highlight w:val="none"/>
        </w:rPr>
        <w:t>退回，不计息。</w:t>
      </w:r>
    </w:p>
    <w:p w14:paraId="655268B6">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如乙方未能履行合同规定的义务，甲方有权</w:t>
      </w:r>
      <w:r>
        <w:rPr>
          <w:rFonts w:hint="eastAsia" w:ascii="宋体" w:hAnsi="宋体" w:eastAsia="宋体" w:cs="宋体"/>
          <w:color w:val="auto"/>
          <w:sz w:val="24"/>
          <w:szCs w:val="24"/>
          <w:highlight w:val="none"/>
          <w:lang w:val="en-US" w:eastAsia="zh-CN"/>
        </w:rPr>
        <w:t>没收</w:t>
      </w:r>
      <w:r>
        <w:rPr>
          <w:rFonts w:hint="eastAsia" w:ascii="宋体" w:hAnsi="宋体" w:eastAsia="宋体" w:cs="宋体"/>
          <w:color w:val="auto"/>
          <w:sz w:val="24"/>
          <w:szCs w:val="24"/>
          <w:highlight w:val="none"/>
        </w:rPr>
        <w:t>履约保证金。</w:t>
      </w:r>
    </w:p>
    <w:p w14:paraId="0063B63E">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4、履约保证金缴纳账户：</w:t>
      </w:r>
    </w:p>
    <w:tbl>
      <w:tblPr>
        <w:tblStyle w:val="20"/>
        <w:tblW w:w="8519" w:type="dxa"/>
        <w:jc w:val="center"/>
        <w:tblLayout w:type="fixed"/>
        <w:tblCellMar>
          <w:top w:w="0" w:type="dxa"/>
          <w:left w:w="108" w:type="dxa"/>
          <w:bottom w:w="0" w:type="dxa"/>
          <w:right w:w="108" w:type="dxa"/>
        </w:tblCellMar>
      </w:tblPr>
      <w:tblGrid>
        <w:gridCol w:w="2222"/>
        <w:gridCol w:w="6297"/>
      </w:tblGrid>
      <w:tr w14:paraId="677AD349">
        <w:tblPrEx>
          <w:tblCellMar>
            <w:top w:w="0" w:type="dxa"/>
            <w:left w:w="108" w:type="dxa"/>
            <w:bottom w:w="0" w:type="dxa"/>
            <w:right w:w="108" w:type="dxa"/>
          </w:tblCellMar>
        </w:tblPrEx>
        <w:trPr>
          <w:cantSplit/>
          <w:trHeight w:val="397" w:hRule="exact"/>
          <w:jc w:val="center"/>
        </w:trPr>
        <w:tc>
          <w:tcPr>
            <w:tcW w:w="2222" w:type="dxa"/>
            <w:tcBorders>
              <w:top w:val="single" w:color="auto" w:sz="6" w:space="0"/>
              <w:left w:val="single" w:color="auto" w:sz="6" w:space="0"/>
              <w:bottom w:val="single" w:color="auto" w:sz="6" w:space="0"/>
              <w:right w:val="single" w:color="auto" w:sz="6" w:space="0"/>
            </w:tcBorders>
            <w:noWrap w:val="0"/>
            <w:vAlign w:val="center"/>
          </w:tcPr>
          <w:p w14:paraId="19A137D7">
            <w:pPr>
              <w:pStyle w:val="31"/>
              <w:adjustRightInd/>
              <w:spacing w:before="0" w:after="0" w:line="24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单位名称</w:t>
            </w:r>
          </w:p>
        </w:tc>
        <w:tc>
          <w:tcPr>
            <w:tcW w:w="6297" w:type="dxa"/>
            <w:tcBorders>
              <w:top w:val="single" w:color="auto" w:sz="6" w:space="0"/>
              <w:left w:val="single" w:color="auto" w:sz="6" w:space="0"/>
              <w:bottom w:val="single" w:color="auto" w:sz="6" w:space="0"/>
              <w:right w:val="single" w:color="auto" w:sz="6" w:space="0"/>
            </w:tcBorders>
            <w:noWrap w:val="0"/>
            <w:vAlign w:val="center"/>
          </w:tcPr>
          <w:p w14:paraId="5D5990D4">
            <w:pPr>
              <w:pStyle w:val="31"/>
              <w:adjustRightInd/>
              <w:spacing w:before="0" w:after="0" w:line="240" w:lineRule="auto"/>
              <w:ind w:firstLine="0" w:firstLineChars="0"/>
              <w:jc w:val="left"/>
              <w:rPr>
                <w:rFonts w:hint="eastAsia" w:ascii="宋体" w:hAnsi="宋体" w:eastAsia="宋体" w:cs="宋体"/>
                <w:color w:val="auto"/>
                <w:sz w:val="21"/>
                <w:szCs w:val="21"/>
                <w:highlight w:val="none"/>
                <w:lang w:val="en-US" w:eastAsia="zh-CN"/>
              </w:rPr>
            </w:pPr>
          </w:p>
        </w:tc>
      </w:tr>
      <w:tr w14:paraId="6C58681A">
        <w:tblPrEx>
          <w:tblCellMar>
            <w:top w:w="0" w:type="dxa"/>
            <w:left w:w="108" w:type="dxa"/>
            <w:bottom w:w="0" w:type="dxa"/>
            <w:right w:w="108" w:type="dxa"/>
          </w:tblCellMar>
        </w:tblPrEx>
        <w:trPr>
          <w:cantSplit/>
          <w:trHeight w:val="397" w:hRule="exact"/>
          <w:jc w:val="center"/>
        </w:trPr>
        <w:tc>
          <w:tcPr>
            <w:tcW w:w="2222" w:type="dxa"/>
            <w:tcBorders>
              <w:top w:val="single" w:color="auto" w:sz="6" w:space="0"/>
              <w:left w:val="single" w:color="auto" w:sz="6" w:space="0"/>
              <w:bottom w:val="single" w:color="auto" w:sz="6" w:space="0"/>
              <w:right w:val="single" w:color="auto" w:sz="6" w:space="0"/>
            </w:tcBorders>
            <w:noWrap w:val="0"/>
            <w:vAlign w:val="center"/>
          </w:tcPr>
          <w:p w14:paraId="092AD304">
            <w:pPr>
              <w:pStyle w:val="31"/>
              <w:adjustRightInd/>
              <w:spacing w:before="0" w:after="0" w:line="24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统一社会信用代码</w:t>
            </w:r>
          </w:p>
        </w:tc>
        <w:tc>
          <w:tcPr>
            <w:tcW w:w="6297" w:type="dxa"/>
            <w:tcBorders>
              <w:top w:val="single" w:color="auto" w:sz="6" w:space="0"/>
              <w:left w:val="single" w:color="auto" w:sz="6" w:space="0"/>
              <w:bottom w:val="single" w:color="auto" w:sz="6" w:space="0"/>
              <w:right w:val="single" w:color="auto" w:sz="6" w:space="0"/>
            </w:tcBorders>
            <w:noWrap w:val="0"/>
            <w:vAlign w:val="center"/>
          </w:tcPr>
          <w:p w14:paraId="552F3A51">
            <w:pPr>
              <w:pStyle w:val="31"/>
              <w:adjustRightInd/>
              <w:spacing w:before="0" w:after="0" w:line="240" w:lineRule="auto"/>
              <w:ind w:firstLine="0" w:firstLineChars="0"/>
              <w:jc w:val="left"/>
              <w:rPr>
                <w:rFonts w:hint="eastAsia" w:ascii="宋体" w:hAnsi="宋体" w:eastAsia="宋体" w:cs="宋体"/>
                <w:color w:val="auto"/>
                <w:sz w:val="21"/>
                <w:szCs w:val="21"/>
                <w:highlight w:val="none"/>
                <w:lang w:val="en-US" w:eastAsia="zh-CN"/>
              </w:rPr>
            </w:pPr>
          </w:p>
        </w:tc>
      </w:tr>
      <w:tr w14:paraId="265A2D9D">
        <w:tblPrEx>
          <w:tblCellMar>
            <w:top w:w="0" w:type="dxa"/>
            <w:left w:w="108" w:type="dxa"/>
            <w:bottom w:w="0" w:type="dxa"/>
            <w:right w:w="108" w:type="dxa"/>
          </w:tblCellMar>
        </w:tblPrEx>
        <w:trPr>
          <w:cantSplit/>
          <w:trHeight w:val="397" w:hRule="exact"/>
          <w:jc w:val="center"/>
        </w:trPr>
        <w:tc>
          <w:tcPr>
            <w:tcW w:w="2222" w:type="dxa"/>
            <w:tcBorders>
              <w:top w:val="single" w:color="auto" w:sz="6" w:space="0"/>
              <w:left w:val="single" w:color="auto" w:sz="6" w:space="0"/>
              <w:bottom w:val="single" w:color="auto" w:sz="6" w:space="0"/>
              <w:right w:val="single" w:color="auto" w:sz="6" w:space="0"/>
            </w:tcBorders>
            <w:noWrap w:val="0"/>
            <w:vAlign w:val="center"/>
          </w:tcPr>
          <w:p w14:paraId="305BD7FA">
            <w:pPr>
              <w:pStyle w:val="31"/>
              <w:adjustRightInd/>
              <w:spacing w:before="0" w:after="0" w:line="24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地址</w:t>
            </w:r>
          </w:p>
        </w:tc>
        <w:tc>
          <w:tcPr>
            <w:tcW w:w="6297" w:type="dxa"/>
            <w:tcBorders>
              <w:top w:val="single" w:color="auto" w:sz="6" w:space="0"/>
              <w:left w:val="single" w:color="auto" w:sz="6" w:space="0"/>
              <w:bottom w:val="single" w:color="auto" w:sz="6" w:space="0"/>
              <w:right w:val="single" w:color="auto" w:sz="6" w:space="0"/>
            </w:tcBorders>
            <w:noWrap w:val="0"/>
            <w:vAlign w:val="center"/>
          </w:tcPr>
          <w:p w14:paraId="45664C12">
            <w:pPr>
              <w:pStyle w:val="31"/>
              <w:adjustRightInd/>
              <w:spacing w:before="0" w:after="0" w:line="240" w:lineRule="auto"/>
              <w:ind w:firstLine="0" w:firstLineChars="0"/>
              <w:jc w:val="left"/>
              <w:rPr>
                <w:rFonts w:hint="eastAsia" w:ascii="宋体" w:hAnsi="宋体" w:eastAsia="宋体" w:cs="宋体"/>
                <w:color w:val="auto"/>
                <w:sz w:val="21"/>
                <w:szCs w:val="21"/>
                <w:highlight w:val="none"/>
                <w:lang w:val="en-US" w:eastAsia="zh-CN"/>
              </w:rPr>
            </w:pPr>
          </w:p>
        </w:tc>
      </w:tr>
      <w:tr w14:paraId="6618205E">
        <w:tblPrEx>
          <w:tblCellMar>
            <w:top w:w="0" w:type="dxa"/>
            <w:left w:w="108" w:type="dxa"/>
            <w:bottom w:w="0" w:type="dxa"/>
            <w:right w:w="108" w:type="dxa"/>
          </w:tblCellMar>
        </w:tblPrEx>
        <w:trPr>
          <w:cantSplit/>
          <w:trHeight w:val="397" w:hRule="exact"/>
          <w:jc w:val="center"/>
        </w:trPr>
        <w:tc>
          <w:tcPr>
            <w:tcW w:w="2222" w:type="dxa"/>
            <w:tcBorders>
              <w:top w:val="single" w:color="auto" w:sz="6" w:space="0"/>
              <w:left w:val="single" w:color="auto" w:sz="6" w:space="0"/>
              <w:bottom w:val="single" w:color="auto" w:sz="6" w:space="0"/>
              <w:right w:val="single" w:color="auto" w:sz="6" w:space="0"/>
            </w:tcBorders>
            <w:noWrap w:val="0"/>
            <w:vAlign w:val="center"/>
          </w:tcPr>
          <w:p w14:paraId="4A2DC335">
            <w:pPr>
              <w:pStyle w:val="31"/>
              <w:adjustRightInd/>
              <w:spacing w:before="0" w:after="0" w:line="24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开户银行</w:t>
            </w:r>
          </w:p>
        </w:tc>
        <w:tc>
          <w:tcPr>
            <w:tcW w:w="6297" w:type="dxa"/>
            <w:tcBorders>
              <w:top w:val="single" w:color="auto" w:sz="6" w:space="0"/>
              <w:left w:val="single" w:color="auto" w:sz="6" w:space="0"/>
              <w:bottom w:val="single" w:color="auto" w:sz="6" w:space="0"/>
              <w:right w:val="single" w:color="auto" w:sz="6" w:space="0"/>
            </w:tcBorders>
            <w:noWrap w:val="0"/>
            <w:vAlign w:val="center"/>
          </w:tcPr>
          <w:p w14:paraId="1F14730F">
            <w:pPr>
              <w:pStyle w:val="31"/>
              <w:adjustRightInd/>
              <w:spacing w:before="0" w:after="0" w:line="240" w:lineRule="auto"/>
              <w:ind w:firstLine="0" w:firstLineChars="0"/>
              <w:jc w:val="left"/>
              <w:rPr>
                <w:rFonts w:hint="eastAsia" w:ascii="宋体" w:hAnsi="宋体" w:eastAsia="宋体" w:cs="宋体"/>
                <w:color w:val="auto"/>
                <w:sz w:val="21"/>
                <w:szCs w:val="21"/>
                <w:highlight w:val="none"/>
                <w:lang w:val="en-US" w:eastAsia="zh-CN"/>
              </w:rPr>
            </w:pPr>
          </w:p>
        </w:tc>
      </w:tr>
      <w:tr w14:paraId="271EFDE6">
        <w:tblPrEx>
          <w:tblCellMar>
            <w:top w:w="0" w:type="dxa"/>
            <w:left w:w="108" w:type="dxa"/>
            <w:bottom w:w="0" w:type="dxa"/>
            <w:right w:w="108" w:type="dxa"/>
          </w:tblCellMar>
        </w:tblPrEx>
        <w:trPr>
          <w:cantSplit/>
          <w:trHeight w:val="397" w:hRule="exact"/>
          <w:jc w:val="center"/>
        </w:trPr>
        <w:tc>
          <w:tcPr>
            <w:tcW w:w="2222" w:type="dxa"/>
            <w:tcBorders>
              <w:top w:val="single" w:color="auto" w:sz="6" w:space="0"/>
              <w:left w:val="single" w:color="auto" w:sz="6" w:space="0"/>
              <w:bottom w:val="single" w:color="auto" w:sz="6" w:space="0"/>
              <w:right w:val="single" w:color="auto" w:sz="6" w:space="0"/>
            </w:tcBorders>
            <w:noWrap w:val="0"/>
            <w:vAlign w:val="center"/>
          </w:tcPr>
          <w:p w14:paraId="1EB76AA6">
            <w:pPr>
              <w:pStyle w:val="31"/>
              <w:adjustRightInd/>
              <w:spacing w:before="0" w:after="0" w:line="24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银行账号</w:t>
            </w:r>
          </w:p>
        </w:tc>
        <w:tc>
          <w:tcPr>
            <w:tcW w:w="6297" w:type="dxa"/>
            <w:tcBorders>
              <w:top w:val="single" w:color="auto" w:sz="6" w:space="0"/>
              <w:left w:val="single" w:color="auto" w:sz="6" w:space="0"/>
              <w:bottom w:val="single" w:color="auto" w:sz="6" w:space="0"/>
              <w:right w:val="single" w:color="auto" w:sz="6" w:space="0"/>
            </w:tcBorders>
            <w:noWrap w:val="0"/>
            <w:vAlign w:val="center"/>
          </w:tcPr>
          <w:p w14:paraId="1FF55C53">
            <w:pPr>
              <w:pStyle w:val="31"/>
              <w:adjustRightInd/>
              <w:spacing w:before="0" w:after="0" w:line="240" w:lineRule="auto"/>
              <w:ind w:firstLine="0" w:firstLineChars="0"/>
              <w:jc w:val="left"/>
              <w:rPr>
                <w:rFonts w:hint="eastAsia" w:ascii="宋体" w:hAnsi="宋体" w:eastAsia="宋体" w:cs="宋体"/>
                <w:color w:val="auto"/>
                <w:sz w:val="21"/>
                <w:szCs w:val="21"/>
                <w:highlight w:val="none"/>
                <w:lang w:val="en-US" w:eastAsia="zh-CN"/>
              </w:rPr>
            </w:pPr>
          </w:p>
        </w:tc>
      </w:tr>
    </w:tbl>
    <w:p w14:paraId="20951923">
      <w:pPr>
        <w:keepNext w:val="0"/>
        <w:keepLines w:val="0"/>
        <w:pageBreakBefore w:val="0"/>
        <w:widowControl w:val="0"/>
        <w:kinsoku/>
        <w:wordWrap/>
        <w:overflowPunct/>
        <w:topLinePunct w:val="0"/>
        <w:autoSpaceDE w:val="0"/>
        <w:autoSpaceDN w:val="0"/>
        <w:bidi w:val="0"/>
        <w:adjustRightInd w:val="0"/>
        <w:snapToGrid/>
        <w:spacing w:line="460" w:lineRule="exact"/>
        <w:ind w:firstLine="482" w:firstLineChars="200"/>
        <w:textAlignment w:val="auto"/>
        <w:outlineLvl w:val="1"/>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第九条 支付方式</w:t>
      </w:r>
    </w:p>
    <w:p w14:paraId="4AF14A3A">
      <w:pPr>
        <w:keepNext w:val="0"/>
        <w:keepLines w:val="0"/>
        <w:pageBreakBefore w:val="0"/>
        <w:widowControl w:val="0"/>
        <w:numPr>
          <w:ilvl w:val="0"/>
          <w:numId w:val="6"/>
        </w:numPr>
        <w:kinsoku/>
        <w:wordWrap/>
        <w:overflowPunct/>
        <w:topLinePunct w:val="0"/>
        <w:autoSpaceDE w:val="0"/>
        <w:autoSpaceDN w:val="0"/>
        <w:bidi w:val="0"/>
        <w:adjustRightInd w:val="0"/>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本合同总价</w:t>
      </w:r>
      <w:r>
        <w:rPr>
          <w:rFonts w:hint="eastAsia" w:ascii="宋体" w:hAnsi="宋体" w:eastAsia="宋体" w:cs="宋体"/>
          <w:color w:val="auto"/>
          <w:sz w:val="24"/>
          <w:szCs w:val="24"/>
          <w:highlight w:val="none"/>
          <w:lang w:eastAsia="zh-CN"/>
        </w:rPr>
        <w:t>含税</w:t>
      </w:r>
      <w:r>
        <w:rPr>
          <w:rFonts w:hint="eastAsia" w:ascii="宋体" w:hAnsi="宋体" w:eastAsia="宋体" w:cs="宋体"/>
          <w:color w:val="auto"/>
          <w:sz w:val="24"/>
          <w:szCs w:val="24"/>
          <w:highlight w:val="none"/>
        </w:rPr>
        <w:t>共计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（人民币大写</w:t>
      </w:r>
      <w:r>
        <w:rPr>
          <w:rFonts w:hint="eastAsia" w:ascii="宋体" w:hAnsi="宋体" w:eastAsia="宋体" w:cs="宋体"/>
          <w:color w:val="auto"/>
          <w:sz w:val="24"/>
          <w:szCs w:val="24"/>
          <w:highlight w:val="none"/>
          <w:u w:val="single"/>
          <w:lang w:val="en-US" w:eastAsia="zh-CN"/>
        </w:rPr>
        <w:fldChar w:fldCharType="begin"/>
      </w:r>
      <w:r>
        <w:rPr>
          <w:rFonts w:hint="eastAsia" w:ascii="宋体" w:hAnsi="宋体" w:eastAsia="宋体" w:cs="宋体"/>
          <w:color w:val="auto"/>
          <w:sz w:val="24"/>
          <w:szCs w:val="24"/>
          <w:highlight w:val="none"/>
          <w:u w:val="single"/>
          <w:lang w:val="en-US" w:eastAsia="zh-CN"/>
        </w:rPr>
        <w:instrText xml:space="preserve"> = 12299600 \* CHINESENUM4 \* MERGEFORMAT </w:instrText>
      </w:r>
      <w:r>
        <w:rPr>
          <w:rFonts w:hint="eastAsia" w:ascii="宋体" w:hAnsi="宋体" w:eastAsia="宋体" w:cs="宋体"/>
          <w:color w:val="auto"/>
          <w:sz w:val="24"/>
          <w:szCs w:val="24"/>
          <w:highlight w:val="none"/>
          <w:u w:val="single"/>
          <w:lang w:val="en-US" w:eastAsia="zh-CN"/>
        </w:rPr>
        <w:fldChar w:fldCharType="separate"/>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元整</w:t>
      </w:r>
      <w:r>
        <w:rPr>
          <w:rFonts w:hint="eastAsia" w:ascii="宋体" w:hAnsi="宋体" w:eastAsia="宋体" w:cs="宋体"/>
          <w:color w:val="auto"/>
          <w:sz w:val="24"/>
          <w:szCs w:val="24"/>
          <w:highlight w:val="none"/>
          <w:u w:val="single"/>
          <w:lang w:val="en-US" w:eastAsia="zh-CN"/>
        </w:rPr>
        <w:fldChar w:fldCharType="end"/>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14:paraId="33649DB5">
      <w:pPr>
        <w:keepNext w:val="0"/>
        <w:keepLines w:val="0"/>
        <w:pageBreakBefore w:val="0"/>
        <w:widowControl w:val="0"/>
        <w:kinsoku/>
        <w:wordWrap/>
        <w:overflowPunct/>
        <w:topLinePunct w:val="0"/>
        <w:autoSpaceDE w:val="0"/>
        <w:autoSpaceDN w:val="0"/>
        <w:bidi w:val="0"/>
        <w:adjustRightInd w:val="0"/>
        <w:snapToGrid/>
        <w:spacing w:line="460" w:lineRule="exact"/>
        <w:ind w:leftChars="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项目合同款项分</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期支付：</w:t>
      </w:r>
    </w:p>
    <w:p w14:paraId="0851F089">
      <w:pPr>
        <w:keepNext w:val="0"/>
        <w:keepLines w:val="0"/>
        <w:pageBreakBefore w:val="0"/>
        <w:widowControl w:val="0"/>
        <w:numPr>
          <w:ilvl w:val="0"/>
          <w:numId w:val="7"/>
        </w:numPr>
        <w:kinsoku/>
        <w:wordWrap/>
        <w:overflowPunct/>
        <w:topLinePunct w:val="0"/>
        <w:autoSpaceDE w:val="0"/>
        <w:autoSpaceDN w:val="0"/>
        <w:bidi w:val="0"/>
        <w:adjustRightInd w:val="0"/>
        <w:snapToGrid/>
        <w:spacing w:line="460" w:lineRule="exact"/>
        <w:ind w:leftChars="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合同签订生效后</w:t>
      </w:r>
      <w:r>
        <w:rPr>
          <w:rFonts w:hint="eastAsia" w:ascii="宋体" w:hAnsi="宋体" w:eastAsia="宋体" w:cs="宋体"/>
          <w:b w:val="0"/>
          <w:bCs/>
          <w:color w:val="auto"/>
          <w:kern w:val="0"/>
          <w:sz w:val="24"/>
          <w:szCs w:val="24"/>
          <w:highlight w:val="none"/>
          <w:lang w:val="zh-CN"/>
        </w:rPr>
        <w:t>，</w:t>
      </w:r>
      <w:r>
        <w:rPr>
          <w:rFonts w:hint="eastAsia" w:ascii="宋体" w:hAnsi="宋体" w:eastAsia="宋体" w:cs="宋体"/>
          <w:b w:val="0"/>
          <w:bCs/>
          <w:color w:val="auto"/>
          <w:kern w:val="0"/>
          <w:sz w:val="24"/>
          <w:szCs w:val="24"/>
          <w:highlight w:val="none"/>
          <w:lang w:val="zh-CN" w:eastAsia="zh-CN"/>
        </w:rPr>
        <w:t>项目初验收合格且在收到</w:t>
      </w:r>
      <w:r>
        <w:rPr>
          <w:rFonts w:hint="eastAsia" w:ascii="宋体" w:hAnsi="宋体" w:eastAsia="宋体" w:cs="宋体"/>
          <w:b w:val="0"/>
          <w:bCs/>
          <w:color w:val="auto"/>
          <w:kern w:val="0"/>
          <w:sz w:val="24"/>
          <w:szCs w:val="24"/>
          <w:highlight w:val="none"/>
          <w:lang w:val="en-US" w:eastAsia="zh-CN"/>
        </w:rPr>
        <w:t>乙方</w:t>
      </w:r>
      <w:r>
        <w:rPr>
          <w:rFonts w:hint="eastAsia" w:ascii="宋体" w:hAnsi="宋体" w:eastAsia="宋体" w:cs="宋体"/>
          <w:b w:val="0"/>
          <w:bCs/>
          <w:color w:val="auto"/>
          <w:kern w:val="0"/>
          <w:sz w:val="24"/>
          <w:szCs w:val="24"/>
          <w:highlight w:val="none"/>
          <w:lang w:val="zh-CN" w:eastAsia="zh-CN"/>
        </w:rPr>
        <w:t>提供的相关付款材料</w:t>
      </w:r>
      <w:r>
        <w:rPr>
          <w:rFonts w:hint="eastAsia" w:ascii="宋体" w:hAnsi="宋体" w:eastAsia="宋体" w:cs="宋体"/>
          <w:b w:val="0"/>
          <w:bCs/>
          <w:color w:val="auto"/>
          <w:kern w:val="0"/>
          <w:sz w:val="24"/>
          <w:szCs w:val="24"/>
          <w:highlight w:val="none"/>
          <w:lang w:val="en-US" w:eastAsia="zh-CN"/>
        </w:rPr>
        <w:t>3</w:t>
      </w:r>
      <w:r>
        <w:rPr>
          <w:rFonts w:hint="eastAsia" w:ascii="宋体" w:hAnsi="宋体" w:eastAsia="宋体" w:cs="宋体"/>
          <w:b w:val="0"/>
          <w:bCs/>
          <w:color w:val="auto"/>
          <w:kern w:val="0"/>
          <w:sz w:val="24"/>
          <w:szCs w:val="24"/>
          <w:highlight w:val="none"/>
          <w:lang w:val="zh-CN" w:eastAsia="zh-CN"/>
        </w:rPr>
        <w:t>个月内</w:t>
      </w:r>
      <w:r>
        <w:rPr>
          <w:rFonts w:hint="eastAsia" w:ascii="宋体" w:hAnsi="宋体" w:eastAsia="宋体" w:cs="宋体"/>
          <w:color w:val="auto"/>
          <w:sz w:val="24"/>
          <w:szCs w:val="24"/>
          <w:highlight w:val="none"/>
          <w:lang w:val="en-US" w:eastAsia="zh-CN"/>
        </w:rPr>
        <w:t>，甲方向乙方支付合同总金额的</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%款项；</w:t>
      </w:r>
    </w:p>
    <w:p w14:paraId="0B71D2F5">
      <w:pPr>
        <w:keepNext w:val="0"/>
        <w:keepLines w:val="0"/>
        <w:pageBreakBefore w:val="0"/>
        <w:widowControl w:val="0"/>
        <w:numPr>
          <w:ilvl w:val="0"/>
          <w:numId w:val="7"/>
        </w:numPr>
        <w:kinsoku/>
        <w:wordWrap/>
        <w:overflowPunct/>
        <w:topLinePunct w:val="0"/>
        <w:autoSpaceDE w:val="0"/>
        <w:autoSpaceDN w:val="0"/>
        <w:bidi w:val="0"/>
        <w:adjustRightInd w:val="0"/>
        <w:snapToGrid/>
        <w:spacing w:line="460" w:lineRule="exact"/>
        <w:ind w:leftChars="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val="0"/>
          <w:bCs/>
          <w:color w:val="auto"/>
          <w:kern w:val="0"/>
          <w:sz w:val="24"/>
          <w:szCs w:val="24"/>
          <w:highlight w:val="none"/>
          <w:lang w:val="zh-CN" w:eastAsia="zh-CN"/>
        </w:rPr>
        <w:t>项目终验合格后且在收到</w:t>
      </w:r>
      <w:r>
        <w:rPr>
          <w:rFonts w:hint="eastAsia" w:ascii="宋体" w:hAnsi="宋体" w:eastAsia="宋体" w:cs="宋体"/>
          <w:b w:val="0"/>
          <w:bCs/>
          <w:color w:val="auto"/>
          <w:kern w:val="0"/>
          <w:sz w:val="24"/>
          <w:szCs w:val="24"/>
          <w:highlight w:val="none"/>
          <w:lang w:val="en-US" w:eastAsia="zh-CN"/>
        </w:rPr>
        <w:t>乙方</w:t>
      </w:r>
      <w:r>
        <w:rPr>
          <w:rFonts w:hint="eastAsia" w:ascii="宋体" w:hAnsi="宋体" w:eastAsia="宋体" w:cs="宋体"/>
          <w:b w:val="0"/>
          <w:bCs/>
          <w:color w:val="auto"/>
          <w:kern w:val="0"/>
          <w:sz w:val="24"/>
          <w:szCs w:val="24"/>
          <w:highlight w:val="none"/>
          <w:lang w:val="zh-CN" w:eastAsia="zh-CN"/>
        </w:rPr>
        <w:t>提供的相关付款材料</w:t>
      </w:r>
      <w:r>
        <w:rPr>
          <w:rFonts w:hint="eastAsia" w:ascii="宋体" w:hAnsi="宋体" w:eastAsia="宋体" w:cs="宋体"/>
          <w:b w:val="0"/>
          <w:bCs/>
          <w:color w:val="auto"/>
          <w:kern w:val="0"/>
          <w:sz w:val="24"/>
          <w:szCs w:val="24"/>
          <w:highlight w:val="none"/>
          <w:lang w:val="en-US" w:eastAsia="zh-CN"/>
        </w:rPr>
        <w:t>3</w:t>
      </w:r>
      <w:r>
        <w:rPr>
          <w:rFonts w:hint="eastAsia" w:ascii="宋体" w:hAnsi="宋体" w:eastAsia="宋体" w:cs="宋体"/>
          <w:b w:val="0"/>
          <w:bCs/>
          <w:color w:val="auto"/>
          <w:kern w:val="0"/>
          <w:sz w:val="24"/>
          <w:szCs w:val="24"/>
          <w:highlight w:val="none"/>
          <w:lang w:val="zh-CN" w:eastAsia="zh-CN"/>
        </w:rPr>
        <w:t>个月内，</w:t>
      </w:r>
      <w:r>
        <w:rPr>
          <w:rFonts w:hint="eastAsia" w:ascii="宋体" w:hAnsi="宋体" w:eastAsia="宋体" w:cs="宋体"/>
          <w:color w:val="auto"/>
          <w:sz w:val="24"/>
          <w:szCs w:val="24"/>
          <w:highlight w:val="none"/>
          <w:lang w:val="en-US" w:eastAsia="zh-CN"/>
        </w:rPr>
        <w:t>甲方向乙方支付合同总金额的</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%款项；</w:t>
      </w:r>
    </w:p>
    <w:p w14:paraId="05DBE851">
      <w:pPr>
        <w:keepNext w:val="0"/>
        <w:keepLines w:val="0"/>
        <w:pageBreakBefore w:val="0"/>
        <w:widowControl w:val="0"/>
        <w:numPr>
          <w:ilvl w:val="0"/>
          <w:numId w:val="7"/>
        </w:numPr>
        <w:kinsoku/>
        <w:wordWrap/>
        <w:overflowPunct/>
        <w:topLinePunct w:val="0"/>
        <w:autoSpaceDE w:val="0"/>
        <w:autoSpaceDN w:val="0"/>
        <w:bidi w:val="0"/>
        <w:adjustRightInd w:val="0"/>
        <w:snapToGrid/>
        <w:spacing w:line="460" w:lineRule="exact"/>
        <w:ind w:leftChars="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项目质保期满后</w:t>
      </w:r>
      <w:r>
        <w:rPr>
          <w:rFonts w:hint="eastAsia" w:ascii="宋体" w:hAnsi="宋体" w:eastAsia="宋体" w:cs="宋体"/>
          <w:b w:val="0"/>
          <w:bCs/>
          <w:color w:val="auto"/>
          <w:sz w:val="24"/>
          <w:szCs w:val="24"/>
          <w:highlight w:val="none"/>
        </w:rPr>
        <w:t>，由</w:t>
      </w:r>
      <w:r>
        <w:rPr>
          <w:rFonts w:hint="eastAsia" w:ascii="宋体" w:hAnsi="宋体" w:eastAsia="宋体" w:cs="宋体"/>
          <w:color w:val="auto"/>
          <w:kern w:val="0"/>
          <w:sz w:val="24"/>
          <w:szCs w:val="24"/>
          <w:highlight w:val="none"/>
          <w:u w:val="single"/>
          <w:lang w:val="en-US" w:eastAsia="zh-CN" w:bidi="ar"/>
        </w:rPr>
        <w:t>（使用单位）</w:t>
      </w:r>
      <w:r>
        <w:rPr>
          <w:rFonts w:hint="eastAsia" w:ascii="宋体" w:hAnsi="宋体" w:eastAsia="宋体" w:cs="宋体"/>
          <w:b w:val="0"/>
          <w:bCs/>
          <w:color w:val="auto"/>
          <w:sz w:val="24"/>
          <w:szCs w:val="24"/>
          <w:highlight w:val="none"/>
        </w:rPr>
        <w:t>出具运维合格意见后</w:t>
      </w: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个月内</w:t>
      </w:r>
      <w:r>
        <w:rPr>
          <w:rFonts w:hint="eastAsia" w:ascii="宋体" w:hAnsi="宋体" w:eastAsia="宋体" w:cs="宋体"/>
          <w:b w:val="0"/>
          <w:bCs/>
          <w:color w:val="auto"/>
          <w:sz w:val="24"/>
          <w:szCs w:val="24"/>
          <w:highlight w:val="none"/>
          <w:lang w:val="en-US" w:eastAsia="zh-CN"/>
        </w:rPr>
        <w:t>付清尾款</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均无息</w:t>
      </w:r>
      <w:r>
        <w:rPr>
          <w:rFonts w:hint="eastAsia" w:ascii="宋体" w:hAnsi="宋体" w:eastAsia="宋体" w:cs="宋体"/>
          <w:b w:val="0"/>
          <w:bCs/>
          <w:color w:val="auto"/>
          <w:sz w:val="24"/>
          <w:szCs w:val="24"/>
          <w:highlight w:val="none"/>
          <w:lang w:eastAsia="zh-CN"/>
        </w:rPr>
        <w:t>）</w:t>
      </w:r>
      <w:r>
        <w:rPr>
          <w:rFonts w:hint="eastAsia" w:ascii="宋体" w:hAnsi="宋体" w:eastAsia="宋体" w:cs="宋体"/>
          <w:color w:val="auto"/>
          <w:sz w:val="24"/>
          <w:szCs w:val="24"/>
          <w:highlight w:val="none"/>
          <w:lang w:val="en-US" w:eastAsia="zh-CN"/>
        </w:rPr>
        <w:t>。</w:t>
      </w:r>
    </w:p>
    <w:p w14:paraId="08E3BD9B">
      <w:pPr>
        <w:keepNext w:val="0"/>
        <w:keepLines w:val="0"/>
        <w:pageBreakBefore w:val="0"/>
        <w:widowControl w:val="0"/>
        <w:numPr>
          <w:ilvl w:val="0"/>
          <w:numId w:val="6"/>
        </w:numPr>
        <w:kinsoku/>
        <w:wordWrap/>
        <w:overflowPunct/>
        <w:topLinePunct w:val="0"/>
        <w:autoSpaceDE w:val="0"/>
        <w:autoSpaceDN w:val="0"/>
        <w:bidi w:val="0"/>
        <w:adjustRightInd w:val="0"/>
        <w:snapToGrid/>
        <w:spacing w:line="460" w:lineRule="exact"/>
        <w:ind w:left="0"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甲方将合同款</w:t>
      </w:r>
      <w:r>
        <w:rPr>
          <w:rFonts w:hint="eastAsia" w:ascii="宋体" w:hAnsi="宋体" w:eastAsia="宋体" w:cs="宋体"/>
          <w:color w:val="auto"/>
          <w:sz w:val="24"/>
          <w:szCs w:val="24"/>
          <w:highlight w:val="none"/>
          <w:lang w:val="en-US" w:eastAsia="zh-CN"/>
        </w:rPr>
        <w:t>按付款比例</w:t>
      </w:r>
      <w:r>
        <w:rPr>
          <w:rFonts w:hint="eastAsia" w:ascii="宋体" w:hAnsi="宋体" w:eastAsia="宋体" w:cs="宋体"/>
          <w:color w:val="auto"/>
          <w:sz w:val="24"/>
          <w:szCs w:val="24"/>
          <w:highlight w:val="none"/>
          <w:lang w:eastAsia="zh-CN"/>
        </w:rPr>
        <w:t>直接拨入乙方开户银行，</w:t>
      </w:r>
      <w:r>
        <w:rPr>
          <w:rFonts w:hint="eastAsia" w:ascii="宋体" w:hAnsi="宋体" w:eastAsia="宋体" w:cs="宋体"/>
          <w:color w:val="auto"/>
          <w:sz w:val="24"/>
          <w:szCs w:val="24"/>
          <w:highlight w:val="none"/>
          <w:lang w:val="en-US" w:eastAsia="zh-CN"/>
        </w:rPr>
        <w:t>以上付款金额均无息</w:t>
      </w:r>
      <w:r>
        <w:rPr>
          <w:rFonts w:hint="eastAsia" w:ascii="宋体" w:hAnsi="宋体" w:eastAsia="宋体" w:cs="宋体"/>
          <w:color w:val="auto"/>
          <w:sz w:val="24"/>
          <w:szCs w:val="24"/>
          <w:highlight w:val="none"/>
          <w:lang w:eastAsia="zh-CN"/>
        </w:rPr>
        <w:t>。乙方需提供的相关</w:t>
      </w:r>
      <w:r>
        <w:rPr>
          <w:rFonts w:hint="eastAsia" w:ascii="宋体" w:hAnsi="宋体" w:eastAsia="宋体" w:cs="宋体"/>
          <w:color w:val="auto"/>
          <w:sz w:val="24"/>
          <w:szCs w:val="24"/>
          <w:highlight w:val="none"/>
          <w:lang w:val="en-US" w:eastAsia="zh-CN"/>
        </w:rPr>
        <w:t>付款</w:t>
      </w:r>
      <w:r>
        <w:rPr>
          <w:rFonts w:hint="eastAsia" w:ascii="宋体" w:hAnsi="宋体" w:eastAsia="宋体" w:cs="宋体"/>
          <w:color w:val="auto"/>
          <w:sz w:val="24"/>
          <w:szCs w:val="24"/>
          <w:highlight w:val="none"/>
          <w:lang w:eastAsia="zh-CN"/>
        </w:rPr>
        <w:t>材料包括</w:t>
      </w:r>
      <w:r>
        <w:rPr>
          <w:rFonts w:hint="eastAsia" w:ascii="宋体" w:hAnsi="宋体" w:eastAsia="宋体" w:cs="宋体"/>
          <w:color w:val="auto"/>
          <w:sz w:val="24"/>
          <w:szCs w:val="24"/>
          <w:highlight w:val="none"/>
          <w:lang w:val="en-US" w:eastAsia="zh-CN"/>
        </w:rPr>
        <w:t>增值税专用</w:t>
      </w:r>
      <w:r>
        <w:rPr>
          <w:rFonts w:hint="eastAsia" w:ascii="宋体" w:hAnsi="宋体" w:eastAsia="宋体" w:cs="宋体"/>
          <w:color w:val="auto"/>
          <w:sz w:val="24"/>
          <w:szCs w:val="24"/>
          <w:highlight w:val="none"/>
        </w:rPr>
        <w:t>发票、</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合同</w:t>
      </w:r>
      <w:r>
        <w:rPr>
          <w:rFonts w:hint="eastAsia" w:ascii="宋体" w:hAnsi="宋体" w:eastAsia="宋体" w:cs="宋体"/>
          <w:color w:val="auto"/>
          <w:sz w:val="24"/>
          <w:szCs w:val="24"/>
          <w:highlight w:val="none"/>
          <w:lang w:val="en-US" w:eastAsia="zh-CN"/>
        </w:rPr>
        <w:t>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增值税发票税率依据国家最新政策标准执行，且合同总价不变。</w:t>
      </w:r>
      <w:r>
        <w:rPr>
          <w:rFonts w:hint="eastAsia" w:ascii="宋体" w:hAnsi="宋体" w:eastAsia="宋体" w:cs="宋体"/>
          <w:color w:val="auto"/>
          <w:sz w:val="24"/>
          <w:szCs w:val="24"/>
          <w:highlight w:val="none"/>
          <w:lang w:eastAsia="zh-CN"/>
        </w:rPr>
        <w:t>）</w:t>
      </w:r>
    </w:p>
    <w:p w14:paraId="1B5577D9">
      <w:pPr>
        <w:keepNext/>
        <w:keepLines/>
        <w:pageBreakBefore w:val="0"/>
        <w:widowControl w:val="0"/>
        <w:kinsoku/>
        <w:wordWrap/>
        <w:overflowPunct/>
        <w:topLinePunct w:val="0"/>
        <w:autoSpaceDE w:val="0"/>
        <w:autoSpaceDN w:val="0"/>
        <w:bidi w:val="0"/>
        <w:adjustRightInd w:val="0"/>
        <w:snapToGrid/>
        <w:spacing w:before="0" w:after="0" w:line="460" w:lineRule="exact"/>
        <w:ind w:firstLine="480" w:firstLineChars="200"/>
        <w:textAlignment w:val="auto"/>
        <w:outlineLvl w:val="9"/>
        <w:rPr>
          <w:rFonts w:hint="eastAsia" w:ascii="宋体" w:hAnsi="宋体" w:eastAsia="宋体" w:cs="宋体"/>
          <w:b w:val="0"/>
          <w:color w:val="auto"/>
          <w:kern w:val="0"/>
          <w:sz w:val="24"/>
          <w:szCs w:val="24"/>
          <w:highlight w:val="none"/>
          <w:lang w:val="en-US" w:eastAsia="zh-CN" w:bidi="ar-SA"/>
        </w:rPr>
      </w:pPr>
      <w:r>
        <w:rPr>
          <w:rFonts w:hint="eastAsia" w:ascii="宋体" w:hAnsi="宋体" w:eastAsia="宋体" w:cs="宋体"/>
          <w:b w:val="0"/>
          <w:color w:val="auto"/>
          <w:kern w:val="0"/>
          <w:sz w:val="24"/>
          <w:szCs w:val="24"/>
          <w:highlight w:val="none"/>
          <w:lang w:val="en-US" w:eastAsia="zh-CN" w:bidi="ar-SA"/>
        </w:rPr>
        <w:t>3、本合同执行中相关的一切税费均由乙方负担。</w:t>
      </w:r>
    </w:p>
    <w:p w14:paraId="2FCC030E">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lang w:val="en-US" w:eastAsia="zh-CN"/>
        </w:rPr>
        <w:t>账户</w:t>
      </w:r>
      <w:r>
        <w:rPr>
          <w:rFonts w:hint="eastAsia" w:ascii="宋体" w:hAnsi="宋体" w:eastAsia="宋体" w:cs="宋体"/>
          <w:color w:val="auto"/>
          <w:sz w:val="24"/>
          <w:szCs w:val="24"/>
          <w:highlight w:val="none"/>
          <w:lang w:eastAsia="zh-CN"/>
        </w:rPr>
        <w:t>信息：</w:t>
      </w:r>
    </w:p>
    <w:tbl>
      <w:tblPr>
        <w:tblStyle w:val="20"/>
        <w:tblW w:w="8519" w:type="dxa"/>
        <w:jc w:val="center"/>
        <w:tblLayout w:type="fixed"/>
        <w:tblCellMar>
          <w:top w:w="0" w:type="dxa"/>
          <w:left w:w="108" w:type="dxa"/>
          <w:bottom w:w="0" w:type="dxa"/>
          <w:right w:w="108" w:type="dxa"/>
        </w:tblCellMar>
      </w:tblPr>
      <w:tblGrid>
        <w:gridCol w:w="2222"/>
        <w:gridCol w:w="6297"/>
      </w:tblGrid>
      <w:tr w14:paraId="0A15CA2D">
        <w:tblPrEx>
          <w:tblCellMar>
            <w:top w:w="0" w:type="dxa"/>
            <w:left w:w="108" w:type="dxa"/>
            <w:bottom w:w="0" w:type="dxa"/>
            <w:right w:w="108" w:type="dxa"/>
          </w:tblCellMar>
        </w:tblPrEx>
        <w:trPr>
          <w:cantSplit/>
          <w:trHeight w:val="397" w:hRule="exact"/>
          <w:jc w:val="center"/>
        </w:trPr>
        <w:tc>
          <w:tcPr>
            <w:tcW w:w="2222" w:type="dxa"/>
            <w:tcBorders>
              <w:top w:val="single" w:color="auto" w:sz="6" w:space="0"/>
              <w:left w:val="single" w:color="auto" w:sz="6" w:space="0"/>
              <w:bottom w:val="single" w:color="auto" w:sz="6" w:space="0"/>
              <w:right w:val="single" w:color="auto" w:sz="6" w:space="0"/>
            </w:tcBorders>
            <w:noWrap w:val="0"/>
            <w:vAlign w:val="center"/>
          </w:tcPr>
          <w:p w14:paraId="092504C5">
            <w:pPr>
              <w:pStyle w:val="31"/>
              <w:adjustRightInd/>
              <w:spacing w:before="0" w:after="0" w:line="240" w:lineRule="auto"/>
              <w:ind w:firstLine="0" w:firstLine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单位名称</w:t>
            </w:r>
          </w:p>
        </w:tc>
        <w:tc>
          <w:tcPr>
            <w:tcW w:w="6297" w:type="dxa"/>
            <w:tcBorders>
              <w:top w:val="single" w:color="auto" w:sz="6" w:space="0"/>
              <w:left w:val="single" w:color="auto" w:sz="6" w:space="0"/>
              <w:bottom w:val="single" w:color="auto" w:sz="6" w:space="0"/>
              <w:right w:val="single" w:color="auto" w:sz="6" w:space="0"/>
            </w:tcBorders>
            <w:noWrap w:val="0"/>
            <w:vAlign w:val="center"/>
          </w:tcPr>
          <w:p w14:paraId="6FF535BE">
            <w:pPr>
              <w:pStyle w:val="31"/>
              <w:adjustRightInd/>
              <w:spacing w:before="0" w:after="0" w:line="240" w:lineRule="auto"/>
              <w:ind w:firstLine="0" w:firstLineChars="0"/>
              <w:jc w:val="left"/>
              <w:rPr>
                <w:rFonts w:hint="eastAsia" w:ascii="宋体" w:hAnsi="宋体" w:eastAsia="宋体" w:cs="宋体"/>
                <w:color w:val="auto"/>
                <w:sz w:val="21"/>
                <w:szCs w:val="21"/>
                <w:highlight w:val="none"/>
                <w:lang w:val="en-US" w:eastAsia="zh-CN"/>
              </w:rPr>
            </w:pPr>
          </w:p>
        </w:tc>
      </w:tr>
      <w:tr w14:paraId="707654C5">
        <w:tblPrEx>
          <w:tblCellMar>
            <w:top w:w="0" w:type="dxa"/>
            <w:left w:w="108" w:type="dxa"/>
            <w:bottom w:w="0" w:type="dxa"/>
            <w:right w:w="108" w:type="dxa"/>
          </w:tblCellMar>
        </w:tblPrEx>
        <w:trPr>
          <w:cantSplit/>
          <w:trHeight w:val="397" w:hRule="exact"/>
          <w:jc w:val="center"/>
        </w:trPr>
        <w:tc>
          <w:tcPr>
            <w:tcW w:w="2222" w:type="dxa"/>
            <w:tcBorders>
              <w:top w:val="single" w:color="auto" w:sz="6" w:space="0"/>
              <w:left w:val="single" w:color="auto" w:sz="6" w:space="0"/>
              <w:bottom w:val="single" w:color="auto" w:sz="6" w:space="0"/>
              <w:right w:val="single" w:color="auto" w:sz="6" w:space="0"/>
            </w:tcBorders>
            <w:noWrap w:val="0"/>
            <w:vAlign w:val="center"/>
          </w:tcPr>
          <w:p w14:paraId="7819976A">
            <w:pPr>
              <w:pStyle w:val="31"/>
              <w:adjustRightInd/>
              <w:spacing w:before="0" w:after="0" w:line="24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统一社会信用代码</w:t>
            </w:r>
          </w:p>
        </w:tc>
        <w:tc>
          <w:tcPr>
            <w:tcW w:w="6297" w:type="dxa"/>
            <w:tcBorders>
              <w:top w:val="single" w:color="auto" w:sz="6" w:space="0"/>
              <w:left w:val="single" w:color="auto" w:sz="6" w:space="0"/>
              <w:bottom w:val="single" w:color="auto" w:sz="6" w:space="0"/>
              <w:right w:val="single" w:color="auto" w:sz="6" w:space="0"/>
            </w:tcBorders>
            <w:noWrap w:val="0"/>
            <w:vAlign w:val="center"/>
          </w:tcPr>
          <w:p w14:paraId="74FFA43C">
            <w:pPr>
              <w:pStyle w:val="31"/>
              <w:adjustRightInd/>
              <w:spacing w:before="0" w:after="0" w:line="240" w:lineRule="auto"/>
              <w:ind w:firstLine="0" w:firstLineChars="0"/>
              <w:jc w:val="left"/>
              <w:rPr>
                <w:rFonts w:hint="eastAsia" w:ascii="宋体" w:hAnsi="宋体" w:eastAsia="宋体" w:cs="宋体"/>
                <w:color w:val="auto"/>
                <w:sz w:val="21"/>
                <w:szCs w:val="21"/>
                <w:highlight w:val="none"/>
                <w:lang w:val="en-US" w:eastAsia="zh-CN"/>
              </w:rPr>
            </w:pPr>
          </w:p>
        </w:tc>
      </w:tr>
      <w:tr w14:paraId="45027821">
        <w:tblPrEx>
          <w:tblCellMar>
            <w:top w:w="0" w:type="dxa"/>
            <w:left w:w="108" w:type="dxa"/>
            <w:bottom w:w="0" w:type="dxa"/>
            <w:right w:w="108" w:type="dxa"/>
          </w:tblCellMar>
        </w:tblPrEx>
        <w:trPr>
          <w:cantSplit/>
          <w:trHeight w:val="397" w:hRule="exact"/>
          <w:jc w:val="center"/>
        </w:trPr>
        <w:tc>
          <w:tcPr>
            <w:tcW w:w="2222" w:type="dxa"/>
            <w:tcBorders>
              <w:top w:val="single" w:color="auto" w:sz="6" w:space="0"/>
              <w:left w:val="single" w:color="auto" w:sz="6" w:space="0"/>
              <w:bottom w:val="single" w:color="auto" w:sz="6" w:space="0"/>
              <w:right w:val="single" w:color="auto" w:sz="6" w:space="0"/>
            </w:tcBorders>
            <w:noWrap w:val="0"/>
            <w:vAlign w:val="center"/>
          </w:tcPr>
          <w:p w14:paraId="26C17838">
            <w:pPr>
              <w:pStyle w:val="31"/>
              <w:adjustRightInd/>
              <w:spacing w:before="0" w:after="0" w:line="24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地址</w:t>
            </w:r>
          </w:p>
        </w:tc>
        <w:tc>
          <w:tcPr>
            <w:tcW w:w="6297" w:type="dxa"/>
            <w:tcBorders>
              <w:top w:val="single" w:color="auto" w:sz="6" w:space="0"/>
              <w:left w:val="single" w:color="auto" w:sz="6" w:space="0"/>
              <w:bottom w:val="single" w:color="auto" w:sz="6" w:space="0"/>
              <w:right w:val="single" w:color="auto" w:sz="6" w:space="0"/>
            </w:tcBorders>
            <w:noWrap w:val="0"/>
            <w:vAlign w:val="center"/>
          </w:tcPr>
          <w:p w14:paraId="4033F7C0">
            <w:pPr>
              <w:pStyle w:val="31"/>
              <w:adjustRightInd/>
              <w:spacing w:before="0" w:after="0" w:line="240" w:lineRule="auto"/>
              <w:ind w:firstLine="0" w:firstLineChars="0"/>
              <w:jc w:val="left"/>
              <w:rPr>
                <w:rFonts w:hint="eastAsia" w:ascii="宋体" w:hAnsi="宋体" w:eastAsia="宋体" w:cs="宋体"/>
                <w:color w:val="auto"/>
                <w:sz w:val="21"/>
                <w:szCs w:val="21"/>
                <w:highlight w:val="none"/>
                <w:lang w:val="en-US" w:eastAsia="zh-CN"/>
              </w:rPr>
            </w:pPr>
          </w:p>
        </w:tc>
      </w:tr>
      <w:tr w14:paraId="4D0C91FE">
        <w:tblPrEx>
          <w:tblCellMar>
            <w:top w:w="0" w:type="dxa"/>
            <w:left w:w="108" w:type="dxa"/>
            <w:bottom w:w="0" w:type="dxa"/>
            <w:right w:w="108" w:type="dxa"/>
          </w:tblCellMar>
        </w:tblPrEx>
        <w:trPr>
          <w:cantSplit/>
          <w:trHeight w:val="397" w:hRule="exact"/>
          <w:jc w:val="center"/>
        </w:trPr>
        <w:tc>
          <w:tcPr>
            <w:tcW w:w="2222" w:type="dxa"/>
            <w:tcBorders>
              <w:top w:val="single" w:color="auto" w:sz="6" w:space="0"/>
              <w:left w:val="single" w:color="auto" w:sz="6" w:space="0"/>
              <w:bottom w:val="single" w:color="auto" w:sz="6" w:space="0"/>
              <w:right w:val="single" w:color="auto" w:sz="6" w:space="0"/>
            </w:tcBorders>
            <w:noWrap w:val="0"/>
            <w:vAlign w:val="center"/>
          </w:tcPr>
          <w:p w14:paraId="42AE3E6B">
            <w:pPr>
              <w:pStyle w:val="31"/>
              <w:adjustRightInd/>
              <w:spacing w:before="0" w:after="0" w:line="24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开户银行</w:t>
            </w:r>
          </w:p>
        </w:tc>
        <w:tc>
          <w:tcPr>
            <w:tcW w:w="6297" w:type="dxa"/>
            <w:tcBorders>
              <w:top w:val="single" w:color="auto" w:sz="6" w:space="0"/>
              <w:left w:val="single" w:color="auto" w:sz="6" w:space="0"/>
              <w:bottom w:val="single" w:color="auto" w:sz="6" w:space="0"/>
              <w:right w:val="single" w:color="auto" w:sz="6" w:space="0"/>
            </w:tcBorders>
            <w:noWrap w:val="0"/>
            <w:vAlign w:val="center"/>
          </w:tcPr>
          <w:p w14:paraId="7860EE71">
            <w:pPr>
              <w:pStyle w:val="31"/>
              <w:adjustRightInd/>
              <w:spacing w:before="0" w:after="0" w:line="240" w:lineRule="auto"/>
              <w:ind w:firstLine="0" w:firstLineChars="0"/>
              <w:jc w:val="left"/>
              <w:rPr>
                <w:rFonts w:hint="eastAsia" w:ascii="宋体" w:hAnsi="宋体" w:eastAsia="宋体" w:cs="宋体"/>
                <w:color w:val="auto"/>
                <w:sz w:val="21"/>
                <w:szCs w:val="21"/>
                <w:highlight w:val="none"/>
                <w:lang w:val="en-US" w:eastAsia="zh-CN"/>
              </w:rPr>
            </w:pPr>
          </w:p>
        </w:tc>
      </w:tr>
      <w:tr w14:paraId="0BBCA2CB">
        <w:tblPrEx>
          <w:tblCellMar>
            <w:top w:w="0" w:type="dxa"/>
            <w:left w:w="108" w:type="dxa"/>
            <w:bottom w:w="0" w:type="dxa"/>
            <w:right w:w="108" w:type="dxa"/>
          </w:tblCellMar>
        </w:tblPrEx>
        <w:trPr>
          <w:cantSplit/>
          <w:trHeight w:val="397" w:hRule="exact"/>
          <w:jc w:val="center"/>
        </w:trPr>
        <w:tc>
          <w:tcPr>
            <w:tcW w:w="2222" w:type="dxa"/>
            <w:tcBorders>
              <w:top w:val="single" w:color="auto" w:sz="6" w:space="0"/>
              <w:left w:val="single" w:color="auto" w:sz="6" w:space="0"/>
              <w:bottom w:val="single" w:color="auto" w:sz="6" w:space="0"/>
              <w:right w:val="single" w:color="auto" w:sz="6" w:space="0"/>
            </w:tcBorders>
            <w:noWrap w:val="0"/>
            <w:vAlign w:val="center"/>
          </w:tcPr>
          <w:p w14:paraId="251B0647">
            <w:pPr>
              <w:pStyle w:val="31"/>
              <w:adjustRightInd/>
              <w:spacing w:before="0" w:after="0" w:line="24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银行账号</w:t>
            </w:r>
          </w:p>
        </w:tc>
        <w:tc>
          <w:tcPr>
            <w:tcW w:w="6297" w:type="dxa"/>
            <w:tcBorders>
              <w:top w:val="single" w:color="auto" w:sz="6" w:space="0"/>
              <w:left w:val="single" w:color="auto" w:sz="6" w:space="0"/>
              <w:bottom w:val="single" w:color="auto" w:sz="6" w:space="0"/>
              <w:right w:val="single" w:color="auto" w:sz="6" w:space="0"/>
            </w:tcBorders>
            <w:noWrap w:val="0"/>
            <w:vAlign w:val="center"/>
          </w:tcPr>
          <w:p w14:paraId="1D2B8762">
            <w:pPr>
              <w:pStyle w:val="31"/>
              <w:adjustRightInd/>
              <w:spacing w:before="0" w:after="0" w:line="240" w:lineRule="auto"/>
              <w:ind w:firstLine="0" w:firstLineChars="0"/>
              <w:jc w:val="left"/>
              <w:rPr>
                <w:rFonts w:hint="eastAsia" w:ascii="宋体" w:hAnsi="宋体" w:eastAsia="宋体" w:cs="宋体"/>
                <w:color w:val="auto"/>
                <w:sz w:val="21"/>
                <w:szCs w:val="21"/>
                <w:highlight w:val="none"/>
                <w:lang w:val="en-US" w:eastAsia="zh-CN"/>
              </w:rPr>
            </w:pPr>
          </w:p>
        </w:tc>
      </w:tr>
    </w:tbl>
    <w:p w14:paraId="3474AFBD">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乙方账户信息：</w:t>
      </w:r>
    </w:p>
    <w:tbl>
      <w:tblPr>
        <w:tblStyle w:val="20"/>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1"/>
        <w:gridCol w:w="6348"/>
      </w:tblGrid>
      <w:tr w14:paraId="78C4B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2171" w:type="dxa"/>
            <w:shd w:val="clear" w:color="auto" w:fill="auto"/>
            <w:noWrap w:val="0"/>
            <w:vAlign w:val="top"/>
          </w:tcPr>
          <w:p w14:paraId="63CFCCAB">
            <w:pPr>
              <w:pStyle w:val="31"/>
              <w:adjustRightInd/>
              <w:spacing w:before="0" w:after="0" w:line="24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单位名称</w:t>
            </w:r>
          </w:p>
        </w:tc>
        <w:tc>
          <w:tcPr>
            <w:tcW w:w="6348" w:type="dxa"/>
            <w:shd w:val="clear" w:color="auto" w:fill="auto"/>
            <w:noWrap w:val="0"/>
            <w:vAlign w:val="top"/>
          </w:tcPr>
          <w:p w14:paraId="2566D609">
            <w:pPr>
              <w:pStyle w:val="31"/>
              <w:adjustRightInd/>
              <w:spacing w:before="0" w:after="0" w:line="240" w:lineRule="auto"/>
              <w:ind w:firstLine="0" w:firstLineChars="0"/>
              <w:jc w:val="center"/>
              <w:rPr>
                <w:rFonts w:hint="eastAsia" w:ascii="宋体" w:hAnsi="宋体" w:eastAsia="宋体" w:cs="宋体"/>
                <w:color w:val="auto"/>
                <w:sz w:val="21"/>
                <w:szCs w:val="21"/>
                <w:highlight w:val="none"/>
                <w:lang w:val="en-US" w:eastAsia="zh-CN"/>
              </w:rPr>
            </w:pPr>
          </w:p>
        </w:tc>
      </w:tr>
      <w:tr w14:paraId="2747F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71" w:type="dxa"/>
            <w:shd w:val="clear" w:color="auto" w:fill="auto"/>
            <w:noWrap w:val="0"/>
            <w:vAlign w:val="center"/>
          </w:tcPr>
          <w:p w14:paraId="1F323902">
            <w:pPr>
              <w:pStyle w:val="31"/>
              <w:adjustRightInd/>
              <w:spacing w:before="0" w:after="0" w:line="24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统一社会信用代码</w:t>
            </w:r>
          </w:p>
        </w:tc>
        <w:tc>
          <w:tcPr>
            <w:tcW w:w="6348" w:type="dxa"/>
            <w:shd w:val="clear" w:color="auto" w:fill="auto"/>
            <w:noWrap w:val="0"/>
            <w:vAlign w:val="center"/>
          </w:tcPr>
          <w:p w14:paraId="65BC648F">
            <w:pPr>
              <w:pStyle w:val="31"/>
              <w:adjustRightInd/>
              <w:spacing w:before="0" w:after="0" w:line="240" w:lineRule="auto"/>
              <w:ind w:firstLine="0" w:firstLineChars="0"/>
              <w:jc w:val="center"/>
              <w:rPr>
                <w:rFonts w:hint="eastAsia" w:ascii="宋体" w:hAnsi="宋体" w:eastAsia="宋体" w:cs="宋体"/>
                <w:color w:val="auto"/>
                <w:sz w:val="21"/>
                <w:szCs w:val="21"/>
                <w:highlight w:val="none"/>
                <w:lang w:val="en-US" w:eastAsia="zh-CN"/>
              </w:rPr>
            </w:pPr>
          </w:p>
        </w:tc>
      </w:tr>
      <w:tr w14:paraId="26120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71" w:type="dxa"/>
            <w:shd w:val="clear" w:color="auto" w:fill="auto"/>
            <w:noWrap w:val="0"/>
            <w:vAlign w:val="center"/>
          </w:tcPr>
          <w:p w14:paraId="05B05D64">
            <w:pPr>
              <w:pStyle w:val="31"/>
              <w:adjustRightInd/>
              <w:spacing w:before="0" w:after="0" w:line="24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地址</w:t>
            </w:r>
          </w:p>
        </w:tc>
        <w:tc>
          <w:tcPr>
            <w:tcW w:w="6348" w:type="dxa"/>
            <w:shd w:val="clear" w:color="auto" w:fill="auto"/>
            <w:noWrap w:val="0"/>
            <w:vAlign w:val="center"/>
          </w:tcPr>
          <w:p w14:paraId="6057F594">
            <w:pPr>
              <w:pStyle w:val="31"/>
              <w:adjustRightInd/>
              <w:spacing w:before="0" w:after="0" w:line="240" w:lineRule="auto"/>
              <w:ind w:firstLine="0" w:firstLineChars="0"/>
              <w:jc w:val="center"/>
              <w:rPr>
                <w:rFonts w:hint="eastAsia" w:ascii="宋体" w:hAnsi="宋体" w:eastAsia="宋体" w:cs="宋体"/>
                <w:color w:val="auto"/>
                <w:sz w:val="21"/>
                <w:szCs w:val="21"/>
                <w:highlight w:val="none"/>
                <w:lang w:val="en-US" w:eastAsia="zh-CN"/>
              </w:rPr>
            </w:pPr>
          </w:p>
        </w:tc>
      </w:tr>
      <w:tr w14:paraId="620CB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71" w:type="dxa"/>
            <w:shd w:val="clear" w:color="auto" w:fill="auto"/>
            <w:noWrap w:val="0"/>
            <w:vAlign w:val="center"/>
          </w:tcPr>
          <w:p w14:paraId="49263D39">
            <w:pPr>
              <w:pStyle w:val="31"/>
              <w:adjustRightInd/>
              <w:spacing w:before="0" w:after="0" w:line="24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开户银行</w:t>
            </w:r>
          </w:p>
        </w:tc>
        <w:tc>
          <w:tcPr>
            <w:tcW w:w="6348" w:type="dxa"/>
            <w:shd w:val="clear" w:color="auto" w:fill="auto"/>
            <w:noWrap w:val="0"/>
            <w:vAlign w:val="top"/>
          </w:tcPr>
          <w:p w14:paraId="0C532BAC">
            <w:pPr>
              <w:pStyle w:val="31"/>
              <w:adjustRightInd/>
              <w:spacing w:before="0" w:after="0" w:line="240" w:lineRule="auto"/>
              <w:ind w:firstLine="0" w:firstLineChars="0"/>
              <w:jc w:val="center"/>
              <w:rPr>
                <w:rFonts w:hint="eastAsia" w:ascii="宋体" w:hAnsi="宋体" w:eastAsia="宋体" w:cs="宋体"/>
                <w:color w:val="auto"/>
                <w:sz w:val="21"/>
                <w:szCs w:val="21"/>
                <w:highlight w:val="none"/>
                <w:lang w:val="en-US" w:eastAsia="zh-CN"/>
              </w:rPr>
            </w:pPr>
          </w:p>
        </w:tc>
      </w:tr>
      <w:tr w14:paraId="57EC3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71" w:type="dxa"/>
            <w:shd w:val="clear" w:color="auto" w:fill="auto"/>
            <w:noWrap w:val="0"/>
            <w:vAlign w:val="center"/>
          </w:tcPr>
          <w:p w14:paraId="0BC818B3">
            <w:pPr>
              <w:pStyle w:val="31"/>
              <w:adjustRightInd/>
              <w:spacing w:before="0" w:after="0" w:line="24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银行账号</w:t>
            </w:r>
          </w:p>
        </w:tc>
        <w:tc>
          <w:tcPr>
            <w:tcW w:w="6348" w:type="dxa"/>
            <w:shd w:val="clear" w:color="auto" w:fill="auto"/>
            <w:noWrap w:val="0"/>
            <w:vAlign w:val="top"/>
          </w:tcPr>
          <w:p w14:paraId="13D31B25">
            <w:pPr>
              <w:pStyle w:val="31"/>
              <w:adjustRightInd/>
              <w:spacing w:before="0" w:after="0" w:line="240" w:lineRule="auto"/>
              <w:ind w:firstLine="0" w:firstLineChars="0"/>
              <w:jc w:val="center"/>
              <w:rPr>
                <w:rFonts w:hint="eastAsia" w:ascii="宋体" w:hAnsi="宋体" w:eastAsia="宋体" w:cs="宋体"/>
                <w:color w:val="auto"/>
                <w:sz w:val="21"/>
                <w:szCs w:val="21"/>
                <w:highlight w:val="none"/>
                <w:lang w:val="en-US" w:eastAsia="zh-CN"/>
              </w:rPr>
            </w:pPr>
          </w:p>
        </w:tc>
      </w:tr>
    </w:tbl>
    <w:p w14:paraId="08C7DC15">
      <w:pPr>
        <w:keepNext w:val="0"/>
        <w:keepLines w:val="0"/>
        <w:pageBreakBefore w:val="0"/>
        <w:widowControl w:val="0"/>
        <w:kinsoku/>
        <w:wordWrap/>
        <w:overflowPunct/>
        <w:topLinePunct w:val="0"/>
        <w:autoSpaceDE w:val="0"/>
        <w:autoSpaceDN w:val="0"/>
        <w:bidi w:val="0"/>
        <w:adjustRightInd w:val="0"/>
        <w:snapToGrid/>
        <w:spacing w:line="460" w:lineRule="exact"/>
        <w:ind w:firstLine="482" w:firstLineChars="200"/>
        <w:textAlignment w:val="auto"/>
        <w:outlineLvl w:val="1"/>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第十条 售后服务要求</w:t>
      </w:r>
    </w:p>
    <w:p w14:paraId="7C9CA5E5">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1、项目免费质保期：</w:t>
      </w:r>
      <w:r>
        <w:rPr>
          <w:rFonts w:hint="eastAsia" w:ascii="宋体" w:hAnsi="宋体" w:eastAsia="宋体" w:cs="宋体"/>
          <w:color w:val="auto"/>
          <w:kern w:val="2"/>
          <w:sz w:val="24"/>
          <w:szCs w:val="24"/>
          <w:highlight w:val="none"/>
          <w:lang w:val="en-US" w:eastAsia="zh-CN" w:bidi="ar-SA"/>
        </w:rPr>
        <w:t>自项目验收合格之日起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年。免费质保期到期后的维护费用由双方协商确定，但不得超过项目合同金额的</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w:t>
      </w:r>
    </w:p>
    <w:p w14:paraId="3B4C0A80">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outlineLvl w:val="9"/>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2、售后服务内容</w:t>
      </w:r>
    </w:p>
    <w:p w14:paraId="452ECB7B">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outlineLvl w:val="9"/>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乙方应配备专门的技术服务部门负责对用户的全方位的技术支持和服务，通过电话服务、远程服务和现场服务向甲方和使用单位（如有）提供快速、高效的维护服务，及时准确解决系统出现的各种故障，进行平台的完善性升级，保障系统长期安全、可靠、高效运行。维保服务内容包括但不仅限于：</w:t>
      </w:r>
    </w:p>
    <w:p w14:paraId="0FF130BC">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outlineLvl w:val="9"/>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（1）日常使用技术支持</w:t>
      </w:r>
    </w:p>
    <w:p w14:paraId="58C6BA5D">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outlineLvl w:val="9"/>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对系统使用单位在日常使用系统过程中出现的操作困难，乙方需提供必要的讲解、指导或现场帮助，保证用户在最短的时间内解决操作问题。</w:t>
      </w:r>
    </w:p>
    <w:p w14:paraId="11376FD2">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outlineLvl w:val="9"/>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（2）系统日常维护</w:t>
      </w:r>
    </w:p>
    <w:p w14:paraId="1BB205DC">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outlineLvl w:val="9"/>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每日监控系统运行情况，若发现异常情况及时处理。</w:t>
      </w:r>
    </w:p>
    <w:p w14:paraId="65F903C7">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outlineLvl w:val="9"/>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定期收集记录用户在使用系统过程中发现的BUG，并根据问题的严重程度及用户要求的紧急程度，给予及时的解决。</w:t>
      </w:r>
    </w:p>
    <w:p w14:paraId="28498557">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outlineLvl w:val="9"/>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定期查看整理系统运行日志，发现并解决问题。</w:t>
      </w:r>
    </w:p>
    <w:p w14:paraId="42116F54">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outlineLvl w:val="9"/>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定期组织对系统运行情况的检查与审核，通过现场核查、调取相关的运维工作记录、审查运维报告等方式，对各系统的日常工作情况进行全面的检查与审核，以发现、分析系统整体的运行问题。对于发现的问题，经双方协商调用必要的服务支持资源及时予以解决。</w:t>
      </w:r>
    </w:p>
    <w:p w14:paraId="142D385C">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outlineLvl w:val="9"/>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（3）系统调优升级</w:t>
      </w:r>
    </w:p>
    <w:p w14:paraId="5F03DAAD">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outlineLvl w:val="9"/>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定期测试系统的性能指标，并采取措施对系统的性能进行优化。供应商若对系统对应的产品进行了升级，在经过用户同意的情况下，给用户升级。</w:t>
      </w:r>
    </w:p>
    <w:p w14:paraId="616814B9">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outlineLvl w:val="9"/>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（4）系统完善修改</w:t>
      </w:r>
    </w:p>
    <w:p w14:paraId="16CDD5FD">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outlineLvl w:val="9"/>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对于用户在系统运营过程中提出的修改需求，如不涉及核心架构修改、全新功能模块增加以及大工作量的研发投入，都应在本项目内予以免费解决。</w:t>
      </w:r>
    </w:p>
    <w:p w14:paraId="4A95D81F">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outlineLvl w:val="9"/>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3、响应时间</w:t>
      </w:r>
    </w:p>
    <w:p w14:paraId="6494F0C6">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outlineLvl w:val="9"/>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乙方免费提供7×24小时技术支持服务，应在接到甲方或系统使用单位故障通知30分钟内响应，紧急问题1小时内到达现场，24小时解决问题，特殊情况不超过48小时；故障发生后48小时内不能解决的，免费完成项目应急预案落地，并承担由此引起的所有直接损失。</w:t>
      </w:r>
    </w:p>
    <w:p w14:paraId="37E2C273">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outlineLvl w:val="9"/>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4、定期巡检</w:t>
      </w:r>
    </w:p>
    <w:p w14:paraId="7B01FCB5">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outlineLvl w:val="9"/>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乙方应在质保期内提供一年不少于</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lang w:val="en-US" w:eastAsia="zh-CN"/>
        </w:rPr>
        <w:t>次巡检，安排技术人员针对本项目开展系统巡检服务，并向甲方提交巡检报告，及时发现各种隐患问题，并进行相应整改解决。</w:t>
      </w:r>
    </w:p>
    <w:p w14:paraId="0589E9D5">
      <w:pPr>
        <w:keepNext w:val="0"/>
        <w:keepLines w:val="0"/>
        <w:pageBreakBefore w:val="0"/>
        <w:widowControl w:val="0"/>
        <w:numPr>
          <w:ilvl w:val="0"/>
          <w:numId w:val="0"/>
        </w:numPr>
        <w:kinsoku/>
        <w:wordWrap/>
        <w:overflowPunct/>
        <w:topLinePunct w:val="0"/>
        <w:autoSpaceDE w:val="0"/>
        <w:autoSpaceDN w:val="0"/>
        <w:bidi w:val="0"/>
        <w:adjustRightInd w:val="0"/>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bidi="ar-SA"/>
        </w:rPr>
        <w:t>5、</w:t>
      </w:r>
      <w:r>
        <w:rPr>
          <w:rFonts w:hint="eastAsia" w:ascii="宋体" w:hAnsi="宋体" w:eastAsia="宋体" w:cs="宋体"/>
          <w:color w:val="auto"/>
          <w:sz w:val="24"/>
          <w:szCs w:val="24"/>
          <w:highlight w:val="none"/>
          <w:lang w:val="en-US" w:eastAsia="zh-CN"/>
        </w:rPr>
        <w:t>驻场服务</w:t>
      </w:r>
    </w:p>
    <w:p w14:paraId="2CDD01B2">
      <w:pPr>
        <w:keepNext w:val="0"/>
        <w:keepLines w:val="0"/>
        <w:pageBreakBefore w:val="0"/>
        <w:widowControl w:val="0"/>
        <w:numPr>
          <w:ilvl w:val="-1"/>
          <w:numId w:val="0"/>
        </w:numPr>
        <w:kinsoku/>
        <w:wordWrap/>
        <w:overflowPunct/>
        <w:topLinePunct w:val="0"/>
        <w:autoSpaceDE w:val="0"/>
        <w:autoSpaceDN w:val="0"/>
        <w:bidi w:val="0"/>
        <w:adjustRightInd w:val="0"/>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质保期内，乙方派至少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名运行维护人员在甲方或甲方指定地点提供驻场维护服务，由甲方和使用单位负责考核。</w:t>
      </w:r>
    </w:p>
    <w:p w14:paraId="05E7A78E">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outlineLvl w:val="9"/>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6、如甲方有需求，乙方须无偿提供开发相关端口的资料和相关协议，配合后续相关软件厂商做对接，此项服务不以本合同的终止而结束。</w:t>
      </w:r>
    </w:p>
    <w:p w14:paraId="24F4ECC9">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rPr>
        <w:t>其他售后服务条款参照</w:t>
      </w:r>
      <w:r>
        <w:rPr>
          <w:rFonts w:hint="eastAsia" w:ascii="宋体" w:hAnsi="宋体" w:eastAsia="宋体" w:cs="宋体"/>
          <w:bCs/>
          <w:color w:val="auto"/>
          <w:sz w:val="24"/>
          <w:szCs w:val="24"/>
          <w:highlight w:val="none"/>
          <w:lang w:val="en-US" w:eastAsia="zh-CN"/>
        </w:rPr>
        <w:t>招标</w:t>
      </w:r>
      <w:r>
        <w:rPr>
          <w:rFonts w:hint="eastAsia" w:ascii="宋体" w:hAnsi="宋体" w:eastAsia="宋体" w:cs="宋体"/>
          <w:bCs/>
          <w:color w:val="auto"/>
          <w:sz w:val="24"/>
          <w:szCs w:val="24"/>
          <w:highlight w:val="none"/>
          <w:lang w:eastAsia="zh-CN"/>
        </w:rPr>
        <w:t>文件</w:t>
      </w:r>
      <w:r>
        <w:rPr>
          <w:rFonts w:hint="eastAsia" w:ascii="宋体" w:hAnsi="宋体" w:eastAsia="宋体" w:cs="宋体"/>
          <w:bCs/>
          <w:color w:val="auto"/>
          <w:sz w:val="24"/>
          <w:szCs w:val="24"/>
          <w:highlight w:val="none"/>
        </w:rPr>
        <w:t>及乙方</w:t>
      </w:r>
      <w:r>
        <w:rPr>
          <w:rFonts w:hint="eastAsia" w:ascii="宋体" w:hAnsi="宋体" w:eastAsia="宋体" w:cs="宋体"/>
          <w:bCs/>
          <w:color w:val="auto"/>
          <w:sz w:val="24"/>
          <w:szCs w:val="24"/>
          <w:highlight w:val="none"/>
          <w:lang w:val="en-US" w:eastAsia="zh-CN"/>
        </w:rPr>
        <w:t>投标</w:t>
      </w:r>
      <w:r>
        <w:rPr>
          <w:rFonts w:hint="eastAsia" w:ascii="宋体" w:hAnsi="宋体" w:eastAsia="宋体" w:cs="宋体"/>
          <w:bCs/>
          <w:color w:val="auto"/>
          <w:sz w:val="24"/>
          <w:szCs w:val="24"/>
          <w:highlight w:val="none"/>
          <w:lang w:eastAsia="zh-CN"/>
        </w:rPr>
        <w:t>文件</w:t>
      </w:r>
      <w:r>
        <w:rPr>
          <w:rFonts w:hint="eastAsia" w:ascii="宋体" w:hAnsi="宋体" w:eastAsia="宋体" w:cs="宋体"/>
          <w:bCs/>
          <w:color w:val="auto"/>
          <w:sz w:val="24"/>
          <w:szCs w:val="24"/>
          <w:highlight w:val="none"/>
        </w:rPr>
        <w:t>中的售后服务承诺执行。</w:t>
      </w:r>
    </w:p>
    <w:p w14:paraId="314B1B64">
      <w:pPr>
        <w:keepNext w:val="0"/>
        <w:keepLines w:val="0"/>
        <w:pageBreakBefore w:val="0"/>
        <w:widowControl w:val="0"/>
        <w:kinsoku/>
        <w:wordWrap/>
        <w:overflowPunct/>
        <w:topLinePunct w:val="0"/>
        <w:autoSpaceDE w:val="0"/>
        <w:autoSpaceDN w:val="0"/>
        <w:bidi w:val="0"/>
        <w:adjustRightInd w:val="0"/>
        <w:snapToGrid/>
        <w:spacing w:line="460" w:lineRule="exact"/>
        <w:ind w:firstLine="482" w:firstLineChars="200"/>
        <w:textAlignment w:val="auto"/>
        <w:outlineLvl w:val="1"/>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第十一条 知识产权和质量要求</w:t>
      </w:r>
    </w:p>
    <w:p w14:paraId="03AA08E5">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本项目开发的建设成果（含核心源代码）版权归甲方所有，未经甲方同意，乙方不得自行扩散或提供给第三方使用(但开发前乙方自有的原型系统、技术模块、数据模型、开发工具软件包等知识产权仍属于乙方，甲方可以在本项目范围内使用)。</w:t>
      </w:r>
    </w:p>
    <w:p w14:paraId="398D88D6">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eastAsia="zh-CN"/>
        </w:rPr>
        <w:t>须保证</w:t>
      </w:r>
      <w:r>
        <w:rPr>
          <w:rFonts w:hint="eastAsia" w:ascii="宋体" w:hAnsi="宋体" w:eastAsia="宋体" w:cs="宋体"/>
          <w:color w:val="auto"/>
          <w:sz w:val="24"/>
          <w:szCs w:val="24"/>
          <w:highlight w:val="none"/>
        </w:rPr>
        <w:t>交付甲方的</w:t>
      </w:r>
      <w:r>
        <w:rPr>
          <w:rFonts w:hint="eastAsia" w:ascii="宋体" w:hAnsi="宋体" w:eastAsia="宋体" w:cs="宋体"/>
          <w:color w:val="auto"/>
          <w:sz w:val="24"/>
          <w:szCs w:val="24"/>
          <w:highlight w:val="none"/>
          <w:lang w:val="en-US" w:eastAsia="zh-CN"/>
        </w:rPr>
        <w:t>软件产品</w:t>
      </w:r>
      <w:r>
        <w:rPr>
          <w:rFonts w:hint="eastAsia" w:ascii="宋体" w:hAnsi="宋体" w:eastAsia="宋体" w:cs="宋体"/>
          <w:color w:val="auto"/>
          <w:sz w:val="24"/>
          <w:szCs w:val="24"/>
          <w:highlight w:val="none"/>
        </w:rPr>
        <w:t>无任何抵押、查封、债务转移等产权瑕疵</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lang w:eastAsia="zh-CN"/>
        </w:rPr>
        <w:t>须保证所提供</w:t>
      </w:r>
      <w:r>
        <w:rPr>
          <w:rFonts w:hint="eastAsia" w:ascii="宋体" w:hAnsi="宋体" w:eastAsia="宋体" w:cs="宋体"/>
          <w:color w:val="auto"/>
          <w:sz w:val="24"/>
          <w:szCs w:val="24"/>
          <w:highlight w:val="none"/>
          <w:lang w:val="en-US" w:eastAsia="zh-CN"/>
        </w:rPr>
        <w:t>软件</w:t>
      </w:r>
      <w:r>
        <w:rPr>
          <w:rFonts w:hint="eastAsia" w:ascii="宋体" w:hAnsi="宋体" w:eastAsia="宋体" w:cs="宋体"/>
          <w:color w:val="auto"/>
          <w:sz w:val="24"/>
          <w:szCs w:val="24"/>
          <w:highlight w:val="none"/>
          <w:lang w:eastAsia="zh-CN"/>
        </w:rPr>
        <w:t>产品在本项目范围内使用过程中出现</w:t>
      </w:r>
      <w:r>
        <w:rPr>
          <w:rFonts w:hint="eastAsia" w:ascii="宋体" w:hAnsi="宋体" w:eastAsia="宋体" w:cs="宋体"/>
          <w:color w:val="auto"/>
          <w:sz w:val="24"/>
          <w:szCs w:val="24"/>
          <w:highlight w:val="none"/>
          <w:lang w:val="en-US" w:eastAsia="zh-CN"/>
        </w:rPr>
        <w:t>知识产权</w:t>
      </w:r>
      <w:r>
        <w:rPr>
          <w:rFonts w:hint="eastAsia" w:ascii="宋体" w:hAnsi="宋体" w:eastAsia="宋体" w:cs="宋体"/>
          <w:color w:val="auto"/>
          <w:sz w:val="24"/>
          <w:szCs w:val="24"/>
          <w:highlight w:val="none"/>
          <w:lang w:eastAsia="zh-CN"/>
        </w:rPr>
        <w:t>或使用权纠纷，应由</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lang w:eastAsia="zh-CN"/>
        </w:rPr>
        <w:t>负责，</w:t>
      </w:r>
      <w:r>
        <w:rPr>
          <w:rFonts w:hint="eastAsia" w:ascii="宋体" w:hAnsi="宋体" w:eastAsia="宋体" w:cs="宋体"/>
          <w:color w:val="auto"/>
          <w:sz w:val="24"/>
          <w:szCs w:val="24"/>
          <w:highlight w:val="none"/>
          <w:lang w:val="en-US" w:eastAsia="zh-CN"/>
        </w:rPr>
        <w:t>若因该纠纷产生的一切损失均由乙方承担，甲方</w:t>
      </w:r>
      <w:r>
        <w:rPr>
          <w:rFonts w:hint="eastAsia" w:ascii="宋体" w:hAnsi="宋体" w:eastAsia="宋体" w:cs="宋体"/>
          <w:color w:val="auto"/>
          <w:sz w:val="24"/>
          <w:szCs w:val="24"/>
          <w:highlight w:val="none"/>
          <w:lang w:eastAsia="zh-CN"/>
        </w:rPr>
        <w:t>不承担任何责任。</w:t>
      </w:r>
    </w:p>
    <w:p w14:paraId="08801720">
      <w:pPr>
        <w:keepNext w:val="0"/>
        <w:keepLines w:val="0"/>
        <w:pageBreakBefore w:val="0"/>
        <w:widowControl w:val="0"/>
        <w:kinsoku/>
        <w:wordWrap/>
        <w:overflowPunct/>
        <w:topLinePunct w:val="0"/>
        <w:autoSpaceDE/>
        <w:autoSpaceDN/>
        <w:bidi w:val="0"/>
        <w:adjustRightInd/>
        <w:snapToGrid/>
        <w:spacing w:before="0" w:after="0" w:line="460" w:lineRule="exact"/>
        <w:ind w:firstLine="480" w:firstLineChars="200"/>
        <w:textAlignment w:val="auto"/>
        <w:outlineLvl w:val="9"/>
        <w:rPr>
          <w:rFonts w:hint="eastAsia" w:ascii="宋体" w:hAnsi="宋体" w:eastAsia="宋体" w:cs="宋体"/>
          <w:b w:val="0"/>
          <w:color w:val="auto"/>
          <w:kern w:val="0"/>
          <w:sz w:val="24"/>
          <w:szCs w:val="24"/>
          <w:highlight w:val="none"/>
          <w:lang w:val="en-US" w:eastAsia="zh-CN" w:bidi="ar-SA"/>
        </w:rPr>
      </w:pPr>
      <w:r>
        <w:rPr>
          <w:rFonts w:hint="eastAsia" w:ascii="宋体" w:hAnsi="宋体" w:eastAsia="宋体" w:cs="宋体"/>
          <w:b w:val="0"/>
          <w:color w:val="auto"/>
          <w:kern w:val="0"/>
          <w:sz w:val="24"/>
          <w:szCs w:val="24"/>
          <w:highlight w:val="none"/>
          <w:lang w:val="en-US" w:eastAsia="zh-CN" w:bidi="ar-SA"/>
        </w:rPr>
        <w:t>3、项目验收时，乙方应提供完整的软件平台包和数据给甲方，并按照软件技术规范的国家标准，提交项目文档，项目中涉及的定制开发功能，乙方应在验收时提交项目实施过程的软件包和数据（数据中台部分需要提供源代码），作为验收主要要素，以备后续维护与后续开发所用，并为甲方做好软件著作权申请（所有申请的知识产权归甲方所有）等软件相关配合工作。</w:t>
      </w:r>
    </w:p>
    <w:p w14:paraId="48F53368">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4、乙方</w:t>
      </w:r>
      <w:r>
        <w:rPr>
          <w:rFonts w:hint="eastAsia" w:ascii="宋体" w:hAnsi="宋体" w:eastAsia="宋体" w:cs="宋体"/>
          <w:color w:val="auto"/>
          <w:sz w:val="24"/>
          <w:szCs w:val="24"/>
          <w:highlight w:val="none"/>
          <w:lang w:eastAsia="zh-CN"/>
        </w:rPr>
        <w:t>须保证所提供产品符合国家有关规定，应确保其</w:t>
      </w:r>
      <w:r>
        <w:rPr>
          <w:rFonts w:hint="eastAsia" w:ascii="宋体" w:hAnsi="宋体" w:eastAsia="宋体" w:cs="宋体"/>
          <w:color w:val="auto"/>
          <w:sz w:val="24"/>
          <w:szCs w:val="24"/>
          <w:highlight w:val="none"/>
          <w:lang w:val="en-US" w:eastAsia="zh-CN"/>
        </w:rPr>
        <w:t>产品</w:t>
      </w:r>
      <w:r>
        <w:rPr>
          <w:rFonts w:hint="eastAsia" w:ascii="宋体" w:hAnsi="宋体" w:eastAsia="宋体" w:cs="宋体"/>
          <w:color w:val="auto"/>
          <w:sz w:val="24"/>
          <w:szCs w:val="24"/>
          <w:highlight w:val="none"/>
          <w:lang w:eastAsia="zh-CN"/>
        </w:rPr>
        <w:t>的完整性、实用</w:t>
      </w:r>
      <w:r>
        <w:rPr>
          <w:rFonts w:hint="eastAsia" w:ascii="宋体" w:hAnsi="宋体" w:eastAsia="宋体" w:cs="宋体"/>
          <w:color w:val="auto"/>
          <w:sz w:val="24"/>
          <w:szCs w:val="24"/>
          <w:highlight w:val="none"/>
          <w:lang w:val="en-US" w:eastAsia="zh-CN"/>
        </w:rPr>
        <w:t>性</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在使用期内各项功能、性能等指标能满足招标文件和甲方需求，</w:t>
      </w:r>
      <w:r>
        <w:rPr>
          <w:rFonts w:hint="eastAsia" w:ascii="宋体" w:hAnsi="宋体" w:eastAsia="宋体" w:cs="宋体"/>
          <w:color w:val="auto"/>
          <w:sz w:val="24"/>
          <w:szCs w:val="24"/>
          <w:highlight w:val="none"/>
          <w:lang w:eastAsia="zh-CN"/>
        </w:rPr>
        <w:t>若出现因</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lang w:eastAsia="zh-CN"/>
        </w:rPr>
        <w:t>提供的</w:t>
      </w:r>
      <w:r>
        <w:rPr>
          <w:rFonts w:hint="eastAsia" w:ascii="宋体" w:hAnsi="宋体" w:eastAsia="宋体" w:cs="宋体"/>
          <w:color w:val="auto"/>
          <w:sz w:val="24"/>
          <w:szCs w:val="24"/>
          <w:highlight w:val="none"/>
          <w:lang w:val="en-US" w:eastAsia="zh-CN"/>
        </w:rPr>
        <w:t>产品</w:t>
      </w:r>
      <w:r>
        <w:rPr>
          <w:rFonts w:hint="eastAsia" w:ascii="宋体" w:hAnsi="宋体" w:eastAsia="宋体" w:cs="宋体"/>
          <w:color w:val="auto"/>
          <w:sz w:val="24"/>
          <w:szCs w:val="24"/>
          <w:highlight w:val="none"/>
          <w:lang w:eastAsia="zh-CN"/>
        </w:rPr>
        <w:t>不满足要求、不合理，或者其所提供的技术支持和服务不全面，而导致系统无法实现或不能完全实现的状况，</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lang w:eastAsia="zh-CN"/>
        </w:rPr>
        <w:t>负全部责任。</w:t>
      </w:r>
    </w:p>
    <w:p w14:paraId="79FAA692">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5、若在</w:t>
      </w:r>
      <w:r>
        <w:rPr>
          <w:rFonts w:hint="eastAsia" w:ascii="宋体" w:hAnsi="宋体" w:eastAsia="宋体" w:cs="宋体"/>
          <w:color w:val="auto"/>
          <w:sz w:val="24"/>
          <w:szCs w:val="24"/>
          <w:highlight w:val="none"/>
        </w:rPr>
        <w:t>项目实施过程中</w:t>
      </w:r>
      <w:r>
        <w:rPr>
          <w:rFonts w:hint="eastAsia" w:ascii="宋体" w:hAnsi="宋体" w:eastAsia="宋体" w:cs="宋体"/>
          <w:color w:val="auto"/>
          <w:sz w:val="24"/>
          <w:szCs w:val="24"/>
          <w:highlight w:val="none"/>
          <w:lang w:val="en-US" w:eastAsia="zh-CN"/>
        </w:rPr>
        <w:t>发现招标文件中遗漏或</w:t>
      </w:r>
      <w:r>
        <w:rPr>
          <w:rFonts w:hint="eastAsia" w:ascii="宋体" w:hAnsi="宋体" w:eastAsia="宋体" w:cs="宋体"/>
          <w:color w:val="auto"/>
          <w:sz w:val="24"/>
          <w:szCs w:val="24"/>
          <w:highlight w:val="none"/>
        </w:rPr>
        <w:t>缺少</w:t>
      </w:r>
      <w:r>
        <w:rPr>
          <w:rFonts w:hint="eastAsia" w:ascii="宋体" w:hAnsi="宋体" w:eastAsia="宋体" w:cs="宋体"/>
          <w:color w:val="auto"/>
          <w:sz w:val="24"/>
          <w:szCs w:val="24"/>
          <w:highlight w:val="none"/>
          <w:lang w:val="en-US" w:eastAsia="zh-CN"/>
        </w:rPr>
        <w:t>系统正常运行必要的软件模块、接口</w:t>
      </w:r>
      <w:r>
        <w:rPr>
          <w:rFonts w:hint="eastAsia" w:ascii="宋体" w:hAnsi="宋体" w:eastAsia="宋体" w:cs="宋体"/>
          <w:color w:val="auto"/>
          <w:sz w:val="24"/>
          <w:szCs w:val="24"/>
          <w:highlight w:val="none"/>
        </w:rPr>
        <w:t>或服务</w:t>
      </w:r>
      <w:r>
        <w:rPr>
          <w:rFonts w:hint="eastAsia" w:ascii="宋体" w:hAnsi="宋体" w:eastAsia="宋体" w:cs="宋体"/>
          <w:color w:val="auto"/>
          <w:sz w:val="24"/>
          <w:szCs w:val="24"/>
          <w:highlight w:val="none"/>
          <w:lang w:val="en-US" w:eastAsia="zh-CN"/>
        </w:rPr>
        <w:t>而</w:t>
      </w:r>
      <w:r>
        <w:rPr>
          <w:rFonts w:hint="eastAsia" w:ascii="宋体" w:hAnsi="宋体" w:eastAsia="宋体" w:cs="宋体"/>
          <w:color w:val="auto"/>
          <w:sz w:val="24"/>
          <w:szCs w:val="24"/>
          <w:highlight w:val="none"/>
        </w:rPr>
        <w:t>导致甲方系统无法正常运行</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，乙方须承诺免费提供。</w:t>
      </w:r>
    </w:p>
    <w:p w14:paraId="64B9A914">
      <w:pPr>
        <w:keepNext w:val="0"/>
        <w:keepLines w:val="0"/>
        <w:pageBreakBefore w:val="0"/>
        <w:widowControl w:val="0"/>
        <w:kinsoku/>
        <w:wordWrap/>
        <w:overflowPunct/>
        <w:topLinePunct w:val="0"/>
        <w:autoSpaceDE w:val="0"/>
        <w:autoSpaceDN w:val="0"/>
        <w:bidi w:val="0"/>
        <w:adjustRightInd w:val="0"/>
        <w:snapToGrid/>
        <w:spacing w:line="460" w:lineRule="exact"/>
        <w:ind w:firstLine="482" w:firstLineChars="200"/>
        <w:textAlignment w:val="auto"/>
        <w:outlineLvl w:val="1"/>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第十二条 安全及保密要求</w:t>
      </w:r>
    </w:p>
    <w:p w14:paraId="45C76956">
      <w:pPr>
        <w:autoSpaceDE/>
        <w:autoSpaceDN/>
        <w:snapToGrid w:val="0"/>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1、乙方应严格保守在合作过程中所了解的甲方或系统使用单位的商业及技术机密，否则应对由此造成的损失承担赔偿。</w:t>
      </w:r>
    </w:p>
    <w:p w14:paraId="304B7B2F">
      <w:pPr>
        <w:autoSpaceDE/>
        <w:autoSpaceDN/>
        <w:snapToGrid w:val="0"/>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不得出于除履行本项目以外任何目的的披露、传播、复制或使用来自甲方或系统使用单位的所有或者部分保密信息；不得在未经甲方书面明确同意的前提下向任何第三方披露本项目相关保密信息；本项目履行完毕后，乙方应当将所有涉及保密信息的载体交还甲方，不得保留任何形式的存档。</w:t>
      </w:r>
    </w:p>
    <w:p w14:paraId="533FB7EA">
      <w:pPr>
        <w:autoSpaceDE/>
        <w:autoSpaceDN/>
        <w:snapToGrid w:val="0"/>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3、乙方应严格遵循甲方或系统使用单位的各项安全保密制度，所有信息数据迁移、处理等过程中严禁私自复制、传输，完成建设任务后，乙方使用的用户信息等敏感数据必须物理清除。</w:t>
      </w:r>
    </w:p>
    <w:p w14:paraId="48A28ABB">
      <w:pPr>
        <w:autoSpaceDE/>
        <w:autoSpaceDN/>
        <w:snapToGrid w:val="0"/>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4、乙方有义务保障平台的稳定性、账户的安全性，因软件系统</w:t>
      </w:r>
      <w:r>
        <w:rPr>
          <w:rFonts w:hint="eastAsia" w:ascii="宋体" w:hAnsi="宋体" w:eastAsia="宋体" w:cs="宋体"/>
          <w:color w:val="auto"/>
          <w:sz w:val="24"/>
          <w:szCs w:val="24"/>
          <w:highlight w:val="none"/>
          <w:lang w:val="en-US" w:eastAsia="zh-CN"/>
        </w:rPr>
        <w:t>本身</w:t>
      </w:r>
      <w:r>
        <w:rPr>
          <w:rFonts w:hint="eastAsia" w:ascii="宋体" w:hAnsi="宋体" w:eastAsia="宋体" w:cs="宋体"/>
          <w:color w:val="auto"/>
          <w:sz w:val="24"/>
          <w:szCs w:val="24"/>
          <w:highlight w:val="none"/>
        </w:rPr>
        <w:t>原因导致平台崩溃、账户盗号或被攻击发布非法信息等引发的问题，所有经济责任及法律责任均由乙方承担。</w:t>
      </w:r>
    </w:p>
    <w:p w14:paraId="56267E01">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5、甲</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乙</w:t>
      </w:r>
      <w:r>
        <w:rPr>
          <w:rFonts w:hint="eastAsia" w:ascii="宋体" w:hAnsi="宋体" w:eastAsia="宋体" w:cs="宋体"/>
          <w:color w:val="auto"/>
          <w:sz w:val="24"/>
          <w:szCs w:val="24"/>
          <w:highlight w:val="none"/>
        </w:rPr>
        <w:t>方双方应遵守相关网络安全、数据安全、个人信息保护有关的法律法规规定，并承担各自的法律责任。</w:t>
      </w:r>
    </w:p>
    <w:p w14:paraId="67BC96E1">
      <w:pPr>
        <w:pStyle w:val="2"/>
        <w:spacing w:after="0"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6、乙方应保证在保障平台运作过程中采集到的所有数据及信息不外泄，不另作他用。如果因软件系统</w:t>
      </w:r>
      <w:r>
        <w:rPr>
          <w:rFonts w:hint="eastAsia" w:ascii="宋体" w:hAnsi="宋体" w:eastAsia="宋体" w:cs="宋体"/>
          <w:color w:val="auto"/>
          <w:sz w:val="24"/>
          <w:szCs w:val="24"/>
          <w:highlight w:val="none"/>
          <w:lang w:val="en-US" w:eastAsia="zh-CN"/>
        </w:rPr>
        <w:t>本身</w:t>
      </w:r>
      <w:r>
        <w:rPr>
          <w:rFonts w:hint="eastAsia" w:ascii="宋体" w:hAnsi="宋体" w:eastAsia="宋体" w:cs="宋体"/>
          <w:color w:val="auto"/>
          <w:sz w:val="24"/>
          <w:szCs w:val="24"/>
          <w:highlight w:val="none"/>
        </w:rPr>
        <w:t>原因导致数据及信息外泄或另作他用而引发的第三方投诉、追诉、要求赔偿等纠纷而造成甲方损失的，乙方应承担由此给甲方造成的直接损失。</w:t>
      </w:r>
    </w:p>
    <w:p w14:paraId="66CB903A">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7、不论本合同是否变更、解除、终止，</w:t>
      </w:r>
      <w:r>
        <w:rPr>
          <w:rFonts w:hint="eastAsia" w:ascii="宋体" w:hAnsi="宋体" w:eastAsia="宋体" w:cs="宋体"/>
          <w:color w:val="auto"/>
          <w:sz w:val="24"/>
          <w:szCs w:val="24"/>
          <w:highlight w:val="none"/>
          <w:lang w:val="en-US" w:eastAsia="zh-CN"/>
        </w:rPr>
        <w:t>上述1-6</w:t>
      </w:r>
      <w:r>
        <w:rPr>
          <w:rFonts w:hint="eastAsia" w:ascii="宋体" w:hAnsi="宋体" w:eastAsia="宋体" w:cs="宋体"/>
          <w:color w:val="auto"/>
          <w:sz w:val="24"/>
          <w:szCs w:val="24"/>
          <w:highlight w:val="none"/>
        </w:rPr>
        <w:t>条款均有效。</w:t>
      </w:r>
    </w:p>
    <w:p w14:paraId="0E468FE2">
      <w:pPr>
        <w:keepNext w:val="0"/>
        <w:keepLines w:val="0"/>
        <w:pageBreakBefore w:val="0"/>
        <w:widowControl w:val="0"/>
        <w:kinsoku/>
        <w:wordWrap/>
        <w:overflowPunct/>
        <w:topLinePunct w:val="0"/>
        <w:autoSpaceDE w:val="0"/>
        <w:autoSpaceDN w:val="0"/>
        <w:bidi w:val="0"/>
        <w:adjustRightInd w:val="0"/>
        <w:snapToGrid/>
        <w:spacing w:line="460" w:lineRule="exact"/>
        <w:ind w:firstLine="482" w:firstLineChars="200"/>
        <w:textAlignment w:val="auto"/>
        <w:outlineLvl w:val="1"/>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第十三条 违约责任</w:t>
      </w:r>
    </w:p>
    <w:p w14:paraId="3ADC716F">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bCs/>
          <w:color w:val="auto"/>
          <w:sz w:val="24"/>
          <w:szCs w:val="24"/>
          <w:highlight w:val="none"/>
        </w:rPr>
        <w:t>甲方无正当理由拒收建设成果的，甲方向乙方偿付拒收的项目阶段应付款项总值的百分之十违约金。如造成乙方损失超过违约金的，超出部分由甲方继续承担赔偿责任。</w:t>
      </w:r>
    </w:p>
    <w:p w14:paraId="492A95B8">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2、因</w:t>
      </w:r>
      <w:r>
        <w:rPr>
          <w:rFonts w:hint="eastAsia" w:ascii="宋体" w:hAnsi="宋体" w:eastAsia="宋体" w:cs="宋体"/>
          <w:bCs/>
          <w:color w:val="auto"/>
          <w:sz w:val="24"/>
          <w:szCs w:val="24"/>
          <w:highlight w:val="none"/>
          <w:lang w:val="en-US" w:eastAsia="zh-CN"/>
        </w:rPr>
        <w:t>乙方原因导致</w:t>
      </w:r>
      <w:r>
        <w:rPr>
          <w:rFonts w:hint="eastAsia" w:ascii="宋体" w:hAnsi="宋体" w:eastAsia="宋体" w:cs="宋体"/>
          <w:color w:val="auto"/>
          <w:sz w:val="24"/>
          <w:szCs w:val="24"/>
          <w:highlight w:val="none"/>
          <w:lang w:val="en-US" w:eastAsia="zh-CN"/>
        </w:rPr>
        <w:t>逾期</w:t>
      </w:r>
      <w:r>
        <w:rPr>
          <w:rFonts w:hint="eastAsia" w:ascii="宋体" w:hAnsi="宋体" w:eastAsia="宋体" w:cs="宋体"/>
          <w:bCs/>
          <w:color w:val="auto"/>
          <w:sz w:val="24"/>
          <w:szCs w:val="24"/>
          <w:highlight w:val="none"/>
          <w:lang w:val="en-US" w:eastAsia="zh-CN"/>
        </w:rPr>
        <w:t>提交阶段建设成果的</w:t>
      </w:r>
      <w:r>
        <w:rPr>
          <w:rFonts w:hint="eastAsia" w:ascii="宋体" w:hAnsi="宋体" w:eastAsia="宋体" w:cs="宋体"/>
          <w:color w:val="auto"/>
          <w:sz w:val="24"/>
          <w:szCs w:val="24"/>
          <w:highlight w:val="none"/>
          <w:lang w:val="en-US" w:eastAsia="zh-CN"/>
        </w:rPr>
        <w:t>，</w:t>
      </w:r>
      <w:r>
        <w:rPr>
          <w:rFonts w:hint="eastAsia" w:ascii="宋体" w:hAnsi="宋体" w:eastAsia="宋体" w:cs="宋体"/>
          <w:bCs/>
          <w:color w:val="auto"/>
          <w:sz w:val="24"/>
          <w:szCs w:val="24"/>
          <w:highlight w:val="none"/>
          <w:lang w:val="en-US" w:eastAsia="zh-CN"/>
        </w:rPr>
        <w:t>乙方</w:t>
      </w:r>
      <w:r>
        <w:rPr>
          <w:rFonts w:hint="eastAsia" w:ascii="宋体" w:hAnsi="宋体" w:eastAsia="宋体" w:cs="宋体"/>
          <w:color w:val="auto"/>
          <w:sz w:val="24"/>
          <w:szCs w:val="24"/>
          <w:highlight w:val="none"/>
          <w:lang w:val="en-US" w:eastAsia="zh-CN"/>
        </w:rPr>
        <w:t>应按照合同总额每日万分之五（0.5‰）向</w:t>
      </w:r>
      <w:r>
        <w:rPr>
          <w:rFonts w:hint="eastAsia" w:ascii="宋体" w:hAnsi="宋体" w:eastAsia="宋体" w:cs="宋体"/>
          <w:bCs/>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支付违约金，由</w:t>
      </w:r>
      <w:r>
        <w:rPr>
          <w:rFonts w:hint="eastAsia" w:ascii="宋体" w:hAnsi="宋体" w:eastAsia="宋体" w:cs="宋体"/>
          <w:bCs/>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从待付货款中扣除，此项违约金额不超过合同总款的</w:t>
      </w:r>
      <w:r>
        <w:rPr>
          <w:rFonts w:hint="eastAsia" w:ascii="宋体" w:hAnsi="宋体" w:eastAsia="宋体" w:cs="宋体"/>
          <w:bCs/>
          <w:color w:val="auto"/>
          <w:sz w:val="24"/>
          <w:szCs w:val="24"/>
          <w:highlight w:val="none"/>
        </w:rPr>
        <w:t>百分之</w:t>
      </w:r>
      <w:r>
        <w:rPr>
          <w:rFonts w:hint="eastAsia" w:ascii="宋体" w:hAnsi="宋体" w:eastAsia="宋体" w:cs="宋体"/>
          <w:bCs/>
          <w:color w:val="auto"/>
          <w:sz w:val="24"/>
          <w:szCs w:val="24"/>
          <w:highlight w:val="none"/>
          <w:lang w:val="en-US" w:eastAsia="zh-CN"/>
        </w:rPr>
        <w:t>二十</w:t>
      </w:r>
      <w:r>
        <w:rPr>
          <w:rFonts w:hint="eastAsia" w:ascii="宋体" w:hAnsi="宋体" w:eastAsia="宋体" w:cs="宋体"/>
          <w:color w:val="auto"/>
          <w:sz w:val="24"/>
          <w:szCs w:val="24"/>
          <w:highlight w:val="none"/>
          <w:lang w:val="en-US" w:eastAsia="zh-CN"/>
        </w:rPr>
        <w:t>。逾期超过约定日期30天不能提交建设成果的，</w:t>
      </w:r>
      <w:r>
        <w:rPr>
          <w:rFonts w:hint="eastAsia" w:ascii="宋体" w:hAnsi="宋体" w:eastAsia="宋体" w:cs="宋体"/>
          <w:bCs/>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有权解除合同并保留进一步追究</w:t>
      </w:r>
      <w:r>
        <w:rPr>
          <w:rFonts w:hint="eastAsia" w:ascii="宋体" w:hAnsi="宋体" w:eastAsia="宋体" w:cs="宋体"/>
          <w:bCs/>
          <w:color w:val="auto"/>
          <w:sz w:val="24"/>
          <w:szCs w:val="24"/>
          <w:highlight w:val="none"/>
          <w:lang w:val="en-US" w:eastAsia="zh-CN"/>
        </w:rPr>
        <w:t>乙方</w:t>
      </w:r>
      <w:r>
        <w:rPr>
          <w:rFonts w:hint="eastAsia" w:ascii="宋体" w:hAnsi="宋体" w:eastAsia="宋体" w:cs="宋体"/>
          <w:color w:val="auto"/>
          <w:sz w:val="24"/>
          <w:szCs w:val="24"/>
          <w:highlight w:val="none"/>
          <w:lang w:val="en-US" w:eastAsia="zh-CN"/>
        </w:rPr>
        <w:t>违约责任的权力。</w:t>
      </w:r>
      <w:r>
        <w:rPr>
          <w:rFonts w:hint="eastAsia" w:ascii="宋体" w:hAnsi="宋体" w:eastAsia="宋体" w:cs="宋体"/>
          <w:bCs/>
          <w:color w:val="auto"/>
          <w:sz w:val="24"/>
          <w:szCs w:val="24"/>
          <w:highlight w:val="none"/>
          <w:lang w:val="en-US" w:eastAsia="zh-CN"/>
        </w:rPr>
        <w:t>乙方</w:t>
      </w:r>
      <w:r>
        <w:rPr>
          <w:rFonts w:hint="eastAsia" w:ascii="宋体" w:hAnsi="宋体" w:eastAsia="宋体" w:cs="宋体"/>
          <w:color w:val="auto"/>
          <w:sz w:val="24"/>
          <w:szCs w:val="24"/>
          <w:highlight w:val="none"/>
          <w:lang w:val="en-US" w:eastAsia="zh-CN"/>
        </w:rPr>
        <w:t>提交的建设成果如不能通过评审或验收的，视同未提交。</w:t>
      </w:r>
      <w:r>
        <w:rPr>
          <w:rFonts w:hint="eastAsia" w:ascii="宋体" w:hAnsi="宋体" w:eastAsia="宋体" w:cs="宋体"/>
          <w:bCs/>
          <w:color w:val="auto"/>
          <w:sz w:val="24"/>
          <w:szCs w:val="24"/>
          <w:highlight w:val="none"/>
          <w:lang w:val="en-US" w:eastAsia="zh-CN"/>
        </w:rPr>
        <w:t>乙方</w:t>
      </w:r>
      <w:r>
        <w:rPr>
          <w:rFonts w:hint="eastAsia" w:ascii="宋体" w:hAnsi="宋体" w:eastAsia="宋体" w:cs="宋体"/>
          <w:color w:val="auto"/>
          <w:sz w:val="24"/>
          <w:szCs w:val="24"/>
          <w:highlight w:val="none"/>
          <w:lang w:val="en-US" w:eastAsia="zh-CN"/>
        </w:rPr>
        <w:t>因逾期交货或因其他违约行为导致</w:t>
      </w:r>
      <w:r>
        <w:rPr>
          <w:rFonts w:hint="eastAsia" w:ascii="宋体" w:hAnsi="宋体" w:eastAsia="宋体" w:cs="宋体"/>
          <w:bCs/>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与最终用户无法签订或解除合同的，</w:t>
      </w:r>
      <w:r>
        <w:rPr>
          <w:rFonts w:hint="eastAsia" w:ascii="宋体" w:hAnsi="宋体" w:eastAsia="宋体" w:cs="宋体"/>
          <w:bCs/>
          <w:color w:val="auto"/>
          <w:sz w:val="24"/>
          <w:szCs w:val="24"/>
          <w:highlight w:val="none"/>
          <w:lang w:val="en-US" w:eastAsia="zh-CN"/>
        </w:rPr>
        <w:t>乙方</w:t>
      </w:r>
      <w:r>
        <w:rPr>
          <w:rFonts w:hint="eastAsia" w:ascii="宋体" w:hAnsi="宋体" w:eastAsia="宋体" w:cs="宋体"/>
          <w:color w:val="auto"/>
          <w:sz w:val="24"/>
          <w:szCs w:val="24"/>
          <w:highlight w:val="none"/>
          <w:lang w:val="en-US" w:eastAsia="zh-CN"/>
        </w:rPr>
        <w:t>应向</w:t>
      </w:r>
      <w:r>
        <w:rPr>
          <w:rFonts w:hint="eastAsia" w:ascii="宋体" w:hAnsi="宋体" w:eastAsia="宋体" w:cs="宋体"/>
          <w:bCs/>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支付合同总值</w:t>
      </w:r>
      <w:r>
        <w:rPr>
          <w:rFonts w:hint="eastAsia" w:ascii="宋体" w:hAnsi="宋体" w:eastAsia="宋体" w:cs="宋体"/>
          <w:bCs/>
          <w:color w:val="auto"/>
          <w:sz w:val="24"/>
          <w:szCs w:val="24"/>
          <w:highlight w:val="none"/>
        </w:rPr>
        <w:t>百分之</w:t>
      </w:r>
      <w:r>
        <w:rPr>
          <w:rFonts w:hint="eastAsia" w:ascii="宋体" w:hAnsi="宋体" w:eastAsia="宋体" w:cs="宋体"/>
          <w:bCs/>
          <w:color w:val="auto"/>
          <w:sz w:val="24"/>
          <w:szCs w:val="24"/>
          <w:highlight w:val="none"/>
          <w:lang w:val="en-US" w:eastAsia="zh-CN"/>
        </w:rPr>
        <w:t>十</w:t>
      </w:r>
      <w:r>
        <w:rPr>
          <w:rFonts w:hint="eastAsia" w:ascii="宋体" w:hAnsi="宋体" w:eastAsia="宋体" w:cs="宋体"/>
          <w:color w:val="auto"/>
          <w:sz w:val="24"/>
          <w:szCs w:val="24"/>
          <w:highlight w:val="none"/>
          <w:lang w:val="en-US" w:eastAsia="zh-CN"/>
        </w:rPr>
        <w:t>的违约金，如造成</w:t>
      </w:r>
      <w:r>
        <w:rPr>
          <w:rFonts w:hint="eastAsia" w:ascii="宋体" w:hAnsi="宋体" w:eastAsia="宋体" w:cs="宋体"/>
          <w:bCs/>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损失超过违约金的，超出部分由</w:t>
      </w:r>
      <w:r>
        <w:rPr>
          <w:rFonts w:hint="eastAsia" w:ascii="宋体" w:hAnsi="宋体" w:eastAsia="宋体" w:cs="宋体"/>
          <w:bCs/>
          <w:color w:val="auto"/>
          <w:sz w:val="24"/>
          <w:szCs w:val="24"/>
          <w:highlight w:val="none"/>
          <w:lang w:val="en-US" w:eastAsia="zh-CN"/>
        </w:rPr>
        <w:t>乙方</w:t>
      </w:r>
      <w:r>
        <w:rPr>
          <w:rFonts w:hint="eastAsia" w:ascii="宋体" w:hAnsi="宋体" w:eastAsia="宋体" w:cs="宋体"/>
          <w:color w:val="auto"/>
          <w:sz w:val="24"/>
          <w:szCs w:val="24"/>
          <w:highlight w:val="none"/>
          <w:lang w:val="en-US" w:eastAsia="zh-CN"/>
        </w:rPr>
        <w:t xml:space="preserve">继续承担赔偿责任。 </w:t>
      </w:r>
    </w:p>
    <w:p w14:paraId="62D72D56">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lang w:val="en-US" w:eastAsia="zh-CN"/>
        </w:rPr>
        <w:t>3、乙方完工后，</w:t>
      </w:r>
      <w:r>
        <w:rPr>
          <w:rFonts w:hint="eastAsia" w:ascii="宋体" w:hAnsi="宋体" w:eastAsia="宋体" w:cs="宋体"/>
          <w:bCs/>
          <w:color w:val="auto"/>
          <w:sz w:val="24"/>
          <w:szCs w:val="24"/>
          <w:highlight w:val="none"/>
          <w:lang w:val="en-US" w:eastAsia="zh-CN"/>
        </w:rPr>
        <w:t>乙方</w:t>
      </w:r>
      <w:r>
        <w:rPr>
          <w:rFonts w:hint="eastAsia" w:ascii="宋体" w:hAnsi="宋体" w:eastAsia="宋体" w:cs="宋体"/>
          <w:bCs/>
          <w:color w:val="auto"/>
          <w:sz w:val="24"/>
          <w:szCs w:val="24"/>
          <w:highlight w:val="none"/>
        </w:rPr>
        <w:t>所交</w:t>
      </w:r>
      <w:r>
        <w:rPr>
          <w:rFonts w:hint="eastAsia" w:ascii="宋体" w:hAnsi="宋体" w:eastAsia="宋体" w:cs="宋体"/>
          <w:bCs/>
          <w:color w:val="auto"/>
          <w:sz w:val="24"/>
          <w:szCs w:val="24"/>
          <w:highlight w:val="none"/>
          <w:lang w:val="en-US" w:eastAsia="zh-CN"/>
        </w:rPr>
        <w:t>付</w:t>
      </w:r>
      <w:r>
        <w:rPr>
          <w:rFonts w:hint="eastAsia" w:ascii="宋体" w:hAnsi="宋体" w:eastAsia="宋体" w:cs="宋体"/>
          <w:bCs/>
          <w:color w:val="auto"/>
          <w:sz w:val="24"/>
          <w:szCs w:val="24"/>
          <w:highlight w:val="none"/>
        </w:rPr>
        <w:t>的</w:t>
      </w:r>
      <w:r>
        <w:rPr>
          <w:rFonts w:hint="eastAsia" w:ascii="宋体" w:hAnsi="宋体" w:eastAsia="宋体" w:cs="宋体"/>
          <w:bCs/>
          <w:color w:val="auto"/>
          <w:sz w:val="24"/>
          <w:szCs w:val="24"/>
          <w:highlight w:val="none"/>
          <w:lang w:val="en-US" w:eastAsia="zh-CN"/>
        </w:rPr>
        <w:t>软件系统性能</w:t>
      </w:r>
      <w:r>
        <w:rPr>
          <w:rFonts w:hint="eastAsia" w:ascii="宋体" w:hAnsi="宋体" w:eastAsia="宋体" w:cs="宋体"/>
          <w:bCs/>
          <w:color w:val="auto"/>
          <w:sz w:val="24"/>
          <w:szCs w:val="24"/>
          <w:highlight w:val="none"/>
        </w:rPr>
        <w:t>、技术参数、质量不符合合同规定及</w:t>
      </w:r>
      <w:r>
        <w:rPr>
          <w:rFonts w:hint="eastAsia" w:ascii="宋体" w:hAnsi="宋体" w:eastAsia="宋体" w:cs="宋体"/>
          <w:bCs/>
          <w:color w:val="auto"/>
          <w:sz w:val="24"/>
          <w:szCs w:val="24"/>
          <w:highlight w:val="none"/>
          <w:lang w:val="en-US" w:eastAsia="zh-CN"/>
        </w:rPr>
        <w:t>招标</w:t>
      </w:r>
      <w:r>
        <w:rPr>
          <w:rFonts w:hint="eastAsia" w:ascii="宋体" w:hAnsi="宋体" w:eastAsia="宋体" w:cs="宋体"/>
          <w:bCs/>
          <w:color w:val="auto"/>
          <w:sz w:val="24"/>
          <w:szCs w:val="24"/>
          <w:highlight w:val="none"/>
          <w:lang w:eastAsia="zh-CN"/>
        </w:rPr>
        <w:t>文件</w:t>
      </w:r>
      <w:r>
        <w:rPr>
          <w:rFonts w:hint="eastAsia" w:ascii="宋体" w:hAnsi="宋体" w:eastAsia="宋体" w:cs="宋体"/>
          <w:bCs/>
          <w:color w:val="auto"/>
          <w:sz w:val="24"/>
          <w:szCs w:val="24"/>
          <w:highlight w:val="none"/>
        </w:rPr>
        <w:t>规定标准</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或</w:t>
      </w:r>
      <w:r>
        <w:rPr>
          <w:rFonts w:hint="eastAsia" w:ascii="宋体" w:hAnsi="宋体" w:eastAsia="宋体" w:cs="宋体"/>
          <w:color w:val="auto"/>
          <w:sz w:val="24"/>
          <w:szCs w:val="24"/>
          <w:highlight w:val="none"/>
          <w:lang w:val="en-US" w:eastAsia="zh-CN"/>
        </w:rPr>
        <w:t>经系统测试（含第三方检测）发现</w:t>
      </w:r>
      <w:r>
        <w:rPr>
          <w:rFonts w:hint="eastAsia" w:ascii="宋体" w:hAnsi="宋体" w:eastAsia="宋体" w:cs="宋体"/>
          <w:color w:val="auto"/>
          <w:kern w:val="0"/>
          <w:sz w:val="24"/>
          <w:szCs w:val="24"/>
          <w:highlight w:val="none"/>
          <w:lang w:val="en-US" w:eastAsia="zh-CN" w:bidi="ar"/>
        </w:rPr>
        <w:t>系统功能、性能、安全性不符合</w:t>
      </w:r>
      <w:r>
        <w:rPr>
          <w:rFonts w:hint="eastAsia" w:ascii="宋体" w:hAnsi="宋体" w:eastAsia="宋体" w:cs="宋体"/>
          <w:bCs/>
          <w:color w:val="auto"/>
          <w:sz w:val="24"/>
          <w:szCs w:val="24"/>
          <w:highlight w:val="none"/>
        </w:rPr>
        <w:t>合同规定</w:t>
      </w:r>
      <w:r>
        <w:rPr>
          <w:rFonts w:hint="eastAsia" w:ascii="宋体" w:hAnsi="宋体" w:eastAsia="宋体" w:cs="宋体"/>
          <w:bCs/>
          <w:color w:val="auto"/>
          <w:sz w:val="24"/>
          <w:szCs w:val="24"/>
          <w:highlight w:val="none"/>
          <w:lang w:val="en-US" w:eastAsia="zh-CN"/>
        </w:rPr>
        <w:t>及</w:t>
      </w:r>
      <w:r>
        <w:rPr>
          <w:rFonts w:hint="eastAsia" w:ascii="宋体" w:hAnsi="宋体" w:eastAsia="宋体" w:cs="宋体"/>
          <w:color w:val="auto"/>
          <w:kern w:val="0"/>
          <w:sz w:val="24"/>
          <w:szCs w:val="24"/>
          <w:highlight w:val="none"/>
          <w:lang w:val="en-US" w:eastAsia="zh-CN" w:bidi="ar"/>
        </w:rPr>
        <w:t>招标要求的，</w:t>
      </w:r>
      <w:r>
        <w:rPr>
          <w:rFonts w:hint="eastAsia" w:ascii="宋体" w:hAnsi="宋体" w:eastAsia="宋体" w:cs="宋体"/>
          <w:bCs/>
          <w:color w:val="auto"/>
          <w:sz w:val="24"/>
          <w:szCs w:val="24"/>
          <w:highlight w:val="none"/>
          <w:lang w:val="en-US" w:eastAsia="zh-CN"/>
        </w:rPr>
        <w:t>乙方</w:t>
      </w:r>
      <w:r>
        <w:rPr>
          <w:rFonts w:hint="eastAsia" w:ascii="宋体" w:hAnsi="宋体" w:eastAsia="宋体" w:cs="宋体"/>
          <w:color w:val="auto"/>
          <w:kern w:val="0"/>
          <w:sz w:val="24"/>
          <w:szCs w:val="24"/>
          <w:highlight w:val="none"/>
          <w:lang w:val="en-US" w:eastAsia="zh-CN" w:bidi="ar"/>
        </w:rPr>
        <w:t>应无条件在30天内进行整改，因整改造成的项目进度延期，按照“违约责任第2条”处理；若乙方拒绝进行整改，甲方可单方面解除合同，并没收履约保证金，所造成的其他损失由</w:t>
      </w:r>
      <w:r>
        <w:rPr>
          <w:rFonts w:hint="eastAsia" w:ascii="宋体" w:hAnsi="宋体" w:eastAsia="宋体" w:cs="宋体"/>
          <w:bCs/>
          <w:color w:val="auto"/>
          <w:sz w:val="24"/>
          <w:szCs w:val="24"/>
          <w:highlight w:val="none"/>
          <w:lang w:val="en-US" w:eastAsia="zh-CN"/>
        </w:rPr>
        <w:t>乙方</w:t>
      </w:r>
      <w:r>
        <w:rPr>
          <w:rFonts w:hint="eastAsia" w:ascii="宋体" w:hAnsi="宋体" w:eastAsia="宋体" w:cs="宋体"/>
          <w:color w:val="auto"/>
          <w:kern w:val="0"/>
          <w:sz w:val="24"/>
          <w:szCs w:val="24"/>
          <w:highlight w:val="none"/>
          <w:lang w:val="en-US" w:eastAsia="zh-CN" w:bidi="ar"/>
        </w:rPr>
        <w:t>负责。</w:t>
      </w:r>
    </w:p>
    <w:p w14:paraId="6C315AD2">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4、在系统试运行期间，如因乙方技术原因导致系统重大故障或对系统使用单位业务正常运行造成影响或损失的，乙方应承担全部责任，并且甲方有权保留进一步追究乙方的违约责任的权力</w:t>
      </w:r>
      <w:r>
        <w:rPr>
          <w:rFonts w:hint="eastAsia" w:ascii="宋体" w:hAnsi="宋体" w:eastAsia="宋体" w:cs="宋体"/>
          <w:color w:val="auto"/>
          <w:sz w:val="24"/>
          <w:szCs w:val="24"/>
          <w:highlight w:val="none"/>
          <w:lang w:eastAsia="zh-CN"/>
        </w:rPr>
        <w:t>。</w:t>
      </w:r>
    </w:p>
    <w:p w14:paraId="109002A9">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en-US" w:eastAsia="zh-CN"/>
        </w:rPr>
        <w:t>5、若</w:t>
      </w:r>
      <w:r>
        <w:rPr>
          <w:rFonts w:hint="eastAsia" w:ascii="宋体" w:hAnsi="宋体" w:eastAsia="宋体" w:cs="宋体"/>
          <w:bCs/>
          <w:color w:val="auto"/>
          <w:sz w:val="24"/>
          <w:szCs w:val="24"/>
          <w:highlight w:val="none"/>
        </w:rPr>
        <w:t>乙方未能在质保期内按要求及时提供技术支持和</w:t>
      </w:r>
      <w:r>
        <w:rPr>
          <w:rFonts w:hint="eastAsia" w:ascii="宋体" w:hAnsi="宋体" w:eastAsia="宋体" w:cs="宋体"/>
          <w:bCs/>
          <w:color w:val="auto"/>
          <w:sz w:val="24"/>
          <w:szCs w:val="24"/>
          <w:highlight w:val="none"/>
          <w:lang w:val="en-US" w:eastAsia="zh-CN"/>
        </w:rPr>
        <w:t>解决</w:t>
      </w:r>
      <w:r>
        <w:rPr>
          <w:rFonts w:hint="eastAsia" w:ascii="宋体" w:hAnsi="宋体" w:eastAsia="宋体" w:cs="宋体"/>
          <w:bCs/>
          <w:color w:val="auto"/>
          <w:sz w:val="24"/>
          <w:szCs w:val="24"/>
          <w:highlight w:val="none"/>
        </w:rPr>
        <w:t>故障</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或售后服务受到使用单位有效投诉成立的</w:t>
      </w:r>
      <w:r>
        <w:rPr>
          <w:rFonts w:hint="eastAsia" w:ascii="宋体" w:hAnsi="宋体" w:eastAsia="宋体" w:cs="宋体"/>
          <w:color w:val="auto"/>
          <w:sz w:val="24"/>
          <w:szCs w:val="24"/>
          <w:highlight w:val="none"/>
          <w:lang w:eastAsia="zh-CN"/>
        </w:rPr>
        <w:t>，每次处以</w:t>
      </w:r>
      <w:r>
        <w:rPr>
          <w:rFonts w:hint="eastAsia" w:ascii="宋体" w:hAnsi="宋体" w:eastAsia="宋体" w:cs="宋体"/>
          <w:color w:val="auto"/>
          <w:sz w:val="24"/>
          <w:szCs w:val="24"/>
          <w:highlight w:val="none"/>
          <w:lang w:val="en-US" w:eastAsia="zh-CN"/>
        </w:rPr>
        <w:t>5000元</w:t>
      </w:r>
      <w:r>
        <w:rPr>
          <w:rFonts w:hint="eastAsia" w:ascii="宋体" w:hAnsi="宋体" w:eastAsia="宋体" w:cs="宋体"/>
          <w:color w:val="auto"/>
          <w:sz w:val="24"/>
          <w:szCs w:val="24"/>
          <w:highlight w:val="none"/>
        </w:rPr>
        <w:t>罚款</w:t>
      </w:r>
      <w:r>
        <w:rPr>
          <w:rFonts w:hint="eastAsia" w:ascii="宋体" w:hAnsi="宋体" w:eastAsia="宋体" w:cs="宋体"/>
          <w:color w:val="auto"/>
          <w:sz w:val="24"/>
          <w:szCs w:val="24"/>
          <w:highlight w:val="none"/>
          <w:lang w:eastAsia="zh-CN"/>
        </w:rPr>
        <w:t>，且甲方有权从未支付款项中予以扣除。</w:t>
      </w:r>
      <w:r>
        <w:rPr>
          <w:rFonts w:hint="eastAsia" w:ascii="宋体" w:hAnsi="宋体" w:eastAsia="宋体" w:cs="宋体"/>
          <w:bCs/>
          <w:color w:val="auto"/>
          <w:sz w:val="24"/>
          <w:szCs w:val="24"/>
          <w:highlight w:val="none"/>
          <w:lang w:val="en-US" w:eastAsia="zh-CN"/>
        </w:rPr>
        <w:t>若在质保期内</w:t>
      </w:r>
      <w:r>
        <w:rPr>
          <w:rFonts w:hint="eastAsia" w:ascii="宋体" w:hAnsi="宋体" w:eastAsia="宋体" w:cs="宋体"/>
          <w:bCs/>
          <w:color w:val="auto"/>
          <w:sz w:val="24"/>
          <w:szCs w:val="24"/>
          <w:highlight w:val="none"/>
        </w:rPr>
        <w:t>因乙方原因未能及时提供技术支持或</w:t>
      </w:r>
      <w:r>
        <w:rPr>
          <w:rFonts w:hint="eastAsia" w:ascii="宋体" w:hAnsi="宋体" w:eastAsia="宋体" w:cs="宋体"/>
          <w:bCs/>
          <w:color w:val="auto"/>
          <w:sz w:val="24"/>
          <w:szCs w:val="24"/>
          <w:highlight w:val="none"/>
          <w:lang w:val="en-US" w:eastAsia="zh-CN"/>
        </w:rPr>
        <w:t>解决</w:t>
      </w:r>
      <w:r>
        <w:rPr>
          <w:rFonts w:hint="eastAsia" w:ascii="宋体" w:hAnsi="宋体" w:eastAsia="宋体" w:cs="宋体"/>
          <w:bCs/>
          <w:color w:val="auto"/>
          <w:sz w:val="24"/>
          <w:szCs w:val="24"/>
          <w:highlight w:val="none"/>
        </w:rPr>
        <w:t>故障而引起的安全责任事故，所有经济责任及法律责任均由乙方承担</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并且</w:t>
      </w:r>
      <w:r>
        <w:rPr>
          <w:rFonts w:hint="eastAsia" w:ascii="宋体" w:hAnsi="宋体" w:eastAsia="宋体" w:cs="宋体"/>
          <w:bCs/>
          <w:color w:val="auto"/>
          <w:sz w:val="24"/>
          <w:szCs w:val="24"/>
          <w:highlight w:val="none"/>
          <w:lang w:eastAsia="zh-CN"/>
        </w:rPr>
        <w:t>甲方有权保留进一步追究乙方的违约责任的权力</w:t>
      </w:r>
      <w:r>
        <w:rPr>
          <w:rFonts w:hint="eastAsia" w:ascii="宋体" w:hAnsi="宋体" w:eastAsia="宋体" w:cs="宋体"/>
          <w:bCs/>
          <w:color w:val="auto"/>
          <w:sz w:val="24"/>
          <w:szCs w:val="24"/>
          <w:highlight w:val="none"/>
        </w:rPr>
        <w:t>。因第三方故意破坏或不可抗因素造成故障处理超过约定时间，不再追究规定时间内解决故障的违约责任。</w:t>
      </w:r>
    </w:p>
    <w:p w14:paraId="7F812233">
      <w:pPr>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rPr>
        <w:t>若乙方违反了本合同“</w:t>
      </w:r>
      <w:r>
        <w:rPr>
          <w:rFonts w:hint="eastAsia" w:ascii="宋体" w:hAnsi="宋体" w:eastAsia="宋体" w:cs="宋体"/>
          <w:bCs/>
          <w:color w:val="auto"/>
          <w:sz w:val="24"/>
          <w:szCs w:val="24"/>
          <w:highlight w:val="none"/>
          <w:lang w:val="en-US" w:eastAsia="zh-CN"/>
        </w:rPr>
        <w:t>安全及保密要求</w:t>
      </w:r>
      <w:r>
        <w:rPr>
          <w:rFonts w:hint="eastAsia" w:ascii="宋体" w:hAnsi="宋体" w:eastAsia="宋体" w:cs="宋体"/>
          <w:bCs/>
          <w:color w:val="auto"/>
          <w:sz w:val="24"/>
          <w:szCs w:val="24"/>
          <w:highlight w:val="none"/>
        </w:rPr>
        <w:t>”中的任一条款，需向甲方支付合同总值的10%作为违约金；若实际损失超过乙方支付违约金的，甲方有权继续向乙方追偿，因追偿产生的一切费用均由乙方承担。</w:t>
      </w:r>
    </w:p>
    <w:p w14:paraId="37C9C96A">
      <w:pPr>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7、对于乙方的违约责任，甲方有权从履约保证金或剩余未付款项中扣除。</w:t>
      </w:r>
    </w:p>
    <w:p w14:paraId="0EFC580C">
      <w:pPr>
        <w:keepNext w:val="0"/>
        <w:keepLines w:val="0"/>
        <w:pageBreakBefore w:val="0"/>
        <w:widowControl w:val="0"/>
        <w:kinsoku/>
        <w:wordWrap/>
        <w:overflowPunct/>
        <w:topLinePunct w:val="0"/>
        <w:autoSpaceDE w:val="0"/>
        <w:autoSpaceDN w:val="0"/>
        <w:bidi w:val="0"/>
        <w:adjustRightInd w:val="0"/>
        <w:snapToGrid/>
        <w:spacing w:line="460" w:lineRule="exact"/>
        <w:ind w:firstLine="482" w:firstLineChars="200"/>
        <w:textAlignment w:val="auto"/>
        <w:outlineLvl w:val="1"/>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第十四条 不可抗力</w:t>
      </w:r>
    </w:p>
    <w:p w14:paraId="2617EC83">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1、本合同约定的不可抗力为：指双方不可预见、不可克服、不可避免的事件，包括但不限于政府行为、政策变化、地震、台风、洪水、火灾或其他天灾、战争、全国性疫情（如COVID-19）或任何其他类似事件。</w:t>
      </w:r>
    </w:p>
    <w:p w14:paraId="4DDB2EDE">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因上述不可抗力而造成的项目延误，双方不承担责任。</w:t>
      </w:r>
    </w:p>
    <w:p w14:paraId="6A310A82">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2、在不可抗力发生时，以及终止或清除后，受影响的一方应以书面形式尽快通知对方。双方应通过友好协商方式，就不可抗力影响合同履行的问题提出解决方案。</w:t>
      </w:r>
    </w:p>
    <w:p w14:paraId="32447A0E">
      <w:pPr>
        <w:keepNext w:val="0"/>
        <w:keepLines w:val="0"/>
        <w:pageBreakBefore w:val="0"/>
        <w:widowControl w:val="0"/>
        <w:kinsoku/>
        <w:wordWrap/>
        <w:overflowPunct/>
        <w:topLinePunct w:val="0"/>
        <w:autoSpaceDE w:val="0"/>
        <w:autoSpaceDN w:val="0"/>
        <w:bidi w:val="0"/>
        <w:adjustRightInd w:val="0"/>
        <w:snapToGrid/>
        <w:spacing w:line="460" w:lineRule="exact"/>
        <w:ind w:firstLine="482" w:firstLineChars="200"/>
        <w:textAlignment w:val="auto"/>
        <w:outlineLvl w:val="1"/>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第十五条 合同终止</w:t>
      </w:r>
    </w:p>
    <w:p w14:paraId="4C724375">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1、如发生下列情况，任何一方可以立即终止本合同：</w:t>
      </w:r>
    </w:p>
    <w:p w14:paraId="3CA83192">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（1）一方进入破产、清算、解散、依法关闭阶段。</w:t>
      </w:r>
    </w:p>
    <w:p w14:paraId="4B6B08B2">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（2）因各种原因致使一方资不抵债。</w:t>
      </w:r>
    </w:p>
    <w:p w14:paraId="292E82A3">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2、如果一方违背了本合同规定的实质性义务，另一方可以给予其书面声明，提出其违约性质。如违约方在该声明送抵之日起30天内未能改正其违约行为，则未违约方有权以书面声明方式通知违约方终止本合同。</w:t>
      </w:r>
    </w:p>
    <w:p w14:paraId="33D4E6E3">
      <w:pPr>
        <w:pStyle w:val="32"/>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3、若非乙方原因导致合同解除的，乙方有权就已完成的履约部分收取相应合同款项。</w:t>
      </w:r>
    </w:p>
    <w:p w14:paraId="6AB7B620">
      <w:pPr>
        <w:keepNext w:val="0"/>
        <w:keepLines w:val="0"/>
        <w:pageBreakBefore w:val="0"/>
        <w:widowControl w:val="0"/>
        <w:kinsoku/>
        <w:wordWrap/>
        <w:overflowPunct/>
        <w:topLinePunct w:val="0"/>
        <w:autoSpaceDE w:val="0"/>
        <w:autoSpaceDN w:val="0"/>
        <w:bidi w:val="0"/>
        <w:adjustRightInd w:val="0"/>
        <w:snapToGrid/>
        <w:spacing w:line="460" w:lineRule="exact"/>
        <w:ind w:firstLine="482" w:firstLineChars="200"/>
        <w:textAlignment w:val="auto"/>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第十</w:t>
      </w:r>
      <w:r>
        <w:rPr>
          <w:rFonts w:hint="eastAsia" w:ascii="宋体" w:hAnsi="宋体" w:eastAsia="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rPr>
        <w:t xml:space="preserve">条 </w:t>
      </w:r>
      <w:r>
        <w:rPr>
          <w:rFonts w:hint="eastAsia" w:ascii="宋体" w:hAnsi="宋体" w:eastAsia="宋体" w:cs="宋体"/>
          <w:b/>
          <w:bCs/>
          <w:color w:val="auto"/>
          <w:sz w:val="24"/>
          <w:szCs w:val="24"/>
          <w:highlight w:val="none"/>
          <w:lang w:val="en-US" w:eastAsia="zh-CN"/>
        </w:rPr>
        <w:t>争议</w:t>
      </w:r>
      <w:r>
        <w:rPr>
          <w:rFonts w:hint="eastAsia" w:ascii="宋体" w:hAnsi="宋体" w:eastAsia="宋体" w:cs="宋体"/>
          <w:b/>
          <w:bCs/>
          <w:color w:val="auto"/>
          <w:sz w:val="24"/>
          <w:szCs w:val="24"/>
          <w:highlight w:val="none"/>
        </w:rPr>
        <w:t>解决</w:t>
      </w:r>
    </w:p>
    <w:p w14:paraId="26CAE206">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w:t>
      </w:r>
      <w:r>
        <w:rPr>
          <w:rFonts w:hint="eastAsia" w:ascii="宋体" w:hAnsi="宋体" w:eastAsia="宋体" w:cs="宋体"/>
          <w:color w:val="auto"/>
          <w:sz w:val="24"/>
          <w:szCs w:val="24"/>
          <w:highlight w:val="none"/>
          <w:lang w:val="en-US" w:eastAsia="zh-CN"/>
        </w:rPr>
        <w:t>他</w:t>
      </w:r>
      <w:r>
        <w:rPr>
          <w:rFonts w:hint="eastAsia" w:ascii="宋体" w:hAnsi="宋体" w:eastAsia="宋体" w:cs="宋体"/>
          <w:color w:val="auto"/>
          <w:sz w:val="24"/>
          <w:szCs w:val="24"/>
          <w:highlight w:val="none"/>
        </w:rPr>
        <w:t>未尽事宜或履行时发生争议，由双方本着</w:t>
      </w:r>
      <w:r>
        <w:rPr>
          <w:rFonts w:hint="eastAsia" w:ascii="宋体" w:hAnsi="宋体" w:eastAsia="宋体" w:cs="宋体"/>
          <w:color w:val="auto"/>
          <w:sz w:val="24"/>
          <w:szCs w:val="24"/>
          <w:highlight w:val="none"/>
          <w:lang w:val="en-US" w:eastAsia="zh-CN"/>
        </w:rPr>
        <w:t>诚信</w:t>
      </w:r>
      <w:r>
        <w:rPr>
          <w:rFonts w:hint="eastAsia" w:ascii="宋体" w:hAnsi="宋体" w:eastAsia="宋体" w:cs="宋体"/>
          <w:color w:val="auto"/>
          <w:sz w:val="24"/>
          <w:szCs w:val="24"/>
          <w:highlight w:val="none"/>
        </w:rPr>
        <w:t>的原则协商解决，协商不成功可选择：</w:t>
      </w:r>
      <w:r>
        <w:rPr>
          <w:rFonts w:hint="eastAsia" w:ascii="宋体" w:hAnsi="宋体" w:eastAsia="宋体" w:cs="宋体"/>
          <w:color w:val="auto"/>
          <w:sz w:val="24"/>
          <w:szCs w:val="24"/>
          <w:highlight w:val="none"/>
          <w:u w:val="single"/>
          <w:lang w:val="en-US" w:eastAsia="zh-CN"/>
        </w:rPr>
        <w:t xml:space="preserve"> 2 </w:t>
      </w:r>
      <w:r>
        <w:rPr>
          <w:rFonts w:hint="eastAsia" w:ascii="宋体" w:hAnsi="宋体" w:eastAsia="宋体" w:cs="宋体"/>
          <w:color w:val="auto"/>
          <w:sz w:val="24"/>
          <w:szCs w:val="24"/>
          <w:highlight w:val="none"/>
          <w:u w:val="none"/>
          <w:lang w:val="en-US" w:eastAsia="zh-CN"/>
        </w:rPr>
        <w:t>：</w:t>
      </w:r>
      <w:r>
        <w:rPr>
          <w:rFonts w:hint="eastAsia" w:ascii="宋体" w:hAnsi="宋体" w:eastAsia="宋体" w:cs="宋体"/>
          <w:color w:val="auto"/>
          <w:sz w:val="24"/>
          <w:szCs w:val="24"/>
          <w:highlight w:val="none"/>
        </w:rPr>
        <w:t>1）向绍兴仲裁委员会</w:t>
      </w:r>
      <w:r>
        <w:rPr>
          <w:rFonts w:hint="eastAsia" w:ascii="宋体" w:hAnsi="宋体" w:eastAsia="宋体" w:cs="宋体"/>
          <w:color w:val="auto"/>
          <w:sz w:val="24"/>
          <w:szCs w:val="24"/>
          <w:highlight w:val="none"/>
          <w:lang w:eastAsia="zh-CN"/>
        </w:rPr>
        <w:t>诸暨分会</w:t>
      </w:r>
      <w:r>
        <w:rPr>
          <w:rFonts w:hint="eastAsia" w:ascii="宋体" w:hAnsi="宋体" w:eastAsia="宋体" w:cs="宋体"/>
          <w:color w:val="auto"/>
          <w:sz w:val="24"/>
          <w:szCs w:val="24"/>
          <w:highlight w:val="none"/>
        </w:rPr>
        <w:t>申请仲裁；2）向</w:t>
      </w:r>
      <w:r>
        <w:rPr>
          <w:rFonts w:hint="eastAsia" w:ascii="宋体" w:hAnsi="宋体" w:eastAsia="宋体" w:cs="宋体"/>
          <w:color w:val="auto"/>
          <w:sz w:val="24"/>
          <w:szCs w:val="24"/>
          <w:highlight w:val="none"/>
          <w:u w:val="single"/>
        </w:rPr>
        <w:t xml:space="preserve"> 诸暨市 </w:t>
      </w:r>
      <w:r>
        <w:rPr>
          <w:rFonts w:hint="eastAsia" w:ascii="宋体" w:hAnsi="宋体" w:eastAsia="宋体" w:cs="宋体"/>
          <w:color w:val="auto"/>
          <w:sz w:val="24"/>
          <w:szCs w:val="24"/>
          <w:highlight w:val="none"/>
        </w:rPr>
        <w:t>人民法院起诉。</w:t>
      </w:r>
    </w:p>
    <w:p w14:paraId="3384C735">
      <w:pPr>
        <w:keepNext w:val="0"/>
        <w:keepLines w:val="0"/>
        <w:pageBreakBefore w:val="0"/>
        <w:widowControl w:val="0"/>
        <w:kinsoku/>
        <w:wordWrap/>
        <w:overflowPunct/>
        <w:topLinePunct w:val="0"/>
        <w:autoSpaceDE w:val="0"/>
        <w:autoSpaceDN w:val="0"/>
        <w:bidi w:val="0"/>
        <w:adjustRightInd w:val="0"/>
        <w:snapToGrid/>
        <w:spacing w:line="460" w:lineRule="exact"/>
        <w:ind w:firstLine="482" w:firstLineChars="200"/>
        <w:textAlignment w:val="auto"/>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第十</w:t>
      </w: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条 其</w:t>
      </w:r>
      <w:r>
        <w:rPr>
          <w:rFonts w:hint="eastAsia" w:ascii="宋体" w:hAnsi="宋体" w:eastAsia="宋体" w:cs="宋体"/>
          <w:b/>
          <w:bCs/>
          <w:color w:val="auto"/>
          <w:sz w:val="24"/>
          <w:szCs w:val="24"/>
          <w:highlight w:val="none"/>
          <w:lang w:val="en-US" w:eastAsia="zh-CN"/>
        </w:rPr>
        <w:t>他</w:t>
      </w:r>
    </w:p>
    <w:p w14:paraId="0308765C">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1、本项目的</w:t>
      </w:r>
      <w:r>
        <w:rPr>
          <w:rFonts w:hint="eastAsia" w:ascii="宋体" w:hAnsi="宋体" w:eastAsia="宋体" w:cs="宋体"/>
          <w:color w:val="auto"/>
          <w:sz w:val="24"/>
          <w:szCs w:val="24"/>
          <w:highlight w:val="none"/>
          <w:lang w:val="en-US" w:eastAsia="zh-CN"/>
        </w:rPr>
        <w:t>招标文件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投标文件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中标通知书</w:t>
      </w:r>
      <w:r>
        <w:rPr>
          <w:rFonts w:hint="eastAsia" w:ascii="宋体" w:hAnsi="宋体" w:eastAsia="宋体" w:cs="宋体"/>
          <w:color w:val="auto"/>
          <w:sz w:val="24"/>
          <w:szCs w:val="24"/>
          <w:highlight w:val="none"/>
        </w:rPr>
        <w:t>作为合同的</w:t>
      </w:r>
      <w:r>
        <w:rPr>
          <w:rFonts w:hint="eastAsia" w:ascii="宋体" w:hAnsi="宋体" w:eastAsia="宋体" w:cs="宋体"/>
          <w:color w:val="auto"/>
          <w:sz w:val="24"/>
          <w:szCs w:val="24"/>
          <w:highlight w:val="none"/>
          <w:lang w:val="en-US" w:eastAsia="zh-CN"/>
        </w:rPr>
        <w:t>有效</w:t>
      </w:r>
      <w:r>
        <w:rPr>
          <w:rFonts w:hint="eastAsia" w:ascii="宋体" w:hAnsi="宋体" w:eastAsia="宋体" w:cs="宋体"/>
          <w:color w:val="auto"/>
          <w:sz w:val="24"/>
          <w:szCs w:val="24"/>
          <w:highlight w:val="none"/>
        </w:rPr>
        <w:t>附件，具有同等法律效力。</w:t>
      </w:r>
      <w:r>
        <w:rPr>
          <w:rFonts w:hint="eastAsia" w:ascii="宋体" w:hAnsi="宋体" w:eastAsia="宋体" w:cs="宋体"/>
          <w:color w:val="auto"/>
          <w:sz w:val="24"/>
          <w:szCs w:val="24"/>
          <w:highlight w:val="none"/>
          <w:lang w:val="en-US" w:eastAsia="zh-CN"/>
        </w:rPr>
        <w:t>若</w:t>
      </w:r>
      <w:r>
        <w:rPr>
          <w:rFonts w:hint="eastAsia" w:ascii="宋体" w:hAnsi="宋体" w:eastAsia="宋体" w:cs="宋体"/>
          <w:color w:val="auto"/>
          <w:sz w:val="24"/>
          <w:szCs w:val="24"/>
          <w:highlight w:val="none"/>
        </w:rPr>
        <w:t>本合同正文条款与</w:t>
      </w:r>
      <w:r>
        <w:rPr>
          <w:rFonts w:hint="eastAsia" w:ascii="宋体" w:hAnsi="宋体" w:eastAsia="宋体" w:cs="宋体"/>
          <w:color w:val="auto"/>
          <w:sz w:val="24"/>
          <w:szCs w:val="24"/>
          <w:highlight w:val="none"/>
          <w:lang w:val="en-US" w:eastAsia="zh-CN"/>
        </w:rPr>
        <w:t>招标文件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投标文件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中标通知书中</w:t>
      </w:r>
      <w:r>
        <w:rPr>
          <w:rFonts w:hint="eastAsia" w:ascii="宋体" w:hAnsi="宋体" w:eastAsia="宋体" w:cs="宋体"/>
          <w:color w:val="auto"/>
          <w:sz w:val="24"/>
          <w:szCs w:val="24"/>
          <w:highlight w:val="none"/>
        </w:rPr>
        <w:t>条款有冲突之处，则</w:t>
      </w:r>
      <w:r>
        <w:rPr>
          <w:rFonts w:hint="eastAsia" w:ascii="宋体" w:hAnsi="宋体" w:eastAsia="宋体" w:cs="宋体"/>
          <w:color w:val="auto"/>
          <w:sz w:val="24"/>
          <w:szCs w:val="24"/>
          <w:highlight w:val="none"/>
          <w:lang w:val="en-US" w:eastAsia="zh-CN"/>
        </w:rPr>
        <w:t>以本</w:t>
      </w:r>
      <w:r>
        <w:rPr>
          <w:rFonts w:hint="eastAsia" w:ascii="宋体" w:hAnsi="宋体" w:eastAsia="宋体" w:cs="宋体"/>
          <w:color w:val="auto"/>
          <w:sz w:val="24"/>
          <w:szCs w:val="24"/>
          <w:highlight w:val="none"/>
        </w:rPr>
        <w:t>合同正文条款优先适用</w:t>
      </w:r>
      <w:r>
        <w:rPr>
          <w:rFonts w:hint="eastAsia" w:ascii="宋体" w:hAnsi="宋体" w:eastAsia="宋体" w:cs="宋体"/>
          <w:color w:val="auto"/>
          <w:sz w:val="24"/>
          <w:szCs w:val="24"/>
          <w:highlight w:val="none"/>
          <w:lang w:eastAsia="zh-CN"/>
        </w:rPr>
        <w:t>。</w:t>
      </w:r>
    </w:p>
    <w:p w14:paraId="69542719">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2、本合同自</w:t>
      </w:r>
      <w:r>
        <w:rPr>
          <w:rFonts w:hint="eastAsia" w:ascii="宋体" w:hAnsi="宋体" w:eastAsia="宋体" w:cs="宋体"/>
          <w:color w:val="auto"/>
          <w:sz w:val="24"/>
          <w:szCs w:val="24"/>
          <w:highlight w:val="none"/>
          <w:lang w:val="en-US" w:eastAsia="zh-CN"/>
        </w:rPr>
        <w:t>双方签字盖章</w:t>
      </w:r>
      <w:r>
        <w:rPr>
          <w:rFonts w:hint="eastAsia" w:ascii="宋体" w:hAnsi="宋体" w:eastAsia="宋体" w:cs="宋体"/>
          <w:color w:val="auto"/>
          <w:sz w:val="24"/>
          <w:szCs w:val="24"/>
          <w:highlight w:val="none"/>
        </w:rPr>
        <w:t>之日起生效。</w:t>
      </w:r>
    </w:p>
    <w:p w14:paraId="43E50503">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3、本合同一式</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份，甲乙双方各执</w:t>
      </w:r>
      <w:r>
        <w:rPr>
          <w:rFonts w:hint="eastAsia" w:ascii="宋体" w:hAnsi="宋体" w:eastAsia="宋体" w:cs="宋体"/>
          <w:bCs/>
          <w:color w:val="auto"/>
          <w:sz w:val="24"/>
          <w:szCs w:val="24"/>
          <w:highlight w:val="none"/>
          <w:lang w:val="en-US" w:eastAsia="zh-CN"/>
        </w:rPr>
        <w:t>二</w:t>
      </w:r>
      <w:r>
        <w:rPr>
          <w:rFonts w:hint="eastAsia" w:ascii="宋体" w:hAnsi="宋体" w:eastAsia="宋体" w:cs="宋体"/>
          <w:color w:val="auto"/>
          <w:sz w:val="24"/>
          <w:szCs w:val="24"/>
          <w:highlight w:val="none"/>
        </w:rPr>
        <w:t>份，</w:t>
      </w:r>
      <w:r>
        <w:rPr>
          <w:rFonts w:hint="eastAsia" w:ascii="宋体" w:hAnsi="宋体" w:eastAsia="宋体" w:cs="宋体"/>
          <w:bCs/>
          <w:color w:val="auto"/>
          <w:sz w:val="24"/>
          <w:szCs w:val="24"/>
          <w:highlight w:val="none"/>
          <w:lang w:val="en-US" w:eastAsia="zh-CN"/>
        </w:rPr>
        <w:t>诸暨市传媒集团有限公司办公室</w:t>
      </w:r>
      <w:r>
        <w:rPr>
          <w:rFonts w:hint="eastAsia" w:ascii="宋体" w:hAnsi="宋体" w:eastAsia="宋体" w:cs="宋体"/>
          <w:bCs/>
          <w:color w:val="auto"/>
          <w:sz w:val="24"/>
          <w:szCs w:val="24"/>
          <w:highlight w:val="none"/>
        </w:rPr>
        <w:t>备案</w:t>
      </w:r>
      <w:r>
        <w:rPr>
          <w:rFonts w:hint="eastAsia" w:ascii="宋体" w:hAnsi="宋体" w:eastAsia="宋体" w:cs="宋体"/>
          <w:bCs/>
          <w:color w:val="auto"/>
          <w:sz w:val="24"/>
          <w:szCs w:val="24"/>
          <w:highlight w:val="none"/>
          <w:lang w:val="en-US" w:eastAsia="zh-CN"/>
        </w:rPr>
        <w:t>一</w:t>
      </w:r>
      <w:r>
        <w:rPr>
          <w:rFonts w:hint="eastAsia" w:ascii="宋体" w:hAnsi="宋体" w:eastAsia="宋体" w:cs="宋体"/>
          <w:bCs/>
          <w:color w:val="auto"/>
          <w:sz w:val="24"/>
          <w:szCs w:val="24"/>
          <w:highlight w:val="none"/>
        </w:rPr>
        <w:t>份</w:t>
      </w:r>
      <w:r>
        <w:rPr>
          <w:rFonts w:hint="eastAsia" w:ascii="宋体" w:hAnsi="宋体" w:eastAsia="宋体" w:cs="宋体"/>
          <w:color w:val="auto"/>
          <w:sz w:val="24"/>
          <w:szCs w:val="24"/>
          <w:highlight w:val="none"/>
        </w:rPr>
        <w:t>。</w:t>
      </w:r>
    </w:p>
    <w:p w14:paraId="56F3758D">
      <w:pPr>
        <w:keepNext w:val="0"/>
        <w:keepLines w:val="0"/>
        <w:pageBreakBefore w:val="0"/>
        <w:widowControl w:val="0"/>
        <w:kinsoku/>
        <w:wordWrap/>
        <w:overflowPunct/>
        <w:topLinePunct w:val="0"/>
        <w:autoSpaceDE w:val="0"/>
        <w:autoSpaceDN w:val="0"/>
        <w:bidi w:val="0"/>
        <w:adjustRightInd w:val="0"/>
        <w:snapToGrid/>
        <w:spacing w:line="460" w:lineRule="exact"/>
        <w:ind w:firstLine="482" w:firstLineChars="200"/>
        <w:textAlignment w:val="auto"/>
        <w:outlineLvl w:val="1"/>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第十</w:t>
      </w:r>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 xml:space="preserve">条 </w:t>
      </w:r>
      <w:r>
        <w:rPr>
          <w:rFonts w:hint="eastAsia" w:ascii="宋体" w:hAnsi="宋体" w:eastAsia="宋体" w:cs="宋体"/>
          <w:b/>
          <w:bCs/>
          <w:color w:val="auto"/>
          <w:sz w:val="24"/>
          <w:szCs w:val="24"/>
          <w:highlight w:val="none"/>
          <w:lang w:val="en-US" w:eastAsia="zh-CN"/>
        </w:rPr>
        <w:t>附件</w:t>
      </w:r>
    </w:p>
    <w:p w14:paraId="4A71042E">
      <w:pPr>
        <w:pStyle w:val="32"/>
        <w:keepNext w:val="0"/>
        <w:keepLines w:val="0"/>
        <w:pageBreakBefore w:val="0"/>
        <w:widowControl/>
        <w:kinsoku/>
        <w:wordWrap/>
        <w:overflowPunct/>
        <w:topLinePunct w:val="0"/>
        <w:autoSpaceDE w:val="0"/>
        <w:autoSpaceDN w:val="0"/>
        <w:bidi w:val="0"/>
        <w:adjustRightInd w:val="0"/>
        <w:snapToGrid/>
        <w:spacing w:line="460" w:lineRule="exact"/>
        <w:ind w:firstLine="480" w:firstLineChars="200"/>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1.采购清单</w:t>
      </w:r>
    </w:p>
    <w:p w14:paraId="44AB7606">
      <w:pPr>
        <w:pStyle w:val="32"/>
        <w:keepNext w:val="0"/>
        <w:keepLines w:val="0"/>
        <w:pageBreakBefore w:val="0"/>
        <w:widowControl/>
        <w:kinsoku/>
        <w:wordWrap/>
        <w:overflowPunct/>
        <w:topLinePunct w:val="0"/>
        <w:autoSpaceDE w:val="0"/>
        <w:autoSpaceDN w:val="0"/>
        <w:bidi w:val="0"/>
        <w:adjustRightInd w:val="0"/>
        <w:snapToGrid/>
        <w:spacing w:line="460" w:lineRule="exact"/>
        <w:ind w:firstLine="480" w:firstLineChars="200"/>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2.安全保密承诺书</w:t>
      </w:r>
    </w:p>
    <w:p w14:paraId="35F99BC4">
      <w:pPr>
        <w:pStyle w:val="32"/>
        <w:keepNext w:val="0"/>
        <w:keepLines w:val="0"/>
        <w:pageBreakBefore w:val="0"/>
        <w:widowControl/>
        <w:kinsoku/>
        <w:wordWrap/>
        <w:overflowPunct/>
        <w:topLinePunct w:val="0"/>
        <w:autoSpaceDE w:val="0"/>
        <w:autoSpaceDN w:val="0"/>
        <w:bidi w:val="0"/>
        <w:adjustRightInd w:val="0"/>
        <w:snapToGrid/>
        <w:spacing w:line="460" w:lineRule="exact"/>
        <w:ind w:firstLine="480" w:firstLineChars="200"/>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3.安全保密协议</w:t>
      </w:r>
    </w:p>
    <w:p w14:paraId="13DC7CF5">
      <w:pPr>
        <w:pStyle w:val="32"/>
        <w:keepNext w:val="0"/>
        <w:keepLines w:val="0"/>
        <w:pageBreakBefore w:val="0"/>
        <w:widowControl/>
        <w:kinsoku/>
        <w:wordWrap/>
        <w:overflowPunct/>
        <w:topLinePunct w:val="0"/>
        <w:autoSpaceDE w:val="0"/>
        <w:autoSpaceDN w:val="0"/>
        <w:bidi w:val="0"/>
        <w:adjustRightInd w:val="0"/>
        <w:snapToGrid/>
        <w:spacing w:line="460" w:lineRule="exact"/>
        <w:ind w:firstLine="480" w:firstLineChars="200"/>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（以下无正文）</w:t>
      </w:r>
    </w:p>
    <w:p w14:paraId="113E868A">
      <w:pPr>
        <w:pStyle w:val="32"/>
        <w:keepNext w:val="0"/>
        <w:keepLines w:val="0"/>
        <w:pageBreakBefore w:val="0"/>
        <w:widowControl/>
        <w:kinsoku/>
        <w:wordWrap/>
        <w:overflowPunct/>
        <w:topLinePunct w:val="0"/>
        <w:autoSpaceDE w:val="0"/>
        <w:autoSpaceDN w:val="0"/>
        <w:bidi w:val="0"/>
        <w:adjustRightInd w:val="0"/>
        <w:snapToGrid/>
        <w:spacing w:line="460" w:lineRule="exact"/>
        <w:ind w:firstLine="480" w:firstLineChars="200"/>
        <w:textAlignment w:val="auto"/>
        <w:rPr>
          <w:rFonts w:hint="eastAsia" w:ascii="宋体" w:hAnsi="宋体" w:eastAsia="宋体" w:cs="宋体"/>
          <w:color w:val="auto"/>
          <w:sz w:val="24"/>
          <w:szCs w:val="24"/>
          <w:highlight w:val="none"/>
          <w:lang w:val="en-US" w:eastAsia="zh-CN" w:bidi="ar-SA"/>
        </w:rPr>
      </w:pPr>
    </w:p>
    <w:tbl>
      <w:tblPr>
        <w:tblStyle w:val="20"/>
        <w:tblW w:w="9819" w:type="dxa"/>
        <w:tblInd w:w="-5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4"/>
        <w:gridCol w:w="4915"/>
      </w:tblGrid>
      <w:tr w14:paraId="48968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904" w:type="dxa"/>
            <w:noWrap w:val="0"/>
            <w:vAlign w:val="center"/>
          </w:tcPr>
          <w:p w14:paraId="3DDF6661">
            <w:pPr>
              <w:keepNext w:val="0"/>
              <w:keepLines w:val="0"/>
              <w:pageBreakBefore w:val="0"/>
              <w:kinsoku/>
              <w:wordWrap/>
              <w:overflowPunct/>
              <w:topLinePunct w:val="0"/>
              <w:autoSpaceDE w:val="0"/>
              <w:autoSpaceDN w:val="0"/>
              <w:bidi w:val="0"/>
              <w:adjustRightInd w:val="0"/>
              <w:snapToGrid/>
              <w:spacing w:line="4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rPr>
              <w:t>甲  方</w:t>
            </w:r>
            <w:r>
              <w:rPr>
                <w:rFonts w:hint="eastAsia" w:ascii="宋体" w:hAnsi="宋体" w:eastAsia="宋体" w:cs="宋体"/>
                <w:b/>
                <w:bCs/>
                <w:color w:val="auto"/>
                <w:sz w:val="21"/>
                <w:szCs w:val="21"/>
                <w:highlight w:val="none"/>
                <w:lang w:val="en-US" w:eastAsia="zh-CN"/>
              </w:rPr>
              <w:t>(采购单位)</w:t>
            </w:r>
          </w:p>
        </w:tc>
        <w:tc>
          <w:tcPr>
            <w:tcW w:w="4915" w:type="dxa"/>
            <w:noWrap w:val="0"/>
            <w:vAlign w:val="center"/>
          </w:tcPr>
          <w:p w14:paraId="16262FB5">
            <w:pPr>
              <w:keepNext w:val="0"/>
              <w:keepLines w:val="0"/>
              <w:pageBreakBefore w:val="0"/>
              <w:kinsoku/>
              <w:wordWrap/>
              <w:overflowPunct/>
              <w:topLinePunct w:val="0"/>
              <w:autoSpaceDE w:val="0"/>
              <w:autoSpaceDN w:val="0"/>
              <w:bidi w:val="0"/>
              <w:adjustRightInd w:val="0"/>
              <w:snapToGrid/>
              <w:spacing w:line="46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乙  方</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供货单位</w:t>
            </w:r>
            <w:r>
              <w:rPr>
                <w:rFonts w:hint="eastAsia" w:ascii="宋体" w:hAnsi="宋体" w:eastAsia="宋体" w:cs="宋体"/>
                <w:b/>
                <w:bCs/>
                <w:color w:val="auto"/>
                <w:sz w:val="21"/>
                <w:szCs w:val="21"/>
                <w:highlight w:val="none"/>
                <w:lang w:eastAsia="zh-CN"/>
              </w:rPr>
              <w:t>）</w:t>
            </w:r>
          </w:p>
        </w:tc>
      </w:tr>
      <w:tr w14:paraId="6E741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5" w:hRule="atLeast"/>
        </w:trPr>
        <w:tc>
          <w:tcPr>
            <w:tcW w:w="4904" w:type="dxa"/>
            <w:noWrap w:val="0"/>
            <w:vAlign w:val="top"/>
          </w:tcPr>
          <w:p w14:paraId="3FC3D340">
            <w:pPr>
              <w:keepNext w:val="0"/>
              <w:keepLines w:val="0"/>
              <w:pageBreakBefore w:val="0"/>
              <w:kinsoku/>
              <w:wordWrap/>
              <w:overflowPunct/>
              <w:topLinePunct w:val="0"/>
              <w:autoSpaceDE w:val="0"/>
              <w:autoSpaceDN w:val="0"/>
              <w:bidi w:val="0"/>
              <w:adjustRightInd w:val="0"/>
              <w:snapToGrid/>
              <w:spacing w:line="46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单位名称（盖章）：</w:t>
            </w:r>
          </w:p>
          <w:p w14:paraId="62C74461">
            <w:pPr>
              <w:keepNext w:val="0"/>
              <w:keepLines w:val="0"/>
              <w:pageBreakBefore w:val="0"/>
              <w:kinsoku/>
              <w:wordWrap/>
              <w:overflowPunct/>
              <w:topLinePunct w:val="0"/>
              <w:autoSpaceDE w:val="0"/>
              <w:autoSpaceDN w:val="0"/>
              <w:bidi w:val="0"/>
              <w:adjustRightInd w:val="0"/>
              <w:snapToGrid/>
              <w:spacing w:line="46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单位地址：</w:t>
            </w:r>
          </w:p>
          <w:p w14:paraId="7A635A02">
            <w:pPr>
              <w:keepNext w:val="0"/>
              <w:keepLines w:val="0"/>
              <w:pageBreakBefore w:val="0"/>
              <w:kinsoku/>
              <w:wordWrap/>
              <w:overflowPunct/>
              <w:topLinePunct w:val="0"/>
              <w:autoSpaceDE w:val="0"/>
              <w:autoSpaceDN w:val="0"/>
              <w:bidi w:val="0"/>
              <w:adjustRightInd w:val="0"/>
              <w:snapToGrid/>
              <w:spacing w:line="46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法定代表人：</w:t>
            </w:r>
          </w:p>
          <w:p w14:paraId="35E26968">
            <w:pPr>
              <w:keepNext w:val="0"/>
              <w:keepLines w:val="0"/>
              <w:pageBreakBefore w:val="0"/>
              <w:kinsoku/>
              <w:wordWrap/>
              <w:overflowPunct/>
              <w:topLinePunct w:val="0"/>
              <w:autoSpaceDE w:val="0"/>
              <w:autoSpaceDN w:val="0"/>
              <w:bidi w:val="0"/>
              <w:adjustRightInd w:val="0"/>
              <w:snapToGrid/>
              <w:spacing w:line="46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委托代理人：</w:t>
            </w:r>
          </w:p>
          <w:p w14:paraId="281DF975">
            <w:pPr>
              <w:keepNext w:val="0"/>
              <w:keepLines w:val="0"/>
              <w:pageBreakBefore w:val="0"/>
              <w:kinsoku/>
              <w:wordWrap/>
              <w:overflowPunct/>
              <w:topLinePunct w:val="0"/>
              <w:autoSpaceDE w:val="0"/>
              <w:autoSpaceDN w:val="0"/>
              <w:bidi w:val="0"/>
              <w:adjustRightInd w:val="0"/>
              <w:snapToGrid/>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highlight w:val="none"/>
                <w:lang w:val="en-US" w:eastAsia="zh-CN"/>
              </w:rPr>
              <w:t>统一社会信用代码：</w:t>
            </w:r>
          </w:p>
        </w:tc>
        <w:tc>
          <w:tcPr>
            <w:tcW w:w="4915" w:type="dxa"/>
            <w:noWrap w:val="0"/>
            <w:vAlign w:val="top"/>
          </w:tcPr>
          <w:p w14:paraId="46A6F33E">
            <w:pPr>
              <w:keepNext w:val="0"/>
              <w:keepLines w:val="0"/>
              <w:pageBreakBefore w:val="0"/>
              <w:kinsoku/>
              <w:wordWrap/>
              <w:overflowPunct/>
              <w:topLinePunct w:val="0"/>
              <w:autoSpaceDE w:val="0"/>
              <w:autoSpaceDN w:val="0"/>
              <w:bidi w:val="0"/>
              <w:adjustRightInd w:val="0"/>
              <w:snapToGrid/>
              <w:spacing w:line="460" w:lineRule="exact"/>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highlight w:val="none"/>
              </w:rPr>
              <w:t>单位名称（盖章）：</w:t>
            </w:r>
          </w:p>
          <w:p w14:paraId="578F2F8C">
            <w:pPr>
              <w:keepNext w:val="0"/>
              <w:keepLines w:val="0"/>
              <w:pageBreakBefore w:val="0"/>
              <w:kinsoku/>
              <w:wordWrap/>
              <w:overflowPunct/>
              <w:topLinePunct w:val="0"/>
              <w:autoSpaceDE w:val="0"/>
              <w:autoSpaceDN w:val="0"/>
              <w:bidi w:val="0"/>
              <w:adjustRightInd w:val="0"/>
              <w:snapToGrid/>
              <w:spacing w:line="46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单位地址：</w:t>
            </w:r>
          </w:p>
          <w:p w14:paraId="11873E14">
            <w:pPr>
              <w:keepNext w:val="0"/>
              <w:keepLines w:val="0"/>
              <w:pageBreakBefore w:val="0"/>
              <w:kinsoku/>
              <w:wordWrap/>
              <w:overflowPunct/>
              <w:topLinePunct w:val="0"/>
              <w:autoSpaceDE w:val="0"/>
              <w:autoSpaceDN w:val="0"/>
              <w:bidi w:val="0"/>
              <w:adjustRightInd w:val="0"/>
              <w:snapToGrid/>
              <w:spacing w:line="46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法定代表人：</w:t>
            </w:r>
            <w:r>
              <w:rPr>
                <w:rFonts w:hint="eastAsia" w:ascii="宋体" w:hAnsi="宋体" w:eastAsia="宋体" w:cs="宋体"/>
                <w:color w:val="auto"/>
                <w:highlight w:val="none"/>
                <w:lang w:val="en-US" w:eastAsia="zh-CN"/>
              </w:rPr>
              <w:t xml:space="preserve"> </w:t>
            </w:r>
          </w:p>
          <w:p w14:paraId="7D6A4B96">
            <w:pPr>
              <w:keepNext w:val="0"/>
              <w:keepLines w:val="0"/>
              <w:pageBreakBefore w:val="0"/>
              <w:kinsoku/>
              <w:wordWrap/>
              <w:overflowPunct/>
              <w:topLinePunct w:val="0"/>
              <w:autoSpaceDE w:val="0"/>
              <w:autoSpaceDN w:val="0"/>
              <w:bidi w:val="0"/>
              <w:adjustRightInd w:val="0"/>
              <w:snapToGrid/>
              <w:spacing w:line="460" w:lineRule="exac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委托代理人：</w:t>
            </w:r>
          </w:p>
          <w:p w14:paraId="027D062D">
            <w:pPr>
              <w:keepNext w:val="0"/>
              <w:keepLines w:val="0"/>
              <w:pageBreakBefore w:val="0"/>
              <w:kinsoku/>
              <w:wordWrap/>
              <w:overflowPunct/>
              <w:topLinePunct w:val="0"/>
              <w:autoSpaceDE w:val="0"/>
              <w:autoSpaceDN w:val="0"/>
              <w:bidi w:val="0"/>
              <w:adjustRightInd w:val="0"/>
              <w:snapToGrid/>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highlight w:val="none"/>
                <w:lang w:val="en-US" w:eastAsia="zh-CN"/>
              </w:rPr>
              <w:t>统一社会信用代码：</w:t>
            </w:r>
          </w:p>
        </w:tc>
      </w:tr>
    </w:tbl>
    <w:p w14:paraId="7B9CF16C">
      <w:pPr>
        <w:rPr>
          <w:rFonts w:hint="eastAsia" w:ascii="宋体" w:hAnsi="宋体" w:eastAsia="宋体" w:cs="宋体"/>
          <w:color w:val="auto"/>
          <w:sz w:val="24"/>
          <w:szCs w:val="24"/>
          <w:highlight w:val="none"/>
        </w:rPr>
        <w:sectPr>
          <w:footerReference r:id="rId6" w:type="default"/>
          <w:pgSz w:w="11906" w:h="16838"/>
          <w:pgMar w:top="1417" w:right="1417" w:bottom="1417" w:left="1417" w:header="851" w:footer="992" w:gutter="0"/>
          <w:pgNumType w:fmt="decimal" w:start="1"/>
          <w:cols w:space="425" w:num="1"/>
          <w:docGrid w:type="lines" w:linePitch="312" w:charSpace="0"/>
        </w:sectPr>
      </w:pPr>
      <w:r>
        <w:rPr>
          <w:rFonts w:hint="eastAsia" w:ascii="宋体" w:hAnsi="宋体" w:eastAsia="宋体" w:cs="宋体"/>
          <w:color w:val="auto"/>
          <w:sz w:val="24"/>
          <w:szCs w:val="24"/>
          <w:highlight w:val="none"/>
        </w:rPr>
        <w:br w:type="page"/>
      </w:r>
    </w:p>
    <w:p w14:paraId="2FEDD36C">
      <w:pPr>
        <w:pStyle w:val="32"/>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附件1：采购清单</w:t>
      </w:r>
    </w:p>
    <w:tbl>
      <w:tblPr>
        <w:tblStyle w:val="20"/>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7"/>
        <w:gridCol w:w="1373"/>
        <w:gridCol w:w="1637"/>
        <w:gridCol w:w="2027"/>
        <w:gridCol w:w="638"/>
        <w:gridCol w:w="638"/>
        <w:gridCol w:w="1272"/>
        <w:gridCol w:w="1272"/>
      </w:tblGrid>
      <w:tr w14:paraId="60E01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1F4C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4792F">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模块</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8B45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子模块</w:t>
            </w:r>
          </w:p>
        </w:tc>
        <w:tc>
          <w:tcPr>
            <w:tcW w:w="1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CA29E">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功能描述</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24BA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542DE">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7EF1F">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单价（元）</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4766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合计（元）</w:t>
            </w:r>
          </w:p>
        </w:tc>
      </w:tr>
      <w:tr w14:paraId="384B7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1298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103E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7486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AA69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95FA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0F6D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24A1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D83C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14:paraId="6C689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2436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96EA8">
            <w:pPr>
              <w:jc w:val="center"/>
              <w:rPr>
                <w:rFonts w:hint="eastAsia" w:ascii="宋体" w:hAnsi="宋体" w:eastAsia="宋体" w:cs="宋体"/>
                <w:i w:val="0"/>
                <w:iCs w:val="0"/>
                <w:color w:val="auto"/>
                <w:sz w:val="21"/>
                <w:szCs w:val="21"/>
                <w:highlight w:val="none"/>
                <w:u w:val="none"/>
              </w:rPr>
            </w:pP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A7D94">
            <w:pPr>
              <w:jc w:val="center"/>
              <w:rPr>
                <w:rFonts w:hint="eastAsia" w:ascii="宋体" w:hAnsi="宋体" w:eastAsia="宋体" w:cs="宋体"/>
                <w:i w:val="0"/>
                <w:iCs w:val="0"/>
                <w:color w:val="auto"/>
                <w:sz w:val="21"/>
                <w:szCs w:val="21"/>
                <w:highlight w:val="none"/>
                <w:u w:val="none"/>
              </w:rPr>
            </w:pPr>
          </w:p>
        </w:tc>
        <w:tc>
          <w:tcPr>
            <w:tcW w:w="1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3B06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2B98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E187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DF5D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0CE4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14:paraId="08DD8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858C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5021D">
            <w:pPr>
              <w:jc w:val="center"/>
              <w:rPr>
                <w:rFonts w:hint="eastAsia" w:ascii="宋体" w:hAnsi="宋体" w:eastAsia="宋体" w:cs="宋体"/>
                <w:i w:val="0"/>
                <w:iCs w:val="0"/>
                <w:color w:val="auto"/>
                <w:sz w:val="21"/>
                <w:szCs w:val="21"/>
                <w:highlight w:val="none"/>
                <w:u w:val="none"/>
              </w:rPr>
            </w:pP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5017E">
            <w:pPr>
              <w:jc w:val="center"/>
              <w:rPr>
                <w:rFonts w:hint="eastAsia" w:ascii="宋体" w:hAnsi="宋体" w:eastAsia="宋体" w:cs="宋体"/>
                <w:i w:val="0"/>
                <w:iCs w:val="0"/>
                <w:color w:val="auto"/>
                <w:sz w:val="21"/>
                <w:szCs w:val="21"/>
                <w:highlight w:val="none"/>
                <w:u w:val="none"/>
              </w:rPr>
            </w:pPr>
          </w:p>
        </w:tc>
        <w:tc>
          <w:tcPr>
            <w:tcW w:w="1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9EE0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C011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4518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0A27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A6F6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14:paraId="5CDD2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E8E4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269BA">
            <w:pPr>
              <w:jc w:val="center"/>
              <w:rPr>
                <w:rFonts w:hint="eastAsia" w:ascii="宋体" w:hAnsi="宋体" w:eastAsia="宋体" w:cs="宋体"/>
                <w:i w:val="0"/>
                <w:iCs w:val="0"/>
                <w:color w:val="auto"/>
                <w:sz w:val="21"/>
                <w:szCs w:val="21"/>
                <w:highlight w:val="none"/>
                <w:u w:val="none"/>
              </w:rPr>
            </w:pP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5CC7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ED25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D114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565E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A98A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E899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14:paraId="1B862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FE49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7CBC2">
            <w:pPr>
              <w:jc w:val="center"/>
              <w:rPr>
                <w:rFonts w:hint="eastAsia" w:ascii="宋体" w:hAnsi="宋体" w:eastAsia="宋体" w:cs="宋体"/>
                <w:i w:val="0"/>
                <w:iCs w:val="0"/>
                <w:color w:val="auto"/>
                <w:sz w:val="21"/>
                <w:szCs w:val="21"/>
                <w:highlight w:val="none"/>
                <w:u w:val="none"/>
              </w:rPr>
            </w:pP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3ECEF">
            <w:pPr>
              <w:jc w:val="center"/>
              <w:rPr>
                <w:rFonts w:hint="eastAsia" w:ascii="宋体" w:hAnsi="宋体" w:eastAsia="宋体" w:cs="宋体"/>
                <w:i w:val="0"/>
                <w:iCs w:val="0"/>
                <w:color w:val="auto"/>
                <w:sz w:val="21"/>
                <w:szCs w:val="21"/>
                <w:highlight w:val="none"/>
                <w:u w:val="none"/>
              </w:rPr>
            </w:pPr>
          </w:p>
        </w:tc>
        <w:tc>
          <w:tcPr>
            <w:tcW w:w="1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F1D1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F546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F654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7D4D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C2D9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14:paraId="2B23D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72C3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A2731">
            <w:pPr>
              <w:jc w:val="center"/>
              <w:rPr>
                <w:rFonts w:hint="eastAsia" w:ascii="宋体" w:hAnsi="宋体" w:eastAsia="宋体" w:cs="宋体"/>
                <w:i w:val="0"/>
                <w:iCs w:val="0"/>
                <w:color w:val="auto"/>
                <w:sz w:val="21"/>
                <w:szCs w:val="21"/>
                <w:highlight w:val="none"/>
                <w:u w:val="none"/>
              </w:rPr>
            </w:pP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879B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352E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6007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AA43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90B7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D778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14:paraId="4B7C9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1358A">
            <w:pPr>
              <w:keepNext w:val="0"/>
              <w:keepLines w:val="0"/>
              <w:widowControl/>
              <w:suppressLineNumbers w:val="0"/>
              <w:jc w:val="center"/>
              <w:textAlignment w:val="auto"/>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 xml:space="preserve">合计金额（含税）大写：    元整                        小写：¥     </w:t>
            </w:r>
          </w:p>
        </w:tc>
      </w:tr>
    </w:tbl>
    <w:p w14:paraId="71D6DA39">
      <w:pPr>
        <w:pStyle w:val="32"/>
        <w:keepNext w:val="0"/>
        <w:keepLines w:val="0"/>
        <w:pageBreakBefore w:val="0"/>
        <w:widowControl w:val="0"/>
        <w:kinsoku/>
        <w:wordWrap/>
        <w:overflowPunct/>
        <w:topLinePunct w:val="0"/>
        <w:autoSpaceDE w:val="0"/>
        <w:autoSpaceDN w:val="0"/>
        <w:bidi w:val="0"/>
        <w:adjustRightInd w:val="0"/>
        <w:snapToGrid/>
        <w:spacing w:line="20" w:lineRule="exact"/>
        <w:textAlignment w:val="auto"/>
        <w:rPr>
          <w:rFonts w:hint="eastAsia" w:ascii="宋体" w:hAnsi="宋体" w:eastAsia="宋体" w:cs="宋体"/>
          <w:color w:val="auto"/>
          <w:highlight w:val="none"/>
          <w:lang w:val="en-US" w:eastAsia="zh-CN"/>
        </w:rPr>
      </w:pPr>
    </w:p>
    <w:p w14:paraId="537C42F2">
      <w:pPr>
        <w:bidi w:val="0"/>
        <w:rPr>
          <w:rFonts w:hint="eastAsia" w:ascii="宋体" w:hAnsi="宋体" w:eastAsia="宋体" w:cs="宋体"/>
          <w:color w:val="auto"/>
          <w:highlight w:val="none"/>
          <w:lang w:val="en-US" w:eastAsia="zh-CN"/>
        </w:rPr>
      </w:pPr>
    </w:p>
    <w:p w14:paraId="2031D819">
      <w:pPr>
        <w:bidi w:val="0"/>
        <w:rPr>
          <w:rFonts w:hint="eastAsia" w:ascii="宋体" w:hAnsi="宋体" w:eastAsia="宋体" w:cs="宋体"/>
          <w:color w:val="auto"/>
          <w:highlight w:val="none"/>
          <w:lang w:val="en-US" w:eastAsia="zh-CN"/>
        </w:rPr>
      </w:pPr>
    </w:p>
    <w:p w14:paraId="4CE56C09">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br w:type="page"/>
      </w:r>
    </w:p>
    <w:p w14:paraId="4AC1CD34">
      <w:pPr>
        <w:pStyle w:val="32"/>
        <w:rPr>
          <w:rFonts w:hint="eastAsia" w:ascii="宋体" w:hAnsi="宋体" w:eastAsia="宋体" w:cs="宋体"/>
          <w:color w:val="auto"/>
          <w:highlight w:val="none"/>
        </w:rPr>
      </w:pPr>
      <w:r>
        <w:rPr>
          <w:rFonts w:hint="eastAsia" w:ascii="宋体" w:hAnsi="宋体" w:eastAsia="宋体" w:cs="宋体"/>
          <w:color w:val="auto"/>
          <w:highlight w:val="none"/>
        </w:rPr>
        <w:t>附件</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：安全保密承诺书</w:t>
      </w:r>
    </w:p>
    <w:p w14:paraId="16264AE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kern w:val="2"/>
          <w:sz w:val="28"/>
          <w:szCs w:val="28"/>
          <w:highlight w:val="none"/>
        </w:rPr>
      </w:pPr>
      <w:r>
        <w:rPr>
          <w:rFonts w:hint="eastAsia" w:ascii="宋体" w:hAnsi="宋体" w:eastAsia="宋体" w:cs="宋体"/>
          <w:b/>
          <w:bCs/>
          <w:color w:val="auto"/>
          <w:kern w:val="2"/>
          <w:sz w:val="28"/>
          <w:szCs w:val="28"/>
          <w:highlight w:val="none"/>
        </w:rPr>
        <w:t>安全保密承诺书</w:t>
      </w:r>
    </w:p>
    <w:p w14:paraId="7B41841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kern w:val="2"/>
          <w:sz w:val="24"/>
          <w:szCs w:val="24"/>
          <w:highlight w:val="none"/>
          <w:u w:val="none"/>
          <w:lang w:val="en-US" w:eastAsia="zh-CN"/>
        </w:rPr>
      </w:pPr>
      <w:r>
        <w:rPr>
          <w:rFonts w:hint="eastAsia" w:ascii="宋体" w:hAnsi="宋体" w:eastAsia="宋体" w:cs="宋体"/>
          <w:b/>
          <w:bCs/>
          <w:color w:val="auto"/>
          <w:kern w:val="2"/>
          <w:sz w:val="24"/>
          <w:szCs w:val="24"/>
          <w:highlight w:val="none"/>
          <w:u w:val="single"/>
          <w:lang w:val="en-US" w:eastAsia="zh-CN"/>
        </w:rPr>
        <w:t xml:space="preserve">                     </w:t>
      </w:r>
      <w:r>
        <w:rPr>
          <w:rFonts w:hint="eastAsia" w:ascii="宋体" w:hAnsi="宋体" w:eastAsia="宋体" w:cs="宋体"/>
          <w:b/>
          <w:bCs/>
          <w:color w:val="auto"/>
          <w:kern w:val="2"/>
          <w:sz w:val="24"/>
          <w:szCs w:val="24"/>
          <w:highlight w:val="none"/>
          <w:u w:val="none"/>
          <w:lang w:val="en-US" w:eastAsia="zh-CN"/>
        </w:rPr>
        <w:t>：</w:t>
      </w:r>
    </w:p>
    <w:p w14:paraId="1F7E15F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为保障贵单位网络信息安全，我公司郑重承诺遵守本承诺书的有关条款，如有违反本承诺书条款的行为，本公司承担由此带来的一切民事、行政和刑事责任。</w:t>
      </w:r>
    </w:p>
    <w:p w14:paraId="33985F9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一、严格遵守《中华人民共和国网络安全法》《中华人民共和国保守国家秘密法》《中华人民共和国数据安全法》《中华人民共和国计算机信息系统安全保护条例》等相关法律法规和贵单位规章制度。</w:t>
      </w:r>
    </w:p>
    <w:p w14:paraId="0B67C87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二、健全网络信息安全管理制度和落实安全保护技术措施，保证派遣符合网络信息安全与保密要求的人员参加我公司承担的项目，并承担法律上的担保责任。</w:t>
      </w:r>
    </w:p>
    <w:p w14:paraId="3F0D3C1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三、不从事任何危害网络信息安全的活动，包括但不限于：</w:t>
      </w:r>
    </w:p>
    <w:p w14:paraId="4FAF8CA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1、未经允许，进入信息系统或者使用网络资源的；</w:t>
      </w:r>
    </w:p>
    <w:p w14:paraId="75298F0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2、未经允许，对信息系统进行删除、修改或者增加的；</w:t>
      </w:r>
    </w:p>
    <w:p w14:paraId="13821CA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3、未经允许，对信息系统中存储或者传输的数据进行删除、修改、增加或者复制的；</w:t>
      </w:r>
    </w:p>
    <w:p w14:paraId="08250F9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4、未经允许，将有关数据、资料提供泄露给第三方或用于其他商业目的；</w:t>
      </w:r>
    </w:p>
    <w:p w14:paraId="2D75578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5、故意制作、传播计算机病毒等破坏性程序的；</w:t>
      </w:r>
    </w:p>
    <w:p w14:paraId="76C6C15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6、法律法规禁止的其他危害网络安全的。</w:t>
      </w:r>
    </w:p>
    <w:p w14:paraId="09A40E9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四、当发生重大网络信息安全事故时，立即报告贵单位，保留原始记录，积极配合贵单位做好安全事件的处置及调查工作,并采取相应措施，及时排除信息安全隐患，修复漏洞。</w:t>
      </w:r>
    </w:p>
    <w:p w14:paraId="5DDB3EC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五、项目工作人员发生变更或离岗（职）的，必须向其提示信息的保密性和应承担的义务，确保上述人员承担保密责任的程度不低于本承诺书规定的程度。</w:t>
      </w:r>
    </w:p>
    <w:p w14:paraId="0822479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2"/>
          <w:sz w:val="24"/>
          <w:szCs w:val="24"/>
          <w:highlight w:val="none"/>
        </w:rPr>
      </w:pPr>
    </w:p>
    <w:p w14:paraId="36463A3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highlight w:val="none"/>
        </w:rPr>
      </w:pPr>
    </w:p>
    <w:p w14:paraId="6E527A1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highlight w:val="none"/>
        </w:rPr>
      </w:pPr>
    </w:p>
    <w:p w14:paraId="51B6D772">
      <w:pPr>
        <w:keepNext w:val="0"/>
        <w:keepLines w:val="0"/>
        <w:pageBreakBefore w:val="0"/>
        <w:widowControl w:val="0"/>
        <w:kinsoku/>
        <w:wordWrap/>
        <w:overflowPunct/>
        <w:topLinePunct w:val="0"/>
        <w:autoSpaceDE/>
        <w:autoSpaceDN/>
        <w:bidi w:val="0"/>
        <w:adjustRightInd/>
        <w:snapToGrid/>
        <w:spacing w:line="440" w:lineRule="exact"/>
        <w:ind w:firstLine="3820" w:firstLineChars="1592"/>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乙方</w:t>
      </w:r>
      <w:r>
        <w:rPr>
          <w:rFonts w:hint="eastAsia" w:ascii="宋体" w:hAnsi="宋体" w:eastAsia="宋体" w:cs="宋体"/>
          <w:color w:val="auto"/>
          <w:kern w:val="2"/>
          <w:sz w:val="24"/>
          <w:szCs w:val="24"/>
          <w:highlight w:val="none"/>
        </w:rPr>
        <w:t>盖章：</w:t>
      </w:r>
      <w:r>
        <w:rPr>
          <w:rFonts w:hint="eastAsia" w:ascii="宋体" w:hAnsi="宋体" w:eastAsia="宋体" w:cs="宋体"/>
          <w:color w:val="auto"/>
          <w:kern w:val="2"/>
          <w:sz w:val="24"/>
          <w:szCs w:val="24"/>
          <w:highlight w:val="none"/>
          <w:u w:val="single"/>
          <w:lang w:val="en-US" w:eastAsia="zh-CN"/>
        </w:rPr>
        <w:t xml:space="preserve">                  公司</w:t>
      </w:r>
    </w:p>
    <w:p w14:paraId="5ACB9A33">
      <w:pPr>
        <w:keepNext w:val="0"/>
        <w:keepLines w:val="0"/>
        <w:pageBreakBefore w:val="0"/>
        <w:widowControl w:val="0"/>
        <w:kinsoku/>
        <w:wordWrap/>
        <w:overflowPunct/>
        <w:topLinePunct w:val="0"/>
        <w:autoSpaceDE/>
        <w:autoSpaceDN/>
        <w:bidi w:val="0"/>
        <w:adjustRightInd/>
        <w:snapToGrid/>
        <w:spacing w:line="440" w:lineRule="exact"/>
        <w:ind w:firstLine="3820" w:firstLineChars="1592"/>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法定（授权）代表人签字： </w:t>
      </w:r>
    </w:p>
    <w:p w14:paraId="3A50BA4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highlight w:val="none"/>
        </w:rPr>
      </w:pPr>
    </w:p>
    <w:p w14:paraId="08438A71">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B836A58">
      <w:pPr>
        <w:pStyle w:val="32"/>
        <w:rPr>
          <w:rFonts w:hint="eastAsia" w:ascii="宋体" w:hAnsi="宋体" w:eastAsia="宋体" w:cs="宋体"/>
          <w:color w:val="auto"/>
          <w:highlight w:val="none"/>
        </w:rPr>
      </w:pPr>
      <w:r>
        <w:rPr>
          <w:rFonts w:hint="eastAsia" w:ascii="宋体" w:hAnsi="宋体" w:eastAsia="宋体" w:cs="宋体"/>
          <w:color w:val="auto"/>
          <w:highlight w:val="none"/>
        </w:rPr>
        <w:t>附件</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：安全保密协议</w:t>
      </w:r>
    </w:p>
    <w:p w14:paraId="3C319AB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kern w:val="2"/>
          <w:sz w:val="28"/>
          <w:szCs w:val="28"/>
          <w:highlight w:val="none"/>
        </w:rPr>
      </w:pPr>
      <w:r>
        <w:rPr>
          <w:rFonts w:hint="eastAsia" w:ascii="宋体" w:hAnsi="宋体" w:eastAsia="宋体" w:cs="宋体"/>
          <w:b/>
          <w:bCs/>
          <w:color w:val="auto"/>
          <w:kern w:val="2"/>
          <w:sz w:val="28"/>
          <w:szCs w:val="28"/>
          <w:highlight w:val="none"/>
        </w:rPr>
        <w:t>安全保密协议</w:t>
      </w:r>
    </w:p>
    <w:p w14:paraId="6CEE946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kern w:val="2"/>
          <w:sz w:val="24"/>
          <w:szCs w:val="24"/>
          <w:highlight w:val="none"/>
          <w:u w:val="single"/>
          <w:lang w:val="en-US" w:eastAsia="zh-CN"/>
        </w:rPr>
      </w:pPr>
      <w:r>
        <w:rPr>
          <w:rFonts w:hint="eastAsia" w:ascii="宋体" w:hAnsi="宋体" w:eastAsia="宋体" w:cs="宋体"/>
          <w:b/>
          <w:bCs/>
          <w:color w:val="auto"/>
          <w:kern w:val="2"/>
          <w:sz w:val="24"/>
          <w:szCs w:val="24"/>
          <w:highlight w:val="none"/>
        </w:rPr>
        <w:t>甲方：</w:t>
      </w:r>
      <w:r>
        <w:rPr>
          <w:rFonts w:hint="eastAsia" w:ascii="宋体" w:hAnsi="宋体" w:eastAsia="宋体" w:cs="宋体"/>
          <w:b/>
          <w:bCs/>
          <w:color w:val="auto"/>
          <w:kern w:val="2"/>
          <w:sz w:val="24"/>
          <w:szCs w:val="24"/>
          <w:highlight w:val="none"/>
          <w:u w:val="single"/>
          <w:lang w:val="en-US" w:eastAsia="zh-CN"/>
        </w:rPr>
        <w:t xml:space="preserve">                             </w:t>
      </w:r>
    </w:p>
    <w:p w14:paraId="742E415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2"/>
          <w:sz w:val="24"/>
          <w:szCs w:val="24"/>
          <w:highlight w:val="none"/>
        </w:rPr>
      </w:pPr>
      <w:r>
        <w:rPr>
          <w:rFonts w:hint="eastAsia" w:ascii="宋体" w:hAnsi="宋体" w:eastAsia="宋体" w:cs="宋体"/>
          <w:b/>
          <w:bCs/>
          <w:color w:val="auto"/>
          <w:kern w:val="2"/>
          <w:sz w:val="24"/>
          <w:szCs w:val="24"/>
          <w:highlight w:val="none"/>
        </w:rPr>
        <w:t>乙方：</w:t>
      </w:r>
      <w:r>
        <w:rPr>
          <w:rFonts w:hint="eastAsia" w:ascii="宋体" w:hAnsi="宋体" w:eastAsia="宋体" w:cs="宋体"/>
          <w:b/>
          <w:bCs/>
          <w:color w:val="auto"/>
          <w:kern w:val="2"/>
          <w:sz w:val="24"/>
          <w:szCs w:val="24"/>
          <w:highlight w:val="none"/>
          <w:u w:val="single"/>
          <w:lang w:val="en-US" w:eastAsia="zh-CN"/>
        </w:rPr>
        <w:t xml:space="preserve">                             </w:t>
      </w:r>
    </w:p>
    <w:p w14:paraId="1B73B5F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为做好</w:t>
      </w:r>
      <w:r>
        <w:rPr>
          <w:rFonts w:hint="eastAsia" w:ascii="宋体" w:hAnsi="宋体" w:eastAsia="宋体" w:cs="宋体"/>
          <w:color w:val="auto"/>
          <w:kern w:val="2"/>
          <w:sz w:val="24"/>
          <w:szCs w:val="24"/>
          <w:highlight w:val="none"/>
          <w:u w:val="single"/>
          <w:lang w:val="en-US" w:eastAsia="zh-CN"/>
        </w:rPr>
        <w:t xml:space="preserve">                                   项目</w:t>
      </w:r>
      <w:r>
        <w:rPr>
          <w:rFonts w:hint="eastAsia" w:ascii="宋体" w:hAnsi="宋体" w:eastAsia="宋体" w:cs="宋体"/>
          <w:color w:val="auto"/>
          <w:kern w:val="2"/>
          <w:sz w:val="24"/>
          <w:szCs w:val="24"/>
          <w:highlight w:val="none"/>
        </w:rPr>
        <w:t>（以下简称项目）的安全保密工作，保证项目实施过程中涉及的</w:t>
      </w:r>
      <w:r>
        <w:rPr>
          <w:rFonts w:hint="eastAsia" w:ascii="宋体" w:hAnsi="宋体" w:eastAsia="宋体" w:cs="宋体"/>
          <w:color w:val="auto"/>
          <w:kern w:val="2"/>
          <w:sz w:val="24"/>
          <w:szCs w:val="24"/>
          <w:highlight w:val="none"/>
          <w:lang w:val="en-US" w:eastAsia="zh-CN"/>
        </w:rPr>
        <w:t>网络信息</w:t>
      </w:r>
      <w:r>
        <w:rPr>
          <w:rFonts w:hint="eastAsia" w:ascii="宋体" w:hAnsi="宋体" w:eastAsia="宋体" w:cs="宋体"/>
          <w:color w:val="auto"/>
          <w:kern w:val="2"/>
          <w:sz w:val="24"/>
          <w:szCs w:val="24"/>
          <w:highlight w:val="none"/>
        </w:rPr>
        <w:t>安全，根据《中华人民共和国网络安全法》《中华人民共和国保守国家秘密法》</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中华人民共和国数据安全法</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等相关</w:t>
      </w:r>
      <w:r>
        <w:rPr>
          <w:rFonts w:hint="eastAsia" w:ascii="宋体" w:hAnsi="宋体" w:eastAsia="宋体" w:cs="宋体"/>
          <w:color w:val="auto"/>
          <w:kern w:val="2"/>
          <w:sz w:val="24"/>
          <w:szCs w:val="24"/>
          <w:highlight w:val="none"/>
          <w:lang w:val="en-US" w:eastAsia="zh-CN"/>
        </w:rPr>
        <w:t>法规</w:t>
      </w:r>
      <w:r>
        <w:rPr>
          <w:rFonts w:hint="eastAsia" w:ascii="宋体" w:hAnsi="宋体" w:eastAsia="宋体" w:cs="宋体"/>
          <w:color w:val="auto"/>
          <w:kern w:val="2"/>
          <w:sz w:val="24"/>
          <w:szCs w:val="24"/>
          <w:highlight w:val="none"/>
        </w:rPr>
        <w:t>规定，甲乙双方就有关项目安全保密事宜达成如下协议：</w:t>
      </w:r>
    </w:p>
    <w:p w14:paraId="0E23350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一、乙方应严格遵守国家法律法规及公安机关关于网络、信息系统、数据安全方面的所有规定。</w:t>
      </w:r>
    </w:p>
    <w:p w14:paraId="4BF1F0C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二、乙方将明确本项目的安全责任体系，公司法定代表人为本项目安全管理第一责任人，指定</w:t>
      </w:r>
      <w:r>
        <w:rPr>
          <w:rFonts w:hint="eastAsia" w:ascii="宋体" w:hAnsi="宋体" w:eastAsia="宋体" w:cs="宋体"/>
          <w:b/>
          <w:bCs/>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rPr>
        <w:t>为本项目的安全主管（安全管理具体责任人），其他参与项目人员为安全管理直接责任人,并制定出责任追究具体办法和细则；要求公司所有参与本项目的人员必须签订</w:t>
      </w:r>
      <w:r>
        <w:rPr>
          <w:rFonts w:hint="eastAsia" w:ascii="宋体" w:hAnsi="宋体" w:eastAsia="宋体" w:cs="宋体"/>
          <w:color w:val="auto"/>
          <w:kern w:val="2"/>
          <w:sz w:val="24"/>
          <w:szCs w:val="24"/>
          <w:highlight w:val="none"/>
          <w:lang w:val="en-US" w:eastAsia="zh-CN"/>
        </w:rPr>
        <w:t>项目安全保密承诺书</w:t>
      </w:r>
      <w:r>
        <w:rPr>
          <w:rFonts w:hint="eastAsia" w:ascii="宋体" w:hAnsi="宋体" w:eastAsia="宋体" w:cs="宋体"/>
          <w:color w:val="auto"/>
          <w:kern w:val="2"/>
          <w:sz w:val="24"/>
          <w:szCs w:val="24"/>
          <w:highlight w:val="none"/>
        </w:rPr>
        <w:t>，并切实承担起相应的安全工作与管理责任。</w:t>
      </w:r>
    </w:p>
    <w:p w14:paraId="523D107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三、保密内容包括：本项目信息系统的系统数据、业务数据、项目资料及存放这些数据、资料的计算机、存储介质；接触的</w:t>
      </w:r>
      <w:r>
        <w:rPr>
          <w:rFonts w:hint="eastAsia" w:ascii="宋体" w:hAnsi="宋体" w:eastAsia="宋体" w:cs="宋体"/>
          <w:color w:val="auto"/>
          <w:kern w:val="2"/>
          <w:sz w:val="24"/>
          <w:szCs w:val="24"/>
          <w:highlight w:val="none"/>
          <w:lang w:val="en-US" w:eastAsia="zh-CN"/>
        </w:rPr>
        <w:t>有关</w:t>
      </w:r>
      <w:r>
        <w:rPr>
          <w:rFonts w:hint="eastAsia" w:ascii="宋体" w:hAnsi="宋体" w:eastAsia="宋体" w:cs="宋体"/>
          <w:color w:val="auto"/>
          <w:kern w:val="2"/>
          <w:sz w:val="24"/>
          <w:szCs w:val="24"/>
          <w:highlight w:val="none"/>
        </w:rPr>
        <w:t>网络及网络上的信息、维护工作中接触到的必须保密的内容。</w:t>
      </w:r>
    </w:p>
    <w:p w14:paraId="3DA0697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四、甲方应加强对乙方及参与本项目工作人员的安全保密监管，及时发现安全保密隐患和问题。</w:t>
      </w:r>
      <w:r>
        <w:rPr>
          <w:rFonts w:hint="eastAsia" w:ascii="宋体" w:hAnsi="宋体" w:eastAsia="宋体" w:cs="宋体"/>
          <w:color w:val="auto"/>
          <w:kern w:val="2"/>
          <w:sz w:val="24"/>
          <w:szCs w:val="24"/>
          <w:highlight w:val="none"/>
          <w:lang w:eastAsia="zh-CN"/>
        </w:rPr>
        <w:t>双方均应</w:t>
      </w:r>
      <w:r>
        <w:rPr>
          <w:rFonts w:hint="eastAsia" w:ascii="宋体" w:hAnsi="宋体" w:eastAsia="宋体" w:cs="宋体"/>
          <w:color w:val="auto"/>
          <w:kern w:val="2"/>
          <w:sz w:val="24"/>
          <w:szCs w:val="24"/>
          <w:highlight w:val="none"/>
        </w:rPr>
        <w:t>增强保密意识，时刻保持保密意识，不得与公司业务无关的任何人谈论和传播商业机密信息。</w:t>
      </w:r>
    </w:p>
    <w:p w14:paraId="3A8E7A9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五、乙方保证派遣符合甲方要求的工作人员参加项目工作，对项目工作人员登记造册，并承担法律上的担保责任；建立规章制度防范和及时发现违反保密法规和规范的行为；乙方保证一旦发现保密范围内的有关事项已经泄露或可能泄露时，立即通知甲方，共同采取相应措施，为甲方提供查找相关工作人员和泄密原因的线索和证据，并承担相应责任。</w:t>
      </w:r>
    </w:p>
    <w:p w14:paraId="297FAD3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六、乙方在项目实施期间，必须严格依照甲方的要求，在甲方指定的工作场所和设备环境下进行系统和数据的维护工作，不得非法拷贝数据；不得擅自将数据拷贝回本单位进行处理；不得以任何方式将</w:t>
      </w:r>
      <w:r>
        <w:rPr>
          <w:rFonts w:hint="eastAsia" w:ascii="宋体" w:hAnsi="宋体" w:eastAsia="宋体" w:cs="宋体"/>
          <w:color w:val="auto"/>
          <w:kern w:val="2"/>
          <w:sz w:val="24"/>
          <w:szCs w:val="24"/>
          <w:highlight w:val="none"/>
          <w:lang w:val="en-US" w:eastAsia="zh-CN"/>
        </w:rPr>
        <w:t>甲方</w:t>
      </w:r>
      <w:r>
        <w:rPr>
          <w:rFonts w:hint="eastAsia" w:ascii="宋体" w:hAnsi="宋体" w:eastAsia="宋体" w:cs="宋体"/>
          <w:color w:val="auto"/>
          <w:kern w:val="2"/>
          <w:sz w:val="24"/>
          <w:szCs w:val="24"/>
          <w:highlight w:val="none"/>
        </w:rPr>
        <w:t>有关数据提供给第三方或用于其他商业目的。</w:t>
      </w:r>
    </w:p>
    <w:p w14:paraId="791285B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七、乙方人员的维护服务工作必须在合同确定的服务范围内进行，不得涉及与本项目无关的业务及信息。不得非法擅自登录、浏览、下载</w:t>
      </w:r>
      <w:r>
        <w:rPr>
          <w:rFonts w:hint="eastAsia" w:ascii="宋体" w:hAnsi="宋体" w:eastAsia="宋体" w:cs="宋体"/>
          <w:color w:val="auto"/>
          <w:kern w:val="2"/>
          <w:sz w:val="24"/>
          <w:szCs w:val="24"/>
          <w:highlight w:val="none"/>
          <w:lang w:val="en-US" w:eastAsia="zh-CN"/>
        </w:rPr>
        <w:t>甲方有关</w:t>
      </w:r>
      <w:r>
        <w:rPr>
          <w:rFonts w:hint="eastAsia" w:ascii="宋体" w:hAnsi="宋体" w:eastAsia="宋体" w:cs="宋体"/>
          <w:color w:val="auto"/>
          <w:kern w:val="2"/>
          <w:sz w:val="24"/>
          <w:szCs w:val="24"/>
          <w:highlight w:val="none"/>
        </w:rPr>
        <w:t>网上信息；不得非法入侵</w:t>
      </w:r>
      <w:r>
        <w:rPr>
          <w:rFonts w:hint="eastAsia" w:ascii="宋体" w:hAnsi="宋体" w:eastAsia="宋体" w:cs="宋体"/>
          <w:color w:val="auto"/>
          <w:kern w:val="2"/>
          <w:sz w:val="24"/>
          <w:szCs w:val="24"/>
          <w:highlight w:val="none"/>
          <w:lang w:val="en-US" w:eastAsia="zh-CN"/>
        </w:rPr>
        <w:t>甲方有关</w:t>
      </w:r>
      <w:r>
        <w:rPr>
          <w:rFonts w:hint="eastAsia" w:ascii="宋体" w:hAnsi="宋体" w:eastAsia="宋体" w:cs="宋体"/>
          <w:color w:val="auto"/>
          <w:kern w:val="2"/>
          <w:sz w:val="24"/>
          <w:szCs w:val="24"/>
          <w:highlight w:val="none"/>
        </w:rPr>
        <w:t>计算机信息系统。</w:t>
      </w:r>
    </w:p>
    <w:p w14:paraId="639087B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八、乙方人员应使用甲方提供或指定的计算机等设备，未经甲方许可，不得以任何形式将</w:t>
      </w:r>
      <w:r>
        <w:rPr>
          <w:rFonts w:hint="eastAsia" w:ascii="宋体" w:hAnsi="宋体" w:eastAsia="宋体" w:cs="宋体"/>
          <w:color w:val="auto"/>
          <w:kern w:val="2"/>
          <w:sz w:val="24"/>
          <w:szCs w:val="24"/>
          <w:highlight w:val="none"/>
          <w:lang w:val="en-US" w:eastAsia="zh-CN"/>
        </w:rPr>
        <w:t>甲方</w:t>
      </w:r>
      <w:r>
        <w:rPr>
          <w:rFonts w:hint="eastAsia" w:ascii="宋体" w:hAnsi="宋体" w:eastAsia="宋体" w:cs="宋体"/>
          <w:color w:val="auto"/>
          <w:kern w:val="2"/>
          <w:sz w:val="24"/>
          <w:szCs w:val="24"/>
          <w:highlight w:val="none"/>
        </w:rPr>
        <w:t>信息、数据、资料等传输或复制到其它计算机和信息设备中。</w:t>
      </w:r>
    </w:p>
    <w:p w14:paraId="515981F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九、乙方在应用及数据开发过程中，应严格遵守</w:t>
      </w:r>
      <w:r>
        <w:rPr>
          <w:rFonts w:hint="eastAsia" w:ascii="宋体" w:hAnsi="宋体" w:eastAsia="宋体" w:cs="宋体"/>
          <w:color w:val="auto"/>
          <w:kern w:val="2"/>
          <w:sz w:val="24"/>
          <w:szCs w:val="24"/>
          <w:highlight w:val="none"/>
          <w:lang w:val="en-US" w:eastAsia="zh-CN"/>
        </w:rPr>
        <w:t>甲方</w:t>
      </w:r>
      <w:r>
        <w:rPr>
          <w:rFonts w:hint="eastAsia" w:ascii="宋体" w:hAnsi="宋体" w:eastAsia="宋体" w:cs="宋体"/>
          <w:color w:val="auto"/>
          <w:kern w:val="2"/>
          <w:sz w:val="24"/>
          <w:szCs w:val="24"/>
          <w:highlight w:val="none"/>
        </w:rPr>
        <w:t>有关信息数据安全的操作规范，采取必要的技术、管理措施，确保</w:t>
      </w:r>
      <w:r>
        <w:rPr>
          <w:rFonts w:hint="eastAsia" w:ascii="宋体" w:hAnsi="宋体" w:eastAsia="宋体" w:cs="宋体"/>
          <w:color w:val="auto"/>
          <w:kern w:val="2"/>
          <w:sz w:val="24"/>
          <w:szCs w:val="24"/>
          <w:highlight w:val="none"/>
          <w:lang w:val="en-US" w:eastAsia="zh-CN"/>
        </w:rPr>
        <w:t>甲方</w:t>
      </w:r>
      <w:r>
        <w:rPr>
          <w:rFonts w:hint="eastAsia" w:ascii="宋体" w:hAnsi="宋体" w:eastAsia="宋体" w:cs="宋体"/>
          <w:color w:val="auto"/>
          <w:kern w:val="2"/>
          <w:sz w:val="24"/>
          <w:szCs w:val="24"/>
          <w:highlight w:val="none"/>
        </w:rPr>
        <w:t>信息数据安全。</w:t>
      </w:r>
    </w:p>
    <w:p w14:paraId="517424F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十、乙方按照合同要求提供现场常驻服务期间，确因工作需要经审批而联入</w:t>
      </w:r>
      <w:r>
        <w:rPr>
          <w:rFonts w:hint="eastAsia" w:ascii="宋体" w:hAnsi="宋体" w:eastAsia="宋体" w:cs="宋体"/>
          <w:color w:val="auto"/>
          <w:kern w:val="2"/>
          <w:sz w:val="24"/>
          <w:szCs w:val="24"/>
          <w:highlight w:val="none"/>
          <w:lang w:val="en-US" w:eastAsia="zh-CN"/>
        </w:rPr>
        <w:t>甲方有关网络</w:t>
      </w:r>
      <w:r>
        <w:rPr>
          <w:rFonts w:hint="eastAsia" w:ascii="宋体" w:hAnsi="宋体" w:eastAsia="宋体" w:cs="宋体"/>
          <w:color w:val="auto"/>
          <w:kern w:val="2"/>
          <w:sz w:val="24"/>
          <w:szCs w:val="24"/>
          <w:highlight w:val="none"/>
        </w:rPr>
        <w:t>的计算机设备，应严格按照</w:t>
      </w:r>
      <w:r>
        <w:rPr>
          <w:rFonts w:hint="eastAsia" w:ascii="宋体" w:hAnsi="宋体" w:eastAsia="宋体" w:cs="宋体"/>
          <w:color w:val="auto"/>
          <w:kern w:val="2"/>
          <w:sz w:val="24"/>
          <w:szCs w:val="24"/>
          <w:highlight w:val="none"/>
          <w:lang w:val="en-US" w:eastAsia="zh-CN"/>
        </w:rPr>
        <w:t>甲方</w:t>
      </w:r>
      <w:r>
        <w:rPr>
          <w:rFonts w:hint="eastAsia" w:ascii="宋体" w:hAnsi="宋体" w:eastAsia="宋体" w:cs="宋体"/>
          <w:color w:val="auto"/>
          <w:kern w:val="2"/>
          <w:sz w:val="24"/>
          <w:szCs w:val="24"/>
          <w:highlight w:val="none"/>
        </w:rPr>
        <w:t>安全管理的要求，不得擅自带离甲方场所。在服务期满后，应按照规范做好相关介质和数据的销毁工作后，方能带离甲方场所。</w:t>
      </w:r>
    </w:p>
    <w:p w14:paraId="48861C6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十一、乙方在项目实施过程中使用的各种存储介质，以及所有书面资料及项目中掌握的数据、账号、密码等有关信息必须由本项目人员使用、保管、存放，不得借与或让无关人员知晓。</w:t>
      </w:r>
    </w:p>
    <w:p w14:paraId="22C73ED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十二、乙方</w:t>
      </w:r>
      <w:r>
        <w:rPr>
          <w:rFonts w:hint="eastAsia" w:ascii="宋体" w:hAnsi="宋体" w:eastAsia="宋体" w:cs="宋体"/>
          <w:color w:val="auto"/>
          <w:kern w:val="2"/>
          <w:sz w:val="24"/>
          <w:szCs w:val="24"/>
          <w:highlight w:val="none"/>
          <w:lang w:val="en-US" w:eastAsia="zh-CN"/>
        </w:rPr>
        <w:t>必须</w:t>
      </w:r>
      <w:r>
        <w:rPr>
          <w:rFonts w:hint="eastAsia" w:ascii="宋体" w:hAnsi="宋体" w:eastAsia="宋体" w:cs="宋体"/>
          <w:color w:val="auto"/>
          <w:kern w:val="2"/>
          <w:sz w:val="24"/>
          <w:szCs w:val="24"/>
          <w:highlight w:val="none"/>
        </w:rPr>
        <w:t>及时清除离职或者离岗员工持有的</w:t>
      </w:r>
      <w:r>
        <w:rPr>
          <w:rFonts w:hint="eastAsia" w:ascii="宋体" w:hAnsi="宋体" w:eastAsia="宋体" w:cs="宋体"/>
          <w:color w:val="auto"/>
          <w:kern w:val="2"/>
          <w:sz w:val="24"/>
          <w:szCs w:val="24"/>
          <w:highlight w:val="none"/>
          <w:lang w:val="en-US" w:eastAsia="zh-CN"/>
        </w:rPr>
        <w:t>甲方</w:t>
      </w:r>
      <w:r>
        <w:rPr>
          <w:rFonts w:hint="eastAsia" w:ascii="宋体" w:hAnsi="宋体" w:eastAsia="宋体" w:cs="宋体"/>
          <w:color w:val="auto"/>
          <w:kern w:val="2"/>
          <w:sz w:val="24"/>
          <w:szCs w:val="24"/>
          <w:highlight w:val="none"/>
        </w:rPr>
        <w:t>文档资料、数据等。</w:t>
      </w:r>
    </w:p>
    <w:p w14:paraId="000B8D3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十三、当甲方要求乙方交回专有信息时，乙方应当立即交回所有书面的或其他形式的专有信息以及所有描述和概括该专有信息的文件资料，不能以任何形式保留或擅自处理。</w:t>
      </w:r>
    </w:p>
    <w:p w14:paraId="3A25317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十四、乙方保证在该项目实施期间及完成以后的任何时间内保密内容不予泄露，对因乙方因素导致该项目的保密内容</w:t>
      </w:r>
      <w:r>
        <w:rPr>
          <w:rFonts w:hint="eastAsia" w:ascii="宋体" w:hAnsi="宋体" w:eastAsia="宋体" w:cs="宋体"/>
          <w:color w:val="auto"/>
          <w:kern w:val="2"/>
          <w:sz w:val="24"/>
          <w:szCs w:val="24"/>
          <w:highlight w:val="none"/>
          <w:lang w:val="en-US" w:eastAsia="zh-CN"/>
        </w:rPr>
        <w:t>泄漏</w:t>
      </w:r>
      <w:r>
        <w:rPr>
          <w:rFonts w:hint="eastAsia" w:ascii="宋体" w:hAnsi="宋体" w:eastAsia="宋体" w:cs="宋体"/>
          <w:color w:val="auto"/>
          <w:kern w:val="2"/>
          <w:sz w:val="24"/>
          <w:szCs w:val="24"/>
          <w:highlight w:val="none"/>
        </w:rPr>
        <w:t>造成的后果，乙方承担相应的法律责任。</w:t>
      </w:r>
    </w:p>
    <w:p w14:paraId="30A4591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十五、乙方保证在完成或不再参与本项目时，应及时退还、清理</w:t>
      </w:r>
      <w:r>
        <w:rPr>
          <w:rFonts w:hint="eastAsia" w:ascii="宋体" w:hAnsi="宋体" w:eastAsia="宋体" w:cs="宋体"/>
          <w:color w:val="auto"/>
          <w:kern w:val="2"/>
          <w:sz w:val="24"/>
          <w:szCs w:val="24"/>
          <w:highlight w:val="none"/>
          <w:lang w:val="en-US" w:eastAsia="zh-CN"/>
        </w:rPr>
        <w:t>甲方相关</w:t>
      </w:r>
      <w:r>
        <w:rPr>
          <w:rFonts w:hint="eastAsia" w:ascii="宋体" w:hAnsi="宋体" w:eastAsia="宋体" w:cs="宋体"/>
          <w:color w:val="auto"/>
          <w:kern w:val="2"/>
          <w:sz w:val="24"/>
          <w:szCs w:val="24"/>
          <w:highlight w:val="none"/>
        </w:rPr>
        <w:t>口令、证书、门禁和信息数据、文件、资料等一切物品，不再保留任何复制品、复制件或者抄件，不再以任何方式尝试登录系统；未经许可，不</w:t>
      </w:r>
      <w:r>
        <w:rPr>
          <w:rFonts w:hint="eastAsia" w:ascii="宋体" w:hAnsi="宋体" w:eastAsia="宋体" w:cs="宋体"/>
          <w:color w:val="auto"/>
          <w:kern w:val="2"/>
          <w:sz w:val="24"/>
          <w:szCs w:val="24"/>
          <w:highlight w:val="none"/>
          <w:lang w:val="en-US" w:eastAsia="zh-CN"/>
        </w:rPr>
        <w:t>得</w:t>
      </w:r>
      <w:r>
        <w:rPr>
          <w:rFonts w:hint="eastAsia" w:ascii="宋体" w:hAnsi="宋体" w:eastAsia="宋体" w:cs="宋体"/>
          <w:color w:val="auto"/>
          <w:kern w:val="2"/>
          <w:sz w:val="24"/>
          <w:szCs w:val="24"/>
          <w:highlight w:val="none"/>
        </w:rPr>
        <w:t>将项目内容进行成果转让、商业宣传。</w:t>
      </w:r>
    </w:p>
    <w:tbl>
      <w:tblPr>
        <w:tblStyle w:val="20"/>
        <w:tblW w:w="102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27"/>
        <w:gridCol w:w="5100"/>
      </w:tblGrid>
      <w:tr w14:paraId="36EDC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127" w:type="dxa"/>
            <w:vAlign w:val="center"/>
          </w:tcPr>
          <w:p w14:paraId="2B38651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甲方</w:t>
            </w:r>
            <w:r>
              <w:rPr>
                <w:rFonts w:hint="eastAsia" w:ascii="宋体" w:hAnsi="宋体" w:eastAsia="宋体" w:cs="宋体"/>
                <w:b/>
                <w:bCs/>
                <w:color w:val="auto"/>
                <w:sz w:val="21"/>
                <w:szCs w:val="21"/>
                <w:highlight w:val="none"/>
              </w:rPr>
              <w:t>单位</w:t>
            </w:r>
          </w:p>
        </w:tc>
        <w:tc>
          <w:tcPr>
            <w:tcW w:w="5100" w:type="dxa"/>
            <w:vAlign w:val="center"/>
          </w:tcPr>
          <w:p w14:paraId="4C576FD7">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乙方</w:t>
            </w:r>
            <w:r>
              <w:rPr>
                <w:rFonts w:hint="eastAsia" w:ascii="宋体" w:hAnsi="宋体" w:eastAsia="宋体" w:cs="宋体"/>
                <w:b/>
                <w:bCs/>
                <w:color w:val="auto"/>
                <w:sz w:val="21"/>
                <w:szCs w:val="21"/>
                <w:highlight w:val="none"/>
              </w:rPr>
              <w:t>单位</w:t>
            </w:r>
          </w:p>
        </w:tc>
      </w:tr>
      <w:tr w14:paraId="5C28E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2" w:hRule="atLeast"/>
          <w:jc w:val="center"/>
        </w:trPr>
        <w:tc>
          <w:tcPr>
            <w:tcW w:w="5127" w:type="dxa"/>
          </w:tcPr>
          <w:p w14:paraId="511F6100">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单位名称（盖章）：</w:t>
            </w:r>
          </w:p>
          <w:p w14:paraId="7358C727">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单位地址：</w:t>
            </w:r>
          </w:p>
          <w:p w14:paraId="673DF9CB">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p w14:paraId="5CE7DF57">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w:t>
            </w:r>
          </w:p>
          <w:p w14:paraId="78666B56">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统一社会信用代码：</w:t>
            </w:r>
          </w:p>
        </w:tc>
        <w:tc>
          <w:tcPr>
            <w:tcW w:w="5100" w:type="dxa"/>
          </w:tcPr>
          <w:p w14:paraId="05E1A591">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单位名称（盖章）：</w:t>
            </w:r>
          </w:p>
          <w:p w14:paraId="477E5D77">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单位地址：</w:t>
            </w:r>
          </w:p>
          <w:p w14:paraId="3AE95B50">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 </w:t>
            </w:r>
          </w:p>
          <w:p w14:paraId="7F0EBF46">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w:t>
            </w:r>
          </w:p>
          <w:p w14:paraId="15711239">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统一社会信用代码：</w:t>
            </w:r>
          </w:p>
        </w:tc>
      </w:tr>
    </w:tbl>
    <w:p w14:paraId="2B878D09">
      <w:pPr>
        <w:pStyle w:val="2"/>
        <w:rPr>
          <w:rFonts w:hint="eastAsia" w:ascii="宋体" w:hAnsi="宋体" w:eastAsia="宋体" w:cs="宋体"/>
          <w:color w:val="auto"/>
          <w:highlight w:val="none"/>
          <w:lang w:val="en-US" w:eastAsia="zh-CN"/>
        </w:rPr>
      </w:pPr>
    </w:p>
    <w:p w14:paraId="61FFDE8B">
      <w:pPr>
        <w:pStyle w:val="2"/>
        <w:rPr>
          <w:rFonts w:hint="eastAsia" w:ascii="宋体" w:hAnsi="宋体" w:eastAsia="宋体" w:cs="宋体"/>
          <w:color w:val="auto"/>
          <w:highlight w:val="none"/>
          <w:lang w:val="en-US" w:eastAsia="zh-CN"/>
        </w:rPr>
      </w:pPr>
    </w:p>
    <w:p w14:paraId="279BAC91">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8500223">
      <w:pPr>
        <w:numPr>
          <w:ilvl w:val="0"/>
          <w:numId w:val="0"/>
        </w:numPr>
        <w:spacing w:line="240" w:lineRule="auto"/>
        <w:jc w:val="center"/>
        <w:rPr>
          <w:rFonts w:hint="eastAsia" w:ascii="宋体" w:hAnsi="宋体" w:eastAsia="宋体" w:cs="宋体"/>
          <w:b/>
          <w:bCs/>
          <w:color w:val="auto"/>
          <w:sz w:val="36"/>
          <w:szCs w:val="28"/>
          <w:highlight w:val="none"/>
          <w:lang w:val="en-US" w:eastAsia="zh-CN"/>
        </w:rPr>
      </w:pPr>
      <w:r>
        <w:rPr>
          <w:rFonts w:hint="eastAsia" w:ascii="宋体" w:hAnsi="宋体" w:eastAsia="宋体" w:cs="宋体"/>
          <w:b/>
          <w:bCs/>
          <w:color w:val="auto"/>
          <w:sz w:val="36"/>
          <w:szCs w:val="28"/>
          <w:highlight w:val="none"/>
          <w:lang w:val="en-US" w:eastAsia="zh-CN"/>
        </w:rPr>
        <w:t>第六章  应提交的有关格式范例</w:t>
      </w:r>
    </w:p>
    <w:p w14:paraId="3D8D95F8">
      <w:pPr>
        <w:widowControl/>
        <w:tabs>
          <w:tab w:val="left" w:pos="450"/>
          <w:tab w:val="left" w:pos="8280"/>
        </w:tabs>
        <w:spacing w:line="360" w:lineRule="auto"/>
        <w:ind w:firstLine="480"/>
        <w:jc w:val="center"/>
        <w:rPr>
          <w:rFonts w:hint="eastAsia" w:ascii="宋体" w:hAnsi="宋体" w:eastAsia="宋体" w:cs="宋体"/>
          <w:color w:val="auto"/>
          <w:sz w:val="32"/>
          <w:szCs w:val="32"/>
          <w:highlight w:val="none"/>
        </w:rPr>
      </w:pPr>
    </w:p>
    <w:p w14:paraId="0BE08670">
      <w:pPr>
        <w:widowControl/>
        <w:tabs>
          <w:tab w:val="left" w:pos="450"/>
          <w:tab w:val="left" w:pos="2520"/>
          <w:tab w:val="left" w:pos="8280"/>
        </w:tabs>
        <w:spacing w:line="360" w:lineRule="auto"/>
        <w:ind w:firstLine="48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一、封面格式</w:t>
      </w:r>
    </w:p>
    <w:p w14:paraId="3C35B575">
      <w:pPr>
        <w:widowControl/>
        <w:tabs>
          <w:tab w:val="left" w:pos="8280"/>
        </w:tabs>
        <w:spacing w:line="360" w:lineRule="auto"/>
        <w:ind w:firstLine="480"/>
        <w:jc w:val="center"/>
        <w:rPr>
          <w:rFonts w:hint="eastAsia" w:ascii="宋体" w:hAnsi="宋体" w:eastAsia="宋体" w:cs="宋体"/>
          <w:b/>
          <w:color w:val="auto"/>
          <w:sz w:val="32"/>
          <w:szCs w:val="32"/>
          <w:highlight w:val="none"/>
        </w:rPr>
      </w:pPr>
    </w:p>
    <w:p w14:paraId="3F3D99FE">
      <w:pPr>
        <w:widowControl/>
        <w:tabs>
          <w:tab w:val="left" w:pos="8280"/>
        </w:tabs>
        <w:spacing w:line="600" w:lineRule="auto"/>
        <w:jc w:val="center"/>
        <w:rPr>
          <w:rFonts w:hint="eastAsia" w:ascii="宋体" w:hAnsi="宋体" w:eastAsia="宋体" w:cs="宋体"/>
          <w:b/>
          <w:color w:val="auto"/>
          <w:sz w:val="40"/>
          <w:szCs w:val="40"/>
          <w:highlight w:val="none"/>
          <w:lang w:val="en-US" w:eastAsia="zh-CN"/>
        </w:rPr>
      </w:pPr>
    </w:p>
    <w:p w14:paraId="41DE61AD">
      <w:pPr>
        <w:widowControl/>
        <w:tabs>
          <w:tab w:val="left" w:pos="8280"/>
        </w:tabs>
        <w:spacing w:line="600" w:lineRule="auto"/>
        <w:jc w:val="center"/>
        <w:rPr>
          <w:rFonts w:hint="eastAsia" w:ascii="宋体" w:hAnsi="宋体" w:eastAsia="宋体" w:cs="宋体"/>
          <w:b/>
          <w:color w:val="auto"/>
          <w:sz w:val="40"/>
          <w:szCs w:val="40"/>
          <w:highlight w:val="none"/>
        </w:rPr>
      </w:pPr>
      <w:r>
        <w:rPr>
          <w:rFonts w:hint="eastAsia" w:ascii="宋体" w:hAnsi="宋体" w:eastAsia="宋体" w:cs="宋体"/>
          <w:b/>
          <w:color w:val="auto"/>
          <w:sz w:val="44"/>
          <w:szCs w:val="44"/>
          <w:highlight w:val="none"/>
          <w:lang w:val="en-US" w:eastAsia="zh-CN"/>
        </w:rPr>
        <w:t>资格文件/</w:t>
      </w:r>
      <w:r>
        <w:rPr>
          <w:rFonts w:hint="eastAsia" w:ascii="宋体" w:hAnsi="宋体" w:eastAsia="宋体" w:cs="宋体"/>
          <w:b/>
          <w:color w:val="auto"/>
          <w:sz w:val="44"/>
          <w:szCs w:val="44"/>
          <w:highlight w:val="none"/>
        </w:rPr>
        <w:t>商务技术文件</w:t>
      </w:r>
      <w:r>
        <w:rPr>
          <w:rFonts w:hint="eastAsia" w:ascii="宋体" w:hAnsi="宋体" w:eastAsia="宋体" w:cs="宋体"/>
          <w:b/>
          <w:color w:val="auto"/>
          <w:sz w:val="44"/>
          <w:szCs w:val="44"/>
          <w:highlight w:val="none"/>
          <w:lang w:val="en-US" w:eastAsia="zh-CN"/>
        </w:rPr>
        <w:t>/</w:t>
      </w:r>
      <w:r>
        <w:rPr>
          <w:rFonts w:hint="eastAsia" w:ascii="宋体" w:hAnsi="宋体" w:eastAsia="宋体" w:cs="宋体"/>
          <w:b/>
          <w:color w:val="auto"/>
          <w:sz w:val="44"/>
          <w:szCs w:val="44"/>
          <w:highlight w:val="none"/>
        </w:rPr>
        <w:t>报价文件</w:t>
      </w:r>
    </w:p>
    <w:p w14:paraId="11B32354">
      <w:pPr>
        <w:widowControl/>
        <w:tabs>
          <w:tab w:val="left" w:pos="275"/>
          <w:tab w:val="left" w:pos="8280"/>
        </w:tabs>
        <w:spacing w:line="600" w:lineRule="auto"/>
        <w:ind w:firstLine="480"/>
        <w:jc w:val="left"/>
        <w:rPr>
          <w:rFonts w:hint="eastAsia" w:ascii="宋体" w:hAnsi="宋体" w:eastAsia="宋体" w:cs="宋体"/>
          <w:b/>
          <w:color w:val="auto"/>
          <w:sz w:val="36"/>
          <w:szCs w:val="36"/>
          <w:highlight w:val="none"/>
        </w:rPr>
      </w:pPr>
    </w:p>
    <w:p w14:paraId="78608623">
      <w:pPr>
        <w:widowControl/>
        <w:tabs>
          <w:tab w:val="left" w:pos="275"/>
          <w:tab w:val="left" w:pos="8280"/>
        </w:tabs>
        <w:spacing w:line="600" w:lineRule="auto"/>
        <w:ind w:firstLine="480"/>
        <w:jc w:val="left"/>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ab/>
      </w:r>
    </w:p>
    <w:p w14:paraId="40B96D8B">
      <w:pPr>
        <w:widowControl/>
        <w:tabs>
          <w:tab w:val="left" w:pos="275"/>
          <w:tab w:val="left" w:pos="8280"/>
        </w:tabs>
        <w:spacing w:line="600" w:lineRule="auto"/>
        <w:jc w:val="left"/>
        <w:rPr>
          <w:rFonts w:hint="eastAsia" w:ascii="宋体" w:hAnsi="宋体" w:eastAsia="宋体" w:cs="宋体"/>
          <w:b/>
          <w:color w:val="auto"/>
          <w:sz w:val="32"/>
          <w:szCs w:val="32"/>
          <w:highlight w:val="none"/>
          <w:u w:val="single"/>
        </w:rPr>
      </w:pPr>
      <w:r>
        <w:rPr>
          <w:rFonts w:hint="eastAsia" w:ascii="宋体" w:hAnsi="宋体" w:eastAsia="宋体" w:cs="宋体"/>
          <w:b/>
          <w:color w:val="auto"/>
          <w:sz w:val="32"/>
          <w:szCs w:val="32"/>
          <w:highlight w:val="none"/>
        </w:rPr>
        <w:t>项目名称：</w:t>
      </w:r>
      <w:r>
        <w:rPr>
          <w:rFonts w:hint="eastAsia" w:ascii="宋体" w:hAnsi="宋体" w:eastAsia="宋体" w:cs="宋体"/>
          <w:b/>
          <w:color w:val="auto"/>
          <w:sz w:val="32"/>
          <w:szCs w:val="32"/>
          <w:highlight w:val="none"/>
          <w:u w:val="single"/>
        </w:rPr>
        <w:t xml:space="preserve">                              </w:t>
      </w:r>
      <w:r>
        <w:rPr>
          <w:rFonts w:hint="eastAsia" w:ascii="宋体" w:hAnsi="宋体" w:eastAsia="宋体" w:cs="宋体"/>
          <w:b/>
          <w:color w:val="auto"/>
          <w:sz w:val="32"/>
          <w:szCs w:val="32"/>
          <w:highlight w:val="none"/>
          <w:u w:val="single"/>
          <w:lang w:val="en-US" w:eastAsia="zh-CN"/>
        </w:rPr>
        <w:t xml:space="preserve">      </w:t>
      </w:r>
      <w:r>
        <w:rPr>
          <w:rFonts w:hint="eastAsia" w:ascii="宋体" w:hAnsi="宋体" w:eastAsia="宋体" w:cs="宋体"/>
          <w:b/>
          <w:color w:val="auto"/>
          <w:sz w:val="32"/>
          <w:szCs w:val="32"/>
          <w:highlight w:val="none"/>
          <w:u w:val="single"/>
        </w:rPr>
        <w:t xml:space="preserve">        </w:t>
      </w:r>
    </w:p>
    <w:p w14:paraId="0BD728EA">
      <w:pPr>
        <w:widowControl/>
        <w:tabs>
          <w:tab w:val="left" w:pos="275"/>
          <w:tab w:val="left" w:pos="8280"/>
        </w:tabs>
        <w:spacing w:line="600" w:lineRule="auto"/>
        <w:ind w:firstLine="472" w:firstLineChars="147"/>
        <w:jc w:val="left"/>
        <w:rPr>
          <w:rFonts w:hint="eastAsia" w:ascii="宋体" w:hAnsi="宋体" w:eastAsia="宋体" w:cs="宋体"/>
          <w:b/>
          <w:color w:val="auto"/>
          <w:sz w:val="32"/>
          <w:szCs w:val="32"/>
          <w:highlight w:val="none"/>
        </w:rPr>
      </w:pPr>
    </w:p>
    <w:p w14:paraId="67F83B91">
      <w:pPr>
        <w:widowControl/>
        <w:tabs>
          <w:tab w:val="left" w:pos="275"/>
          <w:tab w:val="left" w:pos="8280"/>
        </w:tabs>
        <w:spacing w:line="600" w:lineRule="auto"/>
        <w:jc w:val="left"/>
        <w:rPr>
          <w:rFonts w:hint="eastAsia" w:ascii="宋体" w:hAnsi="宋体" w:eastAsia="宋体" w:cs="宋体"/>
          <w:b/>
          <w:color w:val="auto"/>
          <w:sz w:val="36"/>
          <w:szCs w:val="36"/>
          <w:highlight w:val="none"/>
        </w:rPr>
      </w:pPr>
      <w:r>
        <w:rPr>
          <w:rFonts w:hint="eastAsia" w:ascii="宋体" w:hAnsi="宋体" w:eastAsia="宋体" w:cs="宋体"/>
          <w:b/>
          <w:color w:val="auto"/>
          <w:sz w:val="32"/>
          <w:szCs w:val="32"/>
          <w:highlight w:val="none"/>
        </w:rPr>
        <w:t>项目编号：</w:t>
      </w:r>
      <w:r>
        <w:rPr>
          <w:rFonts w:hint="eastAsia" w:ascii="宋体" w:hAnsi="宋体" w:eastAsia="宋体" w:cs="宋体"/>
          <w:b/>
          <w:color w:val="auto"/>
          <w:sz w:val="32"/>
          <w:szCs w:val="32"/>
          <w:highlight w:val="none"/>
          <w:u w:val="single"/>
        </w:rPr>
        <w:t xml:space="preserve">                                    </w:t>
      </w:r>
      <w:r>
        <w:rPr>
          <w:rFonts w:hint="eastAsia" w:ascii="宋体" w:hAnsi="宋体" w:eastAsia="宋体" w:cs="宋体"/>
          <w:b/>
          <w:color w:val="auto"/>
          <w:sz w:val="32"/>
          <w:szCs w:val="32"/>
          <w:highlight w:val="none"/>
          <w:u w:val="single"/>
          <w:lang w:val="en-US" w:eastAsia="zh-CN"/>
        </w:rPr>
        <w:t xml:space="preserve">      </w:t>
      </w:r>
      <w:r>
        <w:rPr>
          <w:rFonts w:hint="eastAsia" w:ascii="宋体" w:hAnsi="宋体" w:eastAsia="宋体" w:cs="宋体"/>
          <w:b/>
          <w:color w:val="auto"/>
          <w:sz w:val="32"/>
          <w:szCs w:val="32"/>
          <w:highlight w:val="none"/>
          <w:u w:val="single"/>
        </w:rPr>
        <w:t xml:space="preserve">  </w:t>
      </w:r>
      <w:r>
        <w:rPr>
          <w:rFonts w:hint="eastAsia" w:ascii="宋体" w:hAnsi="宋体" w:eastAsia="宋体" w:cs="宋体"/>
          <w:b/>
          <w:color w:val="auto"/>
          <w:sz w:val="32"/>
          <w:szCs w:val="32"/>
          <w:highlight w:val="none"/>
        </w:rPr>
        <w:t xml:space="preserve">   </w:t>
      </w:r>
    </w:p>
    <w:p w14:paraId="34C9E496">
      <w:pPr>
        <w:widowControl/>
        <w:tabs>
          <w:tab w:val="left" w:pos="765"/>
          <w:tab w:val="left" w:pos="8280"/>
        </w:tabs>
        <w:spacing w:line="600" w:lineRule="auto"/>
        <w:ind w:firstLine="480"/>
        <w:jc w:val="left"/>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ab/>
      </w:r>
    </w:p>
    <w:p w14:paraId="6014D751">
      <w:pPr>
        <w:widowControl/>
        <w:tabs>
          <w:tab w:val="left" w:pos="765"/>
          <w:tab w:val="left" w:pos="8280"/>
        </w:tabs>
        <w:spacing w:line="600" w:lineRule="auto"/>
        <w:jc w:val="left"/>
        <w:rPr>
          <w:rFonts w:hint="eastAsia" w:ascii="宋体" w:hAnsi="宋体" w:eastAsia="宋体" w:cs="宋体"/>
          <w:b/>
          <w:color w:val="auto"/>
          <w:sz w:val="36"/>
          <w:szCs w:val="36"/>
          <w:highlight w:val="none"/>
          <w:u w:val="single"/>
          <w:lang w:val="en-US" w:eastAsia="zh-CN"/>
        </w:rPr>
      </w:pPr>
      <w:r>
        <w:rPr>
          <w:rFonts w:hint="eastAsia" w:ascii="宋体" w:hAnsi="宋体" w:eastAsia="宋体" w:cs="宋体"/>
          <w:b/>
          <w:color w:val="auto"/>
          <w:sz w:val="32"/>
          <w:szCs w:val="32"/>
          <w:highlight w:val="none"/>
        </w:rPr>
        <w:t>投标人：</w:t>
      </w:r>
      <w:r>
        <w:rPr>
          <w:rFonts w:hint="eastAsia" w:ascii="宋体" w:hAnsi="宋体" w:eastAsia="宋体" w:cs="宋体"/>
          <w:b/>
          <w:color w:val="auto"/>
          <w:sz w:val="32"/>
          <w:szCs w:val="32"/>
          <w:highlight w:val="none"/>
          <w:u w:val="single"/>
        </w:rPr>
        <w:t xml:space="preserve">                   （盖章）      </w:t>
      </w:r>
      <w:r>
        <w:rPr>
          <w:rFonts w:hint="eastAsia" w:ascii="宋体" w:hAnsi="宋体" w:eastAsia="宋体" w:cs="宋体"/>
          <w:b/>
          <w:color w:val="auto"/>
          <w:sz w:val="32"/>
          <w:szCs w:val="32"/>
          <w:highlight w:val="none"/>
          <w:u w:val="single"/>
          <w:lang w:val="en-US" w:eastAsia="zh-CN"/>
        </w:rPr>
        <w:t xml:space="preserve">             </w:t>
      </w:r>
    </w:p>
    <w:p w14:paraId="438AE644">
      <w:pPr>
        <w:widowControl/>
        <w:tabs>
          <w:tab w:val="left" w:pos="8280"/>
        </w:tabs>
        <w:spacing w:line="600" w:lineRule="auto"/>
        <w:jc w:val="both"/>
        <w:rPr>
          <w:rFonts w:hint="eastAsia" w:ascii="宋体" w:hAnsi="宋体" w:eastAsia="宋体" w:cs="宋体"/>
          <w:b/>
          <w:color w:val="auto"/>
          <w:sz w:val="32"/>
          <w:szCs w:val="32"/>
          <w:highlight w:val="none"/>
        </w:rPr>
      </w:pPr>
    </w:p>
    <w:p w14:paraId="08509137">
      <w:pPr>
        <w:widowControl/>
        <w:tabs>
          <w:tab w:val="left" w:pos="350"/>
          <w:tab w:val="left" w:pos="8280"/>
        </w:tabs>
        <w:spacing w:line="600" w:lineRule="auto"/>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 xml:space="preserve">日期：      </w:t>
      </w:r>
      <w:r>
        <w:rPr>
          <w:rFonts w:hint="eastAsia" w:ascii="宋体" w:hAnsi="宋体" w:eastAsia="宋体" w:cs="宋体"/>
          <w:b/>
          <w:color w:val="auto"/>
          <w:sz w:val="36"/>
          <w:szCs w:val="36"/>
          <w:highlight w:val="none"/>
        </w:rPr>
        <w:t xml:space="preserve"> </w:t>
      </w:r>
      <w:r>
        <w:rPr>
          <w:rFonts w:hint="eastAsia" w:ascii="宋体" w:hAnsi="宋体" w:eastAsia="宋体" w:cs="宋体"/>
          <w:b/>
          <w:color w:val="auto"/>
          <w:sz w:val="32"/>
          <w:szCs w:val="32"/>
          <w:highlight w:val="none"/>
        </w:rPr>
        <w:t>年</w:t>
      </w:r>
      <w:r>
        <w:rPr>
          <w:rFonts w:hint="eastAsia" w:ascii="宋体" w:hAnsi="宋体" w:eastAsia="宋体" w:cs="宋体"/>
          <w:b/>
          <w:color w:val="auto"/>
          <w:sz w:val="36"/>
          <w:szCs w:val="36"/>
          <w:highlight w:val="none"/>
        </w:rPr>
        <w:t xml:space="preserve">     </w:t>
      </w:r>
      <w:r>
        <w:rPr>
          <w:rFonts w:hint="eastAsia" w:ascii="宋体" w:hAnsi="宋体" w:eastAsia="宋体" w:cs="宋体"/>
          <w:b/>
          <w:color w:val="auto"/>
          <w:sz w:val="32"/>
          <w:szCs w:val="32"/>
          <w:highlight w:val="none"/>
        </w:rPr>
        <w:t>月</w:t>
      </w:r>
      <w:r>
        <w:rPr>
          <w:rFonts w:hint="eastAsia" w:ascii="宋体" w:hAnsi="宋体" w:eastAsia="宋体" w:cs="宋体"/>
          <w:b/>
          <w:color w:val="auto"/>
          <w:sz w:val="36"/>
          <w:szCs w:val="36"/>
          <w:highlight w:val="none"/>
        </w:rPr>
        <w:t xml:space="preserve">     </w:t>
      </w:r>
      <w:r>
        <w:rPr>
          <w:rFonts w:hint="eastAsia" w:ascii="宋体" w:hAnsi="宋体" w:eastAsia="宋体" w:cs="宋体"/>
          <w:b/>
          <w:color w:val="auto"/>
          <w:sz w:val="32"/>
          <w:szCs w:val="32"/>
          <w:highlight w:val="none"/>
        </w:rPr>
        <w:t>日</w:t>
      </w:r>
    </w:p>
    <w:p w14:paraId="60A35738">
      <w:pPr>
        <w:spacing w:line="600" w:lineRule="auto"/>
        <w:rPr>
          <w:rFonts w:hint="eastAsia" w:ascii="宋体" w:hAnsi="宋体" w:eastAsia="宋体" w:cs="宋体"/>
          <w:color w:val="auto"/>
          <w:highlight w:val="none"/>
        </w:rPr>
      </w:pPr>
    </w:p>
    <w:p w14:paraId="50B3F290">
      <w:pPr>
        <w:rPr>
          <w:rFonts w:hint="eastAsia" w:ascii="宋体" w:hAnsi="宋体" w:eastAsia="宋体" w:cs="宋体"/>
          <w:color w:val="auto"/>
          <w:highlight w:val="none"/>
        </w:rPr>
      </w:pPr>
    </w:p>
    <w:p w14:paraId="492E8D19">
      <w:pPr>
        <w:rPr>
          <w:rFonts w:hint="eastAsia" w:ascii="宋体" w:hAnsi="宋体" w:eastAsia="宋体" w:cs="宋体"/>
          <w:color w:val="auto"/>
          <w:highlight w:val="none"/>
        </w:rPr>
      </w:pPr>
    </w:p>
    <w:p w14:paraId="3D224269">
      <w:pPr>
        <w:rPr>
          <w:rFonts w:hint="eastAsia" w:ascii="宋体" w:hAnsi="宋体" w:eastAsia="宋体" w:cs="宋体"/>
          <w:color w:val="auto"/>
          <w:highlight w:val="none"/>
        </w:rPr>
      </w:pPr>
    </w:p>
    <w:p w14:paraId="3EB1E263">
      <w:pPr>
        <w:rPr>
          <w:rFonts w:hint="eastAsia" w:ascii="宋体" w:hAnsi="宋体" w:eastAsia="宋体" w:cs="宋体"/>
          <w:color w:val="auto"/>
          <w:highlight w:val="none"/>
        </w:rPr>
      </w:pPr>
    </w:p>
    <w:p w14:paraId="4DA2CDDC">
      <w:pPr>
        <w:rPr>
          <w:rFonts w:hint="eastAsia" w:ascii="宋体" w:hAnsi="宋体" w:eastAsia="宋体" w:cs="宋体"/>
          <w:color w:val="auto"/>
          <w:highlight w:val="none"/>
        </w:rPr>
      </w:pPr>
    </w:p>
    <w:p w14:paraId="6832A8A0">
      <w:pPr>
        <w:rPr>
          <w:rFonts w:hint="eastAsia" w:ascii="宋体" w:hAnsi="宋体" w:eastAsia="宋体" w:cs="宋体"/>
          <w:b w:val="0"/>
          <w:color w:val="auto"/>
          <w:highlight w:val="none"/>
        </w:rPr>
      </w:pPr>
      <w:r>
        <w:rPr>
          <w:rFonts w:hint="eastAsia" w:ascii="宋体" w:hAnsi="宋体" w:eastAsia="宋体" w:cs="宋体"/>
          <w:b w:val="0"/>
          <w:color w:val="auto"/>
          <w:highlight w:val="none"/>
        </w:rPr>
        <w:br w:type="page"/>
      </w:r>
    </w:p>
    <w:p w14:paraId="1E7F5C86">
      <w:pPr>
        <w:pStyle w:val="4"/>
        <w:spacing w:line="500" w:lineRule="exact"/>
        <w:jc w:val="center"/>
        <w:rPr>
          <w:rFonts w:hint="eastAsia" w:ascii="宋体" w:hAnsi="宋体" w:eastAsia="宋体" w:cs="宋体"/>
          <w:b w:val="0"/>
          <w:color w:val="auto"/>
          <w:highlight w:val="none"/>
        </w:rPr>
      </w:pPr>
      <w:r>
        <w:rPr>
          <w:rFonts w:hint="eastAsia" w:ascii="宋体" w:hAnsi="宋体" w:eastAsia="宋体" w:cs="宋体"/>
          <w:b w:val="0"/>
          <w:color w:val="auto"/>
          <w:highlight w:val="none"/>
        </w:rPr>
        <w:t>二、投标函（格式）</w:t>
      </w:r>
    </w:p>
    <w:p w14:paraId="15CB824A">
      <w:pPr>
        <w:spacing w:line="660" w:lineRule="exact"/>
        <w:rPr>
          <w:rFonts w:hint="eastAsia" w:ascii="宋体" w:hAnsi="宋体" w:eastAsia="宋体" w:cs="宋体"/>
          <w:color w:val="auto"/>
          <w:spacing w:val="8"/>
          <w:sz w:val="24"/>
          <w:szCs w:val="24"/>
          <w:highlight w:val="none"/>
          <w:lang w:eastAsia="zh-CN"/>
        </w:rPr>
      </w:pPr>
      <w:r>
        <w:rPr>
          <w:rFonts w:hint="eastAsia" w:ascii="宋体" w:hAnsi="宋体" w:eastAsia="宋体" w:cs="宋体"/>
          <w:color w:val="auto"/>
          <w:spacing w:val="8"/>
          <w:sz w:val="24"/>
          <w:szCs w:val="24"/>
          <w:highlight w:val="none"/>
        </w:rPr>
        <w:t>致：</w:t>
      </w:r>
      <w:r>
        <w:rPr>
          <w:rFonts w:hint="eastAsia" w:ascii="宋体" w:hAnsi="宋体" w:eastAsia="宋体" w:cs="宋体"/>
          <w:color w:val="auto"/>
          <w:sz w:val="24"/>
          <w:szCs w:val="24"/>
          <w:highlight w:val="none"/>
          <w:lang w:eastAsia="zh-CN"/>
        </w:rPr>
        <w:t>浙江博策工程项目管理有限公司</w:t>
      </w:r>
    </w:p>
    <w:p w14:paraId="13CE3185">
      <w:pPr>
        <w:spacing w:line="360" w:lineRule="auto"/>
        <w:ind w:firstLine="384" w:firstLineChars="150"/>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根据贵方</w:t>
      </w:r>
      <w:r>
        <w:rPr>
          <w:rFonts w:hint="eastAsia" w:ascii="宋体" w:hAnsi="宋体" w:eastAsia="宋体" w:cs="宋体"/>
          <w:color w:val="auto"/>
          <w:spacing w:val="8"/>
          <w:sz w:val="24"/>
          <w:szCs w:val="24"/>
          <w:highlight w:val="none"/>
          <w:u w:val="single"/>
        </w:rPr>
        <w:t xml:space="preserve">                           项目的</w:t>
      </w:r>
      <w:r>
        <w:rPr>
          <w:rFonts w:hint="eastAsia" w:ascii="宋体" w:hAnsi="宋体" w:eastAsia="宋体" w:cs="宋体"/>
          <w:color w:val="auto"/>
          <w:spacing w:val="8"/>
          <w:sz w:val="24"/>
          <w:szCs w:val="24"/>
          <w:highlight w:val="none"/>
        </w:rPr>
        <w:t>招标文件（编号：浙</w:t>
      </w:r>
      <w:r>
        <w:rPr>
          <w:rFonts w:hint="eastAsia" w:ascii="宋体" w:hAnsi="宋体" w:eastAsia="宋体" w:cs="宋体"/>
          <w:color w:val="auto"/>
          <w:spacing w:val="8"/>
          <w:sz w:val="24"/>
          <w:szCs w:val="24"/>
          <w:highlight w:val="none"/>
          <w:lang w:eastAsia="zh-CN"/>
        </w:rPr>
        <w:t>博策</w:t>
      </w:r>
      <w:r>
        <w:rPr>
          <w:rFonts w:hint="eastAsia" w:ascii="宋体" w:hAnsi="宋体" w:eastAsia="宋体" w:cs="宋体"/>
          <w:color w:val="auto"/>
          <w:spacing w:val="8"/>
          <w:sz w:val="24"/>
          <w:szCs w:val="24"/>
          <w:highlight w:val="none"/>
        </w:rPr>
        <w:t xml:space="preserve"> 20**-**-**）有关要求， </w:t>
      </w:r>
      <w:r>
        <w:rPr>
          <w:rFonts w:hint="eastAsia" w:ascii="宋体" w:hAnsi="宋体" w:eastAsia="宋体" w:cs="宋体"/>
          <w:color w:val="auto"/>
          <w:spacing w:val="8"/>
          <w:sz w:val="24"/>
          <w:szCs w:val="24"/>
          <w:highlight w:val="none"/>
          <w:u w:val="single"/>
        </w:rPr>
        <w:t xml:space="preserve">   　　（投标人全称）       </w:t>
      </w:r>
      <w:r>
        <w:rPr>
          <w:rFonts w:hint="eastAsia" w:ascii="宋体" w:hAnsi="宋体" w:eastAsia="宋体" w:cs="宋体"/>
          <w:color w:val="auto"/>
          <w:spacing w:val="8"/>
          <w:sz w:val="24"/>
          <w:szCs w:val="24"/>
          <w:highlight w:val="none"/>
        </w:rPr>
        <w:t>授权</w:t>
      </w:r>
      <w:r>
        <w:rPr>
          <w:rFonts w:hint="eastAsia" w:ascii="宋体" w:hAnsi="宋体" w:eastAsia="宋体" w:cs="宋体"/>
          <w:color w:val="auto"/>
          <w:spacing w:val="8"/>
          <w:sz w:val="24"/>
          <w:szCs w:val="24"/>
          <w:highlight w:val="none"/>
          <w:u w:val="single"/>
        </w:rPr>
        <w:t xml:space="preserve">     （委托代理人姓名）   </w:t>
      </w:r>
      <w:r>
        <w:rPr>
          <w:rFonts w:hint="eastAsia" w:ascii="宋体" w:hAnsi="宋体" w:eastAsia="宋体" w:cs="宋体"/>
          <w:color w:val="auto"/>
          <w:sz w:val="24"/>
          <w:szCs w:val="24"/>
          <w:highlight w:val="none"/>
        </w:rPr>
        <w:t>为全权代表，参加贵方组织的招标采购活动，并进行投标。为此：</w:t>
      </w:r>
    </w:p>
    <w:p w14:paraId="4FB0F8FC">
      <w:pPr>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1、我方已详细研读了全部招标文件，包括修改文件（如有的话）以及全部参考资料和有关附件等，</w:t>
      </w:r>
      <w:r>
        <w:rPr>
          <w:rFonts w:hint="eastAsia" w:ascii="宋体" w:hAnsi="宋体" w:eastAsia="宋体" w:cs="宋体"/>
          <w:bCs/>
          <w:color w:val="auto"/>
          <w:sz w:val="24"/>
          <w:szCs w:val="24"/>
          <w:highlight w:val="none"/>
        </w:rPr>
        <w:t>完全理解并接受招标文件的各项规定和要求，对招标文件的合理性、合法性不再有异议。</w:t>
      </w:r>
    </w:p>
    <w:p w14:paraId="5784CCAE">
      <w:pPr>
        <w:tabs>
          <w:tab w:val="left" w:pos="90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2、我方承诺本投标文件在开标之日起至投标有效期满均具有约束力，并严格遵守投标文件中的承诺。</w:t>
      </w:r>
    </w:p>
    <w:p w14:paraId="3EE3C00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3、我方承诺已经具备招标文件中规定的参加本项目的供应商资格条件。</w:t>
      </w:r>
    </w:p>
    <w:p w14:paraId="5F84F25B">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4、我方严格按照招标文件的规定报价，并提供招标文件规定的全部投标文件。</w:t>
      </w:r>
    </w:p>
    <w:p w14:paraId="19D9B1B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5、如我方中标，投标文件将作为本项目合同的组成部分，直到合同履行完毕均保持有效，我方将按招标文件及相关采购法律、法规的规定履行合同责任和义务。</w:t>
      </w:r>
    </w:p>
    <w:p w14:paraId="35F5564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6、我方完全理解贵方不一定接受最低价的投标。</w:t>
      </w:r>
    </w:p>
    <w:p w14:paraId="54EA25A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7、我方同意向贵方提供任何与该项投标有关的一切数据或资料。若贵方需要，我方愿意提供我方</w:t>
      </w:r>
      <w:r>
        <w:rPr>
          <w:rFonts w:hint="eastAsia" w:ascii="宋体" w:hAnsi="宋体" w:eastAsia="宋体" w:cs="宋体"/>
          <w:color w:val="auto"/>
          <w:sz w:val="24"/>
          <w:szCs w:val="24"/>
          <w:highlight w:val="none"/>
          <w:lang w:eastAsia="zh-CN"/>
        </w:rPr>
        <w:t>做出</w:t>
      </w:r>
      <w:r>
        <w:rPr>
          <w:rFonts w:hint="eastAsia" w:ascii="宋体" w:hAnsi="宋体" w:eastAsia="宋体" w:cs="宋体"/>
          <w:color w:val="auto"/>
          <w:sz w:val="24"/>
          <w:szCs w:val="24"/>
          <w:highlight w:val="none"/>
        </w:rPr>
        <w:t>的一切承诺的证明材料。</w:t>
      </w:r>
    </w:p>
    <w:p w14:paraId="0D8367F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8、与本次投标有关的一切正式往来通讯，请寄：</w:t>
      </w:r>
    </w:p>
    <w:p w14:paraId="4854E287">
      <w:pPr>
        <w:spacing w:line="360" w:lineRule="auto"/>
        <w:ind w:firstLine="425"/>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single"/>
        </w:rPr>
        <w:t xml:space="preserve">                     </w:t>
      </w:r>
    </w:p>
    <w:p w14:paraId="149BB00D">
      <w:pPr>
        <w:spacing w:line="360" w:lineRule="auto"/>
        <w:ind w:firstLine="425"/>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传真：</w:t>
      </w:r>
      <w:r>
        <w:rPr>
          <w:rFonts w:hint="eastAsia" w:ascii="宋体" w:hAnsi="宋体" w:eastAsia="宋体" w:cs="宋体"/>
          <w:color w:val="auto"/>
          <w:sz w:val="24"/>
          <w:szCs w:val="24"/>
          <w:highlight w:val="none"/>
          <w:u w:val="single"/>
        </w:rPr>
        <w:t xml:space="preserve">                     </w:t>
      </w:r>
    </w:p>
    <w:p w14:paraId="64C045CF">
      <w:pPr>
        <w:spacing w:line="360" w:lineRule="auto"/>
        <w:ind w:firstLine="425"/>
        <w:rPr>
          <w:rFonts w:hint="eastAsia" w:ascii="宋体" w:hAnsi="宋体" w:eastAsia="宋体" w:cs="宋体"/>
          <w:color w:val="auto"/>
          <w:sz w:val="24"/>
          <w:szCs w:val="24"/>
          <w:highlight w:val="none"/>
        </w:rPr>
      </w:pPr>
    </w:p>
    <w:p w14:paraId="3A9C42DB">
      <w:pPr>
        <w:spacing w:line="360" w:lineRule="auto"/>
        <w:ind w:firstLine="4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投标人名称：</w:t>
      </w:r>
      <w:r>
        <w:rPr>
          <w:rFonts w:hint="eastAsia" w:ascii="宋体" w:hAnsi="宋体" w:eastAsia="宋体" w:cs="宋体"/>
          <w:color w:val="auto"/>
          <w:sz w:val="24"/>
          <w:szCs w:val="24"/>
          <w:highlight w:val="none"/>
          <w:u w:val="single"/>
        </w:rPr>
        <w:t xml:space="preserve">             （盖章）          </w:t>
      </w:r>
    </w:p>
    <w:p w14:paraId="47E89297">
      <w:pPr>
        <w:spacing w:line="360" w:lineRule="auto"/>
        <w:ind w:firstLine="425"/>
        <w:rPr>
          <w:rFonts w:hint="eastAsia" w:ascii="宋体" w:hAnsi="宋体" w:eastAsia="宋体" w:cs="宋体"/>
          <w:color w:val="auto"/>
          <w:sz w:val="24"/>
          <w:szCs w:val="24"/>
          <w:highlight w:val="none"/>
        </w:rPr>
      </w:pPr>
    </w:p>
    <w:p w14:paraId="5245F895">
      <w:pPr>
        <w:spacing w:line="360" w:lineRule="auto"/>
        <w:ind w:firstLine="425"/>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w:t>
      </w:r>
    </w:p>
    <w:p w14:paraId="0CBC744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58E9FAF6">
      <w:pPr>
        <w:spacing w:line="360" w:lineRule="auto"/>
        <w:ind w:firstLine="480" w:firstLineChars="200"/>
        <w:rPr>
          <w:rFonts w:hint="eastAsia" w:ascii="宋体" w:hAnsi="宋体" w:eastAsia="宋体" w:cs="宋体"/>
          <w:color w:val="auto"/>
          <w:sz w:val="24"/>
          <w:szCs w:val="24"/>
          <w:highlight w:val="none"/>
        </w:rPr>
      </w:pPr>
    </w:p>
    <w:p w14:paraId="4824EAF9">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4003DE2C">
      <w:pPr>
        <w:pStyle w:val="4"/>
        <w:spacing w:line="500" w:lineRule="exact"/>
        <w:jc w:val="center"/>
        <w:rPr>
          <w:rFonts w:hint="eastAsia" w:ascii="宋体" w:hAnsi="宋体" w:eastAsia="宋体" w:cs="宋体"/>
          <w:b w:val="0"/>
          <w:color w:val="auto"/>
          <w:highlight w:val="none"/>
        </w:rPr>
      </w:pPr>
      <w:r>
        <w:rPr>
          <w:rFonts w:hint="eastAsia" w:ascii="宋体" w:hAnsi="宋体" w:eastAsia="宋体" w:cs="宋体"/>
          <w:b w:val="0"/>
          <w:color w:val="auto"/>
          <w:highlight w:val="none"/>
          <w:lang w:val="en-US" w:eastAsia="zh-CN"/>
        </w:rPr>
        <w:t>三</w:t>
      </w:r>
      <w:r>
        <w:rPr>
          <w:rFonts w:hint="eastAsia" w:ascii="宋体" w:hAnsi="宋体" w:eastAsia="宋体" w:cs="宋体"/>
          <w:b w:val="0"/>
          <w:color w:val="auto"/>
          <w:highlight w:val="none"/>
        </w:rPr>
        <w:t>、授权委托书（格式）</w:t>
      </w:r>
    </w:p>
    <w:p w14:paraId="243E85D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pacing w:val="8"/>
          <w:sz w:val="24"/>
          <w:szCs w:val="24"/>
          <w:highlight w:val="none"/>
          <w:lang w:eastAsia="zh-CN"/>
        </w:rPr>
        <w:t>浙江博策工程项目管理有限公司</w:t>
      </w:r>
    </w:p>
    <w:p w14:paraId="417A25E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姓名</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（职务：     身份证号码</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投标人名称</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的法定代表人，现授权委托本单位在职职工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姓名</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 xml:space="preserve">  　 （职务：    身份证号码：     ）</w:t>
      </w:r>
      <w:r>
        <w:rPr>
          <w:rFonts w:hint="eastAsia" w:ascii="宋体" w:hAnsi="宋体" w:eastAsia="宋体" w:cs="宋体"/>
          <w:color w:val="auto"/>
          <w:sz w:val="24"/>
          <w:szCs w:val="24"/>
          <w:highlight w:val="none"/>
        </w:rPr>
        <w:t>以我方的名义参加贵中心组织的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招标项目</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的投标活动，并代表我方全权办理针对上述项目的投标、开标、评标、签约等具体事务和签署相关文件。</w:t>
      </w:r>
    </w:p>
    <w:p w14:paraId="611B4E86">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我方对被授权人的签名事项负全部责任。</w:t>
      </w:r>
    </w:p>
    <w:p w14:paraId="0EE78D2B">
      <w:pPr>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在撤销授权的书面通知以前，本授权书一直有效。被授权人在授权书有效期内签署的所有文件不因授权的撤销而失效。</w:t>
      </w:r>
    </w:p>
    <w:p w14:paraId="5B45E875">
      <w:pPr>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被授权人无转委托权，特此委托。</w:t>
      </w:r>
    </w:p>
    <w:p w14:paraId="3E805A82">
      <w:pPr>
        <w:spacing w:line="360" w:lineRule="auto"/>
        <w:rPr>
          <w:rFonts w:hint="eastAsia" w:ascii="宋体" w:hAnsi="宋体" w:eastAsia="宋体" w:cs="宋体"/>
          <w:color w:val="auto"/>
          <w:sz w:val="24"/>
          <w:szCs w:val="24"/>
          <w:highlight w:val="none"/>
        </w:rPr>
      </w:pPr>
    </w:p>
    <w:p w14:paraId="056D565D">
      <w:pPr>
        <w:spacing w:line="360" w:lineRule="auto"/>
        <w:rPr>
          <w:rFonts w:hint="eastAsia" w:ascii="宋体" w:hAnsi="宋体" w:eastAsia="宋体" w:cs="宋体"/>
          <w:color w:val="auto"/>
          <w:sz w:val="24"/>
          <w:szCs w:val="24"/>
          <w:highlight w:val="none"/>
        </w:rPr>
      </w:pPr>
    </w:p>
    <w:p w14:paraId="2ABE3DC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附：1、社保机构出具的投标人为授权委托人缴纳的近三个月社保证明。未按要求提供社保证明的不视为投标人的授权代表。</w:t>
      </w:r>
    </w:p>
    <w:p w14:paraId="5A87994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2、法定代表人和被授权人身份证复印件。</w:t>
      </w:r>
    </w:p>
    <w:p w14:paraId="05056D82">
      <w:pPr>
        <w:spacing w:line="360" w:lineRule="auto"/>
        <w:ind w:firstLine="4440" w:firstLineChars="18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盖章</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p>
    <w:p w14:paraId="03FE2C6D">
      <w:pPr>
        <w:spacing w:line="360" w:lineRule="auto"/>
        <w:rPr>
          <w:rFonts w:hint="eastAsia" w:ascii="宋体" w:hAnsi="宋体" w:eastAsia="宋体" w:cs="宋体"/>
          <w:color w:val="auto"/>
          <w:sz w:val="24"/>
          <w:szCs w:val="24"/>
          <w:highlight w:val="none"/>
        </w:rPr>
      </w:pPr>
    </w:p>
    <w:p w14:paraId="3F995B5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465F5099">
      <w:pPr>
        <w:pStyle w:val="4"/>
        <w:spacing w:line="360" w:lineRule="auto"/>
        <w:jc w:val="center"/>
        <w:rPr>
          <w:rFonts w:hint="eastAsia" w:ascii="宋体" w:hAnsi="宋体" w:eastAsia="宋体" w:cs="宋体"/>
          <w:color w:val="auto"/>
          <w:sz w:val="28"/>
          <w:highlight w:val="none"/>
        </w:rPr>
      </w:pPr>
      <w:r>
        <w:rPr>
          <w:rFonts w:hint="eastAsia" w:ascii="宋体" w:hAnsi="宋体" w:eastAsia="宋体" w:cs="宋体"/>
          <w:color w:val="auto"/>
          <w:sz w:val="24"/>
          <w:szCs w:val="24"/>
          <w:highlight w:val="none"/>
        </w:rPr>
        <w:br w:type="page"/>
      </w:r>
      <w:r>
        <w:rPr>
          <w:rFonts w:hint="eastAsia" w:ascii="宋体" w:hAnsi="宋体" w:eastAsia="宋体" w:cs="宋体"/>
          <w:b w:val="0"/>
          <w:color w:val="auto"/>
          <w:sz w:val="36"/>
          <w:szCs w:val="36"/>
          <w:highlight w:val="none"/>
        </w:rPr>
        <w:t>四、开标一览表（格式）</w:t>
      </w:r>
    </w:p>
    <w:p w14:paraId="4AEF068B">
      <w:pPr>
        <w:spacing w:line="360" w:lineRule="auto"/>
        <w:ind w:left="279" w:leftChars="133"/>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w:t>
      </w:r>
    </w:p>
    <w:p w14:paraId="38E7D16B">
      <w:pPr>
        <w:spacing w:line="360" w:lineRule="auto"/>
        <w:ind w:left="279" w:leftChars="13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项目编号：浙</w:t>
      </w:r>
      <w:r>
        <w:rPr>
          <w:rFonts w:hint="eastAsia" w:ascii="宋体" w:hAnsi="宋体" w:eastAsia="宋体" w:cs="宋体"/>
          <w:color w:val="auto"/>
          <w:sz w:val="24"/>
          <w:szCs w:val="24"/>
          <w:highlight w:val="none"/>
          <w:lang w:eastAsia="zh-CN"/>
        </w:rPr>
        <w:t>博策</w:t>
      </w:r>
      <w:r>
        <w:rPr>
          <w:rFonts w:hint="eastAsia" w:ascii="宋体" w:hAnsi="宋体" w:eastAsia="宋体" w:cs="宋体"/>
          <w:color w:val="auto"/>
          <w:sz w:val="24"/>
          <w:szCs w:val="24"/>
          <w:highlight w:val="none"/>
        </w:rPr>
        <w:t xml:space="preserve"> 20**-**-**</w:t>
      </w:r>
    </w:p>
    <w:tbl>
      <w:tblPr>
        <w:tblStyle w:val="20"/>
        <w:tblpPr w:leftFromText="180" w:rightFromText="180" w:vertAnchor="text" w:horzAnchor="page" w:tblpX="1452" w:tblpY="314"/>
        <w:tblOverlap w:val="never"/>
        <w:tblW w:w="9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4765"/>
        <w:gridCol w:w="3540"/>
      </w:tblGrid>
      <w:tr w14:paraId="7B95D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850" w:type="dxa"/>
            <w:noWrap w:val="0"/>
            <w:vAlign w:val="center"/>
          </w:tcPr>
          <w:p w14:paraId="29912389">
            <w:pPr>
              <w:widowControl/>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 号</w:t>
            </w:r>
          </w:p>
        </w:tc>
        <w:tc>
          <w:tcPr>
            <w:tcW w:w="4765" w:type="dxa"/>
            <w:noWrap w:val="0"/>
            <w:vAlign w:val="center"/>
          </w:tcPr>
          <w:p w14:paraId="5729CB47">
            <w:pPr>
              <w:widowControl/>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项目名称</w:t>
            </w:r>
          </w:p>
        </w:tc>
        <w:tc>
          <w:tcPr>
            <w:tcW w:w="3540" w:type="dxa"/>
            <w:noWrap w:val="0"/>
            <w:vAlign w:val="center"/>
          </w:tcPr>
          <w:p w14:paraId="7A0D23F5">
            <w:pPr>
              <w:pStyle w:val="33"/>
              <w:spacing w:line="360" w:lineRule="auto"/>
              <w:ind w:left="63" w:leftChars="0" w:right="63" w:rightChars="0"/>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投标总价</w:t>
            </w:r>
          </w:p>
        </w:tc>
      </w:tr>
      <w:tr w14:paraId="59888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6" w:hRule="atLeast"/>
        </w:trPr>
        <w:tc>
          <w:tcPr>
            <w:tcW w:w="850" w:type="dxa"/>
            <w:noWrap w:val="0"/>
            <w:vAlign w:val="center"/>
          </w:tcPr>
          <w:p w14:paraId="4759F502">
            <w:pPr>
              <w:widowControl/>
              <w:spacing w:line="36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p>
        </w:tc>
        <w:tc>
          <w:tcPr>
            <w:tcW w:w="4765" w:type="dxa"/>
            <w:noWrap w:val="0"/>
            <w:vAlign w:val="center"/>
          </w:tcPr>
          <w:p w14:paraId="69172334">
            <w:pPr>
              <w:spacing w:line="360" w:lineRule="auto"/>
              <w:jc w:val="center"/>
              <w:rPr>
                <w:rFonts w:hint="eastAsia" w:ascii="宋体" w:hAnsi="宋体" w:eastAsia="宋体" w:cs="宋体"/>
                <w:b w:val="0"/>
                <w:bCs w:val="0"/>
                <w:color w:val="auto"/>
                <w:sz w:val="24"/>
                <w:szCs w:val="24"/>
                <w:highlight w:val="none"/>
              </w:rPr>
            </w:pPr>
          </w:p>
        </w:tc>
        <w:tc>
          <w:tcPr>
            <w:tcW w:w="3540" w:type="dxa"/>
            <w:noWrap w:val="0"/>
            <w:vAlign w:val="center"/>
          </w:tcPr>
          <w:p w14:paraId="0D666B3B">
            <w:pPr>
              <w:widowControl/>
              <w:shd w:val="clear" w:color="auto" w:fill="auto"/>
              <w:spacing w:line="360" w:lineRule="auto"/>
              <w:jc w:val="both"/>
              <w:rPr>
                <w:rFonts w:hint="eastAsia" w:ascii="宋体" w:hAnsi="宋体" w:eastAsia="宋体" w:cs="宋体"/>
                <w:b w:val="0"/>
                <w:bCs w:val="0"/>
                <w:color w:val="auto"/>
                <w:sz w:val="24"/>
                <w:szCs w:val="24"/>
                <w:highlight w:val="none"/>
                <w:lang w:val="en-US" w:eastAsia="zh-CN"/>
              </w:rPr>
            </w:pPr>
          </w:p>
          <w:p w14:paraId="1C1B7FAF">
            <w:pPr>
              <w:widowControl/>
              <w:spacing w:line="360" w:lineRule="auto"/>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大写：</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lang w:val="en-US" w:eastAsia="zh-CN"/>
              </w:rPr>
              <w:t>元整</w:t>
            </w:r>
          </w:p>
          <w:p w14:paraId="6D47483F">
            <w:pPr>
              <w:pStyle w:val="3"/>
              <w:spacing w:line="360" w:lineRule="auto"/>
              <w:jc w:val="both"/>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eastAsia="zh-CN"/>
              </w:rPr>
              <w:t>小写：¥</w:t>
            </w:r>
            <w:r>
              <w:rPr>
                <w:rFonts w:hint="eastAsia" w:ascii="宋体" w:hAnsi="宋体" w:eastAsia="宋体" w:cs="宋体"/>
                <w:b w:val="0"/>
                <w:bCs w:val="0"/>
                <w:color w:val="auto"/>
                <w:sz w:val="24"/>
                <w:szCs w:val="24"/>
                <w:highlight w:val="none"/>
                <w:u w:val="single"/>
                <w:lang w:val="en-US" w:eastAsia="zh-CN"/>
              </w:rPr>
              <w:t xml:space="preserve">              </w:t>
            </w:r>
          </w:p>
        </w:tc>
      </w:tr>
    </w:tbl>
    <w:p w14:paraId="5AAD73F0">
      <w:pPr>
        <w:pStyle w:val="25"/>
        <w:spacing w:line="360" w:lineRule="auto"/>
        <w:rPr>
          <w:rFonts w:hint="eastAsia" w:ascii="宋体" w:hAnsi="宋体" w:eastAsia="宋体" w:cs="宋体"/>
          <w:color w:val="auto"/>
          <w:sz w:val="24"/>
          <w:szCs w:val="24"/>
          <w:highlight w:val="none"/>
        </w:rPr>
      </w:pPr>
    </w:p>
    <w:p w14:paraId="3F9A8C0D">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w:t>
      </w:r>
    </w:p>
    <w:p w14:paraId="4CDD21D7">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eastAsia="zh-CN"/>
        </w:rPr>
        <w:t>有关本项目实施所涉及的一切费用均计入报价。</w:t>
      </w:r>
    </w:p>
    <w:p w14:paraId="27200579">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eastAsia="zh-CN"/>
        </w:rPr>
        <w:t>投标报价不得超过最高限价，否则按无效报价处理。</w:t>
      </w:r>
    </w:p>
    <w:p w14:paraId="096934D8">
      <w:pPr>
        <w:pStyle w:val="2"/>
        <w:keepNext w:val="0"/>
        <w:keepLines w:val="0"/>
        <w:pageBreakBefore w:val="0"/>
        <w:widowControl w:val="0"/>
        <w:kinsoku/>
        <w:wordWrap/>
        <w:overflowPunct/>
        <w:topLinePunct w:val="0"/>
        <w:autoSpaceDE w:val="0"/>
        <w:autoSpaceDN w:val="0"/>
        <w:bidi w:val="0"/>
        <w:adjustRightInd w:val="0"/>
        <w:snapToGrid/>
        <w:spacing w:after="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3、供应商</w:t>
      </w:r>
      <w:r>
        <w:rPr>
          <w:rFonts w:hint="eastAsia" w:ascii="宋体" w:hAnsi="宋体" w:cs="宋体"/>
          <w:color w:val="auto"/>
          <w:sz w:val="24"/>
          <w:szCs w:val="24"/>
          <w:highlight w:val="none"/>
          <w:lang w:val="en-US" w:eastAsia="zh-CN"/>
        </w:rPr>
        <w:t>需</w:t>
      </w:r>
      <w:r>
        <w:rPr>
          <w:rFonts w:hint="eastAsia" w:ascii="宋体" w:hAnsi="宋体" w:eastAsia="宋体" w:cs="宋体"/>
          <w:color w:val="auto"/>
          <w:sz w:val="24"/>
          <w:szCs w:val="24"/>
          <w:highlight w:val="none"/>
          <w:lang w:val="en-US" w:eastAsia="zh-CN"/>
        </w:rPr>
        <w:t>根据项目采购需求后附</w:t>
      </w:r>
      <w:r>
        <w:rPr>
          <w:rFonts w:hint="eastAsia" w:ascii="宋体" w:hAnsi="宋体" w:eastAsia="宋体" w:cs="宋体"/>
          <w:color w:val="auto"/>
          <w:sz w:val="24"/>
          <w:szCs w:val="24"/>
          <w:highlight w:val="none"/>
          <w:u w:val="single"/>
          <w:lang w:val="en-US" w:eastAsia="zh-CN"/>
        </w:rPr>
        <w:t>分项报价清单</w:t>
      </w:r>
      <w:r>
        <w:rPr>
          <w:rFonts w:hint="eastAsia" w:ascii="宋体" w:hAnsi="宋体" w:eastAsia="宋体" w:cs="宋体"/>
          <w:color w:val="auto"/>
          <w:sz w:val="24"/>
          <w:szCs w:val="24"/>
          <w:highlight w:val="none"/>
          <w:lang w:val="en-US" w:eastAsia="zh-CN"/>
        </w:rPr>
        <w:t>，格式自拟。投标总价与分项报价的合价不一致时，以分项报价的合计价格为准。</w:t>
      </w:r>
    </w:p>
    <w:p w14:paraId="4F1AE310">
      <w:pPr>
        <w:pStyle w:val="2"/>
        <w:keepNext w:val="0"/>
        <w:keepLines w:val="0"/>
        <w:pageBreakBefore w:val="0"/>
        <w:widowControl w:val="0"/>
        <w:kinsoku/>
        <w:wordWrap/>
        <w:overflowPunct/>
        <w:topLinePunct w:val="0"/>
        <w:autoSpaceDE w:val="0"/>
        <w:autoSpaceDN w:val="0"/>
        <w:bidi w:val="0"/>
        <w:adjustRightInd w:val="0"/>
        <w:snapToGrid/>
        <w:spacing w:after="0"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4、报价精确到两位小数，报价不得出现“0元”“免费赠送”等形式的无偿报价。</w:t>
      </w:r>
    </w:p>
    <w:p w14:paraId="4E49FC09">
      <w:pPr>
        <w:spacing w:line="360" w:lineRule="auto"/>
        <w:rPr>
          <w:rFonts w:hint="eastAsia" w:ascii="宋体" w:hAnsi="宋体" w:eastAsia="宋体" w:cs="宋体"/>
          <w:color w:val="auto"/>
          <w:sz w:val="24"/>
          <w:szCs w:val="24"/>
          <w:highlight w:val="none"/>
        </w:rPr>
      </w:pPr>
    </w:p>
    <w:p w14:paraId="6D91BAB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 xml:space="preserve">          （盖章）            </w:t>
      </w:r>
      <w:r>
        <w:rPr>
          <w:rFonts w:hint="eastAsia" w:ascii="宋体" w:hAnsi="宋体" w:eastAsia="宋体" w:cs="宋体"/>
          <w:color w:val="auto"/>
          <w:sz w:val="24"/>
          <w:szCs w:val="24"/>
          <w:highlight w:val="none"/>
        </w:rPr>
        <w:t xml:space="preserve">       </w:t>
      </w:r>
    </w:p>
    <w:p w14:paraId="02AD26D4">
      <w:pPr>
        <w:spacing w:line="360" w:lineRule="auto"/>
        <w:rPr>
          <w:rFonts w:hint="eastAsia" w:ascii="宋体" w:hAnsi="宋体" w:eastAsia="宋体" w:cs="宋体"/>
          <w:color w:val="auto"/>
          <w:sz w:val="24"/>
          <w:szCs w:val="24"/>
          <w:highlight w:val="none"/>
        </w:rPr>
      </w:pPr>
    </w:p>
    <w:p w14:paraId="783D6CE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     年    月    日</w:t>
      </w:r>
    </w:p>
    <w:p w14:paraId="416BCD82">
      <w:pPr>
        <w:pStyle w:val="25"/>
        <w:spacing w:line="360" w:lineRule="auto"/>
        <w:rPr>
          <w:rFonts w:hint="eastAsia" w:ascii="宋体" w:hAnsi="宋体" w:eastAsia="宋体" w:cs="宋体"/>
          <w:color w:val="auto"/>
          <w:sz w:val="24"/>
          <w:szCs w:val="24"/>
          <w:highlight w:val="none"/>
        </w:rPr>
      </w:pPr>
    </w:p>
    <w:p w14:paraId="78252DC4">
      <w:pPr>
        <w:pStyle w:val="34"/>
        <w:spacing w:line="360" w:lineRule="auto"/>
        <w:ind w:left="0" w:leftChars="0" w:firstLine="0" w:firstLineChars="0"/>
        <w:rPr>
          <w:rFonts w:hint="eastAsia" w:ascii="宋体" w:hAnsi="宋体" w:eastAsia="宋体" w:cs="宋体"/>
          <w:color w:val="auto"/>
          <w:sz w:val="24"/>
          <w:szCs w:val="24"/>
          <w:highlight w:val="none"/>
        </w:rPr>
      </w:pPr>
    </w:p>
    <w:p w14:paraId="7850B694">
      <w:pPr>
        <w:spacing w:line="440" w:lineRule="exact"/>
        <w:jc w:val="center"/>
        <w:rPr>
          <w:rFonts w:hint="eastAsia" w:ascii="宋体" w:hAnsi="宋体" w:eastAsia="宋体" w:cs="宋体"/>
          <w:bCs/>
          <w:color w:val="auto"/>
          <w:sz w:val="36"/>
          <w:szCs w:val="36"/>
          <w:highlight w:val="none"/>
        </w:rPr>
      </w:pPr>
    </w:p>
    <w:p w14:paraId="4A798F12">
      <w:pPr>
        <w:rPr>
          <w:rFonts w:hint="eastAsia" w:ascii="宋体" w:hAnsi="宋体" w:eastAsia="宋体" w:cs="宋体"/>
          <w:bCs/>
          <w:color w:val="auto"/>
          <w:sz w:val="36"/>
          <w:szCs w:val="36"/>
          <w:highlight w:val="none"/>
        </w:rPr>
      </w:pPr>
      <w:r>
        <w:rPr>
          <w:rFonts w:hint="eastAsia" w:ascii="宋体" w:hAnsi="宋体" w:eastAsia="宋体" w:cs="宋体"/>
          <w:bCs/>
          <w:color w:val="auto"/>
          <w:sz w:val="36"/>
          <w:szCs w:val="36"/>
          <w:highlight w:val="none"/>
        </w:rPr>
        <w:br w:type="page"/>
      </w:r>
    </w:p>
    <w:p w14:paraId="43367645">
      <w:pPr>
        <w:spacing w:line="440" w:lineRule="exact"/>
        <w:jc w:val="center"/>
        <w:rPr>
          <w:rFonts w:hint="eastAsia" w:ascii="宋体" w:hAnsi="宋体" w:eastAsia="宋体" w:cs="宋体"/>
          <w:b/>
          <w:color w:val="auto"/>
          <w:sz w:val="36"/>
          <w:szCs w:val="36"/>
          <w:highlight w:val="none"/>
        </w:rPr>
      </w:pPr>
      <w:r>
        <w:rPr>
          <w:rFonts w:hint="eastAsia" w:ascii="宋体" w:hAnsi="宋体" w:eastAsia="宋体" w:cs="宋体"/>
          <w:bCs/>
          <w:color w:val="auto"/>
          <w:sz w:val="36"/>
          <w:szCs w:val="36"/>
          <w:highlight w:val="none"/>
        </w:rPr>
        <w:t>五、</w:t>
      </w:r>
      <w:r>
        <w:rPr>
          <w:rFonts w:hint="eastAsia" w:ascii="宋体" w:hAnsi="宋体" w:eastAsia="宋体" w:cs="宋体"/>
          <w:color w:val="auto"/>
          <w:sz w:val="36"/>
          <w:szCs w:val="36"/>
          <w:highlight w:val="none"/>
        </w:rPr>
        <w:t>投标承诺书（格式）</w:t>
      </w:r>
    </w:p>
    <w:p w14:paraId="1FF7C0FA">
      <w:pPr>
        <w:spacing w:line="340" w:lineRule="exact"/>
        <w:ind w:firstLine="720" w:firstLineChars="200"/>
        <w:rPr>
          <w:rFonts w:hint="eastAsia" w:ascii="宋体" w:hAnsi="宋体" w:eastAsia="宋体" w:cs="宋体"/>
          <w:color w:val="auto"/>
          <w:sz w:val="36"/>
          <w:szCs w:val="36"/>
          <w:highlight w:val="none"/>
        </w:rPr>
      </w:pPr>
    </w:p>
    <w:p w14:paraId="22C23C07">
      <w:pP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我公司已详细阅读了</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项目（项目编号：</w:t>
      </w:r>
      <w:r>
        <w:rPr>
          <w:rFonts w:hint="eastAsia" w:ascii="宋体" w:hAnsi="宋体" w:eastAsia="宋体" w:cs="宋体"/>
          <w:color w:val="auto"/>
          <w:highlight w:val="none"/>
          <w:u w:val="single"/>
        </w:rPr>
        <w:t>浙</w:t>
      </w:r>
      <w:r>
        <w:rPr>
          <w:rFonts w:hint="eastAsia" w:ascii="宋体" w:hAnsi="宋体" w:eastAsia="宋体" w:cs="宋体"/>
          <w:color w:val="auto"/>
          <w:highlight w:val="none"/>
          <w:u w:val="single"/>
          <w:lang w:eastAsia="zh-CN"/>
        </w:rPr>
        <w:t>博策</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）招标文件，现参加该项目投标，并就有关事项作出如下承诺：</w:t>
      </w:r>
    </w:p>
    <w:p w14:paraId="1473BA0F">
      <w:pP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一、我公司在该项目招投标及合同履约过程中，不会出现以下行为，否则我公司愿意接受该行为被记录为不良行为，并在不良行为记录时限内放弃在诸暨市传媒集团有限公司投标的资格。</w:t>
      </w:r>
    </w:p>
    <w:p w14:paraId="5567A3BC">
      <w:pP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（1）已报名但无故放弃投标</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开标前已有书面说明并证实的除外</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一年内累计3次以上的；</w:t>
      </w:r>
    </w:p>
    <w:p w14:paraId="0487CC0E">
      <w:pP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（2）在招标采购过程中，与采购人进行协商谈判的；</w:t>
      </w:r>
    </w:p>
    <w:p w14:paraId="42FB20DC">
      <w:pP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（3）投标有效期内撤回其投标文件的；</w:t>
      </w:r>
    </w:p>
    <w:p w14:paraId="002D115F">
      <w:pP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（4）拒绝有关部门监督检查或提供虚假情况的；</w:t>
      </w:r>
    </w:p>
    <w:p w14:paraId="0AE40036">
      <w:pP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（5）不积极配合采购单位做好标的验收工作的；</w:t>
      </w:r>
    </w:p>
    <w:p w14:paraId="19B0683E">
      <w:pP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（6）在有关部门的监督检查或考核中被通报批评或处以警告及以上处罚的；</w:t>
      </w:r>
    </w:p>
    <w:p w14:paraId="677EB780">
      <w:pP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（7）不遵守投标会场纪律，无理取闹，扰乱</w:t>
      </w:r>
      <w:r>
        <w:rPr>
          <w:rFonts w:hint="eastAsia" w:ascii="宋体" w:hAnsi="宋体" w:cs="宋体"/>
          <w:color w:val="auto"/>
          <w:highlight w:val="none"/>
          <w:lang w:val="en-US" w:eastAsia="zh-CN"/>
        </w:rPr>
        <w:t>招投标</w:t>
      </w:r>
      <w:r>
        <w:rPr>
          <w:rFonts w:hint="eastAsia" w:ascii="宋体" w:hAnsi="宋体" w:eastAsia="宋体" w:cs="宋体"/>
          <w:color w:val="auto"/>
          <w:highlight w:val="none"/>
        </w:rPr>
        <w:t>秩序的；</w:t>
      </w:r>
    </w:p>
    <w:p w14:paraId="1DD71B83">
      <w:pP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（8）中标后无正当理由放弃中标，或不与采购人签订采购合同，或在签订合同时提出附加条件或更改合同实质性内容，或拒不提交所要求的履约保证金的；</w:t>
      </w:r>
    </w:p>
    <w:p w14:paraId="685326B2">
      <w:pP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（9）虚假投诉、恶意投诉或未按层级和相关程序逐级质疑、投诉而影响采购工作正常进行或造成不良影响的；</w:t>
      </w:r>
    </w:p>
    <w:p w14:paraId="47DC16EE">
      <w:pP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（10）不按照与采购人订立的合同履行义务（包括提供标的、售后服务、技术支持等），严重违反合同规定和廉政合同要求的；</w:t>
      </w:r>
    </w:p>
    <w:p w14:paraId="15987BA5">
      <w:pP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（11）项目负责人不到位，或擅自变换项目负责人，或不认真履行职责造成采购人损失的；</w:t>
      </w:r>
    </w:p>
    <w:p w14:paraId="0A71BD51">
      <w:pP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（12）发生经营状况重大变化以及重要担保、重大合同纠纷或诉讼、信用等级和资质变化等可能影响履约能力的重大事项，未及时向诸暨市传媒集团有限公司提供书面报告，因而造成采购人损失的；</w:t>
      </w:r>
    </w:p>
    <w:p w14:paraId="2A2F6A97">
      <w:pP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（13）与采购人、其他供应商或者采购代理机构相互串通的；</w:t>
      </w:r>
    </w:p>
    <w:p w14:paraId="3AB844B5">
      <w:pP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（14）采取不正当手段排挤其他供应商，进行不公平竞争的；</w:t>
      </w:r>
    </w:p>
    <w:p w14:paraId="574B9A9E">
      <w:pP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（15）中标后与采购人另行订立背离合同实质内容的协议的；</w:t>
      </w:r>
    </w:p>
    <w:p w14:paraId="0513777F">
      <w:pP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（16）事先有承诺，而事后违反承诺内容的；</w:t>
      </w:r>
    </w:p>
    <w:p w14:paraId="15B56125">
      <w:pP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（17）将中标项目转包或违反规定进行分包的；</w:t>
      </w:r>
    </w:p>
    <w:p w14:paraId="610DCEE8">
      <w:pP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（18）以他人名义投标或允许他人以自己名义投标，或者以其他方式弄虚作假的；</w:t>
      </w:r>
    </w:p>
    <w:p w14:paraId="30113747">
      <w:pP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（19）未按照采购合同约定及时提供全部货物的，或无故拖延工期的；</w:t>
      </w:r>
    </w:p>
    <w:p w14:paraId="61D56B9A">
      <w:pP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（20）无故不提供中标要求的型号、配置等产品的，或有拆换、调换、截留产品零部件和备品备件的行为的；</w:t>
      </w:r>
    </w:p>
    <w:p w14:paraId="48FAA175">
      <w:pP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（21）为获取自身利益，向采购人及其他有利害关系的单位或个人提供不正当利益的；</w:t>
      </w:r>
    </w:p>
    <w:p w14:paraId="0018574E">
      <w:pP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（22）提供假冒伪劣产品或走私物品的；</w:t>
      </w:r>
    </w:p>
    <w:p w14:paraId="2A9CADE6">
      <w:pP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（23）擅自变更、中止、终止或解除采购合同的；</w:t>
      </w:r>
    </w:p>
    <w:p w14:paraId="730C3E42">
      <w:pP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（24）向有关人员行贿或者提供不正当利益谋取中标的；</w:t>
      </w:r>
    </w:p>
    <w:p w14:paraId="47640E33">
      <w:pP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（25）在采购活动期间，对管理机构、采购人、其他投标人、评标专家、中介机构等采购相关机构和人员，采取诋毁、诽谤、胁迫、暴力等不正当手段的；</w:t>
      </w:r>
    </w:p>
    <w:p w14:paraId="5EB93309">
      <w:pP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（26）诸暨市传媒集团有限公司认定的其他违反采购管理的行为。</w:t>
      </w:r>
    </w:p>
    <w:p w14:paraId="27EE9873">
      <w:pP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出现（1）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（6）行为之一，记录时限为6个月；出现（7）</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（12）行为之一，记录时限为1年；出现（13）</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（17）行为之一，记录时限为2年；出现（18）</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（21）行为之一，记录时限为3年；出现（22）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（25）行为之一，记录时限为5年；出现（26）行为，酌情处理。时限以被记录为不良行为之日起算，在记录时限内再次被</w:t>
      </w:r>
      <w:r>
        <w:rPr>
          <w:rFonts w:hint="eastAsia" w:ascii="宋体" w:hAnsi="宋体" w:eastAsia="宋体" w:cs="宋体"/>
          <w:color w:val="auto"/>
          <w:highlight w:val="none"/>
          <w:lang w:eastAsia="zh-CN"/>
        </w:rPr>
        <w:t>记</w:t>
      </w:r>
      <w:r>
        <w:rPr>
          <w:rFonts w:hint="eastAsia" w:ascii="宋体" w:hAnsi="宋体" w:eastAsia="宋体" w:cs="宋体"/>
          <w:color w:val="auto"/>
          <w:highlight w:val="none"/>
        </w:rPr>
        <w:t>为不良行为的，记录时限应从上次记录时限截止日起算。</w:t>
      </w:r>
    </w:p>
    <w:p w14:paraId="5B067DBF">
      <w:pPr>
        <w:spacing w:line="340" w:lineRule="exact"/>
        <w:ind w:left="420"/>
        <w:rPr>
          <w:rFonts w:hint="eastAsia" w:ascii="宋体" w:hAnsi="宋体" w:eastAsia="宋体" w:cs="宋体"/>
          <w:color w:val="auto"/>
          <w:highlight w:val="none"/>
        </w:rPr>
      </w:pPr>
      <w:r>
        <w:rPr>
          <w:rFonts w:hint="eastAsia" w:ascii="宋体" w:hAnsi="宋体" w:eastAsia="宋体" w:cs="宋体"/>
          <w:color w:val="auto"/>
          <w:highlight w:val="none"/>
        </w:rPr>
        <w:t>二、我公司承诺接受采购文件及澄清修改部分（如有）的全部条款（包括响应文件递交截止时间、保证金、资格条件、评审成交标准以及采购需求等其他所有条款）且无任何异议。如果我公司在递交响应文件后还对采购文件提出质疑的，愿意接受相关部门依法做出的处罚决定。</w:t>
      </w:r>
    </w:p>
    <w:p w14:paraId="0000B02E">
      <w:pPr>
        <w:numPr>
          <w:ilvl w:val="0"/>
          <w:numId w:val="8"/>
        </w:numPr>
        <w:spacing w:line="340" w:lineRule="exact"/>
        <w:rPr>
          <w:rFonts w:hint="eastAsia" w:ascii="宋体" w:hAnsi="宋体" w:eastAsia="宋体" w:cs="宋体"/>
          <w:color w:val="auto"/>
          <w:highlight w:val="none"/>
        </w:rPr>
      </w:pPr>
      <w:r>
        <w:rPr>
          <w:rFonts w:hint="eastAsia" w:ascii="宋体" w:hAnsi="宋体" w:eastAsia="宋体" w:cs="宋体"/>
          <w:color w:val="auto"/>
          <w:highlight w:val="none"/>
        </w:rPr>
        <w:t>我公司及其他利害关系人如对该项目的中标公示有异议，将在采购文件规定的公示期限内提出符合以下条件的有效质疑，否则我公司愿意接受相关部门不予受理的决定。</w:t>
      </w:r>
    </w:p>
    <w:p w14:paraId="6A5D2898">
      <w:pP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1、质疑人须为采购响应人和其他利害关系人；</w:t>
      </w:r>
    </w:p>
    <w:p w14:paraId="62001929">
      <w:pP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2、投诉时，应当递交质疑书，质疑书应当包括下列内容：</w:t>
      </w:r>
    </w:p>
    <w:p w14:paraId="11CD6DAE">
      <w:pP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（1）质疑人的名称、地址及有效联系方式；</w:t>
      </w:r>
    </w:p>
    <w:p w14:paraId="0D68AC2A">
      <w:pP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（2）被质疑人的名称、地址及联系方式；</w:t>
      </w:r>
    </w:p>
    <w:p w14:paraId="493D08EF">
      <w:pP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（3）质疑事项的基本事实；</w:t>
      </w:r>
    </w:p>
    <w:p w14:paraId="6B1E0725">
      <w:pP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（4）相关请求及主张；</w:t>
      </w:r>
    </w:p>
    <w:p w14:paraId="0305E448">
      <w:pP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（5）有效线索和相关证明材料；</w:t>
      </w:r>
    </w:p>
    <w:p w14:paraId="639E0B25">
      <w:pP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（6）质疑人是法人的，质疑书必须由其法定代表人或者授权代表签字并加盖公章；其他组织或者个人质疑的，质疑书必须由其主要负责人或者质疑人本人签字，并附有效身份证明复印件。</w:t>
      </w:r>
    </w:p>
    <w:p w14:paraId="59BDDA0B">
      <w:pPr>
        <w:spacing w:line="340" w:lineRule="exact"/>
        <w:ind w:firstLine="723" w:firstLineChars="400"/>
        <w:rPr>
          <w:rFonts w:hint="eastAsia" w:ascii="宋体" w:hAnsi="宋体" w:eastAsia="宋体" w:cs="宋体"/>
          <w:b/>
          <w:color w:val="auto"/>
          <w:sz w:val="18"/>
          <w:szCs w:val="18"/>
          <w:highlight w:val="none"/>
        </w:rPr>
      </w:pPr>
    </w:p>
    <w:p w14:paraId="53FE6067">
      <w:pPr>
        <w:spacing w:line="340" w:lineRule="exact"/>
        <w:ind w:firstLine="840" w:firstLineChars="400"/>
        <w:rPr>
          <w:rFonts w:hint="eastAsia" w:ascii="宋体" w:hAnsi="宋体" w:eastAsia="宋体" w:cs="宋体"/>
          <w:color w:val="auto"/>
          <w:highlight w:val="none"/>
        </w:rPr>
      </w:pPr>
    </w:p>
    <w:p w14:paraId="61CA4B9B">
      <w:pPr>
        <w:spacing w:line="340" w:lineRule="exact"/>
        <w:ind w:firstLine="840" w:firstLineChars="400"/>
        <w:rPr>
          <w:rFonts w:hint="eastAsia" w:ascii="宋体" w:hAnsi="宋体" w:eastAsia="宋体" w:cs="宋体"/>
          <w:color w:val="auto"/>
          <w:highlight w:val="none"/>
        </w:rPr>
      </w:pPr>
    </w:p>
    <w:p w14:paraId="4D2AE0C3">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 xml:space="preserve">            （盖章）              </w:t>
      </w:r>
    </w:p>
    <w:p w14:paraId="7E36F0F5">
      <w:pPr>
        <w:shd w:val="clear"/>
        <w:spacing w:line="360" w:lineRule="auto"/>
        <w:ind w:firstLine="425"/>
        <w:rPr>
          <w:rFonts w:hint="eastAsia" w:ascii="宋体" w:hAnsi="宋体" w:eastAsia="宋体" w:cs="宋体"/>
          <w:color w:val="auto"/>
          <w:sz w:val="24"/>
          <w:szCs w:val="24"/>
          <w:highlight w:val="none"/>
          <w:u w:val="single"/>
        </w:rPr>
      </w:pPr>
    </w:p>
    <w:p w14:paraId="39759338">
      <w:pPr>
        <w:shd w:val="clear"/>
        <w:spacing w:line="360" w:lineRule="auto"/>
        <w:rPr>
          <w:rFonts w:hint="eastAsia" w:ascii="宋体" w:hAnsi="宋体" w:eastAsia="宋体" w:cs="宋体"/>
          <w:color w:val="auto"/>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5CF123DD">
      <w:pPr>
        <w:spacing w:line="560" w:lineRule="exact"/>
        <w:ind w:firstLine="560" w:firstLineChars="200"/>
        <w:rPr>
          <w:rFonts w:hint="eastAsia" w:ascii="宋体" w:hAnsi="宋体" w:eastAsia="宋体" w:cs="宋体"/>
          <w:color w:val="auto"/>
          <w:sz w:val="28"/>
          <w:highlight w:val="none"/>
        </w:rPr>
      </w:pPr>
    </w:p>
    <w:p w14:paraId="7121D39A">
      <w:pPr>
        <w:rPr>
          <w:rFonts w:hint="eastAsia" w:ascii="宋体" w:hAnsi="宋体" w:eastAsia="宋体" w:cs="宋体"/>
          <w:color w:val="auto"/>
          <w:highlight w:val="none"/>
        </w:rPr>
      </w:pPr>
    </w:p>
    <w:p w14:paraId="043143E6">
      <w:pPr>
        <w:rPr>
          <w:rFonts w:hint="eastAsia" w:ascii="宋体" w:hAnsi="宋体" w:eastAsia="宋体" w:cs="宋体"/>
          <w:color w:val="auto"/>
          <w:highlight w:val="none"/>
        </w:rPr>
      </w:pPr>
    </w:p>
    <w:p w14:paraId="043A83B1">
      <w:pPr>
        <w:rPr>
          <w:rFonts w:hint="eastAsia" w:ascii="宋体" w:hAnsi="宋体" w:eastAsia="宋体" w:cs="宋体"/>
          <w:color w:val="auto"/>
          <w:highlight w:val="none"/>
        </w:rPr>
      </w:pPr>
    </w:p>
    <w:p w14:paraId="2C002612">
      <w:pPr>
        <w:rPr>
          <w:rFonts w:hint="eastAsia" w:ascii="宋体" w:hAnsi="宋体" w:eastAsia="宋体" w:cs="宋体"/>
          <w:color w:val="auto"/>
          <w:highlight w:val="none"/>
        </w:rPr>
      </w:pPr>
    </w:p>
    <w:p w14:paraId="33DAB9BB">
      <w:pPr>
        <w:rPr>
          <w:rFonts w:hint="eastAsia" w:ascii="宋体" w:hAnsi="宋体" w:eastAsia="宋体" w:cs="宋体"/>
          <w:color w:val="auto"/>
          <w:highlight w:val="none"/>
        </w:rPr>
      </w:pPr>
    </w:p>
    <w:p w14:paraId="2DC8CBD2">
      <w:pPr>
        <w:jc w:val="center"/>
        <w:rPr>
          <w:rFonts w:hint="eastAsia" w:ascii="宋体" w:hAnsi="宋体" w:eastAsia="宋体" w:cs="宋体"/>
          <w:color w:val="auto"/>
          <w:sz w:val="36"/>
          <w:szCs w:val="36"/>
          <w:highlight w:val="none"/>
        </w:rPr>
      </w:pPr>
    </w:p>
    <w:p w14:paraId="44A686D6">
      <w:pPr>
        <w:jc w:val="center"/>
        <w:rPr>
          <w:rFonts w:hint="eastAsia" w:ascii="宋体" w:hAnsi="宋体" w:eastAsia="宋体" w:cs="宋体"/>
          <w:color w:val="auto"/>
          <w:sz w:val="36"/>
          <w:szCs w:val="36"/>
          <w:highlight w:val="none"/>
        </w:rPr>
      </w:pPr>
    </w:p>
    <w:p w14:paraId="6752A001">
      <w:pP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br w:type="page"/>
      </w:r>
    </w:p>
    <w:p w14:paraId="052A1907">
      <w:pPr>
        <w:pStyle w:val="4"/>
        <w:numPr>
          <w:ilvl w:val="0"/>
          <w:numId w:val="0"/>
        </w:numPr>
        <w:shd w:val="clear"/>
        <w:spacing w:before="0" w:after="0" w:line="240" w:lineRule="auto"/>
        <w:jc w:val="center"/>
        <w:rPr>
          <w:rFonts w:hint="eastAsia" w:ascii="宋体" w:hAnsi="宋体" w:eastAsia="宋体" w:cs="宋体"/>
          <w:b w:val="0"/>
          <w:color w:val="auto"/>
          <w:highlight w:val="none"/>
          <w:shd w:val="clear" w:color="auto" w:fill="auto"/>
        </w:rPr>
      </w:pPr>
      <w:r>
        <w:rPr>
          <w:rFonts w:hint="eastAsia" w:ascii="宋体" w:hAnsi="宋体" w:eastAsia="宋体" w:cs="宋体"/>
          <w:b w:val="0"/>
          <w:bCs/>
          <w:color w:val="auto"/>
          <w:kern w:val="2"/>
          <w:sz w:val="32"/>
          <w:szCs w:val="32"/>
          <w:highlight w:val="none"/>
          <w:shd w:val="clear" w:fill="auto"/>
          <w:lang w:val="en-US" w:eastAsia="zh-CN" w:bidi="ar-SA"/>
        </w:rPr>
        <w:t>六、</w:t>
      </w:r>
      <w:r>
        <w:rPr>
          <w:rFonts w:hint="eastAsia" w:ascii="宋体" w:hAnsi="宋体" w:eastAsia="宋体" w:cs="宋体"/>
          <w:b w:val="0"/>
          <w:color w:val="auto"/>
          <w:highlight w:val="none"/>
          <w:shd w:val="clear" w:color="auto" w:fill="auto"/>
        </w:rPr>
        <w:t>技 术 偏 离 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5"/>
        <w:gridCol w:w="2583"/>
        <w:gridCol w:w="2385"/>
        <w:gridCol w:w="2385"/>
      </w:tblGrid>
      <w:tr w14:paraId="27C89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2185" w:type="dxa"/>
            <w:vAlign w:val="center"/>
          </w:tcPr>
          <w:p w14:paraId="32BE782C">
            <w:pPr>
              <w:pStyle w:val="11"/>
              <w:shd w:val="clea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内容</w:t>
            </w:r>
          </w:p>
        </w:tc>
        <w:tc>
          <w:tcPr>
            <w:tcW w:w="2583" w:type="dxa"/>
            <w:vAlign w:val="center"/>
          </w:tcPr>
          <w:p w14:paraId="535D349B">
            <w:pPr>
              <w:pStyle w:val="11"/>
              <w:shd w:val="clea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招标文件</w:t>
            </w:r>
          </w:p>
          <w:p w14:paraId="64340FF0">
            <w:pPr>
              <w:pStyle w:val="11"/>
              <w:shd w:val="clea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规范要求</w:t>
            </w:r>
          </w:p>
        </w:tc>
        <w:tc>
          <w:tcPr>
            <w:tcW w:w="2385" w:type="dxa"/>
            <w:vAlign w:val="center"/>
          </w:tcPr>
          <w:p w14:paraId="7D489ADD">
            <w:pPr>
              <w:pStyle w:val="11"/>
              <w:shd w:val="clea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投标文件</w:t>
            </w:r>
          </w:p>
          <w:p w14:paraId="3C50FFDB">
            <w:pPr>
              <w:pStyle w:val="11"/>
              <w:shd w:val="clea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对应规范</w:t>
            </w:r>
          </w:p>
        </w:tc>
        <w:tc>
          <w:tcPr>
            <w:tcW w:w="2385" w:type="dxa"/>
            <w:vAlign w:val="center"/>
          </w:tcPr>
          <w:p w14:paraId="47C3D019">
            <w:pPr>
              <w:pStyle w:val="11"/>
              <w:shd w:val="clea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偏离情况</w:t>
            </w:r>
          </w:p>
        </w:tc>
      </w:tr>
      <w:tr w14:paraId="27ADF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185" w:type="dxa"/>
            <w:vAlign w:val="center"/>
          </w:tcPr>
          <w:p w14:paraId="5254CE33">
            <w:pPr>
              <w:pStyle w:val="11"/>
              <w:shd w:val="clear"/>
              <w:spacing w:line="400" w:lineRule="atLeast"/>
              <w:jc w:val="both"/>
              <w:rPr>
                <w:rFonts w:hint="eastAsia" w:ascii="宋体" w:hAnsi="宋体" w:eastAsia="宋体" w:cs="宋体"/>
                <w:color w:val="auto"/>
                <w:szCs w:val="24"/>
                <w:highlight w:val="none"/>
              </w:rPr>
            </w:pPr>
          </w:p>
        </w:tc>
        <w:tc>
          <w:tcPr>
            <w:tcW w:w="2583" w:type="dxa"/>
            <w:vAlign w:val="center"/>
          </w:tcPr>
          <w:p w14:paraId="364D75C9">
            <w:pPr>
              <w:pStyle w:val="11"/>
              <w:shd w:val="clear"/>
              <w:spacing w:line="400" w:lineRule="atLeast"/>
              <w:jc w:val="center"/>
              <w:rPr>
                <w:rFonts w:hint="eastAsia" w:ascii="宋体" w:hAnsi="宋体" w:eastAsia="宋体" w:cs="宋体"/>
                <w:color w:val="auto"/>
                <w:szCs w:val="24"/>
                <w:highlight w:val="none"/>
              </w:rPr>
            </w:pPr>
          </w:p>
        </w:tc>
        <w:tc>
          <w:tcPr>
            <w:tcW w:w="2385" w:type="dxa"/>
            <w:vAlign w:val="center"/>
          </w:tcPr>
          <w:p w14:paraId="463E5859">
            <w:pPr>
              <w:pStyle w:val="11"/>
              <w:shd w:val="clear"/>
              <w:spacing w:line="400" w:lineRule="atLeast"/>
              <w:jc w:val="center"/>
              <w:rPr>
                <w:rFonts w:hint="eastAsia" w:ascii="宋体" w:hAnsi="宋体" w:eastAsia="宋体" w:cs="宋体"/>
                <w:color w:val="auto"/>
                <w:szCs w:val="24"/>
                <w:highlight w:val="none"/>
              </w:rPr>
            </w:pPr>
          </w:p>
        </w:tc>
        <w:tc>
          <w:tcPr>
            <w:tcW w:w="2385" w:type="dxa"/>
            <w:vAlign w:val="center"/>
          </w:tcPr>
          <w:p w14:paraId="34FF5DBC">
            <w:pPr>
              <w:pStyle w:val="11"/>
              <w:shd w:val="clear"/>
              <w:spacing w:line="400" w:lineRule="atLeast"/>
              <w:jc w:val="cente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无偏离</w:t>
            </w:r>
          </w:p>
        </w:tc>
      </w:tr>
      <w:tr w14:paraId="5627E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185" w:type="dxa"/>
            <w:vAlign w:val="center"/>
          </w:tcPr>
          <w:p w14:paraId="099EBDCF">
            <w:pPr>
              <w:pStyle w:val="11"/>
              <w:shd w:val="clear"/>
              <w:spacing w:line="400" w:lineRule="atLeast"/>
              <w:jc w:val="center"/>
              <w:rPr>
                <w:rFonts w:hint="eastAsia" w:ascii="宋体" w:hAnsi="宋体" w:eastAsia="宋体" w:cs="宋体"/>
                <w:color w:val="auto"/>
                <w:szCs w:val="24"/>
                <w:highlight w:val="none"/>
              </w:rPr>
            </w:pPr>
          </w:p>
        </w:tc>
        <w:tc>
          <w:tcPr>
            <w:tcW w:w="2583" w:type="dxa"/>
            <w:vAlign w:val="center"/>
          </w:tcPr>
          <w:p w14:paraId="3A43F3E5">
            <w:pPr>
              <w:pStyle w:val="11"/>
              <w:shd w:val="clear"/>
              <w:spacing w:line="400" w:lineRule="atLeast"/>
              <w:jc w:val="center"/>
              <w:rPr>
                <w:rFonts w:hint="eastAsia" w:ascii="宋体" w:hAnsi="宋体" w:eastAsia="宋体" w:cs="宋体"/>
                <w:color w:val="auto"/>
                <w:szCs w:val="24"/>
                <w:highlight w:val="none"/>
              </w:rPr>
            </w:pPr>
          </w:p>
        </w:tc>
        <w:tc>
          <w:tcPr>
            <w:tcW w:w="2385" w:type="dxa"/>
            <w:vAlign w:val="center"/>
          </w:tcPr>
          <w:p w14:paraId="0107E85A">
            <w:pPr>
              <w:pStyle w:val="11"/>
              <w:shd w:val="clear"/>
              <w:spacing w:line="400" w:lineRule="atLeast"/>
              <w:jc w:val="center"/>
              <w:rPr>
                <w:rFonts w:hint="eastAsia" w:ascii="宋体" w:hAnsi="宋体" w:eastAsia="宋体" w:cs="宋体"/>
                <w:color w:val="auto"/>
                <w:szCs w:val="24"/>
                <w:highlight w:val="none"/>
              </w:rPr>
            </w:pPr>
          </w:p>
        </w:tc>
        <w:tc>
          <w:tcPr>
            <w:tcW w:w="2385" w:type="dxa"/>
            <w:vAlign w:val="center"/>
          </w:tcPr>
          <w:p w14:paraId="7D246735">
            <w:pPr>
              <w:pStyle w:val="11"/>
              <w:shd w:val="clear"/>
              <w:spacing w:line="400" w:lineRule="atLeast"/>
              <w:jc w:val="center"/>
              <w:rPr>
                <w:rFonts w:hint="eastAsia" w:ascii="宋体" w:hAnsi="宋体" w:eastAsia="宋体" w:cs="宋体"/>
                <w:color w:val="auto"/>
                <w:szCs w:val="24"/>
                <w:highlight w:val="none"/>
              </w:rPr>
            </w:pPr>
          </w:p>
        </w:tc>
      </w:tr>
      <w:tr w14:paraId="5F3DC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185" w:type="dxa"/>
            <w:vAlign w:val="center"/>
          </w:tcPr>
          <w:p w14:paraId="013FF99A">
            <w:pPr>
              <w:pStyle w:val="11"/>
              <w:shd w:val="clear"/>
              <w:spacing w:line="400" w:lineRule="atLeast"/>
              <w:jc w:val="center"/>
              <w:rPr>
                <w:rFonts w:hint="eastAsia" w:ascii="宋体" w:hAnsi="宋体" w:eastAsia="宋体" w:cs="宋体"/>
                <w:color w:val="auto"/>
                <w:szCs w:val="24"/>
                <w:highlight w:val="none"/>
              </w:rPr>
            </w:pPr>
          </w:p>
        </w:tc>
        <w:tc>
          <w:tcPr>
            <w:tcW w:w="2583" w:type="dxa"/>
            <w:vAlign w:val="center"/>
          </w:tcPr>
          <w:p w14:paraId="2293E549">
            <w:pPr>
              <w:pStyle w:val="11"/>
              <w:shd w:val="clear"/>
              <w:spacing w:line="400" w:lineRule="atLeast"/>
              <w:jc w:val="center"/>
              <w:rPr>
                <w:rFonts w:hint="eastAsia" w:ascii="宋体" w:hAnsi="宋体" w:eastAsia="宋体" w:cs="宋体"/>
                <w:color w:val="auto"/>
                <w:szCs w:val="24"/>
                <w:highlight w:val="none"/>
              </w:rPr>
            </w:pPr>
          </w:p>
        </w:tc>
        <w:tc>
          <w:tcPr>
            <w:tcW w:w="2385" w:type="dxa"/>
            <w:vAlign w:val="center"/>
          </w:tcPr>
          <w:p w14:paraId="2FE27F2E">
            <w:pPr>
              <w:pStyle w:val="11"/>
              <w:shd w:val="clear"/>
              <w:spacing w:line="400" w:lineRule="atLeast"/>
              <w:jc w:val="center"/>
              <w:rPr>
                <w:rFonts w:hint="eastAsia" w:ascii="宋体" w:hAnsi="宋体" w:eastAsia="宋体" w:cs="宋体"/>
                <w:color w:val="auto"/>
                <w:szCs w:val="24"/>
                <w:highlight w:val="none"/>
              </w:rPr>
            </w:pPr>
          </w:p>
        </w:tc>
        <w:tc>
          <w:tcPr>
            <w:tcW w:w="2385" w:type="dxa"/>
            <w:vAlign w:val="center"/>
          </w:tcPr>
          <w:p w14:paraId="3DC67DE7">
            <w:pPr>
              <w:pStyle w:val="11"/>
              <w:shd w:val="clear"/>
              <w:spacing w:line="400" w:lineRule="atLeast"/>
              <w:jc w:val="center"/>
              <w:rPr>
                <w:rFonts w:hint="eastAsia" w:ascii="宋体" w:hAnsi="宋体" w:eastAsia="宋体" w:cs="宋体"/>
                <w:color w:val="auto"/>
                <w:szCs w:val="24"/>
                <w:highlight w:val="none"/>
              </w:rPr>
            </w:pPr>
          </w:p>
        </w:tc>
      </w:tr>
      <w:tr w14:paraId="0771C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185" w:type="dxa"/>
            <w:vAlign w:val="center"/>
          </w:tcPr>
          <w:p w14:paraId="2B1C1AC4">
            <w:pPr>
              <w:pStyle w:val="11"/>
              <w:shd w:val="clear"/>
              <w:spacing w:line="400" w:lineRule="atLeast"/>
              <w:jc w:val="center"/>
              <w:rPr>
                <w:rFonts w:hint="eastAsia" w:ascii="宋体" w:hAnsi="宋体" w:eastAsia="宋体" w:cs="宋体"/>
                <w:color w:val="auto"/>
                <w:szCs w:val="24"/>
                <w:highlight w:val="none"/>
              </w:rPr>
            </w:pPr>
          </w:p>
        </w:tc>
        <w:tc>
          <w:tcPr>
            <w:tcW w:w="2583" w:type="dxa"/>
            <w:vAlign w:val="center"/>
          </w:tcPr>
          <w:p w14:paraId="5EC7796B">
            <w:pPr>
              <w:pStyle w:val="11"/>
              <w:shd w:val="clear"/>
              <w:spacing w:line="400" w:lineRule="atLeast"/>
              <w:jc w:val="center"/>
              <w:rPr>
                <w:rFonts w:hint="eastAsia" w:ascii="宋体" w:hAnsi="宋体" w:eastAsia="宋体" w:cs="宋体"/>
                <w:color w:val="auto"/>
                <w:szCs w:val="24"/>
                <w:highlight w:val="none"/>
              </w:rPr>
            </w:pPr>
          </w:p>
        </w:tc>
        <w:tc>
          <w:tcPr>
            <w:tcW w:w="2385" w:type="dxa"/>
            <w:vAlign w:val="center"/>
          </w:tcPr>
          <w:p w14:paraId="0E1706D1">
            <w:pPr>
              <w:pStyle w:val="11"/>
              <w:shd w:val="clear"/>
              <w:spacing w:line="400" w:lineRule="atLeast"/>
              <w:jc w:val="center"/>
              <w:rPr>
                <w:rFonts w:hint="eastAsia" w:ascii="宋体" w:hAnsi="宋体" w:eastAsia="宋体" w:cs="宋体"/>
                <w:color w:val="auto"/>
                <w:szCs w:val="24"/>
                <w:highlight w:val="none"/>
              </w:rPr>
            </w:pPr>
          </w:p>
        </w:tc>
        <w:tc>
          <w:tcPr>
            <w:tcW w:w="2385" w:type="dxa"/>
            <w:vAlign w:val="center"/>
          </w:tcPr>
          <w:p w14:paraId="7EC1EF22">
            <w:pPr>
              <w:pStyle w:val="11"/>
              <w:shd w:val="clear"/>
              <w:spacing w:line="400" w:lineRule="atLeast"/>
              <w:jc w:val="center"/>
              <w:rPr>
                <w:rFonts w:hint="eastAsia" w:ascii="宋体" w:hAnsi="宋体" w:eastAsia="宋体" w:cs="宋体"/>
                <w:color w:val="auto"/>
                <w:szCs w:val="24"/>
                <w:highlight w:val="none"/>
              </w:rPr>
            </w:pPr>
          </w:p>
        </w:tc>
      </w:tr>
      <w:tr w14:paraId="49F43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185" w:type="dxa"/>
            <w:vAlign w:val="center"/>
          </w:tcPr>
          <w:p w14:paraId="310591BB">
            <w:pPr>
              <w:pStyle w:val="11"/>
              <w:shd w:val="clear"/>
              <w:spacing w:line="400" w:lineRule="atLeast"/>
              <w:jc w:val="center"/>
              <w:rPr>
                <w:rFonts w:hint="eastAsia" w:ascii="宋体" w:hAnsi="宋体" w:eastAsia="宋体" w:cs="宋体"/>
                <w:color w:val="auto"/>
                <w:szCs w:val="24"/>
                <w:highlight w:val="none"/>
              </w:rPr>
            </w:pPr>
          </w:p>
        </w:tc>
        <w:tc>
          <w:tcPr>
            <w:tcW w:w="2583" w:type="dxa"/>
            <w:vAlign w:val="center"/>
          </w:tcPr>
          <w:p w14:paraId="4EB7A7A2">
            <w:pPr>
              <w:pStyle w:val="11"/>
              <w:shd w:val="clear"/>
              <w:spacing w:line="400" w:lineRule="atLeast"/>
              <w:jc w:val="center"/>
              <w:rPr>
                <w:rFonts w:hint="eastAsia" w:ascii="宋体" w:hAnsi="宋体" w:eastAsia="宋体" w:cs="宋体"/>
                <w:color w:val="auto"/>
                <w:szCs w:val="24"/>
                <w:highlight w:val="none"/>
              </w:rPr>
            </w:pPr>
          </w:p>
        </w:tc>
        <w:tc>
          <w:tcPr>
            <w:tcW w:w="2385" w:type="dxa"/>
            <w:vAlign w:val="center"/>
          </w:tcPr>
          <w:p w14:paraId="618CB2D7">
            <w:pPr>
              <w:pStyle w:val="11"/>
              <w:shd w:val="clear"/>
              <w:spacing w:line="400" w:lineRule="atLeast"/>
              <w:jc w:val="center"/>
              <w:rPr>
                <w:rFonts w:hint="eastAsia" w:ascii="宋体" w:hAnsi="宋体" w:eastAsia="宋体" w:cs="宋体"/>
                <w:color w:val="auto"/>
                <w:szCs w:val="24"/>
                <w:highlight w:val="none"/>
              </w:rPr>
            </w:pPr>
          </w:p>
        </w:tc>
        <w:tc>
          <w:tcPr>
            <w:tcW w:w="2385" w:type="dxa"/>
            <w:vAlign w:val="center"/>
          </w:tcPr>
          <w:p w14:paraId="5D1321CC">
            <w:pPr>
              <w:pStyle w:val="11"/>
              <w:shd w:val="clear"/>
              <w:spacing w:line="400" w:lineRule="atLeast"/>
              <w:jc w:val="center"/>
              <w:rPr>
                <w:rFonts w:hint="eastAsia" w:ascii="宋体" w:hAnsi="宋体" w:eastAsia="宋体" w:cs="宋体"/>
                <w:color w:val="auto"/>
                <w:szCs w:val="24"/>
                <w:highlight w:val="none"/>
              </w:rPr>
            </w:pPr>
          </w:p>
        </w:tc>
      </w:tr>
      <w:tr w14:paraId="520EF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185" w:type="dxa"/>
            <w:vAlign w:val="center"/>
          </w:tcPr>
          <w:p w14:paraId="0146DDF9">
            <w:pPr>
              <w:pStyle w:val="11"/>
              <w:shd w:val="clear"/>
              <w:spacing w:line="400" w:lineRule="atLeast"/>
              <w:jc w:val="center"/>
              <w:rPr>
                <w:rFonts w:hint="eastAsia" w:ascii="宋体" w:hAnsi="宋体" w:eastAsia="宋体" w:cs="宋体"/>
                <w:color w:val="auto"/>
                <w:szCs w:val="24"/>
                <w:highlight w:val="none"/>
              </w:rPr>
            </w:pPr>
          </w:p>
        </w:tc>
        <w:tc>
          <w:tcPr>
            <w:tcW w:w="2583" w:type="dxa"/>
            <w:vAlign w:val="center"/>
          </w:tcPr>
          <w:p w14:paraId="43F579EB">
            <w:pPr>
              <w:pStyle w:val="11"/>
              <w:shd w:val="clear"/>
              <w:spacing w:line="400" w:lineRule="atLeast"/>
              <w:jc w:val="center"/>
              <w:rPr>
                <w:rFonts w:hint="eastAsia" w:ascii="宋体" w:hAnsi="宋体" w:eastAsia="宋体" w:cs="宋体"/>
                <w:color w:val="auto"/>
                <w:szCs w:val="24"/>
                <w:highlight w:val="none"/>
              </w:rPr>
            </w:pPr>
          </w:p>
        </w:tc>
        <w:tc>
          <w:tcPr>
            <w:tcW w:w="2385" w:type="dxa"/>
            <w:vAlign w:val="center"/>
          </w:tcPr>
          <w:p w14:paraId="443F6E43">
            <w:pPr>
              <w:pStyle w:val="11"/>
              <w:shd w:val="clear"/>
              <w:spacing w:line="400" w:lineRule="atLeast"/>
              <w:jc w:val="center"/>
              <w:rPr>
                <w:rFonts w:hint="eastAsia" w:ascii="宋体" w:hAnsi="宋体" w:eastAsia="宋体" w:cs="宋体"/>
                <w:color w:val="auto"/>
                <w:szCs w:val="24"/>
                <w:highlight w:val="none"/>
              </w:rPr>
            </w:pPr>
          </w:p>
        </w:tc>
        <w:tc>
          <w:tcPr>
            <w:tcW w:w="2385" w:type="dxa"/>
            <w:vAlign w:val="center"/>
          </w:tcPr>
          <w:p w14:paraId="633E036B">
            <w:pPr>
              <w:pStyle w:val="11"/>
              <w:shd w:val="clear"/>
              <w:spacing w:line="400" w:lineRule="atLeast"/>
              <w:jc w:val="center"/>
              <w:rPr>
                <w:rFonts w:hint="eastAsia" w:ascii="宋体" w:hAnsi="宋体" w:eastAsia="宋体" w:cs="宋体"/>
                <w:color w:val="auto"/>
                <w:szCs w:val="24"/>
                <w:highlight w:val="none"/>
              </w:rPr>
            </w:pPr>
          </w:p>
        </w:tc>
      </w:tr>
      <w:tr w14:paraId="2083C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185" w:type="dxa"/>
            <w:vAlign w:val="center"/>
          </w:tcPr>
          <w:p w14:paraId="67FB8D54">
            <w:pPr>
              <w:pStyle w:val="11"/>
              <w:shd w:val="clear"/>
              <w:spacing w:line="400" w:lineRule="atLeast"/>
              <w:jc w:val="center"/>
              <w:rPr>
                <w:rFonts w:hint="eastAsia" w:ascii="宋体" w:hAnsi="宋体" w:eastAsia="宋体" w:cs="宋体"/>
                <w:color w:val="auto"/>
                <w:szCs w:val="24"/>
                <w:highlight w:val="none"/>
              </w:rPr>
            </w:pPr>
          </w:p>
        </w:tc>
        <w:tc>
          <w:tcPr>
            <w:tcW w:w="2583" w:type="dxa"/>
            <w:vAlign w:val="center"/>
          </w:tcPr>
          <w:p w14:paraId="7EF0B81C">
            <w:pPr>
              <w:pStyle w:val="11"/>
              <w:shd w:val="clear"/>
              <w:spacing w:line="400" w:lineRule="atLeast"/>
              <w:jc w:val="center"/>
              <w:rPr>
                <w:rFonts w:hint="eastAsia" w:ascii="宋体" w:hAnsi="宋体" w:eastAsia="宋体" w:cs="宋体"/>
                <w:color w:val="auto"/>
                <w:szCs w:val="24"/>
                <w:highlight w:val="none"/>
              </w:rPr>
            </w:pPr>
          </w:p>
        </w:tc>
        <w:tc>
          <w:tcPr>
            <w:tcW w:w="2385" w:type="dxa"/>
            <w:vAlign w:val="center"/>
          </w:tcPr>
          <w:p w14:paraId="58D4737E">
            <w:pPr>
              <w:pStyle w:val="11"/>
              <w:shd w:val="clear"/>
              <w:spacing w:line="400" w:lineRule="atLeast"/>
              <w:jc w:val="center"/>
              <w:rPr>
                <w:rFonts w:hint="eastAsia" w:ascii="宋体" w:hAnsi="宋体" w:eastAsia="宋体" w:cs="宋体"/>
                <w:color w:val="auto"/>
                <w:szCs w:val="24"/>
                <w:highlight w:val="none"/>
              </w:rPr>
            </w:pPr>
          </w:p>
        </w:tc>
        <w:tc>
          <w:tcPr>
            <w:tcW w:w="2385" w:type="dxa"/>
            <w:vAlign w:val="center"/>
          </w:tcPr>
          <w:p w14:paraId="5AB94F6E">
            <w:pPr>
              <w:pStyle w:val="11"/>
              <w:shd w:val="clear"/>
              <w:spacing w:line="400" w:lineRule="atLeast"/>
              <w:jc w:val="center"/>
              <w:rPr>
                <w:rFonts w:hint="eastAsia" w:ascii="宋体" w:hAnsi="宋体" w:eastAsia="宋体" w:cs="宋体"/>
                <w:color w:val="auto"/>
                <w:szCs w:val="24"/>
                <w:highlight w:val="none"/>
              </w:rPr>
            </w:pPr>
          </w:p>
        </w:tc>
      </w:tr>
      <w:tr w14:paraId="2AFE8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185" w:type="dxa"/>
            <w:vAlign w:val="center"/>
          </w:tcPr>
          <w:p w14:paraId="261BC496">
            <w:pPr>
              <w:pStyle w:val="11"/>
              <w:shd w:val="clear"/>
              <w:spacing w:line="400" w:lineRule="atLeast"/>
              <w:jc w:val="center"/>
              <w:rPr>
                <w:rFonts w:hint="eastAsia" w:ascii="宋体" w:hAnsi="宋体" w:eastAsia="宋体" w:cs="宋体"/>
                <w:color w:val="auto"/>
                <w:szCs w:val="24"/>
                <w:highlight w:val="none"/>
              </w:rPr>
            </w:pPr>
          </w:p>
        </w:tc>
        <w:tc>
          <w:tcPr>
            <w:tcW w:w="2583" w:type="dxa"/>
            <w:vAlign w:val="center"/>
          </w:tcPr>
          <w:p w14:paraId="7454D8C7">
            <w:pPr>
              <w:pStyle w:val="11"/>
              <w:shd w:val="clear"/>
              <w:spacing w:line="400" w:lineRule="atLeast"/>
              <w:jc w:val="center"/>
              <w:rPr>
                <w:rFonts w:hint="eastAsia" w:ascii="宋体" w:hAnsi="宋体" w:eastAsia="宋体" w:cs="宋体"/>
                <w:color w:val="auto"/>
                <w:szCs w:val="24"/>
                <w:highlight w:val="none"/>
              </w:rPr>
            </w:pPr>
          </w:p>
        </w:tc>
        <w:tc>
          <w:tcPr>
            <w:tcW w:w="2385" w:type="dxa"/>
            <w:vAlign w:val="center"/>
          </w:tcPr>
          <w:p w14:paraId="2F8B693A">
            <w:pPr>
              <w:pStyle w:val="11"/>
              <w:shd w:val="clear"/>
              <w:spacing w:line="400" w:lineRule="atLeast"/>
              <w:jc w:val="center"/>
              <w:rPr>
                <w:rFonts w:hint="eastAsia" w:ascii="宋体" w:hAnsi="宋体" w:eastAsia="宋体" w:cs="宋体"/>
                <w:color w:val="auto"/>
                <w:szCs w:val="24"/>
                <w:highlight w:val="none"/>
              </w:rPr>
            </w:pPr>
          </w:p>
        </w:tc>
        <w:tc>
          <w:tcPr>
            <w:tcW w:w="2385" w:type="dxa"/>
            <w:vAlign w:val="center"/>
          </w:tcPr>
          <w:p w14:paraId="1525B08A">
            <w:pPr>
              <w:pStyle w:val="11"/>
              <w:shd w:val="clear"/>
              <w:spacing w:line="400" w:lineRule="atLeast"/>
              <w:jc w:val="center"/>
              <w:rPr>
                <w:rFonts w:hint="eastAsia" w:ascii="宋体" w:hAnsi="宋体" w:eastAsia="宋体" w:cs="宋体"/>
                <w:color w:val="auto"/>
                <w:szCs w:val="24"/>
                <w:highlight w:val="none"/>
              </w:rPr>
            </w:pPr>
          </w:p>
        </w:tc>
      </w:tr>
      <w:tr w14:paraId="4957F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185" w:type="dxa"/>
            <w:vAlign w:val="center"/>
          </w:tcPr>
          <w:p w14:paraId="02E8EF5F">
            <w:pPr>
              <w:pStyle w:val="11"/>
              <w:shd w:val="clear"/>
              <w:spacing w:line="400" w:lineRule="atLeast"/>
              <w:jc w:val="center"/>
              <w:rPr>
                <w:rFonts w:hint="eastAsia" w:ascii="宋体" w:hAnsi="宋体" w:eastAsia="宋体" w:cs="宋体"/>
                <w:color w:val="auto"/>
                <w:szCs w:val="24"/>
                <w:highlight w:val="none"/>
              </w:rPr>
            </w:pPr>
          </w:p>
        </w:tc>
        <w:tc>
          <w:tcPr>
            <w:tcW w:w="2583" w:type="dxa"/>
            <w:vAlign w:val="center"/>
          </w:tcPr>
          <w:p w14:paraId="16F462AF">
            <w:pPr>
              <w:pStyle w:val="11"/>
              <w:shd w:val="clear"/>
              <w:spacing w:line="400" w:lineRule="atLeast"/>
              <w:jc w:val="center"/>
              <w:rPr>
                <w:rFonts w:hint="eastAsia" w:ascii="宋体" w:hAnsi="宋体" w:eastAsia="宋体" w:cs="宋体"/>
                <w:color w:val="auto"/>
                <w:szCs w:val="24"/>
                <w:highlight w:val="none"/>
              </w:rPr>
            </w:pPr>
          </w:p>
        </w:tc>
        <w:tc>
          <w:tcPr>
            <w:tcW w:w="2385" w:type="dxa"/>
            <w:vAlign w:val="center"/>
          </w:tcPr>
          <w:p w14:paraId="0818B36D">
            <w:pPr>
              <w:pStyle w:val="11"/>
              <w:shd w:val="clear"/>
              <w:spacing w:line="400" w:lineRule="atLeast"/>
              <w:jc w:val="center"/>
              <w:rPr>
                <w:rFonts w:hint="eastAsia" w:ascii="宋体" w:hAnsi="宋体" w:eastAsia="宋体" w:cs="宋体"/>
                <w:color w:val="auto"/>
                <w:szCs w:val="24"/>
                <w:highlight w:val="none"/>
              </w:rPr>
            </w:pPr>
          </w:p>
        </w:tc>
        <w:tc>
          <w:tcPr>
            <w:tcW w:w="2385" w:type="dxa"/>
            <w:vAlign w:val="center"/>
          </w:tcPr>
          <w:p w14:paraId="0FC1E0CD">
            <w:pPr>
              <w:pStyle w:val="11"/>
              <w:shd w:val="clear"/>
              <w:spacing w:line="400" w:lineRule="atLeast"/>
              <w:jc w:val="center"/>
              <w:rPr>
                <w:rFonts w:hint="eastAsia" w:ascii="宋体" w:hAnsi="宋体" w:eastAsia="宋体" w:cs="宋体"/>
                <w:color w:val="auto"/>
                <w:szCs w:val="24"/>
                <w:highlight w:val="none"/>
              </w:rPr>
            </w:pPr>
          </w:p>
        </w:tc>
      </w:tr>
      <w:tr w14:paraId="56EE1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185" w:type="dxa"/>
            <w:vAlign w:val="center"/>
          </w:tcPr>
          <w:p w14:paraId="216B87E3">
            <w:pPr>
              <w:pStyle w:val="11"/>
              <w:shd w:val="clear"/>
              <w:spacing w:line="400" w:lineRule="atLeast"/>
              <w:jc w:val="center"/>
              <w:rPr>
                <w:rFonts w:hint="eastAsia" w:ascii="宋体" w:hAnsi="宋体" w:eastAsia="宋体" w:cs="宋体"/>
                <w:color w:val="auto"/>
                <w:szCs w:val="24"/>
                <w:highlight w:val="none"/>
              </w:rPr>
            </w:pPr>
          </w:p>
        </w:tc>
        <w:tc>
          <w:tcPr>
            <w:tcW w:w="2583" w:type="dxa"/>
            <w:vAlign w:val="center"/>
          </w:tcPr>
          <w:p w14:paraId="5D74D10E">
            <w:pPr>
              <w:pStyle w:val="11"/>
              <w:shd w:val="clear"/>
              <w:spacing w:line="400" w:lineRule="atLeast"/>
              <w:jc w:val="center"/>
              <w:rPr>
                <w:rFonts w:hint="eastAsia" w:ascii="宋体" w:hAnsi="宋体" w:eastAsia="宋体" w:cs="宋体"/>
                <w:color w:val="auto"/>
                <w:szCs w:val="24"/>
                <w:highlight w:val="none"/>
              </w:rPr>
            </w:pPr>
          </w:p>
        </w:tc>
        <w:tc>
          <w:tcPr>
            <w:tcW w:w="2385" w:type="dxa"/>
            <w:vAlign w:val="center"/>
          </w:tcPr>
          <w:p w14:paraId="22F10E53">
            <w:pPr>
              <w:pStyle w:val="11"/>
              <w:shd w:val="clear"/>
              <w:spacing w:line="400" w:lineRule="atLeast"/>
              <w:jc w:val="center"/>
              <w:rPr>
                <w:rFonts w:hint="eastAsia" w:ascii="宋体" w:hAnsi="宋体" w:eastAsia="宋体" w:cs="宋体"/>
                <w:color w:val="auto"/>
                <w:szCs w:val="24"/>
                <w:highlight w:val="none"/>
              </w:rPr>
            </w:pPr>
          </w:p>
        </w:tc>
        <w:tc>
          <w:tcPr>
            <w:tcW w:w="2385" w:type="dxa"/>
            <w:vAlign w:val="center"/>
          </w:tcPr>
          <w:p w14:paraId="721F9055">
            <w:pPr>
              <w:pStyle w:val="11"/>
              <w:shd w:val="clear"/>
              <w:spacing w:line="400" w:lineRule="atLeast"/>
              <w:jc w:val="center"/>
              <w:rPr>
                <w:rFonts w:hint="eastAsia" w:ascii="宋体" w:hAnsi="宋体" w:eastAsia="宋体" w:cs="宋体"/>
                <w:color w:val="auto"/>
                <w:szCs w:val="24"/>
                <w:highlight w:val="none"/>
              </w:rPr>
            </w:pPr>
          </w:p>
        </w:tc>
      </w:tr>
      <w:tr w14:paraId="1D972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185" w:type="dxa"/>
            <w:vAlign w:val="center"/>
          </w:tcPr>
          <w:p w14:paraId="51B0DDD4">
            <w:pPr>
              <w:pStyle w:val="11"/>
              <w:shd w:val="clear"/>
              <w:spacing w:line="400" w:lineRule="atLeast"/>
              <w:jc w:val="center"/>
              <w:rPr>
                <w:rFonts w:hint="eastAsia" w:ascii="宋体" w:hAnsi="宋体" w:eastAsia="宋体" w:cs="宋体"/>
                <w:color w:val="auto"/>
                <w:szCs w:val="24"/>
                <w:highlight w:val="none"/>
              </w:rPr>
            </w:pPr>
          </w:p>
        </w:tc>
        <w:tc>
          <w:tcPr>
            <w:tcW w:w="2583" w:type="dxa"/>
            <w:vAlign w:val="center"/>
          </w:tcPr>
          <w:p w14:paraId="6F5303CC">
            <w:pPr>
              <w:pStyle w:val="11"/>
              <w:shd w:val="clear"/>
              <w:spacing w:line="400" w:lineRule="atLeast"/>
              <w:jc w:val="center"/>
              <w:rPr>
                <w:rFonts w:hint="eastAsia" w:ascii="宋体" w:hAnsi="宋体" w:eastAsia="宋体" w:cs="宋体"/>
                <w:color w:val="auto"/>
                <w:szCs w:val="24"/>
                <w:highlight w:val="none"/>
              </w:rPr>
            </w:pPr>
          </w:p>
        </w:tc>
        <w:tc>
          <w:tcPr>
            <w:tcW w:w="2385" w:type="dxa"/>
            <w:vAlign w:val="center"/>
          </w:tcPr>
          <w:p w14:paraId="125B8239">
            <w:pPr>
              <w:pStyle w:val="11"/>
              <w:shd w:val="clear"/>
              <w:spacing w:line="400" w:lineRule="atLeast"/>
              <w:jc w:val="center"/>
              <w:rPr>
                <w:rFonts w:hint="eastAsia" w:ascii="宋体" w:hAnsi="宋体" w:eastAsia="宋体" w:cs="宋体"/>
                <w:color w:val="auto"/>
                <w:szCs w:val="24"/>
                <w:highlight w:val="none"/>
              </w:rPr>
            </w:pPr>
          </w:p>
        </w:tc>
        <w:tc>
          <w:tcPr>
            <w:tcW w:w="2385" w:type="dxa"/>
            <w:vAlign w:val="center"/>
          </w:tcPr>
          <w:p w14:paraId="16DA7849">
            <w:pPr>
              <w:pStyle w:val="11"/>
              <w:shd w:val="clear"/>
              <w:spacing w:line="400" w:lineRule="atLeast"/>
              <w:jc w:val="center"/>
              <w:rPr>
                <w:rFonts w:hint="eastAsia" w:ascii="宋体" w:hAnsi="宋体" w:eastAsia="宋体" w:cs="宋体"/>
                <w:color w:val="auto"/>
                <w:szCs w:val="24"/>
                <w:highlight w:val="none"/>
              </w:rPr>
            </w:pPr>
          </w:p>
        </w:tc>
      </w:tr>
      <w:tr w14:paraId="7C799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185" w:type="dxa"/>
            <w:vAlign w:val="center"/>
          </w:tcPr>
          <w:p w14:paraId="5CEA6779">
            <w:pPr>
              <w:pStyle w:val="11"/>
              <w:shd w:val="clear"/>
              <w:spacing w:line="400" w:lineRule="atLeast"/>
              <w:jc w:val="center"/>
              <w:rPr>
                <w:rFonts w:hint="eastAsia" w:ascii="宋体" w:hAnsi="宋体" w:eastAsia="宋体" w:cs="宋体"/>
                <w:color w:val="auto"/>
                <w:szCs w:val="24"/>
                <w:highlight w:val="none"/>
              </w:rPr>
            </w:pPr>
          </w:p>
        </w:tc>
        <w:tc>
          <w:tcPr>
            <w:tcW w:w="2583" w:type="dxa"/>
            <w:vAlign w:val="center"/>
          </w:tcPr>
          <w:p w14:paraId="6D629C6C">
            <w:pPr>
              <w:pStyle w:val="11"/>
              <w:shd w:val="clear"/>
              <w:spacing w:line="400" w:lineRule="atLeast"/>
              <w:jc w:val="center"/>
              <w:rPr>
                <w:rFonts w:hint="eastAsia" w:ascii="宋体" w:hAnsi="宋体" w:eastAsia="宋体" w:cs="宋体"/>
                <w:color w:val="auto"/>
                <w:szCs w:val="24"/>
                <w:highlight w:val="none"/>
              </w:rPr>
            </w:pPr>
          </w:p>
        </w:tc>
        <w:tc>
          <w:tcPr>
            <w:tcW w:w="2385" w:type="dxa"/>
            <w:vAlign w:val="center"/>
          </w:tcPr>
          <w:p w14:paraId="13E9FD55">
            <w:pPr>
              <w:pStyle w:val="11"/>
              <w:shd w:val="clear"/>
              <w:spacing w:line="400" w:lineRule="atLeast"/>
              <w:jc w:val="center"/>
              <w:rPr>
                <w:rFonts w:hint="eastAsia" w:ascii="宋体" w:hAnsi="宋体" w:eastAsia="宋体" w:cs="宋体"/>
                <w:color w:val="auto"/>
                <w:szCs w:val="24"/>
                <w:highlight w:val="none"/>
              </w:rPr>
            </w:pPr>
          </w:p>
        </w:tc>
        <w:tc>
          <w:tcPr>
            <w:tcW w:w="2385" w:type="dxa"/>
            <w:vAlign w:val="center"/>
          </w:tcPr>
          <w:p w14:paraId="75D8DD1D">
            <w:pPr>
              <w:pStyle w:val="11"/>
              <w:shd w:val="clear"/>
              <w:spacing w:line="400" w:lineRule="atLeast"/>
              <w:jc w:val="center"/>
              <w:rPr>
                <w:rFonts w:hint="eastAsia" w:ascii="宋体" w:hAnsi="宋体" w:eastAsia="宋体" w:cs="宋体"/>
                <w:color w:val="auto"/>
                <w:szCs w:val="24"/>
                <w:highlight w:val="none"/>
              </w:rPr>
            </w:pPr>
          </w:p>
        </w:tc>
      </w:tr>
      <w:tr w14:paraId="704EC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2185" w:type="dxa"/>
            <w:vAlign w:val="center"/>
          </w:tcPr>
          <w:p w14:paraId="108BE184">
            <w:pPr>
              <w:pStyle w:val="11"/>
              <w:shd w:val="clear"/>
              <w:spacing w:line="400" w:lineRule="atLeast"/>
              <w:jc w:val="center"/>
              <w:rPr>
                <w:rFonts w:hint="eastAsia" w:ascii="宋体" w:hAnsi="宋体" w:eastAsia="宋体" w:cs="宋体"/>
                <w:color w:val="auto"/>
                <w:szCs w:val="24"/>
                <w:highlight w:val="none"/>
              </w:rPr>
            </w:pPr>
          </w:p>
        </w:tc>
        <w:tc>
          <w:tcPr>
            <w:tcW w:w="2583" w:type="dxa"/>
            <w:vAlign w:val="center"/>
          </w:tcPr>
          <w:p w14:paraId="6B138C1F">
            <w:pPr>
              <w:pStyle w:val="11"/>
              <w:shd w:val="clear"/>
              <w:spacing w:line="400" w:lineRule="atLeast"/>
              <w:jc w:val="center"/>
              <w:rPr>
                <w:rFonts w:hint="eastAsia" w:ascii="宋体" w:hAnsi="宋体" w:eastAsia="宋体" w:cs="宋体"/>
                <w:color w:val="auto"/>
                <w:szCs w:val="24"/>
                <w:highlight w:val="none"/>
              </w:rPr>
            </w:pPr>
          </w:p>
        </w:tc>
        <w:tc>
          <w:tcPr>
            <w:tcW w:w="2385" w:type="dxa"/>
            <w:vAlign w:val="center"/>
          </w:tcPr>
          <w:p w14:paraId="228AE4DA">
            <w:pPr>
              <w:pStyle w:val="11"/>
              <w:shd w:val="clear"/>
              <w:spacing w:line="400" w:lineRule="atLeast"/>
              <w:jc w:val="center"/>
              <w:rPr>
                <w:rFonts w:hint="eastAsia" w:ascii="宋体" w:hAnsi="宋体" w:eastAsia="宋体" w:cs="宋体"/>
                <w:color w:val="auto"/>
                <w:szCs w:val="24"/>
                <w:highlight w:val="none"/>
              </w:rPr>
            </w:pPr>
          </w:p>
        </w:tc>
        <w:tc>
          <w:tcPr>
            <w:tcW w:w="2385" w:type="dxa"/>
            <w:vAlign w:val="center"/>
          </w:tcPr>
          <w:p w14:paraId="37A2BC00">
            <w:pPr>
              <w:pStyle w:val="11"/>
              <w:shd w:val="clear"/>
              <w:spacing w:line="400" w:lineRule="atLeast"/>
              <w:jc w:val="center"/>
              <w:rPr>
                <w:rFonts w:hint="eastAsia" w:ascii="宋体" w:hAnsi="宋体" w:eastAsia="宋体" w:cs="宋体"/>
                <w:color w:val="auto"/>
                <w:szCs w:val="24"/>
                <w:highlight w:val="none"/>
              </w:rPr>
            </w:pPr>
          </w:p>
        </w:tc>
      </w:tr>
    </w:tbl>
    <w:p w14:paraId="132789C3">
      <w:pPr>
        <w:pStyle w:val="11"/>
        <w:shd w:val="clear"/>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rPr>
        <w:t>注：</w:t>
      </w:r>
    </w:p>
    <w:p w14:paraId="0A38B280">
      <w:pPr>
        <w:pStyle w:val="11"/>
        <w:shd w:val="clear"/>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rPr>
        <w:t>1、此表须与招标文件“采购需求”相应标项内的所有技术规格（含技术、功能、配置、附加必备条件、售后服务、安装、验收、付款方式等）相比较且一一对应真实逐条填列，并在“偏离情况”栏注明“正偏离</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负偏离”或“无偏离”。</w:t>
      </w:r>
    </w:p>
    <w:p w14:paraId="6FF7AF08">
      <w:pPr>
        <w:pStyle w:val="11"/>
        <w:shd w:val="clear"/>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rPr>
        <w:t>2、投标人递交的技术规格书中必须真实逐条列明，否则由投标人自行承担相关风险。</w:t>
      </w:r>
    </w:p>
    <w:p w14:paraId="1415FAA9">
      <w:pPr>
        <w:pStyle w:val="11"/>
        <w:shd w:val="clear"/>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rPr>
        <w:t>3、此表在不改变格式的情况下可自行制作</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此表</w:t>
      </w:r>
      <w:r>
        <w:rPr>
          <w:rFonts w:hint="eastAsia" w:ascii="宋体" w:hAnsi="宋体" w:eastAsia="宋体" w:cs="宋体"/>
          <w:color w:val="auto"/>
          <w:szCs w:val="24"/>
          <w:highlight w:val="none"/>
          <w:lang w:val="en-US" w:eastAsia="zh-CN"/>
        </w:rPr>
        <w:t>应</w:t>
      </w:r>
      <w:r>
        <w:rPr>
          <w:rFonts w:hint="eastAsia" w:ascii="宋体" w:hAnsi="宋体" w:eastAsia="宋体" w:cs="宋体"/>
          <w:color w:val="auto"/>
          <w:szCs w:val="24"/>
          <w:highlight w:val="none"/>
        </w:rPr>
        <w:t>置于此标书中。</w:t>
      </w:r>
    </w:p>
    <w:p w14:paraId="71A90F9A">
      <w:pPr>
        <w:pStyle w:val="11"/>
        <w:shd w:val="clear"/>
        <w:spacing w:line="400" w:lineRule="atLeast"/>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4、投标人承诺：除以上列出的偏离外，响应招标文件全部要求。</w:t>
      </w:r>
    </w:p>
    <w:p w14:paraId="0C01C5B1">
      <w:pPr>
        <w:shd w:val="clear"/>
        <w:spacing w:line="360" w:lineRule="auto"/>
        <w:rPr>
          <w:rFonts w:hint="eastAsia" w:ascii="宋体" w:hAnsi="宋体" w:eastAsia="宋体" w:cs="宋体"/>
          <w:color w:val="auto"/>
          <w:sz w:val="24"/>
          <w:szCs w:val="24"/>
          <w:highlight w:val="none"/>
        </w:rPr>
      </w:pPr>
    </w:p>
    <w:p w14:paraId="4D1ED317">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 xml:space="preserve">            （盖章）              </w:t>
      </w:r>
    </w:p>
    <w:p w14:paraId="46FDAA51">
      <w:pPr>
        <w:shd w:val="clear"/>
        <w:spacing w:line="360" w:lineRule="auto"/>
        <w:ind w:firstLine="425"/>
        <w:rPr>
          <w:rFonts w:hint="eastAsia" w:ascii="宋体" w:hAnsi="宋体" w:eastAsia="宋体" w:cs="宋体"/>
          <w:color w:val="auto"/>
          <w:sz w:val="24"/>
          <w:szCs w:val="24"/>
          <w:highlight w:val="none"/>
          <w:u w:val="single"/>
        </w:rPr>
      </w:pPr>
    </w:p>
    <w:p w14:paraId="221F2664">
      <w:pPr>
        <w:shd w:val="clear"/>
        <w:spacing w:line="360" w:lineRule="auto"/>
        <w:rPr>
          <w:rFonts w:hint="eastAsia" w:ascii="宋体" w:hAnsi="宋体" w:eastAsia="宋体" w:cs="宋体"/>
          <w:color w:val="auto"/>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7719439B">
      <w:pPr>
        <w:pStyle w:val="19"/>
        <w:rPr>
          <w:rFonts w:hint="eastAsia" w:ascii="宋体" w:hAnsi="宋体" w:eastAsia="宋体" w:cs="宋体"/>
          <w:color w:val="auto"/>
          <w:highlight w:val="none"/>
        </w:rPr>
      </w:pPr>
    </w:p>
    <w:p w14:paraId="529F262D">
      <w:pPr>
        <w:spacing w:line="240" w:lineRule="auto"/>
        <w:ind w:firstLine="420" w:firstLineChars="200"/>
        <w:rPr>
          <w:rFonts w:hint="eastAsia" w:ascii="宋体" w:hAnsi="宋体" w:eastAsia="宋体" w:cs="宋体"/>
          <w:color w:val="auto"/>
          <w:highlight w:val="none"/>
        </w:rPr>
      </w:pPr>
    </w:p>
    <w:p w14:paraId="686013CD">
      <w:pPr>
        <w:rPr>
          <w:color w:val="auto"/>
          <w:highlight w:val="none"/>
        </w:rPr>
      </w:pPr>
    </w:p>
    <w:sectPr>
      <w:footerReference r:id="rId7" w:type="default"/>
      <w:pgSz w:w="11906" w:h="16838"/>
      <w:pgMar w:top="1417" w:right="1417" w:bottom="1417"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51773">
    <w:pPr>
      <w:pStyle w:val="13"/>
      <w:framePr w:wrap="around" w:vAnchor="text" w:hAnchor="margin" w:xAlign="center" w:y="1"/>
      <w:rPr>
        <w:rStyle w:val="24"/>
      </w:rPr>
    </w:pPr>
    <w:r>
      <w:fldChar w:fldCharType="begin"/>
    </w:r>
    <w:r>
      <w:rPr>
        <w:rStyle w:val="24"/>
      </w:rPr>
      <w:instrText xml:space="preserve">PAGE  </w:instrText>
    </w:r>
    <w:r>
      <w:fldChar w:fldCharType="end"/>
    </w:r>
  </w:p>
  <w:p w14:paraId="22F59759">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E8E5D">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B13BDC">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7B13BDC">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47AA8">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F3E594">
                          <w:pPr>
                            <w:pStyle w:val="13"/>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FF3E594">
                    <w:pPr>
                      <w:pStyle w:val="13"/>
                    </w:pPr>
                    <w:r>
                      <w:fldChar w:fldCharType="begin"/>
                    </w:r>
                    <w:r>
                      <w:instrText xml:space="preserve"> PAGE  \* MERGEFORMAT </w:instrText>
                    </w:r>
                    <w:r>
                      <w:fldChar w:fldCharType="separate"/>
                    </w:r>
                    <w:r>
                      <w:t>63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D0D04">
    <w:pPr>
      <w:pStyle w:val="14"/>
      <w:keepNext w:val="0"/>
      <w:keepLines w:val="0"/>
      <w:pageBreakBefore w:val="0"/>
      <w:widowControl w:val="0"/>
      <w:kinsoku/>
      <w:wordWrap/>
      <w:overflowPunct/>
      <w:topLinePunct w:val="0"/>
      <w:autoSpaceDE w:val="0"/>
      <w:autoSpaceDN w:val="0"/>
      <w:bidi w:val="0"/>
      <w:adjustRightInd w:val="0"/>
      <w:snapToGrid w:val="0"/>
      <w:spacing w:line="312" w:lineRule="auto"/>
      <w:jc w:val="center"/>
      <w:textAlignment w:val="auto"/>
      <w:rPr>
        <w:rFonts w:hint="eastAsia"/>
        <w:color w:val="auto"/>
        <w:lang w:val="en-US" w:eastAsia="zh-CN"/>
      </w:rPr>
    </w:pPr>
    <w:r>
      <w:rPr>
        <w:rFonts w:hint="eastAsia"/>
        <w:color w:val="auto"/>
        <w:lang w:val="en-US" w:eastAsia="zh-CN"/>
      </w:rPr>
      <w:drawing>
        <wp:anchor distT="0" distB="0" distL="114300" distR="114300" simplePos="0" relativeHeight="251660288" behindDoc="0" locked="0" layoutInCell="1" allowOverlap="1">
          <wp:simplePos x="0" y="0"/>
          <wp:positionH relativeFrom="column">
            <wp:posOffset>68580</wp:posOffset>
          </wp:positionH>
          <wp:positionV relativeFrom="paragraph">
            <wp:posOffset>-92710</wp:posOffset>
          </wp:positionV>
          <wp:extent cx="299720" cy="299720"/>
          <wp:effectExtent l="0" t="0" r="5080" b="4445"/>
          <wp:wrapNone/>
          <wp:docPr id="10" name="图片 10" descr="BO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BOCE LOGO"/>
                  <pic:cNvPicPr>
                    <a:picLocks noChangeAspect="1"/>
                  </pic:cNvPicPr>
                </pic:nvPicPr>
                <pic:blipFill>
                  <a:blip r:embed="rId1"/>
                  <a:stretch>
                    <a:fillRect/>
                  </a:stretch>
                </pic:blipFill>
                <pic:spPr>
                  <a:xfrm>
                    <a:off x="0" y="0"/>
                    <a:ext cx="299720" cy="299720"/>
                  </a:xfrm>
                  <a:prstGeom prst="rect">
                    <a:avLst/>
                  </a:prstGeom>
                </pic:spPr>
              </pic:pic>
            </a:graphicData>
          </a:graphic>
        </wp:anchor>
      </w:drawing>
    </w:r>
    <w:r>
      <w:rPr>
        <w:rFonts w:hint="eastAsia"/>
        <w:color w:val="auto"/>
        <w:lang w:val="en-US" w:eastAsia="zh-CN"/>
      </w:rPr>
      <w:t xml:space="preserve">     浙江博策工程项目管理有限公司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024AE">
    <w:pPr>
      <w:pStyle w:val="14"/>
      <w:ind w:firstLine="3060" w:firstLineChars="1700"/>
      <w:jc w:val="both"/>
    </w:pPr>
    <w:r>
      <w:rPr>
        <w:rFonts w:hint="eastAsia"/>
      </w:rPr>
      <w:t>浙江</w:t>
    </w:r>
    <w:r>
      <w:rPr>
        <w:rFonts w:hint="eastAsia" w:eastAsia="宋体"/>
        <w:highlight w:val="yellow"/>
        <w:lang w:eastAsia="zh-CN"/>
      </w:rPr>
      <w:t>华元</w:t>
    </w:r>
    <w:r>
      <w:rPr>
        <w:rFonts w:hint="eastAsia"/>
      </w:rPr>
      <w:t>工程咨询有限公司招标文件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21250A"/>
    <w:multiLevelType w:val="singleLevel"/>
    <w:tmpl w:val="AE21250A"/>
    <w:lvl w:ilvl="0" w:tentative="0">
      <w:start w:val="6"/>
      <w:numFmt w:val="chineseCounting"/>
      <w:suff w:val="nothing"/>
      <w:lvlText w:val="（%1）"/>
      <w:lvlJc w:val="left"/>
      <w:rPr>
        <w:rFonts w:hint="eastAsia"/>
      </w:rPr>
    </w:lvl>
  </w:abstractNum>
  <w:abstractNum w:abstractNumId="1">
    <w:nsid w:val="00000000"/>
    <w:multiLevelType w:val="multilevel"/>
    <w:tmpl w:val="00000000"/>
    <w:lvl w:ilvl="0" w:tentative="0">
      <w:start w:val="1"/>
      <w:numFmt w:val="chineseCounting"/>
      <w:suff w:val="nothing"/>
      <w:lvlText w:val="%1、"/>
      <w:lvlJc w:val="left"/>
      <w:pPr>
        <w:ind w:left="420" w:firstLine="0"/>
      </w:pPr>
      <w:rPr>
        <w:rFonts w:hint="eastAsia"/>
      </w:rPr>
    </w:lvl>
    <w:lvl w:ilvl="1" w:tentative="0">
      <w:start w:val="1"/>
      <w:numFmt w:val="lowerLetter"/>
      <w:lvlText w:val="%2."/>
      <w:lvlJc w:val="left"/>
      <w:pPr>
        <w:tabs>
          <w:tab w:val="left" w:pos="840"/>
        </w:tabs>
        <w:ind w:left="840" w:hanging="420"/>
      </w:pPr>
      <w:rPr>
        <w:rFonts w:hint="default"/>
      </w:rPr>
    </w:lvl>
    <w:lvl w:ilvl="2" w:tentative="0">
      <w:start w:val="1"/>
      <w:numFmt w:val="lowerLetter"/>
      <w:lvlText w:val="%3)"/>
      <w:lvlJc w:val="left"/>
      <w:pPr>
        <w:tabs>
          <w:tab w:val="left" w:pos="1260"/>
        </w:tabs>
        <w:ind w:left="1260" w:hanging="420"/>
      </w:pPr>
      <w:rPr>
        <w:rFonts w:hint="default"/>
      </w:rPr>
    </w:lvl>
    <w:lvl w:ilvl="3" w:tentative="0">
      <w:start w:val="1"/>
      <w:numFmt w:val="lowerRoman"/>
      <w:lvlText w:val="%4."/>
      <w:lvlJc w:val="left"/>
      <w:pPr>
        <w:tabs>
          <w:tab w:val="left" w:pos="1680"/>
        </w:tabs>
        <w:ind w:left="1680" w:hanging="420"/>
      </w:pPr>
      <w:rPr>
        <w:rFonts w:hint="default"/>
      </w:rPr>
    </w:lvl>
    <w:lvl w:ilvl="4" w:tentative="0">
      <w:start w:val="1"/>
      <w:numFmt w:val="lowerRoman"/>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Letter"/>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2">
    <w:nsid w:val="0EAF7232"/>
    <w:multiLevelType w:val="multilevel"/>
    <w:tmpl w:val="0EAF7232"/>
    <w:lvl w:ilvl="0" w:tentative="0">
      <w:start w:val="1"/>
      <w:numFmt w:val="chineseCounting"/>
      <w:suff w:val="nothing"/>
      <w:lvlText w:val="%1、"/>
      <w:lvlJc w:val="left"/>
      <w:pPr>
        <w:ind w:left="420" w:firstLine="0"/>
      </w:pPr>
      <w:rPr>
        <w:rFonts w:hint="eastAsia"/>
      </w:rPr>
    </w:lvl>
    <w:lvl w:ilvl="1" w:tentative="0">
      <w:start w:val="1"/>
      <w:numFmt w:val="chineseCounting"/>
      <w:suff w:val="nothing"/>
      <w:lvlText w:val="（%2）"/>
      <w:lvlJc w:val="left"/>
      <w:pPr>
        <w:ind w:left="420" w:firstLine="0"/>
      </w:pPr>
      <w:rPr>
        <w:rFonts w:hint="eastAsia"/>
      </w:rPr>
    </w:lvl>
    <w:lvl w:ilvl="2" w:tentative="0">
      <w:start w:val="1"/>
      <w:numFmt w:val="decimal"/>
      <w:suff w:val="nothing"/>
      <w:lvlText w:val="%3．"/>
      <w:lvlJc w:val="left"/>
      <w:pPr>
        <w:ind w:left="420" w:firstLine="400"/>
      </w:pPr>
      <w:rPr>
        <w:rFonts w:hint="eastAsia"/>
      </w:rPr>
    </w:lvl>
    <w:lvl w:ilvl="3" w:tentative="0">
      <w:start w:val="1"/>
      <w:numFmt w:val="decimal"/>
      <w:pStyle w:val="5"/>
      <w:suff w:val="nothing"/>
      <w:lvlText w:val="（%4）"/>
      <w:lvlJc w:val="left"/>
      <w:pPr>
        <w:ind w:left="420" w:firstLine="402"/>
      </w:pPr>
      <w:rPr>
        <w:rFonts w:hint="eastAsia"/>
      </w:rPr>
    </w:lvl>
    <w:lvl w:ilvl="4" w:tentative="0">
      <w:start w:val="1"/>
      <w:numFmt w:val="decimalEnclosedCircleChinese"/>
      <w:suff w:val="nothing"/>
      <w:lvlText w:val="%5"/>
      <w:lvlJc w:val="left"/>
      <w:pPr>
        <w:ind w:left="420" w:firstLine="402"/>
      </w:pPr>
      <w:rPr>
        <w:rFonts w:hint="eastAsia"/>
      </w:rPr>
    </w:lvl>
    <w:lvl w:ilvl="5" w:tentative="0">
      <w:start w:val="1"/>
      <w:numFmt w:val="decimal"/>
      <w:suff w:val="nothing"/>
      <w:lvlText w:val="%6）"/>
      <w:lvlJc w:val="left"/>
      <w:pPr>
        <w:ind w:left="420" w:firstLine="402"/>
      </w:pPr>
      <w:rPr>
        <w:rFonts w:hint="eastAsia"/>
      </w:rPr>
    </w:lvl>
    <w:lvl w:ilvl="6" w:tentative="0">
      <w:start w:val="1"/>
      <w:numFmt w:val="lowerLetter"/>
      <w:suff w:val="nothing"/>
      <w:lvlText w:val="%7．"/>
      <w:lvlJc w:val="left"/>
      <w:pPr>
        <w:ind w:left="420" w:firstLine="402"/>
      </w:pPr>
      <w:rPr>
        <w:rFonts w:hint="eastAsia"/>
      </w:rPr>
    </w:lvl>
    <w:lvl w:ilvl="7" w:tentative="0">
      <w:start w:val="1"/>
      <w:numFmt w:val="lowerLetter"/>
      <w:suff w:val="nothing"/>
      <w:lvlText w:val="%8）"/>
      <w:lvlJc w:val="left"/>
      <w:pPr>
        <w:ind w:left="420" w:firstLine="402"/>
      </w:pPr>
      <w:rPr>
        <w:rFonts w:hint="eastAsia"/>
      </w:rPr>
    </w:lvl>
    <w:lvl w:ilvl="8" w:tentative="0">
      <w:start w:val="1"/>
      <w:numFmt w:val="lowerRoman"/>
      <w:suff w:val="nothing"/>
      <w:lvlText w:val="%9 "/>
      <w:lvlJc w:val="left"/>
      <w:pPr>
        <w:ind w:left="420" w:firstLine="402"/>
      </w:pPr>
      <w:rPr>
        <w:rFonts w:hint="eastAsia"/>
      </w:rPr>
    </w:lvl>
  </w:abstractNum>
  <w:abstractNum w:abstractNumId="3">
    <w:nsid w:val="2B36E627"/>
    <w:multiLevelType w:val="singleLevel"/>
    <w:tmpl w:val="2B36E627"/>
    <w:lvl w:ilvl="0" w:tentative="0">
      <w:start w:val="1"/>
      <w:numFmt w:val="decimal"/>
      <w:pStyle w:val="6"/>
      <w:lvlText w:val="%1."/>
      <w:lvlJc w:val="left"/>
      <w:pPr>
        <w:tabs>
          <w:tab w:val="left" w:pos="360"/>
        </w:tabs>
        <w:ind w:left="360" w:hanging="360"/>
      </w:pPr>
    </w:lvl>
  </w:abstractNum>
  <w:abstractNum w:abstractNumId="4">
    <w:nsid w:val="2B95493E"/>
    <w:multiLevelType w:val="singleLevel"/>
    <w:tmpl w:val="2B95493E"/>
    <w:lvl w:ilvl="0" w:tentative="0">
      <w:start w:val="1"/>
      <w:numFmt w:val="decimal"/>
      <w:suff w:val="nothing"/>
      <w:lvlText w:val="（%1）"/>
      <w:lvlJc w:val="left"/>
    </w:lvl>
  </w:abstractNum>
  <w:abstractNum w:abstractNumId="5">
    <w:nsid w:val="5A693E7F"/>
    <w:multiLevelType w:val="singleLevel"/>
    <w:tmpl w:val="5A693E7F"/>
    <w:lvl w:ilvl="0" w:tentative="0">
      <w:start w:val="1"/>
      <w:numFmt w:val="decimal"/>
      <w:suff w:val="nothing"/>
      <w:lvlText w:val="%1、"/>
      <w:lvlJc w:val="left"/>
    </w:lvl>
  </w:abstractNum>
  <w:abstractNum w:abstractNumId="6">
    <w:nsid w:val="68524E14"/>
    <w:multiLevelType w:val="multilevel"/>
    <w:tmpl w:val="68524E14"/>
    <w:lvl w:ilvl="0" w:tentative="0">
      <w:start w:val="1"/>
      <w:numFmt w:val="decimal"/>
      <w:suff w:val="nothing"/>
      <w:lvlText w:val="（%1）"/>
      <w:lvlJc w:val="left"/>
    </w:lvl>
    <w:lvl w:ilvl="1" w:tentative="0">
      <w:start w:val="1"/>
      <w:numFmt w:val="decimalEnclosedCircleChinese"/>
      <w:lvlText w:val="%2"/>
      <w:lvlJc w:val="left"/>
      <w:pPr>
        <w:tabs>
          <w:tab w:val="left" w:pos="840"/>
        </w:tabs>
        <w:ind w:left="840" w:hanging="420"/>
      </w:pPr>
      <w:rPr>
        <w:rFonts w:hint="default"/>
      </w:rPr>
    </w:lvl>
    <w:lvl w:ilvl="2" w:tentative="0">
      <w:start w:val="1"/>
      <w:numFmt w:val="decimal"/>
      <w:lvlText w:val="%3)"/>
      <w:lvlJc w:val="left"/>
      <w:pPr>
        <w:tabs>
          <w:tab w:val="left" w:pos="1260"/>
        </w:tabs>
        <w:ind w:left="1260" w:hanging="420"/>
      </w:pPr>
      <w:rPr>
        <w:rFonts w:hint="default"/>
      </w:rPr>
    </w:lvl>
    <w:lvl w:ilvl="3" w:tentative="0">
      <w:start w:val="1"/>
      <w:numFmt w:val="lowerLetter"/>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7">
    <w:nsid w:val="6A219D1C"/>
    <w:multiLevelType w:val="multilevel"/>
    <w:tmpl w:val="6A219D1C"/>
    <w:lvl w:ilvl="0" w:tentative="0">
      <w:start w:val="1"/>
      <w:numFmt w:val="decimal"/>
      <w:suff w:val="nothing"/>
      <w:lvlText w:val="（%1）"/>
      <w:lvlJc w:val="left"/>
    </w:lvl>
    <w:lvl w:ilvl="1" w:tentative="0">
      <w:start w:val="1"/>
      <w:numFmt w:val="decimalEnclosedCircleChinese"/>
      <w:lvlText w:val="%2"/>
      <w:lvlJc w:val="left"/>
      <w:pPr>
        <w:tabs>
          <w:tab w:val="left" w:pos="840"/>
        </w:tabs>
        <w:ind w:left="840" w:hanging="420"/>
      </w:pPr>
      <w:rPr>
        <w:rFonts w:hint="default"/>
      </w:rPr>
    </w:lvl>
    <w:lvl w:ilvl="2" w:tentative="0">
      <w:start w:val="1"/>
      <w:numFmt w:val="decimal"/>
      <w:lvlText w:val="%3)"/>
      <w:lvlJc w:val="left"/>
      <w:pPr>
        <w:tabs>
          <w:tab w:val="left" w:pos="1260"/>
        </w:tabs>
        <w:ind w:left="1260" w:hanging="420"/>
      </w:pPr>
      <w:rPr>
        <w:rFonts w:hint="default"/>
      </w:rPr>
    </w:lvl>
    <w:lvl w:ilvl="3" w:tentative="0">
      <w:start w:val="1"/>
      <w:numFmt w:val="lowerLetter"/>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num w:numId="1">
    <w:abstractNumId w:val="2"/>
  </w:num>
  <w:num w:numId="2">
    <w:abstractNumId w:val="3"/>
  </w:num>
  <w:num w:numId="3">
    <w:abstractNumId w:val="6"/>
  </w:num>
  <w:num w:numId="4">
    <w:abstractNumId w:val="7"/>
  </w:num>
  <w:num w:numId="5">
    <w:abstractNumId w:val="0"/>
  </w:num>
  <w:num w:numId="6">
    <w:abstractNumId w:val="5"/>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xNTdmNTQwMjNiN2VlMTFlZGQ0MWVmOTZmNTRhYjgifQ=="/>
  </w:docVars>
  <w:rsids>
    <w:rsidRoot w:val="00000000"/>
    <w:rsid w:val="010158D6"/>
    <w:rsid w:val="074256BD"/>
    <w:rsid w:val="0C1B4435"/>
    <w:rsid w:val="0F9904ED"/>
    <w:rsid w:val="160348E3"/>
    <w:rsid w:val="181D5573"/>
    <w:rsid w:val="1E8429D3"/>
    <w:rsid w:val="22D938F2"/>
    <w:rsid w:val="2DEC7C0F"/>
    <w:rsid w:val="335F28BC"/>
    <w:rsid w:val="3E8A6E94"/>
    <w:rsid w:val="3FEA5477"/>
    <w:rsid w:val="4D1473C4"/>
    <w:rsid w:val="4F5E650D"/>
    <w:rsid w:val="565C1FE1"/>
    <w:rsid w:val="5BC76675"/>
    <w:rsid w:val="5EC1039D"/>
    <w:rsid w:val="645C5D82"/>
    <w:rsid w:val="65297A59"/>
    <w:rsid w:val="659F56CB"/>
    <w:rsid w:val="748A495D"/>
    <w:rsid w:val="7FE169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jc w:val="both"/>
    </w:pPr>
    <w:rPr>
      <w:rFonts w:ascii="Times New Roman" w:hAnsi="Times New Roman" w:eastAsia="宋体" w:cs="Times New Roman"/>
      <w:color w:val="000000"/>
      <w:sz w:val="21"/>
      <w:szCs w:val="21"/>
      <w:lang w:val="en-US" w:eastAsia="zh-CN" w:bidi="ar-SA"/>
    </w:rPr>
  </w:style>
  <w:style w:type="paragraph" w:styleId="3">
    <w:name w:val="heading 1"/>
    <w:basedOn w:val="1"/>
    <w:next w:val="1"/>
    <w:qFormat/>
    <w:uiPriority w:val="0"/>
    <w:pPr>
      <w:keepNext/>
      <w:keepLines/>
      <w:spacing w:before="340" w:after="330" w:line="578" w:lineRule="auto"/>
      <w:outlineLvl w:val="0"/>
    </w:pPr>
    <w:rPr>
      <w:b/>
      <w:kern w:val="44"/>
      <w:sz w:val="44"/>
    </w:rPr>
  </w:style>
  <w:style w:type="paragraph" w:styleId="4">
    <w:name w:val="heading 2"/>
    <w:basedOn w:val="1"/>
    <w:next w:val="1"/>
    <w:qFormat/>
    <w:uiPriority w:val="0"/>
    <w:pPr>
      <w:keepNext/>
      <w:keepLines/>
      <w:autoSpaceDE/>
      <w:autoSpaceDN/>
      <w:adjustRightInd/>
      <w:spacing w:before="260" w:beforeLines="0" w:after="260" w:afterLines="0" w:line="415" w:lineRule="auto"/>
      <w:outlineLvl w:val="1"/>
    </w:pPr>
    <w:rPr>
      <w:rFonts w:ascii="Arial" w:hAnsi="Arial" w:eastAsia="黑体"/>
      <w:b/>
      <w:bCs/>
      <w:color w:val="auto"/>
      <w:kern w:val="2"/>
      <w:sz w:val="32"/>
      <w:szCs w:val="32"/>
    </w:rPr>
  </w:style>
  <w:style w:type="paragraph" w:styleId="5">
    <w:name w:val="heading 4"/>
    <w:basedOn w:val="1"/>
    <w:next w:val="1"/>
    <w:qFormat/>
    <w:uiPriority w:val="0"/>
    <w:pPr>
      <w:keepNext/>
      <w:keepLines/>
      <w:numPr>
        <w:ilvl w:val="3"/>
        <w:numId w:val="1"/>
      </w:numPr>
      <w:spacing w:beforeLines="0" w:after="290" w:line="372" w:lineRule="auto"/>
      <w:outlineLvl w:val="3"/>
    </w:pPr>
    <w:rPr>
      <w:rFonts w:ascii="Arial" w:hAnsi="Arial" w:eastAsia="黑体"/>
      <w:b/>
      <w:bCs/>
      <w:kern w:val="0"/>
      <w:sz w:val="28"/>
      <w:szCs w:val="28"/>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sz w:val="20"/>
    </w:rPr>
  </w:style>
  <w:style w:type="paragraph" w:styleId="6">
    <w:name w:val="List Number"/>
    <w:basedOn w:val="1"/>
    <w:qFormat/>
    <w:uiPriority w:val="0"/>
    <w:pPr>
      <w:numPr>
        <w:ilvl w:val="0"/>
        <w:numId w:val="2"/>
      </w:numPr>
    </w:pPr>
  </w:style>
  <w:style w:type="paragraph" w:styleId="7">
    <w:name w:val="Normal Indent"/>
    <w:basedOn w:val="1"/>
    <w:next w:val="8"/>
    <w:qFormat/>
    <w:uiPriority w:val="0"/>
    <w:pPr>
      <w:autoSpaceDE/>
      <w:autoSpaceDN/>
      <w:adjustRightInd/>
      <w:ind w:firstLine="420"/>
    </w:pPr>
    <w:rPr>
      <w:color w:val="auto"/>
      <w:sz w:val="20"/>
      <w:szCs w:val="20"/>
    </w:rPr>
  </w:style>
  <w:style w:type="paragraph" w:styleId="8">
    <w:name w:val="Body Text Indent"/>
    <w:basedOn w:val="1"/>
    <w:next w:val="1"/>
    <w:qFormat/>
    <w:uiPriority w:val="0"/>
    <w:pPr>
      <w:spacing w:after="120"/>
      <w:ind w:left="420" w:leftChars="200"/>
    </w:pPr>
    <w:rPr>
      <w:sz w:val="20"/>
    </w:rPr>
  </w:style>
  <w:style w:type="paragraph" w:styleId="9">
    <w:name w:val="Body Text 3"/>
    <w:basedOn w:val="1"/>
    <w:qFormat/>
    <w:uiPriority w:val="0"/>
    <w:pPr>
      <w:spacing w:after="120" w:afterLines="0"/>
    </w:pPr>
    <w:rPr>
      <w:sz w:val="16"/>
      <w:szCs w:val="16"/>
    </w:rPr>
  </w:style>
  <w:style w:type="paragraph" w:styleId="10">
    <w:name w:val="Block Text"/>
    <w:basedOn w:val="1"/>
    <w:qFormat/>
    <w:uiPriority w:val="0"/>
    <w:pPr>
      <w:autoSpaceDE w:val="0"/>
      <w:autoSpaceDN w:val="0"/>
      <w:adjustRightInd w:val="0"/>
      <w:spacing w:line="300" w:lineRule="auto"/>
      <w:ind w:left="958" w:right="-120" w:rightChars="-120"/>
      <w:jc w:val="left"/>
    </w:pPr>
    <w:rPr>
      <w:rFonts w:ascii="宋体" w:hAnsi="宋体"/>
      <w:color w:val="000000"/>
      <w:kern w:val="0"/>
      <w:sz w:val="28"/>
      <w:szCs w:val="21"/>
    </w:rPr>
  </w:style>
  <w:style w:type="paragraph" w:styleId="11">
    <w:name w:val="Plain Text"/>
    <w:basedOn w:val="1"/>
    <w:next w:val="12"/>
    <w:qFormat/>
    <w:uiPriority w:val="0"/>
    <w:pPr>
      <w:autoSpaceDE/>
      <w:autoSpaceDN/>
      <w:adjustRightInd/>
    </w:pPr>
    <w:rPr>
      <w:color w:val="auto"/>
      <w:sz w:val="24"/>
      <w:szCs w:val="20"/>
    </w:rPr>
  </w:style>
  <w:style w:type="paragraph" w:styleId="12">
    <w:name w:val="toc 1"/>
    <w:basedOn w:val="1"/>
    <w:next w:val="1"/>
    <w:qFormat/>
    <w:uiPriority w:val="0"/>
    <w:rPr>
      <w:szCs w:val="24"/>
    </w:r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header"/>
    <w:basedOn w:val="1"/>
    <w:qFormat/>
    <w:uiPriority w:val="99"/>
    <w:pPr>
      <w:pBdr>
        <w:bottom w:val="single" w:color="auto" w:sz="6" w:space="1"/>
      </w:pBdr>
      <w:tabs>
        <w:tab w:val="center" w:pos="4153"/>
        <w:tab w:val="right" w:pos="8306"/>
      </w:tabs>
      <w:snapToGrid w:val="0"/>
      <w:jc w:val="center"/>
    </w:pPr>
    <w:rPr>
      <w:rFonts w:eastAsia="??"/>
      <w:color w:val="auto"/>
      <w:sz w:val="18"/>
      <w:szCs w:val="28"/>
    </w:rPr>
  </w:style>
  <w:style w:type="paragraph" w:styleId="15">
    <w:name w:val="toc 6"/>
    <w:basedOn w:val="1"/>
    <w:next w:val="1"/>
    <w:semiHidden/>
    <w:qFormat/>
    <w:uiPriority w:val="0"/>
    <w:pPr>
      <w:ind w:left="840"/>
      <w:jc w:val="left"/>
    </w:pPr>
    <w:rPr>
      <w:sz w:val="20"/>
      <w:szCs w:val="20"/>
    </w:rPr>
  </w:style>
  <w:style w:type="paragraph" w:styleId="16">
    <w:name w:val="Body Text Indent 3"/>
    <w:basedOn w:val="1"/>
    <w:qFormat/>
    <w:uiPriority w:val="0"/>
    <w:pPr>
      <w:autoSpaceDE/>
      <w:autoSpaceDN/>
      <w:adjustRightInd/>
      <w:ind w:firstLine="435"/>
    </w:pPr>
    <w:rPr>
      <w:color w:val="auto"/>
      <w:kern w:val="2"/>
      <w:szCs w:val="24"/>
    </w:rPr>
  </w:style>
  <w:style w:type="paragraph" w:styleId="17">
    <w:name w:val="index 7"/>
    <w:basedOn w:val="1"/>
    <w:next w:val="1"/>
    <w:qFormat/>
    <w:uiPriority w:val="0"/>
    <w:pPr>
      <w:ind w:left="1200" w:leftChars="1200"/>
    </w:pPr>
  </w:style>
  <w:style w:type="paragraph" w:styleId="18">
    <w:name w:val="Normal (Web)"/>
    <w:basedOn w:val="1"/>
    <w:qFormat/>
    <w:uiPriority w:val="0"/>
    <w:pPr>
      <w:widowControl/>
      <w:autoSpaceDE/>
      <w:autoSpaceDN/>
      <w:adjustRightInd/>
      <w:spacing w:before="100" w:beforeAutospacing="1" w:after="100" w:afterAutospacing="1"/>
      <w:jc w:val="left"/>
    </w:pPr>
    <w:rPr>
      <w:rFonts w:ascii="宋体" w:hAnsi="宋体" w:eastAsia="Times New Roman"/>
      <w:sz w:val="24"/>
      <w:szCs w:val="24"/>
    </w:rPr>
  </w:style>
  <w:style w:type="paragraph" w:styleId="19">
    <w:name w:val="Body Text First Indent"/>
    <w:basedOn w:val="2"/>
    <w:next w:val="15"/>
    <w:qFormat/>
    <w:uiPriority w:val="0"/>
    <w:pPr>
      <w:ind w:firstLine="420" w:firstLineChars="100"/>
    </w:pPr>
    <w:rPr>
      <w:sz w:val="21"/>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style>
  <w:style w:type="character" w:styleId="24">
    <w:name w:val="page number"/>
    <w:qFormat/>
    <w:uiPriority w:val="0"/>
  </w:style>
  <w:style w:type="paragraph" w:customStyle="1" w:styleId="25">
    <w:name w:val="表格文字"/>
    <w:basedOn w:val="11"/>
    <w:next w:val="2"/>
    <w:autoRedefine/>
    <w:qFormat/>
    <w:uiPriority w:val="0"/>
    <w:pPr>
      <w:adjustRightInd w:val="0"/>
      <w:spacing w:line="420" w:lineRule="atLeast"/>
      <w:textAlignment w:val="baseline"/>
    </w:pPr>
    <w:rPr>
      <w:szCs w:val="24"/>
    </w:rPr>
  </w:style>
  <w:style w:type="paragraph" w:customStyle="1" w:styleId="26">
    <w:name w:val="BodyText1I"/>
    <w:basedOn w:val="27"/>
    <w:next w:val="1"/>
    <w:autoRedefine/>
    <w:qFormat/>
    <w:uiPriority w:val="0"/>
    <w:pPr>
      <w:spacing w:line="360" w:lineRule="auto"/>
      <w:ind w:firstLine="420"/>
      <w:jc w:val="both"/>
      <w:textAlignment w:val="baseline"/>
    </w:pPr>
    <w:rPr>
      <w:rFonts w:ascii="宋体" w:hAnsi="Times New Roman" w:eastAsia="宋体"/>
      <w:kern w:val="2"/>
      <w:sz w:val="24"/>
      <w:szCs w:val="20"/>
      <w:lang w:val="zh-CN" w:eastAsia="zh-CN" w:bidi="ar-SA"/>
    </w:rPr>
  </w:style>
  <w:style w:type="paragraph" w:customStyle="1" w:styleId="27">
    <w:name w:val="BodyText"/>
    <w:basedOn w:val="1"/>
    <w:next w:val="26"/>
    <w:autoRedefine/>
    <w:qFormat/>
    <w:uiPriority w:val="0"/>
    <w:pPr>
      <w:spacing w:line="360" w:lineRule="auto"/>
      <w:jc w:val="both"/>
      <w:textAlignment w:val="baseline"/>
    </w:pPr>
    <w:rPr>
      <w:rFonts w:ascii="宋体" w:hAnsi="Arial" w:eastAsia="宋体"/>
      <w:kern w:val="2"/>
      <w:sz w:val="24"/>
      <w:szCs w:val="21"/>
      <w:lang w:val="zh-CN" w:eastAsia="zh-CN" w:bidi="ar-SA"/>
    </w:rPr>
  </w:style>
  <w:style w:type="paragraph" w:customStyle="1" w:styleId="28">
    <w:name w:val="表格正文"/>
    <w:basedOn w:val="1"/>
    <w:next w:val="1"/>
    <w:qFormat/>
    <w:uiPriority w:val="0"/>
    <w:pPr>
      <w:adjustRightInd w:val="0"/>
      <w:snapToGrid w:val="0"/>
      <w:spacing w:beforeLines="0" w:after="60"/>
      <w:jc w:val="center"/>
      <w:textAlignment w:val="baseline"/>
    </w:pPr>
    <w:rPr>
      <w:kern w:val="0"/>
      <w:sz w:val="24"/>
    </w:rPr>
  </w:style>
  <w:style w:type="paragraph" w:customStyle="1" w:styleId="29">
    <w:name w:val="文本正文宋体缩进"/>
    <w:basedOn w:val="1"/>
    <w:next w:val="1"/>
    <w:qFormat/>
    <w:uiPriority w:val="0"/>
    <w:pPr>
      <w:autoSpaceDE/>
      <w:autoSpaceDN/>
      <w:adjustRightInd/>
      <w:spacing w:line="360" w:lineRule="auto"/>
      <w:ind w:firstLine="480" w:firstLineChars="200"/>
    </w:pPr>
    <w:rPr>
      <w:color w:val="auto"/>
      <w:kern w:val="2"/>
      <w:sz w:val="24"/>
    </w:rPr>
  </w:style>
  <w:style w:type="paragraph" w:customStyle="1" w:styleId="30">
    <w:name w:val="正文首行缩进 21"/>
    <w:basedOn w:val="1"/>
    <w:qFormat/>
    <w:uiPriority w:val="0"/>
    <w:pPr>
      <w:spacing w:after="120"/>
      <w:ind w:left="420" w:leftChars="200" w:firstLine="420"/>
    </w:pPr>
    <w:rPr>
      <w:rFonts w:ascii="Times New Roman" w:hAnsi="Times New Roman" w:cs="宋体"/>
    </w:rPr>
  </w:style>
  <w:style w:type="paragraph" w:customStyle="1" w:styleId="31">
    <w:name w:val="??¡¡ì???¡¡ì????¡§¬?¡¡ì¡¡ì??¡¡ì?o??????¡§¬?¡¡ì¡¡ì?"/>
    <w:basedOn w:val="1"/>
    <w:qFormat/>
    <w:uiPriority w:val="0"/>
    <w:pPr>
      <w:overflowPunct w:val="0"/>
      <w:autoSpaceDE w:val="0"/>
      <w:autoSpaceDN w:val="0"/>
      <w:adjustRightInd w:val="0"/>
      <w:spacing w:before="20" w:after="20" w:line="400" w:lineRule="exact"/>
      <w:ind w:firstLine="504"/>
      <w:textAlignment w:val="baseline"/>
    </w:pPr>
    <w:rPr>
      <w:rFonts w:ascii="Times New Roman" w:hAnsi="Times New Roman"/>
      <w:lang w:eastAsia="zh-CN" w:bidi="ar-SA"/>
    </w:rPr>
  </w:style>
  <w:style w:type="paragraph" w:customStyle="1" w:styleId="32">
    <w:name w:val="Default"/>
    <w:qFormat/>
    <w:uiPriority w:val="0"/>
    <w:pPr>
      <w:widowControl w:val="0"/>
      <w:autoSpaceDE w:val="0"/>
      <w:autoSpaceDN w:val="0"/>
      <w:adjustRightInd w:val="0"/>
    </w:pPr>
    <w:rPr>
      <w:rFonts w:ascii="宋体" w:hAnsi="Calibri" w:eastAsia="宋体" w:cs="Times New Roman"/>
      <w:color w:val="000000"/>
      <w:sz w:val="24"/>
      <w:szCs w:val="24"/>
      <w:lang w:val="en-US" w:eastAsia="zh-CN" w:bidi="ar-SA"/>
    </w:rPr>
  </w:style>
  <w:style w:type="paragraph" w:customStyle="1" w:styleId="33">
    <w:name w:val="正文文字2"/>
    <w:basedOn w:val="2"/>
    <w:next w:val="6"/>
    <w:autoRedefine/>
    <w:qFormat/>
    <w:uiPriority w:val="0"/>
    <w:pPr>
      <w:autoSpaceDE/>
      <w:autoSpaceDN/>
      <w:spacing w:after="60" w:line="360" w:lineRule="atLeast"/>
      <w:ind w:left="72" w:right="72"/>
      <w:jc w:val="center"/>
      <w:textAlignment w:val="baseline"/>
    </w:pPr>
    <w:rPr>
      <w:rFonts w:ascii="Arial" w:eastAsia="黑体"/>
      <w:color w:val="auto"/>
      <w:sz w:val="20"/>
      <w:szCs w:val="20"/>
    </w:rPr>
  </w:style>
  <w:style w:type="paragraph" w:customStyle="1" w:styleId="34">
    <w:name w:val="Body Text First Indent 21"/>
    <w:basedOn w:val="35"/>
    <w:next w:val="36"/>
    <w:autoRedefine/>
    <w:qFormat/>
    <w:uiPriority w:val="0"/>
    <w:pPr>
      <w:ind w:firstLine="420"/>
    </w:pPr>
    <w:rPr>
      <w:rFonts w:cs="宋体"/>
    </w:rPr>
  </w:style>
  <w:style w:type="paragraph" w:customStyle="1" w:styleId="35">
    <w:name w:val="Body Text Indent1"/>
    <w:basedOn w:val="1"/>
    <w:next w:val="1"/>
    <w:autoRedefine/>
    <w:qFormat/>
    <w:uiPriority w:val="0"/>
    <w:pPr>
      <w:spacing w:after="120"/>
      <w:ind w:left="420" w:leftChars="200"/>
    </w:pPr>
  </w:style>
  <w:style w:type="paragraph" w:customStyle="1" w:styleId="36">
    <w:name w:val="样式 正文首行缩进 2 + Arial"/>
    <w:basedOn w:val="1"/>
    <w:next w:val="1"/>
    <w:autoRedefine/>
    <w:qFormat/>
    <w:uiPriority w:val="0"/>
    <w:pPr>
      <w:spacing w:after="120" w:line="320" w:lineRule="atLeast"/>
      <w:ind w:firstLine="200" w:firstLineChars="200"/>
    </w:pPr>
    <w:rPr>
      <w:rFonts w:ascii="Arial" w:hAnsi="Arial"/>
      <w:kern w:val="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75</Pages>
  <Words>241</Words>
  <Characters>289</Characters>
  <Lines>0</Lines>
  <Paragraphs>0</Paragraphs>
  <TotalTime>4</TotalTime>
  <ScaleCrop>false</ScaleCrop>
  <LinksUpToDate>false</LinksUpToDate>
  <CharactersWithSpaces>308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2024-11-28T06:14:00Z</dcterms:created>
  <dc:creator>BOCE-31</dc:creator>
  <cp:lastModifiedBy>宣晨阳</cp:lastModifiedBy>
  <dcterms:modified xsi:type="dcterms:W3CDTF">2024-11-29T14:46:52Z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E541A14BE7F446D38697BEA9F351DF0E_12</vt:lpwstr>
  </property>
</Properties>
</file>