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C2ED05">
      <w:pPr>
        <w:spacing w:line="900" w:lineRule="exact"/>
        <w:ind w:right="-108"/>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40"/>
          <w:sz w:val="40"/>
          <w:szCs w:val="40"/>
          <w:highlight w:val="none"/>
          <w:lang w:eastAsia="zh-CN"/>
        </w:rPr>
        <w:t>航空"嵊州小笼包"主题冠名宣传推广项目</w:t>
      </w:r>
      <w:r>
        <w:rPr>
          <w:rFonts w:hint="eastAsia" w:ascii="宋体" w:hAnsi="宋体" w:eastAsia="宋体" w:cs="宋体"/>
          <w:b/>
          <w:bCs/>
          <w:color w:val="auto"/>
          <w:sz w:val="32"/>
          <w:szCs w:val="32"/>
          <w:highlight w:val="none"/>
        </w:rPr>
        <w:t xml:space="preserve"> （项目编号：</w:t>
      </w:r>
      <w:r>
        <w:rPr>
          <w:rFonts w:hint="eastAsia" w:ascii="宋体" w:hAnsi="宋体" w:eastAsia="宋体" w:cs="宋体"/>
          <w:b/>
          <w:color w:val="auto"/>
          <w:kern w:val="1"/>
          <w:sz w:val="32"/>
          <w:szCs w:val="32"/>
          <w:highlight w:val="none"/>
          <w:lang w:eastAsia="zh-CN"/>
        </w:rPr>
        <w:t>HZDL-2025-001</w:t>
      </w:r>
      <w:r>
        <w:rPr>
          <w:rFonts w:hint="eastAsia" w:ascii="宋体" w:hAnsi="宋体" w:eastAsia="宋体" w:cs="宋体"/>
          <w:b/>
          <w:bCs/>
          <w:color w:val="auto"/>
          <w:sz w:val="32"/>
          <w:szCs w:val="32"/>
          <w:highlight w:val="none"/>
        </w:rPr>
        <w:t>）</w:t>
      </w:r>
    </w:p>
    <w:p w14:paraId="7A8DC279">
      <w:pPr>
        <w:pStyle w:val="2"/>
        <w:rPr>
          <w:rFonts w:hint="eastAsia" w:ascii="宋体" w:hAnsi="宋体" w:eastAsia="宋体" w:cs="宋体"/>
        </w:rPr>
      </w:pPr>
    </w:p>
    <w:p w14:paraId="1C8A3C34">
      <w:pPr>
        <w:spacing w:after="100" w:afterAutospacing="1" w:line="700" w:lineRule="exact"/>
        <w:ind w:right="-108"/>
        <w:jc w:val="center"/>
        <w:rPr>
          <w:rFonts w:hint="eastAsia" w:ascii="宋体" w:hAnsi="宋体" w:eastAsia="宋体" w:cs="宋体"/>
          <w:b/>
          <w:color w:val="auto"/>
          <w:spacing w:val="40"/>
          <w:sz w:val="56"/>
          <w:szCs w:val="56"/>
          <w:highlight w:val="none"/>
        </w:rPr>
      </w:pPr>
      <w:r>
        <w:rPr>
          <w:rFonts w:hint="eastAsia" w:ascii="宋体" w:hAnsi="宋体" w:eastAsia="宋体" w:cs="宋体"/>
          <w:b/>
          <w:color w:val="auto"/>
          <w:spacing w:val="40"/>
          <w:sz w:val="56"/>
          <w:szCs w:val="56"/>
          <w:highlight w:val="none"/>
        </w:rPr>
        <w:t>竞</w:t>
      </w:r>
    </w:p>
    <w:p w14:paraId="277E08FB">
      <w:pPr>
        <w:spacing w:after="100" w:afterAutospacing="1" w:line="700" w:lineRule="exact"/>
        <w:ind w:right="-108"/>
        <w:jc w:val="center"/>
        <w:rPr>
          <w:rFonts w:hint="eastAsia" w:ascii="宋体" w:hAnsi="宋体" w:eastAsia="宋体" w:cs="宋体"/>
          <w:b/>
          <w:color w:val="auto"/>
          <w:spacing w:val="40"/>
          <w:sz w:val="56"/>
          <w:szCs w:val="56"/>
          <w:highlight w:val="none"/>
        </w:rPr>
      </w:pPr>
      <w:r>
        <w:rPr>
          <w:rFonts w:hint="eastAsia" w:ascii="宋体" w:hAnsi="宋体" w:eastAsia="宋体" w:cs="宋体"/>
          <w:b/>
          <w:color w:val="auto"/>
          <w:spacing w:val="40"/>
          <w:sz w:val="56"/>
          <w:szCs w:val="56"/>
          <w:highlight w:val="none"/>
        </w:rPr>
        <w:t>争</w:t>
      </w:r>
    </w:p>
    <w:p w14:paraId="1234B446">
      <w:pPr>
        <w:spacing w:after="100" w:afterAutospacing="1" w:line="700" w:lineRule="exact"/>
        <w:ind w:right="-108"/>
        <w:jc w:val="center"/>
        <w:rPr>
          <w:rFonts w:hint="eastAsia" w:ascii="宋体" w:hAnsi="宋体" w:eastAsia="宋体" w:cs="宋体"/>
          <w:b/>
          <w:color w:val="auto"/>
          <w:spacing w:val="40"/>
          <w:sz w:val="56"/>
          <w:szCs w:val="56"/>
          <w:highlight w:val="none"/>
        </w:rPr>
      </w:pPr>
      <w:r>
        <w:rPr>
          <w:rFonts w:hint="eastAsia" w:ascii="宋体" w:hAnsi="宋体" w:eastAsia="宋体" w:cs="宋体"/>
          <w:b/>
          <w:color w:val="auto"/>
          <w:spacing w:val="40"/>
          <w:sz w:val="56"/>
          <w:szCs w:val="56"/>
          <w:highlight w:val="none"/>
        </w:rPr>
        <w:t>性</w:t>
      </w:r>
    </w:p>
    <w:p w14:paraId="626700B6">
      <w:pPr>
        <w:spacing w:after="100" w:afterAutospacing="1" w:line="700" w:lineRule="exact"/>
        <w:ind w:right="-108"/>
        <w:jc w:val="center"/>
        <w:rPr>
          <w:rFonts w:hint="eastAsia" w:ascii="宋体" w:hAnsi="宋体" w:eastAsia="宋体" w:cs="宋体"/>
          <w:b/>
          <w:color w:val="auto"/>
          <w:spacing w:val="40"/>
          <w:sz w:val="56"/>
          <w:szCs w:val="56"/>
          <w:highlight w:val="none"/>
        </w:rPr>
      </w:pPr>
      <w:r>
        <w:rPr>
          <w:rFonts w:hint="eastAsia" w:ascii="宋体" w:hAnsi="宋体" w:eastAsia="宋体" w:cs="宋体"/>
          <w:b/>
          <w:color w:val="auto"/>
          <w:spacing w:val="40"/>
          <w:sz w:val="56"/>
          <w:szCs w:val="56"/>
          <w:highlight w:val="none"/>
        </w:rPr>
        <w:t>磋</w:t>
      </w:r>
    </w:p>
    <w:p w14:paraId="588F31BD">
      <w:pPr>
        <w:spacing w:after="100" w:afterAutospacing="1" w:line="700" w:lineRule="exact"/>
        <w:ind w:right="-108"/>
        <w:jc w:val="center"/>
        <w:rPr>
          <w:rFonts w:hint="eastAsia" w:ascii="宋体" w:hAnsi="宋体" w:eastAsia="宋体" w:cs="宋体"/>
          <w:b/>
          <w:color w:val="auto"/>
          <w:spacing w:val="40"/>
          <w:sz w:val="56"/>
          <w:szCs w:val="56"/>
          <w:highlight w:val="none"/>
        </w:rPr>
      </w:pPr>
      <w:r>
        <w:rPr>
          <w:rFonts w:hint="eastAsia" w:ascii="宋体" w:hAnsi="宋体" w:eastAsia="宋体" w:cs="宋体"/>
          <w:b/>
          <w:color w:val="auto"/>
          <w:spacing w:val="40"/>
          <w:sz w:val="56"/>
          <w:szCs w:val="56"/>
          <w:highlight w:val="none"/>
        </w:rPr>
        <w:t>商</w:t>
      </w:r>
    </w:p>
    <w:p w14:paraId="0DEF1545">
      <w:pPr>
        <w:spacing w:after="100" w:afterAutospacing="1" w:line="700" w:lineRule="exact"/>
        <w:ind w:right="-108"/>
        <w:jc w:val="center"/>
        <w:rPr>
          <w:rFonts w:hint="eastAsia" w:ascii="宋体" w:hAnsi="宋体" w:eastAsia="宋体" w:cs="宋体"/>
          <w:b/>
          <w:color w:val="auto"/>
          <w:spacing w:val="40"/>
          <w:sz w:val="56"/>
          <w:szCs w:val="56"/>
          <w:highlight w:val="none"/>
        </w:rPr>
      </w:pPr>
      <w:r>
        <w:rPr>
          <w:rFonts w:hint="eastAsia" w:ascii="宋体" w:hAnsi="宋体" w:eastAsia="宋体" w:cs="宋体"/>
          <w:b/>
          <w:color w:val="auto"/>
          <w:spacing w:val="40"/>
          <w:sz w:val="56"/>
          <w:szCs w:val="56"/>
          <w:highlight w:val="none"/>
        </w:rPr>
        <w:t>文</w:t>
      </w:r>
    </w:p>
    <w:p w14:paraId="10F9EE4E">
      <w:pPr>
        <w:spacing w:after="100" w:afterAutospacing="1" w:line="700" w:lineRule="exact"/>
        <w:ind w:right="-108"/>
        <w:jc w:val="center"/>
        <w:rPr>
          <w:rFonts w:hint="eastAsia" w:ascii="宋体" w:hAnsi="宋体" w:eastAsia="宋体" w:cs="宋体"/>
          <w:b/>
          <w:color w:val="auto"/>
          <w:spacing w:val="40"/>
          <w:szCs w:val="21"/>
          <w:highlight w:val="none"/>
        </w:rPr>
      </w:pPr>
      <w:r>
        <w:rPr>
          <w:rFonts w:hint="eastAsia" w:ascii="宋体" w:hAnsi="宋体" w:eastAsia="宋体" w:cs="宋体"/>
          <w:b/>
          <w:color w:val="auto"/>
          <w:spacing w:val="40"/>
          <w:sz w:val="56"/>
          <w:szCs w:val="56"/>
          <w:highlight w:val="none"/>
        </w:rPr>
        <w:t>件</w:t>
      </w:r>
    </w:p>
    <w:p w14:paraId="51670276">
      <w:pPr>
        <w:ind w:right="-110"/>
        <w:rPr>
          <w:rFonts w:hint="eastAsia" w:ascii="宋体" w:hAnsi="宋体" w:eastAsia="宋体" w:cs="宋体"/>
          <w:color w:val="auto"/>
          <w:szCs w:val="21"/>
          <w:highlight w:val="none"/>
        </w:rPr>
      </w:pPr>
    </w:p>
    <w:p w14:paraId="73AF9CDB">
      <w:pPr>
        <w:rPr>
          <w:rFonts w:hint="eastAsia" w:ascii="宋体" w:hAnsi="宋体" w:eastAsia="宋体" w:cs="宋体"/>
        </w:rPr>
      </w:pPr>
    </w:p>
    <w:p w14:paraId="2DAE5D53">
      <w:pPr>
        <w:spacing w:line="500" w:lineRule="exact"/>
        <w:ind w:right="532" w:firstLine="1124" w:firstLineChars="400"/>
        <w:rPr>
          <w:rFonts w:hint="eastAsia" w:ascii="宋体" w:hAnsi="宋体" w:eastAsia="宋体" w:cs="宋体"/>
          <w:b/>
          <w:bCs/>
          <w:color w:val="auto"/>
          <w:sz w:val="28"/>
          <w:szCs w:val="28"/>
          <w:highlight w:val="none"/>
        </w:rPr>
      </w:pPr>
    </w:p>
    <w:p w14:paraId="7ECBA080">
      <w:pPr>
        <w:spacing w:line="500" w:lineRule="exact"/>
        <w:ind w:right="532" w:firstLine="1285" w:firstLineChars="400"/>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采购单位：</w:t>
      </w:r>
      <w:r>
        <w:rPr>
          <w:rFonts w:hint="eastAsia" w:ascii="宋体" w:hAnsi="宋体" w:cs="宋体"/>
          <w:b/>
          <w:bCs/>
          <w:color w:val="auto"/>
          <w:sz w:val="32"/>
          <w:szCs w:val="32"/>
          <w:highlight w:val="none"/>
          <w:lang w:eastAsia="zh-CN"/>
        </w:rPr>
        <w:t>嵊州小吃产业有限公司</w:t>
      </w:r>
    </w:p>
    <w:p w14:paraId="2940D34B">
      <w:pPr>
        <w:spacing w:line="500" w:lineRule="exact"/>
        <w:ind w:right="532" w:firstLine="1285" w:firstLineChars="400"/>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代理机构：</w:t>
      </w:r>
      <w:r>
        <w:rPr>
          <w:rFonts w:hint="eastAsia" w:ascii="宋体" w:hAnsi="宋体" w:eastAsia="宋体" w:cs="宋体"/>
          <w:b/>
          <w:bCs/>
          <w:color w:val="auto"/>
          <w:sz w:val="32"/>
          <w:szCs w:val="32"/>
          <w:highlight w:val="none"/>
          <w:lang w:eastAsia="zh-CN"/>
        </w:rPr>
        <w:t>禾泽都林设计集团有限公司</w:t>
      </w:r>
    </w:p>
    <w:p w14:paraId="6CC8B613">
      <w:pPr>
        <w:spacing w:line="500" w:lineRule="exact"/>
        <w:ind w:right="532" w:firstLine="1285" w:firstLineChars="400"/>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 xml:space="preserve">日    期: </w:t>
      </w:r>
      <w:r>
        <w:rPr>
          <w:rFonts w:hint="eastAsia" w:ascii="宋体" w:hAnsi="宋体" w:eastAsia="宋体" w:cs="宋体"/>
          <w:b/>
          <w:bCs/>
          <w:color w:val="auto"/>
          <w:sz w:val="32"/>
          <w:szCs w:val="32"/>
          <w:highlight w:val="none"/>
          <w:lang w:eastAsia="zh-CN"/>
        </w:rPr>
        <w:t>2025年</w:t>
      </w:r>
      <w:r>
        <w:rPr>
          <w:rFonts w:hint="eastAsia" w:ascii="宋体" w:hAnsi="宋体" w:eastAsia="宋体" w:cs="宋体"/>
          <w:b/>
          <w:bCs/>
          <w:color w:val="auto"/>
          <w:sz w:val="32"/>
          <w:szCs w:val="32"/>
          <w:highlight w:val="none"/>
          <w:lang w:val="en-US" w:eastAsia="zh-CN"/>
        </w:rPr>
        <w:t>3</w:t>
      </w:r>
      <w:r>
        <w:rPr>
          <w:rFonts w:hint="eastAsia" w:ascii="宋体" w:hAnsi="宋体" w:eastAsia="宋体" w:cs="宋体"/>
          <w:b/>
          <w:bCs/>
          <w:color w:val="auto"/>
          <w:sz w:val="32"/>
          <w:szCs w:val="32"/>
          <w:highlight w:val="none"/>
          <w:lang w:eastAsia="zh-CN"/>
        </w:rPr>
        <w:t>月</w:t>
      </w:r>
    </w:p>
    <w:p w14:paraId="5673593F">
      <w:pPr>
        <w:pStyle w:val="10"/>
        <w:spacing w:beforeLines="0" w:afterLines="0" w:line="360" w:lineRule="auto"/>
        <w:jc w:val="center"/>
        <w:rPr>
          <w:rFonts w:hint="eastAsia" w:ascii="宋体" w:hAnsi="宋体" w:eastAsia="宋体" w:cs="宋体"/>
          <w:b/>
          <w:color w:val="auto"/>
          <w:sz w:val="21"/>
          <w:szCs w:val="21"/>
          <w:highlight w:val="none"/>
        </w:rPr>
        <w:sectPr>
          <w:headerReference r:id="rId4" w:type="first"/>
          <w:footerReference r:id="rId5" w:type="default"/>
          <w:headerReference r:id="rId3" w:type="even"/>
          <w:pgSz w:w="11850" w:h="16783"/>
          <w:pgMar w:top="1304" w:right="1565" w:bottom="1247" w:left="1344" w:header="851" w:footer="992" w:gutter="0"/>
          <w:pgNumType w:fmt="decimal" w:start="1"/>
          <w:cols w:space="720" w:num="1"/>
          <w:docGrid w:linePitch="312" w:charSpace="0"/>
        </w:sectPr>
      </w:pPr>
      <w:bookmarkStart w:id="0" w:name="_Toc6629"/>
      <w:bookmarkStart w:id="1" w:name="_Toc25497"/>
    </w:p>
    <w:p w14:paraId="77FEE582">
      <w:pPr>
        <w:pStyle w:val="10"/>
        <w:spacing w:beforeLines="0" w:afterLines="0" w:line="360" w:lineRule="auto"/>
        <w:jc w:val="center"/>
        <w:outlineLvl w:val="0"/>
        <w:rPr>
          <w:rFonts w:hint="eastAsia" w:ascii="宋体" w:hAnsi="宋体" w:eastAsia="宋体" w:cs="宋体"/>
          <w:color w:val="auto"/>
          <w:sz w:val="21"/>
          <w:szCs w:val="21"/>
          <w:highlight w:val="none"/>
        </w:rPr>
      </w:pPr>
      <w:bookmarkStart w:id="2" w:name="_Toc15391"/>
      <w:bookmarkStart w:id="3" w:name="_Toc16788"/>
      <w:bookmarkStart w:id="4" w:name="_Toc25872"/>
      <w:bookmarkStart w:id="5" w:name="_Toc18356"/>
      <w:bookmarkStart w:id="6" w:name="_Toc3226"/>
      <w:bookmarkStart w:id="7" w:name="_Toc11228"/>
      <w:bookmarkStart w:id="8" w:name="_Toc17823"/>
      <w:bookmarkStart w:id="9" w:name="_Toc27772"/>
      <w:r>
        <w:rPr>
          <w:rFonts w:hint="eastAsia" w:ascii="宋体" w:hAnsi="宋体" w:eastAsia="宋体" w:cs="宋体"/>
          <w:b/>
          <w:color w:val="auto"/>
          <w:sz w:val="32"/>
          <w:szCs w:val="32"/>
          <w:highlight w:val="none"/>
        </w:rPr>
        <w:t xml:space="preserve"> 目    录</w:t>
      </w:r>
      <w:bookmarkEnd w:id="0"/>
      <w:bookmarkEnd w:id="1"/>
      <w:bookmarkEnd w:id="2"/>
      <w:bookmarkEnd w:id="3"/>
      <w:bookmarkEnd w:id="4"/>
      <w:bookmarkEnd w:id="5"/>
      <w:bookmarkEnd w:id="6"/>
      <w:bookmarkEnd w:id="7"/>
      <w:bookmarkEnd w:id="8"/>
      <w:bookmarkEnd w:id="9"/>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"1-2" \h \z \u </w:instrText>
      </w:r>
      <w:r>
        <w:rPr>
          <w:rFonts w:hint="eastAsia" w:ascii="宋体" w:hAnsi="宋体" w:eastAsia="宋体" w:cs="宋体"/>
          <w:color w:val="auto"/>
          <w:sz w:val="21"/>
          <w:szCs w:val="21"/>
          <w:highlight w:val="none"/>
        </w:rPr>
        <w:fldChar w:fldCharType="separate"/>
      </w:r>
    </w:p>
    <w:p w14:paraId="502677DB">
      <w:pPr>
        <w:pStyle w:val="13"/>
        <w:tabs>
          <w:tab w:val="right" w:leader="dot" w:pos="8941"/>
        </w:tabs>
        <w:spacing w:line="500" w:lineRule="exact"/>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"_Toc21058"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第一章  竞争性磋商公告</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_Toc21058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2</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4455C077">
      <w:pPr>
        <w:pStyle w:val="13"/>
        <w:tabs>
          <w:tab w:val="right" w:leader="dot" w:pos="8941"/>
        </w:tabs>
        <w:spacing w:line="500" w:lineRule="exact"/>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"_Toc27907"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第二章  响应方须知</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_Toc27907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5</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230E39CC">
      <w:pPr>
        <w:pStyle w:val="15"/>
        <w:tabs>
          <w:tab w:val="right" w:leader="dot" w:pos="8941"/>
          <w:tab w:val="clear" w:pos="8302"/>
        </w:tabs>
        <w:spacing w:line="500" w:lineRule="exact"/>
        <w:ind w:left="384" w:hanging="241"/>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"_Toc21556"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前附表</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_Toc21556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5</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32BF0484">
      <w:pPr>
        <w:pStyle w:val="15"/>
        <w:tabs>
          <w:tab w:val="right" w:leader="dot" w:pos="8941"/>
          <w:tab w:val="clear" w:pos="8302"/>
        </w:tabs>
        <w:spacing w:line="500" w:lineRule="exact"/>
        <w:ind w:left="384" w:hanging="241"/>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"_Toc1082"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一、总则</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_Toc1082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7</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60E092F4">
      <w:pPr>
        <w:pStyle w:val="15"/>
        <w:tabs>
          <w:tab w:val="right" w:leader="dot" w:pos="8941"/>
          <w:tab w:val="clear" w:pos="8302"/>
        </w:tabs>
        <w:spacing w:line="500" w:lineRule="exact"/>
        <w:ind w:left="384" w:hanging="241"/>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"_Toc24460"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二、磋商响应文件的编制</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_Toc24460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10</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44A1B4CD">
      <w:pPr>
        <w:pStyle w:val="15"/>
        <w:tabs>
          <w:tab w:val="right" w:leader="dot" w:pos="8941"/>
          <w:tab w:val="clear" w:pos="8302"/>
        </w:tabs>
        <w:spacing w:line="500" w:lineRule="exact"/>
        <w:ind w:left="384" w:hanging="241"/>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"_Toc30425"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三、组织竞争性磋商程序</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_Toc30425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12</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0FE41EBC">
      <w:pPr>
        <w:pStyle w:val="15"/>
        <w:tabs>
          <w:tab w:val="right" w:leader="dot" w:pos="8941"/>
          <w:tab w:val="clear" w:pos="8302"/>
        </w:tabs>
        <w:spacing w:line="500" w:lineRule="exact"/>
        <w:ind w:left="384" w:hanging="241"/>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"_Toc13015"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四、磋商小组程序</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_Toc13015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14</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4EEED29A">
      <w:pPr>
        <w:pStyle w:val="15"/>
        <w:tabs>
          <w:tab w:val="right" w:leader="dot" w:pos="8941"/>
          <w:tab w:val="clear" w:pos="8302"/>
        </w:tabs>
        <w:spacing w:line="500" w:lineRule="exact"/>
        <w:ind w:left="384" w:hanging="241"/>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"_Toc16413"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五、定标</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_Toc16413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16</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5AE81DB8">
      <w:pPr>
        <w:pStyle w:val="15"/>
        <w:tabs>
          <w:tab w:val="right" w:leader="dot" w:pos="8941"/>
          <w:tab w:val="clear" w:pos="8302"/>
        </w:tabs>
        <w:spacing w:line="500" w:lineRule="exact"/>
        <w:ind w:left="384" w:hanging="241"/>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"_Toc16312"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六、合同授予</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_Toc16312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17</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7C796803">
      <w:pPr>
        <w:pStyle w:val="15"/>
        <w:tabs>
          <w:tab w:val="right" w:leader="dot" w:pos="8941"/>
          <w:tab w:val="clear" w:pos="8302"/>
        </w:tabs>
        <w:spacing w:line="500" w:lineRule="exact"/>
        <w:ind w:left="384" w:hanging="241"/>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"_Toc18704"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七、款项的结算</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_Toc18704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17</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4AF3E96C">
      <w:pPr>
        <w:pStyle w:val="13"/>
        <w:tabs>
          <w:tab w:val="right" w:leader="dot" w:pos="8941"/>
        </w:tabs>
        <w:spacing w:line="500" w:lineRule="exact"/>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"_Toc22845"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第三章  采购需求</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_Toc22845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18</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3EF042E0">
      <w:pPr>
        <w:pStyle w:val="13"/>
        <w:tabs>
          <w:tab w:val="right" w:leader="dot" w:pos="8941"/>
        </w:tabs>
        <w:spacing w:line="500" w:lineRule="exact"/>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"_Toc5643"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第五章  采购合同主要条款指引</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_Toc5643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23</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745DF072">
      <w:pPr>
        <w:pStyle w:val="13"/>
        <w:tabs>
          <w:tab w:val="right" w:leader="dot" w:pos="8941"/>
        </w:tabs>
        <w:spacing w:line="500" w:lineRule="exact"/>
        <w:rPr>
          <w:rFonts w:hint="eastAsia" w:ascii="宋体" w:hAnsi="宋体" w:eastAsia="宋体" w:cs="宋体"/>
          <w:color w:val="auto"/>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"_Toc466"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4"/>
          <w:highlight w:val="none"/>
        </w:rPr>
        <w:t>第六章  磋商响应文件格式附件</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_Toc466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28</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5DF05545">
      <w:pPr>
        <w:pStyle w:val="10"/>
        <w:spacing w:beforeLines="0" w:afterLines="0" w:line="360" w:lineRule="auto"/>
        <w:jc w:val="center"/>
        <w:outlineLvl w:val="0"/>
        <w:rPr>
          <w:rFonts w:hint="eastAsia" w:ascii="宋体" w:hAnsi="宋体" w:eastAsia="宋体" w:cs="宋体"/>
          <w:color w:val="auto"/>
          <w:sz w:val="21"/>
          <w:szCs w:val="21"/>
          <w:highlight w:val="none"/>
        </w:rPr>
        <w:sectPr>
          <w:footerReference r:id="rId6" w:type="default"/>
          <w:pgSz w:w="11850" w:h="16783"/>
          <w:pgMar w:top="1304" w:right="1565" w:bottom="1247" w:left="1344" w:header="851" w:footer="992" w:gutter="0"/>
          <w:pgNumType w:fmt="decimal" w:start="1"/>
          <w:cols w:space="720" w:num="1"/>
          <w:docGrid w:linePitch="312" w:charSpace="0"/>
        </w:sectPr>
      </w:pPr>
      <w:r>
        <w:rPr>
          <w:rFonts w:hint="eastAsia" w:ascii="宋体" w:hAnsi="宋体" w:eastAsia="宋体" w:cs="宋体"/>
          <w:color w:val="auto"/>
          <w:sz w:val="21"/>
          <w:szCs w:val="21"/>
          <w:highlight w:val="none"/>
        </w:rPr>
        <w:fldChar w:fldCharType="end"/>
      </w:r>
    </w:p>
    <w:p w14:paraId="766C1D61">
      <w:pPr>
        <w:pStyle w:val="10"/>
        <w:spacing w:beforeLines="0" w:afterLines="0"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8"/>
          <w:szCs w:val="28"/>
          <w:highlight w:val="none"/>
        </w:rPr>
        <w:t xml:space="preserve"> </w:t>
      </w:r>
      <w:bookmarkStart w:id="10" w:name="_Toc451762242"/>
      <w:bookmarkStart w:id="11" w:name="_Toc21058"/>
      <w:r>
        <w:rPr>
          <w:rFonts w:hint="eastAsia" w:ascii="宋体" w:hAnsi="宋体" w:eastAsia="宋体" w:cs="宋体"/>
          <w:b/>
          <w:color w:val="auto"/>
          <w:sz w:val="28"/>
          <w:szCs w:val="28"/>
          <w:highlight w:val="none"/>
        </w:rPr>
        <w:t>第一章  竞争性磋商公告</w:t>
      </w:r>
      <w:bookmarkEnd w:id="10"/>
      <w:bookmarkEnd w:id="11"/>
      <w:bookmarkStart w:id="12" w:name="_Toc451762243"/>
    </w:p>
    <w:p w14:paraId="0B2F1FA4">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p w14:paraId="33F15BC0">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eastAsia="zh-CN"/>
        </w:rPr>
        <w:t>航空"嵊州小笼包"主题冠名宣传推广项目</w:t>
      </w:r>
      <w:r>
        <w:rPr>
          <w:rFonts w:hint="eastAsia" w:ascii="宋体" w:hAnsi="宋体" w:eastAsia="宋体" w:cs="宋体"/>
          <w:color w:val="auto"/>
          <w:szCs w:val="21"/>
          <w:highlight w:val="none"/>
        </w:rPr>
        <w:t>的潜在供应商应在乐采云平台（https://www.lecaiyun.com/）获取（下载）采购文件，并于</w:t>
      </w:r>
      <w:r>
        <w:rPr>
          <w:rFonts w:hint="eastAsia" w:ascii="宋体" w:hAnsi="宋体" w:eastAsia="宋体" w:cs="宋体"/>
          <w:color w:val="auto"/>
          <w:spacing w:val="6"/>
          <w:szCs w:val="21"/>
          <w:highlight w:val="none"/>
          <w:lang w:eastAsia="zh-CN"/>
        </w:rPr>
        <w:t>2025年</w:t>
      </w:r>
      <w:r>
        <w:rPr>
          <w:rFonts w:hint="eastAsia" w:ascii="宋体" w:hAnsi="宋体" w:cs="宋体"/>
          <w:color w:val="auto"/>
          <w:spacing w:val="6"/>
          <w:szCs w:val="21"/>
          <w:highlight w:val="none"/>
          <w:lang w:val="en-US" w:eastAsia="zh-CN"/>
        </w:rPr>
        <w:t>03</w:t>
      </w:r>
      <w:r>
        <w:rPr>
          <w:rFonts w:hint="eastAsia" w:ascii="宋体" w:hAnsi="宋体" w:eastAsia="宋体" w:cs="宋体"/>
          <w:color w:val="auto"/>
          <w:spacing w:val="6"/>
          <w:szCs w:val="21"/>
          <w:highlight w:val="none"/>
          <w:lang w:eastAsia="zh-CN"/>
        </w:rPr>
        <w:t>月</w:t>
      </w:r>
      <w:r>
        <w:rPr>
          <w:rFonts w:hint="eastAsia" w:ascii="宋体" w:hAnsi="宋体" w:cs="宋体"/>
          <w:color w:val="auto"/>
          <w:spacing w:val="6"/>
          <w:szCs w:val="21"/>
          <w:highlight w:val="none"/>
          <w:lang w:val="en-US" w:eastAsia="zh-CN"/>
        </w:rPr>
        <w:t>24</w:t>
      </w:r>
      <w:r>
        <w:rPr>
          <w:rFonts w:hint="eastAsia" w:ascii="宋体" w:hAnsi="宋体" w:eastAsia="宋体" w:cs="宋体"/>
          <w:color w:val="auto"/>
          <w:spacing w:val="6"/>
          <w:szCs w:val="21"/>
          <w:highlight w:val="none"/>
          <w:lang w:eastAsia="zh-CN"/>
        </w:rPr>
        <w:t>日</w:t>
      </w:r>
      <w:r>
        <w:rPr>
          <w:rFonts w:hint="eastAsia" w:ascii="宋体" w:hAnsi="宋体" w:eastAsia="宋体" w:cs="宋体"/>
          <w:color w:val="auto"/>
          <w:spacing w:val="6"/>
          <w:szCs w:val="21"/>
          <w:highlight w:val="none"/>
          <w:lang w:val="en-US" w:eastAsia="zh-CN"/>
        </w:rPr>
        <w:t xml:space="preserve"> </w:t>
      </w:r>
      <w:r>
        <w:rPr>
          <w:rFonts w:hint="eastAsia" w:ascii="宋体" w:hAnsi="宋体" w:cs="宋体"/>
          <w:color w:val="auto"/>
          <w:spacing w:val="6"/>
          <w:szCs w:val="21"/>
          <w:highlight w:val="none"/>
          <w:lang w:val="en-US" w:eastAsia="zh-CN"/>
        </w:rPr>
        <w:t>14</w:t>
      </w:r>
      <w:r>
        <w:rPr>
          <w:rFonts w:hint="eastAsia" w:ascii="宋体" w:hAnsi="宋体" w:eastAsia="宋体" w:cs="宋体"/>
          <w:color w:val="auto"/>
          <w:spacing w:val="6"/>
          <w:szCs w:val="21"/>
          <w:highlight w:val="none"/>
          <w:lang w:eastAsia="zh-CN"/>
        </w:rPr>
        <w:t>:00</w:t>
      </w:r>
      <w:r>
        <w:rPr>
          <w:rFonts w:hint="eastAsia" w:ascii="宋体" w:hAnsi="宋体" w:eastAsia="宋体" w:cs="宋体"/>
          <w:color w:val="auto"/>
          <w:spacing w:val="6"/>
          <w:szCs w:val="21"/>
          <w:highlight w:val="none"/>
        </w:rPr>
        <w:t>（北京时间）前提交（上传）响应文件</w:t>
      </w:r>
      <w:r>
        <w:rPr>
          <w:rFonts w:hint="eastAsia" w:ascii="宋体" w:hAnsi="宋体" w:eastAsia="宋体" w:cs="宋体"/>
          <w:color w:val="auto"/>
          <w:szCs w:val="21"/>
          <w:highlight w:val="none"/>
        </w:rPr>
        <w:t>。</w:t>
      </w:r>
    </w:p>
    <w:p w14:paraId="1826D860">
      <w:pPr>
        <w:spacing w:line="360" w:lineRule="auto"/>
        <w:ind w:firstLine="446" w:firstLineChars="200"/>
        <w:rPr>
          <w:rFonts w:hint="eastAsia" w:ascii="宋体" w:hAnsi="宋体" w:eastAsia="宋体" w:cs="宋体"/>
          <w:b/>
          <w:color w:val="auto"/>
          <w:szCs w:val="21"/>
          <w:highlight w:val="none"/>
        </w:rPr>
      </w:pPr>
      <w:bookmarkStart w:id="13" w:name="_Toc35393790"/>
      <w:bookmarkStart w:id="14" w:name="_Toc35393621"/>
      <w:bookmarkStart w:id="15" w:name="_Toc28359002"/>
      <w:bookmarkStart w:id="16" w:name="_Toc17364"/>
      <w:bookmarkStart w:id="17" w:name="_Toc29837"/>
      <w:bookmarkStart w:id="18" w:name="_Toc28359079"/>
      <w:r>
        <w:rPr>
          <w:rFonts w:hint="eastAsia" w:ascii="宋体" w:hAnsi="宋体" w:eastAsia="宋体" w:cs="宋体"/>
          <w:b/>
          <w:bCs/>
          <w:color w:val="auto"/>
          <w:spacing w:val="6"/>
          <w:szCs w:val="21"/>
          <w:highlight w:val="none"/>
        </w:rPr>
        <w:t>一、项目基本情况</w:t>
      </w:r>
      <w:bookmarkEnd w:id="13"/>
      <w:bookmarkEnd w:id="14"/>
      <w:bookmarkEnd w:id="15"/>
      <w:bookmarkEnd w:id="16"/>
      <w:bookmarkEnd w:id="17"/>
      <w:bookmarkEnd w:id="18"/>
    </w:p>
    <w:p w14:paraId="678971D2">
      <w:pPr>
        <w:snapToGrid w:val="0"/>
        <w:spacing w:line="360" w:lineRule="auto"/>
        <w:ind w:firstLine="409" w:firstLineChars="195"/>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1.项目编号</w:t>
      </w:r>
      <w:r>
        <w:rPr>
          <w:rFonts w:hint="eastAsia" w:ascii="宋体" w:hAnsi="宋体" w:eastAsia="宋体" w:cs="宋体"/>
          <w:color w:val="auto"/>
          <w:szCs w:val="21"/>
          <w:highlight w:val="none"/>
          <w:lang w:eastAsia="zh-CN"/>
        </w:rPr>
        <w:t>：HZDL-2025-001</w:t>
      </w:r>
    </w:p>
    <w:p w14:paraId="0F715B55">
      <w:pPr>
        <w:snapToGrid w:val="0"/>
        <w:spacing w:line="360" w:lineRule="auto"/>
        <w:ind w:firstLine="409" w:firstLineChars="195"/>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2.项目名称：</w:t>
      </w:r>
      <w:r>
        <w:rPr>
          <w:rFonts w:hint="eastAsia" w:ascii="宋体" w:hAnsi="宋体" w:eastAsia="宋体" w:cs="宋体"/>
          <w:color w:val="auto"/>
          <w:szCs w:val="21"/>
          <w:highlight w:val="none"/>
          <w:lang w:eastAsia="zh-CN"/>
        </w:rPr>
        <w:t>航空"嵊州小笼包"主题冠名宣传推广项目</w:t>
      </w:r>
    </w:p>
    <w:p w14:paraId="7FB2F4B1">
      <w:pPr>
        <w:snapToGrid w:val="0"/>
        <w:spacing w:line="360" w:lineRule="auto"/>
        <w:ind w:firstLine="409" w:firstLineChars="195"/>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3.采购方式：竞争性磋商</w:t>
      </w:r>
    </w:p>
    <w:p w14:paraId="3F95FDD3">
      <w:pPr>
        <w:snapToGrid w:val="0"/>
        <w:spacing w:line="360" w:lineRule="auto"/>
        <w:ind w:firstLine="409" w:firstLineChars="195"/>
        <w:rPr>
          <w:rFonts w:hint="eastAsia" w:ascii="宋体" w:hAnsi="宋体" w:eastAsia="宋体" w:cs="宋体"/>
          <w:color w:val="auto"/>
          <w:szCs w:val="21"/>
          <w:highlight w:val="none"/>
        </w:rPr>
      </w:pPr>
      <w:r>
        <w:rPr>
          <w:rFonts w:hint="eastAsia" w:ascii="宋体" w:hAnsi="宋体" w:eastAsia="宋体" w:cs="宋体"/>
          <w:color w:val="auto"/>
          <w:szCs w:val="21"/>
          <w:highlight w:val="none"/>
        </w:rPr>
        <w:t>4.预算金额（</w:t>
      </w:r>
      <w:r>
        <w:rPr>
          <w:rFonts w:hint="eastAsia" w:ascii="宋体" w:hAnsi="宋体" w:eastAsia="宋体" w:cs="宋体"/>
          <w:color w:val="auto"/>
          <w:szCs w:val="21"/>
          <w:highlight w:val="none"/>
          <w:lang w:val="en-US" w:eastAsia="zh-CN"/>
        </w:rPr>
        <w:t>万</w:t>
      </w:r>
      <w:r>
        <w:rPr>
          <w:rFonts w:hint="eastAsia" w:ascii="宋体" w:hAnsi="宋体" w:eastAsia="宋体" w:cs="宋体"/>
          <w:color w:val="auto"/>
          <w:szCs w:val="21"/>
          <w:highlight w:val="none"/>
        </w:rPr>
        <w:t>元）</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 xml:space="preserve">640.00 </w:t>
      </w:r>
    </w:p>
    <w:p w14:paraId="32BAE9F5">
      <w:pPr>
        <w:snapToGrid w:val="0"/>
        <w:spacing w:line="360" w:lineRule="auto"/>
        <w:ind w:firstLine="409" w:firstLineChars="195"/>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5.最高限价（</w:t>
      </w:r>
      <w:r>
        <w:rPr>
          <w:rFonts w:hint="eastAsia" w:ascii="宋体" w:hAnsi="宋体" w:eastAsia="宋体" w:cs="宋体"/>
          <w:color w:val="auto"/>
          <w:szCs w:val="21"/>
          <w:highlight w:val="none"/>
          <w:lang w:val="en-US" w:eastAsia="zh-CN"/>
        </w:rPr>
        <w:t>万</w:t>
      </w:r>
      <w:r>
        <w:rPr>
          <w:rFonts w:hint="eastAsia" w:ascii="宋体" w:hAnsi="宋体" w:eastAsia="宋体" w:cs="宋体"/>
          <w:color w:val="auto"/>
          <w:szCs w:val="21"/>
          <w:highlight w:val="none"/>
        </w:rPr>
        <w:t>元）：</w:t>
      </w:r>
      <w:r>
        <w:rPr>
          <w:rFonts w:hint="eastAsia" w:ascii="宋体" w:hAnsi="宋体" w:cs="宋体"/>
          <w:color w:val="auto"/>
          <w:szCs w:val="21"/>
          <w:highlight w:val="none"/>
          <w:lang w:val="en-US" w:eastAsia="zh-CN"/>
        </w:rPr>
        <w:t>640</w:t>
      </w:r>
      <w:r>
        <w:rPr>
          <w:rFonts w:hint="eastAsia" w:ascii="宋体" w:hAnsi="宋体" w:eastAsia="宋体" w:cs="宋体"/>
          <w:color w:val="auto"/>
          <w:szCs w:val="21"/>
          <w:highlight w:val="none"/>
          <w:lang w:val="en-US" w:eastAsia="zh-CN"/>
        </w:rPr>
        <w:t>.00</w:t>
      </w:r>
    </w:p>
    <w:p w14:paraId="263A6C73">
      <w:pPr>
        <w:snapToGrid w:val="0"/>
        <w:spacing w:line="360" w:lineRule="auto"/>
        <w:ind w:firstLine="409" w:firstLineChars="195"/>
        <w:rPr>
          <w:rFonts w:hint="eastAsia" w:ascii="宋体" w:hAnsi="宋体" w:eastAsia="宋体" w:cs="宋体"/>
          <w:color w:val="auto"/>
          <w:szCs w:val="21"/>
          <w:highlight w:val="none"/>
        </w:rPr>
      </w:pPr>
      <w:r>
        <w:rPr>
          <w:rFonts w:hint="eastAsia" w:ascii="宋体" w:hAnsi="宋体" w:eastAsia="宋体" w:cs="宋体"/>
          <w:color w:val="auto"/>
          <w:szCs w:val="21"/>
          <w:highlight w:val="none"/>
        </w:rPr>
        <w:t>6.采购需求：</w:t>
      </w:r>
    </w:p>
    <w:tbl>
      <w:tblPr>
        <w:tblStyle w:val="17"/>
        <w:tblW w:w="93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5"/>
        <w:gridCol w:w="2428"/>
        <w:gridCol w:w="884"/>
        <w:gridCol w:w="735"/>
        <w:gridCol w:w="1275"/>
        <w:gridCol w:w="2647"/>
        <w:gridCol w:w="730"/>
      </w:tblGrid>
      <w:tr w14:paraId="719CF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14:paraId="2D759820">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428" w:type="dxa"/>
            <w:tcBorders>
              <w:top w:val="single" w:color="auto" w:sz="4" w:space="0"/>
              <w:left w:val="single" w:color="auto" w:sz="4" w:space="0"/>
              <w:bottom w:val="single" w:color="auto" w:sz="4" w:space="0"/>
              <w:right w:val="single" w:color="auto" w:sz="4" w:space="0"/>
            </w:tcBorders>
            <w:noWrap w:val="0"/>
            <w:vAlign w:val="center"/>
          </w:tcPr>
          <w:p w14:paraId="57657687">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采购内容</w:t>
            </w:r>
          </w:p>
        </w:tc>
        <w:tc>
          <w:tcPr>
            <w:tcW w:w="884" w:type="dxa"/>
            <w:tcBorders>
              <w:top w:val="single" w:color="auto" w:sz="4" w:space="0"/>
              <w:left w:val="single" w:color="auto" w:sz="4" w:space="0"/>
              <w:bottom w:val="single" w:color="auto" w:sz="4" w:space="0"/>
              <w:right w:val="single" w:color="auto" w:sz="4" w:space="0"/>
            </w:tcBorders>
            <w:noWrap w:val="0"/>
            <w:vAlign w:val="center"/>
          </w:tcPr>
          <w:p w14:paraId="64D45E21">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6FCC69C5">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单位</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DC2B714">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预算价</w:t>
            </w:r>
          </w:p>
          <w:p w14:paraId="283B732B">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万</w:t>
            </w:r>
            <w:r>
              <w:rPr>
                <w:rFonts w:hint="eastAsia" w:ascii="宋体" w:hAnsi="宋体" w:eastAsia="宋体" w:cs="宋体"/>
                <w:color w:val="auto"/>
                <w:szCs w:val="21"/>
                <w:highlight w:val="none"/>
              </w:rPr>
              <w:t>元）</w:t>
            </w:r>
          </w:p>
        </w:tc>
        <w:tc>
          <w:tcPr>
            <w:tcW w:w="2647" w:type="dxa"/>
            <w:tcBorders>
              <w:top w:val="single" w:color="auto" w:sz="4" w:space="0"/>
              <w:left w:val="single" w:color="auto" w:sz="4" w:space="0"/>
              <w:bottom w:val="single" w:color="auto" w:sz="4" w:space="0"/>
              <w:right w:val="single" w:color="auto" w:sz="4" w:space="0"/>
            </w:tcBorders>
            <w:noWrap w:val="0"/>
            <w:vAlign w:val="center"/>
          </w:tcPr>
          <w:p w14:paraId="63B6F20B">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简要技术要求</w:t>
            </w:r>
          </w:p>
        </w:tc>
        <w:tc>
          <w:tcPr>
            <w:tcW w:w="730" w:type="dxa"/>
            <w:tcBorders>
              <w:top w:val="single" w:color="auto" w:sz="4" w:space="0"/>
              <w:left w:val="single" w:color="auto" w:sz="4" w:space="0"/>
              <w:bottom w:val="single" w:color="auto" w:sz="4" w:space="0"/>
              <w:right w:val="single" w:color="auto" w:sz="4" w:space="0"/>
            </w:tcBorders>
            <w:noWrap w:val="0"/>
            <w:vAlign w:val="center"/>
          </w:tcPr>
          <w:p w14:paraId="0755811E">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03D4CD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4"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14:paraId="221EE1E7">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428" w:type="dxa"/>
            <w:tcBorders>
              <w:top w:val="single" w:color="auto" w:sz="4" w:space="0"/>
              <w:left w:val="single" w:color="auto" w:sz="4" w:space="0"/>
              <w:bottom w:val="single" w:color="auto" w:sz="4" w:space="0"/>
              <w:right w:val="single" w:color="auto" w:sz="4" w:space="0"/>
            </w:tcBorders>
            <w:noWrap w:val="0"/>
            <w:vAlign w:val="center"/>
          </w:tcPr>
          <w:p w14:paraId="75BA31F0">
            <w:pPr>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航空"嵊州小笼包"主题冠名宣传推广项目</w:t>
            </w:r>
          </w:p>
        </w:tc>
        <w:tc>
          <w:tcPr>
            <w:tcW w:w="884" w:type="dxa"/>
            <w:tcBorders>
              <w:top w:val="single" w:color="auto" w:sz="4" w:space="0"/>
              <w:left w:val="single" w:color="auto" w:sz="4" w:space="0"/>
              <w:bottom w:val="single" w:color="auto" w:sz="4" w:space="0"/>
              <w:right w:val="single" w:color="auto" w:sz="4" w:space="0"/>
            </w:tcBorders>
            <w:noWrap w:val="0"/>
            <w:vAlign w:val="center"/>
          </w:tcPr>
          <w:p w14:paraId="645AF689">
            <w:pPr>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72E9AC22">
            <w:pPr>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年</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F147540">
            <w:pPr>
              <w:snapToGrid w:val="0"/>
              <w:jc w:val="center"/>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320.00</w:t>
            </w:r>
            <w:r>
              <w:rPr>
                <w:rFonts w:hint="eastAsia" w:ascii="宋体" w:hAnsi="宋体" w:cs="宋体"/>
                <w:color w:val="auto"/>
                <w:szCs w:val="21"/>
                <w:highlight w:val="none"/>
                <w:lang w:val="en-US" w:eastAsia="zh-CN"/>
              </w:rPr>
              <w:t>/年</w:t>
            </w:r>
          </w:p>
        </w:tc>
        <w:tc>
          <w:tcPr>
            <w:tcW w:w="2647" w:type="dxa"/>
            <w:tcBorders>
              <w:top w:val="single" w:color="auto" w:sz="4" w:space="0"/>
              <w:left w:val="single" w:color="auto" w:sz="4" w:space="0"/>
              <w:right w:val="single" w:color="auto" w:sz="4" w:space="0"/>
            </w:tcBorders>
            <w:noWrap w:val="0"/>
            <w:vAlign w:val="center"/>
          </w:tcPr>
          <w:p w14:paraId="49486752">
            <w:pPr>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服务期两年，合同一年一签</w:t>
            </w:r>
          </w:p>
        </w:tc>
        <w:tc>
          <w:tcPr>
            <w:tcW w:w="730" w:type="dxa"/>
            <w:tcBorders>
              <w:top w:val="single" w:color="auto" w:sz="4" w:space="0"/>
              <w:left w:val="single" w:color="auto" w:sz="4" w:space="0"/>
              <w:right w:val="single" w:color="auto" w:sz="4" w:space="0"/>
            </w:tcBorders>
            <w:noWrap w:val="0"/>
            <w:vAlign w:val="center"/>
          </w:tcPr>
          <w:p w14:paraId="73FAAF46">
            <w:pPr>
              <w:snapToGrid w:val="0"/>
              <w:rPr>
                <w:rFonts w:hint="eastAsia" w:ascii="宋体" w:hAnsi="宋体" w:eastAsia="宋体" w:cs="宋体"/>
                <w:color w:val="auto"/>
                <w:szCs w:val="21"/>
                <w:highlight w:val="none"/>
              </w:rPr>
            </w:pPr>
          </w:p>
        </w:tc>
      </w:tr>
    </w:tbl>
    <w:p w14:paraId="7F6202AE">
      <w:pPr>
        <w:widowControl/>
        <w:spacing w:line="360" w:lineRule="auto"/>
        <w:ind w:firstLine="422" w:firstLineChars="200"/>
        <w:jc w:val="left"/>
        <w:rPr>
          <w:rFonts w:hint="eastAsia" w:ascii="宋体" w:hAnsi="宋体" w:eastAsia="宋体" w:cs="宋体"/>
          <w:b/>
          <w:bCs/>
          <w:color w:val="auto"/>
          <w:kern w:val="0"/>
          <w:szCs w:val="21"/>
          <w:highlight w:val="none"/>
        </w:rPr>
      </w:pPr>
      <w:bookmarkStart w:id="19" w:name="_Toc17011"/>
      <w:bookmarkStart w:id="20" w:name="_Toc23031"/>
      <w:r>
        <w:rPr>
          <w:rFonts w:hint="eastAsia" w:ascii="宋体" w:hAnsi="宋体" w:eastAsia="宋体" w:cs="宋体"/>
          <w:b/>
          <w:bCs/>
          <w:color w:val="auto"/>
          <w:kern w:val="0"/>
          <w:szCs w:val="21"/>
          <w:highlight w:val="none"/>
        </w:rPr>
        <w:t>二、</w:t>
      </w:r>
      <w:r>
        <w:rPr>
          <w:rFonts w:hint="eastAsia" w:ascii="宋体" w:hAnsi="宋体" w:eastAsia="宋体" w:cs="宋体"/>
          <w:b/>
          <w:bCs/>
          <w:color w:val="auto"/>
          <w:kern w:val="0"/>
          <w:szCs w:val="21"/>
          <w:highlight w:val="none"/>
          <w:lang w:eastAsia="zh-CN"/>
        </w:rPr>
        <w:t>潜在供应商</w:t>
      </w:r>
      <w:r>
        <w:rPr>
          <w:rFonts w:hint="eastAsia" w:ascii="宋体" w:hAnsi="宋体" w:eastAsia="宋体" w:cs="宋体"/>
          <w:b/>
          <w:bCs/>
          <w:color w:val="auto"/>
          <w:kern w:val="0"/>
          <w:szCs w:val="21"/>
          <w:highlight w:val="none"/>
        </w:rPr>
        <w:t>资格要求</w:t>
      </w:r>
      <w:bookmarkEnd w:id="19"/>
      <w:bookmarkEnd w:id="20"/>
    </w:p>
    <w:p w14:paraId="469E2517">
      <w:pPr>
        <w:spacing w:line="360" w:lineRule="auto"/>
        <w:ind w:firstLine="420" w:firstLineChars="200"/>
        <w:rPr>
          <w:rFonts w:hint="eastAsia" w:ascii="宋体" w:hAnsi="宋体" w:eastAsia="宋体" w:cs="宋体"/>
          <w:color w:val="auto"/>
          <w:szCs w:val="21"/>
          <w:highlight w:val="none"/>
        </w:rPr>
      </w:pPr>
      <w:bookmarkStart w:id="21" w:name="_Toc3659"/>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符合《中华人民共和国政府采购法》第二十二条规定投标人资格条件；</w:t>
      </w:r>
    </w:p>
    <w:p w14:paraId="5437C5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投标截止之日至前三年内，在“信用中国网” (www.creditchina.gov.cn</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被列入失信被执行人、重大税收违法当事人名单、政府采购严重违法失信行为记录名单的投标人，资格审查时不予以通过；</w:t>
      </w:r>
    </w:p>
    <w:p w14:paraId="52E27B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投标截止前，在“中国政府采购网”(</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"http://www.ccgp.gov.cn"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www.ccgp.gov.cn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)被列入政府采购严重违法失信行为记录名单中的投标人且在处罚有效期内的投标人，资格审查时不予以通过；</w:t>
      </w:r>
    </w:p>
    <w:p w14:paraId="04DB0107">
      <w:pPr>
        <w:tabs>
          <w:tab w:val="center" w:pos="4536"/>
        </w:tabs>
        <w:spacing w:line="360" w:lineRule="auto"/>
        <w:ind w:firstLine="422" w:firstLineChars="200"/>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.本项目的特定资格要求</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无</w:t>
      </w:r>
    </w:p>
    <w:p w14:paraId="09D80961">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.本次招标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接受联合体投标</w:t>
      </w:r>
      <w:r>
        <w:rPr>
          <w:rFonts w:hint="eastAsia" w:ascii="宋体" w:hAnsi="宋体" w:eastAsia="宋体" w:cs="宋体"/>
          <w:color w:val="auto"/>
          <w:szCs w:val="21"/>
          <w:highlight w:val="none"/>
          <w:lang w:eastAsia="zh-CN"/>
        </w:rPr>
        <w:t>；</w:t>
      </w:r>
    </w:p>
    <w:p w14:paraId="59DD1C09">
      <w:pPr>
        <w:spacing w:line="360" w:lineRule="auto"/>
        <w:ind w:firstLine="422" w:firstLineChars="200"/>
        <w:rPr>
          <w:rFonts w:hint="eastAsia" w:ascii="宋体" w:hAnsi="宋体" w:eastAsia="宋体" w:cs="宋体"/>
          <w:b/>
          <w:bCs/>
          <w:color w:val="auto"/>
          <w:szCs w:val="21"/>
          <w:highlight w:val="none"/>
        </w:rPr>
      </w:pPr>
      <w:bookmarkStart w:id="22" w:name="_Toc15297"/>
      <w:r>
        <w:rPr>
          <w:rFonts w:hint="eastAsia" w:ascii="宋体" w:hAnsi="宋体" w:eastAsia="宋体" w:cs="宋体"/>
          <w:b/>
          <w:bCs/>
          <w:color w:val="auto"/>
          <w:szCs w:val="21"/>
          <w:highlight w:val="none"/>
        </w:rPr>
        <w:t>三、</w:t>
      </w:r>
      <w:bookmarkEnd w:id="21"/>
      <w:r>
        <w:rPr>
          <w:rFonts w:hint="eastAsia" w:ascii="宋体" w:hAnsi="宋体" w:eastAsia="宋体" w:cs="宋体"/>
          <w:b/>
          <w:bCs/>
          <w:color w:val="auto"/>
          <w:szCs w:val="21"/>
          <w:highlight w:val="none"/>
        </w:rPr>
        <w:t>获取（下载）采购文件</w:t>
      </w:r>
      <w:bookmarkEnd w:id="22"/>
    </w:p>
    <w:p w14:paraId="10801459">
      <w:pPr>
        <w:snapToGrid w:val="0"/>
        <w:spacing w:line="360" w:lineRule="auto"/>
        <w:ind w:firstLine="420" w:firstLineChars="200"/>
        <w:rPr>
          <w:rFonts w:hint="eastAsia" w:ascii="宋体" w:hAnsi="宋体" w:eastAsia="宋体" w:cs="宋体"/>
          <w:color w:val="auto"/>
          <w:szCs w:val="21"/>
          <w:highlight w:val="none"/>
        </w:rPr>
      </w:pPr>
      <w:bookmarkStart w:id="23" w:name="_Toc10774"/>
      <w:bookmarkStart w:id="24" w:name="_Toc7627"/>
      <w:r>
        <w:rPr>
          <w:rFonts w:hint="eastAsia" w:ascii="宋体" w:hAnsi="宋体" w:eastAsia="宋体" w:cs="宋体"/>
          <w:color w:val="auto"/>
          <w:szCs w:val="21"/>
          <w:highlight w:val="none"/>
        </w:rPr>
        <w:t>1.时间：</w:t>
      </w:r>
      <w:r>
        <w:rPr>
          <w:rFonts w:hint="eastAsia" w:ascii="宋体" w:hAnsi="宋体" w:eastAsia="宋体" w:cs="宋体"/>
          <w:color w:val="auto"/>
          <w:szCs w:val="21"/>
          <w:highlight w:val="none"/>
          <w:lang w:eastAsia="zh-CN"/>
        </w:rPr>
        <w:t>2025年</w:t>
      </w:r>
      <w:r>
        <w:rPr>
          <w:rFonts w:hint="eastAsia" w:ascii="宋体" w:hAnsi="宋体" w:cs="宋体"/>
          <w:color w:val="auto"/>
          <w:szCs w:val="21"/>
          <w:highlight w:val="none"/>
          <w:lang w:val="en-US" w:eastAsia="zh-CN"/>
        </w:rPr>
        <w:t>03</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13</w:t>
      </w:r>
      <w:r>
        <w:rPr>
          <w:rFonts w:hint="eastAsia" w:ascii="宋体" w:hAnsi="宋体" w:eastAsia="宋体" w:cs="宋体"/>
          <w:color w:val="auto"/>
          <w:szCs w:val="21"/>
          <w:highlight w:val="none"/>
          <w:lang w:val="en-US" w:eastAsia="zh-CN"/>
        </w:rPr>
        <w:t>日</w:t>
      </w:r>
      <w:r>
        <w:rPr>
          <w:rFonts w:hint="eastAsia" w:ascii="宋体" w:hAnsi="宋体" w:eastAsia="宋体" w:cs="宋体"/>
          <w:color w:val="auto"/>
          <w:szCs w:val="21"/>
          <w:highlight w:val="none"/>
        </w:rPr>
        <w:t>至</w:t>
      </w:r>
      <w:r>
        <w:rPr>
          <w:rFonts w:hint="eastAsia" w:ascii="宋体" w:hAnsi="宋体" w:eastAsia="宋体" w:cs="宋体"/>
          <w:color w:val="auto"/>
          <w:szCs w:val="21"/>
          <w:highlight w:val="none"/>
          <w:lang w:eastAsia="zh-CN"/>
        </w:rPr>
        <w:t>2025年</w:t>
      </w:r>
      <w:r>
        <w:rPr>
          <w:rFonts w:hint="eastAsia" w:ascii="宋体" w:hAnsi="宋体" w:cs="宋体"/>
          <w:color w:val="auto"/>
          <w:szCs w:val="21"/>
          <w:highlight w:val="none"/>
          <w:lang w:val="en-US" w:eastAsia="zh-CN"/>
        </w:rPr>
        <w:t>03</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24</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rPr>
        <w:t>，每天上午00:00至12:00 ，下午12:00至23:59（北京时间，线上获取法定节假日均可，线下获取文件法定节假日除外）；</w:t>
      </w:r>
      <w:bookmarkEnd w:id="23"/>
    </w:p>
    <w:p w14:paraId="762E9A03">
      <w:pPr>
        <w:snapToGrid w:val="0"/>
        <w:spacing w:line="360" w:lineRule="auto"/>
        <w:ind w:firstLine="420" w:firstLineChars="200"/>
        <w:rPr>
          <w:rFonts w:hint="eastAsia" w:ascii="宋体" w:hAnsi="宋体" w:eastAsia="宋体" w:cs="宋体"/>
          <w:color w:val="auto"/>
          <w:szCs w:val="21"/>
          <w:highlight w:val="none"/>
        </w:rPr>
      </w:pPr>
      <w:bookmarkStart w:id="25" w:name="_Toc6869"/>
      <w:r>
        <w:rPr>
          <w:rFonts w:hint="eastAsia" w:ascii="宋体" w:hAnsi="宋体" w:eastAsia="宋体" w:cs="宋体"/>
          <w:color w:val="auto"/>
          <w:szCs w:val="21"/>
          <w:highlight w:val="none"/>
        </w:rPr>
        <w:t>2.地点（网址）：乐采云平台（https://www.lecaiyun.com/）；</w:t>
      </w:r>
      <w:bookmarkEnd w:id="25"/>
    </w:p>
    <w:p w14:paraId="6E9BCA32">
      <w:pPr>
        <w:snapToGrid w:val="0"/>
        <w:spacing w:line="360" w:lineRule="auto"/>
        <w:ind w:firstLine="420" w:firstLineChars="200"/>
        <w:rPr>
          <w:rFonts w:hint="eastAsia" w:ascii="宋体" w:hAnsi="宋体" w:eastAsia="宋体" w:cs="宋体"/>
          <w:b/>
          <w:bCs/>
          <w:color w:val="auto"/>
          <w:szCs w:val="21"/>
          <w:highlight w:val="none"/>
        </w:rPr>
      </w:pPr>
      <w:bookmarkStart w:id="26" w:name="_Toc7907"/>
      <w:r>
        <w:rPr>
          <w:rFonts w:hint="eastAsia" w:ascii="宋体" w:hAnsi="宋体" w:eastAsia="宋体" w:cs="宋体"/>
          <w:color w:val="auto"/>
          <w:szCs w:val="21"/>
          <w:highlight w:val="none"/>
        </w:rPr>
        <w:t>3.方式：供应商登录乐采云平台https://www.lecaiyun.com/在线申请获取采购文件（进入“项目采购”应用，在获取采购文件菜单中选择项目，申请获取采购文件）。</w:t>
      </w:r>
      <w:bookmarkEnd w:id="26"/>
      <w:r>
        <w:rPr>
          <w:rFonts w:hint="eastAsia" w:ascii="宋体" w:hAnsi="宋体" w:eastAsia="宋体" w:cs="宋体"/>
          <w:color w:val="auto"/>
          <w:szCs w:val="21"/>
          <w:highlight w:val="none"/>
        </w:rPr>
        <w:t xml:space="preserve"> </w:t>
      </w:r>
    </w:p>
    <w:p w14:paraId="28EE5C40">
      <w:pPr>
        <w:snapToGrid w:val="0"/>
        <w:spacing w:line="360" w:lineRule="auto"/>
        <w:ind w:firstLine="420" w:firstLineChars="200"/>
        <w:rPr>
          <w:rFonts w:hint="eastAsia" w:ascii="宋体" w:hAnsi="宋体" w:eastAsia="宋体" w:cs="宋体"/>
          <w:color w:val="auto"/>
          <w:szCs w:val="21"/>
          <w:highlight w:val="none"/>
        </w:rPr>
      </w:pPr>
      <w:bookmarkStart w:id="27" w:name="_Toc2950"/>
      <w:r>
        <w:rPr>
          <w:rFonts w:hint="eastAsia" w:ascii="宋体" w:hAnsi="宋体" w:eastAsia="宋体" w:cs="宋体"/>
          <w:color w:val="auto"/>
          <w:szCs w:val="21"/>
          <w:highlight w:val="none"/>
        </w:rPr>
        <w:t>4.售价（元）：0</w:t>
      </w:r>
      <w:bookmarkEnd w:id="27"/>
      <w:r>
        <w:rPr>
          <w:rFonts w:hint="eastAsia" w:ascii="宋体" w:hAnsi="宋体" w:eastAsia="宋体" w:cs="宋体"/>
          <w:color w:val="auto"/>
          <w:szCs w:val="21"/>
          <w:highlight w:val="none"/>
        </w:rPr>
        <w:t xml:space="preserve"> 。</w:t>
      </w:r>
    </w:p>
    <w:p w14:paraId="081B101C">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提示：采购公告附件内的采购文件（或采购需求）仅供阅览使用，供应商只有在“乐采云平台”完成获取采购文件申请并下载了采购文件后才视作依法获取采购文件（法律法规所指的供应商获取采购文件时间以供应商完成获取采购文件申请后下载采购文件的时间为准）。</w:t>
      </w:r>
    </w:p>
    <w:p w14:paraId="1C25EE1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注：请供应商按上述要求获取采购文件，如未在“乐采云”系统内完成相关流程，引起的投标无效责任自负。</w:t>
      </w:r>
    </w:p>
    <w:p w14:paraId="31F9AF4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6.公告信息及更正补充公告请自行登录浙江政府采购网，在采购公告及更正公告页面中下载。</w:t>
      </w:r>
    </w:p>
    <w:p w14:paraId="10FC7BAD">
      <w:pPr>
        <w:snapToGrid w:val="0"/>
        <w:spacing w:line="360" w:lineRule="auto"/>
        <w:ind w:firstLine="420" w:firstLineChars="200"/>
        <w:rPr>
          <w:rFonts w:hint="eastAsia" w:ascii="宋体" w:hAnsi="宋体" w:eastAsia="宋体" w:cs="宋体"/>
          <w:color w:val="auto"/>
          <w:szCs w:val="21"/>
          <w:highlight w:val="none"/>
        </w:rPr>
      </w:pPr>
      <w:bookmarkStart w:id="28" w:name="_Toc8961"/>
      <w:r>
        <w:rPr>
          <w:rFonts w:hint="eastAsia" w:ascii="宋体" w:hAnsi="宋体" w:eastAsia="宋体" w:cs="宋体"/>
          <w:color w:val="auto"/>
          <w:szCs w:val="21"/>
          <w:highlight w:val="none"/>
        </w:rPr>
        <w:t>四、</w:t>
      </w:r>
      <w:bookmarkEnd w:id="24"/>
      <w:r>
        <w:rPr>
          <w:rFonts w:hint="eastAsia" w:ascii="宋体" w:hAnsi="宋体" w:eastAsia="宋体" w:cs="宋体"/>
          <w:color w:val="auto"/>
          <w:szCs w:val="21"/>
          <w:highlight w:val="none"/>
        </w:rPr>
        <w:t>响应文件提交（上传）</w:t>
      </w:r>
      <w:bookmarkEnd w:id="28"/>
      <w:r>
        <w:rPr>
          <w:rFonts w:hint="eastAsia" w:ascii="宋体" w:hAnsi="宋体" w:eastAsia="宋体" w:cs="宋体"/>
          <w:color w:val="auto"/>
          <w:szCs w:val="21"/>
          <w:highlight w:val="none"/>
        </w:rPr>
        <w:t xml:space="preserve"> </w:t>
      </w:r>
    </w:p>
    <w:p w14:paraId="51B57685">
      <w:pPr>
        <w:snapToGrid w:val="0"/>
        <w:spacing w:line="360" w:lineRule="auto"/>
        <w:ind w:firstLine="420" w:firstLineChars="200"/>
        <w:rPr>
          <w:rFonts w:hint="eastAsia" w:ascii="宋体" w:hAnsi="宋体" w:eastAsia="宋体" w:cs="宋体"/>
          <w:color w:val="auto"/>
          <w:szCs w:val="21"/>
          <w:highlight w:val="none"/>
        </w:rPr>
      </w:pPr>
      <w:bookmarkStart w:id="29" w:name="_Toc1009"/>
      <w:bookmarkStart w:id="30" w:name="_Toc6977"/>
      <w:r>
        <w:rPr>
          <w:rFonts w:hint="eastAsia" w:ascii="宋体" w:hAnsi="宋体" w:eastAsia="宋体" w:cs="宋体"/>
          <w:color w:val="auto"/>
          <w:szCs w:val="21"/>
          <w:highlight w:val="none"/>
        </w:rPr>
        <w:t>截止时间：</w:t>
      </w:r>
      <w:r>
        <w:rPr>
          <w:rFonts w:hint="eastAsia" w:ascii="宋体" w:hAnsi="宋体" w:eastAsia="宋体" w:cs="宋体"/>
          <w:color w:val="auto"/>
          <w:szCs w:val="21"/>
          <w:highlight w:val="none"/>
          <w:lang w:eastAsia="zh-CN"/>
        </w:rPr>
        <w:t>2025年</w:t>
      </w:r>
      <w:r>
        <w:rPr>
          <w:rFonts w:hint="eastAsia" w:ascii="宋体" w:hAnsi="宋体" w:eastAsia="宋体" w:cs="宋体"/>
          <w:color w:val="auto"/>
          <w:szCs w:val="21"/>
          <w:highlight w:val="none"/>
          <w:lang w:val="en-US" w:eastAsia="zh-CN"/>
        </w:rPr>
        <w:t>03</w:t>
      </w:r>
      <w:r>
        <w:rPr>
          <w:rFonts w:hint="eastAsia" w:ascii="宋体" w:hAnsi="宋体" w:eastAsia="宋体" w:cs="宋体"/>
          <w:color w:val="auto"/>
          <w:szCs w:val="21"/>
          <w:highlight w:val="none"/>
          <w:lang w:eastAsia="zh-CN"/>
        </w:rPr>
        <w:t>月</w:t>
      </w:r>
      <w:r>
        <w:rPr>
          <w:rFonts w:hint="eastAsia" w:ascii="宋体" w:hAnsi="宋体" w:eastAsia="宋体" w:cs="宋体"/>
          <w:color w:val="auto"/>
          <w:szCs w:val="21"/>
          <w:highlight w:val="none"/>
          <w:lang w:val="en-US" w:eastAsia="zh-CN"/>
        </w:rPr>
        <w:t>24</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lang w:eastAsia="zh-CN"/>
        </w:rPr>
        <w:t>0</w:t>
      </w:r>
      <w:r>
        <w:rPr>
          <w:rFonts w:hint="eastAsia" w:ascii="宋体" w:hAnsi="宋体" w:eastAsia="宋体" w:cs="宋体"/>
          <w:color w:val="auto"/>
          <w:szCs w:val="21"/>
          <w:highlight w:val="none"/>
        </w:rPr>
        <w:t>（北京时间）</w:t>
      </w:r>
      <w:r>
        <w:rPr>
          <w:rFonts w:hint="eastAsia" w:ascii="宋体" w:hAnsi="宋体" w:eastAsia="宋体" w:cs="宋体"/>
          <w:color w:val="auto"/>
          <w:szCs w:val="21"/>
          <w:highlight w:val="none"/>
        </w:rPr>
        <w:t>；</w:t>
      </w:r>
      <w:bookmarkEnd w:id="29"/>
    </w:p>
    <w:p w14:paraId="2A850A23">
      <w:pPr>
        <w:snapToGrid w:val="0"/>
        <w:spacing w:line="360" w:lineRule="auto"/>
        <w:ind w:firstLine="420" w:firstLineChars="200"/>
        <w:rPr>
          <w:rFonts w:hint="eastAsia" w:ascii="宋体" w:hAnsi="宋体" w:eastAsia="宋体" w:cs="宋体"/>
          <w:color w:val="auto"/>
          <w:szCs w:val="21"/>
          <w:highlight w:val="none"/>
        </w:rPr>
      </w:pPr>
      <w:bookmarkStart w:id="31" w:name="_Toc4110"/>
      <w:r>
        <w:rPr>
          <w:rFonts w:hint="eastAsia" w:ascii="宋体" w:hAnsi="宋体" w:eastAsia="宋体" w:cs="宋体"/>
          <w:color w:val="auto"/>
          <w:szCs w:val="21"/>
          <w:highlight w:val="none"/>
        </w:rPr>
        <w:t>地点（网址）：乐采云平台（https://www.lecaiyun.com/）实行在线投标响应。</w:t>
      </w:r>
      <w:bookmarkEnd w:id="31"/>
    </w:p>
    <w:p w14:paraId="15662F22">
      <w:pPr>
        <w:snapToGrid w:val="0"/>
        <w:spacing w:line="360" w:lineRule="auto"/>
        <w:ind w:firstLine="420" w:firstLineChars="200"/>
        <w:rPr>
          <w:rFonts w:hint="eastAsia" w:ascii="宋体" w:hAnsi="宋体" w:eastAsia="宋体" w:cs="宋体"/>
          <w:color w:val="auto"/>
          <w:szCs w:val="21"/>
          <w:highlight w:val="none"/>
        </w:rPr>
      </w:pPr>
      <w:bookmarkStart w:id="32" w:name="_Toc12236"/>
      <w:bookmarkStart w:id="33" w:name="_Toc7094"/>
      <w:r>
        <w:rPr>
          <w:rFonts w:hint="eastAsia" w:ascii="宋体" w:hAnsi="宋体" w:eastAsia="宋体" w:cs="宋体"/>
          <w:color w:val="auto"/>
          <w:szCs w:val="21"/>
          <w:highlight w:val="none"/>
        </w:rPr>
        <w:t>五、响应文件开启</w:t>
      </w:r>
      <w:bookmarkEnd w:id="32"/>
      <w:bookmarkEnd w:id="33"/>
    </w:p>
    <w:p w14:paraId="03C20554">
      <w:pPr>
        <w:snapToGrid w:val="0"/>
        <w:spacing w:line="360" w:lineRule="auto"/>
        <w:ind w:firstLine="420" w:firstLineChars="200"/>
        <w:rPr>
          <w:rFonts w:hint="eastAsia" w:ascii="宋体" w:hAnsi="宋体" w:eastAsia="宋体" w:cs="宋体"/>
          <w:color w:val="auto"/>
          <w:szCs w:val="21"/>
          <w:highlight w:val="none"/>
        </w:rPr>
      </w:pPr>
      <w:bookmarkStart w:id="34" w:name="_Toc23619"/>
      <w:r>
        <w:rPr>
          <w:rFonts w:hint="eastAsia" w:ascii="宋体" w:hAnsi="宋体" w:eastAsia="宋体" w:cs="宋体"/>
          <w:color w:val="auto"/>
          <w:szCs w:val="21"/>
          <w:highlight w:val="none"/>
        </w:rPr>
        <w:t>开启时间：</w:t>
      </w:r>
      <w:r>
        <w:rPr>
          <w:rFonts w:hint="eastAsia" w:ascii="宋体" w:hAnsi="宋体" w:eastAsia="宋体" w:cs="宋体"/>
          <w:color w:val="auto"/>
          <w:szCs w:val="21"/>
          <w:highlight w:val="none"/>
          <w:lang w:eastAsia="zh-CN"/>
        </w:rPr>
        <w:t>2025年</w:t>
      </w:r>
      <w:r>
        <w:rPr>
          <w:rFonts w:hint="eastAsia" w:ascii="宋体" w:hAnsi="宋体" w:cs="宋体"/>
          <w:color w:val="auto"/>
          <w:szCs w:val="21"/>
          <w:highlight w:val="none"/>
          <w:lang w:val="en-US" w:eastAsia="zh-CN"/>
        </w:rPr>
        <w:t>03</w:t>
      </w:r>
      <w:r>
        <w:rPr>
          <w:rFonts w:hint="eastAsia" w:ascii="宋体" w:hAnsi="宋体" w:eastAsia="宋体" w:cs="宋体"/>
          <w:color w:val="auto"/>
          <w:szCs w:val="21"/>
          <w:highlight w:val="none"/>
          <w:lang w:eastAsia="zh-CN"/>
        </w:rPr>
        <w:t>月</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24</w:t>
      </w:r>
      <w:r>
        <w:rPr>
          <w:rFonts w:hint="eastAsia" w:ascii="宋体" w:hAnsi="宋体" w:eastAsia="宋体" w:cs="宋体"/>
          <w:color w:val="auto"/>
          <w:szCs w:val="21"/>
          <w:highlight w:val="none"/>
          <w:lang w:eastAsia="zh-CN"/>
        </w:rPr>
        <w:t>日14:</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lang w:eastAsia="zh-CN"/>
        </w:rPr>
        <w:t>0</w:t>
      </w:r>
      <w:r>
        <w:rPr>
          <w:rFonts w:hint="eastAsia" w:ascii="宋体" w:hAnsi="宋体" w:eastAsia="宋体" w:cs="宋体"/>
          <w:color w:val="auto"/>
          <w:szCs w:val="21"/>
          <w:highlight w:val="none"/>
        </w:rPr>
        <w:t>（北京时间）；</w:t>
      </w:r>
      <w:bookmarkEnd w:id="34"/>
    </w:p>
    <w:p w14:paraId="229795A0">
      <w:pPr>
        <w:snapToGrid w:val="0"/>
        <w:spacing w:line="360" w:lineRule="auto"/>
        <w:ind w:firstLine="482"/>
        <w:rPr>
          <w:rFonts w:hint="eastAsia" w:ascii="宋体" w:hAnsi="宋体" w:eastAsia="宋体" w:cs="宋体"/>
          <w:color w:val="auto"/>
          <w:szCs w:val="21"/>
          <w:highlight w:val="none"/>
        </w:rPr>
      </w:pPr>
      <w:bookmarkStart w:id="35" w:name="_Toc27645"/>
      <w:r>
        <w:rPr>
          <w:rFonts w:hint="eastAsia" w:ascii="宋体" w:hAnsi="宋体" w:eastAsia="宋体" w:cs="宋体"/>
          <w:color w:val="auto"/>
          <w:szCs w:val="21"/>
          <w:highlight w:val="none"/>
        </w:rPr>
        <w:t>地点（网址）：</w:t>
      </w:r>
      <w:bookmarkEnd w:id="35"/>
      <w:r>
        <w:rPr>
          <w:rFonts w:hint="eastAsia" w:ascii="宋体" w:hAnsi="宋体" w:eastAsia="宋体" w:cs="宋体"/>
          <w:color w:val="auto"/>
          <w:szCs w:val="21"/>
          <w:highlight w:val="none"/>
        </w:rPr>
        <w:t>乐采云平台（https://www.lecaiyun.com/）实行</w:t>
      </w:r>
      <w:r>
        <w:rPr>
          <w:rFonts w:hint="eastAsia" w:ascii="宋体" w:hAnsi="宋体" w:eastAsia="宋体" w:cs="宋体"/>
          <w:color w:val="auto"/>
          <w:szCs w:val="21"/>
          <w:highlight w:val="none"/>
          <w:lang w:val="en-US" w:eastAsia="zh-CN"/>
        </w:rPr>
        <w:t>在线开评标</w:t>
      </w:r>
      <w:r>
        <w:rPr>
          <w:rFonts w:hint="eastAsia" w:ascii="宋体" w:hAnsi="宋体" w:eastAsia="宋体" w:cs="宋体"/>
          <w:color w:val="auto"/>
          <w:szCs w:val="21"/>
          <w:highlight w:val="none"/>
        </w:rPr>
        <w:t>。</w:t>
      </w:r>
    </w:p>
    <w:p w14:paraId="29944CA1">
      <w:pPr>
        <w:snapToGrid w:val="0"/>
        <w:spacing w:line="360" w:lineRule="auto"/>
        <w:ind w:firstLine="482"/>
        <w:rPr>
          <w:rFonts w:hint="eastAsia" w:ascii="宋体" w:hAnsi="宋体" w:eastAsia="宋体" w:cs="宋体"/>
          <w:b/>
          <w:bCs/>
          <w:color w:val="auto"/>
          <w:szCs w:val="21"/>
          <w:highlight w:val="none"/>
        </w:rPr>
      </w:pPr>
      <w:bookmarkStart w:id="36" w:name="_Toc28265"/>
      <w:r>
        <w:rPr>
          <w:rFonts w:hint="eastAsia" w:ascii="宋体" w:hAnsi="宋体" w:eastAsia="宋体" w:cs="宋体"/>
          <w:b/>
          <w:bCs/>
          <w:color w:val="auto"/>
          <w:szCs w:val="21"/>
          <w:highlight w:val="none"/>
        </w:rPr>
        <w:t>六、公告期限</w:t>
      </w:r>
      <w:bookmarkEnd w:id="30"/>
      <w:bookmarkEnd w:id="36"/>
    </w:p>
    <w:p w14:paraId="62831934">
      <w:pPr>
        <w:snapToGrid w:val="0"/>
        <w:spacing w:line="360" w:lineRule="auto"/>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自本公告发布之日起3个工作日。</w:t>
      </w:r>
    </w:p>
    <w:p w14:paraId="792DE3D6">
      <w:pPr>
        <w:snapToGrid w:val="0"/>
        <w:spacing w:line="360" w:lineRule="auto"/>
        <w:ind w:firstLine="482"/>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七、投标保证金</w:t>
      </w:r>
    </w:p>
    <w:p w14:paraId="64CBA7C2">
      <w:pPr>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投标保证金：人民币</w:t>
      </w:r>
      <w:r>
        <w:rPr>
          <w:rFonts w:hint="eastAsia" w:ascii="宋体" w:hAnsi="宋体" w:eastAsia="宋体" w:cs="宋体"/>
          <w:color w:val="auto"/>
          <w:szCs w:val="21"/>
          <w:highlight w:val="none"/>
          <w:lang w:val="en-US" w:eastAsia="zh-CN"/>
        </w:rPr>
        <w:t>50000.00</w:t>
      </w:r>
      <w:r>
        <w:rPr>
          <w:rFonts w:hint="eastAsia" w:ascii="宋体" w:hAnsi="宋体" w:eastAsia="宋体" w:cs="宋体"/>
          <w:color w:val="auto"/>
          <w:szCs w:val="21"/>
          <w:highlight w:val="none"/>
          <w:lang w:eastAsia="zh-CN"/>
        </w:rPr>
        <w:t>元。</w:t>
      </w:r>
    </w:p>
    <w:p w14:paraId="0F71E6D5">
      <w:pPr>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投标人应于202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03</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23</w:t>
      </w:r>
      <w:r>
        <w:rPr>
          <w:rFonts w:hint="eastAsia" w:ascii="宋体" w:hAnsi="宋体" w:eastAsia="宋体" w:cs="宋体"/>
          <w:color w:val="auto"/>
          <w:szCs w:val="21"/>
          <w:highlight w:val="none"/>
          <w:lang w:eastAsia="zh-CN"/>
        </w:rPr>
        <w:t>日16：00时前将投标保证金以电汇、转账、网上银行</w:t>
      </w:r>
      <w:r>
        <w:rPr>
          <w:rFonts w:hint="eastAsia" w:ascii="宋体" w:hAnsi="宋体" w:eastAsia="宋体" w:cs="宋体"/>
          <w:color w:val="auto"/>
          <w:szCs w:val="21"/>
          <w:highlight w:val="none"/>
          <w:lang w:val="en-US" w:eastAsia="zh-CN"/>
        </w:rPr>
        <w:t>交</w:t>
      </w:r>
      <w:r>
        <w:rPr>
          <w:rFonts w:hint="eastAsia" w:ascii="宋体" w:hAnsi="宋体" w:eastAsia="宋体" w:cs="宋体"/>
          <w:color w:val="auto"/>
          <w:szCs w:val="21"/>
          <w:highlight w:val="none"/>
          <w:lang w:eastAsia="zh-CN"/>
        </w:rPr>
        <w:t>至</w:t>
      </w:r>
      <w:r>
        <w:rPr>
          <w:rFonts w:hint="eastAsia" w:ascii="宋体" w:hAnsi="宋体" w:eastAsia="宋体" w:cs="宋体"/>
          <w:color w:val="auto"/>
          <w:szCs w:val="21"/>
          <w:highlight w:val="none"/>
          <w:lang w:val="en-US" w:eastAsia="zh-CN"/>
        </w:rPr>
        <w:t>禾泽都林设计集团有限公司</w:t>
      </w:r>
      <w:r>
        <w:rPr>
          <w:rFonts w:hint="eastAsia" w:ascii="宋体" w:hAnsi="宋体" w:eastAsia="宋体" w:cs="宋体"/>
          <w:color w:val="auto"/>
          <w:szCs w:val="21"/>
          <w:highlight w:val="none"/>
          <w:lang w:eastAsia="zh-CN"/>
        </w:rPr>
        <w:t>，投标保证金以到账时间为准。如因投标人自身原因，造成投标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eastAsia="zh-CN"/>
        </w:rPr>
        <w:t>保证金未及时到账的，一律视为不响应</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lang w:eastAsia="zh-CN"/>
        </w:rPr>
        <w:t>文件，投标</w:t>
      </w:r>
      <w:r>
        <w:rPr>
          <w:rFonts w:hint="eastAsia" w:ascii="宋体" w:hAnsi="宋体" w:eastAsia="宋体" w:cs="宋体"/>
          <w:color w:val="auto"/>
          <w:szCs w:val="21"/>
          <w:highlight w:val="none"/>
          <w:lang w:val="en-US" w:eastAsia="zh-CN"/>
        </w:rPr>
        <w:t>无效</w:t>
      </w:r>
      <w:r>
        <w:rPr>
          <w:rFonts w:hint="eastAsia" w:ascii="宋体" w:hAnsi="宋体" w:eastAsia="宋体" w:cs="宋体"/>
          <w:color w:val="auto"/>
          <w:szCs w:val="21"/>
          <w:highlight w:val="none"/>
          <w:lang w:eastAsia="zh-CN"/>
        </w:rPr>
        <w:t>。投标人的投标保证金必须从其基本账户转出。</w:t>
      </w:r>
      <w:r>
        <w:rPr>
          <w:rFonts w:hint="eastAsia" w:ascii="宋体" w:hAnsi="宋体" w:eastAsia="宋体" w:cs="宋体"/>
          <w:color w:val="auto"/>
          <w:szCs w:val="21"/>
          <w:highlight w:val="none"/>
          <w:lang w:val="en-US" w:eastAsia="zh-CN"/>
        </w:rPr>
        <w:t>联合体投标的，从牵头人</w:t>
      </w:r>
      <w:r>
        <w:rPr>
          <w:rFonts w:hint="eastAsia" w:ascii="宋体" w:hAnsi="宋体" w:eastAsia="宋体" w:cs="宋体"/>
          <w:color w:val="auto"/>
          <w:szCs w:val="21"/>
          <w:highlight w:val="none"/>
          <w:lang w:eastAsia="zh-CN"/>
        </w:rPr>
        <w:t>基本账户转出。</w:t>
      </w:r>
    </w:p>
    <w:p w14:paraId="2DD81D75">
      <w:pPr>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开户名称：禾泽都林设计集团有限公司</w:t>
      </w:r>
      <w:r>
        <w:rPr>
          <w:rFonts w:hint="eastAsia" w:ascii="宋体" w:hAnsi="宋体" w:eastAsia="宋体" w:cs="宋体"/>
          <w:color w:val="auto"/>
          <w:szCs w:val="21"/>
          <w:highlight w:val="none"/>
          <w:lang w:val="en-US" w:eastAsia="zh-CN"/>
        </w:rPr>
        <w:t>；</w:t>
      </w:r>
    </w:p>
    <w:p w14:paraId="65ED8FEA">
      <w:pPr>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开户银行：</w:t>
      </w:r>
      <w:r>
        <w:rPr>
          <w:rFonts w:hint="eastAsia" w:ascii="宋体" w:hAnsi="宋体" w:eastAsia="宋体" w:cs="宋体"/>
          <w:color w:val="auto"/>
          <w:szCs w:val="21"/>
          <w:highlight w:val="none"/>
          <w:lang w:val="en-US" w:eastAsia="zh-CN"/>
        </w:rPr>
        <w:t>招商银行嵊州支行；账  号：5759 0290 2110 606。</w:t>
      </w:r>
    </w:p>
    <w:p w14:paraId="51CA23D7">
      <w:pPr>
        <w:snapToGrid w:val="0"/>
        <w:spacing w:line="360" w:lineRule="auto"/>
        <w:ind w:firstLine="482"/>
        <w:rPr>
          <w:rFonts w:hint="eastAsia" w:ascii="宋体" w:hAnsi="宋体" w:eastAsia="宋体" w:cs="宋体"/>
          <w:b/>
          <w:bCs/>
          <w:color w:val="auto"/>
          <w:szCs w:val="21"/>
          <w:highlight w:val="none"/>
        </w:rPr>
      </w:pPr>
      <w:bookmarkStart w:id="37" w:name="_Toc19114"/>
      <w:bookmarkStart w:id="38" w:name="_Toc10056"/>
      <w:r>
        <w:rPr>
          <w:rFonts w:hint="eastAsia" w:ascii="宋体" w:hAnsi="宋体" w:eastAsia="宋体" w:cs="宋体"/>
          <w:b/>
          <w:bCs/>
          <w:color w:val="auto"/>
          <w:szCs w:val="21"/>
          <w:highlight w:val="none"/>
          <w:lang w:val="en-US" w:eastAsia="zh-CN"/>
        </w:rPr>
        <w:t>八</w:t>
      </w:r>
      <w:r>
        <w:rPr>
          <w:rFonts w:hint="eastAsia" w:ascii="宋体" w:hAnsi="宋体" w:eastAsia="宋体" w:cs="宋体"/>
          <w:b/>
          <w:bCs/>
          <w:color w:val="auto"/>
          <w:szCs w:val="21"/>
          <w:highlight w:val="none"/>
        </w:rPr>
        <w:t>、其他补充事宜</w:t>
      </w:r>
      <w:bookmarkEnd w:id="37"/>
      <w:bookmarkEnd w:id="38"/>
    </w:p>
    <w:p w14:paraId="71B128A2">
      <w:pPr>
        <w:snapToGrid w:val="0"/>
        <w:spacing w:line="360" w:lineRule="auto"/>
        <w:ind w:firstLine="420" w:firstLineChars="200"/>
        <w:jc w:val="left"/>
        <w:rPr>
          <w:rFonts w:hint="eastAsia" w:ascii="宋体" w:hAnsi="宋体" w:eastAsia="宋体" w:cs="宋体"/>
          <w:color w:val="auto"/>
          <w:kern w:val="1"/>
          <w:szCs w:val="21"/>
          <w:highlight w:val="none"/>
        </w:rPr>
      </w:pPr>
      <w:bookmarkStart w:id="39" w:name="_Toc514"/>
      <w:bookmarkStart w:id="40" w:name="_Toc29559"/>
      <w:r>
        <w:rPr>
          <w:rFonts w:hint="eastAsia" w:ascii="宋体" w:hAnsi="宋体" w:eastAsia="宋体" w:cs="宋体"/>
          <w:color w:val="auto"/>
          <w:kern w:val="1"/>
          <w:szCs w:val="21"/>
          <w:highlight w:val="none"/>
        </w:rPr>
        <w:t>1.本项目通过“乐采云平台（www.lecaiyun.com）”实行在线投标响应（电子投标），供应商应先安装“乐采云电子交易客户端”，并按照本招标文件和“乐采云”的要求，通过“乐采云电子交易客户端”编制并加密投标文件。供应商未按规定加密的投标文件，“乐采云平台（www.lecaiyun.com）”将予以拒收。</w:t>
      </w:r>
    </w:p>
    <w:p w14:paraId="69200367">
      <w:pPr>
        <w:snapToGrid w:val="0"/>
        <w:spacing w:line="360" w:lineRule="auto"/>
        <w:ind w:firstLine="420" w:firstLineChars="200"/>
        <w:jc w:val="left"/>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2.“乐采云电子交易客户端”请自行前往“浙江政府采购网-下载专区-电子交易客户端”进行下载；电子投标具体操作流程详见本公告附件《供应商项目采购-电子招投标操作指南》；通过“乐采云”参与在线投标时如遇平台技术问题详询95763。</w:t>
      </w:r>
    </w:p>
    <w:p w14:paraId="5DED95B4">
      <w:pPr>
        <w:snapToGrid w:val="0"/>
        <w:spacing w:line="360" w:lineRule="auto"/>
        <w:ind w:firstLine="420" w:firstLineChars="200"/>
        <w:jc w:val="left"/>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3.为确保网上操作合法、有效和安全，供应商应当在投标截止时间前完成在“乐采云平台”的身份认证，确保在电子投标过程中能够对相关数据电文进行加密和使用电子签章。使用“乐采云电子交易客户端”需要提前申领CA数字证书，申领流程请自行前往“浙江政府采购网-下载专区-电子交易客户端-CA驱动和申领流程”进行查阅；在使用乐采云投标客户端时，建议使用WIN7及以上操作系统。完成CA数字证书办理在资料齐全的情况下预计7个工作日左右，建议供应商获取招标文件后立即办理。</w:t>
      </w:r>
    </w:p>
    <w:p w14:paraId="30E2ADE0">
      <w:pPr>
        <w:snapToGrid w:val="0"/>
        <w:spacing w:line="360" w:lineRule="auto"/>
        <w:ind w:firstLine="420" w:firstLineChars="200"/>
        <w:jc w:val="left"/>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4.磋商响应方应当在投标截止时间前，将生成的“电子加密投标文件”上传至“乐采云平台”。投标截止时间以后上传递交的投标文件将被“乐采云平台”拒收。</w:t>
      </w:r>
    </w:p>
    <w:p w14:paraId="1B7481DD">
      <w:pPr>
        <w:snapToGrid w:val="0"/>
        <w:spacing w:line="360" w:lineRule="auto"/>
        <w:ind w:firstLine="420" w:firstLineChars="200"/>
        <w:jc w:val="left"/>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5.磋商响应方在“乐采云平台”完成“电子加密投标文件”的上传递交后，还可以（邮寄形式）在投标截止时间前递交以介质（U盘）存储的数据电文形式的“备份投标文件”，“备份投标文件”应当密封包装并在包装上标注投标项目名称、磋商响应方名称并加盖公章。</w:t>
      </w:r>
    </w:p>
    <w:p w14:paraId="0848CD21">
      <w:pPr>
        <w:snapToGrid w:val="0"/>
        <w:spacing w:line="360" w:lineRule="auto"/>
        <w:ind w:firstLine="420" w:firstLineChars="200"/>
        <w:jc w:val="left"/>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6.通过“乐采云平台”上传递交的“电子加密投标文件”无法按时解密，磋商响应方递交了备份投标文件的，以备份投标文件为依据，否则视为投标文件撤回。通过“乐采云平台”上传递交的“电子加密投标文件”已按时解密的，“备份投标文件”自动失效。磋商响应方仅递交备份投标文件的，投标无效。</w:t>
      </w:r>
    </w:p>
    <w:p w14:paraId="67965071">
      <w:pPr>
        <w:snapToGrid w:val="0"/>
        <w:spacing w:line="360" w:lineRule="auto"/>
        <w:ind w:firstLine="420" w:firstLineChars="200"/>
        <w:jc w:val="left"/>
        <w:rPr>
          <w:rFonts w:hint="eastAsia" w:ascii="宋体" w:hAnsi="宋体" w:eastAsia="宋体" w:cs="宋体"/>
          <w:b/>
          <w:bCs/>
          <w:color w:val="auto"/>
          <w:szCs w:val="21"/>
          <w:highlight w:val="none"/>
        </w:rPr>
      </w:pPr>
      <w:r>
        <w:rPr>
          <w:rFonts w:hint="eastAsia" w:ascii="宋体" w:hAnsi="宋体" w:eastAsia="宋体" w:cs="宋体"/>
          <w:color w:val="auto"/>
          <w:kern w:val="1"/>
          <w:szCs w:val="21"/>
          <w:highlight w:val="none"/>
        </w:rPr>
        <w:t>7.</w:t>
      </w:r>
      <w:r>
        <w:rPr>
          <w:rFonts w:hint="eastAsia" w:ascii="宋体" w:hAnsi="宋体" w:eastAsia="宋体" w:cs="宋体"/>
          <w:color w:val="auto"/>
          <w:kern w:val="1"/>
          <w:szCs w:val="21"/>
          <w:highlight w:val="none"/>
          <w:lang w:eastAsia="zh-CN"/>
        </w:rPr>
        <w:t>潜在供应商</w:t>
      </w:r>
      <w:r>
        <w:rPr>
          <w:rFonts w:hint="eastAsia" w:ascii="宋体" w:hAnsi="宋体" w:eastAsia="宋体" w:cs="宋体"/>
          <w:color w:val="auto"/>
          <w:kern w:val="1"/>
          <w:szCs w:val="21"/>
          <w:highlight w:val="none"/>
        </w:rPr>
        <w:t>依法获取采购文件后认为采购文件使自己的权益受到损害的，可以自收到采购文件之日（采购文件获取之日在采购文件公告期限届满之日后的以公告期限届满之日为准，即公告发布后的第6个工作日）起7个工作日内，以书面形式一次性向采购人和招标代理机构提出针对同一采购程序环节的质疑。质疑</w:t>
      </w:r>
      <w:r>
        <w:rPr>
          <w:rFonts w:hint="eastAsia" w:ascii="宋体" w:hAnsi="宋体" w:eastAsia="宋体" w:cs="宋体"/>
          <w:color w:val="auto"/>
          <w:kern w:val="1"/>
          <w:szCs w:val="21"/>
          <w:highlight w:val="none"/>
          <w:lang w:eastAsia="zh-CN"/>
        </w:rPr>
        <w:t>潜在供应商</w:t>
      </w:r>
      <w:r>
        <w:rPr>
          <w:rFonts w:hint="eastAsia" w:ascii="宋体" w:hAnsi="宋体" w:eastAsia="宋体" w:cs="宋体"/>
          <w:color w:val="auto"/>
          <w:kern w:val="1"/>
          <w:szCs w:val="21"/>
          <w:highlight w:val="none"/>
        </w:rPr>
        <w:t>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r>
        <w:rPr>
          <w:rFonts w:hint="eastAsia" w:ascii="宋体" w:hAnsi="宋体" w:eastAsia="宋体" w:cs="宋体"/>
          <w:color w:val="auto"/>
          <w:szCs w:val="21"/>
          <w:highlight w:val="none"/>
        </w:rPr>
        <w:t>。</w:t>
      </w:r>
    </w:p>
    <w:p w14:paraId="036D24FA">
      <w:pPr>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九</w:t>
      </w:r>
      <w:r>
        <w:rPr>
          <w:rFonts w:hint="eastAsia" w:ascii="宋体" w:hAnsi="宋体" w:eastAsia="宋体" w:cs="宋体"/>
          <w:b/>
          <w:bCs/>
          <w:color w:val="auto"/>
          <w:szCs w:val="21"/>
          <w:highlight w:val="none"/>
        </w:rPr>
        <w:t>、</w:t>
      </w:r>
      <w:bookmarkEnd w:id="39"/>
      <w:bookmarkEnd w:id="40"/>
      <w:r>
        <w:rPr>
          <w:rFonts w:hint="eastAsia" w:ascii="宋体" w:hAnsi="宋体" w:eastAsia="宋体" w:cs="宋体"/>
          <w:b/>
          <w:bCs/>
          <w:color w:val="auto"/>
          <w:szCs w:val="21"/>
          <w:highlight w:val="none"/>
        </w:rPr>
        <w:t>对本次采购提出询问、质疑、投诉，请按以下方式联系</w:t>
      </w:r>
    </w:p>
    <w:p w14:paraId="6A8508D1">
      <w:pPr>
        <w:keepNext w:val="0"/>
        <w:keepLines w:val="0"/>
        <w:pageBreakBefore w:val="0"/>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b/>
          <w:color w:val="auto"/>
          <w:kern w:val="1"/>
          <w:sz w:val="21"/>
          <w:szCs w:val="21"/>
          <w:highlight w:val="none"/>
          <w:lang w:val="en-US" w:eastAsia="zh-CN"/>
        </w:rPr>
      </w:pPr>
      <w:r>
        <w:rPr>
          <w:rFonts w:hint="eastAsia" w:ascii="宋体" w:hAnsi="宋体" w:eastAsia="宋体" w:cs="宋体"/>
          <w:b/>
          <w:color w:val="auto"/>
          <w:kern w:val="1"/>
          <w:sz w:val="21"/>
          <w:szCs w:val="21"/>
          <w:highlight w:val="none"/>
          <w:lang w:val="en-US" w:eastAsia="zh-CN"/>
        </w:rPr>
        <w:t>1、采购单位信息</w:t>
      </w:r>
    </w:p>
    <w:p w14:paraId="1595CC0A">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名 称：</w:t>
      </w:r>
      <w:r>
        <w:rPr>
          <w:rFonts w:hint="eastAsia" w:ascii="宋体" w:hAnsi="宋体" w:cs="宋体"/>
          <w:color w:val="auto"/>
          <w:kern w:val="1"/>
          <w:sz w:val="21"/>
          <w:szCs w:val="21"/>
          <w:highlight w:val="none"/>
          <w:lang w:val="en-US" w:eastAsia="zh-CN"/>
        </w:rPr>
        <w:t>嵊州小吃产业有限公司</w:t>
      </w:r>
    </w:p>
    <w:p w14:paraId="52DCA032">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地址：</w:t>
      </w:r>
      <w:r>
        <w:rPr>
          <w:rFonts w:hint="eastAsia" w:ascii="宋体" w:hAnsi="宋体" w:cs="宋体"/>
          <w:color w:val="auto"/>
          <w:kern w:val="1"/>
          <w:sz w:val="21"/>
          <w:szCs w:val="21"/>
          <w:highlight w:val="none"/>
          <w:lang w:val="en-US" w:eastAsia="zh-CN"/>
        </w:rPr>
        <w:t>嵊州市三江街道官河南路699号三楼</w:t>
      </w:r>
      <w:r>
        <w:rPr>
          <w:rFonts w:hint="eastAsia" w:ascii="宋体" w:hAnsi="宋体" w:eastAsia="宋体" w:cs="宋体"/>
          <w:color w:val="auto"/>
          <w:kern w:val="1"/>
          <w:sz w:val="21"/>
          <w:szCs w:val="21"/>
          <w:highlight w:val="none"/>
          <w:lang w:val="en-US" w:eastAsia="zh-CN"/>
        </w:rPr>
        <w:t xml:space="preserve">  </w:t>
      </w:r>
    </w:p>
    <w:p w14:paraId="5E5E01BB">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 xml:space="preserve">联 系 人：曹主任   </w:t>
      </w:r>
    </w:p>
    <w:p w14:paraId="2EF2B501">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联系电话：0575-83118028</w:t>
      </w:r>
    </w:p>
    <w:p w14:paraId="726D446E">
      <w:pPr>
        <w:keepNext w:val="0"/>
        <w:keepLines w:val="0"/>
        <w:pageBreakBefore w:val="0"/>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b/>
          <w:color w:val="auto"/>
          <w:kern w:val="1"/>
          <w:sz w:val="21"/>
          <w:szCs w:val="21"/>
          <w:highlight w:val="none"/>
          <w:lang w:val="en-US" w:eastAsia="zh-CN"/>
        </w:rPr>
      </w:pPr>
      <w:r>
        <w:rPr>
          <w:rFonts w:hint="eastAsia" w:ascii="宋体" w:hAnsi="宋体" w:eastAsia="宋体" w:cs="宋体"/>
          <w:b/>
          <w:color w:val="auto"/>
          <w:kern w:val="1"/>
          <w:sz w:val="21"/>
          <w:szCs w:val="21"/>
          <w:highlight w:val="none"/>
          <w:lang w:val="en-US" w:eastAsia="zh-CN"/>
        </w:rPr>
        <w:t>2、采购代理机构信息：</w:t>
      </w:r>
    </w:p>
    <w:p w14:paraId="7882B205">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 xml:space="preserve">招标代理：禾泽都林设计集团有限公司                </w:t>
      </w:r>
    </w:p>
    <w:p w14:paraId="5F272CA4">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 xml:space="preserve">地址：嵊州市剡湖街道龙会一路14号     </w:t>
      </w:r>
    </w:p>
    <w:p w14:paraId="52678D87">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 xml:space="preserve">联 系 人：钱巧林   </w:t>
      </w:r>
    </w:p>
    <w:p w14:paraId="01C9DC34">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 xml:space="preserve">联系电话：18758559400    </w:t>
      </w:r>
    </w:p>
    <w:p w14:paraId="3499DD2C">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 xml:space="preserve">质疑联系人：曾主任 </w:t>
      </w:r>
    </w:p>
    <w:p w14:paraId="2D04F636">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联系电话：0575-83031200</w:t>
      </w:r>
    </w:p>
    <w:p w14:paraId="2E88C918">
      <w:pPr>
        <w:adjustRightInd w:val="0"/>
        <w:snapToGrid w:val="0"/>
        <w:spacing w:line="360" w:lineRule="auto"/>
        <w:ind w:firstLine="48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若对项目采购电子交易系统操作有疑问，可登录乐采云（https://www.lecaiyun.com/），点击右侧咨询小采，获取采小蜜智能服务管家帮助，或拨打乐采云服务热线95763获取热线服务帮助。</w:t>
      </w:r>
    </w:p>
    <w:p w14:paraId="32F42C92">
      <w:pPr>
        <w:widowControl/>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kern w:val="1"/>
          <w:szCs w:val="21"/>
          <w:highlight w:val="none"/>
        </w:rPr>
        <w:t>CA问题联系电话（人工）：汇信CA 400-888-4636；天谷CA 400-087-8198。</w:t>
      </w:r>
    </w:p>
    <w:p w14:paraId="2F6AE30F">
      <w:pPr>
        <w:widowControl/>
        <w:spacing w:line="360" w:lineRule="auto"/>
        <w:jc w:val="center"/>
        <w:rPr>
          <w:rFonts w:hint="eastAsia" w:ascii="宋体" w:hAnsi="宋体" w:eastAsia="宋体" w:cs="宋体"/>
          <w:b/>
          <w:color w:val="auto"/>
          <w:sz w:val="28"/>
          <w:szCs w:val="28"/>
          <w:highlight w:val="none"/>
        </w:rPr>
      </w:pPr>
      <w:bookmarkStart w:id="41" w:name="_Toc27907"/>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第二章  响应方须知</w:t>
      </w:r>
      <w:bookmarkEnd w:id="12"/>
      <w:bookmarkEnd w:id="41"/>
    </w:p>
    <w:p w14:paraId="5CEBF979">
      <w:pPr>
        <w:snapToGrid w:val="0"/>
        <w:spacing w:line="360" w:lineRule="auto"/>
        <w:ind w:firstLine="211" w:firstLineChars="100"/>
        <w:jc w:val="center"/>
        <w:outlineLvl w:val="1"/>
        <w:rPr>
          <w:rFonts w:hint="eastAsia" w:ascii="宋体" w:hAnsi="宋体" w:eastAsia="宋体" w:cs="宋体"/>
          <w:b/>
          <w:color w:val="auto"/>
          <w:szCs w:val="21"/>
          <w:highlight w:val="none"/>
        </w:rPr>
      </w:pPr>
      <w:bookmarkStart w:id="42" w:name="_Toc21556"/>
      <w:r>
        <w:rPr>
          <w:rFonts w:hint="eastAsia" w:ascii="宋体" w:hAnsi="宋体" w:eastAsia="宋体" w:cs="宋体"/>
          <w:b/>
          <w:color w:val="auto"/>
          <w:szCs w:val="21"/>
          <w:highlight w:val="none"/>
        </w:rPr>
        <w:t>前附表</w:t>
      </w:r>
      <w:bookmarkEnd w:id="42"/>
    </w:p>
    <w:tbl>
      <w:tblPr>
        <w:tblStyle w:val="17"/>
        <w:tblW w:w="9734" w:type="dxa"/>
        <w:tblInd w:w="-14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1"/>
        <w:gridCol w:w="1672"/>
        <w:gridCol w:w="7331"/>
      </w:tblGrid>
      <w:tr w14:paraId="641532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1" w:type="dxa"/>
            <w:tcBorders>
              <w:top w:val="single" w:color="000000" w:sz="4" w:space="0"/>
              <w:bottom w:val="single" w:color="000000" w:sz="4" w:space="0"/>
              <w:right w:val="single" w:color="auto" w:sz="4" w:space="0"/>
            </w:tcBorders>
            <w:noWrap w:val="0"/>
            <w:vAlign w:val="center"/>
          </w:tcPr>
          <w:p w14:paraId="21A982F4">
            <w:pPr>
              <w:tabs>
                <w:tab w:val="left" w:pos="3780"/>
              </w:tabs>
              <w:spacing w:line="44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1672" w:type="dxa"/>
            <w:tcBorders>
              <w:top w:val="single" w:color="000000" w:sz="4" w:space="0"/>
              <w:left w:val="single" w:color="auto" w:sz="4" w:space="0"/>
              <w:bottom w:val="single" w:color="000000" w:sz="4" w:space="0"/>
            </w:tcBorders>
            <w:noWrap w:val="0"/>
            <w:vAlign w:val="center"/>
          </w:tcPr>
          <w:p w14:paraId="37F0D307">
            <w:pPr>
              <w:tabs>
                <w:tab w:val="left" w:pos="3780"/>
              </w:tabs>
              <w:spacing w:line="44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名目</w:t>
            </w:r>
          </w:p>
        </w:tc>
        <w:tc>
          <w:tcPr>
            <w:tcW w:w="7331" w:type="dxa"/>
            <w:tcBorders>
              <w:top w:val="single" w:color="000000" w:sz="4" w:space="0"/>
              <w:left w:val="single" w:color="auto" w:sz="4" w:space="0"/>
              <w:bottom w:val="single" w:color="000000" w:sz="4" w:space="0"/>
            </w:tcBorders>
            <w:noWrap w:val="0"/>
            <w:vAlign w:val="center"/>
          </w:tcPr>
          <w:p w14:paraId="6C9E4C8B">
            <w:pPr>
              <w:tabs>
                <w:tab w:val="left" w:pos="3780"/>
              </w:tabs>
              <w:spacing w:line="44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内容规定</w:t>
            </w:r>
          </w:p>
        </w:tc>
      </w:tr>
      <w:tr w14:paraId="58D264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trPr>
        <w:tc>
          <w:tcPr>
            <w:tcW w:w="731" w:type="dxa"/>
            <w:tcBorders>
              <w:top w:val="single" w:color="000000" w:sz="4" w:space="0"/>
              <w:right w:val="single" w:color="auto" w:sz="4" w:space="0"/>
            </w:tcBorders>
            <w:noWrap w:val="0"/>
            <w:vAlign w:val="center"/>
          </w:tcPr>
          <w:p w14:paraId="5F25662E">
            <w:pPr>
              <w:tabs>
                <w:tab w:val="left" w:pos="3780"/>
              </w:tabs>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672" w:type="dxa"/>
            <w:tcBorders>
              <w:top w:val="single" w:color="000000" w:sz="4" w:space="0"/>
              <w:left w:val="single" w:color="auto" w:sz="4" w:space="0"/>
              <w:bottom w:val="single" w:color="000000" w:sz="4" w:space="0"/>
            </w:tcBorders>
            <w:noWrap w:val="0"/>
            <w:vAlign w:val="center"/>
          </w:tcPr>
          <w:p w14:paraId="3473DDC2">
            <w:pPr>
              <w:tabs>
                <w:tab w:val="left" w:pos="3780"/>
              </w:tabs>
              <w:spacing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项目名称</w:t>
            </w:r>
          </w:p>
        </w:tc>
        <w:tc>
          <w:tcPr>
            <w:tcW w:w="7331" w:type="dxa"/>
            <w:tcBorders>
              <w:top w:val="single" w:color="000000" w:sz="4" w:space="0"/>
              <w:left w:val="single" w:color="auto" w:sz="4" w:space="0"/>
              <w:bottom w:val="single" w:color="000000" w:sz="4" w:space="0"/>
            </w:tcBorders>
            <w:noWrap w:val="0"/>
            <w:vAlign w:val="top"/>
          </w:tcPr>
          <w:p w14:paraId="17A91B02">
            <w:pPr>
              <w:tabs>
                <w:tab w:val="left" w:pos="3780"/>
              </w:tabs>
              <w:spacing w:line="44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航空"嵊州小笼包"主题冠名宣传推广项目</w:t>
            </w:r>
          </w:p>
        </w:tc>
      </w:tr>
      <w:tr w14:paraId="553D2B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31" w:type="dxa"/>
            <w:tcBorders>
              <w:top w:val="single" w:color="000000" w:sz="4" w:space="0"/>
              <w:bottom w:val="single" w:color="auto" w:sz="4" w:space="0"/>
              <w:right w:val="single" w:color="000000" w:sz="4" w:space="0"/>
            </w:tcBorders>
            <w:noWrap w:val="0"/>
            <w:vAlign w:val="center"/>
          </w:tcPr>
          <w:p w14:paraId="6A8C03BA">
            <w:pPr>
              <w:tabs>
                <w:tab w:val="left" w:pos="3780"/>
              </w:tabs>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672" w:type="dxa"/>
            <w:tcBorders>
              <w:top w:val="single" w:color="000000" w:sz="4" w:space="0"/>
              <w:left w:val="single" w:color="000000" w:sz="4" w:space="0"/>
              <w:bottom w:val="single" w:color="auto" w:sz="4" w:space="0"/>
              <w:right w:val="single" w:color="auto" w:sz="4" w:space="0"/>
            </w:tcBorders>
            <w:noWrap w:val="0"/>
            <w:vAlign w:val="center"/>
          </w:tcPr>
          <w:p w14:paraId="04BB1D3C">
            <w:pPr>
              <w:tabs>
                <w:tab w:val="left" w:pos="3780"/>
              </w:tabs>
              <w:spacing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采购人</w:t>
            </w:r>
          </w:p>
        </w:tc>
        <w:tc>
          <w:tcPr>
            <w:tcW w:w="7331" w:type="dxa"/>
            <w:tcBorders>
              <w:top w:val="single" w:color="000000" w:sz="4" w:space="0"/>
              <w:left w:val="single" w:color="auto" w:sz="4" w:space="0"/>
              <w:bottom w:val="single" w:color="auto" w:sz="4" w:space="0"/>
              <w:right w:val="single" w:color="000000" w:sz="4" w:space="0"/>
            </w:tcBorders>
            <w:noWrap w:val="0"/>
            <w:vAlign w:val="center"/>
          </w:tcPr>
          <w:p w14:paraId="1CE1821E">
            <w:pPr>
              <w:autoSpaceDE w:val="0"/>
              <w:autoSpaceDN w:val="0"/>
              <w:spacing w:line="440" w:lineRule="exact"/>
              <w:jc w:val="left"/>
              <w:textAlignment w:val="bottom"/>
              <w:rPr>
                <w:rFonts w:hint="eastAsia" w:ascii="宋体" w:hAnsi="宋体" w:eastAsia="宋体" w:cs="宋体"/>
                <w:color w:val="auto"/>
                <w:szCs w:val="21"/>
                <w:highlight w:val="none"/>
              </w:rPr>
            </w:pPr>
            <w:r>
              <w:rPr>
                <w:rFonts w:hint="eastAsia" w:ascii="宋体" w:hAnsi="宋体" w:cs="宋体"/>
                <w:color w:val="auto"/>
                <w:kern w:val="1"/>
                <w:sz w:val="21"/>
                <w:szCs w:val="21"/>
                <w:highlight w:val="none"/>
                <w:lang w:val="en-US" w:eastAsia="zh-CN"/>
              </w:rPr>
              <w:t>嵊州小吃产业有限公司</w:t>
            </w:r>
          </w:p>
        </w:tc>
      </w:tr>
      <w:tr w14:paraId="64C888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1" w:type="dxa"/>
            <w:tcBorders>
              <w:top w:val="single" w:color="000000" w:sz="4" w:space="0"/>
              <w:bottom w:val="single" w:color="auto" w:sz="4" w:space="0"/>
              <w:right w:val="single" w:color="000000" w:sz="4" w:space="0"/>
            </w:tcBorders>
            <w:noWrap w:val="0"/>
            <w:vAlign w:val="center"/>
          </w:tcPr>
          <w:p w14:paraId="145778F3">
            <w:pPr>
              <w:tabs>
                <w:tab w:val="left" w:pos="3780"/>
              </w:tabs>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672" w:type="dxa"/>
            <w:tcBorders>
              <w:top w:val="single" w:color="000000" w:sz="4" w:space="0"/>
              <w:left w:val="single" w:color="000000" w:sz="4" w:space="0"/>
              <w:bottom w:val="single" w:color="auto" w:sz="4" w:space="0"/>
              <w:right w:val="single" w:color="auto" w:sz="4" w:space="0"/>
            </w:tcBorders>
            <w:noWrap w:val="0"/>
            <w:vAlign w:val="center"/>
          </w:tcPr>
          <w:p w14:paraId="0A286CB6">
            <w:pPr>
              <w:tabs>
                <w:tab w:val="left" w:pos="3780"/>
              </w:tabs>
              <w:spacing w:line="44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Cs w:val="21"/>
                <w:highlight w:val="none"/>
              </w:rPr>
              <w:t>代理机构</w:t>
            </w:r>
          </w:p>
        </w:tc>
        <w:tc>
          <w:tcPr>
            <w:tcW w:w="7331" w:type="dxa"/>
            <w:tcBorders>
              <w:top w:val="single" w:color="000000" w:sz="4" w:space="0"/>
              <w:left w:val="single" w:color="auto" w:sz="4" w:space="0"/>
              <w:bottom w:val="single" w:color="auto" w:sz="4" w:space="0"/>
              <w:right w:val="single" w:color="000000" w:sz="4" w:space="0"/>
            </w:tcBorders>
            <w:noWrap w:val="0"/>
            <w:vAlign w:val="center"/>
          </w:tcPr>
          <w:p w14:paraId="0889A8F3">
            <w:pPr>
              <w:autoSpaceDE w:val="0"/>
              <w:autoSpaceDN w:val="0"/>
              <w:spacing w:line="440" w:lineRule="exact"/>
              <w:jc w:val="left"/>
              <w:textAlignment w:val="bottom"/>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eastAsia="zh-CN"/>
              </w:rPr>
              <w:t>禾泽都林设计集团有限公司</w:t>
            </w:r>
          </w:p>
        </w:tc>
      </w:tr>
      <w:tr w14:paraId="7A231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1" w:type="dxa"/>
            <w:tcBorders>
              <w:top w:val="single" w:color="000000" w:sz="4" w:space="0"/>
              <w:bottom w:val="single" w:color="auto" w:sz="4" w:space="0"/>
              <w:right w:val="single" w:color="000000" w:sz="4" w:space="0"/>
            </w:tcBorders>
            <w:noWrap w:val="0"/>
            <w:vAlign w:val="center"/>
          </w:tcPr>
          <w:p w14:paraId="04D7133A">
            <w:pPr>
              <w:tabs>
                <w:tab w:val="left" w:pos="3780"/>
              </w:tabs>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672" w:type="dxa"/>
            <w:tcBorders>
              <w:top w:val="single" w:color="000000" w:sz="4" w:space="0"/>
              <w:left w:val="single" w:color="000000" w:sz="4" w:space="0"/>
              <w:bottom w:val="single" w:color="auto" w:sz="4" w:space="0"/>
              <w:right w:val="single" w:color="auto" w:sz="4" w:space="0"/>
            </w:tcBorders>
            <w:noWrap w:val="0"/>
            <w:vAlign w:val="center"/>
          </w:tcPr>
          <w:p w14:paraId="14E76524">
            <w:pPr>
              <w:tabs>
                <w:tab w:val="left" w:pos="3780"/>
              </w:tabs>
              <w:spacing w:line="44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Cs w:val="21"/>
                <w:highlight w:val="none"/>
              </w:rPr>
              <w:t>磋商报价</w:t>
            </w:r>
          </w:p>
        </w:tc>
        <w:tc>
          <w:tcPr>
            <w:tcW w:w="7331" w:type="dxa"/>
            <w:tcBorders>
              <w:top w:val="single" w:color="000000" w:sz="4" w:space="0"/>
              <w:left w:val="single" w:color="auto" w:sz="4" w:space="0"/>
              <w:bottom w:val="single" w:color="auto" w:sz="4" w:space="0"/>
              <w:right w:val="single" w:color="000000" w:sz="4" w:space="0"/>
            </w:tcBorders>
            <w:noWrap w:val="0"/>
            <w:vAlign w:val="center"/>
          </w:tcPr>
          <w:p w14:paraId="755B07C5">
            <w:pPr>
              <w:snapToGrid w:val="0"/>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1.本项目磋商应以人民币报价；</w:t>
            </w:r>
          </w:p>
          <w:p w14:paraId="78177E8D">
            <w:pPr>
              <w:snapToGrid w:val="0"/>
              <w:spacing w:line="440" w:lineRule="exac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Cs w:val="21"/>
                <w:highlight w:val="none"/>
              </w:rPr>
              <w:t>2.不论投标结果如何，磋商响应方均应自行承担所有与投标有关的全部费用。</w:t>
            </w:r>
          </w:p>
        </w:tc>
      </w:tr>
      <w:tr w14:paraId="649368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1" w:type="dxa"/>
            <w:tcBorders>
              <w:top w:val="single" w:color="000000" w:sz="4" w:space="0"/>
              <w:bottom w:val="single" w:color="auto" w:sz="4" w:space="0"/>
              <w:right w:val="single" w:color="000000" w:sz="4" w:space="0"/>
            </w:tcBorders>
            <w:noWrap w:val="0"/>
            <w:vAlign w:val="center"/>
          </w:tcPr>
          <w:p w14:paraId="4746F529">
            <w:pPr>
              <w:tabs>
                <w:tab w:val="left" w:pos="3780"/>
              </w:tabs>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672" w:type="dxa"/>
            <w:tcBorders>
              <w:top w:val="single" w:color="000000" w:sz="4" w:space="0"/>
              <w:left w:val="single" w:color="000000" w:sz="4" w:space="0"/>
              <w:bottom w:val="single" w:color="auto" w:sz="4" w:space="0"/>
              <w:right w:val="single" w:color="auto" w:sz="4" w:space="0"/>
            </w:tcBorders>
            <w:noWrap w:val="0"/>
            <w:vAlign w:val="center"/>
          </w:tcPr>
          <w:p w14:paraId="5F04C648">
            <w:pPr>
              <w:tabs>
                <w:tab w:val="left" w:pos="3780"/>
              </w:tabs>
              <w:spacing w:line="440" w:lineRule="exact"/>
              <w:jc w:val="center"/>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信用记录</w:t>
            </w:r>
          </w:p>
        </w:tc>
        <w:tc>
          <w:tcPr>
            <w:tcW w:w="7331" w:type="dxa"/>
            <w:tcBorders>
              <w:top w:val="single" w:color="000000" w:sz="4" w:space="0"/>
              <w:left w:val="single" w:color="auto" w:sz="4" w:space="0"/>
              <w:bottom w:val="single" w:color="auto" w:sz="4" w:space="0"/>
              <w:right w:val="single" w:color="000000" w:sz="4" w:space="0"/>
            </w:tcBorders>
            <w:noWrap w:val="0"/>
            <w:vAlign w:val="center"/>
          </w:tcPr>
          <w:p w14:paraId="6D41D7FB">
            <w:pPr>
              <w:tabs>
                <w:tab w:val="left" w:pos="3780"/>
              </w:tabs>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根据财库[2016]125号文件，通过“信用中国”网站（www.creditchina.gov.cn）、中国政府采购网（www.ccgp.gov.cn），以磋商当日网页查询记录为准。对列入失信被执行人、重大税收违法案件当事人名单、政府采购严重违法失信行为记录名单的供应商，</w:t>
            </w:r>
            <w:r>
              <w:rPr>
                <w:rFonts w:hint="eastAsia" w:ascii="宋体" w:hAnsi="宋体" w:eastAsia="宋体" w:cs="宋体"/>
                <w:b/>
                <w:color w:val="auto"/>
                <w:szCs w:val="21"/>
                <w:highlight w:val="none"/>
              </w:rPr>
              <w:t>其响应将作无效标处理</w:t>
            </w:r>
            <w:r>
              <w:rPr>
                <w:rFonts w:hint="eastAsia" w:ascii="宋体" w:hAnsi="宋体" w:eastAsia="宋体" w:cs="宋体"/>
                <w:color w:val="auto"/>
                <w:szCs w:val="21"/>
                <w:highlight w:val="none"/>
              </w:rPr>
              <w:t>。</w:t>
            </w:r>
          </w:p>
        </w:tc>
      </w:tr>
      <w:tr w14:paraId="508BD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1" w:type="dxa"/>
            <w:tcBorders>
              <w:top w:val="single" w:color="000000" w:sz="4" w:space="0"/>
              <w:bottom w:val="single" w:color="000000" w:sz="4" w:space="0"/>
              <w:right w:val="single" w:color="000000" w:sz="4" w:space="0"/>
            </w:tcBorders>
            <w:noWrap w:val="0"/>
            <w:vAlign w:val="center"/>
          </w:tcPr>
          <w:p w14:paraId="760F5F12">
            <w:pPr>
              <w:tabs>
                <w:tab w:val="left" w:pos="3780"/>
              </w:tabs>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6</w:t>
            </w:r>
          </w:p>
        </w:tc>
        <w:tc>
          <w:tcPr>
            <w:tcW w:w="1672" w:type="dxa"/>
            <w:tcBorders>
              <w:top w:val="single" w:color="000000" w:sz="4" w:space="0"/>
              <w:left w:val="single" w:color="000000" w:sz="4" w:space="0"/>
              <w:bottom w:val="single" w:color="auto" w:sz="4" w:space="0"/>
              <w:right w:val="single" w:color="auto" w:sz="4" w:space="0"/>
            </w:tcBorders>
            <w:noWrap w:val="0"/>
            <w:vAlign w:val="center"/>
          </w:tcPr>
          <w:p w14:paraId="5AFD2C7F">
            <w:pPr>
              <w:tabs>
                <w:tab w:val="left" w:pos="3780"/>
              </w:tabs>
              <w:spacing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投标保证金</w:t>
            </w:r>
          </w:p>
        </w:tc>
        <w:tc>
          <w:tcPr>
            <w:tcW w:w="7331" w:type="dxa"/>
            <w:tcBorders>
              <w:top w:val="single" w:color="000000" w:sz="4" w:space="0"/>
              <w:left w:val="single" w:color="auto" w:sz="4" w:space="0"/>
              <w:bottom w:val="single" w:color="auto" w:sz="4" w:space="0"/>
              <w:right w:val="single" w:color="000000" w:sz="4" w:space="0"/>
            </w:tcBorders>
            <w:noWrap w:val="0"/>
            <w:vAlign w:val="center"/>
          </w:tcPr>
          <w:p w14:paraId="582CB1C0">
            <w:pPr>
              <w:tabs>
                <w:tab w:val="left" w:pos="3780"/>
              </w:tabs>
              <w:spacing w:line="44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投标保证金：人民币</w:t>
            </w:r>
            <w:r>
              <w:rPr>
                <w:rFonts w:hint="eastAsia" w:ascii="宋体" w:hAnsi="宋体" w:eastAsia="宋体" w:cs="宋体"/>
                <w:color w:val="auto"/>
                <w:szCs w:val="21"/>
                <w:highlight w:val="none"/>
                <w:lang w:val="en-US" w:eastAsia="zh-CN"/>
              </w:rPr>
              <w:t>50000.00</w:t>
            </w:r>
            <w:r>
              <w:rPr>
                <w:rFonts w:hint="eastAsia" w:ascii="宋体" w:hAnsi="宋体" w:eastAsia="宋体" w:cs="宋体"/>
                <w:color w:val="auto"/>
                <w:szCs w:val="21"/>
                <w:highlight w:val="none"/>
                <w:lang w:eastAsia="zh-CN"/>
              </w:rPr>
              <w:t>元。</w:t>
            </w:r>
          </w:p>
          <w:p w14:paraId="2A7C673C">
            <w:pPr>
              <w:tabs>
                <w:tab w:val="left" w:pos="3780"/>
              </w:tabs>
              <w:spacing w:line="4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投标人应于202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03</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23</w:t>
            </w:r>
            <w:r>
              <w:rPr>
                <w:rFonts w:hint="eastAsia" w:ascii="宋体" w:hAnsi="宋体" w:eastAsia="宋体" w:cs="宋体"/>
                <w:color w:val="auto"/>
                <w:szCs w:val="21"/>
                <w:highlight w:val="none"/>
                <w:lang w:eastAsia="zh-CN"/>
              </w:rPr>
              <w:t>日16：00时前将投标保证金以电汇、转账、网上银行</w:t>
            </w:r>
            <w:r>
              <w:rPr>
                <w:rFonts w:hint="eastAsia" w:ascii="宋体" w:hAnsi="宋体" w:eastAsia="宋体" w:cs="宋体"/>
                <w:color w:val="auto"/>
                <w:szCs w:val="21"/>
                <w:highlight w:val="none"/>
                <w:lang w:val="en-US" w:eastAsia="zh-CN"/>
              </w:rPr>
              <w:t>交</w:t>
            </w:r>
            <w:r>
              <w:rPr>
                <w:rFonts w:hint="eastAsia" w:ascii="宋体" w:hAnsi="宋体" w:eastAsia="宋体" w:cs="宋体"/>
                <w:color w:val="auto"/>
                <w:szCs w:val="21"/>
                <w:highlight w:val="none"/>
                <w:lang w:eastAsia="zh-CN"/>
              </w:rPr>
              <w:t>至</w:t>
            </w:r>
            <w:r>
              <w:rPr>
                <w:rFonts w:hint="eastAsia" w:ascii="宋体" w:hAnsi="宋体" w:eastAsia="宋体" w:cs="宋体"/>
                <w:color w:val="auto"/>
                <w:szCs w:val="21"/>
                <w:highlight w:val="none"/>
                <w:lang w:val="en-US" w:eastAsia="zh-CN"/>
              </w:rPr>
              <w:t>禾泽都林设计集团有限公司</w:t>
            </w:r>
            <w:r>
              <w:rPr>
                <w:rFonts w:hint="eastAsia" w:ascii="宋体" w:hAnsi="宋体" w:eastAsia="宋体" w:cs="宋体"/>
                <w:color w:val="auto"/>
                <w:szCs w:val="21"/>
                <w:highlight w:val="none"/>
                <w:lang w:eastAsia="zh-CN"/>
              </w:rPr>
              <w:t>，投标保证金以到账时间为准。如因投标人自身原因，造成投标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eastAsia="zh-CN"/>
              </w:rPr>
              <w:t>保证金未及时到账的，一律视为不响应</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lang w:eastAsia="zh-CN"/>
              </w:rPr>
              <w:t>文件，投标</w:t>
            </w:r>
            <w:r>
              <w:rPr>
                <w:rFonts w:hint="eastAsia" w:ascii="宋体" w:hAnsi="宋体" w:eastAsia="宋体" w:cs="宋体"/>
                <w:color w:val="auto"/>
                <w:szCs w:val="21"/>
                <w:highlight w:val="none"/>
                <w:lang w:val="en-US" w:eastAsia="zh-CN"/>
              </w:rPr>
              <w:t>无效</w:t>
            </w:r>
            <w:r>
              <w:rPr>
                <w:rFonts w:hint="eastAsia" w:ascii="宋体" w:hAnsi="宋体" w:eastAsia="宋体" w:cs="宋体"/>
                <w:color w:val="auto"/>
                <w:szCs w:val="21"/>
                <w:highlight w:val="none"/>
                <w:lang w:eastAsia="zh-CN"/>
              </w:rPr>
              <w:t>。投标人的投标保证金必须从其基本账户转出。</w:t>
            </w:r>
            <w:r>
              <w:rPr>
                <w:rFonts w:hint="eastAsia" w:ascii="宋体" w:hAnsi="宋体" w:eastAsia="宋体" w:cs="宋体"/>
                <w:color w:val="auto"/>
                <w:szCs w:val="21"/>
                <w:highlight w:val="none"/>
                <w:lang w:val="en-US" w:eastAsia="zh-CN"/>
              </w:rPr>
              <w:t>联合体投标的，从牵头人</w:t>
            </w:r>
            <w:r>
              <w:rPr>
                <w:rFonts w:hint="eastAsia" w:ascii="宋体" w:hAnsi="宋体" w:eastAsia="宋体" w:cs="宋体"/>
                <w:color w:val="auto"/>
                <w:szCs w:val="21"/>
                <w:highlight w:val="none"/>
                <w:lang w:eastAsia="zh-CN"/>
              </w:rPr>
              <w:t>基本账户转出。</w:t>
            </w:r>
          </w:p>
          <w:p w14:paraId="15A81DE3">
            <w:pPr>
              <w:tabs>
                <w:tab w:val="left" w:pos="3780"/>
              </w:tabs>
              <w:spacing w:line="4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开户名称：禾泽都林设计集团有限公司</w:t>
            </w:r>
            <w:r>
              <w:rPr>
                <w:rFonts w:hint="eastAsia" w:ascii="宋体" w:hAnsi="宋体" w:eastAsia="宋体" w:cs="宋体"/>
                <w:color w:val="auto"/>
                <w:szCs w:val="21"/>
                <w:highlight w:val="none"/>
                <w:lang w:val="en-US" w:eastAsia="zh-CN"/>
              </w:rPr>
              <w:t>；</w:t>
            </w:r>
          </w:p>
          <w:p w14:paraId="623D804F">
            <w:pPr>
              <w:tabs>
                <w:tab w:val="left" w:pos="3780"/>
              </w:tabs>
              <w:spacing w:line="440" w:lineRule="exact"/>
              <w:rPr>
                <w:rFonts w:hint="eastAsia" w:ascii="宋体" w:hAnsi="宋体" w:eastAsia="宋体" w:cs="宋体"/>
                <w:bCs/>
                <w:color w:val="auto"/>
                <w:szCs w:val="21"/>
                <w:highlight w:val="none"/>
              </w:rPr>
            </w:pPr>
            <w:r>
              <w:rPr>
                <w:rFonts w:hint="eastAsia" w:ascii="宋体" w:hAnsi="宋体" w:eastAsia="宋体" w:cs="宋体"/>
                <w:color w:val="auto"/>
                <w:szCs w:val="21"/>
                <w:highlight w:val="none"/>
                <w:lang w:eastAsia="zh-CN"/>
              </w:rPr>
              <w:t>开户银行：</w:t>
            </w:r>
            <w:r>
              <w:rPr>
                <w:rFonts w:hint="eastAsia" w:ascii="宋体" w:hAnsi="宋体" w:eastAsia="宋体" w:cs="宋体"/>
                <w:color w:val="auto"/>
                <w:szCs w:val="21"/>
                <w:highlight w:val="none"/>
                <w:lang w:val="en-US" w:eastAsia="zh-CN"/>
              </w:rPr>
              <w:t>招商银行嵊州支行；账  号：5759 0290 2110 606。</w:t>
            </w:r>
          </w:p>
        </w:tc>
      </w:tr>
      <w:tr w14:paraId="56AB58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1" w:type="dxa"/>
            <w:tcBorders>
              <w:top w:val="single" w:color="000000" w:sz="4" w:space="0"/>
              <w:bottom w:val="single" w:color="000000" w:sz="4" w:space="0"/>
              <w:right w:val="single" w:color="000000" w:sz="4" w:space="0"/>
            </w:tcBorders>
            <w:noWrap w:val="0"/>
            <w:vAlign w:val="center"/>
          </w:tcPr>
          <w:p w14:paraId="7285BDC0">
            <w:pPr>
              <w:tabs>
                <w:tab w:val="left" w:pos="3780"/>
              </w:tabs>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7</w:t>
            </w:r>
          </w:p>
        </w:tc>
        <w:tc>
          <w:tcPr>
            <w:tcW w:w="1672" w:type="dxa"/>
            <w:tcBorders>
              <w:top w:val="single" w:color="000000" w:sz="4" w:space="0"/>
              <w:left w:val="single" w:color="000000" w:sz="4" w:space="0"/>
              <w:bottom w:val="single" w:color="auto" w:sz="4" w:space="0"/>
              <w:right w:val="single" w:color="auto" w:sz="4" w:space="0"/>
            </w:tcBorders>
            <w:noWrap w:val="0"/>
            <w:vAlign w:val="center"/>
          </w:tcPr>
          <w:p w14:paraId="479DE57E">
            <w:pPr>
              <w:spacing w:line="44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bCs/>
                <w:color w:val="auto"/>
                <w:szCs w:val="21"/>
                <w:highlight w:val="none"/>
              </w:rPr>
              <w:t>转包与分包</w:t>
            </w:r>
          </w:p>
        </w:tc>
        <w:tc>
          <w:tcPr>
            <w:tcW w:w="7331" w:type="dxa"/>
            <w:tcBorders>
              <w:top w:val="single" w:color="000000" w:sz="4" w:space="0"/>
              <w:left w:val="single" w:color="auto" w:sz="4" w:space="0"/>
              <w:bottom w:val="single" w:color="auto" w:sz="4" w:space="0"/>
              <w:right w:val="single" w:color="000000" w:sz="4" w:space="0"/>
            </w:tcBorders>
            <w:noWrap w:val="0"/>
            <w:vAlign w:val="center"/>
          </w:tcPr>
          <w:p w14:paraId="01268C81">
            <w:pPr>
              <w:snapToGrid w:val="0"/>
              <w:spacing w:line="440" w:lineRule="exac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不允许；</w:t>
            </w:r>
          </w:p>
          <w:p w14:paraId="2FE994F7">
            <w:pPr>
              <w:snapToGrid w:val="0"/>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允许。</w:t>
            </w:r>
          </w:p>
        </w:tc>
      </w:tr>
      <w:tr w14:paraId="6D8E32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1" w:type="dxa"/>
            <w:tcBorders>
              <w:top w:val="single" w:color="000000" w:sz="4" w:space="0"/>
              <w:bottom w:val="single" w:color="000000" w:sz="4" w:space="0"/>
              <w:right w:val="single" w:color="000000" w:sz="4" w:space="0"/>
            </w:tcBorders>
            <w:noWrap w:val="0"/>
            <w:vAlign w:val="center"/>
          </w:tcPr>
          <w:p w14:paraId="48BDA4DA">
            <w:pPr>
              <w:tabs>
                <w:tab w:val="left" w:pos="3780"/>
              </w:tabs>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8</w:t>
            </w:r>
          </w:p>
        </w:tc>
        <w:tc>
          <w:tcPr>
            <w:tcW w:w="1672" w:type="dxa"/>
            <w:tcBorders>
              <w:top w:val="single" w:color="000000" w:sz="4" w:space="0"/>
              <w:left w:val="single" w:color="000000" w:sz="4" w:space="0"/>
              <w:bottom w:val="single" w:color="auto" w:sz="4" w:space="0"/>
              <w:right w:val="single" w:color="auto" w:sz="4" w:space="0"/>
            </w:tcBorders>
            <w:noWrap w:val="0"/>
            <w:vAlign w:val="center"/>
          </w:tcPr>
          <w:p w14:paraId="5B8BE21C">
            <w:pPr>
              <w:autoSpaceDE w:val="0"/>
              <w:autoSpaceDN w:val="0"/>
              <w:snapToGrid w:val="0"/>
              <w:spacing w:line="400" w:lineRule="exact"/>
              <w:jc w:val="center"/>
              <w:textAlignment w:val="bottom"/>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bCs/>
                <w:color w:val="auto"/>
                <w:szCs w:val="21"/>
                <w:highlight w:val="none"/>
              </w:rPr>
              <w:t>现场踏勘</w:t>
            </w:r>
          </w:p>
        </w:tc>
        <w:tc>
          <w:tcPr>
            <w:tcW w:w="7331" w:type="dxa"/>
            <w:tcBorders>
              <w:top w:val="single" w:color="000000" w:sz="4" w:space="0"/>
              <w:left w:val="single" w:color="auto" w:sz="4" w:space="0"/>
              <w:bottom w:val="single" w:color="auto" w:sz="4" w:space="0"/>
              <w:right w:val="single" w:color="000000" w:sz="4" w:space="0"/>
            </w:tcBorders>
            <w:noWrap w:val="0"/>
            <w:vAlign w:val="center"/>
          </w:tcPr>
          <w:p w14:paraId="2A08831E">
            <w:pPr>
              <w:autoSpaceDE w:val="0"/>
              <w:autoSpaceDN w:val="0"/>
              <w:adjustRightInd w:val="0"/>
              <w:snapToGrid w:val="0"/>
              <w:spacing w:line="400" w:lineRule="exact"/>
              <w:textAlignment w:val="bottom"/>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本项目不组织现场踏勘，</w:t>
            </w:r>
            <w:r>
              <w:rPr>
                <w:rFonts w:hint="eastAsia" w:ascii="宋体" w:hAnsi="宋体" w:eastAsia="宋体" w:cs="宋体"/>
                <w:color w:val="auto"/>
                <w:szCs w:val="21"/>
                <w:highlight w:val="none"/>
                <w:lang w:eastAsia="zh-CN"/>
              </w:rPr>
              <w:t>潜在供应商</w:t>
            </w:r>
            <w:r>
              <w:rPr>
                <w:rFonts w:hint="eastAsia" w:ascii="宋体" w:hAnsi="宋体" w:eastAsia="宋体" w:cs="宋体"/>
                <w:color w:val="auto"/>
                <w:szCs w:val="21"/>
                <w:highlight w:val="none"/>
              </w:rPr>
              <w:t>如有需要，经采购人同意后可自行前往，踏勘期间发生的费用或意外导致伤亡等一切责任和损失均由</w:t>
            </w:r>
            <w:r>
              <w:rPr>
                <w:rFonts w:hint="eastAsia" w:ascii="宋体" w:hAnsi="宋体" w:eastAsia="宋体" w:cs="宋体"/>
                <w:color w:val="auto"/>
                <w:szCs w:val="21"/>
                <w:highlight w:val="none"/>
                <w:lang w:eastAsia="zh-CN"/>
              </w:rPr>
              <w:t>潜在供应商</w:t>
            </w:r>
            <w:r>
              <w:rPr>
                <w:rFonts w:hint="eastAsia" w:ascii="宋体" w:hAnsi="宋体" w:eastAsia="宋体" w:cs="宋体"/>
                <w:color w:val="auto"/>
                <w:szCs w:val="21"/>
                <w:highlight w:val="none"/>
              </w:rPr>
              <w:t>自负。</w:t>
            </w:r>
          </w:p>
        </w:tc>
      </w:tr>
      <w:tr w14:paraId="24FE6B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31" w:type="dxa"/>
            <w:tcBorders>
              <w:top w:val="single" w:color="000000" w:sz="4" w:space="0"/>
              <w:bottom w:val="single" w:color="auto" w:sz="4" w:space="0"/>
              <w:right w:val="single" w:color="000000" w:sz="4" w:space="0"/>
            </w:tcBorders>
            <w:noWrap w:val="0"/>
            <w:vAlign w:val="center"/>
          </w:tcPr>
          <w:p w14:paraId="0C31878D">
            <w:pPr>
              <w:tabs>
                <w:tab w:val="left" w:pos="3780"/>
              </w:tabs>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9</w:t>
            </w:r>
          </w:p>
        </w:tc>
        <w:tc>
          <w:tcPr>
            <w:tcW w:w="1672" w:type="dxa"/>
            <w:tcBorders>
              <w:top w:val="single" w:color="auto" w:sz="4" w:space="0"/>
              <w:left w:val="single" w:color="000000" w:sz="4" w:space="0"/>
              <w:bottom w:val="single" w:color="000000" w:sz="4" w:space="0"/>
              <w:right w:val="single" w:color="auto" w:sz="4" w:space="0"/>
            </w:tcBorders>
            <w:noWrap w:val="0"/>
            <w:vAlign w:val="center"/>
          </w:tcPr>
          <w:p w14:paraId="7C1A336E">
            <w:pPr>
              <w:snapToGrid w:val="0"/>
              <w:spacing w:line="440" w:lineRule="exact"/>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rPr>
              <w:t>演示</w:t>
            </w:r>
          </w:p>
        </w:tc>
        <w:tc>
          <w:tcPr>
            <w:tcW w:w="7331" w:type="dxa"/>
            <w:tcBorders>
              <w:top w:val="single" w:color="auto" w:sz="4" w:space="0"/>
              <w:left w:val="single" w:color="auto" w:sz="4" w:space="0"/>
              <w:bottom w:val="single" w:color="000000" w:sz="4" w:space="0"/>
            </w:tcBorders>
            <w:noWrap w:val="0"/>
            <w:vAlign w:val="center"/>
          </w:tcPr>
          <w:p w14:paraId="41AC9DB3">
            <w:pPr>
              <w:widowControl/>
              <w:spacing w:line="44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eastAsia="zh-CN"/>
              </w:rPr>
              <w:t>本项目无演示。</w:t>
            </w:r>
          </w:p>
        </w:tc>
      </w:tr>
      <w:tr w14:paraId="300168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731" w:type="dxa"/>
            <w:tcBorders>
              <w:top w:val="single" w:color="000000" w:sz="4" w:space="0"/>
              <w:bottom w:val="single" w:color="auto" w:sz="4" w:space="0"/>
              <w:right w:val="single" w:color="000000" w:sz="4" w:space="0"/>
            </w:tcBorders>
            <w:noWrap w:val="0"/>
            <w:vAlign w:val="center"/>
          </w:tcPr>
          <w:p w14:paraId="58530E4B">
            <w:pPr>
              <w:tabs>
                <w:tab w:val="left" w:pos="3780"/>
              </w:tabs>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p>
        </w:tc>
        <w:tc>
          <w:tcPr>
            <w:tcW w:w="1672" w:type="dxa"/>
            <w:tcBorders>
              <w:top w:val="single" w:color="auto" w:sz="4" w:space="0"/>
              <w:left w:val="single" w:color="000000" w:sz="4" w:space="0"/>
              <w:bottom w:val="single" w:color="000000" w:sz="4" w:space="0"/>
              <w:right w:val="single" w:color="auto" w:sz="4" w:space="0"/>
            </w:tcBorders>
            <w:noWrap w:val="0"/>
            <w:vAlign w:val="center"/>
          </w:tcPr>
          <w:p w14:paraId="20981400">
            <w:pPr>
              <w:snapToGrid w:val="0"/>
              <w:spacing w:line="44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Cs w:val="21"/>
                <w:highlight w:val="none"/>
              </w:rPr>
              <w:t>磋商响应文件的形式</w:t>
            </w:r>
          </w:p>
        </w:tc>
        <w:tc>
          <w:tcPr>
            <w:tcW w:w="7331" w:type="dxa"/>
            <w:tcBorders>
              <w:top w:val="single" w:color="auto" w:sz="4" w:space="0"/>
              <w:left w:val="single" w:color="auto" w:sz="4" w:space="0"/>
              <w:bottom w:val="single" w:color="000000" w:sz="4" w:space="0"/>
            </w:tcBorders>
            <w:noWrap w:val="0"/>
            <w:vAlign w:val="center"/>
          </w:tcPr>
          <w:p w14:paraId="0A318DBF">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电子磋商响应文件（包括“电子加密磋商响应文件”和“备份磋商响应文件”，在磋商响应文件编制完成后同时生成）；</w:t>
            </w:r>
          </w:p>
          <w:p w14:paraId="78CA6E8E">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（1）“电子加密磋商响应文件”是指通过“</w:t>
            </w:r>
            <w:r>
              <w:rPr>
                <w:rFonts w:hint="eastAsia" w:ascii="宋体" w:hAnsi="宋体" w:eastAsia="宋体" w:cs="宋体"/>
                <w:color w:val="auto"/>
                <w:kern w:val="0"/>
                <w:szCs w:val="21"/>
                <w:highlight w:val="none"/>
              </w:rPr>
              <w:t>乐采云电子交易客户端</w:t>
            </w:r>
            <w:r>
              <w:rPr>
                <w:rFonts w:hint="eastAsia" w:ascii="宋体" w:hAnsi="宋体" w:eastAsia="宋体" w:cs="宋体"/>
                <w:color w:val="auto"/>
                <w:szCs w:val="21"/>
                <w:highlight w:val="none"/>
              </w:rPr>
              <w:t>”完成磋商响应文件编制后生成并加密的数据电文形式的磋商响应文件。</w:t>
            </w:r>
          </w:p>
          <w:p w14:paraId="43805D7D">
            <w:pPr>
              <w:widowControl/>
              <w:spacing w:line="440" w:lineRule="exact"/>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szCs w:val="21"/>
                <w:highlight w:val="none"/>
              </w:rPr>
              <w:t>（2）“备份磋商响应文件”是指与“电子加密磋商响应文件”同时生成的数据电文形式的电子文件（备份标书），其他方式编制的备份磋商响应文件视为无效备份磋商响应文件。</w:t>
            </w:r>
          </w:p>
        </w:tc>
      </w:tr>
      <w:tr w14:paraId="117353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731" w:type="dxa"/>
            <w:tcBorders>
              <w:top w:val="single" w:color="000000" w:sz="4" w:space="0"/>
              <w:bottom w:val="single" w:color="auto" w:sz="4" w:space="0"/>
              <w:right w:val="single" w:color="000000" w:sz="4" w:space="0"/>
            </w:tcBorders>
            <w:noWrap w:val="0"/>
            <w:vAlign w:val="center"/>
          </w:tcPr>
          <w:p w14:paraId="58F4D672">
            <w:pPr>
              <w:tabs>
                <w:tab w:val="left" w:pos="3780"/>
              </w:tabs>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11</w:t>
            </w:r>
          </w:p>
        </w:tc>
        <w:tc>
          <w:tcPr>
            <w:tcW w:w="1672" w:type="dxa"/>
            <w:tcBorders>
              <w:top w:val="single" w:color="auto" w:sz="4" w:space="0"/>
              <w:left w:val="single" w:color="000000" w:sz="4" w:space="0"/>
              <w:bottom w:val="single" w:color="000000" w:sz="4" w:space="0"/>
              <w:right w:val="single" w:color="auto" w:sz="4" w:space="0"/>
            </w:tcBorders>
            <w:noWrap w:val="0"/>
            <w:vAlign w:val="center"/>
          </w:tcPr>
          <w:p w14:paraId="6B525307">
            <w:pPr>
              <w:snapToGrid w:val="0"/>
              <w:spacing w:line="44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Cs w:val="21"/>
                <w:highlight w:val="none"/>
              </w:rPr>
              <w:t>磋商响应文件份数</w:t>
            </w:r>
          </w:p>
        </w:tc>
        <w:tc>
          <w:tcPr>
            <w:tcW w:w="7331" w:type="dxa"/>
            <w:tcBorders>
              <w:top w:val="single" w:color="auto" w:sz="4" w:space="0"/>
              <w:left w:val="single" w:color="auto" w:sz="4" w:space="0"/>
              <w:bottom w:val="single" w:color="000000" w:sz="4" w:space="0"/>
            </w:tcBorders>
            <w:noWrap w:val="0"/>
            <w:vAlign w:val="center"/>
          </w:tcPr>
          <w:p w14:paraId="1215E4FD">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（1）“电子加密磋商响应文件”：在线上传递交、一份。</w:t>
            </w:r>
          </w:p>
          <w:p w14:paraId="375E399E">
            <w:pPr>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（2）“备份磋商响应文件”：密封包装后（EMS、顺丰邮寄形式）磋商响应截止时间前递交一份（邮寄地址：</w:t>
            </w:r>
            <w:r>
              <w:rPr>
                <w:rFonts w:hint="eastAsia" w:ascii="宋体" w:hAnsi="宋体" w:eastAsia="宋体" w:cs="宋体"/>
                <w:color w:val="auto"/>
                <w:szCs w:val="21"/>
                <w:highlight w:val="none"/>
                <w:lang w:eastAsia="zh-CN"/>
              </w:rPr>
              <w:t>嵊州市剡湖街道龙会一路14号</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钱巧林</w:t>
            </w:r>
            <w:r>
              <w:rPr>
                <w:rFonts w:hint="eastAsia" w:ascii="宋体" w:hAnsi="宋体" w:eastAsia="宋体" w:cs="宋体"/>
                <w:color w:val="auto"/>
                <w:szCs w:val="21"/>
                <w:highlight w:val="none"/>
              </w:rPr>
              <w:t>收）。</w:t>
            </w:r>
          </w:p>
        </w:tc>
      </w:tr>
      <w:tr w14:paraId="1CF018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731" w:type="dxa"/>
            <w:tcBorders>
              <w:top w:val="single" w:color="000000" w:sz="4" w:space="0"/>
              <w:bottom w:val="single" w:color="auto" w:sz="4" w:space="0"/>
              <w:right w:val="single" w:color="000000" w:sz="4" w:space="0"/>
            </w:tcBorders>
            <w:noWrap w:val="0"/>
            <w:vAlign w:val="center"/>
          </w:tcPr>
          <w:p w14:paraId="46C79850">
            <w:pPr>
              <w:tabs>
                <w:tab w:val="left" w:pos="3780"/>
              </w:tabs>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12</w:t>
            </w:r>
          </w:p>
        </w:tc>
        <w:tc>
          <w:tcPr>
            <w:tcW w:w="1672" w:type="dxa"/>
            <w:tcBorders>
              <w:top w:val="single" w:color="auto" w:sz="4" w:space="0"/>
              <w:left w:val="single" w:color="000000" w:sz="4" w:space="0"/>
              <w:bottom w:val="single" w:color="000000" w:sz="4" w:space="0"/>
              <w:right w:val="single" w:color="auto" w:sz="4" w:space="0"/>
            </w:tcBorders>
            <w:noWrap w:val="0"/>
            <w:vAlign w:val="center"/>
          </w:tcPr>
          <w:p w14:paraId="0031BBD7">
            <w:pPr>
              <w:snapToGrid w:val="0"/>
              <w:spacing w:line="44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Cs w:val="21"/>
                <w:highlight w:val="none"/>
              </w:rPr>
              <w:t>磋商响应文件的上传和递交</w:t>
            </w:r>
          </w:p>
        </w:tc>
        <w:tc>
          <w:tcPr>
            <w:tcW w:w="7331" w:type="dxa"/>
            <w:tcBorders>
              <w:top w:val="single" w:color="auto" w:sz="4" w:space="0"/>
              <w:left w:val="single" w:color="auto" w:sz="4" w:space="0"/>
              <w:bottom w:val="single" w:color="000000" w:sz="4" w:space="0"/>
            </w:tcBorders>
            <w:noWrap w:val="0"/>
            <w:vAlign w:val="center"/>
          </w:tcPr>
          <w:p w14:paraId="314D4142">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（1）“电子加密磋商响应文件”的上传、递交：</w:t>
            </w:r>
          </w:p>
          <w:p w14:paraId="3C933E04">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a.磋商响应方应在投标截止时间前将“电子加密磋商响应文件”成功上传递交至“乐采云平台（www.lecaiyun.com）”，否则响应无效。</w:t>
            </w:r>
          </w:p>
          <w:p w14:paraId="21A2EFCF">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b.“电子加密磋商响应文件”成功上传递交后，磋商响应方可自行打印磋商响应文件接收回执。</w:t>
            </w:r>
          </w:p>
          <w:p w14:paraId="408220FB">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（2）“备份磋商响应文件”的密封包装、递交：</w:t>
            </w:r>
          </w:p>
          <w:p w14:paraId="4BB5A1C2">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a.磋商响应方在“</w:t>
            </w:r>
            <w:r>
              <w:rPr>
                <w:rFonts w:hint="eastAsia" w:ascii="宋体" w:hAnsi="宋体" w:eastAsia="宋体" w:cs="宋体"/>
                <w:color w:val="auto"/>
                <w:kern w:val="0"/>
                <w:szCs w:val="21"/>
                <w:highlight w:val="none"/>
              </w:rPr>
              <w:t>乐采云平台</w:t>
            </w:r>
            <w:r>
              <w:rPr>
                <w:rFonts w:hint="eastAsia" w:ascii="宋体" w:hAnsi="宋体" w:eastAsia="宋体" w:cs="宋体"/>
                <w:color w:val="auto"/>
                <w:spacing w:val="6"/>
                <w:kern w:val="0"/>
                <w:szCs w:val="21"/>
                <w:highlight w:val="none"/>
              </w:rPr>
              <w:t>（www.lecaiyun.com）</w:t>
            </w:r>
            <w:r>
              <w:rPr>
                <w:rFonts w:hint="eastAsia" w:ascii="宋体" w:hAnsi="宋体" w:eastAsia="宋体" w:cs="宋体"/>
                <w:color w:val="auto"/>
                <w:szCs w:val="21"/>
                <w:highlight w:val="none"/>
              </w:rPr>
              <w:t>”完成“电子加密磋商响应文件”的上传递交后，还可以（EMS、顺丰邮寄形式）在磋商截止时间前递交以介质（U盘）存储的 “备份磋商响应文件”（一份）；</w:t>
            </w:r>
          </w:p>
          <w:p w14:paraId="36605A0E">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b.“备份磋商响应文件”应当密封包装，并在包装上标注项目名称、单位名称并加盖公章。没有密封包装或者逾期邮寄送达至磋商地点的“备份磋商响应文件”将不予接收；</w:t>
            </w:r>
          </w:p>
          <w:p w14:paraId="70B74F74">
            <w:pPr>
              <w:autoSpaceDE w:val="0"/>
              <w:autoSpaceDN w:val="0"/>
              <w:snapToGrid w:val="0"/>
              <w:spacing w:line="440" w:lineRule="exact"/>
              <w:textAlignment w:val="bottom"/>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c.通过“</w:t>
            </w:r>
            <w:r>
              <w:rPr>
                <w:rFonts w:hint="eastAsia" w:ascii="宋体" w:hAnsi="宋体" w:eastAsia="宋体" w:cs="宋体"/>
                <w:color w:val="auto"/>
                <w:kern w:val="0"/>
                <w:szCs w:val="21"/>
                <w:highlight w:val="none"/>
              </w:rPr>
              <w:t>乐采云平台</w:t>
            </w:r>
            <w:r>
              <w:rPr>
                <w:rFonts w:hint="eastAsia" w:ascii="宋体" w:hAnsi="宋体" w:eastAsia="宋体" w:cs="宋体"/>
                <w:color w:val="auto"/>
                <w:spacing w:val="6"/>
                <w:kern w:val="0"/>
                <w:szCs w:val="21"/>
                <w:highlight w:val="none"/>
              </w:rPr>
              <w:t>（www.lecaiyun.com）</w:t>
            </w:r>
            <w:r>
              <w:rPr>
                <w:rFonts w:hint="eastAsia" w:ascii="宋体" w:hAnsi="宋体" w:eastAsia="宋体" w:cs="宋体"/>
                <w:color w:val="auto"/>
                <w:szCs w:val="21"/>
                <w:highlight w:val="none"/>
              </w:rPr>
              <w:t>”成功上传递交的“电子加密磋商响应文件”已按时解密的，“备份磋商响应文件”自动失效。磋商响应截止时间前，磋商响应方仅递交了“备份磋商响应文件”而未将“电子加密磋商响应文件”成功上传至“</w:t>
            </w:r>
            <w:r>
              <w:rPr>
                <w:rFonts w:hint="eastAsia" w:ascii="宋体" w:hAnsi="宋体" w:eastAsia="宋体" w:cs="宋体"/>
                <w:color w:val="auto"/>
                <w:kern w:val="0"/>
                <w:szCs w:val="21"/>
                <w:highlight w:val="none"/>
              </w:rPr>
              <w:t>乐采云平台</w:t>
            </w:r>
            <w:r>
              <w:rPr>
                <w:rFonts w:hint="eastAsia" w:ascii="宋体" w:hAnsi="宋体" w:eastAsia="宋体" w:cs="宋体"/>
                <w:color w:val="auto"/>
                <w:spacing w:val="6"/>
                <w:kern w:val="0"/>
                <w:szCs w:val="21"/>
                <w:highlight w:val="none"/>
              </w:rPr>
              <w:t>（www.lecaiyun.com）</w:t>
            </w:r>
            <w:r>
              <w:rPr>
                <w:rFonts w:hint="eastAsia" w:ascii="宋体" w:hAnsi="宋体" w:eastAsia="宋体" w:cs="宋体"/>
                <w:color w:val="auto"/>
                <w:szCs w:val="21"/>
                <w:highlight w:val="none"/>
              </w:rPr>
              <w:t>”的，响应无效。</w:t>
            </w:r>
          </w:p>
        </w:tc>
      </w:tr>
      <w:tr w14:paraId="3CA751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31" w:type="dxa"/>
            <w:tcBorders>
              <w:top w:val="single" w:color="000000" w:sz="4" w:space="0"/>
              <w:bottom w:val="single" w:color="000000" w:sz="4" w:space="0"/>
              <w:right w:val="single" w:color="000000" w:sz="4" w:space="0"/>
            </w:tcBorders>
            <w:noWrap w:val="0"/>
            <w:vAlign w:val="center"/>
          </w:tcPr>
          <w:p w14:paraId="073F385F">
            <w:pPr>
              <w:tabs>
                <w:tab w:val="left" w:pos="3780"/>
              </w:tabs>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p>
        </w:tc>
        <w:tc>
          <w:tcPr>
            <w:tcW w:w="1672" w:type="dxa"/>
            <w:tcBorders>
              <w:top w:val="single" w:color="auto" w:sz="4" w:space="0"/>
              <w:left w:val="single" w:color="000000" w:sz="4" w:space="0"/>
              <w:bottom w:val="single" w:color="auto" w:sz="4" w:space="0"/>
              <w:right w:val="single" w:color="auto" w:sz="4" w:space="0"/>
            </w:tcBorders>
            <w:noWrap w:val="0"/>
            <w:vAlign w:val="center"/>
          </w:tcPr>
          <w:p w14:paraId="39331D56">
            <w:pPr>
              <w:autoSpaceDE w:val="0"/>
              <w:autoSpaceDN w:val="0"/>
              <w:snapToGrid w:val="0"/>
              <w:spacing w:line="440" w:lineRule="exact"/>
              <w:jc w:val="center"/>
              <w:textAlignment w:val="bottom"/>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bCs/>
                <w:color w:val="auto"/>
                <w:kern w:val="0"/>
                <w:szCs w:val="21"/>
                <w:highlight w:val="none"/>
              </w:rPr>
              <w:t>电子加密投标文件的解密和异常情况处理</w:t>
            </w:r>
          </w:p>
        </w:tc>
        <w:tc>
          <w:tcPr>
            <w:tcW w:w="7331" w:type="dxa"/>
            <w:tcBorders>
              <w:top w:val="single" w:color="auto" w:sz="4" w:space="0"/>
              <w:left w:val="single" w:color="auto" w:sz="4" w:space="0"/>
              <w:bottom w:val="single" w:color="auto" w:sz="4" w:space="0"/>
            </w:tcBorders>
            <w:noWrap w:val="0"/>
            <w:vAlign w:val="center"/>
          </w:tcPr>
          <w:p w14:paraId="58CE7EEC">
            <w:pPr>
              <w:autoSpaceDE w:val="0"/>
              <w:autoSpaceDN w:val="0"/>
              <w:adjustRightInd w:val="0"/>
              <w:snapToGrid w:val="0"/>
              <w:spacing w:line="440" w:lineRule="exac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1.开标后，采购组织机构将向各</w:t>
            </w:r>
            <w:r>
              <w:rPr>
                <w:rFonts w:hint="eastAsia" w:ascii="宋体" w:hAnsi="宋体" w:eastAsia="宋体" w:cs="宋体"/>
                <w:color w:val="auto"/>
                <w:szCs w:val="21"/>
                <w:highlight w:val="none"/>
              </w:rPr>
              <w:t>磋商响应方</w:t>
            </w:r>
            <w:r>
              <w:rPr>
                <w:rFonts w:hint="eastAsia" w:ascii="宋体" w:hAnsi="宋体" w:eastAsia="宋体" w:cs="宋体"/>
                <w:color w:val="auto"/>
                <w:kern w:val="0"/>
                <w:szCs w:val="21"/>
                <w:highlight w:val="none"/>
              </w:rPr>
              <w:t>发出“电子加密投标文件”的解密通知，</w:t>
            </w:r>
            <w:r>
              <w:rPr>
                <w:rFonts w:hint="eastAsia" w:ascii="宋体" w:hAnsi="宋体" w:eastAsia="宋体" w:cs="宋体"/>
                <w:color w:val="auto"/>
                <w:szCs w:val="21"/>
                <w:highlight w:val="none"/>
              </w:rPr>
              <w:t>磋商响应方</w:t>
            </w:r>
            <w:r>
              <w:rPr>
                <w:rFonts w:hint="eastAsia" w:ascii="宋体" w:hAnsi="宋体" w:eastAsia="宋体" w:cs="宋体"/>
                <w:color w:val="auto"/>
                <w:kern w:val="0"/>
                <w:szCs w:val="21"/>
                <w:highlight w:val="none"/>
              </w:rPr>
              <w:t>代表应当在接到解密通知后30分钟内自行完成“电子加密投标文件”的在线解密。</w:t>
            </w:r>
          </w:p>
          <w:p w14:paraId="1C21406B">
            <w:pPr>
              <w:autoSpaceDE w:val="0"/>
              <w:autoSpaceDN w:val="0"/>
              <w:adjustRightInd w:val="0"/>
              <w:snapToGrid w:val="0"/>
              <w:spacing w:line="440" w:lineRule="exac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2.通过“</w:t>
            </w:r>
            <w:r>
              <w:rPr>
                <w:rFonts w:hint="eastAsia" w:ascii="宋体" w:hAnsi="宋体" w:eastAsia="宋体" w:cs="宋体"/>
                <w:color w:val="auto"/>
                <w:spacing w:val="6"/>
                <w:kern w:val="0"/>
                <w:szCs w:val="21"/>
                <w:highlight w:val="none"/>
              </w:rPr>
              <w:t>乐采云平台（www.lecaiyun.com）</w:t>
            </w:r>
            <w:r>
              <w:rPr>
                <w:rFonts w:hint="eastAsia" w:ascii="宋体" w:hAnsi="宋体" w:eastAsia="宋体" w:cs="宋体"/>
                <w:color w:val="auto"/>
                <w:kern w:val="0"/>
                <w:szCs w:val="21"/>
                <w:highlight w:val="none"/>
              </w:rPr>
              <w:t>”成功上传递交的“电子加密投标文件”无法按时解密，</w:t>
            </w:r>
            <w:r>
              <w:rPr>
                <w:rFonts w:hint="eastAsia" w:ascii="宋体" w:hAnsi="宋体" w:eastAsia="宋体" w:cs="宋体"/>
                <w:color w:val="auto"/>
                <w:szCs w:val="21"/>
                <w:highlight w:val="none"/>
              </w:rPr>
              <w:t>磋商响应方</w:t>
            </w:r>
            <w:r>
              <w:rPr>
                <w:rFonts w:hint="eastAsia" w:ascii="宋体" w:hAnsi="宋体" w:eastAsia="宋体" w:cs="宋体"/>
                <w:color w:val="auto"/>
                <w:kern w:val="0"/>
                <w:szCs w:val="21"/>
                <w:highlight w:val="none"/>
              </w:rPr>
              <w:t>如按规定递交了“备份投标文件”的，以“备份投标文件”为依据（由采购组织机构按“乐采云”操作规范将“备份投标文件”上传至“乐采云平台”，上传成功后，“电子加密投标文件”自动失效），否则视为投标文件撤回。</w:t>
            </w:r>
          </w:p>
          <w:p w14:paraId="3CD7B975">
            <w:pPr>
              <w:autoSpaceDE w:val="0"/>
              <w:autoSpaceDN w:val="0"/>
              <w:adjustRightInd w:val="0"/>
              <w:snapToGrid w:val="0"/>
              <w:spacing w:line="440" w:lineRule="exact"/>
              <w:textAlignment w:val="bottom"/>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3.投标截止时间前，</w:t>
            </w:r>
            <w:r>
              <w:rPr>
                <w:rFonts w:hint="eastAsia" w:ascii="宋体" w:hAnsi="宋体" w:eastAsia="宋体" w:cs="宋体"/>
                <w:color w:val="auto"/>
                <w:szCs w:val="21"/>
                <w:highlight w:val="none"/>
              </w:rPr>
              <w:t>磋商响应方</w:t>
            </w:r>
            <w:r>
              <w:rPr>
                <w:rFonts w:hint="eastAsia" w:ascii="宋体" w:hAnsi="宋体" w:eastAsia="宋体" w:cs="宋体"/>
                <w:color w:val="auto"/>
                <w:kern w:val="0"/>
                <w:szCs w:val="21"/>
                <w:highlight w:val="none"/>
              </w:rPr>
              <w:t>仅递交了“备份投标文件”而未将电子加密投标文件上传至“乐采云平台”的，投标无效。</w:t>
            </w:r>
          </w:p>
        </w:tc>
      </w:tr>
      <w:tr w14:paraId="06010B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31" w:type="dxa"/>
            <w:tcBorders>
              <w:top w:val="single" w:color="000000" w:sz="4" w:space="0"/>
              <w:bottom w:val="single" w:color="000000" w:sz="4" w:space="0"/>
              <w:right w:val="single" w:color="000000" w:sz="4" w:space="0"/>
            </w:tcBorders>
            <w:noWrap w:val="0"/>
            <w:vAlign w:val="center"/>
          </w:tcPr>
          <w:p w14:paraId="4A6B5556">
            <w:pPr>
              <w:autoSpaceDE w:val="0"/>
              <w:autoSpaceDN w:val="0"/>
              <w:snapToGrid w:val="0"/>
              <w:spacing w:line="440" w:lineRule="exact"/>
              <w:jc w:val="center"/>
              <w:textAlignment w:val="bottom"/>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4</w:t>
            </w:r>
          </w:p>
        </w:tc>
        <w:tc>
          <w:tcPr>
            <w:tcW w:w="1672" w:type="dxa"/>
            <w:tcBorders>
              <w:top w:val="single" w:color="auto" w:sz="4" w:space="0"/>
              <w:left w:val="single" w:color="000000" w:sz="4" w:space="0"/>
              <w:bottom w:val="single" w:color="auto" w:sz="4" w:space="0"/>
              <w:right w:val="single" w:color="auto" w:sz="4" w:space="0"/>
            </w:tcBorders>
            <w:noWrap w:val="0"/>
            <w:vAlign w:val="center"/>
          </w:tcPr>
          <w:p w14:paraId="63F018EF">
            <w:pPr>
              <w:widowControl/>
              <w:spacing w:line="44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Cs w:val="21"/>
                <w:highlight w:val="none"/>
              </w:rPr>
              <w:t>招标代理服务费</w:t>
            </w:r>
          </w:p>
        </w:tc>
        <w:tc>
          <w:tcPr>
            <w:tcW w:w="7331" w:type="dxa"/>
            <w:tcBorders>
              <w:top w:val="single" w:color="auto" w:sz="4" w:space="0"/>
              <w:left w:val="single" w:color="auto" w:sz="4" w:space="0"/>
              <w:bottom w:val="single" w:color="auto" w:sz="4" w:space="0"/>
            </w:tcBorders>
            <w:noWrap w:val="0"/>
            <w:vAlign w:val="center"/>
          </w:tcPr>
          <w:p w14:paraId="6D72009F">
            <w:pPr>
              <w:autoSpaceDE w:val="0"/>
              <w:autoSpaceDN w:val="0"/>
              <w:adjustRightInd w:val="0"/>
              <w:snapToGrid w:val="0"/>
              <w:spacing w:line="440" w:lineRule="exact"/>
              <w:textAlignment w:val="bottom"/>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本项目代理服务费</w:t>
            </w:r>
            <w:r>
              <w:rPr>
                <w:rFonts w:hint="eastAsia" w:ascii="宋体" w:hAnsi="宋体" w:eastAsia="宋体" w:cs="宋体"/>
                <w:color w:val="auto"/>
                <w:kern w:val="0"/>
                <w:szCs w:val="21"/>
                <w:highlight w:val="none"/>
                <w:lang w:val="en-US" w:eastAsia="zh-CN"/>
              </w:rPr>
              <w:t>按照以下标准下浮40%收取：</w:t>
            </w:r>
          </w:p>
          <w:tbl>
            <w:tblPr>
              <w:tblStyle w:val="17"/>
              <w:tblW w:w="6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1140"/>
              <w:gridCol w:w="946"/>
              <w:gridCol w:w="2084"/>
            </w:tblGrid>
            <w:tr w14:paraId="6980F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534" w:type="dxa"/>
                  <w:noWrap w:val="0"/>
                  <w:vAlign w:val="top"/>
                </w:tcPr>
                <w:p w14:paraId="700AC526">
                  <w:pPr>
                    <w:autoSpaceDE w:val="0"/>
                    <w:autoSpaceDN w:val="0"/>
                    <w:adjustRightInd w:val="0"/>
                    <w:snapToGrid w:val="0"/>
                    <w:spacing w:line="440" w:lineRule="exac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mc:AlternateContent>
                      <mc:Choice Requires="wps">
                        <w:drawing>
                          <wp:anchor distT="0" distB="0" distL="114300" distR="114300" simplePos="0" relativeHeight="251661312" behindDoc="0" locked="0" layoutInCell="1" allowOverlap="1">
                            <wp:simplePos x="0" y="0"/>
                            <wp:positionH relativeFrom="column">
                              <wp:posOffset>418465</wp:posOffset>
                            </wp:positionH>
                            <wp:positionV relativeFrom="paragraph">
                              <wp:posOffset>11430</wp:posOffset>
                            </wp:positionV>
                            <wp:extent cx="1036320" cy="723900"/>
                            <wp:effectExtent l="2540" t="3810" r="8890" b="15240"/>
                            <wp:wrapNone/>
                            <wp:docPr id="2" name="直接箭头连接符 2"/>
                            <wp:cNvGraphicFramePr/>
                            <a:graphic xmlns:a="http://schemas.openxmlformats.org/drawingml/2006/main">
                              <a:graphicData uri="http://schemas.microsoft.com/office/word/2010/wordprocessingShape">
                                <wps:wsp>
                                  <wps:cNvCnPr/>
                                  <wps:spPr>
                                    <a:xfrm>
                                      <a:off x="0" y="0"/>
                                      <a:ext cx="1036320" cy="72390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32.95pt;margin-top:0.9pt;height:57pt;width:81.6pt;z-index:251661312;mso-width-relative:page;mso-height-relative:page;" filled="f" stroked="t" coordsize="21600,21600" o:gfxdata="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&#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3SDF+1gAAAAgBAAAPAAAAAAAAAAEAIAAAACIAAABk&#10;cnMvZG93bnJldi54bWxQSwECFAAUAAAACACHTuJAn0ZfmQgCAAD7AwAADgAAAAAAAAABACAAAAAl&#10;AQAAZHJzL2Uyb0RvYy54bWxQSwUGAAAAAAYABgBZAQAAnwUAAAAA&#10;">
                            <v:fill on="f" focussize="0,0"/>
                            <v:stroke color="#000000" joinstyle="round"/>
                            <v:imagedata o:title=""/>
                            <o:lock v:ext="edit" aspectratio="f"/>
                          </v:shape>
                        </w:pict>
                      </mc:Fallback>
                    </mc:AlternateContent>
                  </w:r>
                  <w:r>
                    <w:rPr>
                      <w:rFonts w:hint="eastAsia" w:ascii="宋体" w:hAnsi="宋体" w:eastAsia="宋体" w:cs="宋体"/>
                      <w:color w:val="auto"/>
                      <w:kern w:val="0"/>
                      <w:szCs w:val="21"/>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11" name="直接连接符 1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uR037VAAAACQEAAA8AAAAAAAAAAQAgAAAAIgAAAGRycy9kb3ducmV2LnhtbFBLAQIU&#10;ABQAAAAIAIdO4kBnboIY9gEAAPADAAAOAAAAAAAAAAEAIAAAACQBAABkcnMvZTJvRG9jLnhtbFBL&#10;BQYAAAAABgAGAFkBAACMBQAAAAA=&#10;">
                            <v:fill on="f" focussize="0,0"/>
                            <v:stroke color="#000000" joinstyle="round"/>
                            <v:imagedata o:title=""/>
                            <o:lock v:ext="edit" aspectratio="f"/>
                          </v:line>
                        </w:pict>
                      </mc:Fallback>
                    </mc:AlternateContent>
                  </w:r>
                  <w:r>
                    <w:rPr>
                      <w:rFonts w:hint="eastAsia" w:ascii="宋体" w:hAnsi="宋体" w:eastAsia="宋体" w:cs="宋体"/>
                      <w:color w:val="auto"/>
                      <w:kern w:val="0"/>
                      <w:szCs w:val="21"/>
                      <w:highlight w:val="none"/>
                    </w:rPr>
                    <w:t xml:space="preserve">费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  服务类型</w:t>
                  </w:r>
                </w:p>
                <w:p w14:paraId="1939026C">
                  <w:pPr>
                    <w:autoSpaceDE w:val="0"/>
                    <w:autoSpaceDN w:val="0"/>
                    <w:adjustRightInd w:val="0"/>
                    <w:snapToGrid w:val="0"/>
                    <w:spacing w:line="440" w:lineRule="exac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108585</wp:posOffset>
                            </wp:positionV>
                            <wp:extent cx="1534160" cy="366395"/>
                            <wp:effectExtent l="1270" t="4445" r="7620" b="10160"/>
                            <wp:wrapNone/>
                            <wp:docPr id="3" name="直接箭头连接符 3"/>
                            <wp:cNvGraphicFramePr/>
                            <a:graphic xmlns:a="http://schemas.openxmlformats.org/drawingml/2006/main">
                              <a:graphicData uri="http://schemas.microsoft.com/office/word/2010/wordprocessingShape">
                                <wps:wsp>
                                  <wps:cNvCnPr/>
                                  <wps:spPr>
                                    <a:xfrm>
                                      <a:off x="0" y="0"/>
                                      <a:ext cx="1534160" cy="36639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5.5pt;margin-top:8.55pt;height:28.85pt;width:120.8pt;z-index:251660288;mso-width-relative:page;mso-height-relative:page;" filled="f" stroked="t" coordsize="21600,21600" o:gfxdata="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DRINV2AAAAAkBAAAPAAAAAAAAAAEAIAAAACIAAABk&#10;cnMvZG93bnJldi54bWxQSwECFAAUAAAACACHTuJAhrmYwgYCAAD7AwAADgAAAAAAAAABACAAAAAn&#10;AQAAZHJzL2Uyb0RvYy54bWxQSwUGAAAAAAYABgBZAQAAnwUAAAAA&#10;">
                            <v:fill on="f" focussize="0,0"/>
                            <v:stroke color="#000000" joinstyle="round"/>
                            <v:imagedata o:title=""/>
                            <o:lock v:ext="edit" aspectratio="f"/>
                          </v:shape>
                        </w:pict>
                      </mc:Fallback>
                    </mc:AlternateConten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率</w:t>
                  </w:r>
                </w:p>
                <w:p w14:paraId="1AFB93E8">
                  <w:pPr>
                    <w:autoSpaceDE w:val="0"/>
                    <w:autoSpaceDN w:val="0"/>
                    <w:adjustRightInd w:val="0"/>
                    <w:snapToGrid w:val="0"/>
                    <w:spacing w:line="440" w:lineRule="exac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中标金额（万元）</w:t>
                  </w:r>
                </w:p>
              </w:tc>
              <w:tc>
                <w:tcPr>
                  <w:tcW w:w="1140" w:type="dxa"/>
                  <w:noWrap w:val="0"/>
                  <w:vAlign w:val="center"/>
                </w:tcPr>
                <w:p w14:paraId="52144ED5">
                  <w:pPr>
                    <w:autoSpaceDE w:val="0"/>
                    <w:autoSpaceDN w:val="0"/>
                    <w:adjustRightInd w:val="0"/>
                    <w:snapToGrid w:val="0"/>
                    <w:spacing w:line="440" w:lineRule="exac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w:t>
                  </w:r>
                </w:p>
                <w:p w14:paraId="60B64D73">
                  <w:pPr>
                    <w:autoSpaceDE w:val="0"/>
                    <w:autoSpaceDN w:val="0"/>
                    <w:adjustRightInd w:val="0"/>
                    <w:snapToGrid w:val="0"/>
                    <w:spacing w:line="440" w:lineRule="exac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w:t>
                  </w:r>
                </w:p>
              </w:tc>
              <w:tc>
                <w:tcPr>
                  <w:tcW w:w="946" w:type="dxa"/>
                  <w:noWrap w:val="0"/>
                  <w:vAlign w:val="center"/>
                </w:tcPr>
                <w:p w14:paraId="53494C83">
                  <w:pPr>
                    <w:autoSpaceDE w:val="0"/>
                    <w:autoSpaceDN w:val="0"/>
                    <w:adjustRightInd w:val="0"/>
                    <w:snapToGrid w:val="0"/>
                    <w:spacing w:line="440" w:lineRule="exac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服务</w:t>
                  </w:r>
                </w:p>
                <w:p w14:paraId="1391F5B6">
                  <w:pPr>
                    <w:autoSpaceDE w:val="0"/>
                    <w:autoSpaceDN w:val="0"/>
                    <w:adjustRightInd w:val="0"/>
                    <w:snapToGrid w:val="0"/>
                    <w:spacing w:line="440" w:lineRule="exac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w:t>
                  </w:r>
                </w:p>
              </w:tc>
              <w:tc>
                <w:tcPr>
                  <w:tcW w:w="2084" w:type="dxa"/>
                  <w:noWrap w:val="0"/>
                  <w:vAlign w:val="center"/>
                </w:tcPr>
                <w:p w14:paraId="23300BA5">
                  <w:pPr>
                    <w:autoSpaceDE w:val="0"/>
                    <w:autoSpaceDN w:val="0"/>
                    <w:adjustRightInd w:val="0"/>
                    <w:snapToGrid w:val="0"/>
                    <w:spacing w:line="440" w:lineRule="exact"/>
                    <w:textAlignment w:val="bottom"/>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备注</w:t>
                  </w:r>
                </w:p>
              </w:tc>
            </w:tr>
            <w:tr w14:paraId="19548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534" w:type="dxa"/>
                  <w:noWrap w:val="0"/>
                  <w:vAlign w:val="center"/>
                </w:tcPr>
                <w:p w14:paraId="63074150">
                  <w:pPr>
                    <w:autoSpaceDE w:val="0"/>
                    <w:autoSpaceDN w:val="0"/>
                    <w:adjustRightInd w:val="0"/>
                    <w:snapToGrid w:val="0"/>
                    <w:spacing w:line="440" w:lineRule="exac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100以下</w:t>
                  </w:r>
                </w:p>
              </w:tc>
              <w:tc>
                <w:tcPr>
                  <w:tcW w:w="1140" w:type="dxa"/>
                  <w:noWrap w:val="0"/>
                  <w:vAlign w:val="center"/>
                </w:tcPr>
                <w:p w14:paraId="46A5FD59">
                  <w:pPr>
                    <w:autoSpaceDE w:val="0"/>
                    <w:autoSpaceDN w:val="0"/>
                    <w:adjustRightInd w:val="0"/>
                    <w:snapToGrid w:val="0"/>
                    <w:spacing w:line="440" w:lineRule="exac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946" w:type="dxa"/>
                  <w:noWrap w:val="0"/>
                  <w:vAlign w:val="center"/>
                </w:tcPr>
                <w:p w14:paraId="6123FC7A">
                  <w:pPr>
                    <w:autoSpaceDE w:val="0"/>
                    <w:autoSpaceDN w:val="0"/>
                    <w:adjustRightInd w:val="0"/>
                    <w:snapToGrid w:val="0"/>
                    <w:spacing w:line="440" w:lineRule="exac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2084" w:type="dxa"/>
                  <w:vMerge w:val="restart"/>
                  <w:noWrap w:val="0"/>
                  <w:vAlign w:val="center"/>
                </w:tcPr>
                <w:p w14:paraId="2562D1FC">
                  <w:pPr>
                    <w:autoSpaceDE w:val="0"/>
                    <w:autoSpaceDN w:val="0"/>
                    <w:adjustRightInd w:val="0"/>
                    <w:snapToGrid w:val="0"/>
                    <w:spacing w:line="440" w:lineRule="exact"/>
                    <w:textAlignment w:val="bottom"/>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其他费用按实收取，由中标人在领取中标通知书时支付。</w:t>
                  </w:r>
                </w:p>
              </w:tc>
            </w:tr>
            <w:tr w14:paraId="77C9F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534" w:type="dxa"/>
                  <w:noWrap w:val="0"/>
                  <w:vAlign w:val="center"/>
                </w:tcPr>
                <w:p w14:paraId="57A9CD54">
                  <w:pPr>
                    <w:autoSpaceDE w:val="0"/>
                    <w:autoSpaceDN w:val="0"/>
                    <w:adjustRightInd w:val="0"/>
                    <w:snapToGrid w:val="0"/>
                    <w:spacing w:line="440" w:lineRule="exac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100-500</w:t>
                  </w:r>
                </w:p>
              </w:tc>
              <w:tc>
                <w:tcPr>
                  <w:tcW w:w="1140" w:type="dxa"/>
                  <w:noWrap w:val="0"/>
                  <w:vAlign w:val="center"/>
                </w:tcPr>
                <w:p w14:paraId="7A4EAEB1">
                  <w:pPr>
                    <w:autoSpaceDE w:val="0"/>
                    <w:autoSpaceDN w:val="0"/>
                    <w:adjustRightInd w:val="0"/>
                    <w:snapToGrid w:val="0"/>
                    <w:spacing w:line="440" w:lineRule="exac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946" w:type="dxa"/>
                  <w:noWrap w:val="0"/>
                  <w:vAlign w:val="center"/>
                </w:tcPr>
                <w:p w14:paraId="66F69D67">
                  <w:pPr>
                    <w:autoSpaceDE w:val="0"/>
                    <w:autoSpaceDN w:val="0"/>
                    <w:adjustRightInd w:val="0"/>
                    <w:snapToGrid w:val="0"/>
                    <w:spacing w:line="440" w:lineRule="exac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0.8%</w:t>
                  </w:r>
                </w:p>
              </w:tc>
              <w:tc>
                <w:tcPr>
                  <w:tcW w:w="2084" w:type="dxa"/>
                  <w:vMerge w:val="continue"/>
                  <w:noWrap w:val="0"/>
                  <w:vAlign w:val="center"/>
                </w:tcPr>
                <w:p w14:paraId="1757412E">
                  <w:pPr>
                    <w:autoSpaceDE w:val="0"/>
                    <w:autoSpaceDN w:val="0"/>
                    <w:adjustRightInd w:val="0"/>
                    <w:snapToGrid w:val="0"/>
                    <w:spacing w:line="440" w:lineRule="exact"/>
                    <w:textAlignment w:val="bottom"/>
                    <w:rPr>
                      <w:rFonts w:hint="eastAsia" w:ascii="宋体" w:hAnsi="宋体" w:eastAsia="宋体" w:cs="宋体"/>
                      <w:color w:val="auto"/>
                      <w:kern w:val="0"/>
                      <w:szCs w:val="21"/>
                      <w:highlight w:val="none"/>
                    </w:rPr>
                  </w:pPr>
                </w:p>
              </w:tc>
            </w:tr>
            <w:tr w14:paraId="364E5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34" w:type="dxa"/>
                  <w:noWrap w:val="0"/>
                  <w:vAlign w:val="center"/>
                </w:tcPr>
                <w:p w14:paraId="292088ED">
                  <w:pPr>
                    <w:autoSpaceDE w:val="0"/>
                    <w:autoSpaceDN w:val="0"/>
                    <w:adjustRightInd w:val="0"/>
                    <w:snapToGrid w:val="0"/>
                    <w:spacing w:line="440" w:lineRule="exac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500-1000</w:t>
                  </w:r>
                </w:p>
              </w:tc>
              <w:tc>
                <w:tcPr>
                  <w:tcW w:w="1140" w:type="dxa"/>
                  <w:noWrap w:val="0"/>
                  <w:vAlign w:val="center"/>
                </w:tcPr>
                <w:p w14:paraId="520DBDDA">
                  <w:pPr>
                    <w:autoSpaceDE w:val="0"/>
                    <w:autoSpaceDN w:val="0"/>
                    <w:adjustRightInd w:val="0"/>
                    <w:snapToGrid w:val="0"/>
                    <w:spacing w:line="440" w:lineRule="exac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0.8%</w:t>
                  </w:r>
                </w:p>
              </w:tc>
              <w:tc>
                <w:tcPr>
                  <w:tcW w:w="946" w:type="dxa"/>
                  <w:noWrap w:val="0"/>
                  <w:vAlign w:val="center"/>
                </w:tcPr>
                <w:p w14:paraId="170027F9">
                  <w:pPr>
                    <w:autoSpaceDE w:val="0"/>
                    <w:autoSpaceDN w:val="0"/>
                    <w:adjustRightInd w:val="0"/>
                    <w:snapToGrid w:val="0"/>
                    <w:spacing w:line="440" w:lineRule="exac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0.45%</w:t>
                  </w:r>
                </w:p>
              </w:tc>
              <w:tc>
                <w:tcPr>
                  <w:tcW w:w="2084" w:type="dxa"/>
                  <w:vMerge w:val="continue"/>
                  <w:noWrap w:val="0"/>
                  <w:vAlign w:val="center"/>
                </w:tcPr>
                <w:p w14:paraId="1A4AF50C">
                  <w:pPr>
                    <w:autoSpaceDE w:val="0"/>
                    <w:autoSpaceDN w:val="0"/>
                    <w:adjustRightInd w:val="0"/>
                    <w:snapToGrid w:val="0"/>
                    <w:spacing w:line="440" w:lineRule="exact"/>
                    <w:textAlignment w:val="bottom"/>
                    <w:rPr>
                      <w:rFonts w:hint="eastAsia" w:ascii="宋体" w:hAnsi="宋体" w:eastAsia="宋体" w:cs="宋体"/>
                      <w:color w:val="auto"/>
                      <w:kern w:val="0"/>
                      <w:szCs w:val="21"/>
                      <w:highlight w:val="none"/>
                    </w:rPr>
                  </w:pPr>
                </w:p>
              </w:tc>
            </w:tr>
          </w:tbl>
          <w:p w14:paraId="04A460F4">
            <w:pPr>
              <w:autoSpaceDE w:val="0"/>
              <w:autoSpaceDN w:val="0"/>
              <w:adjustRightInd w:val="0"/>
              <w:snapToGrid w:val="0"/>
              <w:spacing w:line="440" w:lineRule="exac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代理服务费以（转账或现金形式支付）转账账户 ：</w:t>
            </w:r>
          </w:p>
          <w:p w14:paraId="279770EA">
            <w:pPr>
              <w:autoSpaceDE w:val="0"/>
              <w:autoSpaceDN w:val="0"/>
              <w:adjustRightInd w:val="0"/>
              <w:snapToGrid w:val="0"/>
              <w:spacing w:line="440" w:lineRule="exact"/>
              <w:textAlignment w:val="bottom"/>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eastAsia="zh-CN"/>
              </w:rPr>
              <w:t>开户名称：禾泽都林设计集团有限公司</w:t>
            </w:r>
            <w:r>
              <w:rPr>
                <w:rFonts w:hint="eastAsia" w:ascii="宋体" w:hAnsi="宋体" w:eastAsia="宋体" w:cs="宋体"/>
                <w:color w:val="auto"/>
                <w:kern w:val="0"/>
                <w:szCs w:val="21"/>
                <w:highlight w:val="none"/>
                <w:lang w:val="en-US" w:eastAsia="zh-CN"/>
              </w:rPr>
              <w:t>；</w:t>
            </w:r>
          </w:p>
          <w:p w14:paraId="1A9BAE97">
            <w:pPr>
              <w:autoSpaceDE w:val="0"/>
              <w:autoSpaceDN w:val="0"/>
              <w:adjustRightInd w:val="0"/>
              <w:snapToGrid w:val="0"/>
              <w:spacing w:line="440" w:lineRule="exact"/>
              <w:textAlignment w:val="bottom"/>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eastAsia="zh-CN"/>
              </w:rPr>
              <w:t>开户银行：</w:t>
            </w:r>
            <w:r>
              <w:rPr>
                <w:rFonts w:hint="eastAsia" w:ascii="宋体" w:hAnsi="宋体" w:eastAsia="宋体" w:cs="宋体"/>
                <w:color w:val="auto"/>
                <w:kern w:val="0"/>
                <w:szCs w:val="21"/>
                <w:highlight w:val="none"/>
                <w:lang w:val="en-US" w:eastAsia="zh-CN"/>
              </w:rPr>
              <w:t>招商银行嵊州支行；</w:t>
            </w:r>
          </w:p>
          <w:p w14:paraId="428E0FC0">
            <w:pPr>
              <w:autoSpaceDE w:val="0"/>
              <w:autoSpaceDN w:val="0"/>
              <w:adjustRightInd w:val="0"/>
              <w:snapToGrid w:val="0"/>
              <w:spacing w:line="440" w:lineRule="exact"/>
              <w:textAlignment w:val="bottom"/>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账  号：5759 0290 2110 606。</w:t>
            </w:r>
          </w:p>
          <w:p w14:paraId="60DFEA12">
            <w:pPr>
              <w:autoSpaceDE w:val="0"/>
              <w:autoSpaceDN w:val="0"/>
              <w:adjustRightInd w:val="0"/>
              <w:snapToGrid w:val="0"/>
              <w:spacing w:line="440" w:lineRule="exact"/>
              <w:textAlignment w:val="bottom"/>
              <w:rPr>
                <w:rFonts w:hint="default"/>
                <w:lang w:val="en-US" w:eastAsia="zh-CN"/>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代理费由中标单位支付</w:t>
            </w:r>
            <w:r>
              <w:rPr>
                <w:rFonts w:hint="eastAsia" w:ascii="宋体" w:hAnsi="宋体" w:cs="宋体"/>
                <w:color w:val="auto"/>
                <w:kern w:val="0"/>
                <w:szCs w:val="21"/>
                <w:highlight w:val="none"/>
                <w:lang w:val="en-US" w:eastAsia="zh-CN"/>
              </w:rPr>
              <w:t>。</w:t>
            </w:r>
          </w:p>
        </w:tc>
      </w:tr>
      <w:tr w14:paraId="29B346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31" w:type="dxa"/>
            <w:tcBorders>
              <w:top w:val="single" w:color="auto" w:sz="4" w:space="0"/>
              <w:bottom w:val="single" w:color="auto" w:sz="4" w:space="0"/>
              <w:right w:val="single" w:color="000000" w:sz="4" w:space="0"/>
            </w:tcBorders>
            <w:noWrap w:val="0"/>
            <w:vAlign w:val="center"/>
          </w:tcPr>
          <w:p w14:paraId="323AD4F9">
            <w:pPr>
              <w:autoSpaceDE w:val="0"/>
              <w:autoSpaceDN w:val="0"/>
              <w:snapToGrid w:val="0"/>
              <w:spacing w:line="440" w:lineRule="exact"/>
              <w:jc w:val="center"/>
              <w:textAlignment w:val="bottom"/>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15</w:t>
            </w:r>
          </w:p>
        </w:tc>
        <w:tc>
          <w:tcPr>
            <w:tcW w:w="1672" w:type="dxa"/>
            <w:tcBorders>
              <w:top w:val="single" w:color="auto" w:sz="4" w:space="0"/>
              <w:left w:val="single" w:color="000000" w:sz="4" w:space="0"/>
              <w:bottom w:val="single" w:color="auto" w:sz="4" w:space="0"/>
              <w:right w:val="single" w:color="auto" w:sz="4" w:space="0"/>
            </w:tcBorders>
            <w:noWrap w:val="0"/>
            <w:vAlign w:val="center"/>
          </w:tcPr>
          <w:p w14:paraId="6B310766">
            <w:pPr>
              <w:snapToGrid w:val="0"/>
              <w:spacing w:line="44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Cs w:val="21"/>
                <w:highlight w:val="none"/>
              </w:rPr>
              <w:t>磋商响应文件的接收</w:t>
            </w:r>
          </w:p>
        </w:tc>
        <w:tc>
          <w:tcPr>
            <w:tcW w:w="7331" w:type="dxa"/>
            <w:tcBorders>
              <w:top w:val="single" w:color="auto" w:sz="4" w:space="0"/>
              <w:left w:val="single" w:color="auto" w:sz="4" w:space="0"/>
              <w:bottom w:val="single" w:color="auto" w:sz="4" w:space="0"/>
            </w:tcBorders>
            <w:noWrap w:val="0"/>
            <w:vAlign w:val="center"/>
          </w:tcPr>
          <w:p w14:paraId="095D8D89">
            <w:pPr>
              <w:autoSpaceDE w:val="0"/>
              <w:autoSpaceDN w:val="0"/>
              <w:adjustRightInd w:val="0"/>
              <w:snapToGrid w:val="0"/>
              <w:spacing w:line="440" w:lineRule="exact"/>
              <w:textAlignment w:val="bottom"/>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磋商响应方应当在磋商响应截止时间前完成电子磋商响应文件的传输递交，并可以补充、修改或者撤回电子磋商响应文件。补充或者修改电子磋商响应文件的，应当先行撤回原文件，补充、修改后重新传输递交。磋商截止时间前未完成传输的，视为撤回磋商响应文件。磋商响应截止时间后送达的磋商响应文件，将被乐采云平台拒收。</w:t>
            </w:r>
          </w:p>
        </w:tc>
      </w:tr>
      <w:tr w14:paraId="45BBDF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731" w:type="dxa"/>
            <w:tcBorders>
              <w:top w:val="single" w:color="auto" w:sz="4" w:space="0"/>
              <w:bottom w:val="single" w:color="000000" w:sz="4" w:space="0"/>
              <w:right w:val="single" w:color="000000" w:sz="4" w:space="0"/>
            </w:tcBorders>
            <w:noWrap w:val="0"/>
            <w:vAlign w:val="center"/>
          </w:tcPr>
          <w:p w14:paraId="5BE6C970">
            <w:pPr>
              <w:autoSpaceDE w:val="0"/>
              <w:autoSpaceDN w:val="0"/>
              <w:snapToGrid w:val="0"/>
              <w:spacing w:line="440" w:lineRule="exact"/>
              <w:jc w:val="center"/>
              <w:textAlignment w:val="bottom"/>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16</w:t>
            </w:r>
          </w:p>
        </w:tc>
        <w:tc>
          <w:tcPr>
            <w:tcW w:w="1672" w:type="dxa"/>
            <w:tcBorders>
              <w:top w:val="single" w:color="auto" w:sz="4" w:space="0"/>
              <w:left w:val="single" w:color="000000" w:sz="4" w:space="0"/>
              <w:bottom w:val="single" w:color="auto" w:sz="4" w:space="0"/>
              <w:right w:val="single" w:color="auto" w:sz="4" w:space="0"/>
            </w:tcBorders>
            <w:noWrap w:val="0"/>
            <w:vAlign w:val="center"/>
          </w:tcPr>
          <w:p w14:paraId="5D9FEB8C">
            <w:pPr>
              <w:autoSpaceDE w:val="0"/>
              <w:autoSpaceDN w:val="0"/>
              <w:snapToGrid w:val="0"/>
              <w:spacing w:line="440" w:lineRule="exact"/>
              <w:jc w:val="center"/>
              <w:textAlignment w:val="bottom"/>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Cs w:val="21"/>
                <w:highlight w:val="none"/>
              </w:rPr>
              <w:t>讲标询标</w:t>
            </w:r>
          </w:p>
        </w:tc>
        <w:tc>
          <w:tcPr>
            <w:tcW w:w="7331" w:type="dxa"/>
            <w:tcBorders>
              <w:top w:val="single" w:color="auto" w:sz="4" w:space="0"/>
              <w:left w:val="single" w:color="auto" w:sz="4" w:space="0"/>
              <w:bottom w:val="single" w:color="auto" w:sz="4" w:space="0"/>
            </w:tcBorders>
            <w:noWrap w:val="0"/>
            <w:vAlign w:val="center"/>
          </w:tcPr>
          <w:p w14:paraId="2D323EE0">
            <w:pPr>
              <w:autoSpaceDE w:val="0"/>
              <w:autoSpaceDN w:val="0"/>
              <w:adjustRightInd w:val="0"/>
              <w:snapToGrid w:val="0"/>
              <w:spacing w:line="440" w:lineRule="exact"/>
              <w:textAlignment w:val="bottom"/>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如有需要，在评标时各</w:t>
            </w:r>
            <w:r>
              <w:rPr>
                <w:rFonts w:hint="eastAsia" w:ascii="宋体" w:hAnsi="宋体" w:eastAsia="宋体" w:cs="宋体"/>
                <w:color w:val="auto"/>
                <w:kern w:val="0"/>
                <w:szCs w:val="21"/>
                <w:highlight w:val="none"/>
                <w:lang w:eastAsia="zh-CN"/>
              </w:rPr>
              <w:t>潜在供应商</w:t>
            </w:r>
            <w:r>
              <w:rPr>
                <w:rFonts w:hint="eastAsia" w:ascii="宋体" w:hAnsi="宋体" w:eastAsia="宋体" w:cs="宋体"/>
                <w:color w:val="auto"/>
                <w:kern w:val="0"/>
                <w:szCs w:val="21"/>
                <w:highlight w:val="none"/>
              </w:rPr>
              <w:t>需准备并接受评委在线询标，开评标时需保持网络的通畅及在线。</w:t>
            </w:r>
          </w:p>
        </w:tc>
      </w:tr>
      <w:tr w14:paraId="597150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731" w:type="dxa"/>
            <w:tcBorders>
              <w:top w:val="single" w:color="auto" w:sz="4" w:space="0"/>
              <w:bottom w:val="single" w:color="000000" w:sz="4" w:space="0"/>
              <w:right w:val="single" w:color="000000" w:sz="4" w:space="0"/>
            </w:tcBorders>
            <w:noWrap w:val="0"/>
            <w:vAlign w:val="center"/>
          </w:tcPr>
          <w:p w14:paraId="442A6885">
            <w:pPr>
              <w:autoSpaceDE w:val="0"/>
              <w:autoSpaceDN w:val="0"/>
              <w:snapToGrid w:val="0"/>
              <w:spacing w:line="440" w:lineRule="exact"/>
              <w:jc w:val="center"/>
              <w:textAlignment w:val="bottom"/>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w:t>
            </w:r>
          </w:p>
        </w:tc>
        <w:tc>
          <w:tcPr>
            <w:tcW w:w="1672" w:type="dxa"/>
            <w:tcBorders>
              <w:top w:val="single" w:color="auto" w:sz="4" w:space="0"/>
              <w:left w:val="single" w:color="000000" w:sz="4" w:space="0"/>
              <w:bottom w:val="single" w:color="auto" w:sz="4" w:space="0"/>
              <w:right w:val="single" w:color="auto" w:sz="4" w:space="0"/>
            </w:tcBorders>
            <w:noWrap w:val="0"/>
            <w:vAlign w:val="center"/>
          </w:tcPr>
          <w:p w14:paraId="475C82D5">
            <w:pPr>
              <w:widowControl/>
              <w:spacing w:line="44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Cs w:val="21"/>
                <w:highlight w:val="none"/>
              </w:rPr>
              <w:t>解释</w:t>
            </w:r>
          </w:p>
        </w:tc>
        <w:tc>
          <w:tcPr>
            <w:tcW w:w="7331" w:type="dxa"/>
            <w:tcBorders>
              <w:top w:val="single" w:color="auto" w:sz="4" w:space="0"/>
              <w:left w:val="single" w:color="auto" w:sz="4" w:space="0"/>
              <w:bottom w:val="single" w:color="auto" w:sz="4" w:space="0"/>
            </w:tcBorders>
            <w:noWrap w:val="0"/>
            <w:vAlign w:val="center"/>
          </w:tcPr>
          <w:p w14:paraId="1D6F3A93">
            <w:pPr>
              <w:snapToGrid w:val="0"/>
              <w:spacing w:line="440" w:lineRule="exact"/>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szCs w:val="21"/>
                <w:highlight w:val="none"/>
              </w:rPr>
              <w:t>本磋商文件的解释权属于采购人和招标代理机构。</w:t>
            </w:r>
          </w:p>
        </w:tc>
      </w:tr>
    </w:tbl>
    <w:p w14:paraId="3B111653">
      <w:pPr>
        <w:outlineLvl w:val="1"/>
        <w:rPr>
          <w:rFonts w:hint="eastAsia" w:ascii="宋体" w:hAnsi="宋体" w:eastAsia="宋体" w:cs="宋体"/>
          <w:b/>
          <w:color w:val="auto"/>
          <w:sz w:val="24"/>
          <w:szCs w:val="24"/>
          <w:highlight w:val="none"/>
        </w:rPr>
      </w:pPr>
      <w:bookmarkStart w:id="43" w:name="_Toc1082"/>
      <w:r>
        <w:rPr>
          <w:rFonts w:hint="eastAsia" w:ascii="宋体" w:hAnsi="宋体" w:eastAsia="宋体" w:cs="宋体"/>
          <w:b/>
          <w:color w:val="auto"/>
          <w:sz w:val="24"/>
          <w:szCs w:val="24"/>
          <w:highlight w:val="none"/>
        </w:rPr>
        <w:t>一、总则</w:t>
      </w:r>
      <w:bookmarkEnd w:id="43"/>
    </w:p>
    <w:p w14:paraId="3B21F709">
      <w:pPr>
        <w:snapToGrid w:val="0"/>
        <w:spacing w:line="360" w:lineRule="auto"/>
        <w:ind w:firstLine="312" w:firstLineChars="148"/>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（一）适用范围</w:t>
      </w:r>
    </w:p>
    <w:p w14:paraId="1799139D">
      <w:pPr>
        <w:snapToGrid w:val="0"/>
        <w:spacing w:line="360" w:lineRule="auto"/>
        <w:ind w:firstLine="310" w:firstLineChars="148"/>
        <w:jc w:val="left"/>
        <w:rPr>
          <w:rFonts w:hint="eastAsia" w:ascii="宋体" w:hAnsi="宋体" w:eastAsia="宋体" w:cs="宋体"/>
          <w:color w:val="auto"/>
          <w:szCs w:val="21"/>
          <w:highlight w:val="none"/>
        </w:rPr>
      </w:pPr>
      <w:bookmarkStart w:id="44" w:name="_Toc5014998"/>
      <w:bookmarkStart w:id="45" w:name="_Toc11860786"/>
      <w:r>
        <w:rPr>
          <w:rFonts w:hint="eastAsia" w:ascii="宋体" w:hAnsi="宋体" w:eastAsia="宋体" w:cs="宋体"/>
          <w:color w:val="auto"/>
          <w:szCs w:val="21"/>
          <w:highlight w:val="none"/>
        </w:rPr>
        <w:t>本磋商文件适用于</w:t>
      </w:r>
      <w:r>
        <w:rPr>
          <w:rFonts w:hint="eastAsia" w:ascii="宋体" w:hAnsi="宋体" w:eastAsia="宋体" w:cs="宋体"/>
          <w:b/>
          <w:bCs/>
          <w:color w:val="auto"/>
          <w:szCs w:val="21"/>
          <w:highlight w:val="none"/>
          <w:lang w:eastAsia="zh-CN"/>
        </w:rPr>
        <w:t>航空"嵊州小笼包"主题冠名宣传推广项目</w:t>
      </w:r>
      <w:r>
        <w:rPr>
          <w:rFonts w:hint="eastAsia" w:ascii="宋体" w:hAnsi="宋体" w:eastAsia="宋体" w:cs="宋体"/>
          <w:b/>
          <w:bCs/>
          <w:color w:val="auto"/>
          <w:szCs w:val="21"/>
          <w:highlight w:val="none"/>
        </w:rPr>
        <w:t>（项目编号：</w:t>
      </w:r>
      <w:r>
        <w:rPr>
          <w:rFonts w:hint="eastAsia" w:ascii="宋体" w:hAnsi="宋体" w:eastAsia="宋体" w:cs="宋体"/>
          <w:b/>
          <w:bCs/>
          <w:color w:val="auto"/>
          <w:szCs w:val="21"/>
          <w:highlight w:val="none"/>
          <w:lang w:eastAsia="zh-CN"/>
        </w:rPr>
        <w:t>HZDL-2025-001）</w:t>
      </w:r>
      <w:r>
        <w:rPr>
          <w:rFonts w:hint="eastAsia" w:ascii="宋体" w:hAnsi="宋体" w:eastAsia="宋体" w:cs="宋体"/>
          <w:color w:val="auto"/>
          <w:szCs w:val="21"/>
          <w:highlight w:val="none"/>
        </w:rPr>
        <w:t>的招标、投标、评标、定标、验收、合同履约、付款等行为（法律、法规另有规定的，从其规定）。</w:t>
      </w:r>
      <w:bookmarkEnd w:id="44"/>
      <w:bookmarkEnd w:id="45"/>
    </w:p>
    <w:p w14:paraId="465848D5">
      <w:pPr>
        <w:snapToGrid w:val="0"/>
        <w:spacing w:line="360" w:lineRule="auto"/>
        <w:ind w:firstLine="312" w:firstLineChars="148"/>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（二）定义</w:t>
      </w:r>
    </w:p>
    <w:p w14:paraId="07722BD9">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1.“采购人”系指组织本次招标的招标单位(或采购人/采购单位)。</w:t>
      </w:r>
    </w:p>
    <w:p w14:paraId="1A432C74">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2.“磋商方”系指组织本次磋商的</w:t>
      </w:r>
      <w:r>
        <w:rPr>
          <w:rFonts w:hint="eastAsia" w:ascii="宋体" w:hAnsi="宋体" w:eastAsia="宋体" w:cs="宋体"/>
          <w:color w:val="auto"/>
          <w:szCs w:val="21"/>
          <w:highlight w:val="none"/>
          <w:lang w:eastAsia="zh-CN"/>
        </w:rPr>
        <w:t>禾泽都林设计集团有限公司</w:t>
      </w:r>
      <w:r>
        <w:rPr>
          <w:rFonts w:hint="eastAsia" w:ascii="宋体" w:hAnsi="宋体" w:eastAsia="宋体" w:cs="宋体"/>
          <w:color w:val="auto"/>
          <w:szCs w:val="21"/>
          <w:highlight w:val="none"/>
        </w:rPr>
        <w:t>。</w:t>
      </w:r>
    </w:p>
    <w:p w14:paraId="2F938CB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3.“磋商响应方”系指向磋商方提交磋商响应文件的单位。</w:t>
      </w:r>
    </w:p>
    <w:p w14:paraId="5EF3B70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4.“中标单位”：是指经评标</w:t>
      </w:r>
      <w:r>
        <w:rPr>
          <w:rFonts w:hint="eastAsia" w:ascii="宋体" w:hAnsi="宋体" w:eastAsia="宋体" w:cs="宋体"/>
          <w:color w:val="auto"/>
          <w:szCs w:val="21"/>
          <w:highlight w:val="none"/>
          <w:lang w:eastAsia="zh-CN"/>
        </w:rPr>
        <w:t>小组</w:t>
      </w:r>
      <w:r>
        <w:rPr>
          <w:rFonts w:hint="eastAsia" w:ascii="宋体" w:hAnsi="宋体" w:eastAsia="宋体" w:cs="宋体"/>
          <w:color w:val="auto"/>
          <w:szCs w:val="21"/>
          <w:highlight w:val="none"/>
        </w:rPr>
        <w:t>推荐并经采购人确认的中标成交单位。</w:t>
      </w:r>
    </w:p>
    <w:p w14:paraId="71339A4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5.“项目”系指磋商响应方按采购文件规定向采购人提供的货物或服务或工程。</w:t>
      </w:r>
    </w:p>
    <w:p w14:paraId="6E126752">
      <w:pPr>
        <w:snapToGrid w:val="0"/>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9.特殊符号定义与说明</w:t>
      </w:r>
    </w:p>
    <w:p w14:paraId="21C36998">
      <w:pPr>
        <w:snapToGrid w:val="0"/>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①标注“□”号的内容：系指“不适用本项目的要求”；</w:t>
      </w:r>
    </w:p>
    <w:p w14:paraId="48216405">
      <w:pPr>
        <w:snapToGrid w:val="0"/>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②标注“</w:t>
      </w: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rPr>
        <w:t>”号的内容：系指“适用本项目的要求”。</w:t>
      </w:r>
    </w:p>
    <w:p w14:paraId="6723A79F">
      <w:pPr>
        <w:snapToGrid w:val="0"/>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10.其他定义</w:t>
      </w:r>
    </w:p>
    <w:p w14:paraId="11213C5E">
      <w:pPr>
        <w:snapToGrid w:val="0"/>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 1 \* GB3 \* MERGEFORMAT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szCs w:val="21"/>
          <w:highlight w:val="none"/>
        </w:rPr>
        <w:t>①</w:t>
      </w:r>
      <w:r>
        <w:rPr>
          <w:rFonts w:hint="eastAsia" w:ascii="宋体" w:hAnsi="宋体" w:eastAsia="宋体" w:cs="宋体"/>
          <w:bCs/>
          <w:color w:val="auto"/>
          <w:szCs w:val="21"/>
          <w:highlight w:val="none"/>
        </w:rPr>
        <w:fldChar w:fldCharType="end"/>
      </w:r>
      <w:r>
        <w:rPr>
          <w:rFonts w:hint="eastAsia" w:ascii="宋体" w:hAnsi="宋体" w:eastAsia="宋体" w:cs="宋体"/>
          <w:bCs/>
          <w:color w:val="auto"/>
          <w:szCs w:val="21"/>
          <w:highlight w:val="none"/>
        </w:rPr>
        <w:t>“书面形式”是合同书、信件、电报、电传、传真等可以有形地表现所载内容的形式。以电子数据交换、电子邮件等方式能够有形地表现所载内容，并可以随时调取查用的数据电文，视为书面形式。</w:t>
      </w:r>
    </w:p>
    <w:p w14:paraId="7B4DEA4A">
      <w:pPr>
        <w:snapToGrid w:val="0"/>
        <w:spacing w:line="360" w:lineRule="auto"/>
        <w:ind w:firstLine="420" w:firstLineChars="200"/>
        <w:jc w:val="left"/>
        <w:rPr>
          <w:rFonts w:hint="eastAsia" w:ascii="宋体" w:hAnsi="宋体" w:eastAsia="宋体" w:cs="宋体"/>
          <w:b/>
          <w:bCs/>
          <w:color w:val="auto"/>
          <w:kern w:val="0"/>
          <w:szCs w:val="21"/>
          <w:highlight w:val="none"/>
        </w:rPr>
      </w:pPr>
      <w:r>
        <w:rPr>
          <w:rFonts w:hint="eastAsia" w:ascii="宋体" w:hAnsi="宋体" w:eastAsia="宋体" w:cs="宋体"/>
          <w:bCs/>
          <w:color w:val="auto"/>
          <w:szCs w:val="21"/>
          <w:highlight w:val="none"/>
        </w:rPr>
        <w:t>②</w:t>
      </w:r>
      <w:r>
        <w:rPr>
          <w:rFonts w:hint="eastAsia" w:ascii="宋体" w:hAnsi="宋体" w:eastAsia="宋体" w:cs="宋体"/>
          <w:b/>
          <w:color w:val="auto"/>
          <w:kern w:val="0"/>
          <w:szCs w:val="21"/>
          <w:highlight w:val="none"/>
        </w:rPr>
        <w:t>“复制件”</w:t>
      </w:r>
      <w:r>
        <w:rPr>
          <w:rFonts w:hint="eastAsia" w:ascii="宋体" w:hAnsi="宋体" w:eastAsia="宋体" w:cs="宋体"/>
          <w:color w:val="auto"/>
          <w:kern w:val="0"/>
          <w:szCs w:val="21"/>
          <w:highlight w:val="none"/>
        </w:rPr>
        <w:t>是指原件的复印件或扫描件。</w:t>
      </w:r>
    </w:p>
    <w:p w14:paraId="36C6EB9D">
      <w:pPr>
        <w:snapToGrid w:val="0"/>
        <w:spacing w:line="360" w:lineRule="auto"/>
        <w:ind w:firstLine="312" w:firstLineChars="148"/>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（三）语言</w:t>
      </w:r>
    </w:p>
    <w:p w14:paraId="31147EAE">
      <w:pPr>
        <w:pStyle w:val="22"/>
        <w:spacing w:beforeLines="0"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磋商响应文件及报价人与采购单位之间的与磋商响应文件有关的往来函电和文件均须使用中文。</w:t>
      </w:r>
    </w:p>
    <w:p w14:paraId="15257707">
      <w:pPr>
        <w:snapToGrid w:val="0"/>
        <w:spacing w:line="360" w:lineRule="auto"/>
        <w:ind w:firstLine="312" w:firstLineChars="148"/>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（四）其他</w:t>
      </w:r>
    </w:p>
    <w:p w14:paraId="079F8CEF">
      <w:pPr>
        <w:snapToGrid w:val="0"/>
        <w:spacing w:line="360" w:lineRule="auto"/>
        <w:ind w:firstLine="411" w:firstLineChars="196"/>
        <w:jc w:val="left"/>
        <w:rPr>
          <w:rFonts w:hint="eastAsia" w:ascii="宋体" w:hAnsi="宋体" w:eastAsia="宋体" w:cs="宋体"/>
          <w:color w:val="auto"/>
          <w:szCs w:val="21"/>
          <w:highlight w:val="none"/>
        </w:rPr>
      </w:pPr>
      <w:bookmarkStart w:id="46" w:name="_Toc5014999"/>
      <w:bookmarkStart w:id="47" w:name="_Toc11860787"/>
      <w:r>
        <w:rPr>
          <w:rFonts w:hint="eastAsia" w:ascii="宋体" w:hAnsi="宋体" w:eastAsia="宋体" w:cs="宋体"/>
          <w:color w:val="auto"/>
          <w:szCs w:val="21"/>
          <w:highlight w:val="none"/>
        </w:rPr>
        <w:t>1.如全权代表不是法定代表人，须有法定代表人出具的授权委托书（格式见第六章）。</w:t>
      </w:r>
      <w:bookmarkEnd w:id="46"/>
      <w:bookmarkEnd w:id="47"/>
    </w:p>
    <w:p w14:paraId="7B83E2F8">
      <w:pPr>
        <w:pStyle w:val="10"/>
        <w:snapToGrid w:val="0"/>
        <w:spacing w:beforeLines="0" w:afterLines="0" w:line="360" w:lineRule="auto"/>
        <w:ind w:left="2" w:leftChars="1"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2.磋商响应方所使用的资格、信誉、荣誉、业绩与企业认证必须为本法人所拥有。其所使用的采购项目实施人员必须为本法人员工（或必须为本法人或其控股公司正式员工）。</w:t>
      </w:r>
    </w:p>
    <w:p w14:paraId="5724F0D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3.单位负责人为同一人或者存在直接控股、管理关系的不同供应商，不得参加同一合同项下的政企采购活动。</w:t>
      </w:r>
    </w:p>
    <w:p w14:paraId="07A14F60">
      <w:pPr>
        <w:snapToGrid w:val="0"/>
        <w:spacing w:line="360" w:lineRule="auto"/>
        <w:ind w:firstLine="411" w:firstLineChars="196"/>
        <w:jc w:val="left"/>
        <w:rPr>
          <w:rFonts w:hint="eastAsia" w:ascii="宋体" w:hAnsi="宋体" w:eastAsia="宋体" w:cs="宋体"/>
          <w:color w:val="auto"/>
          <w:szCs w:val="21"/>
          <w:highlight w:val="none"/>
        </w:rPr>
      </w:pPr>
      <w:bookmarkStart w:id="48" w:name="_Toc5015000"/>
      <w:bookmarkStart w:id="49" w:name="_Toc11860788"/>
      <w:r>
        <w:rPr>
          <w:rFonts w:hint="eastAsia" w:ascii="宋体" w:hAnsi="宋体" w:eastAsia="宋体" w:cs="宋体"/>
          <w:color w:val="auto"/>
          <w:szCs w:val="21"/>
          <w:highlight w:val="none"/>
        </w:rPr>
        <w:t>4.磋商响应方应仔细阅读竞争性磋商文件的所有内容，按照竞争性磋商文件的要求提交磋商响应文件，并对所提供的全部资料的真实性承担法律责任。</w:t>
      </w:r>
      <w:bookmarkEnd w:id="48"/>
      <w:bookmarkEnd w:id="49"/>
    </w:p>
    <w:p w14:paraId="0F63C5B0">
      <w:pPr>
        <w:snapToGrid w:val="0"/>
        <w:spacing w:line="360" w:lineRule="auto"/>
        <w:ind w:firstLine="413" w:firstLineChars="196"/>
        <w:jc w:val="left"/>
        <w:rPr>
          <w:rFonts w:hint="eastAsia" w:ascii="宋体" w:hAnsi="宋体" w:eastAsia="宋体" w:cs="宋体"/>
          <w:b/>
          <w:color w:val="auto"/>
          <w:szCs w:val="21"/>
          <w:highlight w:val="none"/>
        </w:rPr>
      </w:pPr>
      <w:bookmarkStart w:id="50" w:name="_Toc11860789"/>
      <w:bookmarkStart w:id="51" w:name="_Toc5015001"/>
      <w:r>
        <w:rPr>
          <w:rFonts w:hint="eastAsia" w:ascii="宋体" w:hAnsi="宋体" w:eastAsia="宋体" w:cs="宋体"/>
          <w:b/>
          <w:color w:val="auto"/>
          <w:szCs w:val="21"/>
          <w:highlight w:val="none"/>
        </w:rPr>
        <w:t>（五）磋商响应费用</w:t>
      </w:r>
      <w:bookmarkEnd w:id="50"/>
      <w:bookmarkEnd w:id="51"/>
    </w:p>
    <w:p w14:paraId="4515958E">
      <w:pPr>
        <w:snapToGrid w:val="0"/>
        <w:spacing w:line="360" w:lineRule="auto"/>
        <w:ind w:firstLine="411" w:firstLineChars="196"/>
        <w:jc w:val="left"/>
        <w:rPr>
          <w:rFonts w:hint="eastAsia" w:ascii="宋体" w:hAnsi="宋体" w:eastAsia="宋体" w:cs="宋体"/>
          <w:color w:val="auto"/>
          <w:szCs w:val="21"/>
          <w:highlight w:val="none"/>
        </w:rPr>
      </w:pPr>
      <w:bookmarkStart w:id="52" w:name="_Toc11860790"/>
      <w:bookmarkStart w:id="53" w:name="_Toc5015002"/>
      <w:r>
        <w:rPr>
          <w:rFonts w:hint="eastAsia" w:ascii="宋体" w:hAnsi="宋体" w:eastAsia="宋体" w:cs="宋体"/>
          <w:color w:val="auto"/>
          <w:szCs w:val="21"/>
          <w:highlight w:val="none"/>
        </w:rPr>
        <w:t>不论磋商采购结果如何，磋商响应方均应自行承担所有与磋商响应有关的全部费用（磋商文件有其他规定除外）。</w:t>
      </w:r>
      <w:bookmarkEnd w:id="52"/>
      <w:bookmarkEnd w:id="53"/>
    </w:p>
    <w:p w14:paraId="0EE7C6BC">
      <w:pPr>
        <w:pStyle w:val="4"/>
        <w:widowControl w:val="0"/>
        <w:tabs>
          <w:tab w:val="left" w:pos="720"/>
        </w:tabs>
        <w:snapToGrid w:val="0"/>
        <w:spacing w:afterLines="0" w:line="360" w:lineRule="auto"/>
        <w:ind w:left="0"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（六）联合体投标</w:t>
      </w:r>
    </w:p>
    <w:p w14:paraId="7951B79B">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本项目不接受联合体投标。</w:t>
      </w:r>
    </w:p>
    <w:p w14:paraId="0DEE8307">
      <w:pPr>
        <w:pStyle w:val="4"/>
        <w:widowControl w:val="0"/>
        <w:tabs>
          <w:tab w:val="left" w:pos="720"/>
        </w:tabs>
        <w:snapToGrid w:val="0"/>
        <w:spacing w:afterLines="0" w:line="360" w:lineRule="auto"/>
        <w:ind w:left="0"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（七）转包或分包</w:t>
      </w:r>
    </w:p>
    <w:p w14:paraId="249FCEC4">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转包或分包：详见《前附表》。</w:t>
      </w:r>
    </w:p>
    <w:p w14:paraId="48CF247A">
      <w:pPr>
        <w:snapToGrid w:val="0"/>
        <w:spacing w:line="360" w:lineRule="auto"/>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（八）特殊供应商参加采购活动的规定</w:t>
      </w:r>
    </w:p>
    <w:p w14:paraId="309D543A">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根据相关文件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采购活动。上述单位参加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单位负责人、自然人本人）签署的文件材料具有同等效力。</w:t>
      </w:r>
    </w:p>
    <w:p w14:paraId="0B10DF9E">
      <w:pPr>
        <w:pStyle w:val="4"/>
        <w:widowControl w:val="0"/>
        <w:tabs>
          <w:tab w:val="left" w:pos="720"/>
        </w:tabs>
        <w:snapToGrid w:val="0"/>
        <w:spacing w:afterLines="0" w:line="360" w:lineRule="auto"/>
        <w:ind w:left="0"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（九）质疑和投诉</w:t>
      </w:r>
    </w:p>
    <w:p w14:paraId="179C0092">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1.磋商响应方认为招标文件、招标过程或中标结果使自己的合法权益受到损害的，应当在知道或者应知其权益受到损害之日起七个工作日内，以书面形式一次性向采购人、采购代理机构提出质疑。</w:t>
      </w:r>
      <w:r>
        <w:rPr>
          <w:rFonts w:hint="eastAsia" w:ascii="宋体" w:hAnsi="宋体" w:eastAsia="宋体" w:cs="宋体"/>
          <w:color w:val="auto"/>
          <w:szCs w:val="21"/>
          <w:highlight w:val="none"/>
        </w:rPr>
        <w:t>磋商响应方对招标采购单位的质疑答复不满意或者招标采购单位未在规定时间内作出答复的，可以在答复期满后十五个工作日内向同级采购监督管理部门投诉。</w:t>
      </w:r>
    </w:p>
    <w:p w14:paraId="73BAA239">
      <w:pPr>
        <w:spacing w:line="360" w:lineRule="auto"/>
        <w:ind w:firstLine="404" w:firstLineChars="200"/>
        <w:jc w:val="left"/>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上述所指“磋商响应方应知其权益受到损害之日”，是指：</w:t>
      </w:r>
    </w:p>
    <w:p w14:paraId="31E9380E">
      <w:pPr>
        <w:spacing w:line="360" w:lineRule="auto"/>
        <w:ind w:firstLine="404" w:firstLineChars="200"/>
        <w:jc w:val="left"/>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（1）对采购文件提出质疑的，为获取采购文件之日或者采购文件公告期限届满之日（采购文件公告期限届满后获取采购文件的，以采购文件公告期限届满之日为准）；</w:t>
      </w:r>
    </w:p>
    <w:p w14:paraId="577CA631">
      <w:pPr>
        <w:spacing w:line="360" w:lineRule="auto"/>
        <w:ind w:firstLine="404" w:firstLineChars="200"/>
        <w:jc w:val="left"/>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（2）对采购过程提出质疑的，为各采购程序环节结束之日；</w:t>
      </w:r>
    </w:p>
    <w:p w14:paraId="6D02ED92">
      <w:pPr>
        <w:spacing w:line="360" w:lineRule="auto"/>
        <w:ind w:firstLine="404" w:firstLineChars="200"/>
        <w:jc w:val="left"/>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（3）对中标或者成交结果提出质疑的，为中标或者成交结果公告期限届满之日。</w:t>
      </w:r>
    </w:p>
    <w:p w14:paraId="652D79A6">
      <w:pPr>
        <w:spacing w:line="360" w:lineRule="auto"/>
        <w:ind w:firstLine="404" w:firstLineChars="200"/>
        <w:jc w:val="left"/>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2.质疑、投诉应当采用书面形式（原件一式三份），经法定代表人（单位负责人、自然人本人）（单位负责人、自然人本人）或其授权代表签署后加盖单位公章，质疑书、投诉书均应明确阐述采购文件、招标过程和中标结果中使自己合法权益受到损害的实质性内容，</w:t>
      </w:r>
      <w:r>
        <w:rPr>
          <w:rFonts w:hint="eastAsia" w:ascii="宋体" w:hAnsi="宋体" w:eastAsia="宋体" w:cs="宋体"/>
          <w:color w:val="auto"/>
          <w:spacing w:val="-4"/>
          <w:szCs w:val="21"/>
          <w:highlight w:val="none"/>
          <w:lang w:eastAsia="zh-CN"/>
        </w:rPr>
        <w:t>潜在供应商</w:t>
      </w:r>
      <w:r>
        <w:rPr>
          <w:rFonts w:hint="eastAsia" w:ascii="宋体" w:hAnsi="宋体" w:eastAsia="宋体" w:cs="宋体"/>
          <w:color w:val="auto"/>
          <w:spacing w:val="-4"/>
          <w:szCs w:val="21"/>
          <w:highlight w:val="none"/>
        </w:rPr>
        <w:t>提出的质疑、投诉应当有明确的诉求（即通过质疑所要达到的具体目标）和必要的证明材料（即通过合法手段获得的能够证明</w:t>
      </w:r>
      <w:r>
        <w:rPr>
          <w:rFonts w:hint="eastAsia" w:ascii="宋体" w:hAnsi="宋体" w:eastAsia="宋体" w:cs="宋体"/>
          <w:color w:val="auto"/>
          <w:spacing w:val="-4"/>
          <w:szCs w:val="21"/>
          <w:highlight w:val="none"/>
          <w:lang w:eastAsia="zh-CN"/>
        </w:rPr>
        <w:t>潜在供应商</w:t>
      </w:r>
      <w:r>
        <w:rPr>
          <w:rFonts w:hint="eastAsia" w:ascii="宋体" w:hAnsi="宋体" w:eastAsia="宋体" w:cs="宋体"/>
          <w:color w:val="auto"/>
          <w:spacing w:val="-4"/>
          <w:szCs w:val="21"/>
          <w:highlight w:val="none"/>
        </w:rPr>
        <w:t>的诉求成立的必要材料，如相关事实、依据和证据及其来源或线索），便于有关单位调查、答复和处理, 质疑函不符合相关规定的，应在规定期限内补齐的，招标方自收到补齐材料之日起受理；逾期未补齐的，按自动撤回质疑处理。</w:t>
      </w:r>
    </w:p>
    <w:p w14:paraId="59BD64B1">
      <w:pPr>
        <w:spacing w:line="360" w:lineRule="auto"/>
        <w:ind w:firstLine="404" w:firstLineChars="200"/>
        <w:jc w:val="left"/>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质疑函应当包括下列内容：</w:t>
      </w:r>
    </w:p>
    <w:p w14:paraId="06361C85">
      <w:pPr>
        <w:spacing w:line="360" w:lineRule="auto"/>
        <w:ind w:firstLine="404" w:firstLineChars="200"/>
        <w:jc w:val="left"/>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（1）磋商响应方的姓名或者名称、地址、邮编、联系人及联系电话；</w:t>
      </w:r>
    </w:p>
    <w:p w14:paraId="46F6CBEC">
      <w:pPr>
        <w:spacing w:line="360" w:lineRule="auto"/>
        <w:ind w:firstLine="404" w:firstLineChars="200"/>
        <w:jc w:val="left"/>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（2）质疑项目的名称、编号；</w:t>
      </w:r>
    </w:p>
    <w:p w14:paraId="5AF939C4">
      <w:pPr>
        <w:spacing w:line="360" w:lineRule="auto"/>
        <w:ind w:firstLine="404" w:firstLineChars="200"/>
        <w:jc w:val="left"/>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（3）具体、明确的质疑事项和与质疑事项相关的请求；</w:t>
      </w:r>
    </w:p>
    <w:p w14:paraId="3BDFB53A">
      <w:pPr>
        <w:spacing w:line="360" w:lineRule="auto"/>
        <w:ind w:firstLine="404" w:firstLineChars="200"/>
        <w:jc w:val="left"/>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（4）事实依据；</w:t>
      </w:r>
    </w:p>
    <w:p w14:paraId="753532C5">
      <w:pPr>
        <w:spacing w:line="360" w:lineRule="auto"/>
        <w:ind w:firstLine="404" w:firstLineChars="200"/>
        <w:jc w:val="left"/>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（5）必要的法律依据；</w:t>
      </w:r>
    </w:p>
    <w:p w14:paraId="39B9B064">
      <w:pPr>
        <w:spacing w:line="360" w:lineRule="auto"/>
        <w:ind w:firstLine="404"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spacing w:val="-4"/>
          <w:szCs w:val="21"/>
          <w:highlight w:val="none"/>
        </w:rPr>
        <w:t>（6）提出质疑的日期。</w:t>
      </w:r>
    </w:p>
    <w:p w14:paraId="3872B91A">
      <w:pPr>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3.磋商响应方为自然人的，应当由本人签字并附上身份证明；磋商响应方为法人或者其他组织的，应当由法定代表人（单位负责人、自然人本人）或者其授权代表签字或者盖章，并加盖公章。</w:t>
      </w:r>
    </w:p>
    <w:p w14:paraId="22EFDB1A">
      <w:pPr>
        <w:widowControl/>
        <w:spacing w:line="360" w:lineRule="auto"/>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4.对同一采购程序环节的质疑，磋商响应方须在法定质疑期内一次性提出</w:t>
      </w:r>
      <w:r>
        <w:rPr>
          <w:rFonts w:hint="eastAsia" w:ascii="宋体" w:hAnsi="宋体" w:eastAsia="宋体" w:cs="宋体"/>
          <w:bCs/>
          <w:snapToGrid w:val="0"/>
          <w:color w:val="auto"/>
          <w:szCs w:val="21"/>
          <w:highlight w:val="none"/>
        </w:rPr>
        <w:t>。</w:t>
      </w:r>
    </w:p>
    <w:p w14:paraId="730E5428">
      <w:pPr>
        <w:pStyle w:val="10"/>
        <w:snapToGrid w:val="0"/>
        <w:spacing w:beforeLines="0" w:afterLines="0" w:line="360" w:lineRule="auto"/>
        <w:ind w:firstLine="413" w:firstLineChars="196"/>
        <w:rPr>
          <w:rFonts w:hint="eastAsia" w:ascii="宋体" w:hAnsi="宋体" w:eastAsia="宋体" w:cs="宋体"/>
          <w:b/>
          <w:color w:val="auto"/>
          <w:sz w:val="21"/>
          <w:szCs w:val="21"/>
          <w:highlight w:val="none"/>
        </w:rPr>
      </w:pPr>
      <w:bookmarkStart w:id="54" w:name="_Toc5015006"/>
      <w:bookmarkStart w:id="55" w:name="_Toc11860794"/>
      <w:r>
        <w:rPr>
          <w:rFonts w:hint="eastAsia" w:ascii="宋体" w:hAnsi="宋体" w:eastAsia="宋体" w:cs="宋体"/>
          <w:b/>
          <w:color w:val="auto"/>
          <w:sz w:val="21"/>
          <w:szCs w:val="21"/>
          <w:highlight w:val="none"/>
        </w:rPr>
        <w:t>（十）磋商文件的澄清与修改</w:t>
      </w:r>
    </w:p>
    <w:p w14:paraId="3F8897E7">
      <w:pPr>
        <w:pStyle w:val="10"/>
        <w:snapToGrid w:val="0"/>
        <w:spacing w:beforeLines="0" w:afterLines="0"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1.磋商响应方应认真阅读本磋商文件，发现其中有误或有不合理要求的，磋商响应方应当在磋商响应截止之日三个工作日前以书面形式向</w:t>
      </w:r>
      <w:r>
        <w:rPr>
          <w:rFonts w:hint="eastAsia" w:ascii="宋体" w:hAnsi="宋体" w:eastAsia="宋体" w:cs="宋体"/>
          <w:bCs/>
          <w:color w:val="auto"/>
          <w:sz w:val="21"/>
          <w:szCs w:val="21"/>
          <w:highlight w:val="none"/>
          <w:lang w:eastAsia="zh-CN"/>
        </w:rPr>
        <w:t>禾泽都林设计集团有限公司</w:t>
      </w:r>
      <w:r>
        <w:rPr>
          <w:rFonts w:hint="eastAsia" w:ascii="宋体" w:hAnsi="宋体" w:eastAsia="宋体" w:cs="宋体"/>
          <w:bCs/>
          <w:color w:val="auto"/>
          <w:sz w:val="21"/>
          <w:szCs w:val="21"/>
          <w:highlight w:val="none"/>
        </w:rPr>
        <w:t>提出。</w:t>
      </w:r>
      <w:r>
        <w:rPr>
          <w:rFonts w:hint="eastAsia" w:ascii="宋体" w:hAnsi="宋体" w:eastAsia="宋体" w:cs="宋体"/>
          <w:bCs/>
          <w:color w:val="auto"/>
          <w:sz w:val="21"/>
          <w:szCs w:val="21"/>
          <w:highlight w:val="none"/>
          <w:lang w:eastAsia="zh-CN"/>
        </w:rPr>
        <w:t>禾泽都林设计集团有限公司</w:t>
      </w:r>
      <w:r>
        <w:rPr>
          <w:rFonts w:hint="eastAsia" w:ascii="宋体" w:hAnsi="宋体" w:eastAsia="宋体" w:cs="宋体"/>
          <w:bCs/>
          <w:color w:val="auto"/>
          <w:sz w:val="21"/>
          <w:szCs w:val="21"/>
          <w:highlight w:val="none"/>
        </w:rPr>
        <w:t>将在规定的时间内，在相关部门指定的采购信息发布媒体上发布更正公告，并以书面形式通知所有磋商文件收受人。</w:t>
      </w:r>
    </w:p>
    <w:p w14:paraId="7C87B4D9">
      <w:pPr>
        <w:pStyle w:val="10"/>
        <w:snapToGrid w:val="0"/>
        <w:spacing w:beforeLines="0" w:afterLines="0"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并以书面形式同时通知所有参加磋商的磋商响应方。磋商响应方应当按照磋商文件的变动情况和磋商小组的要求重新提交磋商响应文件，并由其法定代表人或授权代表签字或者加盖公章。</w:t>
      </w:r>
    </w:p>
    <w:p w14:paraId="4947F20C">
      <w:pPr>
        <w:pStyle w:val="10"/>
        <w:snapToGrid w:val="0"/>
        <w:spacing w:beforeLines="0" w:afterLines="0"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3.磋商文件澄清、答复、修改、补充的内容为磋商文件的组成部分。当磋商文件与磋商文件的答复、澄清、修改、补充通知就同一内容的表述不一致时，以最后发出的书面文件为准。</w:t>
      </w:r>
    </w:p>
    <w:p w14:paraId="3757D616">
      <w:pPr>
        <w:pStyle w:val="10"/>
        <w:snapToGrid w:val="0"/>
        <w:spacing w:beforeLines="0" w:afterLines="0"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（十一）在磋商过程中，因磋商小组实质性变动了采购需求，已提交磋商响应文件的磋商响应方，在提交最后报价之前，可以根据磋商情况退出磋商</w:t>
      </w:r>
      <w:r>
        <w:rPr>
          <w:rFonts w:hint="eastAsia" w:ascii="宋体" w:hAnsi="宋体" w:eastAsia="宋体" w:cs="宋体"/>
          <w:b/>
          <w:bCs/>
          <w:color w:val="auto"/>
          <w:sz w:val="21"/>
          <w:szCs w:val="21"/>
          <w:highlight w:val="none"/>
        </w:rPr>
        <w:t>。</w:t>
      </w:r>
      <w:bookmarkEnd w:id="54"/>
      <w:bookmarkEnd w:id="55"/>
    </w:p>
    <w:p w14:paraId="36F2D0D0">
      <w:pPr>
        <w:snapToGrid w:val="0"/>
        <w:spacing w:line="360" w:lineRule="auto"/>
        <w:ind w:firstLine="422" w:firstLineChars="200"/>
        <w:jc w:val="left"/>
        <w:outlineLvl w:val="1"/>
        <w:rPr>
          <w:rFonts w:hint="eastAsia" w:ascii="宋体" w:hAnsi="宋体" w:eastAsia="宋体" w:cs="宋体"/>
          <w:b/>
          <w:color w:val="auto"/>
          <w:szCs w:val="21"/>
          <w:highlight w:val="none"/>
        </w:rPr>
      </w:pPr>
      <w:bookmarkStart w:id="56" w:name="_Toc24460"/>
      <w:r>
        <w:rPr>
          <w:rFonts w:hint="eastAsia" w:ascii="宋体" w:hAnsi="宋体" w:eastAsia="宋体" w:cs="宋体"/>
          <w:b/>
          <w:color w:val="auto"/>
          <w:szCs w:val="21"/>
          <w:highlight w:val="none"/>
        </w:rPr>
        <w:t>二、磋商响应文件的编制</w:t>
      </w:r>
      <w:bookmarkEnd w:id="56"/>
    </w:p>
    <w:p w14:paraId="0BDCE656">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（一）磋商响应文件的形式和效力</w:t>
      </w:r>
    </w:p>
    <w:p w14:paraId="2C7979B6">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电子磋商响应文件（包括“电子加密磋商响应文件”和“备份磋商响应文件”，在磋商响应文件编制完成后同时生成）；</w:t>
      </w:r>
    </w:p>
    <w:p w14:paraId="091E871F">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1.“电子加密磋商响应文件”是指通过“乐采云电子交易客户端”完成磋商响应文件编制后生成并加密的数据电文形式的磋商响应文件。</w:t>
      </w:r>
    </w:p>
    <w:p w14:paraId="34F2C630">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2.“备份磋商响应文件”是指与“电子加密磋商响应文件”同时生成的数据电文形式的电子文件（备份标书），其他方式编制的备份磋商响应文件视为无效备份磋商响应文件。</w:t>
      </w:r>
    </w:p>
    <w:p w14:paraId="54BB7EF3">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3.磋商响应文件的效力</w:t>
      </w:r>
    </w:p>
    <w:p w14:paraId="4BEE5684">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（1）磋商响应文件的启用，按先后顺位分别为电子加密磋商响应文件、备份磋商响应文件。在下一顺位的磋商响应文件启用时，前一顺位的磋商响应文件自动失效。</w:t>
      </w:r>
    </w:p>
    <w:p w14:paraId="101230C7">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（2）磋商响应文件未按时解密，</w:t>
      </w:r>
      <w:r>
        <w:rPr>
          <w:rFonts w:hint="eastAsia" w:ascii="宋体" w:hAnsi="宋体" w:eastAsia="宋体" w:cs="宋体"/>
          <w:b/>
          <w:color w:val="auto"/>
          <w:szCs w:val="21"/>
          <w:highlight w:val="none"/>
        </w:rPr>
        <w:t>磋商响应方</w:t>
      </w:r>
      <w:r>
        <w:rPr>
          <w:rFonts w:hint="eastAsia" w:ascii="宋体" w:hAnsi="宋体" w:eastAsia="宋体" w:cs="宋体"/>
          <w:color w:val="auto"/>
          <w:szCs w:val="21"/>
          <w:highlight w:val="none"/>
        </w:rPr>
        <w:t>提供了备份磋商响应文件的，以备份磋商响应文件作为依据，否则视为磋商响应文件撤回。磋商响应文件已按时解密的，备份磋商响应文件自动失效。</w:t>
      </w:r>
    </w:p>
    <w:p w14:paraId="1B801DB2">
      <w:pPr>
        <w:snapToGrid w:val="0"/>
        <w:spacing w:line="360" w:lineRule="auto"/>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（二）磋商响应文件的组成</w:t>
      </w:r>
    </w:p>
    <w:p w14:paraId="7234F053">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磋商响应文件组成为</w:t>
      </w:r>
      <w:r>
        <w:rPr>
          <w:rFonts w:hint="eastAsia" w:ascii="宋体" w:hAnsi="宋体" w:eastAsia="宋体" w:cs="宋体"/>
          <w:bCs/>
          <w:color w:val="auto"/>
          <w:szCs w:val="21"/>
          <w:highlight w:val="none"/>
        </w:rPr>
        <w:t>资格文件</w:t>
      </w:r>
      <w:r>
        <w:rPr>
          <w:rFonts w:hint="eastAsia" w:ascii="宋体" w:hAnsi="宋体" w:eastAsia="宋体" w:cs="宋体"/>
          <w:color w:val="auto"/>
          <w:szCs w:val="21"/>
          <w:highlight w:val="none"/>
        </w:rPr>
        <w:t>、商务技术文件、报价文件三部份组成。其中电子磋商响应文件中所须加盖公章部分均采用CA签章。</w:t>
      </w:r>
    </w:p>
    <w:p w14:paraId="7EF68087">
      <w:pPr>
        <w:snapToGrid w:val="0"/>
        <w:spacing w:line="360" w:lineRule="auto"/>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1.资格文件</w:t>
      </w:r>
    </w:p>
    <w:p w14:paraId="2546C60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rPr>
        <w:t>营业执照</w:t>
      </w:r>
      <w:r>
        <w:rPr>
          <w:rFonts w:hint="eastAsia" w:ascii="宋体" w:hAnsi="宋体" w:eastAsia="宋体" w:cs="宋体"/>
          <w:color w:val="auto"/>
          <w:szCs w:val="21"/>
          <w:highlight w:val="none"/>
        </w:rPr>
        <w:t>(或事业法人登记证书或其它工商等登记证明材料；自然人参与采购，提供身份证)扫描件加盖CA签章；</w:t>
      </w:r>
    </w:p>
    <w:p w14:paraId="3D5AA33B">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）符合参加采购活动应当具备的一般条件的承诺函（格式见附件）；</w:t>
      </w:r>
    </w:p>
    <w:p w14:paraId="49B7BF9A">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"mailto:（7）单位负责人为同一人或者存在直接控股、管理关系的不同供应商，不得参加同一合同项下的政府采购活动（开标后提供《政府采购活动现场确认声明书》（PDF版），发送至邮箱11324529917@qq.com）；" </w:instrText>
      </w:r>
      <w:r>
        <w:rPr>
          <w:rFonts w:hint="eastAsia" w:ascii="宋体" w:hAnsi="宋体" w:eastAsia="宋体" w:cs="宋体"/>
          <w:color w:val="auto"/>
          <w:highlight w:val="none"/>
        </w:rPr>
        <w:fldChar w:fldCharType="separate"/>
      </w:r>
      <w:r>
        <w:rPr>
          <w:rStyle w:val="21"/>
          <w:rFonts w:hint="eastAsia" w:ascii="宋体" w:hAnsi="宋体" w:eastAsia="宋体" w:cs="宋体"/>
          <w:color w:val="auto"/>
          <w:szCs w:val="21"/>
          <w:highlight w:val="none"/>
          <w:u w:val="none"/>
        </w:rPr>
        <w:t>（</w:t>
      </w:r>
      <w:r>
        <w:rPr>
          <w:rStyle w:val="21"/>
          <w:rFonts w:hint="eastAsia" w:ascii="宋体" w:hAnsi="宋体" w:eastAsia="宋体" w:cs="宋体"/>
          <w:color w:val="auto"/>
          <w:szCs w:val="21"/>
          <w:highlight w:val="none"/>
          <w:u w:val="none"/>
          <w:lang w:val="en-US" w:eastAsia="zh-CN"/>
        </w:rPr>
        <w:t>3</w:t>
      </w:r>
      <w:r>
        <w:rPr>
          <w:rStyle w:val="21"/>
          <w:rFonts w:hint="eastAsia" w:ascii="宋体" w:hAnsi="宋体" w:eastAsia="宋体" w:cs="宋体"/>
          <w:color w:val="auto"/>
          <w:szCs w:val="21"/>
          <w:highlight w:val="none"/>
          <w:u w:val="none"/>
        </w:rPr>
        <w:t>）</w:t>
      </w:r>
      <w:r>
        <w:rPr>
          <w:rStyle w:val="21"/>
          <w:rFonts w:hint="eastAsia" w:ascii="宋体" w:hAnsi="宋体" w:eastAsia="宋体" w:cs="宋体"/>
          <w:color w:val="auto"/>
          <w:szCs w:val="21"/>
          <w:highlight w:val="none"/>
          <w:u w:val="none"/>
        </w:rPr>
        <w:fldChar w:fldCharType="end"/>
      </w:r>
      <w:r>
        <w:rPr>
          <w:rFonts w:hint="eastAsia" w:ascii="宋体" w:hAnsi="宋体" w:eastAsia="宋体" w:cs="宋体"/>
          <w:color w:val="auto"/>
          <w:szCs w:val="21"/>
          <w:highlight w:val="none"/>
        </w:rPr>
        <w:t>提供采购公告中符合</w:t>
      </w:r>
      <w:r>
        <w:rPr>
          <w:rFonts w:hint="eastAsia" w:ascii="宋体" w:hAnsi="宋体" w:eastAsia="宋体" w:cs="宋体"/>
          <w:bCs/>
          <w:color w:val="auto"/>
          <w:szCs w:val="21"/>
          <w:highlight w:val="none"/>
        </w:rPr>
        <w:t>磋商响应方的特定条件要求的有效的其他资质扫描件并加盖</w:t>
      </w:r>
      <w:r>
        <w:rPr>
          <w:rFonts w:hint="eastAsia" w:ascii="宋体" w:hAnsi="宋体" w:eastAsia="宋体" w:cs="宋体"/>
          <w:color w:val="auto"/>
          <w:szCs w:val="21"/>
          <w:highlight w:val="none"/>
        </w:rPr>
        <w:t>CA签章</w:t>
      </w:r>
      <w:r>
        <w:rPr>
          <w:rFonts w:hint="eastAsia" w:ascii="宋体" w:hAnsi="宋体" w:eastAsia="宋体" w:cs="宋体"/>
          <w:bCs/>
          <w:color w:val="auto"/>
          <w:szCs w:val="21"/>
          <w:highlight w:val="none"/>
        </w:rPr>
        <w:t>及</w:t>
      </w:r>
      <w:r>
        <w:rPr>
          <w:rFonts w:hint="eastAsia" w:ascii="宋体" w:hAnsi="宋体" w:eastAsia="宋体" w:cs="宋体"/>
          <w:color w:val="auto"/>
          <w:szCs w:val="21"/>
          <w:highlight w:val="none"/>
        </w:rPr>
        <w:t>需要说明的资料（若有）。</w:t>
      </w:r>
    </w:p>
    <w:p w14:paraId="17DC9EC9">
      <w:pPr>
        <w:snapToGrid w:val="0"/>
        <w:spacing w:line="360" w:lineRule="auto"/>
        <w:ind w:firstLine="413" w:firstLineChars="196"/>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2.商务技术文件</w:t>
      </w:r>
    </w:p>
    <w:p w14:paraId="04B2D588">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（1）磋商函（格式见附件）；</w:t>
      </w:r>
    </w:p>
    <w:p w14:paraId="4A6B0F4F">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（2）法定代表人身份证明书、授权委托书及授权代理人有效身份证明（若委托）（格式见附件）；</w:t>
      </w:r>
    </w:p>
    <w:p w14:paraId="33C8CFA4">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（3）营业执照(或事业法人登记证书或其它工商等登记证明材料；自然人参与采购，提供身份证)扫描件加盖CA签章；</w:t>
      </w:r>
    </w:p>
    <w:p w14:paraId="520F1081">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（4）磋商响应方基本情况表（格式见附件）； </w:t>
      </w:r>
    </w:p>
    <w:p w14:paraId="202D0021">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（5）技术、商务偏离表（格式见附件）；</w:t>
      </w:r>
    </w:p>
    <w:p w14:paraId="6940900B">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（6）磋商响应方类似项目</w:t>
      </w:r>
      <w:r>
        <w:rPr>
          <w:rFonts w:hint="eastAsia" w:ascii="宋体" w:hAnsi="宋体" w:cs="宋体"/>
          <w:color w:val="auto"/>
          <w:szCs w:val="21"/>
          <w:highlight w:val="none"/>
          <w:lang w:val="en-US" w:eastAsia="zh-CN"/>
        </w:rPr>
        <w:t>业绩</w:t>
      </w:r>
      <w:bookmarkStart w:id="99" w:name="_GoBack"/>
      <w:bookmarkEnd w:id="99"/>
      <w:r>
        <w:rPr>
          <w:rFonts w:hint="eastAsia" w:ascii="宋体" w:hAnsi="宋体" w:eastAsia="宋体" w:cs="宋体"/>
          <w:color w:val="auto"/>
          <w:szCs w:val="21"/>
          <w:highlight w:val="none"/>
        </w:rPr>
        <w:t xml:space="preserve">一览表（格式见附件）； </w:t>
      </w:r>
    </w:p>
    <w:p w14:paraId="7E774662">
      <w:pPr>
        <w:snapToGrid w:val="0"/>
        <w:spacing w:line="360" w:lineRule="auto"/>
        <w:ind w:firstLine="411" w:firstLineChars="196"/>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（7）拟派本</w:t>
      </w:r>
      <w:r>
        <w:rPr>
          <w:rFonts w:hint="eastAsia" w:ascii="宋体" w:hAnsi="宋体" w:eastAsia="宋体" w:cs="宋体"/>
          <w:color w:val="auto"/>
          <w:kern w:val="2"/>
          <w:sz w:val="21"/>
          <w:szCs w:val="21"/>
          <w:highlight w:val="none"/>
          <w:lang w:val="zh-CN" w:eastAsia="zh-CN" w:bidi="ar-SA"/>
        </w:rPr>
        <w:t>项目</w:t>
      </w:r>
      <w:r>
        <w:rPr>
          <w:rFonts w:hint="eastAsia" w:ascii="宋体" w:hAnsi="宋体" w:eastAsia="宋体" w:cs="宋体"/>
          <w:color w:val="auto"/>
          <w:kern w:val="2"/>
          <w:sz w:val="21"/>
          <w:szCs w:val="21"/>
          <w:highlight w:val="none"/>
          <w:lang w:val="en-US" w:eastAsia="zh-CN" w:bidi="ar-SA"/>
        </w:rPr>
        <w:t>的</w:t>
      </w:r>
      <w:r>
        <w:rPr>
          <w:rFonts w:hint="eastAsia" w:ascii="宋体" w:hAnsi="宋体" w:eastAsia="宋体" w:cs="宋体"/>
          <w:color w:val="auto"/>
          <w:kern w:val="2"/>
          <w:sz w:val="21"/>
          <w:szCs w:val="21"/>
          <w:highlight w:val="none"/>
          <w:lang w:val="zh-CN" w:eastAsia="zh-CN" w:bidi="ar-SA"/>
        </w:rPr>
        <w:t>小组人员名单</w:t>
      </w:r>
      <w:r>
        <w:rPr>
          <w:rFonts w:hint="eastAsia" w:ascii="宋体" w:hAnsi="宋体" w:eastAsia="宋体" w:cs="宋体"/>
          <w:color w:val="auto"/>
          <w:kern w:val="2"/>
          <w:sz w:val="21"/>
          <w:szCs w:val="21"/>
          <w:highlight w:val="none"/>
          <w:lang w:val="en-US" w:eastAsia="zh-CN" w:bidi="ar-SA"/>
        </w:rPr>
        <w:t>（格式见附件）；</w:t>
      </w:r>
    </w:p>
    <w:p w14:paraId="3765E302">
      <w:pPr>
        <w:pStyle w:val="23"/>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（8）拟派项目负责人情况表（格式见附件）；</w:t>
      </w:r>
    </w:p>
    <w:p w14:paraId="173E150C">
      <w:pPr>
        <w:pStyle w:val="23"/>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）磋商响应方认为有必要提供的其他相关资料（格式自拟）。</w:t>
      </w:r>
    </w:p>
    <w:p w14:paraId="7410DACC">
      <w:pPr>
        <w:snapToGrid w:val="0"/>
        <w:spacing w:line="360" w:lineRule="auto"/>
        <w:ind w:firstLine="413" w:firstLineChars="196"/>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3．磋商报价文件</w:t>
      </w:r>
    </w:p>
    <w:p w14:paraId="4770DD93">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（1）磋商报价一览表、磋商分项报价明细表（格式见附件）； </w:t>
      </w:r>
    </w:p>
    <w:p w14:paraId="3AE5DF32">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）磋商响应方针对报价需要说明的其他文件和说明（格式自拟）。</w:t>
      </w:r>
    </w:p>
    <w:p w14:paraId="0D764B69">
      <w:pPr>
        <w:pStyle w:val="16"/>
        <w:widowControl w:val="0"/>
        <w:spacing w:before="0" w:afterLines="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注：法定代表人授权委托书、磋商函、磋商报价一览表必须由法定代表人签名或盖章并加盖磋商响应方公章。</w:t>
      </w:r>
    </w:p>
    <w:p w14:paraId="11362E0D">
      <w:pPr>
        <w:snapToGrid w:val="0"/>
        <w:spacing w:line="360" w:lineRule="auto"/>
        <w:ind w:firstLine="413" w:firstLineChars="196"/>
        <w:jc w:val="left"/>
        <w:rPr>
          <w:rFonts w:hint="eastAsia" w:ascii="宋体" w:hAnsi="宋体" w:eastAsia="宋体" w:cs="宋体"/>
          <w:b/>
          <w:color w:val="auto"/>
          <w:szCs w:val="21"/>
          <w:highlight w:val="none"/>
        </w:rPr>
      </w:pPr>
      <w:bookmarkStart w:id="57" w:name="_Toc451762245"/>
      <w:bookmarkStart w:id="58" w:name="_Toc451762176"/>
      <w:r>
        <w:rPr>
          <w:rFonts w:hint="eastAsia" w:ascii="宋体" w:hAnsi="宋体" w:eastAsia="宋体" w:cs="宋体"/>
          <w:b/>
          <w:color w:val="auto"/>
          <w:szCs w:val="21"/>
          <w:highlight w:val="none"/>
        </w:rPr>
        <w:t>（二）磋商响应文件的语言及计量</w:t>
      </w:r>
      <w:bookmarkEnd w:id="57"/>
      <w:bookmarkEnd w:id="58"/>
    </w:p>
    <w:p w14:paraId="3D59179A">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1.磋商响应文件以及磋商响应方与磋商方就有关磋商响应事宜的所有来往函电，均应以中文汉语书写。除签名、盖章、专用名称等特殊情形外，以中文汉语以外的文字表述的磋商响应文件视同未提供。</w:t>
      </w:r>
    </w:p>
    <w:p w14:paraId="4B8C665A">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2.磋商响应计量单位，磋商文件已有明确规定的，使用磋商文件规定的计量单位；磋商文件没有规定的，应采用中华人民共和国法定计量单位（货币单位：人民币元），否则视同未响应。</w:t>
      </w:r>
    </w:p>
    <w:p w14:paraId="475C1811">
      <w:pPr>
        <w:snapToGrid w:val="0"/>
        <w:spacing w:line="360" w:lineRule="auto"/>
        <w:ind w:firstLine="413" w:firstLineChars="196"/>
        <w:jc w:val="left"/>
        <w:rPr>
          <w:rFonts w:hint="eastAsia" w:ascii="宋体" w:hAnsi="宋体" w:eastAsia="宋体" w:cs="宋体"/>
          <w:b/>
          <w:color w:val="auto"/>
          <w:szCs w:val="21"/>
          <w:highlight w:val="none"/>
        </w:rPr>
      </w:pPr>
      <w:bookmarkStart w:id="59" w:name="_Toc451762177"/>
      <w:bookmarkStart w:id="60" w:name="_Toc451762246"/>
      <w:r>
        <w:rPr>
          <w:rFonts w:hint="eastAsia" w:ascii="宋体" w:hAnsi="宋体" w:eastAsia="宋体" w:cs="宋体"/>
          <w:b/>
          <w:color w:val="auto"/>
          <w:szCs w:val="21"/>
          <w:highlight w:val="none"/>
        </w:rPr>
        <w:t>（三）磋商响应报价</w:t>
      </w:r>
      <w:bookmarkEnd w:id="59"/>
      <w:bookmarkEnd w:id="60"/>
    </w:p>
    <w:p w14:paraId="2F91402E">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1.磋商响应报价应按磋商文件中相关附表格式填报；</w:t>
      </w:r>
    </w:p>
    <w:p w14:paraId="3929C13D">
      <w:pPr>
        <w:pStyle w:val="24"/>
        <w:tabs>
          <w:tab w:val="left" w:pos="454"/>
          <w:tab w:val="left" w:pos="900"/>
        </w:tabs>
        <w:spacing w:after="0" w:afterLines="0"/>
        <w:ind w:left="0"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响应报价是履行合同的最终价格，即完成本项目服务内容和要求所产生的所有费用，包括人员工资（含节假日加班费、劳保费、福利费等）、调查、研究、通讯、方案编制、材料费、管理费、差旅食宿费、交通费、评审费（含评审专家费）、专利费（著作权费）、利润、税金、保险（包括医疗、工伤、养老等社会保险及人身意外保险）、代理服务费等完成合同所需的一切本身和不可或缺的所有工作开支、政策性文件规定计合同包含的所有风险、责任等各项全部费用。</w:t>
      </w:r>
    </w:p>
    <w:p w14:paraId="31FEF53A">
      <w:pPr>
        <w:pStyle w:val="24"/>
        <w:tabs>
          <w:tab w:val="left" w:pos="454"/>
          <w:tab w:val="left" w:pos="900"/>
        </w:tabs>
        <w:spacing w:after="0" w:afterLines="0"/>
        <w:ind w:left="0" w:firstLine="48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（四）磋商响应文件的有效期</w:t>
      </w:r>
    </w:p>
    <w:p w14:paraId="094E15C6">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1.自磋商响应截止日起90天内磋商响应文件应保持有效。有效期不足的磋商响应文件将被拒绝。</w:t>
      </w:r>
    </w:p>
    <w:p w14:paraId="3AEFDB07">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2.成交人的磋商响应文件自磋商之日起至合同履行完毕止均应保持有效。</w:t>
      </w:r>
    </w:p>
    <w:p w14:paraId="7CC27ADC">
      <w:pPr>
        <w:snapToGrid w:val="0"/>
        <w:spacing w:line="360" w:lineRule="auto"/>
        <w:ind w:firstLine="413" w:firstLineChars="196"/>
        <w:jc w:val="left"/>
        <w:rPr>
          <w:rFonts w:hint="eastAsia" w:ascii="宋体" w:hAnsi="宋体" w:eastAsia="宋体" w:cs="宋体"/>
          <w:b/>
          <w:color w:val="auto"/>
          <w:szCs w:val="21"/>
          <w:highlight w:val="none"/>
        </w:rPr>
      </w:pPr>
      <w:bookmarkStart w:id="61" w:name="_Toc451762180"/>
      <w:bookmarkStart w:id="62" w:name="_Toc451762249"/>
      <w:r>
        <w:rPr>
          <w:rFonts w:hint="eastAsia" w:ascii="宋体" w:hAnsi="宋体" w:eastAsia="宋体" w:cs="宋体"/>
          <w:b/>
          <w:color w:val="auto"/>
          <w:szCs w:val="21"/>
          <w:highlight w:val="none"/>
        </w:rPr>
        <w:t>（五）磋商响应文件的签署和份数</w:t>
      </w:r>
      <w:bookmarkEnd w:id="61"/>
      <w:bookmarkEnd w:id="62"/>
    </w:p>
    <w:p w14:paraId="2C15C6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磋商响应方应根据“乐采云供应商项目采购-电子招投标操作指南”及本磋商文件规定的格式和顺序编制电子磋商响应文件并进行关联定位。</w:t>
      </w:r>
    </w:p>
    <w:p w14:paraId="784EB390">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（1）“电子加密磋商响应文件”：在线上传递交、一份。</w:t>
      </w:r>
    </w:p>
    <w:p w14:paraId="5CAC991D">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（2）“备份磋商响应文件”：密封包装后（EMS、顺丰邮寄形式）磋商响应截止时间前送达一份（邮寄地址：</w:t>
      </w:r>
      <w:r>
        <w:rPr>
          <w:rFonts w:hint="eastAsia" w:ascii="宋体" w:hAnsi="宋体" w:eastAsia="宋体" w:cs="宋体"/>
          <w:color w:val="auto"/>
          <w:szCs w:val="21"/>
          <w:highlight w:val="none"/>
          <w:lang w:eastAsia="zh-CN"/>
        </w:rPr>
        <w:t>嵊州市剡湖街道龙会一路14号禾泽都林设计集团有限公司</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钱巧林</w:t>
      </w:r>
      <w:r>
        <w:rPr>
          <w:rFonts w:hint="eastAsia" w:ascii="宋体" w:hAnsi="宋体" w:eastAsia="宋体" w:cs="宋体"/>
          <w:color w:val="auto"/>
          <w:szCs w:val="21"/>
          <w:highlight w:val="none"/>
        </w:rPr>
        <w:t>收）。</w:t>
      </w:r>
    </w:p>
    <w:p w14:paraId="6A95FD85">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（六）磋商响应无效的情形</w:t>
      </w:r>
    </w:p>
    <w:p w14:paraId="2CAE35D1">
      <w:pPr>
        <w:snapToGrid w:val="0"/>
        <w:spacing w:line="360" w:lineRule="auto"/>
        <w:ind w:firstLine="399" w:firstLineChars="19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实质上没有响应磋商文件要求的磋商响应将被视为无效磋商响应。在评审时，如发现下列情形之一的，磋商响应文件将被视为无效：</w:t>
      </w:r>
    </w:p>
    <w:p w14:paraId="1176FC39">
      <w:pPr>
        <w:snapToGrid w:val="0"/>
        <w:spacing w:line="360" w:lineRule="auto"/>
        <w:ind w:firstLine="399" w:firstLineChars="190"/>
        <w:jc w:val="left"/>
        <w:rPr>
          <w:rFonts w:hint="eastAsia" w:ascii="宋体" w:hAnsi="宋体" w:eastAsia="宋体" w:cs="宋体"/>
          <w:color w:val="auto"/>
          <w:szCs w:val="21"/>
          <w:highlight w:val="none"/>
        </w:rPr>
      </w:pPr>
      <w:bookmarkStart w:id="63" w:name="_Toc451762181"/>
      <w:bookmarkStart w:id="64" w:name="_Toc451762250"/>
      <w:r>
        <w:rPr>
          <w:rFonts w:hint="eastAsia" w:ascii="宋体" w:hAnsi="宋体" w:eastAsia="宋体" w:cs="宋体"/>
          <w:color w:val="auto"/>
          <w:szCs w:val="21"/>
          <w:highlight w:val="none"/>
        </w:rPr>
        <w:t>1.磋商响应方未能提供合格的资格证明文件；</w:t>
      </w:r>
    </w:p>
    <w:p w14:paraId="737940D8">
      <w:pPr>
        <w:snapToGrid w:val="0"/>
        <w:spacing w:line="360" w:lineRule="auto"/>
        <w:ind w:firstLine="399" w:firstLineChars="19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2.与磋商文件有重大偏离的磋商响应文件；</w:t>
      </w:r>
    </w:p>
    <w:p w14:paraId="5162A458">
      <w:pPr>
        <w:snapToGrid w:val="0"/>
        <w:spacing w:line="360" w:lineRule="auto"/>
        <w:ind w:firstLine="420" w:firstLineChars="200"/>
        <w:jc w:val="lef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w:t>
      </w:r>
      <w:r>
        <w:rPr>
          <w:rFonts w:hint="eastAsia" w:ascii="宋体" w:hAnsi="宋体" w:eastAsia="宋体" w:cs="宋体"/>
          <w:color w:val="auto"/>
          <w:szCs w:val="21"/>
          <w:highlight w:val="none"/>
        </w:rPr>
        <w:t>磋商有效期、交货期（服务期）、付款方式等商务条款不能满足磋商文件要求的；</w:t>
      </w:r>
    </w:p>
    <w:p w14:paraId="10B508F2">
      <w:pPr>
        <w:snapToGrid w:val="0"/>
        <w:spacing w:line="360" w:lineRule="auto"/>
        <w:ind w:firstLine="399" w:firstLineChars="19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4.标项以赠送方式磋商响应的；</w:t>
      </w:r>
    </w:p>
    <w:p w14:paraId="2BAAAD0A">
      <w:pPr>
        <w:snapToGrid w:val="0"/>
        <w:spacing w:line="360" w:lineRule="auto"/>
        <w:ind w:firstLine="399" w:firstLineChars="19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5.磋商响应文件应盖公章而未盖公章或盖非公司公章、未有效授权、法定代表人授权书填写不完整或有涂改的；</w:t>
      </w:r>
    </w:p>
    <w:p w14:paraId="35850CF9">
      <w:pPr>
        <w:snapToGrid w:val="0"/>
        <w:spacing w:line="360" w:lineRule="auto"/>
        <w:ind w:firstLine="399" w:firstLineChars="19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6.未成功办理磋商响应方报名手续的；</w:t>
      </w:r>
    </w:p>
    <w:p w14:paraId="7C77780E">
      <w:pPr>
        <w:snapToGrid w:val="0"/>
        <w:spacing w:line="360" w:lineRule="auto"/>
        <w:ind w:firstLine="399" w:firstLineChars="19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7.磋商最终报价超出预算的；</w:t>
      </w:r>
    </w:p>
    <w:p w14:paraId="41D305E2">
      <w:pPr>
        <w:snapToGrid w:val="0"/>
        <w:spacing w:line="360" w:lineRule="auto"/>
        <w:ind w:firstLine="399" w:firstLineChars="19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8.最终报价明显低于其市场报价或低于成本价且不能合理说明原因并提供证明材料的；</w:t>
      </w:r>
    </w:p>
    <w:p w14:paraId="698F91ED">
      <w:pPr>
        <w:snapToGrid w:val="0"/>
        <w:spacing w:line="360" w:lineRule="auto"/>
        <w:ind w:firstLine="399" w:firstLineChars="19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9.磋商响应文件无法定代表人或授权代表签字，或授权代理人未经有效授权的；</w:t>
      </w:r>
    </w:p>
    <w:p w14:paraId="64F49A0B">
      <w:pPr>
        <w:snapToGrid w:val="0"/>
        <w:spacing w:line="360" w:lineRule="auto"/>
        <w:ind w:firstLine="399" w:firstLineChars="19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10.磋商响应文件未按照磋商文件规定的要求签署、盖章的；</w:t>
      </w:r>
    </w:p>
    <w:p w14:paraId="6F925395">
      <w:pPr>
        <w:snapToGrid w:val="0"/>
        <w:spacing w:line="360" w:lineRule="auto"/>
        <w:ind w:firstLine="399" w:firstLineChars="19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11.电子磋商响应文件解密失败的，且未在规定时间内提交备份磋商响应文件的；</w:t>
      </w:r>
    </w:p>
    <w:p w14:paraId="572822F3">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12.不符合法律、法规和本磋商文件规定的其他实质性要求的。</w:t>
      </w:r>
    </w:p>
    <w:p w14:paraId="05E76246">
      <w:pPr>
        <w:pStyle w:val="10"/>
        <w:snapToGrid w:val="0"/>
        <w:spacing w:beforeLines="0" w:afterLines="0" w:line="360" w:lineRule="auto"/>
        <w:ind w:firstLine="422" w:firstLineChars="200"/>
        <w:outlineLvl w:val="1"/>
        <w:rPr>
          <w:rFonts w:hint="eastAsia" w:ascii="宋体" w:hAnsi="宋体" w:eastAsia="宋体" w:cs="宋体"/>
          <w:b/>
          <w:color w:val="auto"/>
          <w:sz w:val="21"/>
          <w:szCs w:val="21"/>
          <w:highlight w:val="none"/>
        </w:rPr>
      </w:pPr>
      <w:bookmarkStart w:id="65" w:name="_Toc30425"/>
      <w:r>
        <w:rPr>
          <w:rFonts w:hint="eastAsia" w:ascii="宋体" w:hAnsi="宋体" w:eastAsia="宋体" w:cs="宋体"/>
          <w:b/>
          <w:color w:val="auto"/>
          <w:sz w:val="21"/>
          <w:szCs w:val="21"/>
          <w:highlight w:val="none"/>
        </w:rPr>
        <w:t>三、组织竞争性磋商程序</w:t>
      </w:r>
      <w:bookmarkEnd w:id="63"/>
      <w:bookmarkEnd w:id="64"/>
      <w:bookmarkEnd w:id="65"/>
    </w:p>
    <w:p w14:paraId="2A8687BE">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（一）组建磋商小组</w:t>
      </w:r>
    </w:p>
    <w:p w14:paraId="7C4587B3">
      <w:pPr>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1.磋商小组成员由采购人或采购代理机构依法组建。</w:t>
      </w:r>
    </w:p>
    <w:p w14:paraId="469B924B">
      <w:pPr>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2.竞争性磋商小组由采购人代表和评审专家共3人及以上单数组成，其中评审专家人数不得少于竞争性磋商小组成员总数的2/3。采购人不得以评审专家身份参加本部门或本单位采购项目的评审。</w:t>
      </w:r>
    </w:p>
    <w:p w14:paraId="248E2BBA">
      <w:pPr>
        <w:pStyle w:val="10"/>
        <w:snapToGrid w:val="0"/>
        <w:spacing w:beforeLines="0" w:afterLines="0"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（二）组织磋商程序</w:t>
      </w:r>
    </w:p>
    <w:p w14:paraId="20F271BB">
      <w:pPr>
        <w:pStyle w:val="10"/>
        <w:snapToGrid w:val="0"/>
        <w:spacing w:beforeLines="0" w:afterLines="0"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1.磋商形式</w:t>
      </w:r>
    </w:p>
    <w:p w14:paraId="5102A855">
      <w:pPr>
        <w:pStyle w:val="1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采购组织机构将按照磋商文件规定的时间通过“乐采云平台”组织磋商、开启磋商响应文件，所有</w:t>
      </w:r>
      <w:r>
        <w:rPr>
          <w:rFonts w:hint="eastAsia" w:ascii="宋体" w:hAnsi="宋体" w:eastAsia="宋体" w:cs="宋体"/>
          <w:b/>
          <w:color w:val="auto"/>
          <w:sz w:val="21"/>
          <w:szCs w:val="21"/>
          <w:highlight w:val="none"/>
        </w:rPr>
        <w:t>磋商响应方</w:t>
      </w:r>
      <w:r>
        <w:rPr>
          <w:rFonts w:hint="eastAsia" w:ascii="宋体" w:hAnsi="宋体" w:eastAsia="宋体" w:cs="宋体"/>
          <w:color w:val="auto"/>
          <w:sz w:val="21"/>
          <w:szCs w:val="21"/>
          <w:highlight w:val="none"/>
        </w:rPr>
        <w:t>均应当准时在线参加。</w:t>
      </w:r>
    </w:p>
    <w:p w14:paraId="50720241">
      <w:pPr>
        <w:pStyle w:val="10"/>
        <w:snapToGrid w:val="0"/>
        <w:spacing w:beforeLines="0" w:afterLines="0"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 磋商准备</w:t>
      </w:r>
    </w:p>
    <w:p w14:paraId="0A77CF68">
      <w:pPr>
        <w:pStyle w:val="1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2.1磋商的准备工作由采购组织机构负责落实；</w:t>
      </w:r>
    </w:p>
    <w:p w14:paraId="3DC56520">
      <w:pPr>
        <w:pStyle w:val="1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2.2采购组织机构将按照磋商文件规定的时间通过“乐采云平台”组织磋商、开启磋商响应文件，所有</w:t>
      </w:r>
      <w:r>
        <w:rPr>
          <w:rFonts w:hint="eastAsia" w:ascii="宋体" w:hAnsi="宋体" w:eastAsia="宋体" w:cs="宋体"/>
          <w:b/>
          <w:color w:val="auto"/>
          <w:sz w:val="21"/>
          <w:szCs w:val="21"/>
          <w:highlight w:val="none"/>
        </w:rPr>
        <w:t>磋商响应方</w:t>
      </w:r>
      <w:r>
        <w:rPr>
          <w:rFonts w:hint="eastAsia" w:ascii="宋体" w:hAnsi="宋体" w:eastAsia="宋体" w:cs="宋体"/>
          <w:color w:val="auto"/>
          <w:sz w:val="21"/>
          <w:szCs w:val="21"/>
          <w:highlight w:val="none"/>
        </w:rPr>
        <w:t>均应当准时在线参加。磋商响应方如不参加磋商大会的，视同认可磋商结果，事后不得对采购相关人员、磋商过程和磋商结果提出异议，同时磋商响应方因未在线参加磋商而导致磋商响应文件无法按时解密等一切后果由</w:t>
      </w:r>
      <w:r>
        <w:rPr>
          <w:rFonts w:hint="eastAsia" w:ascii="宋体" w:hAnsi="宋体" w:eastAsia="宋体" w:cs="宋体"/>
          <w:b/>
          <w:color w:val="auto"/>
          <w:sz w:val="21"/>
          <w:szCs w:val="21"/>
          <w:highlight w:val="none"/>
        </w:rPr>
        <w:t>磋商响应方</w:t>
      </w:r>
      <w:r>
        <w:rPr>
          <w:rFonts w:hint="eastAsia" w:ascii="宋体" w:hAnsi="宋体" w:eastAsia="宋体" w:cs="宋体"/>
          <w:color w:val="auto"/>
          <w:sz w:val="21"/>
          <w:szCs w:val="21"/>
          <w:highlight w:val="none"/>
        </w:rPr>
        <w:t>自己承担。</w:t>
      </w:r>
    </w:p>
    <w:p w14:paraId="14240546">
      <w:pPr>
        <w:tabs>
          <w:tab w:val="left" w:pos="720"/>
        </w:tabs>
        <w:spacing w:line="360" w:lineRule="auto"/>
        <w:ind w:left="210" w:leftChars="10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磋商流程</w:t>
      </w:r>
    </w:p>
    <w:p w14:paraId="48947C5E">
      <w:pPr>
        <w:spacing w:line="360"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（1）向各磋商响应方发出电子加密磋商响应文件【开始解密】通知，由</w:t>
      </w:r>
      <w:r>
        <w:rPr>
          <w:rFonts w:hint="eastAsia" w:ascii="宋体" w:hAnsi="宋体" w:eastAsia="宋体" w:cs="宋体"/>
          <w:b/>
          <w:color w:val="auto"/>
          <w:kern w:val="0"/>
          <w:szCs w:val="21"/>
          <w:highlight w:val="none"/>
        </w:rPr>
        <w:t>磋商响应方</w:t>
      </w:r>
      <w:r>
        <w:rPr>
          <w:rFonts w:hint="eastAsia" w:ascii="宋体" w:hAnsi="宋体" w:eastAsia="宋体" w:cs="宋体"/>
          <w:color w:val="auto"/>
          <w:kern w:val="0"/>
          <w:szCs w:val="21"/>
          <w:highlight w:val="none"/>
        </w:rPr>
        <w:t>按磋商文件规定的时间内自行进行磋商响应文件解密。磋商响应方在规定的时间内无法完成已递交的“电子加密磋商响应文件”解密的，如已按规定递交了备份磋商响应文件的，将由采购组织机构按“乐采云平台”操作规范将备份磋商响应文件上传至“乐采云平台”，上传成功后，“电子加密磋商响应文件”自动失效；</w:t>
      </w:r>
    </w:p>
    <w:p w14:paraId="29AEC8D7">
      <w:pPr>
        <w:spacing w:line="360"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（2）磋商响应文件解密结束，通过邮件形式发送各磋商响应方组织签署《政企采购活动现场确认声明书》。</w:t>
      </w:r>
    </w:p>
    <w:p w14:paraId="71E13A39">
      <w:pPr>
        <w:spacing w:line="360"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（3）代理机构开启磋商响应文件，进入资格审查，采购人或采购代理机构将对依法对磋商响应方的资格进行审查，资格审查结束后进入符合性审查和商务技术的评审工作。</w:t>
      </w:r>
    </w:p>
    <w:p w14:paraId="60BF3477">
      <w:pPr>
        <w:spacing w:line="360" w:lineRule="auto"/>
        <w:ind w:firstLine="371" w:firstLineChars="177"/>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（4）开启资格审查通过的磋商响应方的商务技术文件，进入符合性评审、商务技术评审，通过发送邮件形式公布符合性审查、商务技术评审无效供应商名称及理由；</w:t>
      </w:r>
    </w:p>
    <w:p w14:paraId="1FC67302">
      <w:pPr>
        <w:spacing w:line="360" w:lineRule="auto"/>
        <w:ind w:firstLine="371" w:firstLineChars="177"/>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5）开启磋商流程，磋商小组组长将组员磋商内容汇总后以书面形式（通过“乐采云平台”在线询标（谈判））的形式要求磋商响应方在规定的时间内作出必要的澄清、说明或者补正，磋商响应方澄清、说明或补正。</w:t>
      </w:r>
    </w:p>
    <w:p w14:paraId="506B40DD">
      <w:pPr>
        <w:spacing w:line="360"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符合性审查、商务技术评审结束后，代理机构开启报价文件，对有效磋商响应方开启报价，各磋商响应方需在规定的时限内报价。若在规定报价时限内，磋商响应方因CA锁等原因无法报价，磋商响应方可将线下材料发送到采购代理机构邮箱，由采购代理机构替磋商响应方录入报价金额。</w:t>
      </w:r>
    </w:p>
    <w:p w14:paraId="2372D740">
      <w:pPr>
        <w:spacing w:line="360"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（7）代理机构开启最终报价文件，报价文件开启后开启签字时段，磋商响应方需按时签字确认（不予确认的应说明理由，否则视为无异议）。唱标结束后，由</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对报价的合理性、准确性等进行审查核实。</w:t>
      </w:r>
    </w:p>
    <w:p w14:paraId="4E32AE7F">
      <w:pPr>
        <w:pStyle w:val="1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w:t>
      </w:r>
      <w:r>
        <w:rPr>
          <w:rFonts w:hint="eastAsia" w:ascii="宋体" w:hAnsi="宋体" w:eastAsia="宋体" w:cs="宋体"/>
          <w:color w:val="auto"/>
          <w:sz w:val="21"/>
          <w:szCs w:val="21"/>
          <w:highlight w:val="none"/>
        </w:rPr>
        <w:t>在系统上公布评审结果。</w:t>
      </w:r>
    </w:p>
    <w:p w14:paraId="65348A94">
      <w:pPr>
        <w:spacing w:line="360" w:lineRule="auto"/>
        <w:ind w:firstLine="373" w:firstLineChars="177"/>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特别说明：</w:t>
      </w:r>
    </w:p>
    <w:p w14:paraId="5D51C660">
      <w:pPr>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 xml:space="preserve">1.如遇“乐采云”电子化开标或评审程序调整的，按调整后程序执行。 </w:t>
      </w:r>
    </w:p>
    <w:p w14:paraId="1AA482C8">
      <w:pPr>
        <w:spacing w:line="360" w:lineRule="auto"/>
        <w:ind w:firstLine="420" w:firstLineChars="200"/>
        <w:jc w:val="left"/>
        <w:rPr>
          <w:rFonts w:hint="eastAsia" w:ascii="宋体" w:hAnsi="宋体" w:eastAsia="宋体" w:cs="宋体"/>
          <w:b/>
          <w:color w:val="auto"/>
          <w:kern w:val="0"/>
          <w:szCs w:val="21"/>
          <w:highlight w:val="none"/>
        </w:rPr>
      </w:pPr>
      <w:r>
        <w:rPr>
          <w:rFonts w:hint="eastAsia" w:ascii="宋体" w:hAnsi="宋体" w:eastAsia="宋体" w:cs="宋体"/>
          <w:bCs/>
          <w:color w:val="auto"/>
          <w:kern w:val="0"/>
          <w:szCs w:val="21"/>
          <w:highlight w:val="none"/>
        </w:rPr>
        <w:t>2.开标过程中需要相关当事人进行签字或盖章确认的材料将通过“乐采云”进行，若因“乐采云”技术问题无法进行签字或盖章确认的，采购组织机构将通过邮件、传真等形式予以确认。</w:t>
      </w:r>
    </w:p>
    <w:p w14:paraId="2242D217">
      <w:pPr>
        <w:snapToGrid w:val="0"/>
        <w:spacing w:line="360" w:lineRule="auto"/>
        <w:ind w:firstLine="482"/>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（三）情况说明</w:t>
      </w:r>
    </w:p>
    <w:p w14:paraId="0266CC4D">
      <w:pPr>
        <w:pStyle w:val="1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1.本项目采用电子招投标开标及评审程序，但有下情形之一的，按以下情况处理：</w:t>
      </w:r>
    </w:p>
    <w:p w14:paraId="2EBFD82A">
      <w:pPr>
        <w:pStyle w:val="1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（1）若磋商响应方在规定时间内无法解密或解密失败，</w:t>
      </w:r>
      <w:r>
        <w:rPr>
          <w:rFonts w:hint="eastAsia" w:ascii="宋体" w:hAnsi="宋体" w:eastAsia="宋体" w:cs="宋体"/>
          <w:color w:val="auto"/>
          <w:kern w:val="0"/>
          <w:sz w:val="21"/>
          <w:szCs w:val="21"/>
          <w:highlight w:val="none"/>
        </w:rPr>
        <w:t>磋商响应方在规定的时间内无法完成已递交的“电子加密磋商响应文件”解密的，如已按规定递交了备份磋商响应文件的，</w:t>
      </w:r>
      <w:r>
        <w:rPr>
          <w:rFonts w:hint="eastAsia" w:ascii="宋体" w:hAnsi="宋体" w:eastAsia="宋体" w:cs="宋体"/>
          <w:color w:val="auto"/>
          <w:sz w:val="21"/>
          <w:szCs w:val="21"/>
          <w:highlight w:val="none"/>
          <w:lang w:eastAsia="zh-CN"/>
        </w:rPr>
        <w:t>禾泽都林设计集团有限公司</w:t>
      </w:r>
      <w:r>
        <w:rPr>
          <w:rFonts w:hint="eastAsia" w:ascii="宋体" w:hAnsi="宋体" w:eastAsia="宋体" w:cs="宋体"/>
          <w:color w:val="auto"/>
          <w:sz w:val="21"/>
          <w:szCs w:val="21"/>
          <w:highlight w:val="none"/>
        </w:rPr>
        <w:t>将开启所有磋商响应方递交的以介质存储的数据电文形式的备份磋商响应文件，上传至乐采云平台项目采购模块，以完成磋商，电子磋商响应文件自动失效。</w:t>
      </w:r>
    </w:p>
    <w:p w14:paraId="42549436">
      <w:pPr>
        <w:pStyle w:val="1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（2）采购过程中出现以下情形，导致电子交易平台无法正常运行，或者无法保证电子交易的公平、公正和安全时，采购组织机构可中止电子交易活动：</w:t>
      </w:r>
    </w:p>
    <w:p w14:paraId="5E217324">
      <w:pPr>
        <w:pStyle w:val="1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1）电子交易平台发生故障而无法登录访问的； </w:t>
      </w:r>
    </w:p>
    <w:p w14:paraId="6B140B87">
      <w:pPr>
        <w:pStyle w:val="1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2）电子交易平台应用或数据库出现错误，不能进行正常操作的；</w:t>
      </w:r>
    </w:p>
    <w:p w14:paraId="0E02D312">
      <w:pPr>
        <w:pStyle w:val="1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3）电子交易平台发现严重安全漏洞，有潜在泄密危险的；</w:t>
      </w:r>
    </w:p>
    <w:p w14:paraId="0F6FE6FD">
      <w:pPr>
        <w:pStyle w:val="1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4）病毒发作导致不能进行正常操作的； </w:t>
      </w:r>
    </w:p>
    <w:p w14:paraId="525042C5">
      <w:pPr>
        <w:pStyle w:val="1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5）其他无法保证电子交易的公平、公正和安全的情况。</w:t>
      </w:r>
    </w:p>
    <w:p w14:paraId="4295E00C">
      <w:pPr>
        <w:pStyle w:val="10"/>
        <w:snapToGrid w:val="0"/>
        <w:spacing w:beforeLines="0" w:afterLines="0"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（四）磋商原则</w:t>
      </w:r>
    </w:p>
    <w:p w14:paraId="43F0798C">
      <w:pPr>
        <w:pStyle w:val="1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1.磋商小组必须公平、公正、客观，不带任何倾向性和启发性；不得向外界透露任何与磋商有关的内容；任何单位和个人不得干扰、影响磋商的正常进行；磋商小组及有关工作人员不得私下与磋商响应方接触。</w:t>
      </w:r>
    </w:p>
    <w:p w14:paraId="1F658460">
      <w:pPr>
        <w:pStyle w:val="10"/>
        <w:snapToGrid w:val="0"/>
        <w:spacing w:beforeLines="0" w:afterLines="0"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磋商小组专家因回避、临时缺席或健康原因等特殊情况不能继续参加磋商工作的，应按规定更换磋商专家,被更换的磋商专家之前所作出的磋商意见不再予以采纳，由更换后的磋商小组专家重新进行磋商。无法及时更换专家的，要立即停止磋商工作、封存磋商资料，并告知磋商响应方重新磋商的时间和地点。</w:t>
      </w:r>
    </w:p>
    <w:p w14:paraId="3078FF99">
      <w:pPr>
        <w:pStyle w:val="10"/>
        <w:snapToGrid w:val="0"/>
        <w:spacing w:beforeLines="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磋商小组专家对有关磋商文件、磋商响应文件、样品、现场演示（如有）的说明、解释、要求、标准存在不同意见的，持不同意见的磋商专家及其意见或理由应予以完整记录，并在磋商过程中按照少数服从多数的原则表决执行。对磋商文件本身不明确或存在歧义、矛盾的内容，应作对磋商响应方而非采购人有利的解释。磋商专家拒绝在磋商报告中签字又不说明其不同意见或理由的，由现场监督员记录在案后，可视为同意磋商结果。</w:t>
      </w:r>
    </w:p>
    <w:p w14:paraId="2F4D3365">
      <w:pPr>
        <w:pStyle w:val="10"/>
        <w:snapToGrid w:val="0"/>
        <w:spacing w:beforeLines="0" w:afterLines="0" w:line="360" w:lineRule="auto"/>
        <w:ind w:firstLine="525" w:firstLineChars="249"/>
        <w:outlineLvl w:val="1"/>
        <w:rPr>
          <w:rFonts w:hint="eastAsia" w:ascii="宋体" w:hAnsi="宋体" w:eastAsia="宋体" w:cs="宋体"/>
          <w:b/>
          <w:color w:val="auto"/>
          <w:sz w:val="21"/>
          <w:szCs w:val="21"/>
          <w:highlight w:val="none"/>
        </w:rPr>
      </w:pPr>
      <w:bookmarkStart w:id="66" w:name="_Toc520986889"/>
      <w:bookmarkStart w:id="67" w:name="_Toc510614925"/>
      <w:bookmarkStart w:id="68" w:name="_Toc504504573"/>
      <w:bookmarkStart w:id="69" w:name="_Toc13015"/>
      <w:r>
        <w:rPr>
          <w:rFonts w:hint="eastAsia" w:ascii="宋体" w:hAnsi="宋体" w:eastAsia="宋体" w:cs="宋体"/>
          <w:b/>
          <w:color w:val="auto"/>
          <w:sz w:val="21"/>
          <w:szCs w:val="21"/>
          <w:highlight w:val="none"/>
        </w:rPr>
        <w:t>四、</w:t>
      </w:r>
      <w:bookmarkEnd w:id="66"/>
      <w:bookmarkEnd w:id="67"/>
      <w:bookmarkEnd w:id="68"/>
      <w:r>
        <w:rPr>
          <w:rFonts w:hint="eastAsia" w:ascii="宋体" w:hAnsi="宋体" w:eastAsia="宋体" w:cs="宋体"/>
          <w:b/>
          <w:color w:val="auto"/>
          <w:sz w:val="21"/>
          <w:szCs w:val="21"/>
          <w:highlight w:val="none"/>
        </w:rPr>
        <w:t>磋商小组程序</w:t>
      </w:r>
      <w:bookmarkEnd w:id="69"/>
    </w:p>
    <w:p w14:paraId="2EB6A88A">
      <w:pPr>
        <w:snapToGrid w:val="0"/>
        <w:spacing w:line="360" w:lineRule="auto"/>
        <w:ind w:firstLine="482"/>
        <w:jc w:val="left"/>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（一）组建磋商小组</w:t>
      </w:r>
    </w:p>
    <w:p w14:paraId="6E72032B">
      <w:pPr>
        <w:snapToGrid w:val="0"/>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磋商小组由采购人或采购代理机构依法组建，负责评标活动。磋商</w:t>
      </w:r>
      <w:r>
        <w:rPr>
          <w:rFonts w:hint="eastAsia" w:ascii="宋体" w:hAnsi="宋体" w:eastAsia="宋体" w:cs="宋体"/>
          <w:color w:val="auto"/>
          <w:kern w:val="0"/>
          <w:szCs w:val="21"/>
          <w:highlight w:val="none"/>
          <w:lang w:eastAsia="zh-CN"/>
        </w:rPr>
        <w:t>小组</w:t>
      </w:r>
      <w:r>
        <w:rPr>
          <w:rFonts w:hint="eastAsia" w:ascii="宋体" w:hAnsi="宋体" w:eastAsia="宋体" w:cs="宋体"/>
          <w:color w:val="auto"/>
          <w:kern w:val="0"/>
          <w:szCs w:val="21"/>
          <w:highlight w:val="none"/>
        </w:rPr>
        <w:t>遵循公开、公平、公正、科学合理、竞争择优的原则。</w:t>
      </w:r>
    </w:p>
    <w:p w14:paraId="006A33B4">
      <w:pPr>
        <w:snapToGrid w:val="0"/>
        <w:spacing w:line="360" w:lineRule="auto"/>
        <w:ind w:firstLine="482"/>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（二）评标的方式</w:t>
      </w:r>
    </w:p>
    <w:p w14:paraId="7E3829B4">
      <w:pPr>
        <w:snapToGrid w:val="0"/>
        <w:spacing w:line="360" w:lineRule="auto"/>
        <w:ind w:left="689" w:leftChars="228" w:hanging="210" w:hanging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本项目采用不公开方式评标，评标的依据为磋商文件和磋商响应文件。</w:t>
      </w:r>
    </w:p>
    <w:p w14:paraId="2EB9DE0E">
      <w:pPr>
        <w:snapToGrid w:val="0"/>
        <w:spacing w:line="360" w:lineRule="auto"/>
        <w:ind w:firstLine="482"/>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（三）组织磋商程序</w:t>
      </w:r>
    </w:p>
    <w:p w14:paraId="3116C6AD">
      <w:pPr>
        <w:snapToGrid w:val="0"/>
        <w:spacing w:line="360" w:lineRule="auto"/>
        <w:ind w:firstLine="48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招标方将按照磋商文件规定的时间、地点和程序组织评标，各评审专家及相关人员应参加评审活动并接受核验、签到，无关人员不得进入评审现场。</w:t>
      </w:r>
    </w:p>
    <w:p w14:paraId="3D30609B">
      <w:pPr>
        <w:snapToGrid w:val="0"/>
        <w:spacing w:line="360" w:lineRule="auto"/>
        <w:ind w:firstLine="48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1.按规定统一收缴、保存评标现场相关人员通讯工具。</w:t>
      </w:r>
    </w:p>
    <w:p w14:paraId="750A6F77">
      <w:pPr>
        <w:snapToGrid w:val="0"/>
        <w:spacing w:line="360" w:lineRule="auto"/>
        <w:ind w:firstLine="48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2.介绍评审现场的人员情况，宣布评审工作纪律，告知评审人员应当回避情形；组织推选</w:t>
      </w:r>
      <w:r>
        <w:rPr>
          <w:rFonts w:hint="eastAsia" w:ascii="宋体" w:hAnsi="宋体" w:eastAsia="宋体" w:cs="宋体"/>
          <w:bCs/>
          <w:color w:val="auto"/>
          <w:szCs w:val="21"/>
          <w:highlight w:val="none"/>
          <w:lang w:eastAsia="zh-CN"/>
        </w:rPr>
        <w:t>磋商小组</w:t>
      </w:r>
      <w:r>
        <w:rPr>
          <w:rFonts w:hint="eastAsia" w:ascii="宋体" w:hAnsi="宋体" w:eastAsia="宋体" w:cs="宋体"/>
          <w:bCs/>
          <w:color w:val="auto"/>
          <w:szCs w:val="21"/>
          <w:highlight w:val="none"/>
        </w:rPr>
        <w:t>组长。</w:t>
      </w:r>
    </w:p>
    <w:p w14:paraId="12604B8A">
      <w:pPr>
        <w:snapToGrid w:val="0"/>
        <w:spacing w:line="360" w:lineRule="auto"/>
        <w:ind w:firstLine="48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3.宣读提交磋商响应文件的</w:t>
      </w:r>
      <w:r>
        <w:rPr>
          <w:rFonts w:hint="eastAsia" w:ascii="宋体" w:hAnsi="宋体" w:eastAsia="宋体" w:cs="宋体"/>
          <w:color w:val="auto"/>
          <w:szCs w:val="21"/>
          <w:highlight w:val="none"/>
        </w:rPr>
        <w:t>磋商响应方</w:t>
      </w:r>
      <w:r>
        <w:rPr>
          <w:rFonts w:hint="eastAsia" w:ascii="宋体" w:hAnsi="宋体" w:eastAsia="宋体" w:cs="宋体"/>
          <w:bCs/>
          <w:color w:val="auto"/>
          <w:szCs w:val="21"/>
          <w:highlight w:val="none"/>
        </w:rPr>
        <w:t>名单，组织</w:t>
      </w:r>
      <w:r>
        <w:rPr>
          <w:rFonts w:hint="eastAsia" w:ascii="宋体" w:hAnsi="宋体" w:eastAsia="宋体" w:cs="宋体"/>
          <w:bCs/>
          <w:color w:val="auto"/>
          <w:szCs w:val="21"/>
          <w:highlight w:val="none"/>
          <w:lang w:eastAsia="zh-CN"/>
        </w:rPr>
        <w:t>磋商小组</w:t>
      </w:r>
      <w:r>
        <w:rPr>
          <w:rFonts w:hint="eastAsia" w:ascii="宋体" w:hAnsi="宋体" w:eastAsia="宋体" w:cs="宋体"/>
          <w:bCs/>
          <w:color w:val="auto"/>
          <w:szCs w:val="21"/>
          <w:highlight w:val="none"/>
        </w:rPr>
        <w:t>各位成员签订《政企采购评审人员廉洁自律承诺书》。</w:t>
      </w:r>
    </w:p>
    <w:p w14:paraId="02DFB92C">
      <w:pPr>
        <w:snapToGrid w:val="0"/>
        <w:spacing w:line="360" w:lineRule="auto"/>
        <w:ind w:firstLine="48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4.采购人可以在评标前说明项目背景和采购需求，说明内容不得含有歧视性、倾向性意见，不得超出磋商文件所述范围。说明应当提交书面材料，并随采购文件一并存档。</w:t>
      </w:r>
    </w:p>
    <w:p w14:paraId="28F17342">
      <w:pPr>
        <w:snapToGrid w:val="0"/>
        <w:spacing w:line="360" w:lineRule="auto"/>
        <w:ind w:firstLine="48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根据需要简要介绍磋商文件（含补充文件）制定及质疑答复情况、按书面陈述项目基本情况及评审工作需注意事项等，让评审专家尽快知悉和了解所评审项目的采购需求、评审依据、评审标准、工作程序等；提醒</w:t>
      </w:r>
      <w:r>
        <w:rPr>
          <w:rFonts w:hint="eastAsia" w:ascii="宋体" w:hAnsi="宋体" w:eastAsia="宋体" w:cs="宋体"/>
          <w:bCs/>
          <w:color w:val="auto"/>
          <w:szCs w:val="21"/>
          <w:highlight w:val="none"/>
          <w:lang w:eastAsia="zh-CN"/>
        </w:rPr>
        <w:t>磋商小组</w:t>
      </w:r>
      <w:r>
        <w:rPr>
          <w:rFonts w:hint="eastAsia" w:ascii="宋体" w:hAnsi="宋体" w:eastAsia="宋体" w:cs="宋体"/>
          <w:bCs/>
          <w:color w:val="auto"/>
          <w:szCs w:val="21"/>
          <w:highlight w:val="none"/>
        </w:rPr>
        <w:t>对客观评审项目应统一评审依据和评审标准，对主观评审项目应确定大致的评审要求和评审尺度；对评审人员提出的有关磋商文件、磋商响应文件的问题进行必要的说明、解释或讨论。</w:t>
      </w:r>
    </w:p>
    <w:p w14:paraId="684755D0">
      <w:pPr>
        <w:snapToGrid w:val="0"/>
        <w:spacing w:line="360" w:lineRule="auto"/>
        <w:ind w:firstLine="48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6.采购人代表或由采购人委托的</w:t>
      </w:r>
      <w:r>
        <w:rPr>
          <w:rFonts w:hint="eastAsia" w:ascii="宋体" w:hAnsi="宋体" w:eastAsia="宋体" w:cs="宋体"/>
          <w:bCs/>
          <w:color w:val="auto"/>
          <w:szCs w:val="21"/>
          <w:highlight w:val="none"/>
          <w:lang w:eastAsia="zh-CN"/>
        </w:rPr>
        <w:t>磋商小组</w:t>
      </w:r>
      <w:r>
        <w:rPr>
          <w:rFonts w:hint="eastAsia" w:ascii="宋体" w:hAnsi="宋体" w:eastAsia="宋体" w:cs="宋体"/>
          <w:bCs/>
          <w:color w:val="auto"/>
          <w:szCs w:val="21"/>
          <w:highlight w:val="none"/>
        </w:rPr>
        <w:t>对磋商响应方资格文件进行审查并</w:t>
      </w:r>
      <w:r>
        <w:rPr>
          <w:rFonts w:hint="eastAsia" w:ascii="宋体" w:hAnsi="宋体" w:eastAsia="宋体" w:cs="宋体"/>
          <w:color w:val="auto"/>
          <w:szCs w:val="21"/>
          <w:highlight w:val="none"/>
        </w:rPr>
        <w:t>以磋商当日为准</w:t>
      </w:r>
      <w:r>
        <w:rPr>
          <w:rFonts w:hint="eastAsia" w:ascii="宋体" w:hAnsi="宋体" w:eastAsia="宋体" w:cs="宋体"/>
          <w:bCs/>
          <w:color w:val="auto"/>
          <w:szCs w:val="21"/>
          <w:highlight w:val="none"/>
        </w:rPr>
        <w:t>对磋商响应方“信用中国”网站（www.creditchina.gov.cn）、中国政府采购网（www.ccgp.gov.cn）信用记录情况进行核实，资格不符合的，应组织相关磋商响应方代表进行陈述、澄清或申辩。</w:t>
      </w:r>
    </w:p>
    <w:p w14:paraId="65DEA31D">
      <w:pPr>
        <w:snapToGrid w:val="0"/>
        <w:spacing w:line="360" w:lineRule="auto"/>
        <w:ind w:firstLine="48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w:t>
      </w:r>
      <w:r>
        <w:rPr>
          <w:rFonts w:hint="eastAsia" w:ascii="宋体" w:hAnsi="宋体" w:eastAsia="宋体" w:cs="宋体"/>
          <w:bCs/>
          <w:color w:val="auto"/>
          <w:szCs w:val="21"/>
          <w:highlight w:val="none"/>
          <w:lang w:eastAsia="zh-CN"/>
        </w:rPr>
        <w:t>磋商小组</w:t>
      </w:r>
      <w:r>
        <w:rPr>
          <w:rFonts w:hint="eastAsia" w:ascii="宋体" w:hAnsi="宋体" w:eastAsia="宋体" w:cs="宋体"/>
          <w:bCs/>
          <w:color w:val="auto"/>
          <w:szCs w:val="21"/>
          <w:highlight w:val="none"/>
        </w:rPr>
        <w:t>组长组织评审人员独立评审。</w:t>
      </w:r>
      <w:r>
        <w:rPr>
          <w:rFonts w:hint="eastAsia" w:ascii="宋体" w:hAnsi="宋体" w:eastAsia="宋体" w:cs="宋体"/>
          <w:bCs/>
          <w:color w:val="auto"/>
          <w:szCs w:val="21"/>
          <w:highlight w:val="none"/>
          <w:lang w:eastAsia="zh-CN"/>
        </w:rPr>
        <w:t>磋商小组</w:t>
      </w:r>
      <w:r>
        <w:rPr>
          <w:rFonts w:hint="eastAsia" w:ascii="宋体" w:hAnsi="宋体" w:eastAsia="宋体" w:cs="宋体"/>
          <w:bCs/>
          <w:color w:val="auto"/>
          <w:szCs w:val="21"/>
          <w:highlight w:val="none"/>
        </w:rPr>
        <w:t>对拟认定为磋商响应文件无效，应组织相关磋商响应方代表进行陈述、澄清或申辩；招标方可协助</w:t>
      </w:r>
      <w:r>
        <w:rPr>
          <w:rFonts w:hint="eastAsia" w:ascii="宋体" w:hAnsi="宋体" w:eastAsia="宋体" w:cs="宋体"/>
          <w:bCs/>
          <w:color w:val="auto"/>
          <w:szCs w:val="21"/>
          <w:highlight w:val="none"/>
          <w:lang w:eastAsia="zh-CN"/>
        </w:rPr>
        <w:t>磋商小组</w:t>
      </w:r>
      <w:r>
        <w:rPr>
          <w:rFonts w:hint="eastAsia" w:ascii="宋体" w:hAnsi="宋体" w:eastAsia="宋体" w:cs="宋体"/>
          <w:bCs/>
          <w:color w:val="auto"/>
          <w:szCs w:val="21"/>
          <w:highlight w:val="none"/>
        </w:rPr>
        <w:t>组长对打分结果进行校对、核对并汇总统计；评审人员的评审、修改记录应保留原件，随项目其他资料一并存档。</w:t>
      </w:r>
    </w:p>
    <w:p w14:paraId="468465FA">
      <w:pPr>
        <w:snapToGrid w:val="0"/>
        <w:spacing w:line="360" w:lineRule="auto"/>
        <w:ind w:firstLine="48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8.做好评审现场相关记录，协助</w:t>
      </w:r>
      <w:r>
        <w:rPr>
          <w:rFonts w:hint="eastAsia" w:ascii="宋体" w:hAnsi="宋体" w:eastAsia="宋体" w:cs="宋体"/>
          <w:bCs/>
          <w:color w:val="auto"/>
          <w:szCs w:val="21"/>
          <w:highlight w:val="none"/>
          <w:lang w:eastAsia="zh-CN"/>
        </w:rPr>
        <w:t>磋商小组</w:t>
      </w:r>
      <w:r>
        <w:rPr>
          <w:rFonts w:hint="eastAsia" w:ascii="宋体" w:hAnsi="宋体" w:eastAsia="宋体" w:cs="宋体"/>
          <w:bCs/>
          <w:color w:val="auto"/>
          <w:szCs w:val="21"/>
          <w:highlight w:val="none"/>
        </w:rPr>
        <w:t>组长做好评审报告起草、有关内容电脑文字录入等工作，并要求</w:t>
      </w:r>
      <w:r>
        <w:rPr>
          <w:rFonts w:hint="eastAsia" w:ascii="宋体" w:hAnsi="宋体" w:eastAsia="宋体" w:cs="宋体"/>
          <w:bCs/>
          <w:color w:val="auto"/>
          <w:szCs w:val="21"/>
          <w:highlight w:val="none"/>
          <w:lang w:eastAsia="zh-CN"/>
        </w:rPr>
        <w:t>磋商小组</w:t>
      </w:r>
      <w:r>
        <w:rPr>
          <w:rFonts w:hint="eastAsia" w:ascii="宋体" w:hAnsi="宋体" w:eastAsia="宋体" w:cs="宋体"/>
          <w:bCs/>
          <w:color w:val="auto"/>
          <w:szCs w:val="21"/>
          <w:highlight w:val="none"/>
        </w:rPr>
        <w:t>各成员签字确认。</w:t>
      </w:r>
    </w:p>
    <w:p w14:paraId="7A93DD45">
      <w:pPr>
        <w:snapToGrid w:val="0"/>
        <w:spacing w:line="360" w:lineRule="auto"/>
        <w:ind w:firstLine="48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9.评审结束后，招标方应对</w:t>
      </w:r>
      <w:r>
        <w:rPr>
          <w:rFonts w:hint="eastAsia" w:ascii="宋体" w:hAnsi="宋体" w:eastAsia="宋体" w:cs="宋体"/>
          <w:bCs/>
          <w:color w:val="auto"/>
          <w:szCs w:val="21"/>
          <w:highlight w:val="none"/>
          <w:lang w:eastAsia="zh-CN"/>
        </w:rPr>
        <w:t>磋商小组</w:t>
      </w:r>
      <w:r>
        <w:rPr>
          <w:rFonts w:hint="eastAsia" w:ascii="宋体" w:hAnsi="宋体" w:eastAsia="宋体" w:cs="宋体"/>
          <w:bCs/>
          <w:color w:val="auto"/>
          <w:szCs w:val="21"/>
          <w:highlight w:val="none"/>
        </w:rPr>
        <w:t>各成员的专业水平、职业道德、遵纪守法等情况进行评价；同时按规定向评审专家发放评审费，并交还评审人员及其他现场相关人员的通讯工具。</w:t>
      </w:r>
    </w:p>
    <w:p w14:paraId="292C2777">
      <w:pPr>
        <w:snapToGrid w:val="0"/>
        <w:spacing w:line="360" w:lineRule="auto"/>
        <w:ind w:firstLine="482"/>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（四）磋商小组磋商程序</w:t>
      </w:r>
    </w:p>
    <w:p w14:paraId="2AC35A3B">
      <w:pPr>
        <w:snapToGrid w:val="0"/>
        <w:spacing w:line="360" w:lineRule="auto"/>
        <w:ind w:firstLine="48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1.在评审专家中推选</w:t>
      </w:r>
      <w:r>
        <w:rPr>
          <w:rFonts w:hint="eastAsia" w:ascii="宋体" w:hAnsi="宋体" w:eastAsia="宋体" w:cs="宋体"/>
          <w:bCs/>
          <w:color w:val="auto"/>
          <w:szCs w:val="21"/>
          <w:highlight w:val="none"/>
          <w:lang w:eastAsia="zh-CN"/>
        </w:rPr>
        <w:t>磋商小组</w:t>
      </w:r>
      <w:r>
        <w:rPr>
          <w:rFonts w:hint="eastAsia" w:ascii="宋体" w:hAnsi="宋体" w:eastAsia="宋体" w:cs="宋体"/>
          <w:bCs/>
          <w:color w:val="auto"/>
          <w:szCs w:val="21"/>
          <w:highlight w:val="none"/>
        </w:rPr>
        <w:t>组长。</w:t>
      </w:r>
    </w:p>
    <w:p w14:paraId="76356ADE">
      <w:pPr>
        <w:snapToGrid w:val="0"/>
        <w:spacing w:line="360" w:lineRule="auto"/>
        <w:ind w:firstLine="48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eastAsia="zh-CN"/>
        </w:rPr>
        <w:t>磋商小组</w:t>
      </w:r>
      <w:r>
        <w:rPr>
          <w:rFonts w:hint="eastAsia" w:ascii="宋体" w:hAnsi="宋体" w:eastAsia="宋体" w:cs="宋体"/>
          <w:bCs/>
          <w:color w:val="auto"/>
          <w:szCs w:val="21"/>
          <w:highlight w:val="none"/>
        </w:rPr>
        <w:t>组长召集成员认真阅读磋商文件以及相关补充、质疑、答复文件、项目书面说明等材料，熟悉采购项目的基本概况，采购项目的质量要求、数量、主要技术标准或服务需求，采购合同主要条款，磋商响应文件无效情形，评审方法、评审依据、评审标准等。</w:t>
      </w:r>
    </w:p>
    <w:p w14:paraId="6CB961D0">
      <w:pPr>
        <w:snapToGrid w:val="0"/>
        <w:spacing w:line="360" w:lineRule="auto"/>
        <w:ind w:firstLine="48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3.评审人员对各磋商响应方磋商响应文件的有效性、符合性、完整性和响应程度进行审查，确定是否对磋商文件作出实质性响应。</w:t>
      </w:r>
    </w:p>
    <w:p w14:paraId="09420418">
      <w:pPr>
        <w:snapToGrid w:val="0"/>
        <w:spacing w:line="360" w:lineRule="auto"/>
        <w:ind w:firstLine="48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4.评审人员按磋商文件规定的评审方法和评审标准，依法独立对磋商响应方磋商响应文件进行评估、比较，并给予评价或打分，不受任何单位和个人的干预。</w:t>
      </w:r>
    </w:p>
    <w:p w14:paraId="01570D06">
      <w:pPr>
        <w:snapToGrid w:val="0"/>
        <w:spacing w:line="360" w:lineRule="auto"/>
        <w:ind w:firstLine="48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5.评审人员对各</w:t>
      </w:r>
      <w:r>
        <w:rPr>
          <w:rFonts w:hint="eastAsia" w:ascii="宋体" w:hAnsi="宋体" w:eastAsia="宋体" w:cs="宋体"/>
          <w:color w:val="auto"/>
          <w:szCs w:val="21"/>
          <w:highlight w:val="none"/>
        </w:rPr>
        <w:t>磋商响应方</w:t>
      </w:r>
      <w:r>
        <w:rPr>
          <w:rFonts w:hint="eastAsia" w:ascii="宋体" w:hAnsi="宋体" w:eastAsia="宋体" w:cs="宋体"/>
          <w:bCs/>
          <w:color w:val="auto"/>
          <w:szCs w:val="21"/>
          <w:highlight w:val="none"/>
        </w:rPr>
        <w:t>响应文件非实质性内容有疑议或异议，或者审查发现明显的文字或计算错误等，及时向</w:t>
      </w:r>
      <w:r>
        <w:rPr>
          <w:rFonts w:hint="eastAsia" w:ascii="宋体" w:hAnsi="宋体" w:eastAsia="宋体" w:cs="宋体"/>
          <w:bCs/>
          <w:color w:val="auto"/>
          <w:szCs w:val="21"/>
          <w:highlight w:val="none"/>
          <w:lang w:eastAsia="zh-CN"/>
        </w:rPr>
        <w:t>磋商小组</w:t>
      </w:r>
      <w:r>
        <w:rPr>
          <w:rFonts w:hint="eastAsia" w:ascii="宋体" w:hAnsi="宋体" w:eastAsia="宋体" w:cs="宋体"/>
          <w:bCs/>
          <w:color w:val="auto"/>
          <w:szCs w:val="21"/>
          <w:highlight w:val="none"/>
        </w:rPr>
        <w:t>组长提出。经</w:t>
      </w:r>
      <w:r>
        <w:rPr>
          <w:rFonts w:hint="eastAsia" w:ascii="宋体" w:hAnsi="宋体" w:eastAsia="宋体" w:cs="宋体"/>
          <w:bCs/>
          <w:color w:val="auto"/>
          <w:szCs w:val="21"/>
          <w:highlight w:val="none"/>
          <w:lang w:eastAsia="zh-CN"/>
        </w:rPr>
        <w:t>磋商小组</w:t>
      </w:r>
      <w:r>
        <w:rPr>
          <w:rFonts w:hint="eastAsia" w:ascii="宋体" w:hAnsi="宋体" w:eastAsia="宋体" w:cs="宋体"/>
          <w:bCs/>
          <w:color w:val="auto"/>
          <w:szCs w:val="21"/>
          <w:highlight w:val="none"/>
        </w:rPr>
        <w:t>商议认为需要</w:t>
      </w:r>
      <w:r>
        <w:rPr>
          <w:rFonts w:hint="eastAsia" w:ascii="宋体" w:hAnsi="宋体" w:eastAsia="宋体" w:cs="宋体"/>
          <w:color w:val="auto"/>
          <w:szCs w:val="21"/>
          <w:highlight w:val="none"/>
        </w:rPr>
        <w:t>磋商响应方</w:t>
      </w:r>
      <w:r>
        <w:rPr>
          <w:rFonts w:hint="eastAsia" w:ascii="宋体" w:hAnsi="宋体" w:eastAsia="宋体" w:cs="宋体"/>
          <w:bCs/>
          <w:color w:val="auto"/>
          <w:szCs w:val="21"/>
          <w:highlight w:val="none"/>
        </w:rPr>
        <w:t>作出必要澄清或说明的，应通知该磋商响应方以书面形式作出澄清或说明。授权代表未到场或拒绝澄清说明或澄清说明的内容改变了磋商响应文件的实质性内容的，</w:t>
      </w:r>
      <w:r>
        <w:rPr>
          <w:rFonts w:hint="eastAsia" w:ascii="宋体" w:hAnsi="宋体" w:eastAsia="宋体" w:cs="宋体"/>
          <w:bCs/>
          <w:color w:val="auto"/>
          <w:szCs w:val="21"/>
          <w:highlight w:val="none"/>
          <w:lang w:eastAsia="zh-CN"/>
        </w:rPr>
        <w:t>磋商小组</w:t>
      </w:r>
      <w:r>
        <w:rPr>
          <w:rFonts w:hint="eastAsia" w:ascii="宋体" w:hAnsi="宋体" w:eastAsia="宋体" w:cs="宋体"/>
          <w:bCs/>
          <w:color w:val="auto"/>
          <w:szCs w:val="21"/>
          <w:highlight w:val="none"/>
        </w:rPr>
        <w:t>有权对该磋商响应文件作出不利于磋商响应方的评判。书面通知及澄清说明文件应作为采购项目档案归档留存。</w:t>
      </w:r>
    </w:p>
    <w:p w14:paraId="5A2E249A">
      <w:pPr>
        <w:snapToGrid w:val="0"/>
        <w:spacing w:line="360" w:lineRule="auto"/>
        <w:ind w:firstLine="48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0B44E00">
      <w:pPr>
        <w:snapToGrid w:val="0"/>
        <w:spacing w:line="360" w:lineRule="auto"/>
        <w:ind w:firstLine="48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w:t>
      </w:r>
      <w:r>
        <w:rPr>
          <w:rFonts w:hint="eastAsia" w:ascii="宋体" w:hAnsi="宋体" w:eastAsia="宋体" w:cs="宋体"/>
          <w:bCs/>
          <w:color w:val="auto"/>
          <w:szCs w:val="21"/>
          <w:highlight w:val="none"/>
          <w:lang w:eastAsia="zh-CN"/>
        </w:rPr>
        <w:t>磋商小组</w:t>
      </w:r>
      <w:r>
        <w:rPr>
          <w:rFonts w:hint="eastAsia" w:ascii="宋体" w:hAnsi="宋体" w:eastAsia="宋体" w:cs="宋体"/>
          <w:bCs/>
          <w:color w:val="auto"/>
          <w:szCs w:val="21"/>
          <w:highlight w:val="none"/>
        </w:rPr>
        <w:t>根据评审汇总情况和磋商文件规定确定中标候选</w:t>
      </w:r>
      <w:r>
        <w:rPr>
          <w:rFonts w:hint="eastAsia" w:ascii="宋体" w:hAnsi="宋体" w:eastAsia="宋体" w:cs="宋体"/>
          <w:color w:val="auto"/>
          <w:szCs w:val="21"/>
          <w:highlight w:val="none"/>
        </w:rPr>
        <w:t>磋商响应方</w:t>
      </w:r>
      <w:r>
        <w:rPr>
          <w:rFonts w:hint="eastAsia" w:ascii="宋体" w:hAnsi="宋体" w:eastAsia="宋体" w:cs="宋体"/>
          <w:bCs/>
          <w:color w:val="auto"/>
          <w:szCs w:val="21"/>
          <w:highlight w:val="none"/>
        </w:rPr>
        <w:t xml:space="preserve">排序名单。 </w:t>
      </w:r>
    </w:p>
    <w:p w14:paraId="5F94157F">
      <w:pPr>
        <w:snapToGrid w:val="0"/>
        <w:spacing w:line="360" w:lineRule="auto"/>
        <w:ind w:firstLine="48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8.起草评审报告，所有评审人员须在评审报告上签字确认。</w:t>
      </w:r>
    </w:p>
    <w:p w14:paraId="72D1214F">
      <w:pPr>
        <w:snapToGrid w:val="0"/>
        <w:spacing w:line="360" w:lineRule="auto"/>
        <w:ind w:firstLine="482"/>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（五）磋商响应文件的澄清、说明或补正</w:t>
      </w:r>
    </w:p>
    <w:p w14:paraId="578762A6">
      <w:pPr>
        <w:spacing w:line="360" w:lineRule="auto"/>
        <w:ind w:firstLine="371" w:firstLineChars="17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1.对于磋商响应文件中含义不明确、同类问题表述不一致或者有明显文字和计算错误的内容，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将以书面形式（或通过“乐采云平台”在线询标）的形式要求磋商响应方在规定的时间内作出必要的澄清、说明或者补正，磋商响应方澄清、说明或补正。</w:t>
      </w:r>
    </w:p>
    <w:p w14:paraId="396235CA">
      <w:pPr>
        <w:spacing w:line="360" w:lineRule="auto"/>
        <w:ind w:firstLine="371" w:firstLineChars="17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磋商响应方的澄清、说明或者补正应当采用书面（或通过“乐采云平台”在线答复）形式提交，并加盖公章，或者由法定代表人或其授权的代表签字。磋商响应方的澄清、说明或者补正不得超出磋商响应文件的范围或者改变磋商响应文件的实质性内容。</w:t>
      </w:r>
    </w:p>
    <w:p w14:paraId="1558E34C">
      <w:pPr>
        <w:snapToGrid w:val="0"/>
        <w:spacing w:line="360" w:lineRule="auto"/>
        <w:ind w:firstLine="482"/>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（六）错误修正</w:t>
      </w:r>
    </w:p>
    <w:p w14:paraId="5CA40186">
      <w:pPr>
        <w:snapToGrid w:val="0"/>
        <w:spacing w:line="360" w:lineRule="auto"/>
        <w:ind w:firstLine="48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磋商响应文件报价出现前后不一致的，除磋商文件另有规定外，按照下列规定修正：</w:t>
      </w:r>
    </w:p>
    <w:p w14:paraId="112B09CC">
      <w:pPr>
        <w:snapToGrid w:val="0"/>
        <w:spacing w:line="360" w:lineRule="auto"/>
        <w:ind w:firstLine="48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（一）磋商响应文件中报价明细表内容与磋商响应文件中相应内容不一致的，以报价明细表为准；</w:t>
      </w:r>
    </w:p>
    <w:p w14:paraId="773613E8">
      <w:pPr>
        <w:snapToGrid w:val="0"/>
        <w:spacing w:line="360" w:lineRule="auto"/>
        <w:ind w:firstLine="48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（二）大写金额和小写金额不一致的，以大写金额为准；</w:t>
      </w:r>
    </w:p>
    <w:p w14:paraId="1DCDE931">
      <w:pPr>
        <w:snapToGrid w:val="0"/>
        <w:spacing w:line="360" w:lineRule="auto"/>
        <w:ind w:firstLine="48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（三）单价金额小数点或者百分比有明显错位的，以报价明细表的总价为准，并修改单价；</w:t>
      </w:r>
    </w:p>
    <w:p w14:paraId="3C2212EB">
      <w:pPr>
        <w:snapToGrid w:val="0"/>
        <w:spacing w:line="360" w:lineRule="auto"/>
        <w:ind w:firstLine="48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（四）总价金额与按单价汇总金额不一致的，以单价金额计算结果为准。</w:t>
      </w:r>
    </w:p>
    <w:p w14:paraId="7B80DA4F">
      <w:pPr>
        <w:spacing w:line="360" w:lineRule="auto"/>
        <w:ind w:firstLine="371" w:firstLineChars="177"/>
        <w:jc w:val="left"/>
        <w:rPr>
          <w:rFonts w:hint="eastAsia" w:ascii="宋体" w:hAnsi="宋体" w:eastAsia="宋体" w:cs="宋体"/>
          <w:color w:val="auto"/>
          <w:kern w:val="0"/>
          <w:szCs w:val="21"/>
          <w:highlight w:val="none"/>
        </w:rPr>
      </w:pPr>
      <w:bookmarkStart w:id="70" w:name="_Toc33696582"/>
      <w:r>
        <w:rPr>
          <w:rFonts w:hint="eastAsia" w:ascii="宋体" w:hAnsi="宋体" w:eastAsia="宋体" w:cs="宋体"/>
          <w:color w:val="auto"/>
          <w:kern w:val="0"/>
          <w:szCs w:val="21"/>
          <w:highlight w:val="none"/>
        </w:rPr>
        <w:t>（五）若磋商响应方在报价文件上传的价格和报价一览表里填写的金额不一致时，以磋商响应方上传的报价文件为准，由采购代理机构经办人对磋商响应方报价进行修正。</w:t>
      </w:r>
      <w:bookmarkEnd w:id="70"/>
    </w:p>
    <w:p w14:paraId="47D3D404">
      <w:pPr>
        <w:snapToGrid w:val="0"/>
        <w:spacing w:line="360" w:lineRule="auto"/>
        <w:ind w:firstLine="48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同时出现两种以上不一致的，按照前款规定的顺序修正。修正后的报价按照经磋商响应方加盖公章，或者由法定代表人或其授权的代表签字确认后产生约束力，磋商响应方不确认的，其响应无效。</w:t>
      </w:r>
    </w:p>
    <w:p w14:paraId="63D053A1">
      <w:pPr>
        <w:snapToGrid w:val="0"/>
        <w:spacing w:line="360" w:lineRule="auto"/>
        <w:ind w:firstLine="482"/>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（七）评标原则和评标办法</w:t>
      </w:r>
    </w:p>
    <w:p w14:paraId="4D7A8039">
      <w:pPr>
        <w:spacing w:line="360" w:lineRule="auto"/>
        <w:ind w:firstLine="48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评标原则</w:t>
      </w:r>
    </w:p>
    <w:p w14:paraId="3ECBA8DE">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必须公平、公正、客观，不带任何倾向性和启发性；不得向外界透露任何与评标有关的内容；任何单位和个人不得干扰、影响评标的正常进行；</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及有关工作人员不得私下与磋商响应方接触。</w:t>
      </w:r>
    </w:p>
    <w:p w14:paraId="32201951">
      <w:pPr>
        <w:snapToGrid w:val="0"/>
        <w:spacing w:line="360" w:lineRule="auto"/>
        <w:ind w:firstLine="48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磋商响应方择期重新评审的时间和地点。</w:t>
      </w:r>
    </w:p>
    <w:p w14:paraId="09B8347F">
      <w:pPr>
        <w:snapToGrid w:val="0"/>
        <w:spacing w:line="360" w:lineRule="auto"/>
        <w:ind w:firstLine="48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评审人员对有关磋商文件、磋商响应文件、样品或现场演示（如有）的说明、解释、要求、标准存在不同意见的，持不同意见的评审人员及其意见或理由应予以完整记录，并在评审过程中按照少数服从多数的原则表决执行。对磋商文件本身不明确或存在歧义、矛盾的内容，应作对磋商响应方而非采购人有利的解释；对因磋商文件中有关产品技术参数需求表述不清导致磋商响应方实质性响应不一致时，应终止评审，重新组织采购。评审人员拒绝在评审报告中签字又不说明其不同意见或理由的，由现场监督员记录在案后，可视为同意评审结果。</w:t>
      </w:r>
    </w:p>
    <w:p w14:paraId="6CD3E90C">
      <w:pPr>
        <w:snapToGrid w:val="0"/>
        <w:spacing w:line="360" w:lineRule="auto"/>
        <w:ind w:firstLine="48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评标办法</w:t>
      </w:r>
    </w:p>
    <w:p w14:paraId="0E4AC75E">
      <w:pPr>
        <w:snapToGrid w:val="0"/>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本项目评标办法是</w:t>
      </w:r>
      <w:r>
        <w:rPr>
          <w:rFonts w:hint="eastAsia" w:ascii="宋体" w:hAnsi="宋体" w:eastAsia="宋体" w:cs="宋体"/>
          <w:color w:val="auto"/>
          <w:szCs w:val="21"/>
          <w:highlight w:val="none"/>
          <w:u w:val="single"/>
        </w:rPr>
        <w:t>综合评分法</w:t>
      </w:r>
      <w:r>
        <w:rPr>
          <w:rFonts w:hint="eastAsia" w:ascii="宋体" w:hAnsi="宋体" w:eastAsia="宋体" w:cs="宋体"/>
          <w:color w:val="auto"/>
          <w:szCs w:val="21"/>
          <w:highlight w:val="none"/>
        </w:rPr>
        <w:t>，具体评标内容及评分标准等详见</w:t>
      </w:r>
      <w:r>
        <w:rPr>
          <w:rFonts w:hint="eastAsia" w:ascii="宋体" w:hAnsi="宋体" w:eastAsia="宋体" w:cs="宋体"/>
          <w:bCs/>
          <w:color w:val="auto"/>
          <w:szCs w:val="21"/>
          <w:highlight w:val="none"/>
        </w:rPr>
        <w:t>第四章《评审办法及评审标准》</w:t>
      </w:r>
      <w:r>
        <w:rPr>
          <w:rFonts w:hint="eastAsia" w:ascii="宋体" w:hAnsi="宋体" w:eastAsia="宋体" w:cs="宋体"/>
          <w:color w:val="auto"/>
          <w:szCs w:val="21"/>
          <w:highlight w:val="none"/>
        </w:rPr>
        <w:t>。</w:t>
      </w:r>
    </w:p>
    <w:p w14:paraId="5F483383">
      <w:pPr>
        <w:pStyle w:val="10"/>
        <w:snapToGrid w:val="0"/>
        <w:spacing w:beforeLines="0" w:afterLines="0" w:line="360" w:lineRule="auto"/>
        <w:ind w:firstLine="422" w:firstLineChars="200"/>
        <w:outlineLvl w:val="1"/>
        <w:rPr>
          <w:rFonts w:hint="eastAsia" w:ascii="宋体" w:hAnsi="宋体" w:eastAsia="宋体" w:cs="宋体"/>
          <w:b/>
          <w:color w:val="auto"/>
          <w:sz w:val="21"/>
          <w:szCs w:val="21"/>
          <w:highlight w:val="none"/>
        </w:rPr>
      </w:pPr>
      <w:bookmarkStart w:id="71" w:name="_Toc504504574"/>
      <w:bookmarkStart w:id="72" w:name="_Toc510614926"/>
      <w:bookmarkStart w:id="73" w:name="_Toc520986890"/>
      <w:bookmarkStart w:id="74" w:name="_Toc16413"/>
      <w:r>
        <w:rPr>
          <w:rFonts w:hint="eastAsia" w:ascii="宋体" w:hAnsi="宋体" w:eastAsia="宋体" w:cs="宋体"/>
          <w:b/>
          <w:color w:val="auto"/>
          <w:sz w:val="21"/>
          <w:szCs w:val="21"/>
          <w:highlight w:val="none"/>
        </w:rPr>
        <w:t>五、定标</w:t>
      </w:r>
      <w:bookmarkEnd w:id="71"/>
      <w:bookmarkEnd w:id="72"/>
      <w:bookmarkEnd w:id="73"/>
      <w:bookmarkEnd w:id="74"/>
    </w:p>
    <w:p w14:paraId="0C7002E4">
      <w:pPr>
        <w:pStyle w:val="10"/>
        <w:spacing w:beforeLines="0" w:afterLines="0" w:line="360" w:lineRule="auto"/>
        <w:ind w:firstLine="417" w:firstLineChars="198"/>
        <w:rPr>
          <w:rFonts w:hint="eastAsia" w:ascii="宋体" w:hAnsi="宋体" w:eastAsia="宋体" w:cs="宋体"/>
          <w:b/>
          <w:color w:val="auto"/>
          <w:sz w:val="21"/>
          <w:szCs w:val="21"/>
          <w:highlight w:val="none"/>
        </w:rPr>
      </w:pPr>
      <w:bookmarkStart w:id="75" w:name="_Toc7357"/>
      <w:bookmarkStart w:id="76" w:name="_Toc33696755"/>
      <w:bookmarkStart w:id="77" w:name="_Toc520986891"/>
      <w:bookmarkStart w:id="78" w:name="_Toc504504575"/>
      <w:bookmarkStart w:id="79" w:name="_Toc510614927"/>
      <w:r>
        <w:rPr>
          <w:rFonts w:hint="eastAsia" w:ascii="宋体" w:hAnsi="宋体" w:eastAsia="宋体" w:cs="宋体"/>
          <w:b/>
          <w:color w:val="auto"/>
          <w:sz w:val="21"/>
          <w:szCs w:val="21"/>
          <w:highlight w:val="none"/>
        </w:rPr>
        <w:t>（一）采购结果确认（确定中标单位）</w:t>
      </w:r>
      <w:bookmarkEnd w:id="75"/>
    </w:p>
    <w:p w14:paraId="2E4F313B">
      <w:pPr>
        <w:pStyle w:val="10"/>
        <w:spacing w:beforeLines="0" w:afterLines="0" w:line="360" w:lineRule="auto"/>
        <w:ind w:firstLine="415" w:firstLineChars="198"/>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1.项目由</w:t>
      </w:r>
      <w:r>
        <w:rPr>
          <w:rFonts w:hint="eastAsia" w:ascii="宋体" w:hAnsi="宋体" w:eastAsia="宋体" w:cs="宋体"/>
          <w:bCs/>
          <w:color w:val="auto"/>
          <w:sz w:val="21"/>
          <w:szCs w:val="21"/>
          <w:highlight w:val="none"/>
          <w:lang w:eastAsia="zh-CN"/>
        </w:rPr>
        <w:t>磋商小组</w:t>
      </w:r>
      <w:r>
        <w:rPr>
          <w:rFonts w:hint="eastAsia" w:ascii="宋体" w:hAnsi="宋体" w:eastAsia="宋体" w:cs="宋体"/>
          <w:bCs/>
          <w:color w:val="auto"/>
          <w:sz w:val="21"/>
          <w:szCs w:val="21"/>
          <w:highlight w:val="none"/>
        </w:rPr>
        <w:t>根据第四章《评审办法及评审标准》规定提出中标候选人排序。</w:t>
      </w:r>
      <w:bookmarkEnd w:id="76"/>
    </w:p>
    <w:p w14:paraId="500355F2">
      <w:pPr>
        <w:spacing w:line="360" w:lineRule="auto"/>
        <w:ind w:firstLine="48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2.本项目由</w:t>
      </w:r>
      <w:r>
        <w:rPr>
          <w:rFonts w:hint="eastAsia" w:ascii="宋体" w:hAnsi="宋体" w:eastAsia="宋体" w:cs="宋体"/>
          <w:bCs/>
          <w:color w:val="auto"/>
          <w:szCs w:val="21"/>
          <w:highlight w:val="none"/>
          <w:lang w:eastAsia="zh-CN"/>
        </w:rPr>
        <w:t>磋商小组</w:t>
      </w:r>
      <w:r>
        <w:rPr>
          <w:rFonts w:hint="eastAsia" w:ascii="宋体" w:hAnsi="宋体" w:eastAsia="宋体" w:cs="宋体"/>
          <w:bCs/>
          <w:color w:val="auto"/>
          <w:szCs w:val="21"/>
          <w:highlight w:val="none"/>
        </w:rPr>
        <w:t>推荐中标供应商，采购代理机构在评标结束后2个工作日内将评标报告交采购人确认。</w:t>
      </w:r>
    </w:p>
    <w:p w14:paraId="31FB62B5">
      <w:pPr>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3.采购人应当自收到评标报告之日起5个工作日内，在评标报告确定的中标候选人名单中按顺序确定中标人，或者采购人委托</w:t>
      </w:r>
      <w:r>
        <w:rPr>
          <w:rFonts w:hint="eastAsia" w:ascii="宋体" w:hAnsi="宋体" w:eastAsia="宋体" w:cs="宋体"/>
          <w:bCs/>
          <w:color w:val="auto"/>
          <w:szCs w:val="21"/>
          <w:highlight w:val="none"/>
          <w:lang w:eastAsia="zh-CN"/>
        </w:rPr>
        <w:t>磋商小组</w:t>
      </w:r>
      <w:r>
        <w:rPr>
          <w:rFonts w:hint="eastAsia" w:ascii="宋体" w:hAnsi="宋体" w:eastAsia="宋体" w:cs="宋体"/>
          <w:bCs/>
          <w:color w:val="auto"/>
          <w:szCs w:val="21"/>
          <w:highlight w:val="none"/>
        </w:rPr>
        <w:t>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14:paraId="1D0AA878">
      <w:pPr>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3.采购人及采购组织机构不对评审结果做任何解释。</w:t>
      </w:r>
    </w:p>
    <w:p w14:paraId="65CB4B77">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（二）采购结果公告和中标通知书签发</w:t>
      </w:r>
    </w:p>
    <w:p w14:paraId="4004FF49">
      <w:pPr>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1.采购结果经采购人确认后，采购代理机构将于2个工作日内在浙江政府采购网上发布中标公告，并向中标方签发书面《中标通知书》。</w:t>
      </w:r>
    </w:p>
    <w:p w14:paraId="04CC62E6">
      <w:pPr>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2.中标公告期限为1个工作日。</w:t>
      </w:r>
    </w:p>
    <w:p w14:paraId="29B6B87B">
      <w:pPr>
        <w:spacing w:line="360" w:lineRule="auto"/>
        <w:ind w:firstLine="48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3.中标通知书发出后，中标单位无正当理由不得放弃中标。</w:t>
      </w:r>
    </w:p>
    <w:p w14:paraId="0F225B18">
      <w:pPr>
        <w:pStyle w:val="10"/>
        <w:snapToGrid w:val="0"/>
        <w:spacing w:beforeLines="0" w:afterLines="0" w:line="360" w:lineRule="auto"/>
        <w:ind w:firstLine="422" w:firstLineChars="200"/>
        <w:outlineLvl w:val="1"/>
        <w:rPr>
          <w:rFonts w:hint="eastAsia" w:ascii="宋体" w:hAnsi="宋体" w:eastAsia="宋体" w:cs="宋体"/>
          <w:b/>
          <w:color w:val="auto"/>
          <w:sz w:val="21"/>
          <w:szCs w:val="21"/>
          <w:highlight w:val="none"/>
        </w:rPr>
      </w:pPr>
      <w:bookmarkStart w:id="80" w:name="_Toc16312"/>
      <w:r>
        <w:rPr>
          <w:rFonts w:hint="eastAsia" w:ascii="宋体" w:hAnsi="宋体" w:eastAsia="宋体" w:cs="宋体"/>
          <w:b/>
          <w:color w:val="auto"/>
          <w:sz w:val="21"/>
          <w:szCs w:val="21"/>
          <w:highlight w:val="none"/>
        </w:rPr>
        <w:t>六、合同授予</w:t>
      </w:r>
      <w:bookmarkEnd w:id="77"/>
      <w:bookmarkEnd w:id="78"/>
      <w:bookmarkEnd w:id="79"/>
      <w:bookmarkEnd w:id="80"/>
    </w:p>
    <w:p w14:paraId="23C975B1">
      <w:pPr>
        <w:snapToGrid w:val="0"/>
        <w:spacing w:line="360" w:lineRule="auto"/>
        <w:ind w:firstLine="482"/>
        <w:jc w:val="left"/>
        <w:rPr>
          <w:rFonts w:hint="eastAsia" w:ascii="宋体" w:hAnsi="宋体" w:eastAsia="宋体" w:cs="宋体"/>
          <w:b/>
          <w:color w:val="auto"/>
          <w:szCs w:val="21"/>
          <w:highlight w:val="none"/>
        </w:rPr>
      </w:pPr>
      <w:bookmarkStart w:id="81" w:name="_Toc504504576"/>
      <w:r>
        <w:rPr>
          <w:rFonts w:hint="eastAsia" w:ascii="宋体" w:hAnsi="宋体" w:eastAsia="宋体" w:cs="宋体"/>
          <w:b/>
          <w:color w:val="auto"/>
          <w:szCs w:val="21"/>
          <w:highlight w:val="none"/>
        </w:rPr>
        <w:t>（一）签订合同</w:t>
      </w:r>
      <w:bookmarkEnd w:id="81"/>
    </w:p>
    <w:p w14:paraId="59C4A9C0">
      <w:pPr>
        <w:snapToGrid w:val="0"/>
        <w:spacing w:line="360" w:lineRule="auto"/>
        <w:ind w:firstLine="48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1.采购人与中标单位应当在《中标通知书》发出之日起30日内持《中标通知书》与采购人签订《采购合同》。</w:t>
      </w:r>
    </w:p>
    <w:p w14:paraId="6C848ABA">
      <w:pPr>
        <w:snapToGrid w:val="0"/>
        <w:spacing w:line="360" w:lineRule="auto"/>
        <w:ind w:firstLine="48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2.所签订的合同不得对采购文件确定的事项和中标单位投标文件作实质性修改。采购代理机构将根据采购人的委托，对合同内容进行审查，如发现与采购结果和投标承诺内容不一致的，将予以纠正。</w:t>
      </w:r>
    </w:p>
    <w:p w14:paraId="4D6D8E5C">
      <w:pPr>
        <w:snapToGrid w:val="0"/>
        <w:spacing w:line="360" w:lineRule="auto"/>
        <w:ind w:firstLine="48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单位拒绝与采购人签订合同的，须按项目预算金额的5%向采购人进行赔偿（赔偿用于支付采购代理服务费、专家评审费、其他采购组织费用、补偿采购人损失，若预算金额的5%不足以支付，按实际损失赔偿），同时采购人、采购代理机构将对其失信行为上报至同级采购监督管理部门对其依法处理。</w:t>
      </w:r>
    </w:p>
    <w:p w14:paraId="32A69147">
      <w:pPr>
        <w:snapToGrid w:val="0"/>
        <w:spacing w:line="360" w:lineRule="auto"/>
        <w:ind w:firstLine="48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4.原中标单位拒绝与采购人签订合同后，采购人重新开展采购活动。</w:t>
      </w:r>
    </w:p>
    <w:p w14:paraId="16E36652">
      <w:pPr>
        <w:pStyle w:val="10"/>
        <w:snapToGrid w:val="0"/>
        <w:spacing w:beforeLines="0" w:afterLines="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（二）合同备案</w:t>
      </w:r>
    </w:p>
    <w:p w14:paraId="26504712">
      <w:pPr>
        <w:pStyle w:val="1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1.中标人应当自采购合同签订之日起</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个工作日内，将采购合同原件报</w:t>
      </w:r>
      <w:r>
        <w:rPr>
          <w:rFonts w:hint="eastAsia" w:ascii="宋体" w:hAnsi="宋体" w:eastAsia="宋体" w:cs="宋体"/>
          <w:color w:val="auto"/>
          <w:sz w:val="21"/>
          <w:szCs w:val="21"/>
          <w:highlight w:val="none"/>
          <w:lang w:eastAsia="zh-CN"/>
        </w:rPr>
        <w:t>禾泽都林设计集团有限公司</w:t>
      </w:r>
      <w:r>
        <w:rPr>
          <w:rFonts w:hint="eastAsia" w:ascii="宋体" w:hAnsi="宋体" w:eastAsia="宋体" w:cs="宋体"/>
          <w:color w:val="auto"/>
          <w:sz w:val="21"/>
          <w:szCs w:val="21"/>
          <w:highlight w:val="none"/>
        </w:rPr>
        <w:t>备案。</w:t>
      </w:r>
    </w:p>
    <w:p w14:paraId="57890FFD">
      <w:pPr>
        <w:pStyle w:val="1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2.未领取中标通知书，采购双方自行签订的合同不予备案。</w:t>
      </w:r>
    </w:p>
    <w:p w14:paraId="6E2EC576">
      <w:pPr>
        <w:snapToGrid w:val="0"/>
        <w:spacing w:line="360" w:lineRule="auto"/>
        <w:ind w:firstLine="422" w:firstLineChars="200"/>
        <w:jc w:val="left"/>
        <w:rPr>
          <w:rFonts w:hint="eastAsia" w:ascii="宋体" w:hAnsi="宋体" w:eastAsia="宋体" w:cs="宋体"/>
          <w:b/>
          <w:color w:val="auto"/>
          <w:kern w:val="0"/>
          <w:szCs w:val="21"/>
          <w:highlight w:val="none"/>
        </w:rPr>
      </w:pPr>
      <w:bookmarkStart w:id="82" w:name="_Toc504504579"/>
      <w:bookmarkStart w:id="83" w:name="_Toc520986892"/>
      <w:bookmarkStart w:id="84" w:name="_Toc510614928"/>
      <w:r>
        <w:rPr>
          <w:rFonts w:hint="eastAsia" w:ascii="宋体" w:hAnsi="宋体" w:eastAsia="宋体" w:cs="宋体"/>
          <w:b/>
          <w:color w:val="auto"/>
          <w:kern w:val="0"/>
          <w:szCs w:val="21"/>
          <w:highlight w:val="none"/>
        </w:rPr>
        <w:t>（三）履约担保（履约保证金）</w:t>
      </w:r>
    </w:p>
    <w:p w14:paraId="76E6E597">
      <w:pPr>
        <w:pStyle w:val="10"/>
        <w:snapToGrid w:val="0"/>
        <w:spacing w:beforeLines="0" w:afterLines="0" w:line="360" w:lineRule="auto"/>
        <w:ind w:firstLine="417" w:firstLineChars="198"/>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详见《投标须知前附表》。</w:t>
      </w:r>
    </w:p>
    <w:p w14:paraId="6F3F8F12">
      <w:pPr>
        <w:pStyle w:val="10"/>
        <w:snapToGrid w:val="0"/>
        <w:spacing w:beforeLines="0" w:afterLines="0" w:line="360" w:lineRule="auto"/>
        <w:ind w:firstLine="417" w:firstLineChars="198"/>
        <w:outlineLvl w:val="1"/>
        <w:rPr>
          <w:rFonts w:hint="eastAsia" w:ascii="宋体" w:hAnsi="宋体" w:eastAsia="宋体" w:cs="宋体"/>
          <w:b/>
          <w:color w:val="auto"/>
          <w:sz w:val="21"/>
          <w:szCs w:val="21"/>
          <w:highlight w:val="none"/>
        </w:rPr>
      </w:pPr>
      <w:bookmarkStart w:id="85" w:name="_Toc18704"/>
      <w:r>
        <w:rPr>
          <w:rFonts w:hint="eastAsia" w:ascii="宋体" w:hAnsi="宋体" w:eastAsia="宋体" w:cs="宋体"/>
          <w:b/>
          <w:color w:val="auto"/>
          <w:sz w:val="21"/>
          <w:szCs w:val="21"/>
          <w:highlight w:val="none"/>
        </w:rPr>
        <w:t>七、款项的结算</w:t>
      </w:r>
      <w:bookmarkEnd w:id="82"/>
      <w:bookmarkEnd w:id="83"/>
      <w:bookmarkEnd w:id="84"/>
      <w:bookmarkEnd w:id="85"/>
    </w:p>
    <w:p w14:paraId="51D84451">
      <w:pPr>
        <w:spacing w:line="360" w:lineRule="auto"/>
        <w:ind w:firstLine="403" w:firstLineChars="192"/>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按照前面前附表的有关规定。</w:t>
      </w:r>
    </w:p>
    <w:p w14:paraId="1D96E58B">
      <w:pPr>
        <w:spacing w:line="360" w:lineRule="auto"/>
        <w:rPr>
          <w:rFonts w:hint="eastAsia" w:ascii="宋体" w:hAnsi="宋体" w:eastAsia="宋体" w:cs="宋体"/>
          <w:color w:val="auto"/>
          <w:szCs w:val="21"/>
          <w:highlight w:val="none"/>
        </w:rPr>
      </w:pPr>
    </w:p>
    <w:p w14:paraId="14E04D8F">
      <w:pPr>
        <w:widowControl/>
        <w:numPr>
          <w:ilvl w:val="0"/>
          <w:numId w:val="2"/>
        </w:numPr>
        <w:jc w:val="center"/>
        <w:outlineLvl w:val="0"/>
        <w:rPr>
          <w:rFonts w:hint="eastAsia" w:ascii="宋体" w:hAnsi="宋体" w:eastAsia="宋体" w:cs="宋体"/>
          <w:b/>
          <w:color w:val="auto"/>
          <w:sz w:val="28"/>
          <w:szCs w:val="28"/>
          <w:highlight w:val="none"/>
        </w:rPr>
      </w:pPr>
      <w:bookmarkStart w:id="86" w:name="_Toc31557"/>
      <w:bookmarkStart w:id="87" w:name="_Toc22845"/>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 xml:space="preserve">  采购需求</w:t>
      </w:r>
      <w:bookmarkEnd w:id="86"/>
      <w:bookmarkEnd w:id="87"/>
    </w:p>
    <w:p w14:paraId="293A5EB3">
      <w:pPr>
        <w:keepNext w:val="0"/>
        <w:keepLines w:val="0"/>
        <w:pageBreakBefore w:val="0"/>
        <w:widowControl w:val="0"/>
        <w:kinsoku/>
        <w:wordWrap/>
        <w:overflowPunct/>
        <w:topLinePunct w:val="0"/>
        <w:autoSpaceDE/>
        <w:autoSpaceDN/>
        <w:bidi w:val="0"/>
        <w:adjustRightInd w:val="0"/>
        <w:snapToGrid/>
        <w:spacing w:line="360" w:lineRule="auto"/>
        <w:ind w:firstLine="211" w:firstLineChars="100"/>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一、基本概况</w:t>
      </w:r>
    </w:p>
    <w:p w14:paraId="3CE356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为了进一步打造“嵊州小笼包”的知名度，大力推广“嵊州小笼包”的传播力度，并高度概况和凝练嵊州的包子文化与韵味。</w:t>
      </w:r>
    </w:p>
    <w:p w14:paraId="5BCF01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飞机机身广告是目非常新颖的一种广告形式，广告的冲击力强，传播效果突出，通过本项目的实施将品牌形象传播到飞机通达的国内，国际。使“嵊州小笼包”走向更广阔的天地，同时也更多的人了解嵊州这个碳水王国。</w:t>
      </w:r>
    </w:p>
    <w:p w14:paraId="53EE6C97">
      <w:pPr>
        <w:keepNext w:val="0"/>
        <w:keepLines w:val="0"/>
        <w:pageBreakBefore w:val="0"/>
        <w:widowControl w:val="0"/>
        <w:kinsoku/>
        <w:wordWrap/>
        <w:overflowPunct/>
        <w:topLinePunct w:val="0"/>
        <w:autoSpaceDE/>
        <w:autoSpaceDN/>
        <w:bidi w:val="0"/>
        <w:adjustRightInd w:val="0"/>
        <w:snapToGrid/>
        <w:spacing w:line="360" w:lineRule="auto"/>
        <w:ind w:firstLine="211" w:firstLineChars="100"/>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二、采购内容要求</w:t>
      </w:r>
    </w:p>
    <w:p w14:paraId="678FAE14">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2"/>
          <w:sz w:val="21"/>
          <w:szCs w:val="21"/>
          <w:highlight w:val="none"/>
          <w:vertAlign w:val="baseline"/>
          <w:lang w:val="en-US" w:eastAsia="zh-CN" w:bidi="ar-SA"/>
          <w14:textFill>
            <w14:solidFill>
              <w14:schemeClr w14:val="tx1"/>
            </w14:solidFill>
          </w14:textFill>
        </w:rPr>
        <w:t>喷涂机型：A320，飞机架数： 1 架（喷涂全机身）。在机舱内部行李舱盖板海报、小桌板贴纸和座椅头巾等区域，布置和展示；嵊州特色小吃、 嵊州越剧文化等相关画面和元素。宣传点位：行李舱盖板（</w:t>
      </w:r>
      <w:r>
        <w:rPr>
          <w:rFonts w:hint="eastAsia" w:ascii="宋体" w:hAnsi="宋体" w:cs="宋体"/>
          <w:b w:val="0"/>
          <w:bCs w:val="0"/>
          <w:i w:val="0"/>
          <w:iCs w:val="0"/>
          <w:color w:val="000000" w:themeColor="text1"/>
          <w:kern w:val="2"/>
          <w:sz w:val="21"/>
          <w:szCs w:val="21"/>
          <w:highlight w:val="none"/>
          <w:vertAlign w:val="baseline"/>
          <w:lang w:val="en-US" w:eastAsia="zh-CN" w:bidi="ar-SA"/>
          <w14:textFill>
            <w14:solidFill>
              <w14:schemeClr w14:val="tx1"/>
            </w14:solidFill>
          </w14:textFill>
        </w:rPr>
        <w:t>800*300</w:t>
      </w:r>
      <w:r>
        <w:rPr>
          <w:rFonts w:hint="eastAsia" w:ascii="宋体" w:hAnsi="宋体" w:eastAsia="宋体" w:cs="宋体"/>
          <w:b w:val="0"/>
          <w:bCs w:val="0"/>
          <w:i w:val="0"/>
          <w:iCs w:val="0"/>
          <w:color w:val="000000" w:themeColor="text1"/>
          <w:kern w:val="2"/>
          <w:sz w:val="21"/>
          <w:szCs w:val="21"/>
          <w:highlight w:val="none"/>
          <w:vertAlign w:val="baseline"/>
          <w:lang w:val="en-US" w:eastAsia="zh-CN" w:bidi="ar-SA"/>
          <w14:textFill>
            <w14:solidFill>
              <w14:schemeClr w14:val="tx1"/>
            </w14:solidFill>
          </w14:textFill>
        </w:rPr>
        <w:t>）、小桌板（</w:t>
      </w:r>
      <w:r>
        <w:rPr>
          <w:rFonts w:hint="eastAsia" w:ascii="宋体" w:hAnsi="宋体" w:cs="宋体"/>
          <w:b w:val="0"/>
          <w:bCs w:val="0"/>
          <w:i w:val="0"/>
          <w:iCs w:val="0"/>
          <w:color w:val="000000" w:themeColor="text1"/>
          <w:kern w:val="2"/>
          <w:sz w:val="21"/>
          <w:szCs w:val="21"/>
          <w:highlight w:val="none"/>
          <w:vertAlign w:val="baseline"/>
          <w:lang w:val="en-US" w:eastAsia="zh-CN" w:bidi="ar-SA"/>
          <w14:textFill>
            <w14:solidFill>
              <w14:schemeClr w14:val="tx1"/>
            </w14:solidFill>
          </w14:textFill>
        </w:rPr>
        <w:t>190*80</w:t>
      </w:r>
      <w:r>
        <w:rPr>
          <w:rFonts w:hint="eastAsia" w:ascii="宋体" w:hAnsi="宋体" w:eastAsia="宋体" w:cs="宋体"/>
          <w:b w:val="0"/>
          <w:bCs w:val="0"/>
          <w:i w:val="0"/>
          <w:iCs w:val="0"/>
          <w:color w:val="000000" w:themeColor="text1"/>
          <w:kern w:val="2"/>
          <w:sz w:val="21"/>
          <w:szCs w:val="21"/>
          <w:highlight w:val="none"/>
          <w:vertAlign w:val="baseline"/>
          <w:lang w:val="en-US" w:eastAsia="zh-CN" w:bidi="ar-SA"/>
          <w14:textFill>
            <w14:solidFill>
              <w14:schemeClr w14:val="tx1"/>
            </w14:solidFill>
          </w14:textFill>
        </w:rPr>
        <w:t>）、座椅头片（</w:t>
      </w:r>
      <w:r>
        <w:rPr>
          <w:rFonts w:hint="eastAsia" w:ascii="宋体" w:hAnsi="宋体" w:cs="宋体"/>
          <w:b w:val="0"/>
          <w:bCs w:val="0"/>
          <w:i w:val="0"/>
          <w:iCs w:val="0"/>
          <w:color w:val="000000" w:themeColor="text1"/>
          <w:kern w:val="2"/>
          <w:sz w:val="21"/>
          <w:szCs w:val="21"/>
          <w:highlight w:val="none"/>
          <w:vertAlign w:val="baseline"/>
          <w:lang w:val="en-US" w:eastAsia="zh-CN" w:bidi="ar-SA"/>
          <w14:textFill>
            <w14:solidFill>
              <w14:schemeClr w14:val="tx1"/>
            </w14:solidFill>
          </w14:textFill>
        </w:rPr>
        <w:t>200*300</w:t>
      </w:r>
      <w:r>
        <w:rPr>
          <w:rFonts w:hint="eastAsia" w:ascii="宋体" w:hAnsi="宋体" w:eastAsia="宋体" w:cs="宋体"/>
          <w:b w:val="0"/>
          <w:bCs w:val="0"/>
          <w:i w:val="0"/>
          <w:iCs w:val="0"/>
          <w:color w:val="000000" w:themeColor="text1"/>
          <w:kern w:val="2"/>
          <w:sz w:val="21"/>
          <w:szCs w:val="21"/>
          <w:highlight w:val="none"/>
          <w:vertAlign w:val="baseline"/>
          <w:lang w:val="en-US" w:eastAsia="zh-CN" w:bidi="ar-SA"/>
          <w14:textFill>
            <w14:solidFill>
              <w14:schemeClr w14:val="tx1"/>
            </w14:solidFill>
          </w14:textFill>
        </w:rPr>
        <w:t>）、机上口播、机上主题航班活动、三折页、小笼包餐盒等。一年内更换宣传主题不少于4次。</w:t>
      </w:r>
    </w:p>
    <w:p w14:paraId="150247EA">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飞机喷涂设计与施工；</w:t>
      </w:r>
    </w:p>
    <w:p w14:paraId="793886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（1）2025年4月中前完成，完成打造“嵊州小吃”号主题冠名飞机图案设计。</w:t>
      </w:r>
    </w:p>
    <w:p w14:paraId="091D6F7D">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2025年4月中，机舱内部宣传点位：行李舱盖板、小桌板、座椅头片、机上口播、机上主题航班活动、三折页、小笼包餐盒等区域，布置和展示嵊州市旅游资源全部配齐。</w:t>
      </w:r>
    </w:p>
    <w:p w14:paraId="76B6E512">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2025年5月中，完成飞机身架的机身图案喷涂施工。</w:t>
      </w:r>
    </w:p>
    <w:p w14:paraId="2AF30228">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维护与保养</w:t>
      </w:r>
    </w:p>
    <w:p w14:paraId="69415A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合同履行期内，根据手册与飞机状况，定期对飞机身架涂装的情况进行全面检查，进行保养，发现破损、色差，进行修补，检查和保养次数不少于12次/年;每季度对飞机身架清洁 1-2次，保证外表干净无脏污。</w:t>
      </w:r>
    </w:p>
    <w:p w14:paraId="57A1FB8D">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喷涂恢复</w:t>
      </w:r>
    </w:p>
    <w:p w14:paraId="3127E7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合同执行到期后，根据双方合作需求，确定是否续签或延续协议，如不再延续，需要在到期后应重新喷漆恢复原航空机身喷涂。</w:t>
      </w:r>
    </w:p>
    <w:p w14:paraId="5CE49256">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广告面积及画面要求</w:t>
      </w:r>
    </w:p>
    <w:p w14:paraId="3A1EC040">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为A320飞机全机身（按照供应商广告相关标准执行）;</w:t>
      </w:r>
    </w:p>
    <w:p w14:paraId="1BAF4060">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广告画面为“嵊州小吃”为主题，需融汇嵊州特色、文化符号，彰显小笼包特色。</w:t>
      </w:r>
    </w:p>
    <w:p w14:paraId="68160235">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供应商在响应文件中提供三张效果示意图，并承诺如成交，设计方案以采购单位审定稿为准。</w:t>
      </w:r>
    </w:p>
    <w:p w14:paraId="2440D8E4">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211" w:firstLineChars="100"/>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其它服务要求</w:t>
      </w:r>
    </w:p>
    <w:tbl>
      <w:tblPr>
        <w:tblStyle w:val="18"/>
        <w:tblpPr w:leftFromText="180" w:rightFromText="180" w:vertAnchor="text" w:horzAnchor="page" w:tblpXSpec="center" w:tblpY="44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2741"/>
        <w:gridCol w:w="4689"/>
      </w:tblGrid>
      <w:tr w14:paraId="361CB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63" w:type="dxa"/>
            <w:vAlign w:val="center"/>
          </w:tcPr>
          <w:p w14:paraId="0652A43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序号</w:t>
            </w:r>
          </w:p>
        </w:tc>
        <w:tc>
          <w:tcPr>
            <w:tcW w:w="2741" w:type="dxa"/>
            <w:vAlign w:val="center"/>
          </w:tcPr>
          <w:p w14:paraId="23D2EFB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项目</w:t>
            </w:r>
          </w:p>
        </w:tc>
        <w:tc>
          <w:tcPr>
            <w:tcW w:w="4689" w:type="dxa"/>
            <w:vAlign w:val="center"/>
          </w:tcPr>
          <w:p w14:paraId="451AFBD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要求 （飞机型号： A320）</w:t>
            </w:r>
          </w:p>
        </w:tc>
      </w:tr>
      <w:tr w14:paraId="60F14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63" w:type="dxa"/>
            <w:vAlign w:val="center"/>
          </w:tcPr>
          <w:p w14:paraId="7269A44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2"/>
                <w:sz w:val="21"/>
                <w:szCs w:val="21"/>
                <w:highlight w:val="none"/>
                <w:vertAlign w:val="baseline"/>
                <w:lang w:val="en-US" w:eastAsia="zh-CN" w:bidi="ar-SA"/>
                <w14:textFill>
                  <w14:solidFill>
                    <w14:schemeClr w14:val="tx1"/>
                  </w14:solidFill>
                </w14:textFill>
              </w:rPr>
              <w:t>1</w:t>
            </w:r>
          </w:p>
        </w:tc>
        <w:tc>
          <w:tcPr>
            <w:tcW w:w="2741" w:type="dxa"/>
            <w:vAlign w:val="center"/>
          </w:tcPr>
          <w:p w14:paraId="69199A5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2"/>
                <w:sz w:val="21"/>
                <w:szCs w:val="21"/>
                <w:highlight w:val="none"/>
                <w:vertAlign w:val="baseline"/>
                <w:lang w:val="en-US" w:eastAsia="zh-CN" w:bidi="ar-SA"/>
                <w14:textFill>
                  <w14:solidFill>
                    <w14:schemeClr w14:val="tx1"/>
                  </w14:solidFill>
                </w14:textFill>
              </w:rPr>
              <w:t>通航点</w:t>
            </w:r>
          </w:p>
        </w:tc>
        <w:tc>
          <w:tcPr>
            <w:tcW w:w="4689" w:type="dxa"/>
            <w:vAlign w:val="center"/>
          </w:tcPr>
          <w:p w14:paraId="027A1D0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2"/>
                <w:sz w:val="21"/>
                <w:szCs w:val="21"/>
                <w:highlight w:val="none"/>
                <w:vertAlign w:val="baseline"/>
                <w:lang w:val="en-US" w:eastAsia="zh-CN" w:bidi="ar-SA"/>
                <w14:textFill>
                  <w14:solidFill>
                    <w14:schemeClr w14:val="tx1"/>
                  </w14:solidFill>
                </w14:textFill>
              </w:rPr>
              <w:t>不少于65个城市</w:t>
            </w:r>
          </w:p>
        </w:tc>
      </w:tr>
      <w:tr w14:paraId="7E08D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63" w:type="dxa"/>
            <w:vAlign w:val="center"/>
          </w:tcPr>
          <w:p w14:paraId="4C0516D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2"/>
                <w:sz w:val="21"/>
                <w:szCs w:val="21"/>
                <w:highlight w:val="none"/>
                <w:vertAlign w:val="baseline"/>
                <w:lang w:val="en-US" w:eastAsia="zh-CN" w:bidi="ar-SA"/>
                <w14:textFill>
                  <w14:solidFill>
                    <w14:schemeClr w14:val="tx1"/>
                  </w14:solidFill>
                </w14:textFill>
              </w:rPr>
              <w:t>2</w:t>
            </w:r>
          </w:p>
        </w:tc>
        <w:tc>
          <w:tcPr>
            <w:tcW w:w="2741" w:type="dxa"/>
            <w:vAlign w:val="center"/>
          </w:tcPr>
          <w:p w14:paraId="54518D1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2"/>
                <w:sz w:val="21"/>
                <w:szCs w:val="21"/>
                <w:highlight w:val="none"/>
                <w:vertAlign w:val="baseline"/>
                <w:lang w:val="en-US" w:eastAsia="zh-CN" w:bidi="ar-SA"/>
                <w14:textFill>
                  <w14:solidFill>
                    <w14:schemeClr w14:val="tx1"/>
                  </w14:solidFill>
                </w14:textFill>
              </w:rPr>
              <w:t>旅客运输量</w:t>
            </w:r>
          </w:p>
        </w:tc>
        <w:tc>
          <w:tcPr>
            <w:tcW w:w="4689" w:type="dxa"/>
            <w:vAlign w:val="center"/>
          </w:tcPr>
          <w:p w14:paraId="64C92F9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2"/>
                <w:sz w:val="21"/>
                <w:szCs w:val="21"/>
                <w:highlight w:val="none"/>
                <w:vertAlign w:val="baseline"/>
                <w:lang w:val="en-US" w:eastAsia="zh-CN" w:bidi="ar-SA"/>
                <w14:textFill>
                  <w14:solidFill>
                    <w14:schemeClr w14:val="tx1"/>
                  </w14:solidFill>
                </w14:textFill>
              </w:rPr>
              <w:t>不少于10万人次，直飞航班不少于750班</w:t>
            </w:r>
          </w:p>
        </w:tc>
      </w:tr>
    </w:tbl>
    <w:p w14:paraId="56D0536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i w:val="0"/>
          <w:iCs w:val="0"/>
          <w:color w:val="000000" w:themeColor="text1"/>
          <w:kern w:val="2"/>
          <w:sz w:val="21"/>
          <w:szCs w:val="21"/>
          <w:highlight w:val="none"/>
          <w:vertAlign w:val="baseline"/>
          <w:lang w:val="en-US" w:eastAsia="zh-CN" w:bidi="ar-SA"/>
          <w14:textFill>
            <w14:solidFill>
              <w14:schemeClr w14:val="tx1"/>
            </w14:solidFill>
          </w14:textFill>
        </w:rPr>
      </w:pPr>
    </w:p>
    <w:p w14:paraId="7CC3B9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2"/>
          <w:sz w:val="21"/>
          <w:szCs w:val="21"/>
          <w:highlight w:val="none"/>
          <w:vertAlign w:val="baseline"/>
          <w:lang w:val="en-US" w:eastAsia="zh-CN" w:bidi="ar-SA"/>
          <w14:textFill>
            <w14:solidFill>
              <w14:schemeClr w14:val="tx1"/>
            </w14:solidFill>
          </w14:textFill>
        </w:rPr>
        <w:t>供应商在响应文件中提供如下承诺:</w:t>
      </w:r>
    </w:p>
    <w:p w14:paraId="35F02DF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2"/>
          <w:sz w:val="21"/>
          <w:szCs w:val="21"/>
          <w:highlight w:val="none"/>
          <w:vertAlign w:val="baseline"/>
          <w:lang w:val="en-US" w:eastAsia="zh-CN" w:bidi="ar-SA"/>
          <w14:textFill>
            <w14:solidFill>
              <w14:schemeClr w14:val="tx1"/>
            </w14:solidFill>
          </w14:textFill>
        </w:rPr>
        <w:t>1、采购单位有重要保障任务，</w:t>
      </w:r>
      <w:r>
        <w:rPr>
          <w:rFonts w:hint="eastAsia" w:ascii="宋体" w:hAnsi="宋体" w:eastAsia="宋体" w:cs="宋体"/>
          <w:b w:val="0"/>
          <w:bCs w:val="0"/>
          <w:i w:val="0"/>
          <w:iCs w:val="0"/>
          <w:color w:val="auto"/>
          <w:kern w:val="2"/>
          <w:sz w:val="21"/>
          <w:szCs w:val="21"/>
          <w:highlight w:val="none"/>
          <w:vertAlign w:val="baseline"/>
          <w:lang w:val="en-US" w:eastAsia="zh-CN" w:bidi="ar-SA"/>
        </w:rPr>
        <w:t>供应商</w:t>
      </w:r>
      <w:r>
        <w:rPr>
          <w:rFonts w:hint="eastAsia" w:ascii="宋体" w:hAnsi="宋体" w:eastAsia="宋体" w:cs="宋体"/>
          <w:b w:val="0"/>
          <w:bCs w:val="0"/>
          <w:i w:val="0"/>
          <w:iCs w:val="0"/>
          <w:color w:val="000000" w:themeColor="text1"/>
          <w:kern w:val="2"/>
          <w:sz w:val="21"/>
          <w:szCs w:val="21"/>
          <w:highlight w:val="none"/>
          <w:vertAlign w:val="baseline"/>
          <w:lang w:val="en-US" w:eastAsia="zh-CN" w:bidi="ar-SA"/>
          <w14:textFill>
            <w14:solidFill>
              <w14:schemeClr w14:val="tx1"/>
            </w14:solidFill>
          </w14:textFill>
        </w:rPr>
        <w:t>应全力配合进行调机，将喷绘飞机调至采购单位所需要的航班直飞。</w:t>
      </w:r>
    </w:p>
    <w:p w14:paraId="0E5C515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2、供商应确保喷绘飞机安全。因安全问题导致飞机不能直飞，供商应对喷绘飞机的安全文明负全责，合同期间若发生安全责任事故或被相关部门查处，由此给采购单位造成损失的，一切责任及经济赔偿都由供应商承担。</w:t>
      </w:r>
    </w:p>
    <w:p w14:paraId="623855A3">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211" w:firstLineChars="100"/>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资信及商务要求表</w:t>
      </w:r>
    </w:p>
    <w:tbl>
      <w:tblPr>
        <w:tblStyle w:val="17"/>
        <w:tblpPr w:leftFromText="180" w:rightFromText="180" w:vertAnchor="text" w:horzAnchor="page" w:tblpX="1589" w:tblpY="237"/>
        <w:tblOverlap w:val="never"/>
        <w:tblW w:w="89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52"/>
        <w:gridCol w:w="7106"/>
      </w:tblGrid>
      <w:tr w14:paraId="75681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1852" w:type="dxa"/>
            <w:tcBorders>
              <w:top w:val="single" w:color="auto" w:sz="4" w:space="0"/>
              <w:left w:val="single" w:color="auto" w:sz="4" w:space="0"/>
              <w:bottom w:val="single" w:color="auto" w:sz="4" w:space="0"/>
              <w:right w:val="single" w:color="auto" w:sz="4" w:space="0"/>
            </w:tcBorders>
            <w:noWrap w:val="0"/>
            <w:vAlign w:val="center"/>
          </w:tcPr>
          <w:p w14:paraId="5072BE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服务期</w:t>
            </w:r>
          </w:p>
        </w:tc>
        <w:tc>
          <w:tcPr>
            <w:tcW w:w="7106" w:type="dxa"/>
            <w:tcBorders>
              <w:top w:val="single" w:color="auto" w:sz="4" w:space="0"/>
              <w:left w:val="single" w:color="auto" w:sz="4" w:space="0"/>
              <w:bottom w:val="single" w:color="auto" w:sz="4" w:space="0"/>
              <w:right w:val="single" w:color="auto" w:sz="4" w:space="0"/>
            </w:tcBorders>
            <w:noWrap w:val="0"/>
            <w:vAlign w:val="center"/>
          </w:tcPr>
          <w:p w14:paraId="47683204">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采购服务期为</w:t>
            </w:r>
            <w:r>
              <w:rPr>
                <w:rFonts w:hint="eastAsia" w:ascii="宋体" w:hAnsi="宋体" w:cs="宋体"/>
                <w:b w:val="0"/>
                <w:bCs w:val="0"/>
                <w:i w:val="0"/>
                <w:iCs w:val="0"/>
                <w:color w:val="auto"/>
                <w:kern w:val="2"/>
                <w:sz w:val="21"/>
                <w:szCs w:val="21"/>
                <w:highlight w:val="none"/>
                <w:vertAlign w:val="baseline"/>
                <w:lang w:val="en-US" w:eastAsia="zh-CN" w:bidi="ar-SA"/>
              </w:rPr>
              <w:t>两</w:t>
            </w:r>
            <w:r>
              <w:rPr>
                <w:rFonts w:hint="eastAsia" w:ascii="宋体" w:hAnsi="宋体" w:eastAsia="宋体" w:cs="宋体"/>
                <w:b w:val="0"/>
                <w:bCs w:val="0"/>
                <w:i w:val="0"/>
                <w:iCs w:val="0"/>
                <w:color w:val="auto"/>
                <w:kern w:val="2"/>
                <w:sz w:val="21"/>
                <w:szCs w:val="21"/>
                <w:highlight w:val="none"/>
                <w:vertAlign w:val="baseline"/>
                <w:lang w:val="en-US" w:eastAsia="zh-CN" w:bidi="ar-SA"/>
              </w:rPr>
              <w:t>年（具体以合同签定为准），合同为一年一签</w:t>
            </w:r>
            <w:r>
              <w:rPr>
                <w:rFonts w:hint="eastAsia" w:ascii="宋体" w:hAnsi="宋体" w:cs="宋体"/>
                <w:b w:val="0"/>
                <w:bCs w:val="0"/>
                <w:i w:val="0"/>
                <w:iCs w:val="0"/>
                <w:color w:val="auto"/>
                <w:kern w:val="2"/>
                <w:sz w:val="21"/>
                <w:szCs w:val="21"/>
                <w:highlight w:val="none"/>
                <w:vertAlign w:val="baseline"/>
                <w:lang w:val="en-US" w:eastAsia="zh-CN" w:bidi="ar-SA"/>
              </w:rPr>
              <w:t>；</w:t>
            </w:r>
          </w:p>
          <w:p w14:paraId="7842689C">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第一年履约合同完成，并经考核通过，续签第二年合同</w:t>
            </w:r>
            <w:r>
              <w:rPr>
                <w:rFonts w:hint="eastAsia" w:ascii="宋体" w:hAnsi="宋体" w:cs="宋体"/>
                <w:b w:val="0"/>
                <w:bCs w:val="0"/>
                <w:i w:val="0"/>
                <w:iCs w:val="0"/>
                <w:color w:val="auto"/>
                <w:kern w:val="2"/>
                <w:sz w:val="21"/>
                <w:szCs w:val="21"/>
                <w:highlight w:val="none"/>
                <w:vertAlign w:val="baseline"/>
                <w:lang w:val="en-US" w:eastAsia="zh-CN" w:bidi="ar-SA"/>
              </w:rPr>
              <w:t>；</w:t>
            </w:r>
          </w:p>
          <w:p w14:paraId="557E2832">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合同期间因政策原因导致合同无法再履行，采购人有权终止合同。</w:t>
            </w:r>
          </w:p>
        </w:tc>
      </w:tr>
      <w:tr w14:paraId="7A18A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852" w:type="dxa"/>
            <w:tcBorders>
              <w:top w:val="single" w:color="auto" w:sz="4" w:space="0"/>
              <w:left w:val="single" w:color="auto" w:sz="4" w:space="0"/>
              <w:bottom w:val="single" w:color="auto" w:sz="4" w:space="0"/>
              <w:right w:val="single" w:color="auto" w:sz="4" w:space="0"/>
            </w:tcBorders>
            <w:noWrap w:val="0"/>
            <w:vAlign w:val="center"/>
          </w:tcPr>
          <w:p w14:paraId="5FE09C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团队要求</w:t>
            </w:r>
          </w:p>
        </w:tc>
        <w:tc>
          <w:tcPr>
            <w:tcW w:w="7106" w:type="dxa"/>
            <w:tcBorders>
              <w:top w:val="single" w:color="auto" w:sz="4" w:space="0"/>
              <w:left w:val="single" w:color="auto" w:sz="4" w:space="0"/>
              <w:bottom w:val="single" w:color="auto" w:sz="4" w:space="0"/>
              <w:right w:val="single" w:color="auto" w:sz="4" w:space="0"/>
            </w:tcBorders>
            <w:noWrap w:val="0"/>
            <w:vAlign w:val="center"/>
          </w:tcPr>
          <w:p w14:paraId="5196FE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本项目实施需要相关项目经理、</w:t>
            </w:r>
            <w:r>
              <w:rPr>
                <w:rFonts w:hint="eastAsia" w:ascii="宋体" w:hAnsi="宋体" w:eastAsia="宋体" w:cs="宋体"/>
                <w:kern w:val="2"/>
                <w:sz w:val="21"/>
                <w:szCs w:val="21"/>
                <w:highlight w:val="none"/>
                <w:lang w:val="en-US" w:eastAsia="zh-CN" w:bidi="ar-SA"/>
              </w:rPr>
              <w:t>设计人员、</w:t>
            </w:r>
            <w:r>
              <w:rPr>
                <w:rFonts w:hint="eastAsia" w:ascii="宋体" w:hAnsi="宋体" w:eastAsia="宋体" w:cs="宋体"/>
                <w:b w:val="0"/>
                <w:bCs w:val="0"/>
                <w:i w:val="0"/>
                <w:iCs w:val="0"/>
                <w:color w:val="auto"/>
                <w:kern w:val="2"/>
                <w:sz w:val="21"/>
                <w:szCs w:val="21"/>
                <w:highlight w:val="none"/>
                <w:vertAlign w:val="baseline"/>
                <w:lang w:val="en-US" w:eastAsia="zh-CN" w:bidi="ar-SA"/>
              </w:rPr>
              <w:t>技术维护人员、财务统计人员和其他相关人员。</w:t>
            </w:r>
          </w:p>
          <w:p w14:paraId="5D6C79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项目经理负责组织领导项目实施，监控项目进度，在项目运营中提高宣传效果。</w:t>
            </w:r>
          </w:p>
          <w:p w14:paraId="32C4D1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技术维护人员负责落实喷漆等专业工作，确保定期维护保养与日常清洁。</w:t>
            </w:r>
          </w:p>
          <w:p w14:paraId="1E21F7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财务统计人员负责统计、整理项目运营相关数据，为项目阶段性报告提供依据。</w:t>
            </w:r>
          </w:p>
        </w:tc>
      </w:tr>
      <w:tr w14:paraId="79DC32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852" w:type="dxa"/>
            <w:tcBorders>
              <w:top w:val="single" w:color="auto" w:sz="4" w:space="0"/>
              <w:left w:val="single" w:color="auto" w:sz="4" w:space="0"/>
              <w:bottom w:val="single" w:color="auto" w:sz="4" w:space="0"/>
              <w:right w:val="single" w:color="auto" w:sz="4" w:space="0"/>
            </w:tcBorders>
            <w:noWrap w:val="0"/>
            <w:vAlign w:val="center"/>
          </w:tcPr>
          <w:p w14:paraId="2CBB0F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支付方式</w:t>
            </w:r>
          </w:p>
        </w:tc>
        <w:tc>
          <w:tcPr>
            <w:tcW w:w="7106" w:type="dxa"/>
            <w:tcBorders>
              <w:top w:val="single" w:color="auto" w:sz="4" w:space="0"/>
              <w:left w:val="single" w:color="auto" w:sz="4" w:space="0"/>
              <w:bottom w:val="single" w:color="auto" w:sz="4" w:space="0"/>
              <w:right w:val="single" w:color="auto" w:sz="4" w:space="0"/>
            </w:tcBorders>
            <w:noWrap w:val="0"/>
            <w:vAlign w:val="center"/>
          </w:tcPr>
          <w:p w14:paraId="17B7DEE8">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第一年支付方式：合同签订后支付合同价的30%，设计方案审核通过后支付至合同价的60%；机身喷涂、机舱内部宣传点位等全部完成并验收合格后支付至合同价的80%；服务期满支付剩余款项。</w:t>
            </w:r>
          </w:p>
          <w:p w14:paraId="72AE09C6">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第二年支付方式：合同签定15个工作日内支付合同价50%，</w:t>
            </w:r>
            <w:r>
              <w:rPr>
                <w:rFonts w:hint="eastAsia" w:ascii="宋体" w:hAnsi="宋体" w:cs="宋体"/>
                <w:b w:val="0"/>
                <w:bCs w:val="0"/>
                <w:i w:val="0"/>
                <w:iCs w:val="0"/>
                <w:color w:val="auto"/>
                <w:kern w:val="2"/>
                <w:sz w:val="21"/>
                <w:szCs w:val="21"/>
                <w:highlight w:val="none"/>
                <w:vertAlign w:val="baseline"/>
                <w:lang w:val="en-US" w:eastAsia="zh-CN" w:bidi="ar-SA"/>
              </w:rPr>
              <w:t>合同</w:t>
            </w:r>
            <w:r>
              <w:rPr>
                <w:rFonts w:hint="eastAsia" w:ascii="宋体" w:hAnsi="宋体" w:eastAsia="宋体" w:cs="宋体"/>
                <w:b w:val="0"/>
                <w:bCs w:val="0"/>
                <w:i w:val="0"/>
                <w:iCs w:val="0"/>
                <w:color w:val="auto"/>
                <w:kern w:val="2"/>
                <w:sz w:val="21"/>
                <w:szCs w:val="21"/>
                <w:highlight w:val="none"/>
                <w:vertAlign w:val="baseline"/>
                <w:lang w:val="en-US" w:eastAsia="zh-CN" w:bidi="ar-SA"/>
              </w:rPr>
              <w:t>履约完成，并考核通过后支付剩余款项。</w:t>
            </w:r>
          </w:p>
        </w:tc>
      </w:tr>
      <w:tr w14:paraId="220C5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852" w:type="dxa"/>
            <w:tcBorders>
              <w:top w:val="single" w:color="auto" w:sz="4" w:space="0"/>
              <w:left w:val="single" w:color="auto" w:sz="4" w:space="0"/>
              <w:bottom w:val="single" w:color="auto" w:sz="4" w:space="0"/>
              <w:right w:val="single" w:color="auto" w:sz="4" w:space="0"/>
            </w:tcBorders>
            <w:noWrap w:val="0"/>
            <w:vAlign w:val="center"/>
          </w:tcPr>
          <w:p w14:paraId="104C549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履约保证金</w:t>
            </w:r>
          </w:p>
        </w:tc>
        <w:tc>
          <w:tcPr>
            <w:tcW w:w="7106" w:type="dxa"/>
            <w:tcBorders>
              <w:top w:val="single" w:color="auto" w:sz="4" w:space="0"/>
              <w:left w:val="single" w:color="auto" w:sz="4" w:space="0"/>
              <w:bottom w:val="single" w:color="auto" w:sz="4" w:space="0"/>
              <w:right w:val="single" w:color="auto" w:sz="4" w:space="0"/>
            </w:tcBorders>
            <w:noWrap w:val="0"/>
            <w:vAlign w:val="center"/>
          </w:tcPr>
          <w:p w14:paraId="589CC3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中标通知书发出之日起10个工作日内向采购人交付履约保证金，否则，视为中标人放弃中标。中标人向采购人缴纳合同价的1%作为履约保证金，项目履约完成后十个工作日内无息退还。</w:t>
            </w:r>
          </w:p>
          <w:p w14:paraId="392FC9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按签定合同方式一年一支付。</w:t>
            </w:r>
          </w:p>
        </w:tc>
      </w:tr>
      <w:tr w14:paraId="42EBA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1852" w:type="dxa"/>
            <w:tcBorders>
              <w:top w:val="single" w:color="auto" w:sz="4" w:space="0"/>
              <w:left w:val="single" w:color="auto" w:sz="4" w:space="0"/>
              <w:bottom w:val="single" w:color="auto" w:sz="4" w:space="0"/>
              <w:right w:val="single" w:color="auto" w:sz="4" w:space="0"/>
            </w:tcBorders>
            <w:noWrap w:val="0"/>
            <w:vAlign w:val="center"/>
          </w:tcPr>
          <w:p w14:paraId="3EFDE37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服务标准及验收</w:t>
            </w:r>
          </w:p>
        </w:tc>
        <w:tc>
          <w:tcPr>
            <w:tcW w:w="7106" w:type="dxa"/>
            <w:tcBorders>
              <w:top w:val="single" w:color="auto" w:sz="4" w:space="0"/>
              <w:left w:val="single" w:color="auto" w:sz="4" w:space="0"/>
              <w:bottom w:val="single" w:color="auto" w:sz="4" w:space="0"/>
              <w:right w:val="single" w:color="auto" w:sz="4" w:space="0"/>
            </w:tcBorders>
            <w:noWrap w:val="0"/>
            <w:vAlign w:val="center"/>
          </w:tcPr>
          <w:p w14:paraId="7371A6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本项目需执行国家相关标准、行业标准、地方标准或者其它标准、规范。</w:t>
            </w:r>
          </w:p>
        </w:tc>
      </w:tr>
      <w:tr w14:paraId="460A3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9" w:hRule="atLeast"/>
        </w:trPr>
        <w:tc>
          <w:tcPr>
            <w:tcW w:w="1852" w:type="dxa"/>
            <w:tcBorders>
              <w:top w:val="single" w:color="auto" w:sz="4" w:space="0"/>
              <w:left w:val="single" w:color="auto" w:sz="4" w:space="0"/>
              <w:bottom w:val="single" w:color="auto" w:sz="4" w:space="0"/>
              <w:right w:val="single" w:color="auto" w:sz="4" w:space="0"/>
            </w:tcBorders>
            <w:noWrap w:val="0"/>
            <w:vAlign w:val="center"/>
          </w:tcPr>
          <w:p w14:paraId="1267675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 xml:space="preserve">维护期服务 </w:t>
            </w:r>
          </w:p>
        </w:tc>
        <w:tc>
          <w:tcPr>
            <w:tcW w:w="7106" w:type="dxa"/>
            <w:tcBorders>
              <w:top w:val="single" w:color="auto" w:sz="4" w:space="0"/>
              <w:left w:val="single" w:color="auto" w:sz="4" w:space="0"/>
              <w:bottom w:val="single" w:color="auto" w:sz="4" w:space="0"/>
              <w:right w:val="single" w:color="auto" w:sz="4" w:space="0"/>
            </w:tcBorders>
            <w:noWrap w:val="0"/>
            <w:vAlign w:val="center"/>
          </w:tcPr>
          <w:p w14:paraId="3DE47B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维护服务方案可包含且不限于对用户故障的相应、处理、定期巡检、维护、备品备件、常用耗材提供、维护服务机构设置、驻点人员情况等。服务承诺未明示可能涉及的前提设定和费用，视为是无条件和免费的。</w:t>
            </w:r>
          </w:p>
        </w:tc>
      </w:tr>
      <w:tr w14:paraId="796BF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3" w:hRule="atLeast"/>
        </w:trPr>
        <w:tc>
          <w:tcPr>
            <w:tcW w:w="1852" w:type="dxa"/>
            <w:tcBorders>
              <w:top w:val="single" w:color="auto" w:sz="4" w:space="0"/>
              <w:left w:val="single" w:color="auto" w:sz="4" w:space="0"/>
              <w:bottom w:val="single" w:color="auto" w:sz="4" w:space="0"/>
              <w:right w:val="single" w:color="auto" w:sz="4" w:space="0"/>
            </w:tcBorders>
            <w:noWrap w:val="0"/>
            <w:vAlign w:val="center"/>
          </w:tcPr>
          <w:p w14:paraId="4B028B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投标报价</w:t>
            </w:r>
          </w:p>
        </w:tc>
        <w:tc>
          <w:tcPr>
            <w:tcW w:w="7106" w:type="dxa"/>
            <w:tcBorders>
              <w:top w:val="single" w:color="auto" w:sz="4" w:space="0"/>
              <w:left w:val="single" w:color="auto" w:sz="4" w:space="0"/>
              <w:bottom w:val="single" w:color="auto" w:sz="4" w:space="0"/>
              <w:right w:val="single" w:color="auto" w:sz="4" w:space="0"/>
            </w:tcBorders>
            <w:noWrap w:val="0"/>
            <w:vAlign w:val="center"/>
          </w:tcPr>
          <w:p w14:paraId="727432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本项目投标报价应包含所有设计及深化、人员工资、各种社会保险、人员食宿与交通、办公费、设备、材料、文本费用、技术服务、利润、税金、招标代理费等合同包含的所有风险责任等各项费用及不可预见费等所需的部费用。</w:t>
            </w:r>
          </w:p>
        </w:tc>
      </w:tr>
      <w:tr w14:paraId="0A19E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852" w:type="dxa"/>
            <w:tcBorders>
              <w:left w:val="single" w:color="auto" w:sz="4" w:space="0"/>
              <w:right w:val="single" w:color="auto" w:sz="4" w:space="0"/>
            </w:tcBorders>
            <w:noWrap w:val="0"/>
            <w:vAlign w:val="center"/>
          </w:tcPr>
          <w:p w14:paraId="2FCA03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p>
          <w:p w14:paraId="06DDD7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其他要求</w:t>
            </w:r>
          </w:p>
        </w:tc>
        <w:tc>
          <w:tcPr>
            <w:tcW w:w="7106" w:type="dxa"/>
            <w:tcBorders>
              <w:top w:val="single" w:color="auto" w:sz="4" w:space="0"/>
              <w:left w:val="single" w:color="auto" w:sz="4" w:space="0"/>
              <w:bottom w:val="single" w:color="auto" w:sz="4" w:space="0"/>
              <w:right w:val="single" w:color="auto" w:sz="4" w:space="0"/>
            </w:tcBorders>
            <w:noWrap w:val="0"/>
            <w:vAlign w:val="center"/>
          </w:tcPr>
          <w:p w14:paraId="4061F8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定稿后设计版权及设计过程中所有设计稿版权均归采购单位所有，任何人不得以任何名义侵犯采购单位知识产权。</w:t>
            </w:r>
          </w:p>
        </w:tc>
      </w:tr>
      <w:tr w14:paraId="3A0E4E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852" w:type="dxa"/>
            <w:tcBorders>
              <w:left w:val="single" w:color="auto" w:sz="4" w:space="0"/>
              <w:right w:val="single" w:color="auto" w:sz="4" w:space="0"/>
            </w:tcBorders>
            <w:noWrap w:val="0"/>
            <w:vAlign w:val="center"/>
          </w:tcPr>
          <w:p w14:paraId="582020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p>
        </w:tc>
        <w:tc>
          <w:tcPr>
            <w:tcW w:w="7106" w:type="dxa"/>
            <w:tcBorders>
              <w:top w:val="single" w:color="auto" w:sz="4" w:space="0"/>
              <w:left w:val="single" w:color="auto" w:sz="4" w:space="0"/>
              <w:bottom w:val="single" w:color="auto" w:sz="4" w:space="0"/>
              <w:right w:val="single" w:color="auto" w:sz="4" w:space="0"/>
            </w:tcBorders>
            <w:noWrap w:val="0"/>
            <w:vAlign w:val="center"/>
          </w:tcPr>
          <w:p w14:paraId="38CA2B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具体考核细则详见附件。</w:t>
            </w:r>
          </w:p>
        </w:tc>
      </w:tr>
    </w:tbl>
    <w:p w14:paraId="205308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color w:val="auto"/>
          <w:kern w:val="2"/>
          <w:sz w:val="24"/>
          <w:szCs w:val="20"/>
          <w:highlight w:val="none"/>
          <w:vertAlign w:val="baseline"/>
          <w:lang w:val="en-US" w:eastAsia="zh-CN" w:bidi="ar-SA"/>
        </w:rPr>
      </w:pPr>
    </w:p>
    <w:p w14:paraId="7C49B936">
      <w:pPr>
        <w:spacing w:after="120" w:afterLines="5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第四章  评审办法及评审标准</w:t>
      </w:r>
    </w:p>
    <w:p w14:paraId="5318C422">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根据有关规定及此项目的实际情况，遵循公平、公正、科学择优的原则，特制定本办法。</w:t>
      </w:r>
    </w:p>
    <w:p w14:paraId="2C86653A">
      <w:pPr>
        <w:spacing w:line="360" w:lineRule="auto"/>
        <w:ind w:firstLine="413" w:firstLineChars="196"/>
        <w:rPr>
          <w:rFonts w:hint="eastAsia" w:ascii="宋体" w:hAnsi="宋体" w:eastAsia="宋体" w:cs="宋体"/>
          <w:b/>
          <w:color w:val="auto"/>
          <w:szCs w:val="21"/>
          <w:highlight w:val="none"/>
        </w:rPr>
      </w:pPr>
      <w:bookmarkStart w:id="88" w:name="_Toc9103"/>
      <w:r>
        <w:rPr>
          <w:rFonts w:hint="eastAsia" w:ascii="宋体" w:hAnsi="宋体" w:eastAsia="宋体" w:cs="宋体"/>
          <w:b/>
          <w:color w:val="auto"/>
          <w:szCs w:val="21"/>
          <w:highlight w:val="none"/>
        </w:rPr>
        <w:t>一、总则</w:t>
      </w:r>
      <w:bookmarkEnd w:id="88"/>
    </w:p>
    <w:p w14:paraId="3DC577C7">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本次评审采用综合评分法，总分为100分。合格响应方的得分为各项目汇总得分，成交推荐候选资格按得分由高到低顺序排列，得分相同的，按最终报价由低到高顺序排列；得分且最终报价相同的，按技术得分由高到低顺序排列。评分过程中采用四舍五入法，并保留小数2位。</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按照</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文件规定的方式确定一个投标人获得中标人推荐资格</w:t>
      </w:r>
      <w:r>
        <w:rPr>
          <w:rFonts w:hint="eastAsia" w:ascii="宋体" w:hAnsi="宋体" w:eastAsia="宋体" w:cs="宋体"/>
          <w:color w:val="auto"/>
          <w:szCs w:val="21"/>
          <w:highlight w:val="none"/>
          <w:lang w:eastAsia="zh-CN"/>
        </w:rPr>
        <w:t>。</w:t>
      </w:r>
    </w:p>
    <w:p w14:paraId="4024990D">
      <w:pPr>
        <w:spacing w:line="360" w:lineRule="auto"/>
        <w:ind w:firstLine="413" w:firstLineChars="196"/>
        <w:rPr>
          <w:rFonts w:hint="eastAsia" w:ascii="宋体" w:hAnsi="宋体" w:eastAsia="宋体" w:cs="宋体"/>
          <w:b/>
          <w:color w:val="auto"/>
          <w:szCs w:val="21"/>
          <w:highlight w:val="none"/>
        </w:rPr>
      </w:pPr>
      <w:bookmarkStart w:id="89" w:name="_Toc31002"/>
      <w:r>
        <w:rPr>
          <w:rFonts w:hint="eastAsia" w:ascii="宋体" w:hAnsi="宋体" w:eastAsia="宋体" w:cs="宋体"/>
          <w:b/>
          <w:color w:val="auto"/>
          <w:szCs w:val="21"/>
          <w:highlight w:val="none"/>
        </w:rPr>
        <w:t>二、分值的计算</w:t>
      </w:r>
      <w:bookmarkEnd w:id="89"/>
    </w:p>
    <w:p w14:paraId="53D1FD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磋商报价得分=（磋商基准价/最终磋商报价）×价格权值×100</w:t>
      </w:r>
    </w:p>
    <w:p w14:paraId="403C9A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商务技术分按照磋商小组成员的独立评分结果汇总后的算术平均分计算，计算公式为：</w:t>
      </w:r>
    </w:p>
    <w:p w14:paraId="751B1D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商务技术分=磋商小组所有成员评分合计数/磋商小组成员组成人数</w:t>
      </w:r>
    </w:p>
    <w:p w14:paraId="422073EC">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响应方综合得分=商务技术</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70）</w:t>
      </w:r>
      <w:r>
        <w:rPr>
          <w:rFonts w:hint="eastAsia" w:ascii="宋体" w:hAnsi="宋体" w:eastAsia="宋体" w:cs="宋体"/>
          <w:color w:val="auto"/>
          <w:szCs w:val="21"/>
          <w:highlight w:val="none"/>
        </w:rPr>
        <w:t>分+价格</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分</w:t>
      </w:r>
    </w:p>
    <w:p w14:paraId="634E86F6">
      <w:pPr>
        <w:numPr>
          <w:ilvl w:val="0"/>
          <w:numId w:val="9"/>
        </w:numPr>
        <w:spacing w:line="360" w:lineRule="auto"/>
        <w:ind w:firstLine="413" w:firstLineChars="196"/>
        <w:rPr>
          <w:rFonts w:hint="eastAsia" w:ascii="宋体" w:hAnsi="宋体" w:eastAsia="宋体" w:cs="宋体"/>
          <w:b/>
          <w:color w:val="auto"/>
          <w:szCs w:val="21"/>
          <w:highlight w:val="none"/>
        </w:rPr>
      </w:pPr>
      <w:bookmarkStart w:id="90" w:name="_Toc31633"/>
      <w:r>
        <w:rPr>
          <w:rFonts w:hint="eastAsia" w:ascii="宋体" w:hAnsi="宋体" w:eastAsia="宋体" w:cs="宋体"/>
          <w:b/>
          <w:color w:val="auto"/>
          <w:szCs w:val="21"/>
          <w:highlight w:val="none"/>
        </w:rPr>
        <w:t>评审内容及标准</w:t>
      </w:r>
      <w:bookmarkEnd w:id="90"/>
    </w:p>
    <w:p w14:paraId="57ADAAB0">
      <w:pPr>
        <w:pStyle w:val="24"/>
        <w:numPr>
          <w:ilvl w:val="0"/>
          <w:numId w:val="10"/>
        </w:numPr>
        <w:tabs>
          <w:tab w:val="left" w:pos="900"/>
          <w:tab w:val="clear" w:pos="312"/>
          <w:tab w:val="clear" w:pos="360"/>
        </w:tabs>
        <w:spacing w:after="0" w:afterLines="0"/>
        <w:ind w:left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商务技术分（</w:t>
      </w: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rPr>
        <w:t>0分）</w:t>
      </w:r>
    </w:p>
    <w:tbl>
      <w:tblPr>
        <w:tblStyle w:val="17"/>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186"/>
        <w:gridCol w:w="6589"/>
        <w:gridCol w:w="1013"/>
      </w:tblGrid>
      <w:tr w14:paraId="398B3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04" w:type="dxa"/>
            <w:noWrap w:val="0"/>
            <w:vAlign w:val="center"/>
          </w:tcPr>
          <w:p w14:paraId="663004FF">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186" w:type="dxa"/>
            <w:noWrap w:val="0"/>
            <w:vAlign w:val="center"/>
          </w:tcPr>
          <w:p w14:paraId="1E378418">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评 分 </w:t>
            </w:r>
          </w:p>
          <w:p w14:paraId="1FD82A7C">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 目</w:t>
            </w:r>
          </w:p>
        </w:tc>
        <w:tc>
          <w:tcPr>
            <w:tcW w:w="6589" w:type="dxa"/>
            <w:noWrap w:val="0"/>
            <w:vAlign w:val="center"/>
          </w:tcPr>
          <w:p w14:paraId="68BBEBBD">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  分  标  准</w:t>
            </w:r>
          </w:p>
        </w:tc>
        <w:tc>
          <w:tcPr>
            <w:tcW w:w="1013" w:type="dxa"/>
            <w:noWrap w:val="0"/>
            <w:vAlign w:val="center"/>
          </w:tcPr>
          <w:p w14:paraId="378E4F08">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最高</w:t>
            </w:r>
          </w:p>
          <w:p w14:paraId="44CD9129">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分值</w:t>
            </w:r>
          </w:p>
        </w:tc>
      </w:tr>
      <w:tr w14:paraId="19996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604" w:type="dxa"/>
            <w:noWrap w:val="0"/>
            <w:vAlign w:val="center"/>
          </w:tcPr>
          <w:p w14:paraId="756E459E">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p>
        </w:tc>
        <w:tc>
          <w:tcPr>
            <w:tcW w:w="1186" w:type="dxa"/>
            <w:noWrap w:val="0"/>
            <w:vAlign w:val="center"/>
          </w:tcPr>
          <w:p w14:paraId="66B6F50D">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同类业绩</w:t>
            </w:r>
          </w:p>
        </w:tc>
        <w:tc>
          <w:tcPr>
            <w:tcW w:w="6589" w:type="dxa"/>
            <w:noWrap w:val="0"/>
            <w:vAlign w:val="top"/>
          </w:tcPr>
          <w:p w14:paraId="32BCD893">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投标人提供近三年（2022年1月1日-至今），承担过同类项目业绩（以合同签订时间为准），每提供1个业绩得1分，最高得3分。</w:t>
            </w:r>
          </w:p>
          <w:p w14:paraId="40FE44C4">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（注：提供合同和中标通知书缺一不可，扫描件加盖CA章）</w:t>
            </w:r>
          </w:p>
        </w:tc>
        <w:tc>
          <w:tcPr>
            <w:tcW w:w="1013" w:type="dxa"/>
            <w:noWrap w:val="0"/>
            <w:vAlign w:val="center"/>
          </w:tcPr>
          <w:p w14:paraId="711AE804">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0-3分</w:t>
            </w:r>
          </w:p>
        </w:tc>
      </w:tr>
      <w:tr w14:paraId="542F7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04" w:type="dxa"/>
            <w:noWrap w:val="0"/>
            <w:vAlign w:val="center"/>
          </w:tcPr>
          <w:p w14:paraId="746AC1FE">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w:t>
            </w:r>
          </w:p>
        </w:tc>
        <w:tc>
          <w:tcPr>
            <w:tcW w:w="1186" w:type="dxa"/>
            <w:noWrap w:val="0"/>
            <w:vAlign w:val="center"/>
          </w:tcPr>
          <w:p w14:paraId="4D7B7A88">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团队人员</w:t>
            </w:r>
          </w:p>
        </w:tc>
        <w:tc>
          <w:tcPr>
            <w:tcW w:w="6589" w:type="dxa"/>
            <w:noWrap w:val="0"/>
            <w:vAlign w:val="top"/>
          </w:tcPr>
          <w:p w14:paraId="267F0068">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人员配备情况，主要包括项目经理、设计人员、技术维护人员、财务统计人员:</w:t>
            </w:r>
          </w:p>
          <w:p w14:paraId="00D1135F">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（1）人员配置完整、职责分担明确，满足采购需求得得4分。</w:t>
            </w:r>
          </w:p>
          <w:p w14:paraId="159B02C8">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（2）人员配置每岗每增加一人加1分，最高得分4分。</w:t>
            </w:r>
          </w:p>
          <w:p w14:paraId="16688766">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（注：提供近三个月在本单位缴纳的社保证明，扫描件加盖CA章）。</w:t>
            </w:r>
          </w:p>
        </w:tc>
        <w:tc>
          <w:tcPr>
            <w:tcW w:w="1013" w:type="dxa"/>
            <w:noWrap w:val="0"/>
            <w:vAlign w:val="center"/>
          </w:tcPr>
          <w:p w14:paraId="24F52DCE">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0-8分</w:t>
            </w:r>
          </w:p>
        </w:tc>
      </w:tr>
      <w:tr w14:paraId="48EB2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04" w:type="dxa"/>
            <w:vMerge w:val="restart"/>
            <w:noWrap w:val="0"/>
            <w:vAlign w:val="center"/>
          </w:tcPr>
          <w:p w14:paraId="3B6C541F">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w:t>
            </w:r>
          </w:p>
        </w:tc>
        <w:tc>
          <w:tcPr>
            <w:tcW w:w="1186" w:type="dxa"/>
            <w:vMerge w:val="restart"/>
            <w:shd w:val="clear" w:color="auto" w:fill="auto"/>
            <w:noWrap w:val="0"/>
            <w:vAlign w:val="center"/>
          </w:tcPr>
          <w:p w14:paraId="4B42F1BA">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项目总体理解程度</w:t>
            </w:r>
          </w:p>
        </w:tc>
        <w:tc>
          <w:tcPr>
            <w:tcW w:w="6589" w:type="dxa"/>
            <w:shd w:val="clear" w:color="auto" w:fill="auto"/>
            <w:noWrap w:val="0"/>
            <w:vAlign w:val="top"/>
          </w:tcPr>
          <w:p w14:paraId="01C6D215">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ascii="宋体" w:hAnsi="宋体" w:eastAsia="宋体" w:cs="宋体"/>
                <w:kern w:val="2"/>
                <w:sz w:val="21"/>
                <w:szCs w:val="21"/>
                <w:highlight w:val="none"/>
                <w:lang w:val="en-US" w:eastAsia="zh-CN" w:bidi="ar-SA"/>
              </w:rPr>
            </w:pPr>
          </w:p>
          <w:p w14:paraId="35C8714C">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根据投标人对本项目工作内容的认知程度、了解程度；（4，3，2，1，0）分。</w:t>
            </w:r>
          </w:p>
        </w:tc>
        <w:tc>
          <w:tcPr>
            <w:tcW w:w="1013" w:type="dxa"/>
            <w:shd w:val="clear" w:color="auto" w:fill="auto"/>
            <w:noWrap w:val="0"/>
            <w:vAlign w:val="center"/>
          </w:tcPr>
          <w:p w14:paraId="6E73EB46">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0-4分</w:t>
            </w:r>
          </w:p>
        </w:tc>
      </w:tr>
      <w:tr w14:paraId="7EC9A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04" w:type="dxa"/>
            <w:vMerge w:val="continue"/>
            <w:noWrap w:val="0"/>
            <w:vAlign w:val="center"/>
          </w:tcPr>
          <w:p w14:paraId="2824FCBD">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kern w:val="2"/>
                <w:sz w:val="21"/>
                <w:szCs w:val="21"/>
                <w:highlight w:val="none"/>
                <w:lang w:val="en-US" w:eastAsia="zh-CN" w:bidi="ar-SA"/>
              </w:rPr>
            </w:pPr>
          </w:p>
        </w:tc>
        <w:tc>
          <w:tcPr>
            <w:tcW w:w="1186" w:type="dxa"/>
            <w:vMerge w:val="continue"/>
            <w:shd w:val="clear" w:color="auto" w:fill="auto"/>
            <w:noWrap w:val="0"/>
            <w:vAlign w:val="center"/>
          </w:tcPr>
          <w:p w14:paraId="46CF3A77">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kern w:val="2"/>
                <w:sz w:val="21"/>
                <w:szCs w:val="21"/>
                <w:highlight w:val="none"/>
                <w:lang w:val="en-US" w:eastAsia="zh-CN" w:bidi="ar-SA"/>
              </w:rPr>
            </w:pPr>
          </w:p>
        </w:tc>
        <w:tc>
          <w:tcPr>
            <w:tcW w:w="6589" w:type="dxa"/>
            <w:shd w:val="clear" w:color="auto" w:fill="auto"/>
            <w:noWrap w:val="0"/>
            <w:vAlign w:val="top"/>
          </w:tcPr>
          <w:p w14:paraId="2A95B10B">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根据投标人对设计工作思路等情况进行综合打分；（4，3，2，1，0）分。</w:t>
            </w:r>
          </w:p>
        </w:tc>
        <w:tc>
          <w:tcPr>
            <w:tcW w:w="1013" w:type="dxa"/>
            <w:shd w:val="clear" w:color="auto" w:fill="auto"/>
            <w:noWrap w:val="0"/>
            <w:vAlign w:val="center"/>
          </w:tcPr>
          <w:p w14:paraId="29C3B032">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0-4分</w:t>
            </w:r>
          </w:p>
        </w:tc>
      </w:tr>
      <w:tr w14:paraId="2577A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604" w:type="dxa"/>
            <w:noWrap w:val="0"/>
            <w:vAlign w:val="center"/>
          </w:tcPr>
          <w:p w14:paraId="365B9402">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br w:type="page"/>
            </w:r>
            <w:r>
              <w:rPr>
                <w:rFonts w:hint="eastAsia" w:ascii="宋体" w:hAnsi="宋体" w:eastAsia="宋体" w:cs="宋体"/>
                <w:kern w:val="2"/>
                <w:sz w:val="21"/>
                <w:szCs w:val="21"/>
                <w:highlight w:val="none"/>
                <w:lang w:val="en-US" w:eastAsia="zh-CN" w:bidi="ar-SA"/>
              </w:rPr>
              <w:t>4</w:t>
            </w:r>
          </w:p>
        </w:tc>
        <w:tc>
          <w:tcPr>
            <w:tcW w:w="1186" w:type="dxa"/>
            <w:noWrap w:val="0"/>
            <w:vAlign w:val="center"/>
          </w:tcPr>
          <w:p w14:paraId="2298E1DB">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重难点分析及对策措施</w:t>
            </w:r>
          </w:p>
        </w:tc>
        <w:tc>
          <w:tcPr>
            <w:tcW w:w="6589" w:type="dxa"/>
            <w:noWrap w:val="0"/>
            <w:vAlign w:val="top"/>
          </w:tcPr>
          <w:p w14:paraId="400787DD">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对本项目功能、重点、难点等理解基本正确、总体设计思路基本清晰，并作出相对应的措施等情况进行打分；（4，3，2，1，0）分。</w:t>
            </w:r>
          </w:p>
        </w:tc>
        <w:tc>
          <w:tcPr>
            <w:tcW w:w="1013" w:type="dxa"/>
            <w:noWrap w:val="0"/>
            <w:vAlign w:val="center"/>
          </w:tcPr>
          <w:p w14:paraId="101CD901">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0-4分</w:t>
            </w:r>
          </w:p>
        </w:tc>
      </w:tr>
      <w:tr w14:paraId="35FFC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04" w:type="dxa"/>
            <w:vMerge w:val="restart"/>
            <w:noWrap w:val="0"/>
            <w:vAlign w:val="center"/>
          </w:tcPr>
          <w:p w14:paraId="0B024356">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w:t>
            </w:r>
          </w:p>
        </w:tc>
        <w:tc>
          <w:tcPr>
            <w:tcW w:w="1186" w:type="dxa"/>
            <w:vMerge w:val="restart"/>
            <w:noWrap w:val="0"/>
            <w:vAlign w:val="center"/>
          </w:tcPr>
          <w:p w14:paraId="39C1FF20">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设计方案</w:t>
            </w:r>
          </w:p>
          <w:p w14:paraId="51FD31C3">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（0-20分）</w:t>
            </w:r>
          </w:p>
        </w:tc>
        <w:tc>
          <w:tcPr>
            <w:tcW w:w="6589" w:type="dxa"/>
            <w:noWrap w:val="0"/>
            <w:vAlign w:val="top"/>
          </w:tcPr>
          <w:p w14:paraId="35D4F500">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投标人围绕“嵊州小吃”的主题，设计方案总体编制质量、内容完整度、贴切嵊州特色等进行打分；（4，3，2，1，0）分。</w:t>
            </w:r>
          </w:p>
        </w:tc>
        <w:tc>
          <w:tcPr>
            <w:tcW w:w="1013" w:type="dxa"/>
            <w:noWrap w:val="0"/>
            <w:vAlign w:val="center"/>
          </w:tcPr>
          <w:p w14:paraId="71B841D0">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0-4分</w:t>
            </w:r>
          </w:p>
        </w:tc>
      </w:tr>
      <w:tr w14:paraId="67EEA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604" w:type="dxa"/>
            <w:vMerge w:val="continue"/>
            <w:noWrap w:val="0"/>
            <w:vAlign w:val="center"/>
          </w:tcPr>
          <w:p w14:paraId="4E94FED9">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center"/>
              <w:textAlignment w:val="auto"/>
              <w:rPr>
                <w:rFonts w:hint="eastAsia" w:ascii="宋体" w:hAnsi="宋体" w:eastAsia="宋体" w:cs="宋体"/>
                <w:kern w:val="2"/>
                <w:sz w:val="21"/>
                <w:szCs w:val="21"/>
                <w:highlight w:val="none"/>
                <w:lang w:val="en-US" w:eastAsia="zh-CN" w:bidi="ar-SA"/>
              </w:rPr>
            </w:pPr>
          </w:p>
        </w:tc>
        <w:tc>
          <w:tcPr>
            <w:tcW w:w="1186" w:type="dxa"/>
            <w:vMerge w:val="continue"/>
            <w:noWrap w:val="0"/>
            <w:vAlign w:val="center"/>
          </w:tcPr>
          <w:p w14:paraId="697411F5">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p>
        </w:tc>
        <w:tc>
          <w:tcPr>
            <w:tcW w:w="6589" w:type="dxa"/>
            <w:noWrap w:val="0"/>
            <w:vAlign w:val="top"/>
          </w:tcPr>
          <w:p w14:paraId="0C549F92">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点位设计内容：</w:t>
            </w:r>
            <w:r>
              <w:rPr>
                <w:rFonts w:hint="eastAsia" w:ascii="宋体" w:hAnsi="宋体" w:eastAsia="宋体" w:cs="宋体"/>
                <w:b w:val="0"/>
                <w:bCs w:val="0"/>
                <w:i w:val="0"/>
                <w:iCs w:val="0"/>
                <w:color w:val="auto"/>
                <w:kern w:val="2"/>
                <w:sz w:val="21"/>
                <w:szCs w:val="21"/>
                <w:highlight w:val="none"/>
                <w:vertAlign w:val="baseline"/>
                <w:lang w:val="en-US" w:eastAsia="zh-CN" w:bidi="ar-SA"/>
              </w:rPr>
              <w:t>行李舱盖板、小桌板、座椅头片、机上口播、机上主题航班活动、三折页、小笼包餐盒等设计</w:t>
            </w:r>
            <w:r>
              <w:rPr>
                <w:rFonts w:hint="eastAsia" w:ascii="宋体" w:hAnsi="宋体" w:eastAsia="宋体" w:cs="宋体"/>
                <w:color w:val="auto"/>
                <w:kern w:val="2"/>
                <w:sz w:val="21"/>
                <w:szCs w:val="21"/>
                <w:highlight w:val="none"/>
                <w:lang w:val="en-US" w:eastAsia="zh-CN" w:bidi="ar-SA"/>
              </w:rPr>
              <w:t>进行打分，（4，3，2，1，0）分。</w:t>
            </w:r>
          </w:p>
        </w:tc>
        <w:tc>
          <w:tcPr>
            <w:tcW w:w="1013" w:type="dxa"/>
            <w:noWrap w:val="0"/>
            <w:vAlign w:val="center"/>
          </w:tcPr>
          <w:p w14:paraId="14996C90">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0-4分</w:t>
            </w:r>
          </w:p>
        </w:tc>
      </w:tr>
      <w:tr w14:paraId="708D6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604" w:type="dxa"/>
            <w:vMerge w:val="continue"/>
            <w:noWrap w:val="0"/>
            <w:vAlign w:val="center"/>
          </w:tcPr>
          <w:p w14:paraId="774D64C2">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center"/>
              <w:textAlignment w:val="auto"/>
              <w:rPr>
                <w:rFonts w:hint="eastAsia" w:ascii="宋体" w:hAnsi="宋体" w:eastAsia="宋体" w:cs="宋体"/>
                <w:kern w:val="2"/>
                <w:sz w:val="21"/>
                <w:szCs w:val="21"/>
                <w:highlight w:val="none"/>
                <w:lang w:val="en-US" w:eastAsia="zh-CN" w:bidi="ar-SA"/>
              </w:rPr>
            </w:pPr>
          </w:p>
        </w:tc>
        <w:tc>
          <w:tcPr>
            <w:tcW w:w="1186" w:type="dxa"/>
            <w:vMerge w:val="continue"/>
            <w:noWrap w:val="0"/>
            <w:vAlign w:val="center"/>
          </w:tcPr>
          <w:p w14:paraId="1AA38C88">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p>
        </w:tc>
        <w:tc>
          <w:tcPr>
            <w:tcW w:w="6589" w:type="dxa"/>
            <w:noWrap w:val="0"/>
            <w:vAlign w:val="top"/>
          </w:tcPr>
          <w:p w14:paraId="49F773D8">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针对</w:t>
            </w:r>
            <w:r>
              <w:rPr>
                <w:rFonts w:hint="eastAsia" w:ascii="宋体" w:hAnsi="宋体" w:eastAsia="宋体" w:cs="宋体"/>
                <w:b w:val="0"/>
                <w:bCs w:val="0"/>
                <w:i w:val="0"/>
                <w:iCs w:val="0"/>
                <w:color w:val="auto"/>
                <w:kern w:val="2"/>
                <w:sz w:val="21"/>
                <w:szCs w:val="21"/>
                <w:highlight w:val="none"/>
                <w:vertAlign w:val="baseline"/>
                <w:lang w:val="en-US" w:eastAsia="zh-CN" w:bidi="ar-SA"/>
              </w:rPr>
              <w:t>布置和展示、嵊州特色小吃、 嵊州越剧文化等相关画面和元素、</w:t>
            </w:r>
            <w:r>
              <w:rPr>
                <w:rFonts w:hint="eastAsia" w:ascii="宋体" w:hAnsi="宋体" w:eastAsia="宋体" w:cs="宋体"/>
                <w:color w:val="auto"/>
                <w:kern w:val="2"/>
                <w:sz w:val="21"/>
                <w:szCs w:val="21"/>
                <w:highlight w:val="none"/>
                <w:lang w:val="en-US" w:eastAsia="zh-CN" w:bidi="ar-SA"/>
              </w:rPr>
              <w:t>嵊州市旅游资源等，符合采购需求和操作性进行打分；（4，3，2，1，0）分。</w:t>
            </w:r>
          </w:p>
        </w:tc>
        <w:tc>
          <w:tcPr>
            <w:tcW w:w="1013" w:type="dxa"/>
            <w:noWrap w:val="0"/>
            <w:vAlign w:val="center"/>
          </w:tcPr>
          <w:p w14:paraId="35AEE96A">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0-4分</w:t>
            </w:r>
          </w:p>
        </w:tc>
      </w:tr>
      <w:tr w14:paraId="0858F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04" w:type="dxa"/>
            <w:vMerge w:val="continue"/>
            <w:noWrap w:val="0"/>
            <w:vAlign w:val="center"/>
          </w:tcPr>
          <w:p w14:paraId="6F80DFAC">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center"/>
              <w:textAlignment w:val="auto"/>
              <w:rPr>
                <w:rFonts w:hint="eastAsia" w:ascii="宋体" w:hAnsi="宋体" w:eastAsia="宋体" w:cs="宋体"/>
                <w:kern w:val="2"/>
                <w:sz w:val="21"/>
                <w:szCs w:val="21"/>
                <w:highlight w:val="none"/>
                <w:lang w:val="en-US" w:eastAsia="zh-CN" w:bidi="ar-SA"/>
              </w:rPr>
            </w:pPr>
          </w:p>
        </w:tc>
        <w:tc>
          <w:tcPr>
            <w:tcW w:w="1186" w:type="dxa"/>
            <w:vMerge w:val="continue"/>
            <w:noWrap w:val="0"/>
            <w:vAlign w:val="center"/>
          </w:tcPr>
          <w:p w14:paraId="62226D7A">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p>
        </w:tc>
        <w:tc>
          <w:tcPr>
            <w:tcW w:w="6589" w:type="dxa"/>
            <w:noWrap w:val="0"/>
            <w:vAlign w:val="top"/>
          </w:tcPr>
          <w:p w14:paraId="6B9CA180">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整体设计方案的运营、维护、达到的效果等；（4，3，2，1，0）分。</w:t>
            </w:r>
          </w:p>
        </w:tc>
        <w:tc>
          <w:tcPr>
            <w:tcW w:w="1013" w:type="dxa"/>
            <w:noWrap w:val="0"/>
            <w:vAlign w:val="center"/>
          </w:tcPr>
          <w:p w14:paraId="7E802944">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0-4分</w:t>
            </w:r>
          </w:p>
        </w:tc>
      </w:tr>
      <w:tr w14:paraId="0FCEC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04" w:type="dxa"/>
            <w:vMerge w:val="continue"/>
            <w:noWrap w:val="0"/>
            <w:vAlign w:val="center"/>
          </w:tcPr>
          <w:p w14:paraId="54C441AE">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center"/>
              <w:textAlignment w:val="auto"/>
              <w:rPr>
                <w:rFonts w:hint="eastAsia" w:ascii="宋体" w:hAnsi="宋体" w:eastAsia="宋体" w:cs="宋体"/>
                <w:kern w:val="2"/>
                <w:sz w:val="21"/>
                <w:szCs w:val="21"/>
                <w:highlight w:val="none"/>
                <w:lang w:val="en-US" w:eastAsia="zh-CN" w:bidi="ar-SA"/>
              </w:rPr>
            </w:pPr>
          </w:p>
        </w:tc>
        <w:tc>
          <w:tcPr>
            <w:tcW w:w="1186" w:type="dxa"/>
            <w:vMerge w:val="continue"/>
            <w:noWrap w:val="0"/>
            <w:vAlign w:val="center"/>
          </w:tcPr>
          <w:p w14:paraId="36FF9989">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p>
        </w:tc>
        <w:tc>
          <w:tcPr>
            <w:tcW w:w="6589" w:type="dxa"/>
            <w:noWrap w:val="0"/>
            <w:vAlign w:val="top"/>
          </w:tcPr>
          <w:p w14:paraId="7AF666A5">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整体设计方案推广可行性和操作性，具体实施方案；（4，3，2，1，0）分。</w:t>
            </w:r>
          </w:p>
        </w:tc>
        <w:tc>
          <w:tcPr>
            <w:tcW w:w="1013" w:type="dxa"/>
            <w:noWrap w:val="0"/>
            <w:vAlign w:val="center"/>
          </w:tcPr>
          <w:p w14:paraId="5FFB4438">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0-4分</w:t>
            </w:r>
          </w:p>
        </w:tc>
      </w:tr>
      <w:tr w14:paraId="011B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604" w:type="dxa"/>
            <w:vMerge w:val="continue"/>
            <w:noWrap w:val="0"/>
            <w:vAlign w:val="center"/>
          </w:tcPr>
          <w:p w14:paraId="2800F943">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center"/>
              <w:textAlignment w:val="auto"/>
              <w:rPr>
                <w:rFonts w:hint="eastAsia" w:ascii="宋体" w:hAnsi="宋体" w:eastAsia="宋体" w:cs="宋体"/>
                <w:kern w:val="2"/>
                <w:sz w:val="21"/>
                <w:szCs w:val="21"/>
                <w:highlight w:val="none"/>
                <w:lang w:val="en-US" w:eastAsia="zh-CN" w:bidi="ar-SA"/>
              </w:rPr>
            </w:pPr>
          </w:p>
        </w:tc>
        <w:tc>
          <w:tcPr>
            <w:tcW w:w="1186" w:type="dxa"/>
            <w:vMerge w:val="continue"/>
            <w:noWrap w:val="0"/>
            <w:vAlign w:val="center"/>
          </w:tcPr>
          <w:p w14:paraId="6FB395B7">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p>
        </w:tc>
        <w:tc>
          <w:tcPr>
            <w:tcW w:w="6589" w:type="dxa"/>
            <w:noWrap w:val="0"/>
            <w:vAlign w:val="top"/>
          </w:tcPr>
          <w:p w14:paraId="0CF171AA">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设计方案在飞机喷绘进程中，</w:t>
            </w:r>
            <w:r>
              <w:rPr>
                <w:rFonts w:hint="eastAsia" w:ascii="宋体" w:hAnsi="宋体" w:eastAsia="宋体" w:cs="宋体"/>
                <w:color w:val="auto"/>
                <w:sz w:val="21"/>
                <w:szCs w:val="21"/>
                <w:highlight w:val="none"/>
              </w:rPr>
              <w:t>质量保证措施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措施的科学性、可行性</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kern w:val="2"/>
                <w:sz w:val="21"/>
                <w:szCs w:val="21"/>
                <w:highlight w:val="none"/>
                <w:lang w:val="en-US" w:eastAsia="zh-CN" w:bidi="ar-SA"/>
              </w:rPr>
              <w:t>（4，3，2，1，0）分。</w:t>
            </w:r>
          </w:p>
        </w:tc>
        <w:tc>
          <w:tcPr>
            <w:tcW w:w="1013" w:type="dxa"/>
            <w:noWrap w:val="0"/>
            <w:vAlign w:val="center"/>
          </w:tcPr>
          <w:p w14:paraId="47F2178C">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0-4分</w:t>
            </w:r>
          </w:p>
        </w:tc>
      </w:tr>
      <w:tr w14:paraId="52CE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04" w:type="dxa"/>
            <w:vMerge w:val="restart"/>
            <w:noWrap w:val="0"/>
            <w:vAlign w:val="center"/>
          </w:tcPr>
          <w:p w14:paraId="0473673F">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w:t>
            </w:r>
          </w:p>
        </w:tc>
        <w:tc>
          <w:tcPr>
            <w:tcW w:w="1186" w:type="dxa"/>
            <w:vMerge w:val="restart"/>
            <w:noWrap w:val="0"/>
            <w:vAlign w:val="center"/>
          </w:tcPr>
          <w:p w14:paraId="7714199E">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服务方案（0-15）</w:t>
            </w:r>
          </w:p>
        </w:tc>
        <w:tc>
          <w:tcPr>
            <w:tcW w:w="6589" w:type="dxa"/>
            <w:noWrap w:val="0"/>
            <w:vAlign w:val="top"/>
          </w:tcPr>
          <w:p w14:paraId="23762616">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根据投标人提供的项目实施中风险说明及风险规避处置措施是否完善全面、合理可行等进行打分，（4，3，2，1，0）分。</w:t>
            </w:r>
          </w:p>
        </w:tc>
        <w:tc>
          <w:tcPr>
            <w:tcW w:w="1013" w:type="dxa"/>
            <w:noWrap w:val="0"/>
            <w:vAlign w:val="center"/>
          </w:tcPr>
          <w:p w14:paraId="4FA6FD90">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0-4分</w:t>
            </w:r>
          </w:p>
        </w:tc>
      </w:tr>
      <w:tr w14:paraId="4DA2B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04" w:type="dxa"/>
            <w:vMerge w:val="continue"/>
            <w:noWrap w:val="0"/>
            <w:vAlign w:val="center"/>
          </w:tcPr>
          <w:p w14:paraId="613A70B6">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ascii="宋体" w:hAnsi="宋体" w:eastAsia="宋体" w:cs="宋体"/>
                <w:kern w:val="2"/>
                <w:sz w:val="21"/>
                <w:szCs w:val="21"/>
                <w:highlight w:val="none"/>
                <w:lang w:val="en-US" w:eastAsia="zh-CN" w:bidi="ar-SA"/>
              </w:rPr>
            </w:pPr>
          </w:p>
        </w:tc>
        <w:tc>
          <w:tcPr>
            <w:tcW w:w="1186" w:type="dxa"/>
            <w:vMerge w:val="continue"/>
            <w:noWrap w:val="0"/>
            <w:vAlign w:val="center"/>
          </w:tcPr>
          <w:p w14:paraId="0572BD87">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p>
        </w:tc>
        <w:tc>
          <w:tcPr>
            <w:tcW w:w="6589" w:type="dxa"/>
            <w:noWrap w:val="0"/>
            <w:vAlign w:val="top"/>
          </w:tcPr>
          <w:p w14:paraId="38C24724">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根据投标人提供的内部管理制度完善情况是否具体可行等进行打分，（4，3，2，1，0）分。</w:t>
            </w:r>
          </w:p>
        </w:tc>
        <w:tc>
          <w:tcPr>
            <w:tcW w:w="1013" w:type="dxa"/>
            <w:noWrap w:val="0"/>
            <w:vAlign w:val="center"/>
          </w:tcPr>
          <w:p w14:paraId="60B8E9EE">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0-4分</w:t>
            </w:r>
          </w:p>
        </w:tc>
      </w:tr>
      <w:tr w14:paraId="56AD3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04" w:type="dxa"/>
            <w:vMerge w:val="continue"/>
            <w:noWrap w:val="0"/>
            <w:vAlign w:val="center"/>
          </w:tcPr>
          <w:p w14:paraId="2C454450">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ascii="宋体" w:hAnsi="宋体" w:eastAsia="宋体" w:cs="宋体"/>
                <w:kern w:val="2"/>
                <w:sz w:val="21"/>
                <w:szCs w:val="21"/>
                <w:highlight w:val="none"/>
                <w:lang w:val="en-US" w:eastAsia="zh-CN" w:bidi="ar-SA"/>
              </w:rPr>
            </w:pPr>
          </w:p>
        </w:tc>
        <w:tc>
          <w:tcPr>
            <w:tcW w:w="1186" w:type="dxa"/>
            <w:vMerge w:val="continue"/>
            <w:noWrap w:val="0"/>
            <w:vAlign w:val="center"/>
          </w:tcPr>
          <w:p w14:paraId="46DED8C7">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ascii="宋体" w:hAnsi="宋体" w:eastAsia="宋体" w:cs="宋体"/>
                <w:kern w:val="2"/>
                <w:sz w:val="21"/>
                <w:szCs w:val="21"/>
                <w:highlight w:val="none"/>
                <w:lang w:val="en-US" w:eastAsia="zh-CN" w:bidi="ar-SA"/>
              </w:rPr>
            </w:pPr>
          </w:p>
        </w:tc>
        <w:tc>
          <w:tcPr>
            <w:tcW w:w="6589" w:type="dxa"/>
            <w:noWrap w:val="0"/>
            <w:vAlign w:val="top"/>
          </w:tcPr>
          <w:p w14:paraId="2846B3D4">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根据投标人对常规后续服务的工作安排、工作内容以及优惠措施等的可操作性进行评分。（4，3，2，1，0）分。</w:t>
            </w:r>
          </w:p>
        </w:tc>
        <w:tc>
          <w:tcPr>
            <w:tcW w:w="1013" w:type="dxa"/>
            <w:noWrap w:val="0"/>
            <w:vAlign w:val="center"/>
          </w:tcPr>
          <w:p w14:paraId="0488361F">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0-4分</w:t>
            </w:r>
          </w:p>
        </w:tc>
      </w:tr>
      <w:tr w14:paraId="1D52B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04" w:type="dxa"/>
            <w:vMerge w:val="continue"/>
            <w:noWrap w:val="0"/>
            <w:vAlign w:val="center"/>
          </w:tcPr>
          <w:p w14:paraId="3EC39A6A">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ascii="宋体" w:hAnsi="宋体" w:eastAsia="宋体" w:cs="宋体"/>
                <w:kern w:val="2"/>
                <w:sz w:val="21"/>
                <w:szCs w:val="21"/>
                <w:highlight w:val="none"/>
                <w:lang w:val="en-US" w:eastAsia="zh-CN" w:bidi="ar-SA"/>
              </w:rPr>
            </w:pPr>
          </w:p>
        </w:tc>
        <w:tc>
          <w:tcPr>
            <w:tcW w:w="1186" w:type="dxa"/>
            <w:vMerge w:val="continue"/>
            <w:noWrap w:val="0"/>
            <w:vAlign w:val="center"/>
          </w:tcPr>
          <w:p w14:paraId="6A9728F6">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ascii="宋体" w:hAnsi="宋体" w:eastAsia="宋体" w:cs="宋体"/>
                <w:kern w:val="2"/>
                <w:sz w:val="21"/>
                <w:szCs w:val="21"/>
                <w:highlight w:val="none"/>
                <w:lang w:val="en-US" w:eastAsia="zh-CN" w:bidi="ar-SA"/>
              </w:rPr>
            </w:pPr>
          </w:p>
        </w:tc>
        <w:tc>
          <w:tcPr>
            <w:tcW w:w="6589" w:type="dxa"/>
            <w:noWrap w:val="0"/>
            <w:vAlign w:val="top"/>
          </w:tcPr>
          <w:p w14:paraId="1F3482C6">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根据投标人提供的服务承诺是否合理可行、售后服务承诺落实的保障措施是否完善等进行打分，（3，2，1，0）分。</w:t>
            </w:r>
          </w:p>
        </w:tc>
        <w:tc>
          <w:tcPr>
            <w:tcW w:w="1013" w:type="dxa"/>
            <w:noWrap w:val="0"/>
            <w:vAlign w:val="center"/>
          </w:tcPr>
          <w:p w14:paraId="24928649">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0-3分</w:t>
            </w:r>
          </w:p>
        </w:tc>
      </w:tr>
      <w:tr w14:paraId="623E6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04" w:type="dxa"/>
            <w:vMerge w:val="restart"/>
            <w:noWrap w:val="0"/>
            <w:vAlign w:val="center"/>
          </w:tcPr>
          <w:p w14:paraId="71D9A2CD">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7</w:t>
            </w:r>
          </w:p>
        </w:tc>
        <w:tc>
          <w:tcPr>
            <w:tcW w:w="1186" w:type="dxa"/>
            <w:vMerge w:val="restart"/>
            <w:noWrap w:val="0"/>
            <w:vAlign w:val="center"/>
          </w:tcPr>
          <w:p w14:paraId="51B974BF">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工作进度安排</w:t>
            </w:r>
          </w:p>
        </w:tc>
        <w:tc>
          <w:tcPr>
            <w:tcW w:w="6589" w:type="dxa"/>
            <w:noWrap w:val="0"/>
            <w:vAlign w:val="center"/>
          </w:tcPr>
          <w:p w14:paraId="22FA31D3">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工作进度安排，即在采购人要求的时间范围内：设计进度要求可行、针对性强等进行打分，（3，2，1，0）分</w:t>
            </w:r>
          </w:p>
        </w:tc>
        <w:tc>
          <w:tcPr>
            <w:tcW w:w="1013" w:type="dxa"/>
            <w:noWrap w:val="0"/>
            <w:vAlign w:val="center"/>
          </w:tcPr>
          <w:p w14:paraId="5F9AA873">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0-3分</w:t>
            </w:r>
          </w:p>
        </w:tc>
      </w:tr>
      <w:tr w14:paraId="75075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604" w:type="dxa"/>
            <w:vMerge w:val="continue"/>
            <w:noWrap w:val="0"/>
            <w:vAlign w:val="center"/>
          </w:tcPr>
          <w:p w14:paraId="75BAA509">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kern w:val="2"/>
                <w:sz w:val="21"/>
                <w:szCs w:val="21"/>
                <w:highlight w:val="none"/>
                <w:lang w:val="en-US" w:eastAsia="zh-CN" w:bidi="ar-SA"/>
              </w:rPr>
            </w:pPr>
          </w:p>
        </w:tc>
        <w:tc>
          <w:tcPr>
            <w:tcW w:w="1186" w:type="dxa"/>
            <w:vMerge w:val="continue"/>
            <w:noWrap w:val="0"/>
            <w:vAlign w:val="center"/>
          </w:tcPr>
          <w:p w14:paraId="6B41E8C1">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kern w:val="2"/>
                <w:sz w:val="21"/>
                <w:szCs w:val="21"/>
                <w:highlight w:val="none"/>
                <w:lang w:val="en-US" w:eastAsia="zh-CN" w:bidi="ar-SA"/>
              </w:rPr>
            </w:pPr>
          </w:p>
        </w:tc>
        <w:tc>
          <w:tcPr>
            <w:tcW w:w="6589" w:type="dxa"/>
            <w:noWrap w:val="0"/>
            <w:vAlign w:val="center"/>
          </w:tcPr>
          <w:p w14:paraId="5E58B5A4">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合理安排项目进度，确保按时完成采购人要求等进行打分，（3，2，1，0）分</w:t>
            </w:r>
          </w:p>
        </w:tc>
        <w:tc>
          <w:tcPr>
            <w:tcW w:w="1013" w:type="dxa"/>
            <w:noWrap w:val="0"/>
            <w:vAlign w:val="center"/>
          </w:tcPr>
          <w:p w14:paraId="2A85568D">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0-3分</w:t>
            </w:r>
          </w:p>
        </w:tc>
      </w:tr>
      <w:tr w14:paraId="63BFB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04" w:type="dxa"/>
            <w:noWrap w:val="0"/>
            <w:vAlign w:val="center"/>
          </w:tcPr>
          <w:p w14:paraId="7E1A9B5F">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8</w:t>
            </w:r>
          </w:p>
        </w:tc>
        <w:tc>
          <w:tcPr>
            <w:tcW w:w="1186" w:type="dxa"/>
            <w:noWrap w:val="0"/>
            <w:vAlign w:val="center"/>
          </w:tcPr>
          <w:p w14:paraId="788E00BD">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其它服务承诺</w:t>
            </w:r>
          </w:p>
        </w:tc>
        <w:tc>
          <w:tcPr>
            <w:tcW w:w="6589" w:type="dxa"/>
            <w:noWrap w:val="0"/>
            <w:vAlign w:val="center"/>
          </w:tcPr>
          <w:p w14:paraId="5EC2792D">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针对本项目投标人提供额外增值服务，（2，1，0）分</w:t>
            </w:r>
          </w:p>
        </w:tc>
        <w:tc>
          <w:tcPr>
            <w:tcW w:w="1013" w:type="dxa"/>
            <w:noWrap w:val="0"/>
            <w:vAlign w:val="center"/>
          </w:tcPr>
          <w:p w14:paraId="543754AA">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0-2分</w:t>
            </w:r>
          </w:p>
        </w:tc>
      </w:tr>
    </w:tbl>
    <w:p w14:paraId="66679A24">
      <w:pPr>
        <w:pStyle w:val="24"/>
        <w:numPr>
          <w:ilvl w:val="0"/>
          <w:numId w:val="0"/>
        </w:numPr>
        <w:tabs>
          <w:tab w:val="left" w:pos="900"/>
          <w:tab w:val="clear" w:pos="360"/>
        </w:tabs>
        <w:spacing w:after="0" w:afterLines="0"/>
        <w:ind w:leftChars="200"/>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2.价格分</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0分)</w:t>
      </w:r>
    </w:p>
    <w:p w14:paraId="0974F6F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价格分采用低价优先法计算，即满足磋商文件要求且投标价格最低的投标报价为评标基准价。其他磋商响应方的商务分统一按照下列公式计算：价格分=（评标基准价/投标报价）×价格权值(</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rPr>
        <w:t xml:space="preserve">%)×100（保留到小数点后两位，第三位四舍五入）。     </w:t>
      </w:r>
    </w:p>
    <w:p w14:paraId="317BFC52">
      <w:pPr>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本项目风险控制价为（</w:t>
      </w:r>
      <w:r>
        <w:rPr>
          <w:rFonts w:hint="eastAsia" w:ascii="宋体" w:hAnsi="宋体" w:eastAsia="宋体" w:cs="宋体"/>
          <w:bCs/>
          <w:color w:val="auto"/>
          <w:kern w:val="0"/>
          <w:szCs w:val="21"/>
          <w:highlight w:val="none"/>
          <w:lang w:val="en-US" w:eastAsia="zh-CN"/>
        </w:rPr>
        <w:t>最高投标限价</w:t>
      </w:r>
      <w:r>
        <w:rPr>
          <w:rFonts w:hint="eastAsia" w:ascii="宋体" w:hAnsi="宋体" w:eastAsia="宋体" w:cs="宋体"/>
          <w:bCs/>
          <w:color w:val="auto"/>
          <w:kern w:val="0"/>
          <w:szCs w:val="21"/>
          <w:highlight w:val="none"/>
        </w:rPr>
        <w:t>的80%），若中标人低于该风险控制价中标的，中标人必须足额提供中标价净值与风险控制价之差额作为风险保证金，中标人不提交的视为放弃中标，重新组织招标。风险保证金待</w:t>
      </w:r>
      <w:r>
        <w:rPr>
          <w:rFonts w:hint="eastAsia" w:ascii="宋体" w:hAnsi="宋体" w:eastAsia="宋体" w:cs="宋体"/>
          <w:bCs/>
          <w:color w:val="auto"/>
          <w:kern w:val="0"/>
          <w:szCs w:val="21"/>
          <w:highlight w:val="none"/>
          <w:lang w:val="en-US" w:eastAsia="zh-CN"/>
        </w:rPr>
        <w:t>缺陷责任期满后</w:t>
      </w:r>
      <w:r>
        <w:rPr>
          <w:rFonts w:hint="eastAsia" w:ascii="宋体" w:hAnsi="宋体" w:eastAsia="宋体" w:cs="宋体"/>
          <w:bCs/>
          <w:color w:val="auto"/>
          <w:kern w:val="0"/>
          <w:szCs w:val="21"/>
          <w:highlight w:val="none"/>
        </w:rPr>
        <w:t>7个工作日内无息退还。若中标人对项目无法按要求完成的，风险保证金不予退还，并按合同赔偿相应损失。（风险保证金应在中标通知书发出后5个工作日内交至采购单位，以现金、电汇、转账等方式交纳。)</w:t>
      </w:r>
    </w:p>
    <w:p w14:paraId="72EB90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w:t>
      </w:r>
      <w:r>
        <w:rPr>
          <w:rFonts w:hint="eastAsia" w:ascii="宋体" w:hAnsi="宋体" w:eastAsia="宋体" w:cs="宋体"/>
          <w:color w:val="auto"/>
          <w:szCs w:val="21"/>
          <w:highlight w:val="none"/>
          <w:lang w:eastAsia="zh-CN"/>
        </w:rPr>
        <w:t>小组</w:t>
      </w:r>
      <w:r>
        <w:rPr>
          <w:rFonts w:hint="eastAsia" w:ascii="宋体" w:hAnsi="宋体" w:eastAsia="宋体" w:cs="宋体"/>
          <w:color w:val="auto"/>
          <w:szCs w:val="21"/>
          <w:highlight w:val="none"/>
        </w:rPr>
        <w:t>认为</w:t>
      </w:r>
      <w:r>
        <w:rPr>
          <w:rFonts w:hint="eastAsia" w:ascii="宋体" w:hAnsi="宋体" w:eastAsia="宋体" w:cs="宋体"/>
          <w:color w:val="auto"/>
          <w:szCs w:val="21"/>
          <w:highlight w:val="none"/>
          <w:lang w:eastAsia="zh-CN"/>
        </w:rPr>
        <w:t>潜在供应商</w:t>
      </w:r>
      <w:r>
        <w:rPr>
          <w:rFonts w:hint="eastAsia" w:ascii="宋体" w:hAnsi="宋体" w:eastAsia="宋体" w:cs="宋体"/>
          <w:color w:val="auto"/>
          <w:szCs w:val="21"/>
          <w:highlight w:val="none"/>
        </w:rPr>
        <w:t>的报价明显低于其他通过符合性审查</w:t>
      </w:r>
      <w:r>
        <w:rPr>
          <w:rFonts w:hint="eastAsia" w:ascii="宋体" w:hAnsi="宋体" w:eastAsia="宋体" w:cs="宋体"/>
          <w:color w:val="auto"/>
          <w:szCs w:val="21"/>
          <w:highlight w:val="none"/>
          <w:lang w:eastAsia="zh-CN"/>
        </w:rPr>
        <w:t>潜在供应商</w:t>
      </w:r>
      <w:r>
        <w:rPr>
          <w:rFonts w:hint="eastAsia" w:ascii="宋体" w:hAnsi="宋体" w:eastAsia="宋体" w:cs="宋体"/>
          <w:color w:val="auto"/>
          <w:szCs w:val="21"/>
          <w:highlight w:val="none"/>
        </w:rPr>
        <w:t>的报价，有可能影响产品质量或者不能诚信履约的，应当要求其在评标现场合理的时间内提供书面说明，必要时提交相关证明材料；</w:t>
      </w:r>
      <w:r>
        <w:rPr>
          <w:rFonts w:hint="eastAsia" w:ascii="宋体" w:hAnsi="宋体" w:eastAsia="宋体" w:cs="宋体"/>
          <w:color w:val="auto"/>
          <w:szCs w:val="21"/>
          <w:highlight w:val="none"/>
          <w:lang w:eastAsia="zh-CN"/>
        </w:rPr>
        <w:t>潜在供应商</w:t>
      </w:r>
      <w:r>
        <w:rPr>
          <w:rFonts w:hint="eastAsia" w:ascii="宋体" w:hAnsi="宋体" w:eastAsia="宋体" w:cs="宋体"/>
          <w:color w:val="auto"/>
          <w:szCs w:val="21"/>
          <w:highlight w:val="none"/>
        </w:rPr>
        <w:t>不能证明其报价合理性的，评标</w:t>
      </w:r>
      <w:r>
        <w:rPr>
          <w:rFonts w:hint="eastAsia" w:ascii="宋体" w:hAnsi="宋体" w:eastAsia="宋体" w:cs="宋体"/>
          <w:color w:val="auto"/>
          <w:szCs w:val="21"/>
          <w:highlight w:val="none"/>
          <w:lang w:eastAsia="zh-CN"/>
        </w:rPr>
        <w:t>小组</w:t>
      </w:r>
      <w:r>
        <w:rPr>
          <w:rFonts w:hint="eastAsia" w:ascii="宋体" w:hAnsi="宋体" w:eastAsia="宋体" w:cs="宋体"/>
          <w:color w:val="auto"/>
          <w:szCs w:val="21"/>
          <w:highlight w:val="none"/>
        </w:rPr>
        <w:t>应当将其作为无效投标处理。</w:t>
      </w:r>
    </w:p>
    <w:p w14:paraId="787EE798">
      <w:pPr>
        <w:spacing w:line="360" w:lineRule="auto"/>
        <w:ind w:firstLine="422" w:firstLineChars="200"/>
        <w:jc w:val="center"/>
        <w:rPr>
          <w:rFonts w:hint="eastAsia" w:ascii="宋体" w:hAnsi="宋体" w:eastAsia="宋体" w:cs="宋体"/>
          <w:color w:val="auto"/>
          <w:sz w:val="28"/>
          <w:szCs w:val="28"/>
          <w:highlight w:val="none"/>
        </w:rPr>
      </w:pPr>
      <w:r>
        <w:rPr>
          <w:rFonts w:hint="eastAsia" w:ascii="宋体" w:hAnsi="宋体" w:eastAsia="宋体" w:cs="宋体"/>
          <w:b/>
          <w:color w:val="auto"/>
          <w:szCs w:val="21"/>
          <w:highlight w:val="none"/>
        </w:rPr>
        <w:br w:type="page"/>
      </w:r>
      <w:bookmarkStart w:id="91" w:name="_Toc5643"/>
      <w:r>
        <w:rPr>
          <w:rFonts w:hint="eastAsia" w:ascii="宋体" w:hAnsi="宋体" w:eastAsia="宋体" w:cs="宋体"/>
          <w:b/>
          <w:bCs/>
          <w:color w:val="auto"/>
          <w:sz w:val="28"/>
          <w:szCs w:val="28"/>
          <w:highlight w:val="none"/>
        </w:rPr>
        <w:t>第五章  采购合同主要条款指引</w:t>
      </w:r>
      <w:bookmarkEnd w:id="91"/>
    </w:p>
    <w:p w14:paraId="722180B8">
      <w:pPr>
        <w:pStyle w:val="25"/>
        <w:rPr>
          <w:rFonts w:hint="eastAsia" w:ascii="宋体" w:hAnsi="宋体" w:eastAsia="宋体" w:cs="宋体"/>
          <w:sz w:val="28"/>
          <w:szCs w:val="28"/>
          <w:highlight w:val="none"/>
        </w:rPr>
      </w:pPr>
    </w:p>
    <w:p w14:paraId="6E205BCE">
      <w:pPr>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合同编号：</w:t>
      </w:r>
      <w:r>
        <w:rPr>
          <w:rFonts w:hint="eastAsia" w:ascii="宋体" w:hAnsi="宋体" w:eastAsia="宋体" w:cs="宋体"/>
          <w:sz w:val="28"/>
          <w:szCs w:val="28"/>
          <w:highlight w:val="none"/>
          <w:u w:val="single"/>
        </w:rPr>
        <w:t xml:space="preserve">           </w:t>
      </w:r>
    </w:p>
    <w:p w14:paraId="691302C7">
      <w:pPr>
        <w:spacing w:line="480" w:lineRule="auto"/>
        <w:jc w:val="center"/>
        <w:rPr>
          <w:rFonts w:hint="eastAsia" w:ascii="宋体" w:hAnsi="宋体" w:eastAsia="宋体" w:cs="宋体"/>
          <w:b/>
          <w:sz w:val="32"/>
          <w:szCs w:val="32"/>
          <w:highlight w:val="none"/>
        </w:rPr>
      </w:pPr>
    </w:p>
    <w:p w14:paraId="2E8BD158">
      <w:pPr>
        <w:spacing w:line="480" w:lineRule="auto"/>
        <w:jc w:val="center"/>
        <w:rPr>
          <w:rFonts w:hint="eastAsia" w:ascii="宋体" w:hAnsi="宋体" w:eastAsia="宋体" w:cs="宋体"/>
          <w:b/>
          <w:sz w:val="28"/>
          <w:szCs w:val="28"/>
          <w:highlight w:val="none"/>
        </w:rPr>
      </w:pPr>
    </w:p>
    <w:p w14:paraId="5ABF8882">
      <w:pPr>
        <w:spacing w:line="480" w:lineRule="auto"/>
        <w:jc w:val="center"/>
        <w:rPr>
          <w:rFonts w:hint="eastAsia" w:ascii="宋体" w:hAnsi="宋体" w:eastAsia="宋体" w:cs="宋体"/>
          <w:b/>
          <w:sz w:val="40"/>
          <w:szCs w:val="40"/>
          <w:highlight w:val="none"/>
        </w:rPr>
      </w:pPr>
      <w:r>
        <w:rPr>
          <w:rFonts w:hint="eastAsia" w:ascii="宋体" w:hAnsi="宋体" w:eastAsia="宋体" w:cs="宋体"/>
          <w:b/>
          <w:sz w:val="40"/>
          <w:szCs w:val="40"/>
          <w:highlight w:val="none"/>
        </w:rPr>
        <w:t>采购合同参考范本</w:t>
      </w:r>
    </w:p>
    <w:p w14:paraId="7E44B044">
      <w:pPr>
        <w:spacing w:line="480" w:lineRule="auto"/>
        <w:jc w:val="center"/>
        <w:rPr>
          <w:rFonts w:hint="eastAsia" w:ascii="宋体" w:hAnsi="宋体" w:eastAsia="宋体" w:cs="宋体"/>
          <w:b/>
          <w:sz w:val="40"/>
          <w:szCs w:val="40"/>
          <w:highlight w:val="none"/>
        </w:rPr>
      </w:pPr>
      <w:r>
        <w:rPr>
          <w:rFonts w:hint="eastAsia" w:ascii="宋体" w:hAnsi="宋体" w:eastAsia="宋体" w:cs="宋体"/>
          <w:b/>
          <w:sz w:val="40"/>
          <w:szCs w:val="40"/>
          <w:highlight w:val="none"/>
        </w:rPr>
        <w:t>（服务类）</w:t>
      </w:r>
    </w:p>
    <w:p w14:paraId="02AB6545">
      <w:pPr>
        <w:pStyle w:val="27"/>
        <w:ind w:firstLine="3317" w:firstLineChars="1180"/>
        <w:rPr>
          <w:rFonts w:hint="eastAsia" w:ascii="宋体" w:hAnsi="宋体" w:eastAsia="宋体" w:cs="宋体"/>
          <w:b/>
          <w:sz w:val="28"/>
          <w:szCs w:val="28"/>
          <w:highlight w:val="none"/>
        </w:rPr>
      </w:pPr>
      <w:r>
        <w:rPr>
          <w:rFonts w:hint="eastAsia" w:ascii="宋体" w:hAnsi="宋体" w:eastAsia="宋体" w:cs="宋体"/>
          <w:b/>
          <w:sz w:val="28"/>
          <w:szCs w:val="28"/>
          <w:highlight w:val="none"/>
        </w:rPr>
        <w:t>第一部分 合同书</w:t>
      </w:r>
    </w:p>
    <w:p w14:paraId="75566128">
      <w:pPr>
        <w:spacing w:before="120" w:line="22" w:lineRule="atLeast"/>
        <w:rPr>
          <w:rFonts w:hint="eastAsia" w:ascii="宋体" w:hAnsi="宋体" w:eastAsia="宋体" w:cs="宋体"/>
          <w:sz w:val="24"/>
          <w:highlight w:val="none"/>
        </w:rPr>
      </w:pPr>
    </w:p>
    <w:p w14:paraId="38D90C4A">
      <w:pPr>
        <w:pStyle w:val="3"/>
        <w:tabs>
          <w:tab w:val="left" w:pos="432"/>
        </w:tabs>
        <w:rPr>
          <w:rFonts w:hint="eastAsia" w:ascii="宋体" w:hAnsi="宋体" w:eastAsia="宋体" w:cs="宋体"/>
          <w:sz w:val="24"/>
          <w:szCs w:val="24"/>
          <w:highlight w:val="none"/>
        </w:rPr>
      </w:pPr>
    </w:p>
    <w:p w14:paraId="4B74F65A">
      <w:pPr>
        <w:spacing w:before="120" w:line="22" w:lineRule="atLeast"/>
        <w:ind w:left="960"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项目名称：</w:t>
      </w:r>
      <w:r>
        <w:rPr>
          <w:rFonts w:hint="eastAsia" w:ascii="宋体" w:hAnsi="宋体" w:eastAsia="宋体" w:cs="宋体"/>
          <w:sz w:val="24"/>
          <w:highlight w:val="none"/>
          <w:u w:val="single"/>
        </w:rPr>
        <w:t xml:space="preserve">                                   </w:t>
      </w:r>
    </w:p>
    <w:p w14:paraId="388A8DD6">
      <w:pPr>
        <w:pStyle w:val="28"/>
        <w:spacing w:before="120" w:line="22" w:lineRule="atLeast"/>
        <w:rPr>
          <w:rFonts w:hint="eastAsia" w:ascii="宋体" w:hAnsi="宋体" w:eastAsia="宋体" w:cs="宋体"/>
          <w:szCs w:val="24"/>
          <w:highlight w:val="none"/>
        </w:rPr>
      </w:pPr>
    </w:p>
    <w:p w14:paraId="279E6855">
      <w:pPr>
        <w:pStyle w:val="28"/>
        <w:spacing w:before="120" w:line="22" w:lineRule="atLeast"/>
        <w:rPr>
          <w:rFonts w:hint="eastAsia" w:ascii="宋体" w:hAnsi="宋体" w:eastAsia="宋体" w:cs="宋体"/>
          <w:szCs w:val="24"/>
          <w:highlight w:val="none"/>
        </w:rPr>
      </w:pPr>
    </w:p>
    <w:p w14:paraId="69ABB8F3">
      <w:pPr>
        <w:rPr>
          <w:rFonts w:hint="eastAsia" w:ascii="宋体" w:hAnsi="宋体" w:eastAsia="宋体" w:cs="宋体"/>
          <w:sz w:val="24"/>
          <w:highlight w:val="none"/>
        </w:rPr>
      </w:pPr>
    </w:p>
    <w:p w14:paraId="6391F42D">
      <w:pPr>
        <w:spacing w:before="120" w:line="22" w:lineRule="atLeast"/>
        <w:ind w:left="960"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甲方：</w:t>
      </w:r>
      <w:r>
        <w:rPr>
          <w:rFonts w:hint="eastAsia" w:ascii="宋体" w:hAnsi="宋体" w:eastAsia="宋体" w:cs="宋体"/>
          <w:sz w:val="24"/>
          <w:highlight w:val="none"/>
          <w:u w:val="single"/>
        </w:rPr>
        <w:t xml:space="preserve">                                       </w:t>
      </w:r>
    </w:p>
    <w:p w14:paraId="08FDC932">
      <w:pPr>
        <w:spacing w:before="120" w:line="22" w:lineRule="atLeast"/>
        <w:rPr>
          <w:rFonts w:hint="eastAsia" w:ascii="宋体" w:hAnsi="宋体" w:eastAsia="宋体" w:cs="宋体"/>
          <w:sz w:val="24"/>
          <w:highlight w:val="none"/>
        </w:rPr>
      </w:pPr>
    </w:p>
    <w:p w14:paraId="7C7FF3B0">
      <w:pPr>
        <w:spacing w:before="120" w:line="22" w:lineRule="atLeast"/>
        <w:ind w:left="960"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乙方：</w:t>
      </w:r>
      <w:r>
        <w:rPr>
          <w:rFonts w:hint="eastAsia" w:ascii="宋体" w:hAnsi="宋体" w:eastAsia="宋体" w:cs="宋体"/>
          <w:sz w:val="24"/>
          <w:highlight w:val="none"/>
          <w:u w:val="single"/>
        </w:rPr>
        <w:t xml:space="preserve">                                       </w:t>
      </w:r>
    </w:p>
    <w:p w14:paraId="2A552A6B">
      <w:pPr>
        <w:spacing w:before="120" w:line="22" w:lineRule="atLeast"/>
        <w:rPr>
          <w:rFonts w:hint="eastAsia" w:ascii="宋体" w:hAnsi="宋体" w:eastAsia="宋体" w:cs="宋体"/>
          <w:sz w:val="24"/>
          <w:highlight w:val="none"/>
        </w:rPr>
      </w:pPr>
    </w:p>
    <w:p w14:paraId="7842EA66">
      <w:pPr>
        <w:spacing w:before="120" w:line="22" w:lineRule="atLeast"/>
        <w:ind w:firstLine="1440" w:firstLineChars="600"/>
        <w:rPr>
          <w:rFonts w:hint="eastAsia" w:ascii="宋体" w:hAnsi="宋体" w:eastAsia="宋体" w:cs="宋体"/>
          <w:sz w:val="24"/>
          <w:highlight w:val="none"/>
          <w:u w:val="single"/>
        </w:rPr>
      </w:pPr>
      <w:r>
        <w:rPr>
          <w:rFonts w:hint="eastAsia" w:ascii="宋体" w:hAnsi="宋体" w:eastAsia="宋体" w:cs="宋体"/>
          <w:sz w:val="24"/>
          <w:highlight w:val="none"/>
        </w:rPr>
        <w:t>签订地：</w:t>
      </w:r>
      <w:r>
        <w:rPr>
          <w:rFonts w:hint="eastAsia" w:ascii="宋体" w:hAnsi="宋体" w:eastAsia="宋体" w:cs="宋体"/>
          <w:sz w:val="24"/>
          <w:highlight w:val="none"/>
          <w:u w:val="single"/>
        </w:rPr>
        <w:t xml:space="preserve">                                     </w:t>
      </w:r>
    </w:p>
    <w:p w14:paraId="33DEE376">
      <w:pPr>
        <w:spacing w:before="120" w:line="22" w:lineRule="atLeast"/>
        <w:rPr>
          <w:rFonts w:hint="eastAsia" w:ascii="宋体" w:hAnsi="宋体" w:eastAsia="宋体" w:cs="宋体"/>
          <w:sz w:val="24"/>
          <w:highlight w:val="none"/>
        </w:rPr>
      </w:pPr>
    </w:p>
    <w:p w14:paraId="783E2C8C">
      <w:pPr>
        <w:spacing w:before="120" w:line="22" w:lineRule="atLeast"/>
        <w:ind w:firstLine="1440" w:firstLineChars="600"/>
        <w:rPr>
          <w:rFonts w:hint="eastAsia" w:ascii="宋体" w:hAnsi="宋体" w:eastAsia="宋体" w:cs="宋体"/>
          <w:sz w:val="24"/>
          <w:highlight w:val="none"/>
          <w:u w:val="single"/>
        </w:rPr>
      </w:pPr>
      <w:r>
        <w:rPr>
          <w:rFonts w:hint="eastAsia" w:ascii="宋体" w:hAnsi="宋体" w:eastAsia="宋体" w:cs="宋体"/>
          <w:sz w:val="24"/>
          <w:highlight w:val="none"/>
        </w:rPr>
        <w:t>签订日期：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05766247">
      <w:pPr>
        <w:widowControl/>
        <w:jc w:val="left"/>
        <w:rPr>
          <w:rFonts w:hint="eastAsia" w:ascii="宋体" w:hAnsi="宋体" w:eastAsia="宋体" w:cs="宋体"/>
          <w:kern w:val="0"/>
          <w:sz w:val="24"/>
          <w:highlight w:val="none"/>
        </w:rPr>
        <w:sectPr>
          <w:footerReference r:id="rId7" w:type="default"/>
          <w:pgSz w:w="11907" w:h="16840"/>
          <w:pgMar w:top="1354" w:right="1336" w:bottom="1134" w:left="1531" w:header="851" w:footer="851" w:gutter="0"/>
          <w:pgNumType w:fmt="decimal"/>
          <w:cols w:space="720" w:num="1"/>
        </w:sectPr>
      </w:pPr>
    </w:p>
    <w:p w14:paraId="492D6466">
      <w:pPr>
        <w:keepNext w:val="0"/>
        <w:keepLines w:val="0"/>
        <w:pageBreakBefore w:val="0"/>
        <w:kinsoku/>
        <w:wordWrap/>
        <w:overflowPunct/>
        <w:topLinePunct w:val="0"/>
        <w:autoSpaceDE w:val="0"/>
        <w:autoSpaceDN w:val="0"/>
        <w:bidi w:val="0"/>
        <w:adjustRightInd/>
        <w:spacing w:line="384" w:lineRule="auto"/>
        <w:ind w:firstLine="420" w:firstLineChars="200"/>
        <w:textAlignment w:val="auto"/>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根据《中华人民共和国政府采购法》、《中华人民共和国民法典》之规定，本合同当事人在平等、自愿的基础上，经协商一致，同意按下述条款和条件签署本合同：</w:t>
      </w:r>
    </w:p>
    <w:p w14:paraId="46C77CD1">
      <w:pPr>
        <w:keepNext w:val="0"/>
        <w:keepLines w:val="0"/>
        <w:pageBreakBefore w:val="0"/>
        <w:numPr>
          <w:ilvl w:val="0"/>
          <w:numId w:val="11"/>
        </w:numPr>
        <w:tabs>
          <w:tab w:val="left" w:pos="8280"/>
        </w:tabs>
        <w:kinsoku/>
        <w:wordWrap/>
        <w:overflowPunct/>
        <w:topLinePunct w:val="0"/>
        <w:autoSpaceDE w:val="0"/>
        <w:autoSpaceDN w:val="0"/>
        <w:bidi w:val="0"/>
        <w:adjustRightInd/>
        <w:spacing w:line="384" w:lineRule="auto"/>
        <w:ind w:right="25"/>
        <w:textAlignment w:val="auto"/>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合同金额</w:t>
      </w:r>
    </w:p>
    <w:tbl>
      <w:tblPr>
        <w:tblStyle w:val="17"/>
        <w:tblW w:w="9663" w:type="dxa"/>
        <w:tblInd w:w="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2864"/>
        <w:gridCol w:w="960"/>
        <w:gridCol w:w="1485"/>
        <w:gridCol w:w="2295"/>
        <w:gridCol w:w="1380"/>
      </w:tblGrid>
      <w:tr w14:paraId="0EF5C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723" w:hRule="atLeast"/>
        </w:trPr>
        <w:tc>
          <w:tcPr>
            <w:tcW w:w="679"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3F55DFD4">
            <w:pPr>
              <w:keepNext w:val="0"/>
              <w:keepLines w:val="0"/>
              <w:pageBreakBefore w:val="0"/>
              <w:kinsoku/>
              <w:wordWrap/>
              <w:overflowPunct/>
              <w:topLinePunct w:val="0"/>
              <w:bidi w:val="0"/>
              <w:adjustRightInd/>
              <w:spacing w:line="384" w:lineRule="auto"/>
              <w:jc w:val="center"/>
              <w:textAlignment w:val="auto"/>
              <w:rPr>
                <w:rFonts w:hint="eastAsia" w:ascii="宋体" w:hAnsi="宋体" w:eastAsia="宋体" w:cs="宋体"/>
                <w:sz w:val="21"/>
                <w:szCs w:val="21"/>
                <w:highlight w:val="none"/>
                <w:lang w:val="zh-TW" w:eastAsia="zh-TW"/>
              </w:rPr>
            </w:pPr>
            <w:r>
              <w:rPr>
                <w:rFonts w:hint="eastAsia" w:ascii="宋体" w:hAnsi="宋体" w:eastAsia="宋体" w:cs="宋体"/>
                <w:bCs/>
                <w:sz w:val="21"/>
                <w:szCs w:val="21"/>
                <w:highlight w:val="none"/>
              </w:rPr>
              <w:t>序号</w:t>
            </w:r>
          </w:p>
        </w:tc>
        <w:tc>
          <w:tcPr>
            <w:tcW w:w="2864"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7E7AD2BF">
            <w:pPr>
              <w:keepNext w:val="0"/>
              <w:keepLines w:val="0"/>
              <w:pageBreakBefore w:val="0"/>
              <w:kinsoku/>
              <w:wordWrap/>
              <w:overflowPunct/>
              <w:topLinePunct w:val="0"/>
              <w:bidi w:val="0"/>
              <w:adjustRightInd/>
              <w:spacing w:line="384" w:lineRule="auto"/>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招标内容</w:t>
            </w:r>
          </w:p>
        </w:tc>
        <w:tc>
          <w:tcPr>
            <w:tcW w:w="96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7DD2C2BA">
            <w:pPr>
              <w:keepNext w:val="0"/>
              <w:keepLines w:val="0"/>
              <w:pageBreakBefore w:val="0"/>
              <w:kinsoku/>
              <w:wordWrap/>
              <w:overflowPunct/>
              <w:topLinePunct w:val="0"/>
              <w:bidi w:val="0"/>
              <w:adjustRightInd/>
              <w:spacing w:line="384" w:lineRule="auto"/>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数量</w:t>
            </w:r>
          </w:p>
        </w:tc>
        <w:tc>
          <w:tcPr>
            <w:tcW w:w="1485"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525EEAA9">
            <w:pPr>
              <w:keepNext w:val="0"/>
              <w:keepLines w:val="0"/>
              <w:pageBreakBefore w:val="0"/>
              <w:kinsoku/>
              <w:wordWrap/>
              <w:overflowPunct/>
              <w:topLinePunct w:val="0"/>
              <w:bidi w:val="0"/>
              <w:adjustRightInd/>
              <w:spacing w:line="384" w:lineRule="auto"/>
              <w:jc w:val="center"/>
              <w:textAlignment w:val="auto"/>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单位</w:t>
            </w:r>
          </w:p>
        </w:tc>
        <w:tc>
          <w:tcPr>
            <w:tcW w:w="2295"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52318494">
            <w:pPr>
              <w:keepNext w:val="0"/>
              <w:keepLines w:val="0"/>
              <w:pageBreakBefore w:val="0"/>
              <w:kinsoku/>
              <w:wordWrap/>
              <w:overflowPunct/>
              <w:topLinePunct w:val="0"/>
              <w:bidi w:val="0"/>
              <w:adjustRightInd/>
              <w:spacing w:line="384" w:lineRule="auto"/>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总价（元）</w:t>
            </w:r>
          </w:p>
        </w:tc>
        <w:tc>
          <w:tcPr>
            <w:tcW w:w="1380" w:type="dxa"/>
            <w:tcBorders>
              <w:top w:val="single" w:color="000000" w:sz="4" w:space="0"/>
              <w:left w:val="single" w:color="000000" w:sz="4" w:space="0"/>
              <w:bottom w:val="single" w:color="000000" w:sz="4" w:space="0"/>
              <w:right w:val="single" w:color="000000" w:sz="4" w:space="0"/>
            </w:tcBorders>
            <w:noWrap w:val="0"/>
            <w:vAlign w:val="top"/>
          </w:tcPr>
          <w:p w14:paraId="48A4FD29">
            <w:pPr>
              <w:keepNext w:val="0"/>
              <w:keepLines w:val="0"/>
              <w:pageBreakBefore w:val="0"/>
              <w:kinsoku/>
              <w:wordWrap/>
              <w:overflowPunct/>
              <w:topLinePunct w:val="0"/>
              <w:bidi w:val="0"/>
              <w:adjustRightInd/>
              <w:spacing w:line="384" w:lineRule="auto"/>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备注</w:t>
            </w:r>
          </w:p>
        </w:tc>
      </w:tr>
      <w:tr w14:paraId="4860D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648" w:hRule="atLeast"/>
        </w:trPr>
        <w:tc>
          <w:tcPr>
            <w:tcW w:w="679" w:type="dxa"/>
            <w:tcBorders>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73F5A0BB">
            <w:pPr>
              <w:pStyle w:val="29"/>
              <w:keepNext w:val="0"/>
              <w:keepLines w:val="0"/>
              <w:pageBreakBefore w:val="0"/>
              <w:kinsoku/>
              <w:wordWrap/>
              <w:overflowPunct/>
              <w:topLinePunct w:val="0"/>
              <w:bidi w:val="0"/>
              <w:adjustRightInd/>
              <w:spacing w:before="120" w:after="120" w:line="384"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864" w:type="dxa"/>
            <w:tcBorders>
              <w:left w:val="single" w:color="000000" w:sz="4" w:space="0"/>
              <w:bottom w:val="single" w:color="000000" w:sz="4" w:space="0"/>
              <w:right w:val="single" w:color="auto" w:sz="4" w:space="0"/>
            </w:tcBorders>
            <w:noWrap w:val="0"/>
            <w:tcMar>
              <w:top w:w="80" w:type="dxa"/>
              <w:left w:w="80" w:type="dxa"/>
              <w:bottom w:w="80" w:type="dxa"/>
              <w:right w:w="80" w:type="dxa"/>
            </w:tcMar>
            <w:vAlign w:val="top"/>
          </w:tcPr>
          <w:p w14:paraId="749DE20D">
            <w:pPr>
              <w:keepNext w:val="0"/>
              <w:keepLines w:val="0"/>
              <w:pageBreakBefore w:val="0"/>
              <w:kinsoku/>
              <w:wordWrap/>
              <w:overflowPunct/>
              <w:topLinePunct w:val="0"/>
              <w:bidi w:val="0"/>
              <w:adjustRightInd/>
              <w:spacing w:line="384" w:lineRule="auto"/>
              <w:jc w:val="center"/>
              <w:textAlignment w:val="auto"/>
              <w:rPr>
                <w:rFonts w:hint="eastAsia" w:ascii="宋体" w:hAnsi="宋体" w:eastAsia="宋体" w:cs="宋体"/>
                <w:bCs/>
                <w:sz w:val="21"/>
                <w:szCs w:val="21"/>
                <w:highlight w:val="none"/>
                <w:lang w:val="en-US" w:eastAsia="zh-CN"/>
              </w:rPr>
            </w:pPr>
          </w:p>
        </w:tc>
        <w:tc>
          <w:tcPr>
            <w:tcW w:w="960" w:type="dxa"/>
            <w:tcBorders>
              <w:left w:val="single" w:color="auto" w:sz="4" w:space="0"/>
              <w:bottom w:val="single" w:color="000000" w:sz="4" w:space="0"/>
              <w:right w:val="single" w:color="000000" w:sz="4" w:space="0"/>
            </w:tcBorders>
            <w:noWrap w:val="0"/>
            <w:tcMar>
              <w:top w:w="80" w:type="dxa"/>
              <w:left w:w="80" w:type="dxa"/>
              <w:bottom w:w="80" w:type="dxa"/>
              <w:right w:w="80" w:type="dxa"/>
            </w:tcMar>
            <w:vAlign w:val="top"/>
          </w:tcPr>
          <w:p w14:paraId="14500CFF">
            <w:pPr>
              <w:keepNext w:val="0"/>
              <w:keepLines w:val="0"/>
              <w:pageBreakBefore w:val="0"/>
              <w:kinsoku/>
              <w:wordWrap/>
              <w:overflowPunct/>
              <w:topLinePunct w:val="0"/>
              <w:bidi w:val="0"/>
              <w:adjustRightInd/>
              <w:spacing w:line="384" w:lineRule="auto"/>
              <w:jc w:val="center"/>
              <w:textAlignment w:val="auto"/>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1</w:t>
            </w:r>
          </w:p>
        </w:tc>
        <w:tc>
          <w:tcPr>
            <w:tcW w:w="1485" w:type="dxa"/>
            <w:tcBorders>
              <w:left w:val="single" w:color="000000" w:sz="4" w:space="0"/>
              <w:bottom w:val="single" w:color="auto" w:sz="4" w:space="0"/>
              <w:right w:val="single" w:color="000000" w:sz="4" w:space="0"/>
            </w:tcBorders>
            <w:noWrap w:val="0"/>
            <w:tcMar>
              <w:top w:w="80" w:type="dxa"/>
              <w:left w:w="80" w:type="dxa"/>
              <w:bottom w:w="80" w:type="dxa"/>
              <w:right w:w="80" w:type="dxa"/>
            </w:tcMar>
            <w:vAlign w:val="center"/>
          </w:tcPr>
          <w:p w14:paraId="4F09AA37">
            <w:pPr>
              <w:keepNext w:val="0"/>
              <w:keepLines w:val="0"/>
              <w:pageBreakBefore w:val="0"/>
              <w:kinsoku/>
              <w:wordWrap/>
              <w:overflowPunct/>
              <w:topLinePunct w:val="0"/>
              <w:bidi w:val="0"/>
              <w:adjustRightInd/>
              <w:spacing w:line="384" w:lineRule="auto"/>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年</w:t>
            </w:r>
          </w:p>
        </w:tc>
        <w:tc>
          <w:tcPr>
            <w:tcW w:w="2295" w:type="dxa"/>
            <w:tcBorders>
              <w:left w:val="single" w:color="000000" w:sz="4" w:space="0"/>
              <w:bottom w:val="single" w:color="auto" w:sz="4" w:space="0"/>
              <w:right w:val="single" w:color="000000" w:sz="4" w:space="0"/>
            </w:tcBorders>
            <w:noWrap w:val="0"/>
            <w:tcMar>
              <w:top w:w="80" w:type="dxa"/>
              <w:left w:w="80" w:type="dxa"/>
              <w:bottom w:w="80" w:type="dxa"/>
              <w:right w:w="80" w:type="dxa"/>
            </w:tcMar>
            <w:vAlign w:val="center"/>
          </w:tcPr>
          <w:p w14:paraId="681939F0">
            <w:pPr>
              <w:keepNext w:val="0"/>
              <w:keepLines w:val="0"/>
              <w:pageBreakBefore w:val="0"/>
              <w:kinsoku/>
              <w:wordWrap/>
              <w:overflowPunct/>
              <w:topLinePunct w:val="0"/>
              <w:bidi w:val="0"/>
              <w:adjustRightInd/>
              <w:spacing w:line="384" w:lineRule="auto"/>
              <w:jc w:val="center"/>
              <w:textAlignment w:val="auto"/>
              <w:rPr>
                <w:rFonts w:hint="eastAsia" w:ascii="宋体" w:hAnsi="宋体" w:eastAsia="宋体" w:cs="宋体"/>
                <w:bCs/>
                <w:sz w:val="21"/>
                <w:szCs w:val="21"/>
                <w:highlight w:val="none"/>
              </w:rPr>
            </w:pPr>
          </w:p>
        </w:tc>
        <w:tc>
          <w:tcPr>
            <w:tcW w:w="1380" w:type="dxa"/>
            <w:tcBorders>
              <w:left w:val="single" w:color="000000" w:sz="4" w:space="0"/>
              <w:bottom w:val="single" w:color="auto" w:sz="4" w:space="0"/>
              <w:right w:val="single" w:color="000000" w:sz="4" w:space="0"/>
            </w:tcBorders>
            <w:noWrap w:val="0"/>
            <w:vAlign w:val="top"/>
          </w:tcPr>
          <w:p w14:paraId="713C99A9">
            <w:pPr>
              <w:pStyle w:val="29"/>
              <w:keepNext w:val="0"/>
              <w:keepLines w:val="0"/>
              <w:pageBreakBefore w:val="0"/>
              <w:kinsoku/>
              <w:wordWrap/>
              <w:overflowPunct/>
              <w:topLinePunct w:val="0"/>
              <w:bidi w:val="0"/>
              <w:adjustRightInd/>
              <w:spacing w:line="384" w:lineRule="auto"/>
              <w:jc w:val="both"/>
              <w:textAlignment w:val="auto"/>
              <w:rPr>
                <w:rFonts w:hint="eastAsia" w:ascii="宋体" w:hAnsi="宋体" w:eastAsia="宋体" w:cs="宋体"/>
                <w:b/>
                <w:bCs/>
                <w:color w:val="auto"/>
                <w:kern w:val="0"/>
                <w:sz w:val="21"/>
                <w:szCs w:val="21"/>
                <w:highlight w:val="none"/>
              </w:rPr>
            </w:pPr>
          </w:p>
        </w:tc>
      </w:tr>
      <w:tr w14:paraId="6CBA9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457" w:hRule="atLeast"/>
        </w:trPr>
        <w:tc>
          <w:tcPr>
            <w:tcW w:w="679" w:type="dxa"/>
            <w:tcBorders>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489E84C1">
            <w:pPr>
              <w:pStyle w:val="29"/>
              <w:keepNext w:val="0"/>
              <w:keepLines w:val="0"/>
              <w:pageBreakBefore w:val="0"/>
              <w:kinsoku/>
              <w:wordWrap/>
              <w:overflowPunct/>
              <w:topLinePunct w:val="0"/>
              <w:bidi w:val="0"/>
              <w:adjustRightInd/>
              <w:spacing w:before="120" w:after="120" w:line="384"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2864" w:type="dxa"/>
            <w:tcBorders>
              <w:left w:val="single" w:color="000000" w:sz="4" w:space="0"/>
              <w:bottom w:val="single" w:color="000000" w:sz="4" w:space="0"/>
              <w:right w:val="single" w:color="auto" w:sz="4" w:space="0"/>
            </w:tcBorders>
            <w:noWrap w:val="0"/>
            <w:tcMar>
              <w:top w:w="80" w:type="dxa"/>
              <w:left w:w="80" w:type="dxa"/>
              <w:bottom w:w="80" w:type="dxa"/>
              <w:right w:w="80" w:type="dxa"/>
            </w:tcMar>
            <w:vAlign w:val="top"/>
          </w:tcPr>
          <w:p w14:paraId="35ECC8AE">
            <w:pPr>
              <w:keepNext w:val="0"/>
              <w:keepLines w:val="0"/>
              <w:pageBreakBefore w:val="0"/>
              <w:kinsoku/>
              <w:wordWrap/>
              <w:overflowPunct/>
              <w:topLinePunct w:val="0"/>
              <w:bidi w:val="0"/>
              <w:adjustRightInd/>
              <w:spacing w:line="384" w:lineRule="auto"/>
              <w:jc w:val="both"/>
              <w:textAlignment w:val="auto"/>
              <w:rPr>
                <w:rFonts w:hint="eastAsia" w:ascii="宋体" w:hAnsi="宋体" w:eastAsia="宋体" w:cs="宋体"/>
                <w:bCs/>
                <w:sz w:val="21"/>
                <w:szCs w:val="21"/>
                <w:highlight w:val="none"/>
              </w:rPr>
            </w:pPr>
          </w:p>
        </w:tc>
        <w:tc>
          <w:tcPr>
            <w:tcW w:w="960" w:type="dxa"/>
            <w:tcBorders>
              <w:left w:val="single" w:color="auto" w:sz="4" w:space="0"/>
              <w:bottom w:val="single" w:color="000000" w:sz="4" w:space="0"/>
              <w:right w:val="single" w:color="000000" w:sz="4" w:space="0"/>
            </w:tcBorders>
            <w:noWrap w:val="0"/>
            <w:tcMar>
              <w:top w:w="80" w:type="dxa"/>
              <w:left w:w="80" w:type="dxa"/>
              <w:bottom w:w="80" w:type="dxa"/>
              <w:right w:w="80" w:type="dxa"/>
            </w:tcMar>
            <w:vAlign w:val="top"/>
          </w:tcPr>
          <w:p w14:paraId="4FD139BB">
            <w:pPr>
              <w:pStyle w:val="29"/>
              <w:keepNext w:val="0"/>
              <w:keepLines w:val="0"/>
              <w:pageBreakBefore w:val="0"/>
              <w:kinsoku/>
              <w:wordWrap/>
              <w:overflowPunct/>
              <w:topLinePunct w:val="0"/>
              <w:bidi w:val="0"/>
              <w:adjustRightInd/>
              <w:spacing w:line="384" w:lineRule="auto"/>
              <w:jc w:val="both"/>
              <w:textAlignment w:val="auto"/>
              <w:rPr>
                <w:rFonts w:hint="eastAsia" w:ascii="宋体" w:hAnsi="宋体" w:eastAsia="宋体" w:cs="宋体"/>
                <w:b/>
                <w:bCs/>
                <w:color w:val="auto"/>
                <w:kern w:val="0"/>
                <w:sz w:val="21"/>
                <w:szCs w:val="21"/>
                <w:highlight w:val="none"/>
              </w:rPr>
            </w:pPr>
          </w:p>
        </w:tc>
        <w:tc>
          <w:tcPr>
            <w:tcW w:w="1485" w:type="dxa"/>
            <w:tcBorders>
              <w:left w:val="single" w:color="000000" w:sz="4" w:space="0"/>
              <w:bottom w:val="single" w:color="auto" w:sz="4" w:space="0"/>
              <w:right w:val="single" w:color="000000" w:sz="4" w:space="0"/>
            </w:tcBorders>
            <w:noWrap w:val="0"/>
            <w:tcMar>
              <w:top w:w="80" w:type="dxa"/>
              <w:left w:w="80" w:type="dxa"/>
              <w:bottom w:w="80" w:type="dxa"/>
              <w:right w:w="80" w:type="dxa"/>
            </w:tcMar>
            <w:vAlign w:val="center"/>
          </w:tcPr>
          <w:p w14:paraId="0B4DA8AF">
            <w:pPr>
              <w:pStyle w:val="29"/>
              <w:keepNext w:val="0"/>
              <w:keepLines w:val="0"/>
              <w:pageBreakBefore w:val="0"/>
              <w:kinsoku/>
              <w:wordWrap/>
              <w:overflowPunct/>
              <w:topLinePunct w:val="0"/>
              <w:bidi w:val="0"/>
              <w:adjustRightInd/>
              <w:spacing w:line="384" w:lineRule="auto"/>
              <w:jc w:val="both"/>
              <w:textAlignment w:val="auto"/>
              <w:rPr>
                <w:rFonts w:hint="eastAsia" w:ascii="宋体" w:hAnsi="宋体" w:eastAsia="宋体" w:cs="宋体"/>
                <w:b/>
                <w:bCs/>
                <w:color w:val="auto"/>
                <w:kern w:val="0"/>
                <w:sz w:val="21"/>
                <w:szCs w:val="21"/>
                <w:highlight w:val="none"/>
              </w:rPr>
            </w:pPr>
          </w:p>
        </w:tc>
        <w:tc>
          <w:tcPr>
            <w:tcW w:w="2295" w:type="dxa"/>
            <w:tcBorders>
              <w:left w:val="single" w:color="000000" w:sz="4" w:space="0"/>
              <w:bottom w:val="single" w:color="auto" w:sz="4" w:space="0"/>
              <w:right w:val="single" w:color="000000" w:sz="4" w:space="0"/>
            </w:tcBorders>
            <w:noWrap w:val="0"/>
            <w:tcMar>
              <w:top w:w="80" w:type="dxa"/>
              <w:left w:w="80" w:type="dxa"/>
              <w:bottom w:w="80" w:type="dxa"/>
              <w:right w:w="80" w:type="dxa"/>
            </w:tcMar>
            <w:vAlign w:val="center"/>
          </w:tcPr>
          <w:p w14:paraId="3776ECE5">
            <w:pPr>
              <w:pStyle w:val="29"/>
              <w:keepNext w:val="0"/>
              <w:keepLines w:val="0"/>
              <w:pageBreakBefore w:val="0"/>
              <w:kinsoku/>
              <w:wordWrap/>
              <w:overflowPunct/>
              <w:topLinePunct w:val="0"/>
              <w:bidi w:val="0"/>
              <w:adjustRightInd/>
              <w:spacing w:line="384" w:lineRule="auto"/>
              <w:jc w:val="both"/>
              <w:textAlignment w:val="auto"/>
              <w:rPr>
                <w:rFonts w:hint="eastAsia" w:ascii="宋体" w:hAnsi="宋体" w:eastAsia="宋体" w:cs="宋体"/>
                <w:b/>
                <w:bCs/>
                <w:color w:val="auto"/>
                <w:kern w:val="0"/>
                <w:sz w:val="21"/>
                <w:szCs w:val="21"/>
                <w:highlight w:val="none"/>
              </w:rPr>
            </w:pPr>
          </w:p>
        </w:tc>
        <w:tc>
          <w:tcPr>
            <w:tcW w:w="1380" w:type="dxa"/>
            <w:tcBorders>
              <w:left w:val="single" w:color="000000" w:sz="4" w:space="0"/>
              <w:bottom w:val="single" w:color="auto" w:sz="4" w:space="0"/>
              <w:right w:val="single" w:color="000000" w:sz="4" w:space="0"/>
            </w:tcBorders>
            <w:noWrap w:val="0"/>
            <w:vAlign w:val="top"/>
          </w:tcPr>
          <w:p w14:paraId="3230238C">
            <w:pPr>
              <w:pStyle w:val="29"/>
              <w:keepNext w:val="0"/>
              <w:keepLines w:val="0"/>
              <w:pageBreakBefore w:val="0"/>
              <w:kinsoku/>
              <w:wordWrap/>
              <w:overflowPunct/>
              <w:topLinePunct w:val="0"/>
              <w:bidi w:val="0"/>
              <w:adjustRightInd/>
              <w:spacing w:line="384" w:lineRule="auto"/>
              <w:jc w:val="both"/>
              <w:textAlignment w:val="auto"/>
              <w:rPr>
                <w:rFonts w:hint="eastAsia" w:ascii="宋体" w:hAnsi="宋体" w:eastAsia="宋体" w:cs="宋体"/>
                <w:b/>
                <w:bCs/>
                <w:color w:val="auto"/>
                <w:kern w:val="0"/>
                <w:sz w:val="21"/>
                <w:szCs w:val="21"/>
                <w:highlight w:val="none"/>
              </w:rPr>
            </w:pPr>
          </w:p>
        </w:tc>
      </w:tr>
      <w:tr w14:paraId="333BA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3543" w:type="dxa"/>
            <w:gridSpan w:val="2"/>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7B068873">
            <w:pPr>
              <w:pStyle w:val="29"/>
              <w:keepNext w:val="0"/>
              <w:keepLines w:val="0"/>
              <w:pageBreakBefore w:val="0"/>
              <w:kinsoku/>
              <w:wordWrap/>
              <w:overflowPunct/>
              <w:topLinePunct w:val="0"/>
              <w:bidi w:val="0"/>
              <w:adjustRightInd/>
              <w:spacing w:line="384"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TW" w:eastAsia="zh-TW"/>
              </w:rPr>
              <w:t>合     计</w:t>
            </w:r>
          </w:p>
        </w:tc>
        <w:tc>
          <w:tcPr>
            <w:tcW w:w="6120" w:type="dxa"/>
            <w:gridSpan w:val="4"/>
            <w:tcBorders>
              <w:top w:val="single" w:color="000000" w:sz="4" w:space="0"/>
              <w:left w:val="single" w:color="000000" w:sz="4" w:space="0"/>
              <w:bottom w:val="single" w:color="000000" w:sz="4" w:space="0"/>
              <w:right w:val="single" w:color="000000" w:sz="4" w:space="0"/>
            </w:tcBorders>
            <w:noWrap w:val="0"/>
            <w:vAlign w:val="top"/>
          </w:tcPr>
          <w:p w14:paraId="51FBC9DD">
            <w:pPr>
              <w:keepNext w:val="0"/>
              <w:keepLines w:val="0"/>
              <w:pageBreakBefore w:val="0"/>
              <w:kinsoku/>
              <w:wordWrap/>
              <w:overflowPunct/>
              <w:topLinePunct w:val="0"/>
              <w:bidi w:val="0"/>
              <w:adjustRightInd/>
              <w:spacing w:line="384" w:lineRule="auto"/>
              <w:ind w:right="1149" w:rightChars="547"/>
              <w:textAlignment w:val="auto"/>
              <w:rPr>
                <w:rFonts w:hint="eastAsia" w:ascii="宋体" w:hAnsi="宋体" w:eastAsia="宋体" w:cs="宋体"/>
                <w:sz w:val="21"/>
                <w:szCs w:val="21"/>
                <w:highlight w:val="none"/>
              </w:rPr>
            </w:pPr>
          </w:p>
        </w:tc>
      </w:tr>
    </w:tbl>
    <w:p w14:paraId="4D39731A">
      <w:pPr>
        <w:keepNext w:val="0"/>
        <w:keepLines w:val="0"/>
        <w:pageBreakBefore w:val="0"/>
        <w:kinsoku/>
        <w:wordWrap/>
        <w:overflowPunct/>
        <w:topLinePunct w:val="0"/>
        <w:bidi w:val="0"/>
        <w:adjustRightInd/>
        <w:spacing w:line="384" w:lineRule="auto"/>
        <w:textAlignment w:val="auto"/>
        <w:rPr>
          <w:rFonts w:hint="eastAsia" w:ascii="宋体" w:hAnsi="宋体" w:eastAsia="宋体" w:cs="宋体"/>
          <w:sz w:val="21"/>
          <w:szCs w:val="21"/>
          <w:highlight w:val="none"/>
        </w:rPr>
      </w:pPr>
    </w:p>
    <w:p w14:paraId="23684B08">
      <w:pPr>
        <w:keepNext w:val="0"/>
        <w:keepLines w:val="0"/>
        <w:pageBreakBefore w:val="0"/>
        <w:kinsoku/>
        <w:wordWrap/>
        <w:overflowPunct/>
        <w:topLinePunct w:val="0"/>
        <w:bidi w:val="0"/>
        <w:adjustRightInd/>
        <w:spacing w:line="384" w:lineRule="auto"/>
        <w:ind w:firstLine="46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本项目总价为（大写）：人民币______________元（￥________）。</w:t>
      </w:r>
    </w:p>
    <w:p w14:paraId="34EF7614">
      <w:pPr>
        <w:keepNext w:val="0"/>
        <w:keepLines w:val="0"/>
        <w:pageBreakBefore w:val="0"/>
        <w:kinsoku/>
        <w:wordWrap/>
        <w:overflowPunct/>
        <w:topLinePunct w:val="0"/>
        <w:bidi w:val="0"/>
        <w:adjustRightInd/>
        <w:spacing w:line="384" w:lineRule="auto"/>
        <w:ind w:firstLine="420" w:firstLineChars="200"/>
        <w:textAlignment w:val="auto"/>
        <w:outlineLvl w:val="1"/>
        <w:rPr>
          <w:rFonts w:hint="eastAsia" w:ascii="宋体" w:hAnsi="宋体" w:eastAsia="宋体" w:cs="宋体"/>
          <w:sz w:val="21"/>
          <w:szCs w:val="21"/>
          <w:highlight w:val="none"/>
        </w:rPr>
      </w:pPr>
      <w:r>
        <w:rPr>
          <w:rFonts w:hint="eastAsia" w:ascii="宋体" w:hAnsi="宋体" w:eastAsia="宋体" w:cs="宋体"/>
          <w:sz w:val="21"/>
          <w:szCs w:val="21"/>
          <w:highlight w:val="none"/>
        </w:rPr>
        <w:t>履约保证金：</w:t>
      </w:r>
    </w:p>
    <w:p w14:paraId="08FF632A">
      <w:pPr>
        <w:keepNext w:val="0"/>
        <w:keepLines w:val="0"/>
        <w:pageBreakBefore w:val="0"/>
        <w:kinsoku/>
        <w:wordWrap/>
        <w:overflowPunct/>
        <w:topLinePunct w:val="0"/>
        <w:bidi w:val="0"/>
        <w:adjustRightInd/>
        <w:spacing w:line="384" w:lineRule="auto"/>
        <w:ind w:firstLine="420" w:firstLineChars="200"/>
        <w:textAlignment w:val="auto"/>
        <w:outlineLvl w:val="1"/>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履约保证金的数额不得超过政府采购合同金额的1%，人民币</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元整（￥</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项目履约完成后十个工作日内无息退还</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按签合同方式一年一支付。</w:t>
      </w:r>
    </w:p>
    <w:p w14:paraId="4A203D7B">
      <w:pPr>
        <w:keepNext w:val="0"/>
        <w:keepLines w:val="0"/>
        <w:pageBreakBefore w:val="0"/>
        <w:kinsoku/>
        <w:wordWrap/>
        <w:overflowPunct/>
        <w:topLinePunct w:val="0"/>
        <w:bidi w:val="0"/>
        <w:adjustRightInd/>
        <w:spacing w:line="384" w:lineRule="auto"/>
        <w:ind w:firstLine="420" w:firstLineChars="200"/>
        <w:textAlignment w:val="auto"/>
        <w:outlineLvl w:val="1"/>
        <w:rPr>
          <w:rFonts w:hint="eastAsia" w:ascii="宋体" w:hAnsi="宋体" w:eastAsia="宋体" w:cs="宋体"/>
          <w:sz w:val="21"/>
          <w:szCs w:val="21"/>
          <w:highlight w:val="none"/>
        </w:rPr>
      </w:pPr>
      <w:r>
        <w:rPr>
          <w:rFonts w:hint="eastAsia" w:ascii="宋体" w:hAnsi="宋体" w:eastAsia="宋体" w:cs="宋体"/>
          <w:sz w:val="21"/>
          <w:szCs w:val="21"/>
          <w:highlight w:val="none"/>
        </w:rPr>
        <w:t>2、甲方可按《中华人民共和国政府采购法实施条例》有关规定自行收取项目履约保证金。</w:t>
      </w:r>
    </w:p>
    <w:p w14:paraId="480AE801">
      <w:pPr>
        <w:keepNext w:val="0"/>
        <w:keepLines w:val="0"/>
        <w:pageBreakBefore w:val="0"/>
        <w:kinsoku/>
        <w:wordWrap/>
        <w:overflowPunct/>
        <w:topLinePunct w:val="0"/>
        <w:bidi w:val="0"/>
        <w:adjustRightInd/>
        <w:spacing w:line="384" w:lineRule="auto"/>
        <w:ind w:firstLine="420" w:firstLineChars="200"/>
        <w:textAlignment w:val="auto"/>
        <w:outlineLvl w:val="1"/>
        <w:rPr>
          <w:rFonts w:hint="eastAsia" w:ascii="宋体" w:hAnsi="宋体" w:eastAsia="宋体" w:cs="宋体"/>
          <w:sz w:val="21"/>
          <w:szCs w:val="21"/>
          <w:highlight w:val="none"/>
        </w:rPr>
      </w:pPr>
      <w:r>
        <w:rPr>
          <w:rFonts w:hint="eastAsia" w:ascii="宋体" w:hAnsi="宋体" w:eastAsia="宋体" w:cs="宋体"/>
          <w:sz w:val="21"/>
          <w:szCs w:val="21"/>
          <w:highlight w:val="none"/>
        </w:rPr>
        <w:t>3、为发挥信用体系在履约保证金减免方面的基础作用提倡甲方减收或免收履约保证金。</w:t>
      </w:r>
    </w:p>
    <w:p w14:paraId="23700E9C">
      <w:pPr>
        <w:keepNext w:val="0"/>
        <w:keepLines w:val="0"/>
        <w:pageBreakBefore w:val="0"/>
        <w:kinsoku/>
        <w:wordWrap/>
        <w:overflowPunct/>
        <w:topLinePunct w:val="0"/>
        <w:bidi w:val="0"/>
        <w:adjustRightInd/>
        <w:spacing w:line="384" w:lineRule="auto"/>
        <w:ind w:firstLine="420" w:firstLineChars="200"/>
        <w:textAlignment w:val="auto"/>
        <w:outlineLvl w:val="1"/>
        <w:rPr>
          <w:rFonts w:hint="eastAsia" w:ascii="宋体" w:hAnsi="宋体" w:eastAsia="宋体" w:cs="宋体"/>
          <w:sz w:val="21"/>
          <w:szCs w:val="21"/>
          <w:highlight w:val="none"/>
          <w:lang w:val="zh-TW"/>
        </w:rPr>
      </w:pPr>
      <w:r>
        <w:rPr>
          <w:rFonts w:hint="eastAsia" w:ascii="宋体" w:hAnsi="宋体" w:eastAsia="宋体" w:cs="宋体"/>
          <w:sz w:val="21"/>
          <w:szCs w:val="21"/>
          <w:highlight w:val="none"/>
        </w:rPr>
        <w:t>4、甲方要求乙方提交履约保证金的，乙方应当以支票、汇票、本票或者金融机构、担保机构出具的保函等非现金形式提交。</w:t>
      </w:r>
    </w:p>
    <w:p w14:paraId="20E92157">
      <w:pPr>
        <w:keepNext w:val="0"/>
        <w:keepLines w:val="0"/>
        <w:pageBreakBefore w:val="0"/>
        <w:numPr>
          <w:ilvl w:val="0"/>
          <w:numId w:val="11"/>
        </w:numPr>
        <w:tabs>
          <w:tab w:val="left" w:pos="8280"/>
        </w:tabs>
        <w:kinsoku/>
        <w:wordWrap/>
        <w:overflowPunct/>
        <w:topLinePunct w:val="0"/>
        <w:autoSpaceDE w:val="0"/>
        <w:autoSpaceDN w:val="0"/>
        <w:bidi w:val="0"/>
        <w:adjustRightInd/>
        <w:spacing w:line="384" w:lineRule="auto"/>
        <w:ind w:right="25"/>
        <w:textAlignment w:val="auto"/>
        <w:outlineLvl w:val="1"/>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基本概况</w:t>
      </w:r>
    </w:p>
    <w:p w14:paraId="0A5321AD">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20" w:firstLineChars="200"/>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为了进一步打造“嵊州小笼包”的知名度，大力推广“嵊州小笼包”的传播力度，并高度概况和凝练嵊州的包子文化与韵味。</w:t>
      </w:r>
    </w:p>
    <w:p w14:paraId="66B167A9">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20" w:firstLineChars="200"/>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飞机机身广告是目非常新颖的一种广告形式，广告的冲击力强，传播效果突出，通过本项目的实施将品牌形象传播到飞机通达的国内、国际。使“嵊州小笼包”走向更广阔的天地，同时也更多的人了解嵊州这个碳水王国。</w:t>
      </w:r>
    </w:p>
    <w:p w14:paraId="3621B085">
      <w:pPr>
        <w:keepNext w:val="0"/>
        <w:keepLines w:val="0"/>
        <w:pageBreakBefore w:val="0"/>
        <w:numPr>
          <w:ilvl w:val="0"/>
          <w:numId w:val="11"/>
        </w:numPr>
        <w:tabs>
          <w:tab w:val="left" w:pos="8280"/>
        </w:tabs>
        <w:kinsoku/>
        <w:wordWrap/>
        <w:overflowPunct/>
        <w:topLinePunct w:val="0"/>
        <w:autoSpaceDE w:val="0"/>
        <w:autoSpaceDN w:val="0"/>
        <w:bidi w:val="0"/>
        <w:adjustRightInd/>
        <w:spacing w:line="384" w:lineRule="auto"/>
        <w:ind w:right="25"/>
        <w:textAlignment w:val="auto"/>
        <w:outlineLvl w:val="1"/>
        <w:rPr>
          <w:rFonts w:hint="eastAsia"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t>服务</w:t>
      </w:r>
      <w:r>
        <w:rPr>
          <w:rFonts w:hint="eastAsia" w:ascii="宋体" w:hAnsi="宋体" w:eastAsia="宋体" w:cs="宋体"/>
          <w:b/>
          <w:sz w:val="21"/>
          <w:szCs w:val="21"/>
          <w:highlight w:val="none"/>
          <w:lang w:val="en-US" w:eastAsia="zh-CN"/>
        </w:rPr>
        <w:t>内容</w:t>
      </w:r>
      <w:r>
        <w:rPr>
          <w:rFonts w:hint="eastAsia" w:ascii="宋体" w:hAnsi="宋体" w:cs="宋体"/>
          <w:b/>
          <w:sz w:val="21"/>
          <w:szCs w:val="21"/>
          <w:highlight w:val="none"/>
          <w:lang w:val="en-US" w:eastAsia="zh-CN"/>
        </w:rPr>
        <w:t>及</w:t>
      </w:r>
      <w:r>
        <w:rPr>
          <w:rFonts w:hint="eastAsia" w:ascii="宋体" w:hAnsi="宋体" w:eastAsia="宋体" w:cs="宋体"/>
          <w:b/>
          <w:sz w:val="21"/>
          <w:szCs w:val="21"/>
          <w:highlight w:val="none"/>
          <w:lang w:val="en-US" w:eastAsia="zh-CN"/>
        </w:rPr>
        <w:t>要求</w:t>
      </w:r>
    </w:p>
    <w:p w14:paraId="3956AF05">
      <w:pPr>
        <w:keepNext w:val="0"/>
        <w:keepLines w:val="0"/>
        <w:pageBreakBefore w:val="0"/>
        <w:widowControl w:val="0"/>
        <w:numPr>
          <w:ilvl w:val="0"/>
          <w:numId w:val="12"/>
        </w:numPr>
        <w:kinsoku/>
        <w:wordWrap/>
        <w:overflowPunct/>
        <w:topLinePunct w:val="0"/>
        <w:autoSpaceDE/>
        <w:autoSpaceDN/>
        <w:bidi w:val="0"/>
        <w:adjustRightInd/>
        <w:snapToGrid/>
        <w:spacing w:line="384" w:lineRule="auto"/>
        <w:ind w:firstLine="420" w:firstLineChars="200"/>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喷涂机型：A320，飞机架数： 1 架（喷涂全机身）。在机舱内部行李舱盖板海报、小桌板贴纸和座椅头巾等区域，布置和展示；嵊州特色小吃、 嵊州越剧文化等相关画面和元素。宣传点位：行李舱盖板（800*300）、小桌板（190*80）、座椅头片（200*300）、机上口播、机上主题航班活动、三折页、小笼包餐盒等。一年内更换宣传主题不少于4次。</w:t>
      </w:r>
    </w:p>
    <w:p w14:paraId="137BF21B">
      <w:pPr>
        <w:keepNext w:val="0"/>
        <w:keepLines w:val="0"/>
        <w:pageBreakBefore w:val="0"/>
        <w:widowControl w:val="0"/>
        <w:numPr>
          <w:ilvl w:val="0"/>
          <w:numId w:val="12"/>
        </w:numPr>
        <w:kinsoku/>
        <w:wordWrap/>
        <w:overflowPunct/>
        <w:topLinePunct w:val="0"/>
        <w:autoSpaceDE/>
        <w:autoSpaceDN/>
        <w:bidi w:val="0"/>
        <w:adjustRightInd/>
        <w:snapToGrid/>
        <w:spacing w:line="384" w:lineRule="auto"/>
        <w:ind w:firstLine="420" w:firstLineChars="200"/>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维护与保养</w:t>
      </w:r>
    </w:p>
    <w:p w14:paraId="55DF1134">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210" w:firstLineChars="100"/>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合同履行期内，根据手册与飞机状况，定期对飞机身架涂装的情况进行全面检查，进行保养，发现破损、色差，进行修补，检查和保养次数不少于12次/年;每季度对飞机身架清洁 1-2次，保证外表干净无脏污。</w:t>
      </w:r>
    </w:p>
    <w:p w14:paraId="323CB9E9">
      <w:pPr>
        <w:keepNext w:val="0"/>
        <w:keepLines w:val="0"/>
        <w:pageBreakBefore w:val="0"/>
        <w:widowControl w:val="0"/>
        <w:numPr>
          <w:ilvl w:val="0"/>
          <w:numId w:val="12"/>
        </w:numPr>
        <w:kinsoku/>
        <w:wordWrap/>
        <w:overflowPunct/>
        <w:topLinePunct w:val="0"/>
        <w:autoSpaceDE/>
        <w:autoSpaceDN/>
        <w:bidi w:val="0"/>
        <w:adjustRightInd/>
        <w:snapToGrid/>
        <w:spacing w:line="384" w:lineRule="auto"/>
        <w:ind w:firstLine="420" w:firstLineChars="200"/>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喷涂恢复</w:t>
      </w:r>
    </w:p>
    <w:p w14:paraId="7AC1E2EF">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210" w:firstLineChars="100"/>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合同执行到期后，根据双方合作需求，确定是否续签或延续协议，如不再延续，需要在到期后应重新喷漆恢复原航空机身喷涂。</w:t>
      </w:r>
    </w:p>
    <w:p w14:paraId="50525959">
      <w:pPr>
        <w:keepNext w:val="0"/>
        <w:keepLines w:val="0"/>
        <w:pageBreakBefore w:val="0"/>
        <w:widowControl w:val="0"/>
        <w:numPr>
          <w:ilvl w:val="0"/>
          <w:numId w:val="12"/>
        </w:numPr>
        <w:kinsoku/>
        <w:wordWrap/>
        <w:overflowPunct/>
        <w:topLinePunct w:val="0"/>
        <w:autoSpaceDE/>
        <w:autoSpaceDN/>
        <w:bidi w:val="0"/>
        <w:adjustRightInd/>
        <w:snapToGrid/>
        <w:spacing w:line="384" w:lineRule="auto"/>
        <w:ind w:firstLine="420" w:firstLineChars="200"/>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广告面积及画面要求</w:t>
      </w:r>
    </w:p>
    <w:p w14:paraId="36231346">
      <w:pPr>
        <w:keepNext w:val="0"/>
        <w:keepLines w:val="0"/>
        <w:pageBreakBefore w:val="0"/>
        <w:widowControl w:val="0"/>
        <w:numPr>
          <w:ilvl w:val="0"/>
          <w:numId w:val="13"/>
        </w:numPr>
        <w:kinsoku/>
        <w:wordWrap/>
        <w:overflowPunct/>
        <w:topLinePunct w:val="0"/>
        <w:autoSpaceDE/>
        <w:autoSpaceDN/>
        <w:bidi w:val="0"/>
        <w:adjustRightInd/>
        <w:snapToGrid/>
        <w:spacing w:line="384" w:lineRule="auto"/>
        <w:ind w:firstLine="210" w:firstLineChars="100"/>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为A320飞机全机身（按照供应商广告相关标准执行）;</w:t>
      </w:r>
    </w:p>
    <w:p w14:paraId="72BA9431">
      <w:pPr>
        <w:keepNext w:val="0"/>
        <w:keepLines w:val="0"/>
        <w:pageBreakBefore w:val="0"/>
        <w:widowControl w:val="0"/>
        <w:numPr>
          <w:ilvl w:val="0"/>
          <w:numId w:val="13"/>
        </w:numPr>
        <w:kinsoku/>
        <w:wordWrap/>
        <w:overflowPunct/>
        <w:topLinePunct w:val="0"/>
        <w:autoSpaceDE/>
        <w:autoSpaceDN/>
        <w:bidi w:val="0"/>
        <w:adjustRightInd/>
        <w:snapToGrid/>
        <w:spacing w:line="384" w:lineRule="auto"/>
        <w:ind w:firstLine="210" w:firstLineChars="100"/>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广告画面为“嵊州小吃”为主题，需融汇嵊州特色、文化符号，彰显小笼包特色。</w:t>
      </w:r>
    </w:p>
    <w:p w14:paraId="432B491F">
      <w:pPr>
        <w:keepNext w:val="0"/>
        <w:keepLines w:val="0"/>
        <w:pageBreakBefore w:val="0"/>
        <w:widowControl w:val="0"/>
        <w:numPr>
          <w:ilvl w:val="0"/>
          <w:numId w:val="13"/>
        </w:numPr>
        <w:kinsoku/>
        <w:wordWrap/>
        <w:overflowPunct/>
        <w:topLinePunct w:val="0"/>
        <w:autoSpaceDE/>
        <w:autoSpaceDN/>
        <w:bidi w:val="0"/>
        <w:adjustRightInd/>
        <w:snapToGrid/>
        <w:spacing w:line="384" w:lineRule="auto"/>
        <w:ind w:firstLine="210" w:firstLineChars="100"/>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供应商在响应文件中提供三张效果示意图，并承诺如成交，设计方案以采购单位审定稿为准。</w:t>
      </w:r>
    </w:p>
    <w:p w14:paraId="53F49295">
      <w:pPr>
        <w:keepNext w:val="0"/>
        <w:keepLines w:val="0"/>
        <w:pageBreakBefore w:val="0"/>
        <w:widowControl w:val="0"/>
        <w:numPr>
          <w:ilvl w:val="0"/>
          <w:numId w:val="12"/>
        </w:numPr>
        <w:kinsoku/>
        <w:wordWrap/>
        <w:overflowPunct/>
        <w:topLinePunct w:val="0"/>
        <w:autoSpaceDE/>
        <w:autoSpaceDN/>
        <w:bidi w:val="0"/>
        <w:adjustRightInd/>
        <w:snapToGrid/>
        <w:spacing w:line="384" w:lineRule="auto"/>
        <w:ind w:firstLine="420" w:firstLineChars="200"/>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其它服务要求</w:t>
      </w:r>
    </w:p>
    <w:tbl>
      <w:tblPr>
        <w:tblStyle w:val="18"/>
        <w:tblpPr w:leftFromText="180" w:rightFromText="180" w:vertAnchor="text" w:horzAnchor="page" w:tblpX="1826" w:tblpY="24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2452"/>
        <w:gridCol w:w="4978"/>
      </w:tblGrid>
      <w:tr w14:paraId="7636C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jc w:val="center"/>
        </w:trPr>
        <w:tc>
          <w:tcPr>
            <w:tcW w:w="1063" w:type="dxa"/>
            <w:vAlign w:val="center"/>
          </w:tcPr>
          <w:p w14:paraId="671C7FDD">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center"/>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序号</w:t>
            </w:r>
          </w:p>
        </w:tc>
        <w:tc>
          <w:tcPr>
            <w:tcW w:w="2452" w:type="dxa"/>
            <w:vAlign w:val="center"/>
          </w:tcPr>
          <w:p w14:paraId="3673C288">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center"/>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项目</w:t>
            </w:r>
          </w:p>
        </w:tc>
        <w:tc>
          <w:tcPr>
            <w:tcW w:w="4978" w:type="dxa"/>
            <w:vAlign w:val="center"/>
          </w:tcPr>
          <w:p w14:paraId="49348901">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center"/>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要求 （飞机型号： A320）</w:t>
            </w:r>
          </w:p>
        </w:tc>
      </w:tr>
      <w:tr w14:paraId="55530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63" w:type="dxa"/>
            <w:vAlign w:val="center"/>
          </w:tcPr>
          <w:p w14:paraId="3055C291">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center"/>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1</w:t>
            </w:r>
          </w:p>
        </w:tc>
        <w:tc>
          <w:tcPr>
            <w:tcW w:w="2452" w:type="dxa"/>
            <w:vAlign w:val="center"/>
          </w:tcPr>
          <w:p w14:paraId="5104804C">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center"/>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通航点</w:t>
            </w:r>
          </w:p>
        </w:tc>
        <w:tc>
          <w:tcPr>
            <w:tcW w:w="4978" w:type="dxa"/>
            <w:vAlign w:val="center"/>
          </w:tcPr>
          <w:p w14:paraId="1637D69E">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center"/>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不少于65个城市</w:t>
            </w:r>
          </w:p>
        </w:tc>
      </w:tr>
      <w:tr w14:paraId="05A1D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063" w:type="dxa"/>
            <w:vAlign w:val="center"/>
          </w:tcPr>
          <w:p w14:paraId="068EB027">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center"/>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2</w:t>
            </w:r>
          </w:p>
        </w:tc>
        <w:tc>
          <w:tcPr>
            <w:tcW w:w="2452" w:type="dxa"/>
            <w:vAlign w:val="center"/>
          </w:tcPr>
          <w:p w14:paraId="4212EF57">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center"/>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旅客运输量</w:t>
            </w:r>
          </w:p>
        </w:tc>
        <w:tc>
          <w:tcPr>
            <w:tcW w:w="4978" w:type="dxa"/>
            <w:vAlign w:val="center"/>
          </w:tcPr>
          <w:p w14:paraId="779E8BDC">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center"/>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不少于10万人次，直飞航班不少于750班</w:t>
            </w:r>
          </w:p>
        </w:tc>
      </w:tr>
    </w:tbl>
    <w:p w14:paraId="458FA163">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p>
    <w:p w14:paraId="2A516D60">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20" w:firstLineChars="200"/>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供应商在响应文件中提供如下承诺:</w:t>
      </w:r>
    </w:p>
    <w:p w14:paraId="5B7CED71">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20" w:firstLineChars="200"/>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1、采购单位有重要保障任务，对方应全力配合进行调机，将喷绘飞机调至采购单位所需要的航班直飞。</w:t>
      </w:r>
    </w:p>
    <w:p w14:paraId="32516E82">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20" w:firstLineChars="200"/>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2、供商应确保喷绘飞机安全。因安全问题导致飞机不能直飞，供商应对喷绘飞机的安全文明负全责，合同期间若发生安全责任事故或被相关部门查处，由此给采购单位造成损失的，一切责任及经济赔偿都由供应商承担。</w:t>
      </w:r>
    </w:p>
    <w:p w14:paraId="5AC63740">
      <w:pPr>
        <w:keepNext w:val="0"/>
        <w:keepLines w:val="0"/>
        <w:pageBreakBefore w:val="0"/>
        <w:widowControl w:val="0"/>
        <w:kinsoku/>
        <w:wordWrap/>
        <w:overflowPunct/>
        <w:topLinePunct w:val="0"/>
        <w:autoSpaceDE/>
        <w:autoSpaceDN/>
        <w:bidi w:val="0"/>
        <w:adjustRightInd/>
        <w:snapToGrid/>
        <w:spacing w:line="384"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0"/>
          <w:sz w:val="21"/>
          <w:szCs w:val="21"/>
          <w:highlight w:val="none"/>
        </w:rPr>
        <w:t>服务期限</w:t>
      </w:r>
    </w:p>
    <w:p w14:paraId="7B220927">
      <w:pPr>
        <w:keepNext w:val="0"/>
        <w:keepLines w:val="0"/>
        <w:pageBreakBefore w:val="0"/>
        <w:widowControl w:val="0"/>
        <w:kinsoku/>
        <w:wordWrap/>
        <w:overflowPunct/>
        <w:topLinePunct w:val="0"/>
        <w:autoSpaceDE/>
        <w:autoSpaceDN/>
        <w:bidi w:val="0"/>
        <w:adjustRightInd/>
        <w:snapToGrid/>
        <w:spacing w:line="384"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服务期限：</w:t>
      </w:r>
      <w:r>
        <w:rPr>
          <w:rFonts w:hint="eastAsia" w:ascii="宋体" w:hAnsi="宋体" w:cs="宋体"/>
          <w:color w:val="auto"/>
          <w:sz w:val="21"/>
          <w:szCs w:val="21"/>
          <w:highlight w:val="none"/>
          <w:u w:val="single"/>
          <w:lang w:val="en-US" w:eastAsia="zh-CN"/>
        </w:rPr>
        <w:t>2025年  月   日至2026年  月  日</w:t>
      </w:r>
      <w:r>
        <w:rPr>
          <w:rFonts w:hint="eastAsia" w:ascii="宋体" w:hAnsi="宋体" w:eastAsia="宋体" w:cs="宋体"/>
          <w:color w:val="auto"/>
          <w:sz w:val="21"/>
          <w:szCs w:val="21"/>
          <w:highlight w:val="none"/>
          <w:lang w:val="en-US" w:eastAsia="zh-CN"/>
        </w:rPr>
        <w:t>，合同为一年一签；第一年履约合同完成，并经考核通过，续签第二年合同；合同期间因政策原因导致合同无法再履行，采购人有权终止合。</w:t>
      </w:r>
    </w:p>
    <w:p w14:paraId="27D81C46">
      <w:pPr>
        <w:keepNext w:val="0"/>
        <w:keepLines w:val="0"/>
        <w:pageBreakBefore w:val="0"/>
        <w:widowControl w:val="0"/>
        <w:kinsoku/>
        <w:wordWrap/>
        <w:overflowPunct/>
        <w:topLinePunct w:val="0"/>
        <w:autoSpaceDE/>
        <w:autoSpaceDN/>
        <w:bidi w:val="0"/>
        <w:adjustRightInd/>
        <w:snapToGrid/>
        <w:spacing w:line="384" w:lineRule="auto"/>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val="en-US" w:eastAsia="zh-CN"/>
        </w:rPr>
        <w:t>、结算方式</w:t>
      </w:r>
    </w:p>
    <w:p w14:paraId="40E2513D">
      <w:pPr>
        <w:keepNext w:val="0"/>
        <w:keepLines w:val="0"/>
        <w:pageBreakBefore w:val="0"/>
        <w:widowControl w:val="0"/>
        <w:kinsoku/>
        <w:wordWrap/>
        <w:overflowPunct/>
        <w:topLinePunct w:val="0"/>
        <w:autoSpaceDE/>
        <w:autoSpaceDN/>
        <w:bidi w:val="0"/>
        <w:adjustRightInd/>
        <w:snapToGrid/>
        <w:spacing w:line="384" w:lineRule="auto"/>
        <w:ind w:firstLine="420"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本项目采用固定总价合同，总价一次性包干，不作调整。</w:t>
      </w:r>
    </w:p>
    <w:p w14:paraId="261A5EEE">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lang w:val="en-US" w:eastAsia="zh-CN"/>
        </w:rPr>
        <w:t>、付款方式</w:t>
      </w:r>
    </w:p>
    <w:p w14:paraId="72F8DD1A">
      <w:pPr>
        <w:keepNext w:val="0"/>
        <w:keepLines w:val="0"/>
        <w:pageBreakBefore w:val="0"/>
        <w:widowControl w:val="0"/>
        <w:kinsoku/>
        <w:wordWrap/>
        <w:overflowPunct/>
        <w:topLinePunct w:val="0"/>
        <w:autoSpaceDE/>
        <w:autoSpaceDN/>
        <w:bidi w:val="0"/>
        <w:adjustRightInd/>
        <w:snapToGrid/>
        <w:spacing w:line="384"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第一年支付方式：合同签订后支付合同价的30%，设计方案审核通过后支付至合同价的60%；机身喷涂、机舱内部宣传点位等全部完成并验收合格后支付至合同价的80%；服务期满支付剩余款项。</w:t>
      </w:r>
    </w:p>
    <w:p w14:paraId="2ACA73AF">
      <w:pPr>
        <w:keepNext w:val="0"/>
        <w:keepLines w:val="0"/>
        <w:pageBreakBefore w:val="0"/>
        <w:widowControl w:val="0"/>
        <w:kinsoku/>
        <w:wordWrap/>
        <w:overflowPunct/>
        <w:topLinePunct w:val="0"/>
        <w:autoSpaceDE/>
        <w:autoSpaceDN/>
        <w:bidi w:val="0"/>
        <w:adjustRightInd/>
        <w:snapToGrid/>
        <w:spacing w:line="384"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第二年支付方式：合同签定15个工作日内支付合同价50%，履约完成，并考核通过后支付剩余款项。</w:t>
      </w:r>
    </w:p>
    <w:p w14:paraId="1268AA7F">
      <w:pPr>
        <w:keepNext w:val="0"/>
        <w:keepLines w:val="0"/>
        <w:pageBreakBefore w:val="0"/>
        <w:widowControl w:val="0"/>
        <w:kinsoku/>
        <w:wordWrap/>
        <w:overflowPunct/>
        <w:topLinePunct w:val="0"/>
        <w:autoSpaceDE/>
        <w:autoSpaceDN/>
        <w:bidi w:val="0"/>
        <w:adjustRightInd/>
        <w:snapToGrid/>
        <w:spacing w:line="384" w:lineRule="auto"/>
        <w:ind w:firstLine="420" w:firstLineChars="20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注：每次付款前中标单位需提供正式发票，因中标单位不能及时提供发票导致采购人未能按约付款的，由中标单位自行承担相应责任。</w:t>
      </w:r>
    </w:p>
    <w:p w14:paraId="513C37D0">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22" w:firstLineChars="200"/>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cs="宋体"/>
          <w:b/>
          <w:bCs/>
          <w:i w:val="0"/>
          <w:iCs w:val="0"/>
          <w:color w:val="auto"/>
          <w:kern w:val="2"/>
          <w:sz w:val="21"/>
          <w:szCs w:val="21"/>
          <w:highlight w:val="none"/>
          <w:vertAlign w:val="baseline"/>
          <w:lang w:val="en-US" w:eastAsia="zh-CN" w:bidi="ar-SA"/>
        </w:rPr>
        <w:t>七</w:t>
      </w:r>
      <w:r>
        <w:rPr>
          <w:rFonts w:hint="eastAsia" w:ascii="宋体" w:hAnsi="宋体" w:eastAsia="宋体" w:cs="宋体"/>
          <w:b/>
          <w:bCs/>
          <w:i w:val="0"/>
          <w:iCs w:val="0"/>
          <w:color w:val="auto"/>
          <w:kern w:val="2"/>
          <w:sz w:val="21"/>
          <w:szCs w:val="21"/>
          <w:highlight w:val="none"/>
          <w:vertAlign w:val="baseline"/>
          <w:lang w:val="en-US" w:eastAsia="zh-CN" w:bidi="ar-SA"/>
        </w:rPr>
        <w:t>、</w:t>
      </w:r>
      <w:r>
        <w:rPr>
          <w:rFonts w:hint="eastAsia" w:ascii="宋体" w:hAnsi="宋体" w:eastAsia="宋体" w:cs="宋体"/>
          <w:b/>
          <w:bCs/>
          <w:color w:val="auto"/>
          <w:sz w:val="21"/>
          <w:szCs w:val="21"/>
          <w:highlight w:val="none"/>
        </w:rPr>
        <w:t>版权与保密</w:t>
      </w:r>
    </w:p>
    <w:p w14:paraId="26FCA42C">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20" w:firstLineChars="200"/>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Cs/>
          <w:sz w:val="21"/>
          <w:szCs w:val="21"/>
          <w:highlight w:val="none"/>
        </w:rPr>
        <w:t>本项目所有数据的版权属采购人所有，未经同意，中标方不得自行删除、复制、修改、转移数据，亦不得以任何形式向第三方提供；采购人提供的任何业务资料，中标方需认真保管、严格保密。</w:t>
      </w:r>
    </w:p>
    <w:p w14:paraId="3583B3E7">
      <w:pPr>
        <w:keepNext w:val="0"/>
        <w:keepLines w:val="0"/>
        <w:pageBreakBefore w:val="0"/>
        <w:widowControl w:val="0"/>
        <w:kinsoku/>
        <w:wordWrap/>
        <w:overflowPunct/>
        <w:topLinePunct w:val="0"/>
        <w:autoSpaceDE/>
        <w:autoSpaceDN/>
        <w:bidi w:val="0"/>
        <w:adjustRightInd/>
        <w:snapToGrid/>
        <w:spacing w:line="384"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技术资料</w:t>
      </w:r>
    </w:p>
    <w:p w14:paraId="512C0BCB">
      <w:pPr>
        <w:keepNext w:val="0"/>
        <w:keepLines w:val="0"/>
        <w:pageBreakBefore w:val="0"/>
        <w:widowControl w:val="0"/>
        <w:kinsoku/>
        <w:wordWrap/>
        <w:overflowPunct/>
        <w:topLinePunct w:val="0"/>
        <w:autoSpaceDE/>
        <w:autoSpaceDN/>
        <w:bidi w:val="0"/>
        <w:adjustRightInd/>
        <w:snapToGrid/>
        <w:spacing w:line="384"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sz w:val="21"/>
          <w:szCs w:val="21"/>
          <w:highlight w:val="none"/>
          <w:lang w:val="en-US" w:eastAsia="zh-CN"/>
        </w:rPr>
        <w:t>1、</w:t>
      </w:r>
      <w:r>
        <w:rPr>
          <w:rFonts w:hint="eastAsia" w:ascii="宋体" w:hAnsi="宋体" w:eastAsia="宋体" w:cs="宋体"/>
          <w:color w:val="auto"/>
          <w:sz w:val="21"/>
          <w:szCs w:val="21"/>
          <w:highlight w:val="none"/>
        </w:rPr>
        <w:t xml:space="preserve"> 乙方应按《招标文件》规定的时间向甲方提供有关技术资料。</w:t>
      </w:r>
    </w:p>
    <w:p w14:paraId="08924D30">
      <w:pPr>
        <w:keepNext w:val="0"/>
        <w:keepLines w:val="0"/>
        <w:pageBreakBefore w:val="0"/>
        <w:widowControl w:val="0"/>
        <w:kinsoku/>
        <w:wordWrap/>
        <w:overflowPunct/>
        <w:topLinePunct w:val="0"/>
        <w:autoSpaceDE/>
        <w:autoSpaceDN/>
        <w:bidi w:val="0"/>
        <w:adjustRightInd/>
        <w:snapToGrid/>
        <w:spacing w:line="384"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sz w:val="21"/>
          <w:szCs w:val="21"/>
          <w:highlight w:val="none"/>
          <w:lang w:val="en-US" w:eastAsia="zh-CN"/>
        </w:rPr>
        <w:t>2、</w:t>
      </w:r>
      <w:r>
        <w:rPr>
          <w:rFonts w:hint="eastAsia" w:ascii="宋体" w:hAnsi="宋体" w:eastAsia="宋体" w:cs="宋体"/>
          <w:color w:val="auto"/>
          <w:sz w:val="21"/>
          <w:szCs w:val="21"/>
          <w:highlight w:val="none"/>
        </w:rPr>
        <w:t>没有甲方事先书面同意，乙方不得将由甲方提供的有关合同或任何合同条文、 规格、计划、图纸、样品或资料提供给与履行本合同无关的任何其他人。即使向履行 本合同有关的人员提供，也应注意保密并限于履行合同的必需范围。</w:t>
      </w:r>
    </w:p>
    <w:p w14:paraId="5EE513D2">
      <w:pPr>
        <w:keepNext w:val="0"/>
        <w:keepLines w:val="0"/>
        <w:pageBreakBefore w:val="0"/>
        <w:widowControl w:val="0"/>
        <w:kinsoku/>
        <w:wordWrap/>
        <w:overflowPunct/>
        <w:topLinePunct w:val="0"/>
        <w:autoSpaceDE/>
        <w:autoSpaceDN/>
        <w:bidi w:val="0"/>
        <w:adjustRightInd/>
        <w:snapToGrid/>
        <w:spacing w:line="384" w:lineRule="auto"/>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cs="宋体"/>
          <w:b/>
          <w:color w:val="auto"/>
          <w:sz w:val="21"/>
          <w:szCs w:val="21"/>
          <w:highlight w:val="none"/>
          <w:lang w:val="en-US" w:eastAsia="zh-CN"/>
        </w:rPr>
        <w:t>九</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服务标准及</w:t>
      </w:r>
      <w:r>
        <w:rPr>
          <w:rFonts w:hint="eastAsia" w:ascii="宋体" w:hAnsi="宋体" w:eastAsia="宋体" w:cs="宋体"/>
          <w:b/>
          <w:color w:val="auto"/>
          <w:sz w:val="21"/>
          <w:szCs w:val="21"/>
          <w:highlight w:val="none"/>
        </w:rPr>
        <w:t>验收</w:t>
      </w:r>
    </w:p>
    <w:p w14:paraId="0644B4B9">
      <w:pPr>
        <w:keepNext w:val="0"/>
        <w:keepLines w:val="0"/>
        <w:pageBreakBefore w:val="0"/>
        <w:widowControl/>
        <w:kinsoku/>
        <w:wordWrap/>
        <w:overflowPunct/>
        <w:topLinePunct w:val="0"/>
        <w:bidi w:val="0"/>
        <w:adjustRightInd/>
        <w:snapToGrid w:val="0"/>
        <w:spacing w:line="384" w:lineRule="auto"/>
        <w:ind w:firstLine="420" w:firstLineChars="200"/>
        <w:textAlignment w:val="auto"/>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验收按国家有关规范标准（</w:t>
      </w:r>
      <w:r>
        <w:rPr>
          <w:rFonts w:hint="eastAsia" w:ascii="宋体" w:hAnsi="宋体" w:eastAsia="宋体" w:cs="宋体"/>
          <w:color w:val="auto"/>
          <w:sz w:val="21"/>
          <w:szCs w:val="21"/>
          <w:highlight w:val="none"/>
        </w:rPr>
        <w:t>国家无验收规范标准的按双方合同规定的要求</w:t>
      </w:r>
      <w:r>
        <w:rPr>
          <w:rFonts w:hint="eastAsia" w:ascii="宋体" w:hAnsi="宋体" w:eastAsia="宋体" w:cs="宋体"/>
          <w:color w:val="auto"/>
          <w:kern w:val="0"/>
          <w:sz w:val="21"/>
          <w:szCs w:val="21"/>
          <w:highlight w:val="none"/>
          <w:u w:val="none"/>
        </w:rPr>
        <w:t>）进行。</w:t>
      </w:r>
    </w:p>
    <w:p w14:paraId="5196F26E">
      <w:pPr>
        <w:keepNext w:val="0"/>
        <w:keepLines w:val="0"/>
        <w:pageBreakBefore w:val="0"/>
        <w:widowControl w:val="0"/>
        <w:numPr>
          <w:ilvl w:val="0"/>
          <w:numId w:val="0"/>
        </w:numPr>
        <w:kinsoku/>
        <w:wordWrap/>
        <w:overflowPunct/>
        <w:topLinePunct w:val="0"/>
        <w:autoSpaceDE/>
        <w:autoSpaceDN/>
        <w:bidi w:val="0"/>
        <w:adjustRightInd/>
        <w:snapToGrid/>
        <w:spacing w:line="384" w:lineRule="auto"/>
        <w:ind w:left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十、违约责任</w:t>
      </w:r>
    </w:p>
    <w:p w14:paraId="32D80E8F">
      <w:pPr>
        <w:keepNext w:val="0"/>
        <w:keepLines w:val="0"/>
        <w:pageBreakBefore w:val="0"/>
        <w:widowControl/>
        <w:kinsoku/>
        <w:wordWrap/>
        <w:overflowPunct/>
        <w:topLinePunct w:val="0"/>
        <w:bidi w:val="0"/>
        <w:adjustRightInd/>
        <w:snapToGrid w:val="0"/>
        <w:spacing w:line="384" w:lineRule="auto"/>
        <w:ind w:firstLine="420" w:firstLineChars="200"/>
        <w:textAlignment w:val="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1. 乙方逾期提供服务或交付服务成果的，每日向甲方支付千分之六违约金。逾期超过约定日期 10个工作日不能提交题案报告的， 甲方可解除本合同。</w:t>
      </w:r>
    </w:p>
    <w:p w14:paraId="100D8F3C">
      <w:pPr>
        <w:keepNext w:val="0"/>
        <w:keepLines w:val="0"/>
        <w:pageBreakBefore w:val="0"/>
        <w:widowControl/>
        <w:kinsoku/>
        <w:wordWrap/>
        <w:overflowPunct/>
        <w:topLinePunct w:val="0"/>
        <w:bidi w:val="0"/>
        <w:adjustRightInd/>
        <w:snapToGrid w:val="0"/>
        <w:spacing w:line="384" w:lineRule="auto"/>
        <w:ind w:firstLine="420" w:firstLineChars="200"/>
        <w:textAlignment w:val="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2. 因乙方逾期提交题案报告或因其他违约行为导致甲方解除合同的，并且乙方应向甲方另行支付合同金额 5%的违约金，如造成甲方损失超过违约金的，超出部分由乙方继续承担赔偿责任。</w:t>
      </w:r>
    </w:p>
    <w:p w14:paraId="28875A4D">
      <w:pPr>
        <w:keepNext w:val="0"/>
        <w:keepLines w:val="0"/>
        <w:pageBreakBefore w:val="0"/>
        <w:widowControl/>
        <w:kinsoku/>
        <w:wordWrap/>
        <w:overflowPunct/>
        <w:topLinePunct w:val="0"/>
        <w:bidi w:val="0"/>
        <w:adjustRightInd/>
        <w:snapToGrid w:val="0"/>
        <w:spacing w:line="384" w:lineRule="auto"/>
        <w:ind w:firstLine="420" w:firstLineChars="200"/>
        <w:textAlignment w:val="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3.合同期间因政策原因导致合同无法再履行，采购人有权终止合同，双方各不承担责任。</w:t>
      </w:r>
    </w:p>
    <w:p w14:paraId="439BFFA5">
      <w:pPr>
        <w:pStyle w:val="10"/>
        <w:keepNext w:val="0"/>
        <w:keepLines w:val="0"/>
        <w:pageBreakBefore w:val="0"/>
        <w:widowControl w:val="0"/>
        <w:kinsoku/>
        <w:wordWrap/>
        <w:overflowPunct/>
        <w:topLinePunct w:val="0"/>
        <w:autoSpaceDE/>
        <w:autoSpaceDN/>
        <w:bidi w:val="0"/>
        <w:adjustRightInd/>
        <w:snapToGrid w:val="0"/>
        <w:spacing w:before="0" w:after="0" w:line="384" w:lineRule="auto"/>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十</w:t>
      </w:r>
      <w:r>
        <w:rPr>
          <w:rFonts w:hint="eastAsia" w:hAnsi="宋体" w:cs="宋体"/>
          <w:b/>
          <w:sz w:val="21"/>
          <w:szCs w:val="21"/>
          <w:highlight w:val="none"/>
          <w:lang w:val="en-US" w:eastAsia="zh-CN"/>
        </w:rPr>
        <w:t>一</w:t>
      </w:r>
      <w:r>
        <w:rPr>
          <w:rFonts w:hint="eastAsia" w:ascii="宋体" w:hAnsi="宋体" w:eastAsia="宋体" w:cs="宋体"/>
          <w:b/>
          <w:sz w:val="21"/>
          <w:szCs w:val="21"/>
          <w:highlight w:val="none"/>
          <w:lang w:val="en-US" w:eastAsia="zh-CN"/>
        </w:rPr>
        <w:t>、</w:t>
      </w:r>
      <w:r>
        <w:rPr>
          <w:rFonts w:hint="eastAsia" w:ascii="宋体" w:hAnsi="宋体" w:eastAsia="宋体" w:cs="宋体"/>
          <w:b/>
          <w:sz w:val="21"/>
          <w:szCs w:val="21"/>
          <w:highlight w:val="none"/>
        </w:rPr>
        <w:t>不可抗力事件处理</w:t>
      </w:r>
    </w:p>
    <w:p w14:paraId="4FC79B78">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1.在合同有效期内，任何一方因不可抗力事件导致不能履行合同，则合同履行期可延长，其延长期与不可抗力影响期相同。</w:t>
      </w:r>
    </w:p>
    <w:p w14:paraId="7D73688E">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2.不可抗力事件发生后，应立即通知对方，并寄送有关权威机构出具的证明。</w:t>
      </w:r>
    </w:p>
    <w:p w14:paraId="2B5CAE9E">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3.不可抗力事件延续120天以上，双方应通过友好协商，确定是否继续履行合同。</w:t>
      </w:r>
    </w:p>
    <w:p w14:paraId="18E7702F">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十</w:t>
      </w:r>
      <w:r>
        <w:rPr>
          <w:rFonts w:hint="eastAsia" w:hAnsi="宋体" w:cs="宋体"/>
          <w:b/>
          <w:bCs/>
          <w:sz w:val="21"/>
          <w:szCs w:val="21"/>
          <w:highlight w:val="none"/>
          <w:lang w:val="en-US" w:eastAsia="zh-CN"/>
        </w:rPr>
        <w:t>二</w:t>
      </w:r>
      <w:r>
        <w:rPr>
          <w:rFonts w:hint="eastAsia" w:ascii="宋体" w:hAnsi="宋体" w:eastAsia="宋体" w:cs="宋体"/>
          <w:b/>
          <w:bCs/>
          <w:sz w:val="21"/>
          <w:szCs w:val="21"/>
          <w:highlight w:val="none"/>
        </w:rPr>
        <w:t>、诉讼</w:t>
      </w:r>
    </w:p>
    <w:p w14:paraId="75D1144C">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1．合同在履行过程中发生争议时，甲方与乙方及时协商解决。</w:t>
      </w:r>
    </w:p>
    <w:p w14:paraId="59AB5CD4">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2．在履行本合同过程中出现的争议双方应友好协商解决；协商不成的，按下列第 （1） 种方式解决：</w:t>
      </w:r>
    </w:p>
    <w:p w14:paraId="6ABC8D48">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（1）向</w:t>
      </w:r>
      <w:r>
        <w:rPr>
          <w:rFonts w:hint="eastAsia" w:ascii="宋体" w:hAnsi="宋体" w:eastAsia="宋体" w:cs="宋体"/>
          <w:sz w:val="21"/>
          <w:szCs w:val="21"/>
          <w:highlight w:val="none"/>
          <w:u w:val="single"/>
          <w:lang w:val="en-US" w:eastAsia="zh-CN"/>
        </w:rPr>
        <w:t xml:space="preserve">    绍兴市    </w:t>
      </w:r>
      <w:r>
        <w:rPr>
          <w:rFonts w:hint="eastAsia" w:ascii="宋体" w:hAnsi="宋体" w:eastAsia="宋体" w:cs="宋体"/>
          <w:sz w:val="21"/>
          <w:szCs w:val="21"/>
          <w:highlight w:val="none"/>
          <w:lang w:val="en-US" w:eastAsia="zh-CN"/>
        </w:rPr>
        <w:t>仲裁委员会申请仲裁；</w:t>
      </w:r>
    </w:p>
    <w:p w14:paraId="2F284920">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（2）向 </w:t>
      </w:r>
      <w:r>
        <w:rPr>
          <w:rFonts w:hint="eastAsia" w:ascii="宋体" w:hAnsi="宋体" w:eastAsia="宋体" w:cs="宋体"/>
          <w:sz w:val="21"/>
          <w:szCs w:val="21"/>
          <w:highlight w:val="none"/>
          <w:u w:val="single"/>
          <w:lang w:val="en-US" w:eastAsia="zh-CN"/>
        </w:rPr>
        <w:t xml:space="preserve">   嵊州市    </w:t>
      </w:r>
      <w:r>
        <w:rPr>
          <w:rFonts w:hint="eastAsia" w:ascii="宋体" w:hAnsi="宋体" w:eastAsia="宋体" w:cs="宋体"/>
          <w:sz w:val="21"/>
          <w:szCs w:val="21"/>
          <w:highlight w:val="none"/>
          <w:lang w:val="en-US" w:eastAsia="zh-CN"/>
        </w:rPr>
        <w:t>人民法院起诉。</w:t>
      </w:r>
    </w:p>
    <w:p w14:paraId="20825ABE">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十</w:t>
      </w:r>
      <w:r>
        <w:rPr>
          <w:rFonts w:hint="eastAsia"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合同生效及其他</w:t>
      </w:r>
    </w:p>
    <w:p w14:paraId="61A06587">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1.合同经甲、乙双方签名并加盖单位公章后生效。</w:t>
      </w:r>
    </w:p>
    <w:p w14:paraId="184CA1DA">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2.采购文件、投标文件与本合同具有同等法律效力。</w:t>
      </w:r>
    </w:p>
    <w:p w14:paraId="118C42BD">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3.本合同未尽事宜，遵照《民法典》有关条文执行。</w:t>
      </w:r>
    </w:p>
    <w:p w14:paraId="5AA0FB98">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4.本合同一式五份，具有同等法律效力，甲、乙双方各执二份，采购代理机构一份。</w:t>
      </w:r>
    </w:p>
    <w:p w14:paraId="7A20AAB7">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20" w:firstLineChars="200"/>
        <w:textAlignment w:val="auto"/>
        <w:rPr>
          <w:rFonts w:hint="eastAsia" w:ascii="宋体" w:hAnsi="宋体" w:eastAsia="宋体" w:cs="宋体"/>
          <w:sz w:val="21"/>
          <w:szCs w:val="21"/>
          <w:highlight w:val="none"/>
        </w:rPr>
      </w:pPr>
    </w:p>
    <w:p w14:paraId="7D32D8E0">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20" w:firstLineChars="200"/>
        <w:textAlignment w:val="auto"/>
        <w:rPr>
          <w:rFonts w:hint="eastAsia" w:ascii="宋体" w:hAnsi="宋体" w:eastAsia="宋体" w:cs="宋体"/>
          <w:sz w:val="21"/>
          <w:szCs w:val="21"/>
          <w:highlight w:val="none"/>
        </w:rPr>
      </w:pPr>
    </w:p>
    <w:p w14:paraId="54C1309E">
      <w:pPr>
        <w:pStyle w:val="10"/>
        <w:keepNext w:val="0"/>
        <w:keepLines w:val="0"/>
        <w:pageBreakBefore w:val="0"/>
        <w:widowControl w:val="0"/>
        <w:kinsoku/>
        <w:wordWrap/>
        <w:overflowPunct/>
        <w:topLinePunct w:val="0"/>
        <w:autoSpaceDE/>
        <w:autoSpaceDN/>
        <w:bidi w:val="0"/>
        <w:adjustRightInd/>
        <w:snapToGrid w:val="0"/>
        <w:spacing w:before="0" w:after="0" w:line="384" w:lineRule="auto"/>
        <w:ind w:firstLine="210" w:firstLineChars="100"/>
        <w:textAlignment w:val="auto"/>
        <w:rPr>
          <w:rStyle w:val="30"/>
          <w:rFonts w:hint="eastAsia" w:ascii="宋体" w:hAnsi="宋体" w:eastAsia="宋体" w:cs="宋体"/>
          <w:sz w:val="21"/>
          <w:szCs w:val="21"/>
          <w:highlight w:val="none"/>
        </w:rPr>
      </w:pPr>
      <w:r>
        <w:rPr>
          <w:rStyle w:val="30"/>
          <w:rFonts w:hint="eastAsia" w:ascii="宋体" w:hAnsi="宋体" w:eastAsia="宋体" w:cs="宋体"/>
          <w:sz w:val="21"/>
          <w:szCs w:val="21"/>
          <w:highlight w:val="none"/>
        </w:rPr>
        <w:t>甲方（盖章）：                    　　      乙方（盖章）：</w:t>
      </w:r>
    </w:p>
    <w:p w14:paraId="3DE30BB8">
      <w:pPr>
        <w:pStyle w:val="31"/>
        <w:keepNext w:val="0"/>
        <w:keepLines w:val="0"/>
        <w:pageBreakBefore w:val="0"/>
        <w:kinsoku/>
        <w:wordWrap/>
        <w:overflowPunct/>
        <w:topLinePunct w:val="0"/>
        <w:bidi w:val="0"/>
        <w:adjustRightInd/>
        <w:snapToGrid w:val="0"/>
        <w:spacing w:after="160" w:line="384" w:lineRule="auto"/>
        <w:ind w:left="-21" w:leftChars="-85" w:hanging="157"/>
        <w:textAlignment w:val="auto"/>
        <w:rPr>
          <w:rStyle w:val="30"/>
          <w:rFonts w:hint="eastAsia" w:ascii="宋体" w:hAnsi="宋体" w:eastAsia="宋体" w:cs="宋体"/>
          <w:sz w:val="21"/>
          <w:szCs w:val="21"/>
          <w:highlight w:val="none"/>
        </w:rPr>
      </w:pPr>
      <w:r>
        <w:rPr>
          <w:rStyle w:val="30"/>
          <w:rFonts w:hint="eastAsia" w:ascii="宋体" w:hAnsi="宋体" w:eastAsia="宋体" w:cs="宋体"/>
          <w:sz w:val="21"/>
          <w:szCs w:val="21"/>
          <w:highlight w:val="none"/>
        </w:rPr>
        <w:t xml:space="preserve">    法定代表人或受委托人（签字）：              法定代表人或受委托人（签字） ：      </w:t>
      </w:r>
    </w:p>
    <w:p w14:paraId="1F14467A">
      <w:pPr>
        <w:pStyle w:val="31"/>
        <w:keepNext w:val="0"/>
        <w:keepLines w:val="0"/>
        <w:pageBreakBefore w:val="0"/>
        <w:kinsoku/>
        <w:wordWrap/>
        <w:overflowPunct/>
        <w:topLinePunct w:val="0"/>
        <w:bidi w:val="0"/>
        <w:adjustRightInd/>
        <w:snapToGrid w:val="0"/>
        <w:spacing w:after="160" w:line="384" w:lineRule="auto"/>
        <w:ind w:left="-21" w:leftChars="-85" w:hanging="157"/>
        <w:textAlignment w:val="auto"/>
        <w:rPr>
          <w:rStyle w:val="30"/>
          <w:rFonts w:hint="eastAsia" w:ascii="宋体" w:hAnsi="宋体" w:eastAsia="宋体" w:cs="宋体"/>
          <w:sz w:val="21"/>
          <w:szCs w:val="21"/>
          <w:highlight w:val="none"/>
        </w:rPr>
      </w:pPr>
      <w:r>
        <w:rPr>
          <w:rStyle w:val="30"/>
          <w:rFonts w:hint="eastAsia" w:ascii="宋体" w:hAnsi="宋体" w:eastAsia="宋体" w:cs="宋体"/>
          <w:sz w:val="21"/>
          <w:szCs w:val="21"/>
          <w:highlight w:val="none"/>
        </w:rPr>
        <w:t xml:space="preserve">    日期：                                      日期：  </w:t>
      </w:r>
    </w:p>
    <w:p w14:paraId="49578A7A">
      <w:pPr>
        <w:pStyle w:val="31"/>
        <w:keepNext w:val="0"/>
        <w:keepLines w:val="0"/>
        <w:pageBreakBefore w:val="0"/>
        <w:kinsoku/>
        <w:wordWrap/>
        <w:overflowPunct/>
        <w:topLinePunct w:val="0"/>
        <w:bidi w:val="0"/>
        <w:adjustRightInd/>
        <w:snapToGrid w:val="0"/>
        <w:spacing w:after="160" w:line="384" w:lineRule="auto"/>
        <w:ind w:firstLine="210" w:firstLineChars="100"/>
        <w:textAlignment w:val="auto"/>
        <w:rPr>
          <w:rStyle w:val="30"/>
          <w:rFonts w:hint="eastAsia" w:ascii="宋体" w:hAnsi="宋体" w:eastAsia="宋体" w:cs="宋体"/>
          <w:sz w:val="21"/>
          <w:szCs w:val="21"/>
          <w:highlight w:val="none"/>
        </w:rPr>
      </w:pPr>
      <w:r>
        <w:rPr>
          <w:rStyle w:val="30"/>
          <w:rFonts w:hint="eastAsia" w:ascii="宋体" w:hAnsi="宋体" w:eastAsia="宋体" w:cs="宋体"/>
          <w:sz w:val="21"/>
          <w:szCs w:val="21"/>
          <w:highlight w:val="none"/>
        </w:rPr>
        <w:t>地址：                                       地址：　　</w:t>
      </w:r>
    </w:p>
    <w:p w14:paraId="5FBC74B5">
      <w:pPr>
        <w:pStyle w:val="31"/>
        <w:keepNext w:val="0"/>
        <w:keepLines w:val="0"/>
        <w:pageBreakBefore w:val="0"/>
        <w:kinsoku/>
        <w:wordWrap/>
        <w:overflowPunct/>
        <w:topLinePunct w:val="0"/>
        <w:bidi w:val="0"/>
        <w:adjustRightInd/>
        <w:snapToGrid w:val="0"/>
        <w:spacing w:after="160" w:line="384" w:lineRule="auto"/>
        <w:ind w:left="-21" w:leftChars="-85" w:hanging="157"/>
        <w:textAlignment w:val="auto"/>
        <w:rPr>
          <w:rStyle w:val="30"/>
          <w:rFonts w:hint="eastAsia" w:ascii="宋体" w:hAnsi="宋体" w:eastAsia="宋体" w:cs="宋体"/>
          <w:sz w:val="21"/>
          <w:szCs w:val="21"/>
          <w:highlight w:val="none"/>
        </w:rPr>
      </w:pPr>
      <w:r>
        <w:rPr>
          <w:rStyle w:val="30"/>
          <w:rFonts w:hint="eastAsia" w:ascii="宋体" w:hAnsi="宋体" w:eastAsia="宋体" w:cs="宋体"/>
          <w:sz w:val="21"/>
          <w:szCs w:val="21"/>
          <w:highlight w:val="none"/>
        </w:rPr>
        <w:t xml:space="preserve">    邮编：                                      邮编：　</w:t>
      </w:r>
    </w:p>
    <w:p w14:paraId="2EB0C8EA">
      <w:pPr>
        <w:pStyle w:val="31"/>
        <w:keepNext w:val="0"/>
        <w:keepLines w:val="0"/>
        <w:pageBreakBefore w:val="0"/>
        <w:kinsoku/>
        <w:wordWrap/>
        <w:overflowPunct/>
        <w:topLinePunct w:val="0"/>
        <w:bidi w:val="0"/>
        <w:adjustRightInd/>
        <w:snapToGrid w:val="0"/>
        <w:spacing w:after="160" w:line="384" w:lineRule="auto"/>
        <w:ind w:left="-21" w:leftChars="-85" w:hanging="157"/>
        <w:textAlignment w:val="auto"/>
        <w:rPr>
          <w:rStyle w:val="30"/>
          <w:rFonts w:hint="eastAsia" w:ascii="宋体" w:hAnsi="宋体" w:eastAsia="宋体" w:cs="宋体"/>
          <w:sz w:val="21"/>
          <w:szCs w:val="21"/>
          <w:highlight w:val="none"/>
        </w:rPr>
      </w:pPr>
      <w:r>
        <w:rPr>
          <w:rStyle w:val="30"/>
          <w:rFonts w:hint="eastAsia" w:ascii="宋体" w:hAnsi="宋体" w:eastAsia="宋体" w:cs="宋体"/>
          <w:sz w:val="21"/>
          <w:szCs w:val="21"/>
          <w:highlight w:val="none"/>
        </w:rPr>
        <w:t xml:space="preserve">    电话：                                      电话：　</w:t>
      </w:r>
    </w:p>
    <w:p w14:paraId="6318A773">
      <w:pPr>
        <w:pStyle w:val="31"/>
        <w:keepNext w:val="0"/>
        <w:keepLines w:val="0"/>
        <w:pageBreakBefore w:val="0"/>
        <w:kinsoku/>
        <w:wordWrap/>
        <w:overflowPunct/>
        <w:topLinePunct w:val="0"/>
        <w:bidi w:val="0"/>
        <w:adjustRightInd/>
        <w:snapToGrid w:val="0"/>
        <w:spacing w:after="160" w:line="384" w:lineRule="auto"/>
        <w:ind w:left="-21" w:leftChars="-85" w:hanging="157"/>
        <w:textAlignment w:val="auto"/>
        <w:rPr>
          <w:rStyle w:val="30"/>
          <w:rFonts w:hint="eastAsia" w:ascii="宋体" w:hAnsi="宋体" w:eastAsia="宋体" w:cs="宋体"/>
          <w:sz w:val="21"/>
          <w:szCs w:val="21"/>
          <w:highlight w:val="none"/>
        </w:rPr>
      </w:pPr>
      <w:r>
        <w:rPr>
          <w:rStyle w:val="30"/>
          <w:rFonts w:hint="eastAsia" w:ascii="宋体" w:hAnsi="宋体" w:eastAsia="宋体" w:cs="宋体"/>
          <w:sz w:val="21"/>
          <w:szCs w:val="21"/>
          <w:highlight w:val="none"/>
        </w:rPr>
        <w:t xml:space="preserve">    传真：                                      传真：　</w:t>
      </w:r>
    </w:p>
    <w:p w14:paraId="33AFF7CC">
      <w:pPr>
        <w:pStyle w:val="31"/>
        <w:keepNext w:val="0"/>
        <w:keepLines w:val="0"/>
        <w:pageBreakBefore w:val="0"/>
        <w:kinsoku/>
        <w:wordWrap/>
        <w:overflowPunct/>
        <w:topLinePunct w:val="0"/>
        <w:bidi w:val="0"/>
        <w:adjustRightInd/>
        <w:snapToGrid w:val="0"/>
        <w:spacing w:after="160" w:line="384" w:lineRule="auto"/>
        <w:ind w:left="-21" w:leftChars="-85" w:hanging="157"/>
        <w:textAlignment w:val="auto"/>
        <w:rPr>
          <w:rStyle w:val="30"/>
          <w:rFonts w:hint="eastAsia" w:ascii="宋体" w:hAnsi="宋体" w:eastAsia="宋体" w:cs="宋体"/>
          <w:sz w:val="21"/>
          <w:szCs w:val="21"/>
          <w:highlight w:val="none"/>
        </w:rPr>
      </w:pPr>
      <w:r>
        <w:rPr>
          <w:rStyle w:val="30"/>
          <w:rFonts w:hint="eastAsia" w:ascii="宋体" w:hAnsi="宋体" w:eastAsia="宋体" w:cs="宋体"/>
          <w:sz w:val="21"/>
          <w:szCs w:val="21"/>
          <w:highlight w:val="none"/>
        </w:rPr>
        <w:t xml:space="preserve">    开户银行：                                  开户银行：</w:t>
      </w:r>
    </w:p>
    <w:p w14:paraId="45F9E3D1">
      <w:pPr>
        <w:pStyle w:val="31"/>
        <w:keepNext w:val="0"/>
        <w:keepLines w:val="0"/>
        <w:pageBreakBefore w:val="0"/>
        <w:kinsoku/>
        <w:wordWrap/>
        <w:overflowPunct/>
        <w:topLinePunct w:val="0"/>
        <w:bidi w:val="0"/>
        <w:adjustRightInd/>
        <w:snapToGrid w:val="0"/>
        <w:spacing w:after="160" w:line="384" w:lineRule="auto"/>
        <w:ind w:firstLine="210" w:firstLineChars="100"/>
        <w:textAlignment w:val="auto"/>
        <w:rPr>
          <w:rStyle w:val="30"/>
          <w:rFonts w:hint="eastAsia" w:ascii="宋体" w:hAnsi="宋体" w:eastAsia="宋体" w:cs="宋体"/>
          <w:sz w:val="21"/>
          <w:szCs w:val="21"/>
          <w:highlight w:val="none"/>
        </w:rPr>
      </w:pPr>
      <w:r>
        <w:rPr>
          <w:rStyle w:val="30"/>
          <w:rFonts w:hint="eastAsia" w:ascii="宋体" w:hAnsi="宋体" w:eastAsia="宋体" w:cs="宋体"/>
          <w:sz w:val="21"/>
          <w:szCs w:val="21"/>
          <w:highlight w:val="none"/>
        </w:rPr>
        <w:t>帐号：                                      帐号：</w:t>
      </w:r>
    </w:p>
    <w:p w14:paraId="0E3F3F1E">
      <w:pPr>
        <w:pStyle w:val="10"/>
        <w:keepNext w:val="0"/>
        <w:keepLines w:val="0"/>
        <w:pageBreakBefore w:val="0"/>
        <w:kinsoku/>
        <w:wordWrap/>
        <w:overflowPunct/>
        <w:topLinePunct w:val="0"/>
        <w:bidi w:val="0"/>
        <w:adjustRightInd/>
        <w:spacing w:line="384" w:lineRule="auto"/>
        <w:textAlignment w:val="auto"/>
        <w:rPr>
          <w:rFonts w:hint="eastAsia" w:ascii="宋体" w:hAnsi="宋体" w:eastAsia="宋体" w:cs="宋体"/>
          <w:b/>
          <w:bCs/>
          <w:sz w:val="21"/>
          <w:szCs w:val="21"/>
          <w:highlight w:val="none"/>
        </w:rPr>
        <w:sectPr>
          <w:headerReference r:id="rId9" w:type="first"/>
          <w:footerReference r:id="rId11" w:type="first"/>
          <w:headerReference r:id="rId8" w:type="default"/>
          <w:footerReference r:id="rId10" w:type="default"/>
          <w:pgSz w:w="11906" w:h="16838"/>
          <w:pgMar w:top="1276" w:right="1248" w:bottom="1247" w:left="1418" w:header="851" w:footer="992" w:gutter="0"/>
          <w:pgNumType w:fmt="decimal"/>
          <w:cols w:space="720" w:num="1"/>
          <w:titlePg/>
          <w:docGrid w:linePitch="312" w:charSpace="0"/>
        </w:sectPr>
      </w:pPr>
      <w:r>
        <w:rPr>
          <w:rFonts w:hint="eastAsia" w:ascii="宋体" w:hAnsi="宋体" w:eastAsia="宋体" w:cs="宋体"/>
          <w:b/>
          <w:bCs/>
          <w:sz w:val="21"/>
          <w:szCs w:val="21"/>
          <w:highlight w:val="none"/>
        </w:rPr>
        <w:t>注：本合同样本仅作参考，采购人与中标供应商可根据实际项目的情况进行必要的修改。</w:t>
      </w:r>
    </w:p>
    <w:p w14:paraId="4F1EDF0B">
      <w:pPr>
        <w:pStyle w:val="2"/>
        <w:numPr>
          <w:ilvl w:val="0"/>
          <w:numId w:val="14"/>
        </w:numPr>
        <w:rPr>
          <w:rFonts w:hint="eastAsia" w:ascii="宋体" w:hAnsi="宋体" w:eastAsia="宋体" w:cs="宋体"/>
          <w:b/>
          <w:bCs/>
          <w:color w:val="auto"/>
          <w:sz w:val="28"/>
          <w:szCs w:val="28"/>
          <w:highlight w:val="none"/>
        </w:rPr>
      </w:pPr>
      <w:bookmarkStart w:id="92" w:name="_Toc466"/>
      <w:r>
        <w:rPr>
          <w:rFonts w:hint="eastAsia" w:ascii="宋体" w:hAnsi="宋体" w:eastAsia="宋体" w:cs="宋体"/>
          <w:b/>
          <w:bCs/>
          <w:color w:val="auto"/>
          <w:sz w:val="28"/>
          <w:szCs w:val="28"/>
          <w:highlight w:val="none"/>
        </w:rPr>
        <w:t>磋商响应文件格式附件</w:t>
      </w:r>
      <w:bookmarkEnd w:id="92"/>
    </w:p>
    <w:p w14:paraId="409C7654">
      <w:pPr>
        <w:snapToGrid w:val="0"/>
        <w:spacing w:before="50" w:after="120" w:afterLines="5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附件1：</w:t>
      </w:r>
    </w:p>
    <w:p w14:paraId="5AA85145">
      <w:pPr>
        <w:snapToGrid w:val="0"/>
        <w:spacing w:before="50" w:after="5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磋商函</w:t>
      </w:r>
    </w:p>
    <w:p w14:paraId="561A349C">
      <w:pPr>
        <w:snapToGrid w:val="0"/>
        <w:spacing w:before="120" w:beforeLines="50" w:after="50" w:line="5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 </w:t>
      </w:r>
    </w:p>
    <w:p w14:paraId="5B6BA3A2">
      <w:pPr>
        <w:snapToGrid w:val="0"/>
        <w:spacing w:before="120" w:beforeLines="50" w:after="50" w:line="4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致：</w:t>
      </w:r>
      <w:r>
        <w:rPr>
          <w:rFonts w:hint="eastAsia" w:ascii="宋体" w:hAnsi="宋体" w:cs="宋体"/>
          <w:color w:val="auto"/>
          <w:szCs w:val="21"/>
          <w:highlight w:val="none"/>
          <w:lang w:eastAsia="zh-CN"/>
        </w:rPr>
        <w:t>嵊州小吃产业有限公司</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禾泽都林设计集团有限公司</w:t>
      </w:r>
    </w:p>
    <w:p w14:paraId="51FE69FE">
      <w:pPr>
        <w:snapToGrid w:val="0"/>
        <w:spacing w:before="120" w:beforeLines="50" w:after="50"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（磋商响应方名称）</w:t>
      </w:r>
      <w:r>
        <w:rPr>
          <w:rFonts w:hint="eastAsia" w:ascii="宋体" w:hAnsi="宋体" w:eastAsia="宋体" w:cs="宋体"/>
          <w:color w:val="auto"/>
          <w:szCs w:val="21"/>
          <w:highlight w:val="none"/>
        </w:rPr>
        <w:t>系中华人民共和国合法企业，经营地址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A015264">
      <w:pPr>
        <w:snapToGrid w:val="0"/>
        <w:spacing w:before="120" w:beforeLines="50" w:after="50"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w:t>
      </w:r>
      <w:r>
        <w:rPr>
          <w:rFonts w:hint="eastAsia" w:ascii="宋体" w:hAnsi="宋体" w:eastAsia="宋体" w:cs="宋体"/>
          <w:color w:val="auto"/>
          <w:szCs w:val="21"/>
          <w:highlight w:val="none"/>
          <w:u w:val="single"/>
        </w:rPr>
        <w:t>（姓名）</w:t>
      </w: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（磋商响应方名称）</w:t>
      </w:r>
      <w:r>
        <w:rPr>
          <w:rFonts w:hint="eastAsia" w:ascii="宋体" w:hAnsi="宋体" w:eastAsia="宋体" w:cs="宋体"/>
          <w:color w:val="auto"/>
          <w:szCs w:val="21"/>
          <w:highlight w:val="none"/>
        </w:rPr>
        <w:t>的法定代表人，我方愿意参加贵方组织的</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（编号为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的磋商响应，为此，我方就本次磋商响应有关事项郑重声明如下：</w:t>
      </w:r>
    </w:p>
    <w:p w14:paraId="5BAF6E42">
      <w:pPr>
        <w:snapToGrid w:val="0"/>
        <w:spacing w:before="120" w:beforeLines="50" w:after="50"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1.我方已详细审查全部磋商文件，同意竞争性磋商文件的各项要求。</w:t>
      </w:r>
    </w:p>
    <w:p w14:paraId="582F340C">
      <w:pPr>
        <w:snapToGrid w:val="0"/>
        <w:spacing w:before="120" w:beforeLines="50" w:after="50"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2.我方向贵方提交的所有磋商响应文件、资料都是正确和真实的。</w:t>
      </w:r>
    </w:p>
    <w:p w14:paraId="16598364">
      <w:pPr>
        <w:snapToGrid w:val="0"/>
        <w:spacing w:before="120" w:beforeLines="50" w:after="50"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3.若成交，我方将按磋商文件规定履行合同责任和义务。</w:t>
      </w:r>
    </w:p>
    <w:p w14:paraId="0364CBA1">
      <w:pPr>
        <w:snapToGrid w:val="0"/>
        <w:spacing w:before="120" w:beforeLines="50" w:after="50"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4.我方不是采购人的附属机构。</w:t>
      </w:r>
    </w:p>
    <w:p w14:paraId="4F8B107A">
      <w:pPr>
        <w:snapToGrid w:val="0"/>
        <w:spacing w:before="120" w:beforeLines="50" w:after="50"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5.磋商响应书自磋商日起有效期为</w:t>
      </w:r>
      <w:r>
        <w:rPr>
          <w:rFonts w:hint="eastAsia" w:ascii="宋体" w:hAnsi="宋体" w:eastAsia="宋体" w:cs="宋体"/>
          <w:color w:val="auto"/>
          <w:szCs w:val="21"/>
          <w:highlight w:val="none"/>
          <w:u w:val="single"/>
        </w:rPr>
        <w:t>90</w:t>
      </w:r>
      <w:r>
        <w:rPr>
          <w:rFonts w:hint="eastAsia" w:ascii="宋体" w:hAnsi="宋体" w:eastAsia="宋体" w:cs="宋体"/>
          <w:color w:val="auto"/>
          <w:szCs w:val="21"/>
          <w:highlight w:val="none"/>
        </w:rPr>
        <w:t>天。</w:t>
      </w:r>
    </w:p>
    <w:p w14:paraId="4BBE56C3">
      <w:pPr>
        <w:snapToGrid w:val="0"/>
        <w:spacing w:before="120" w:beforeLines="50" w:after="50"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6.以上事项如有虚假或隐瞒，我方愿意承担一切后果，并不再寻求任何旨在减轻或免除法律责任的辩解。</w:t>
      </w:r>
    </w:p>
    <w:p w14:paraId="7B0DB9AA">
      <w:pPr>
        <w:pStyle w:val="9"/>
        <w:snapToGrid w:val="0"/>
        <w:spacing w:line="460" w:lineRule="exact"/>
        <w:ind w:left="716" w:leftChars="150" w:hanging="401" w:hangingChars="19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4CFA4C62">
      <w:pPr>
        <w:pStyle w:val="32"/>
        <w:snapToGrid w:val="0"/>
        <w:spacing w:before="120" w:beforeLines="50" w:line="460" w:lineRule="exact"/>
        <w:ind w:firstLine="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491ACB32">
      <w:pPr>
        <w:snapToGrid w:val="0"/>
        <w:spacing w:before="120" w:beforeLines="50" w:after="50" w:line="460" w:lineRule="exact"/>
        <w:ind w:right="600" w:firstLine="105" w:firstLineChars="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法定代表人签名或盖章：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14:paraId="122E3C5A">
      <w:pPr>
        <w:snapToGrid w:val="0"/>
        <w:spacing w:before="120" w:beforeLines="50" w:after="50" w:line="460" w:lineRule="exact"/>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磋商响应方全称（公章）：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3F016556">
      <w:pPr>
        <w:snapToGrid w:val="0"/>
        <w:spacing w:before="120" w:beforeLines="50" w:after="50" w:line="460" w:lineRule="exact"/>
        <w:ind w:right="600" w:firstLine="1890" w:firstLineChars="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01867D6C">
      <w:pPr>
        <w:spacing w:line="276" w:lineRule="auto"/>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b/>
          <w:color w:val="auto"/>
          <w:szCs w:val="21"/>
          <w:highlight w:val="none"/>
        </w:rPr>
        <w:t>附件2：</w:t>
      </w:r>
    </w:p>
    <w:p w14:paraId="15AC5546">
      <w:pPr>
        <w:spacing w:before="120" w:beforeLines="50" w:after="720" w:line="460" w:lineRule="exact"/>
        <w:ind w:right="601" w:firstLine="150" w:firstLineChars="71"/>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符合参加采购活动应当具备的一般条件的承诺函</w:t>
      </w:r>
    </w:p>
    <w:p w14:paraId="0433BE03">
      <w:pPr>
        <w:spacing w:line="360" w:lineRule="auto"/>
        <w:rPr>
          <w:rFonts w:hint="eastAsia" w:ascii="宋体" w:hAnsi="宋体" w:eastAsia="宋体" w:cs="宋体"/>
          <w:b/>
          <w:color w:val="auto"/>
          <w:kern w:val="0"/>
          <w:szCs w:val="21"/>
          <w:highlight w:val="none"/>
          <w:u w:val="single"/>
        </w:rPr>
      </w:pPr>
      <w:r>
        <w:rPr>
          <w:rFonts w:hint="eastAsia" w:ascii="宋体" w:hAnsi="宋体" w:cs="宋体"/>
          <w:b/>
          <w:color w:val="auto"/>
          <w:kern w:val="0"/>
          <w:szCs w:val="21"/>
          <w:highlight w:val="none"/>
          <w:u w:val="single"/>
          <w:lang w:eastAsia="zh-CN"/>
        </w:rPr>
        <w:t>嵊州小吃产业有限公司</w:t>
      </w:r>
      <w:r>
        <w:rPr>
          <w:rFonts w:hint="eastAsia" w:ascii="宋体" w:hAnsi="宋体" w:eastAsia="宋体" w:cs="宋体"/>
          <w:b/>
          <w:color w:val="auto"/>
          <w:kern w:val="0"/>
          <w:szCs w:val="21"/>
          <w:highlight w:val="none"/>
          <w:u w:val="single"/>
        </w:rPr>
        <w:t>、</w:t>
      </w:r>
      <w:r>
        <w:rPr>
          <w:rFonts w:hint="eastAsia" w:ascii="宋体" w:hAnsi="宋体" w:eastAsia="宋体" w:cs="宋体"/>
          <w:b/>
          <w:color w:val="auto"/>
          <w:kern w:val="0"/>
          <w:szCs w:val="21"/>
          <w:highlight w:val="none"/>
          <w:u w:val="single"/>
          <w:lang w:eastAsia="zh-CN"/>
        </w:rPr>
        <w:t>禾泽都林设计集团有限公司</w:t>
      </w:r>
      <w:r>
        <w:rPr>
          <w:rFonts w:hint="eastAsia" w:ascii="宋体" w:hAnsi="宋体" w:eastAsia="宋体" w:cs="宋体"/>
          <w:b/>
          <w:color w:val="auto"/>
          <w:kern w:val="0"/>
          <w:szCs w:val="21"/>
          <w:highlight w:val="none"/>
          <w:u w:val="single"/>
        </w:rPr>
        <w:t>：</w:t>
      </w:r>
    </w:p>
    <w:p w14:paraId="5E6A8DD4">
      <w:pPr>
        <w:spacing w:line="360" w:lineRule="auto"/>
        <w:ind w:firstLine="420" w:firstLineChars="200"/>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我方参与</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szCs w:val="21"/>
          <w:highlight w:val="none"/>
          <w:u w:val="single"/>
        </w:rPr>
        <w:t>（项目编号：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kern w:val="0"/>
          <w:szCs w:val="21"/>
          <w:highlight w:val="none"/>
        </w:rPr>
        <w:t>的采购活动，郑重承诺：</w:t>
      </w:r>
    </w:p>
    <w:p w14:paraId="73C9EEA8">
      <w:pPr>
        <w:spacing w:line="360" w:lineRule="auto"/>
        <w:ind w:firstLine="373" w:firstLineChars="177"/>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rPr>
        <w:t>一、具备《嵊州市市属国有企业货物和服务采购管理办法（试行）》第十七条规定的条件：</w:t>
      </w:r>
    </w:p>
    <w:p w14:paraId="73AB6CBC">
      <w:pPr>
        <w:spacing w:line="360" w:lineRule="auto"/>
        <w:ind w:firstLine="371" w:firstLineChars="17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1.具有独立承担民事责任的能力；</w:t>
      </w:r>
    </w:p>
    <w:p w14:paraId="0712F401">
      <w:pPr>
        <w:spacing w:line="360" w:lineRule="auto"/>
        <w:ind w:firstLine="371" w:firstLineChars="17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2.具有良好的商业信誉；</w:t>
      </w:r>
    </w:p>
    <w:p w14:paraId="3BDCEDD8">
      <w:pPr>
        <w:spacing w:line="360" w:lineRule="auto"/>
        <w:ind w:firstLine="371" w:firstLineChars="17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3.具有履行合同所必需的设备和专业技术，售后保障等能力；</w:t>
      </w:r>
    </w:p>
    <w:p w14:paraId="40C75801">
      <w:pPr>
        <w:spacing w:line="360" w:lineRule="auto"/>
        <w:ind w:firstLine="371" w:firstLineChars="17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4.有依法缴纳税收和社会保障资金的良好记录；</w:t>
      </w:r>
    </w:p>
    <w:p w14:paraId="001CEF2B">
      <w:pPr>
        <w:spacing w:line="360" w:lineRule="auto"/>
        <w:ind w:firstLine="371" w:firstLineChars="17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5.参加采购活动前三年内，没有重大违法记录，严重失信行为和行贿记录；</w:t>
      </w:r>
    </w:p>
    <w:p w14:paraId="44DC09B7">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6.法律、行政法规规定的其他条件</w:t>
      </w:r>
      <w:r>
        <w:rPr>
          <w:rFonts w:hint="eastAsia" w:ascii="宋体" w:hAnsi="宋体" w:eastAsia="宋体" w:cs="宋体"/>
          <w:color w:val="auto"/>
          <w:szCs w:val="21"/>
          <w:highlight w:val="none"/>
        </w:rPr>
        <w:t>。</w:t>
      </w:r>
    </w:p>
    <w:p w14:paraId="30CAC5A1">
      <w:pPr>
        <w:spacing w:line="360" w:lineRule="auto"/>
        <w:ind w:firstLine="373" w:firstLineChars="177"/>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rPr>
        <w:t>二、</w:t>
      </w:r>
      <w:r>
        <w:rPr>
          <w:rFonts w:hint="eastAsia" w:ascii="宋体" w:hAnsi="宋体" w:eastAsia="宋体" w:cs="宋体"/>
          <w:b/>
          <w:color w:val="auto"/>
          <w:kern w:val="0"/>
          <w:szCs w:val="21"/>
          <w:highlight w:val="none"/>
        </w:rPr>
        <w:t>未被“信用中国”（www.creditchina.gov.cn）、“中国政府采购网”（www.ccgp.gov.cn）列入失信被执行人名单、重大税收违法案件当事人名单、采购严重违法失信行为记录名单。</w:t>
      </w:r>
    </w:p>
    <w:p w14:paraId="71978824">
      <w:pPr>
        <w:spacing w:line="360" w:lineRule="auto"/>
        <w:ind w:firstLine="373" w:firstLineChars="177"/>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三、不存在以下情况：</w:t>
      </w:r>
    </w:p>
    <w:p w14:paraId="52F10220">
      <w:pPr>
        <w:snapToGrid w:val="0"/>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1.单位负责人为同一人或者存在直接控股、管理关系的不同供应商参加同一合同项下的采购活动的；</w:t>
      </w:r>
    </w:p>
    <w:p w14:paraId="241D4657">
      <w:pPr>
        <w:spacing w:line="360" w:lineRule="auto"/>
        <w:ind w:firstLine="371" w:firstLineChars="177"/>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2.为采购项目提供整体设计、规范编制或者项目管理、监理、检测等服务后再参加该采购项目的其他采购活动的。</w:t>
      </w:r>
    </w:p>
    <w:p w14:paraId="1ABB2FAD">
      <w:pPr>
        <w:spacing w:line="360" w:lineRule="auto"/>
        <w:ind w:firstLine="371" w:firstLineChars="177"/>
        <w:rPr>
          <w:rFonts w:hint="eastAsia" w:ascii="宋体" w:hAnsi="宋体" w:eastAsia="宋体" w:cs="宋体"/>
          <w:color w:val="auto"/>
          <w:szCs w:val="21"/>
          <w:highlight w:val="none"/>
        </w:rPr>
      </w:pPr>
    </w:p>
    <w:p w14:paraId="3DFF3670">
      <w:pPr>
        <w:spacing w:line="360" w:lineRule="auto"/>
        <w:ind w:firstLine="373" w:firstLineChars="177"/>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我方对上述声明的真实性负责。如有虚假，愿意承担相应责任，对此无任何异议。</w:t>
      </w:r>
    </w:p>
    <w:p w14:paraId="1EFB0F7D">
      <w:pPr>
        <w:ind w:right="-21" w:rightChars="-10" w:firstLine="4200" w:firstLineChars="2000"/>
        <w:rPr>
          <w:rFonts w:hint="eastAsia" w:ascii="宋体" w:hAnsi="宋体" w:eastAsia="宋体" w:cs="宋体"/>
          <w:color w:val="auto"/>
          <w:szCs w:val="21"/>
          <w:highlight w:val="none"/>
        </w:rPr>
      </w:pPr>
    </w:p>
    <w:p w14:paraId="4C8BCC00">
      <w:pPr>
        <w:ind w:right="-21" w:rightChars="-10" w:firstLine="4200" w:firstLineChars="2000"/>
        <w:rPr>
          <w:rFonts w:hint="eastAsia" w:ascii="宋体" w:hAnsi="宋体" w:eastAsia="宋体" w:cs="宋体"/>
          <w:color w:val="auto"/>
          <w:szCs w:val="21"/>
          <w:highlight w:val="none"/>
        </w:rPr>
      </w:pPr>
    </w:p>
    <w:p w14:paraId="08E98B6C">
      <w:pPr>
        <w:spacing w:line="360" w:lineRule="auto"/>
        <w:ind w:right="-21" w:rightChars="-10" w:firstLine="4200" w:firstLineChars="2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磋商响应方（盖章）：</w:t>
      </w:r>
    </w:p>
    <w:p w14:paraId="0513EB78">
      <w:pPr>
        <w:spacing w:line="360" w:lineRule="auto"/>
        <w:ind w:right="-21" w:rightChars="-10" w:firstLine="48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法定代表人或授权代表（签字或盖章）：</w:t>
      </w:r>
    </w:p>
    <w:p w14:paraId="5E1B374B">
      <w:pPr>
        <w:spacing w:line="360" w:lineRule="auto"/>
        <w:ind w:firstLine="4200" w:firstLineChars="20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日    期：</w:t>
      </w:r>
    </w:p>
    <w:p w14:paraId="45EB1525">
      <w:pPr>
        <w:spacing w:line="360" w:lineRule="auto"/>
        <w:jc w:val="left"/>
        <w:rPr>
          <w:rFonts w:hint="eastAsia" w:ascii="宋体" w:hAnsi="宋体" w:eastAsia="宋体" w:cs="宋体"/>
          <w:b/>
          <w:color w:val="auto"/>
          <w:szCs w:val="21"/>
          <w:highlight w:val="none"/>
        </w:rPr>
      </w:pPr>
    </w:p>
    <w:p w14:paraId="16BD0DDA">
      <w:pPr>
        <w:snapToGrid w:val="0"/>
        <w:spacing w:before="120" w:beforeLines="50" w:after="50" w:line="4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rPr>
        <w:t>附件3：</w:t>
      </w:r>
    </w:p>
    <w:p w14:paraId="3B88B9FB">
      <w:pPr>
        <w:autoSpaceDE w:val="0"/>
        <w:autoSpaceDN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lang w:val="zh-CN"/>
        </w:rPr>
        <w:t>法定代表人、单位负责人或自然人本人</w:t>
      </w:r>
      <w:r>
        <w:rPr>
          <w:rFonts w:hint="eastAsia" w:ascii="宋体" w:hAnsi="宋体" w:eastAsia="宋体" w:cs="宋体"/>
          <w:b/>
          <w:color w:val="auto"/>
          <w:szCs w:val="21"/>
          <w:highlight w:val="none"/>
        </w:rPr>
        <w:t>的身份证明（适用于法定代表人、单位负责人或者自然人本人代表</w:t>
      </w:r>
      <w:r>
        <w:rPr>
          <w:rFonts w:hint="eastAsia" w:ascii="宋体" w:hAnsi="宋体" w:eastAsia="宋体" w:cs="宋体"/>
          <w:b/>
          <w:color w:val="auto"/>
          <w:szCs w:val="21"/>
          <w:highlight w:val="none"/>
          <w:lang w:eastAsia="zh-CN"/>
        </w:rPr>
        <w:t>潜在供应商</w:t>
      </w:r>
      <w:r>
        <w:rPr>
          <w:rFonts w:hint="eastAsia" w:ascii="宋体" w:hAnsi="宋体" w:eastAsia="宋体" w:cs="宋体"/>
          <w:b/>
          <w:color w:val="auto"/>
          <w:szCs w:val="21"/>
          <w:highlight w:val="none"/>
        </w:rPr>
        <w:t>参加投标）</w:t>
      </w:r>
    </w:p>
    <w:p w14:paraId="70099669">
      <w:pPr>
        <w:spacing w:line="360" w:lineRule="auto"/>
        <w:ind w:firstLine="420" w:firstLineChars="200"/>
        <w:jc w:val="center"/>
        <w:rPr>
          <w:rFonts w:hint="eastAsia" w:ascii="宋体" w:hAnsi="宋体" w:eastAsia="宋体" w:cs="宋体"/>
          <w:color w:val="auto"/>
          <w:szCs w:val="21"/>
          <w:highlight w:val="none"/>
        </w:rPr>
      </w:pPr>
    </w:p>
    <w:p w14:paraId="661D1CBD">
      <w:pPr>
        <w:spacing w:line="600" w:lineRule="exact"/>
        <w:ind w:left="611" w:leftChars="291"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28A1E8EB">
      <w:pPr>
        <w:spacing w:line="600" w:lineRule="exact"/>
        <w:ind w:left="609" w:leftChars="290"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单位性质：</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449B83BE">
      <w:pPr>
        <w:spacing w:line="600" w:lineRule="exact"/>
        <w:ind w:left="609" w:leftChars="290"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2572CDA7">
      <w:pPr>
        <w:spacing w:line="600" w:lineRule="exact"/>
        <w:ind w:left="609" w:leftChars="290" w:firstLine="315" w:firstLineChars="1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成立时间：</w:t>
      </w:r>
      <w:r>
        <w:rPr>
          <w:rFonts w:hint="eastAsia" w:ascii="宋体" w:hAnsi="宋体" w:eastAsia="宋体" w:cs="宋体"/>
          <w:color w:val="auto"/>
          <w:szCs w:val="21"/>
          <w:highlight w:val="none"/>
          <w:u w:val="single"/>
        </w:rPr>
        <w:t xml:space="preserve">      年      月      日</w:t>
      </w:r>
    </w:p>
    <w:p w14:paraId="39E2BF83">
      <w:pPr>
        <w:spacing w:line="600" w:lineRule="exact"/>
        <w:ind w:left="609" w:leftChars="290"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经营期限：</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ab/>
      </w:r>
    </w:p>
    <w:p w14:paraId="7670897D">
      <w:pPr>
        <w:spacing w:line="600" w:lineRule="exact"/>
        <w:ind w:left="609" w:leftChars="290" w:firstLine="315" w:firstLineChars="1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姓    名：</w:t>
      </w:r>
      <w:r>
        <w:rPr>
          <w:rFonts w:hint="eastAsia" w:ascii="宋体" w:hAnsi="宋体" w:eastAsia="宋体" w:cs="宋体"/>
          <w:color w:val="auto"/>
          <w:szCs w:val="21"/>
          <w:highlight w:val="none"/>
          <w:u w:val="single"/>
        </w:rPr>
        <w:t xml:space="preserve">  </w:t>
      </w:r>
      <w:r>
        <w:rPr>
          <w:rFonts w:hint="eastAsia" w:ascii="宋体" w:hAnsi="宋体" w:eastAsia="宋体" w:cs="宋体"/>
          <w:b/>
          <w:bCs/>
          <w:color w:val="auto"/>
          <w:szCs w:val="21"/>
          <w:highlight w:val="none"/>
          <w:u w:val="single"/>
        </w:rPr>
        <w:t>（签字或盖章）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p>
    <w:p w14:paraId="49BF8110">
      <w:pPr>
        <w:spacing w:line="600" w:lineRule="exact"/>
        <w:ind w:left="609" w:leftChars="290"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（磋商响应方名称）         </w:t>
      </w:r>
      <w:r>
        <w:rPr>
          <w:rFonts w:hint="eastAsia" w:ascii="宋体" w:hAnsi="宋体" w:eastAsia="宋体" w:cs="宋体"/>
          <w:color w:val="auto"/>
          <w:szCs w:val="21"/>
          <w:highlight w:val="none"/>
        </w:rPr>
        <w:t>的法定代表人/单位负责人。</w:t>
      </w:r>
    </w:p>
    <w:p w14:paraId="02C51453">
      <w:pPr>
        <w:spacing w:line="600" w:lineRule="exact"/>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14:paraId="4C19F04F">
      <w:pPr>
        <w:tabs>
          <w:tab w:val="left" w:pos="720"/>
          <w:tab w:val="left" w:pos="900"/>
        </w:tabs>
        <w:spacing w:line="600" w:lineRule="exact"/>
        <w:ind w:left="5040" w:leftChars="2400" w:firstLine="105" w:firstLineChars="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磋商响应方：</w:t>
      </w:r>
      <w:r>
        <w:rPr>
          <w:rFonts w:hint="eastAsia" w:ascii="宋体" w:hAnsi="宋体" w:eastAsia="宋体" w:cs="宋体"/>
          <w:color w:val="auto"/>
          <w:szCs w:val="21"/>
          <w:highlight w:val="none"/>
          <w:u w:val="single"/>
        </w:rPr>
        <w:t xml:space="preserve">    （盖章）        </w:t>
      </w:r>
    </w:p>
    <w:p w14:paraId="3EF21BC6">
      <w:pPr>
        <w:tabs>
          <w:tab w:val="left" w:pos="720"/>
          <w:tab w:val="left" w:pos="900"/>
        </w:tabs>
        <w:spacing w:line="600" w:lineRule="exact"/>
        <w:ind w:left="5040" w:leftChars="2400"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    年    月</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43DD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7" w:hRule="atLeast"/>
          <w:jc w:val="center"/>
        </w:trPr>
        <w:tc>
          <w:tcPr>
            <w:tcW w:w="9207" w:type="dxa"/>
            <w:noWrap w:val="0"/>
            <w:vAlign w:val="top"/>
          </w:tcPr>
          <w:p w14:paraId="5C2F05FC">
            <w:pPr>
              <w:adjustRightIn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身份证件扫描件</w:t>
            </w:r>
          </w:p>
          <w:p w14:paraId="6EEB5B34">
            <w:pPr>
              <w:adjustRightIn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正面：                                     反面：</w:t>
            </w:r>
          </w:p>
          <w:p w14:paraId="4E421A8F">
            <w:pPr>
              <w:adjustRightInd w:val="0"/>
              <w:spacing w:line="360" w:lineRule="auto"/>
              <w:rPr>
                <w:rFonts w:hint="eastAsia" w:ascii="宋体" w:hAnsi="宋体" w:eastAsia="宋体" w:cs="宋体"/>
                <w:bCs/>
                <w:color w:val="auto"/>
                <w:szCs w:val="21"/>
                <w:highlight w:val="none"/>
              </w:rPr>
            </w:pPr>
          </w:p>
        </w:tc>
      </w:tr>
    </w:tbl>
    <w:p w14:paraId="59AD4576">
      <w:pPr>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rPr>
        <w:t>附件4：</w:t>
      </w:r>
    </w:p>
    <w:p w14:paraId="055FC9BF">
      <w:pPr>
        <w:snapToGrid w:val="0"/>
        <w:spacing w:before="120" w:beforeLines="50" w:after="50" w:line="4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法定代表人授权委托书</w:t>
      </w:r>
    </w:p>
    <w:p w14:paraId="363E1AD2">
      <w:pPr>
        <w:snapToGrid w:val="0"/>
        <w:spacing w:before="120" w:beforeLines="50" w:after="50" w:line="460" w:lineRule="exact"/>
        <w:rPr>
          <w:rFonts w:hint="eastAsia" w:ascii="宋体" w:hAnsi="宋体" w:eastAsia="宋体" w:cs="宋体"/>
          <w:b/>
          <w:color w:val="auto"/>
          <w:szCs w:val="21"/>
          <w:highlight w:val="none"/>
          <w:u w:val="single"/>
        </w:rPr>
      </w:pPr>
      <w:r>
        <w:rPr>
          <w:rFonts w:hint="eastAsia" w:ascii="宋体" w:hAnsi="宋体" w:cs="宋体"/>
          <w:color w:val="auto"/>
          <w:szCs w:val="21"/>
          <w:highlight w:val="none"/>
          <w:u w:val="single"/>
          <w:lang w:eastAsia="zh-CN"/>
        </w:rPr>
        <w:t>嵊州小吃产业有限公司</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eastAsia="zh-CN"/>
        </w:rPr>
        <w:t>禾泽都林设计集团有限公司</w:t>
      </w:r>
      <w:r>
        <w:rPr>
          <w:rFonts w:hint="eastAsia" w:ascii="宋体" w:hAnsi="宋体" w:eastAsia="宋体" w:cs="宋体"/>
          <w:bCs/>
          <w:color w:val="auto"/>
          <w:szCs w:val="21"/>
          <w:highlight w:val="none"/>
        </w:rPr>
        <w:t>：</w:t>
      </w:r>
    </w:p>
    <w:p w14:paraId="371E0DBC">
      <w:pPr>
        <w:snapToGrid w:val="0"/>
        <w:spacing w:before="120" w:beforeLines="50" w:after="50" w:line="46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潜在供应商</w:t>
      </w:r>
      <w:r>
        <w:rPr>
          <w:rFonts w:hint="eastAsia" w:ascii="宋体" w:hAnsi="宋体" w:eastAsia="宋体" w:cs="宋体"/>
          <w:color w:val="auto"/>
          <w:szCs w:val="21"/>
          <w:highlight w:val="none"/>
        </w:rPr>
        <w:t>名称）的法定代表人，现授权委托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（姓名）为全权代表，以我方的名义参加</w:t>
      </w:r>
      <w:r>
        <w:rPr>
          <w:rFonts w:hint="eastAsia" w:ascii="宋体" w:hAnsi="宋体" w:eastAsia="宋体" w:cs="宋体"/>
          <w:color w:val="auto"/>
          <w:szCs w:val="21"/>
          <w:highlight w:val="none"/>
          <w:u w:val="single"/>
          <w:lang w:eastAsia="zh-CN"/>
        </w:rPr>
        <w:t>航空"嵊州小笼包"主题冠名宣传推广项目</w:t>
      </w:r>
      <w:r>
        <w:rPr>
          <w:rFonts w:hint="eastAsia" w:ascii="宋体" w:hAnsi="宋体" w:eastAsia="宋体" w:cs="宋体"/>
          <w:color w:val="auto"/>
          <w:szCs w:val="21"/>
          <w:highlight w:val="none"/>
          <w:u w:val="single"/>
        </w:rPr>
        <w:t>（项目编号：</w:t>
      </w:r>
      <w:r>
        <w:rPr>
          <w:rFonts w:hint="eastAsia" w:ascii="宋体" w:hAnsi="宋体" w:eastAsia="宋体" w:cs="宋体"/>
          <w:color w:val="auto"/>
          <w:szCs w:val="21"/>
          <w:highlight w:val="none"/>
          <w:u w:val="single"/>
          <w:lang w:eastAsia="zh-CN"/>
        </w:rPr>
        <w:t>HZDL-2025-001</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的投标活动，并代表我方全权办理针对上述项目的投标、开标、评标、签约等具体事务和签署相关文件。我方对全权代表的签名事项负全部责任。</w:t>
      </w:r>
    </w:p>
    <w:p w14:paraId="65FC3DEA">
      <w:pPr>
        <w:snapToGrid w:val="0"/>
        <w:spacing w:before="120" w:beforeLines="50" w:after="50" w:line="46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在撤销授权的书面通知以前，本授权书一直有效。全权代表在授权书有效期内签署的所有文件不因授权的撤销而失效。</w:t>
      </w:r>
    </w:p>
    <w:p w14:paraId="7B253ACA">
      <w:pPr>
        <w:snapToGrid w:val="0"/>
        <w:spacing w:before="120" w:beforeLines="50" w:after="50" w:line="46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全权代表无转委托权，特此委托。</w:t>
      </w:r>
    </w:p>
    <w:p w14:paraId="610C1959">
      <w:pPr>
        <w:snapToGrid w:val="0"/>
        <w:spacing w:before="120" w:beforeLines="50" w:after="50" w:line="460" w:lineRule="exact"/>
        <w:ind w:firstLine="480"/>
        <w:rPr>
          <w:rFonts w:hint="eastAsia" w:ascii="宋体" w:hAnsi="宋体" w:eastAsia="宋体" w:cs="宋体"/>
          <w:color w:val="auto"/>
          <w:szCs w:val="21"/>
          <w:highlight w:val="none"/>
        </w:rPr>
      </w:pPr>
    </w:p>
    <w:p w14:paraId="149D6E42">
      <w:pPr>
        <w:snapToGrid w:val="0"/>
        <w:spacing w:before="120" w:beforeLines="50" w:after="50" w:line="460" w:lineRule="exact"/>
        <w:ind w:firstLine="480"/>
        <w:rPr>
          <w:rFonts w:hint="eastAsia" w:ascii="宋体" w:hAnsi="宋体" w:eastAsia="宋体" w:cs="宋体"/>
          <w:color w:val="auto"/>
          <w:szCs w:val="21"/>
          <w:highlight w:val="none"/>
        </w:rPr>
      </w:pPr>
    </w:p>
    <w:p w14:paraId="719526FD">
      <w:pPr>
        <w:snapToGrid w:val="0"/>
        <w:spacing w:before="120" w:beforeLines="50" w:after="50" w:line="46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全权代表签名（或盖章）：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002D1252">
      <w:pPr>
        <w:snapToGrid w:val="0"/>
        <w:spacing w:before="120" w:beforeLines="50" w:after="50" w:line="46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全权代表身份证号码：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5DB34FC8">
      <w:pPr>
        <w:snapToGrid w:val="0"/>
        <w:spacing w:before="120" w:beforeLines="50" w:after="50" w:line="46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法定代表人签名（或盖章）：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职务：</w:t>
      </w:r>
      <w:r>
        <w:rPr>
          <w:rFonts w:hint="eastAsia" w:ascii="宋体" w:hAnsi="宋体" w:eastAsia="宋体" w:cs="宋体"/>
          <w:color w:val="auto"/>
          <w:szCs w:val="21"/>
          <w:highlight w:val="none"/>
          <w:u w:val="single"/>
        </w:rPr>
        <w:t xml:space="preserve">           </w:t>
      </w:r>
    </w:p>
    <w:p w14:paraId="09BB11B5">
      <w:pPr>
        <w:snapToGrid w:val="0"/>
        <w:spacing w:before="120" w:beforeLines="50" w:after="50" w:line="46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附：法人身份证复印件及授权人身份证复印件。</w:t>
      </w:r>
    </w:p>
    <w:p w14:paraId="22D086FA">
      <w:pPr>
        <w:snapToGrid w:val="0"/>
        <w:spacing w:before="120" w:beforeLines="50" w:after="50" w:line="46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26C5A036">
      <w:pPr>
        <w:snapToGrid w:val="0"/>
        <w:spacing w:before="120" w:beforeLines="50" w:after="50" w:line="460" w:lineRule="exact"/>
        <w:ind w:firstLine="4305" w:firstLineChars="2050"/>
        <w:rPr>
          <w:rFonts w:hint="eastAsia" w:ascii="宋体" w:hAnsi="宋体" w:eastAsia="宋体" w:cs="宋体"/>
          <w:color w:val="auto"/>
          <w:szCs w:val="21"/>
          <w:highlight w:val="none"/>
        </w:rPr>
      </w:pPr>
    </w:p>
    <w:p w14:paraId="4EFA067E">
      <w:pPr>
        <w:snapToGrid w:val="0"/>
        <w:spacing w:before="120" w:beforeLines="50" w:after="50" w:line="460" w:lineRule="exact"/>
        <w:ind w:firstLine="48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磋商响应方全称（公章）：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日  期：</w:t>
      </w:r>
      <w:r>
        <w:rPr>
          <w:rFonts w:hint="eastAsia" w:ascii="宋体" w:hAnsi="宋体" w:eastAsia="宋体" w:cs="宋体"/>
          <w:color w:val="auto"/>
          <w:szCs w:val="21"/>
          <w:highlight w:val="none"/>
          <w:u w:val="single"/>
        </w:rPr>
        <w:t xml:space="preserve">     </w:t>
      </w:r>
    </w:p>
    <w:p w14:paraId="26A46ADD">
      <w:pPr>
        <w:widowControl/>
        <w:jc w:val="left"/>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br w:type="page"/>
      </w:r>
      <w:bookmarkStart w:id="93" w:name="_Toc144974876"/>
      <w:bookmarkStart w:id="94" w:name="_Toc152042597"/>
      <w:bookmarkStart w:id="95" w:name="_Toc247514300"/>
      <w:bookmarkStart w:id="96" w:name="_Toc152045808"/>
      <w:bookmarkStart w:id="97" w:name="_Toc247527848"/>
      <w:r>
        <w:rPr>
          <w:rFonts w:hint="eastAsia" w:ascii="宋体" w:hAnsi="宋体" w:eastAsia="宋体" w:cs="宋体"/>
          <w:b/>
          <w:bCs/>
          <w:color w:val="auto"/>
          <w:szCs w:val="21"/>
          <w:highlight w:val="none"/>
        </w:rPr>
        <w:t xml:space="preserve">附件5： </w:t>
      </w:r>
    </w:p>
    <w:p w14:paraId="4E92BD04">
      <w:pPr>
        <w:pStyle w:val="33"/>
        <w:snapToGrid w:val="0"/>
        <w:ind w:right="0" w:firstLine="0" w:firstLineChars="0"/>
        <w:jc w:val="center"/>
        <w:rPr>
          <w:rFonts w:hint="eastAsia" w:ascii="宋体" w:hAnsi="宋体" w:eastAsia="宋体" w:cs="宋体"/>
          <w:b/>
          <w:color w:val="auto"/>
          <w:sz w:val="21"/>
          <w:szCs w:val="21"/>
          <w:highlight w:val="none"/>
          <w:lang w:val="en-GB"/>
        </w:rPr>
      </w:pPr>
      <w:r>
        <w:rPr>
          <w:rFonts w:hint="eastAsia" w:ascii="宋体" w:hAnsi="宋体" w:eastAsia="宋体" w:cs="宋体"/>
          <w:b/>
          <w:color w:val="auto"/>
          <w:sz w:val="21"/>
          <w:szCs w:val="21"/>
          <w:highlight w:val="none"/>
          <w:lang w:val="en-GB"/>
        </w:rPr>
        <w:t>磋商响应方基本情况表</w:t>
      </w:r>
      <w:bookmarkEnd w:id="93"/>
      <w:bookmarkEnd w:id="94"/>
      <w:bookmarkEnd w:id="95"/>
      <w:bookmarkEnd w:id="96"/>
      <w:bookmarkEnd w:id="97"/>
    </w:p>
    <w:p w14:paraId="7B1A6737">
      <w:pPr>
        <w:spacing w:line="5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                                      项目编号：</w:t>
      </w:r>
    </w:p>
    <w:tbl>
      <w:tblPr>
        <w:tblStyle w:val="17"/>
        <w:tblW w:w="8914"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2358"/>
        <w:gridCol w:w="765"/>
        <w:gridCol w:w="1192"/>
        <w:gridCol w:w="543"/>
        <w:gridCol w:w="2314"/>
      </w:tblGrid>
      <w:tr w14:paraId="2425D91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914" w:type="dxa"/>
            <w:gridSpan w:val="6"/>
            <w:tcBorders>
              <w:top w:val="thinThickSmallGap" w:color="auto" w:sz="12" w:space="0"/>
            </w:tcBorders>
            <w:noWrap w:val="0"/>
            <w:vAlign w:val="center"/>
          </w:tcPr>
          <w:p w14:paraId="5A4C88C9">
            <w:pPr>
              <w:snapToGrid w:val="0"/>
              <w:spacing w:line="460" w:lineRule="exact"/>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磋商响应方</w:t>
            </w:r>
            <w:r>
              <w:rPr>
                <w:rFonts w:hint="eastAsia" w:ascii="宋体" w:hAnsi="宋体" w:eastAsia="宋体" w:cs="宋体"/>
                <w:color w:val="auto"/>
                <w:szCs w:val="21"/>
                <w:highlight w:val="none"/>
              </w:rPr>
              <w:t>信息</w:t>
            </w:r>
          </w:p>
        </w:tc>
      </w:tr>
      <w:tr w14:paraId="16C7605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2AAA1548">
            <w:pPr>
              <w:snapToGrid w:val="0"/>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企业名称</w:t>
            </w:r>
          </w:p>
        </w:tc>
        <w:tc>
          <w:tcPr>
            <w:tcW w:w="7172" w:type="dxa"/>
            <w:gridSpan w:val="5"/>
            <w:noWrap w:val="0"/>
            <w:vAlign w:val="center"/>
          </w:tcPr>
          <w:p w14:paraId="396FE080">
            <w:pPr>
              <w:snapToGrid w:val="0"/>
              <w:spacing w:line="460" w:lineRule="exact"/>
              <w:rPr>
                <w:rFonts w:hint="eastAsia" w:ascii="宋体" w:hAnsi="宋体" w:eastAsia="宋体" w:cs="宋体"/>
                <w:color w:val="auto"/>
                <w:szCs w:val="21"/>
                <w:highlight w:val="none"/>
              </w:rPr>
            </w:pPr>
          </w:p>
        </w:tc>
      </w:tr>
      <w:tr w14:paraId="457988F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4E99FE0A">
            <w:pPr>
              <w:snapToGrid w:val="0"/>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联合体投标</w:t>
            </w:r>
          </w:p>
        </w:tc>
        <w:tc>
          <w:tcPr>
            <w:tcW w:w="2358" w:type="dxa"/>
            <w:noWrap w:val="0"/>
            <w:vAlign w:val="center"/>
          </w:tcPr>
          <w:p w14:paraId="48260D6E">
            <w:pPr>
              <w:snapToGrid w:val="0"/>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    否□</w:t>
            </w:r>
          </w:p>
        </w:tc>
        <w:tc>
          <w:tcPr>
            <w:tcW w:w="1957" w:type="dxa"/>
            <w:gridSpan w:val="2"/>
            <w:noWrap w:val="0"/>
            <w:vAlign w:val="center"/>
          </w:tcPr>
          <w:p w14:paraId="16A05A6C">
            <w:pPr>
              <w:snapToGrid w:val="0"/>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联合体成员单位</w:t>
            </w:r>
          </w:p>
        </w:tc>
        <w:tc>
          <w:tcPr>
            <w:tcW w:w="2857" w:type="dxa"/>
            <w:gridSpan w:val="2"/>
            <w:noWrap w:val="0"/>
            <w:vAlign w:val="center"/>
          </w:tcPr>
          <w:p w14:paraId="406AAFEB">
            <w:pPr>
              <w:snapToGrid w:val="0"/>
              <w:spacing w:line="460" w:lineRule="exact"/>
              <w:rPr>
                <w:rFonts w:hint="eastAsia" w:ascii="宋体" w:hAnsi="宋体" w:eastAsia="宋体" w:cs="宋体"/>
                <w:color w:val="auto"/>
                <w:szCs w:val="21"/>
                <w:highlight w:val="none"/>
              </w:rPr>
            </w:pPr>
          </w:p>
        </w:tc>
      </w:tr>
      <w:tr w14:paraId="03284E3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22791FC8">
            <w:pPr>
              <w:snapToGrid w:val="0"/>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性质</w:t>
            </w:r>
          </w:p>
        </w:tc>
        <w:tc>
          <w:tcPr>
            <w:tcW w:w="7172" w:type="dxa"/>
            <w:gridSpan w:val="5"/>
            <w:noWrap w:val="0"/>
            <w:vAlign w:val="center"/>
          </w:tcPr>
          <w:p w14:paraId="33566275">
            <w:pPr>
              <w:snapToGrid w:val="0"/>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国有□     国有控股□     私营□     事业单位□</w:t>
            </w:r>
          </w:p>
        </w:tc>
      </w:tr>
      <w:tr w14:paraId="1A79B02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32755001">
            <w:pPr>
              <w:snapToGrid w:val="0"/>
              <w:spacing w:line="4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统一社会信用代码</w:t>
            </w:r>
          </w:p>
        </w:tc>
        <w:tc>
          <w:tcPr>
            <w:tcW w:w="3123" w:type="dxa"/>
            <w:gridSpan w:val="2"/>
            <w:noWrap w:val="0"/>
            <w:vAlign w:val="center"/>
          </w:tcPr>
          <w:p w14:paraId="6F2524DB">
            <w:pPr>
              <w:snapToGrid w:val="0"/>
              <w:spacing w:line="460" w:lineRule="exact"/>
              <w:rPr>
                <w:rFonts w:hint="eastAsia" w:ascii="宋体" w:hAnsi="宋体" w:eastAsia="宋体" w:cs="宋体"/>
                <w:color w:val="auto"/>
                <w:szCs w:val="21"/>
                <w:highlight w:val="none"/>
              </w:rPr>
            </w:pPr>
          </w:p>
        </w:tc>
        <w:tc>
          <w:tcPr>
            <w:tcW w:w="1735" w:type="dxa"/>
            <w:gridSpan w:val="2"/>
            <w:noWrap w:val="0"/>
            <w:vAlign w:val="center"/>
          </w:tcPr>
          <w:p w14:paraId="2443C874">
            <w:pPr>
              <w:snapToGrid w:val="0"/>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注册资本</w:t>
            </w:r>
          </w:p>
        </w:tc>
        <w:tc>
          <w:tcPr>
            <w:tcW w:w="2314" w:type="dxa"/>
            <w:noWrap w:val="0"/>
            <w:vAlign w:val="center"/>
          </w:tcPr>
          <w:p w14:paraId="0E70E5C3">
            <w:pPr>
              <w:snapToGrid w:val="0"/>
              <w:spacing w:line="460" w:lineRule="exact"/>
              <w:rPr>
                <w:rFonts w:hint="eastAsia" w:ascii="宋体" w:hAnsi="宋体" w:eastAsia="宋体" w:cs="宋体"/>
                <w:color w:val="auto"/>
                <w:szCs w:val="21"/>
                <w:highlight w:val="none"/>
              </w:rPr>
            </w:pPr>
          </w:p>
        </w:tc>
      </w:tr>
      <w:tr w14:paraId="60C35D7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688AD4FF">
            <w:pPr>
              <w:snapToGrid w:val="0"/>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3123" w:type="dxa"/>
            <w:gridSpan w:val="2"/>
            <w:noWrap w:val="0"/>
            <w:vAlign w:val="center"/>
          </w:tcPr>
          <w:p w14:paraId="1FB15ED8">
            <w:pPr>
              <w:snapToGrid w:val="0"/>
              <w:spacing w:line="460" w:lineRule="exact"/>
              <w:rPr>
                <w:rFonts w:hint="eastAsia" w:ascii="宋体" w:hAnsi="宋体" w:eastAsia="宋体" w:cs="宋体"/>
                <w:color w:val="auto"/>
                <w:szCs w:val="21"/>
                <w:highlight w:val="none"/>
              </w:rPr>
            </w:pPr>
          </w:p>
        </w:tc>
        <w:tc>
          <w:tcPr>
            <w:tcW w:w="1735" w:type="dxa"/>
            <w:gridSpan w:val="2"/>
            <w:noWrap w:val="0"/>
            <w:vAlign w:val="center"/>
          </w:tcPr>
          <w:p w14:paraId="312D784B">
            <w:pPr>
              <w:snapToGrid w:val="0"/>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p>
        </w:tc>
        <w:tc>
          <w:tcPr>
            <w:tcW w:w="2314" w:type="dxa"/>
            <w:noWrap w:val="0"/>
            <w:vAlign w:val="center"/>
          </w:tcPr>
          <w:p w14:paraId="31AAD386">
            <w:pPr>
              <w:snapToGrid w:val="0"/>
              <w:spacing w:line="460" w:lineRule="exact"/>
              <w:rPr>
                <w:rFonts w:hint="eastAsia" w:ascii="宋体" w:hAnsi="宋体" w:eastAsia="宋体" w:cs="宋体"/>
                <w:color w:val="auto"/>
                <w:szCs w:val="21"/>
                <w:highlight w:val="none"/>
              </w:rPr>
            </w:pPr>
          </w:p>
        </w:tc>
      </w:tr>
      <w:tr w14:paraId="14F5066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20AA5BE4">
            <w:pPr>
              <w:snapToGrid w:val="0"/>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p>
        </w:tc>
        <w:tc>
          <w:tcPr>
            <w:tcW w:w="3123" w:type="dxa"/>
            <w:gridSpan w:val="2"/>
            <w:noWrap w:val="0"/>
            <w:vAlign w:val="center"/>
          </w:tcPr>
          <w:p w14:paraId="30B7F40D">
            <w:pPr>
              <w:snapToGrid w:val="0"/>
              <w:spacing w:line="460" w:lineRule="exact"/>
              <w:rPr>
                <w:rFonts w:hint="eastAsia" w:ascii="宋体" w:hAnsi="宋体" w:eastAsia="宋体" w:cs="宋体"/>
                <w:color w:val="auto"/>
                <w:szCs w:val="21"/>
                <w:highlight w:val="none"/>
              </w:rPr>
            </w:pPr>
          </w:p>
        </w:tc>
        <w:tc>
          <w:tcPr>
            <w:tcW w:w="1735" w:type="dxa"/>
            <w:gridSpan w:val="2"/>
            <w:noWrap w:val="0"/>
            <w:vAlign w:val="center"/>
          </w:tcPr>
          <w:p w14:paraId="4F6F0955">
            <w:pPr>
              <w:snapToGrid w:val="0"/>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2314" w:type="dxa"/>
            <w:noWrap w:val="0"/>
            <w:vAlign w:val="center"/>
          </w:tcPr>
          <w:p w14:paraId="738E6616">
            <w:pPr>
              <w:snapToGrid w:val="0"/>
              <w:spacing w:line="460" w:lineRule="exact"/>
              <w:rPr>
                <w:rFonts w:hint="eastAsia" w:ascii="宋体" w:hAnsi="宋体" w:eastAsia="宋体" w:cs="宋体"/>
                <w:color w:val="auto"/>
                <w:szCs w:val="21"/>
                <w:highlight w:val="none"/>
              </w:rPr>
            </w:pPr>
          </w:p>
        </w:tc>
      </w:tr>
      <w:tr w14:paraId="62FA0FF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3CA3EB15">
            <w:pPr>
              <w:snapToGrid w:val="0"/>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公司电话</w:t>
            </w:r>
          </w:p>
        </w:tc>
        <w:tc>
          <w:tcPr>
            <w:tcW w:w="3123" w:type="dxa"/>
            <w:gridSpan w:val="2"/>
            <w:noWrap w:val="0"/>
            <w:vAlign w:val="center"/>
          </w:tcPr>
          <w:p w14:paraId="7955037F">
            <w:pPr>
              <w:snapToGrid w:val="0"/>
              <w:spacing w:line="460" w:lineRule="exact"/>
              <w:rPr>
                <w:rFonts w:hint="eastAsia" w:ascii="宋体" w:hAnsi="宋体" w:eastAsia="宋体" w:cs="宋体"/>
                <w:color w:val="auto"/>
                <w:szCs w:val="21"/>
                <w:highlight w:val="none"/>
              </w:rPr>
            </w:pPr>
          </w:p>
        </w:tc>
        <w:tc>
          <w:tcPr>
            <w:tcW w:w="1735" w:type="dxa"/>
            <w:gridSpan w:val="2"/>
            <w:noWrap w:val="0"/>
            <w:vAlign w:val="center"/>
          </w:tcPr>
          <w:p w14:paraId="7521F582">
            <w:pPr>
              <w:snapToGrid w:val="0"/>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tc>
        <w:tc>
          <w:tcPr>
            <w:tcW w:w="2314" w:type="dxa"/>
            <w:noWrap w:val="0"/>
            <w:vAlign w:val="center"/>
          </w:tcPr>
          <w:p w14:paraId="6EDDB9D1">
            <w:pPr>
              <w:snapToGrid w:val="0"/>
              <w:spacing w:line="460" w:lineRule="exact"/>
              <w:rPr>
                <w:rFonts w:hint="eastAsia" w:ascii="宋体" w:hAnsi="宋体" w:eastAsia="宋体" w:cs="宋体"/>
                <w:color w:val="auto"/>
                <w:szCs w:val="21"/>
                <w:highlight w:val="none"/>
              </w:rPr>
            </w:pPr>
          </w:p>
        </w:tc>
      </w:tr>
      <w:tr w14:paraId="3D34C71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292C8C97">
            <w:pPr>
              <w:snapToGrid w:val="0"/>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公司网址</w:t>
            </w:r>
          </w:p>
        </w:tc>
        <w:tc>
          <w:tcPr>
            <w:tcW w:w="3123" w:type="dxa"/>
            <w:gridSpan w:val="2"/>
            <w:noWrap w:val="0"/>
            <w:vAlign w:val="center"/>
          </w:tcPr>
          <w:p w14:paraId="244A4C7B">
            <w:pPr>
              <w:snapToGrid w:val="0"/>
              <w:spacing w:line="460" w:lineRule="exact"/>
              <w:rPr>
                <w:rFonts w:hint="eastAsia" w:ascii="宋体" w:hAnsi="宋体" w:eastAsia="宋体" w:cs="宋体"/>
                <w:color w:val="auto"/>
                <w:szCs w:val="21"/>
                <w:highlight w:val="none"/>
              </w:rPr>
            </w:pPr>
          </w:p>
        </w:tc>
        <w:tc>
          <w:tcPr>
            <w:tcW w:w="1735" w:type="dxa"/>
            <w:gridSpan w:val="2"/>
            <w:noWrap w:val="0"/>
            <w:vAlign w:val="center"/>
          </w:tcPr>
          <w:p w14:paraId="6688B4FE">
            <w:pPr>
              <w:snapToGrid w:val="0"/>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c>
          <w:tcPr>
            <w:tcW w:w="2314" w:type="dxa"/>
            <w:noWrap w:val="0"/>
            <w:vAlign w:val="center"/>
          </w:tcPr>
          <w:p w14:paraId="4CACEB7C">
            <w:pPr>
              <w:snapToGrid w:val="0"/>
              <w:spacing w:line="460" w:lineRule="exact"/>
              <w:rPr>
                <w:rFonts w:hint="eastAsia" w:ascii="宋体" w:hAnsi="宋体" w:eastAsia="宋体" w:cs="宋体"/>
                <w:color w:val="auto"/>
                <w:szCs w:val="21"/>
                <w:highlight w:val="none"/>
              </w:rPr>
            </w:pPr>
          </w:p>
        </w:tc>
      </w:tr>
      <w:tr w14:paraId="1E0EF3F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134CC41A">
            <w:pPr>
              <w:snapToGrid w:val="0"/>
              <w:spacing w:line="4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开户银行及账号</w:t>
            </w:r>
          </w:p>
        </w:tc>
        <w:tc>
          <w:tcPr>
            <w:tcW w:w="7172" w:type="dxa"/>
            <w:gridSpan w:val="5"/>
            <w:noWrap w:val="0"/>
            <w:vAlign w:val="center"/>
          </w:tcPr>
          <w:p w14:paraId="00FF924B">
            <w:pPr>
              <w:snapToGrid w:val="0"/>
              <w:spacing w:line="460" w:lineRule="exact"/>
              <w:rPr>
                <w:rFonts w:hint="eastAsia" w:ascii="宋体" w:hAnsi="宋体" w:eastAsia="宋体" w:cs="宋体"/>
                <w:color w:val="auto"/>
                <w:szCs w:val="21"/>
                <w:highlight w:val="none"/>
              </w:rPr>
            </w:pPr>
          </w:p>
        </w:tc>
      </w:tr>
      <w:tr w14:paraId="5A66BE7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57FC5CC1">
            <w:pPr>
              <w:snapToGrid w:val="0"/>
              <w:spacing w:line="4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人员情况</w:t>
            </w:r>
          </w:p>
        </w:tc>
        <w:tc>
          <w:tcPr>
            <w:tcW w:w="7172" w:type="dxa"/>
            <w:gridSpan w:val="5"/>
            <w:noWrap w:val="0"/>
            <w:vAlign w:val="center"/>
          </w:tcPr>
          <w:p w14:paraId="05BDE5D3">
            <w:pPr>
              <w:snapToGrid w:val="0"/>
              <w:spacing w:line="460" w:lineRule="exact"/>
              <w:rPr>
                <w:rFonts w:hint="eastAsia" w:ascii="宋体" w:hAnsi="宋体" w:eastAsia="宋体" w:cs="宋体"/>
                <w:color w:val="auto"/>
                <w:szCs w:val="21"/>
                <w:highlight w:val="none"/>
              </w:rPr>
            </w:pPr>
          </w:p>
        </w:tc>
      </w:tr>
      <w:tr w14:paraId="06C8D6F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33051CB7">
            <w:pPr>
              <w:snapToGrid w:val="0"/>
              <w:spacing w:line="4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企业资质</w:t>
            </w:r>
          </w:p>
        </w:tc>
        <w:tc>
          <w:tcPr>
            <w:tcW w:w="7172" w:type="dxa"/>
            <w:gridSpan w:val="5"/>
            <w:noWrap w:val="0"/>
            <w:vAlign w:val="center"/>
          </w:tcPr>
          <w:p w14:paraId="2E443F7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napToGrid w:val="0"/>
              <w:spacing w:line="460" w:lineRule="exact"/>
              <w:jc w:val="left"/>
              <w:rPr>
                <w:rFonts w:hint="eastAsia" w:ascii="宋体" w:hAnsi="宋体" w:eastAsia="宋体" w:cs="宋体"/>
                <w:b/>
                <w:color w:val="auto"/>
                <w:szCs w:val="21"/>
                <w:highlight w:val="none"/>
              </w:rPr>
            </w:pPr>
          </w:p>
        </w:tc>
      </w:tr>
      <w:tr w14:paraId="53104E1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35FD5DB3">
            <w:pPr>
              <w:snapToGrid w:val="0"/>
              <w:spacing w:line="4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企业认证</w:t>
            </w:r>
          </w:p>
        </w:tc>
        <w:tc>
          <w:tcPr>
            <w:tcW w:w="7172" w:type="dxa"/>
            <w:gridSpan w:val="5"/>
            <w:noWrap w:val="0"/>
            <w:vAlign w:val="center"/>
          </w:tcPr>
          <w:p w14:paraId="0DED684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napToGrid w:val="0"/>
              <w:spacing w:line="460" w:lineRule="exact"/>
              <w:jc w:val="left"/>
              <w:rPr>
                <w:rFonts w:hint="eastAsia" w:ascii="宋体" w:hAnsi="宋体" w:eastAsia="宋体" w:cs="宋体"/>
                <w:b/>
                <w:color w:val="auto"/>
                <w:szCs w:val="21"/>
                <w:highlight w:val="none"/>
              </w:rPr>
            </w:pPr>
          </w:p>
        </w:tc>
      </w:tr>
      <w:tr w14:paraId="27E8E34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686CF86F">
            <w:pPr>
              <w:snapToGrid w:val="0"/>
              <w:spacing w:line="4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企业获奖（如有）</w:t>
            </w:r>
          </w:p>
        </w:tc>
        <w:tc>
          <w:tcPr>
            <w:tcW w:w="7172" w:type="dxa"/>
            <w:gridSpan w:val="5"/>
            <w:noWrap w:val="0"/>
            <w:vAlign w:val="center"/>
          </w:tcPr>
          <w:p w14:paraId="19681458">
            <w:pPr>
              <w:snapToGrid w:val="0"/>
              <w:spacing w:line="460" w:lineRule="exact"/>
              <w:rPr>
                <w:rFonts w:hint="eastAsia" w:ascii="宋体" w:hAnsi="宋体" w:eastAsia="宋体" w:cs="宋体"/>
                <w:color w:val="auto"/>
                <w:szCs w:val="21"/>
                <w:highlight w:val="none"/>
              </w:rPr>
            </w:pPr>
          </w:p>
        </w:tc>
      </w:tr>
      <w:tr w14:paraId="6F576A4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7D68F2D8">
            <w:pPr>
              <w:snapToGrid w:val="0"/>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7172" w:type="dxa"/>
            <w:gridSpan w:val="5"/>
            <w:noWrap w:val="0"/>
            <w:vAlign w:val="center"/>
          </w:tcPr>
          <w:p w14:paraId="5FB5AEEA">
            <w:pPr>
              <w:snapToGrid w:val="0"/>
              <w:spacing w:line="460" w:lineRule="exact"/>
              <w:rPr>
                <w:rFonts w:hint="eastAsia" w:ascii="宋体" w:hAnsi="宋体" w:eastAsia="宋体" w:cs="宋体"/>
                <w:color w:val="auto"/>
                <w:szCs w:val="21"/>
                <w:highlight w:val="none"/>
              </w:rPr>
            </w:pPr>
          </w:p>
        </w:tc>
      </w:tr>
      <w:tr w14:paraId="4D7E51D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914" w:type="dxa"/>
            <w:gridSpan w:val="6"/>
            <w:noWrap w:val="0"/>
            <w:vAlign w:val="center"/>
          </w:tcPr>
          <w:p w14:paraId="403CB0D6">
            <w:pPr>
              <w:snapToGrid w:val="0"/>
              <w:spacing w:line="460" w:lineRule="exact"/>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磋商响应方</w:t>
            </w:r>
            <w:r>
              <w:rPr>
                <w:rFonts w:hint="eastAsia" w:ascii="宋体" w:hAnsi="宋体" w:eastAsia="宋体" w:cs="宋体"/>
                <w:color w:val="auto"/>
                <w:szCs w:val="21"/>
                <w:highlight w:val="none"/>
              </w:rPr>
              <w:t>联系人信息</w:t>
            </w:r>
          </w:p>
        </w:tc>
      </w:tr>
      <w:tr w14:paraId="18DFF38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0D59583B">
            <w:pPr>
              <w:snapToGrid w:val="0"/>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3123" w:type="dxa"/>
            <w:gridSpan w:val="2"/>
            <w:noWrap w:val="0"/>
            <w:vAlign w:val="center"/>
          </w:tcPr>
          <w:p w14:paraId="1959062D">
            <w:pPr>
              <w:snapToGrid w:val="0"/>
              <w:spacing w:line="460" w:lineRule="exact"/>
              <w:rPr>
                <w:rFonts w:hint="eastAsia" w:ascii="宋体" w:hAnsi="宋体" w:eastAsia="宋体" w:cs="宋体"/>
                <w:color w:val="auto"/>
                <w:szCs w:val="21"/>
                <w:highlight w:val="none"/>
              </w:rPr>
            </w:pPr>
          </w:p>
        </w:tc>
        <w:tc>
          <w:tcPr>
            <w:tcW w:w="1735" w:type="dxa"/>
            <w:gridSpan w:val="2"/>
            <w:noWrap w:val="0"/>
            <w:vAlign w:val="center"/>
          </w:tcPr>
          <w:p w14:paraId="2F9994A8">
            <w:pPr>
              <w:snapToGrid w:val="0"/>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移动电话</w:t>
            </w:r>
          </w:p>
        </w:tc>
        <w:tc>
          <w:tcPr>
            <w:tcW w:w="2314" w:type="dxa"/>
            <w:noWrap w:val="0"/>
            <w:vAlign w:val="center"/>
          </w:tcPr>
          <w:p w14:paraId="1242B406">
            <w:pPr>
              <w:snapToGrid w:val="0"/>
              <w:spacing w:line="460" w:lineRule="exact"/>
              <w:rPr>
                <w:rFonts w:hint="eastAsia" w:ascii="宋体" w:hAnsi="宋体" w:eastAsia="宋体" w:cs="宋体"/>
                <w:color w:val="auto"/>
                <w:szCs w:val="21"/>
                <w:highlight w:val="none"/>
              </w:rPr>
            </w:pPr>
          </w:p>
        </w:tc>
      </w:tr>
      <w:tr w14:paraId="6276EA1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0F73C614">
            <w:pPr>
              <w:snapToGrid w:val="0"/>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固定电话</w:t>
            </w:r>
          </w:p>
        </w:tc>
        <w:tc>
          <w:tcPr>
            <w:tcW w:w="3123" w:type="dxa"/>
            <w:gridSpan w:val="2"/>
            <w:noWrap w:val="0"/>
            <w:vAlign w:val="center"/>
          </w:tcPr>
          <w:p w14:paraId="37A38768">
            <w:pPr>
              <w:snapToGrid w:val="0"/>
              <w:spacing w:line="460" w:lineRule="exact"/>
              <w:rPr>
                <w:rFonts w:hint="eastAsia" w:ascii="宋体" w:hAnsi="宋体" w:eastAsia="宋体" w:cs="宋体"/>
                <w:color w:val="auto"/>
                <w:szCs w:val="21"/>
                <w:highlight w:val="none"/>
              </w:rPr>
            </w:pPr>
          </w:p>
        </w:tc>
        <w:tc>
          <w:tcPr>
            <w:tcW w:w="1735" w:type="dxa"/>
            <w:gridSpan w:val="2"/>
            <w:noWrap w:val="0"/>
            <w:vAlign w:val="center"/>
          </w:tcPr>
          <w:p w14:paraId="7CD6C545">
            <w:pPr>
              <w:snapToGrid w:val="0"/>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c>
          <w:tcPr>
            <w:tcW w:w="2314" w:type="dxa"/>
            <w:noWrap w:val="0"/>
            <w:vAlign w:val="center"/>
          </w:tcPr>
          <w:p w14:paraId="14D53850">
            <w:pPr>
              <w:snapToGrid w:val="0"/>
              <w:spacing w:line="460" w:lineRule="exact"/>
              <w:rPr>
                <w:rFonts w:hint="eastAsia" w:ascii="宋体" w:hAnsi="宋体" w:eastAsia="宋体" w:cs="宋体"/>
                <w:color w:val="auto"/>
                <w:szCs w:val="21"/>
                <w:highlight w:val="none"/>
              </w:rPr>
            </w:pPr>
          </w:p>
        </w:tc>
      </w:tr>
      <w:tr w14:paraId="5CA61CB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914" w:type="dxa"/>
            <w:gridSpan w:val="6"/>
            <w:tcBorders>
              <w:bottom w:val="thinThickSmallGap" w:color="auto" w:sz="12" w:space="0"/>
            </w:tcBorders>
            <w:noWrap w:val="0"/>
            <w:vAlign w:val="center"/>
          </w:tcPr>
          <w:p w14:paraId="111EE2B3">
            <w:pPr>
              <w:snapToGrid w:val="0"/>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企业简介：（可另附页或企业对外宣传手册，如有附后）</w:t>
            </w:r>
          </w:p>
        </w:tc>
      </w:tr>
    </w:tbl>
    <w:p w14:paraId="36933A93">
      <w:pPr>
        <w:adjustRightInd w:val="0"/>
        <w:snapToGrid w:val="0"/>
        <w:spacing w:line="360" w:lineRule="auto"/>
        <w:textAlignment w:val="baseline"/>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（后附上与评标相关的</w:t>
      </w:r>
      <w:r>
        <w:rPr>
          <w:rFonts w:hint="eastAsia" w:ascii="宋体" w:hAnsi="宋体" w:eastAsia="宋体" w:cs="宋体"/>
          <w:b/>
          <w:bCs/>
          <w:color w:val="auto"/>
          <w:szCs w:val="21"/>
          <w:highlight w:val="none"/>
          <w:lang w:eastAsia="zh-CN"/>
        </w:rPr>
        <w:t>证明材料</w:t>
      </w:r>
      <w:r>
        <w:rPr>
          <w:rFonts w:hint="eastAsia" w:ascii="宋体" w:hAnsi="宋体" w:eastAsia="宋体" w:cs="宋体"/>
          <w:b/>
          <w:bCs/>
          <w:color w:val="auto"/>
          <w:szCs w:val="21"/>
          <w:highlight w:val="none"/>
        </w:rPr>
        <w:t>扫描件加盖CA签章）</w:t>
      </w:r>
    </w:p>
    <w:p w14:paraId="7D42E752">
      <w:pPr>
        <w:spacing w:line="360" w:lineRule="auto"/>
        <w:rPr>
          <w:rFonts w:hint="eastAsia" w:ascii="宋体" w:hAnsi="宋体" w:eastAsia="宋体" w:cs="宋体"/>
          <w:color w:val="auto"/>
          <w:szCs w:val="21"/>
          <w:highlight w:val="none"/>
        </w:rPr>
      </w:pPr>
    </w:p>
    <w:p w14:paraId="5B9F93F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磋商响应方全称（公章）：</w:t>
      </w:r>
    </w:p>
    <w:p w14:paraId="1F8B5B8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法定代表人或委托代理人</w:t>
      </w:r>
      <w:r>
        <w:rPr>
          <w:rFonts w:hint="eastAsia" w:ascii="宋体" w:hAnsi="宋体" w:eastAsia="宋体" w:cs="宋体"/>
          <w:color w:val="auto"/>
          <w:szCs w:val="21"/>
          <w:highlight w:val="none"/>
        </w:rPr>
        <w:t>（签字或盖章）：</w:t>
      </w:r>
    </w:p>
    <w:p w14:paraId="30A0230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75A3D753">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rPr>
        <w:t>附件6：</w:t>
      </w:r>
    </w:p>
    <w:p w14:paraId="37DC6BC2">
      <w:pPr>
        <w:spacing w:line="5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技术、商务偏离表</w:t>
      </w:r>
    </w:p>
    <w:p w14:paraId="71216B5F">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                                      项目编号：</w:t>
      </w:r>
    </w:p>
    <w:p w14:paraId="622F1BCB">
      <w:pPr>
        <w:ind w:firstLine="420" w:firstLineChars="200"/>
        <w:rPr>
          <w:rFonts w:hint="eastAsia" w:ascii="宋体" w:hAnsi="宋体" w:eastAsia="宋体" w:cs="宋体"/>
          <w:color w:val="auto"/>
          <w:szCs w:val="21"/>
          <w:highlight w:val="none"/>
        </w:rPr>
      </w:pPr>
    </w:p>
    <w:tbl>
      <w:tblPr>
        <w:tblStyle w:val="17"/>
        <w:tblW w:w="870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056"/>
        <w:gridCol w:w="1812"/>
        <w:gridCol w:w="1875"/>
        <w:gridCol w:w="1950"/>
        <w:gridCol w:w="1074"/>
      </w:tblGrid>
      <w:tr w14:paraId="58ABBC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942" w:type="dxa"/>
            <w:tcBorders>
              <w:top w:val="single" w:color="auto" w:sz="12" w:space="0"/>
              <w:bottom w:val="single" w:color="auto" w:sz="12" w:space="0"/>
              <w:right w:val="single" w:color="auto" w:sz="12" w:space="0"/>
            </w:tcBorders>
            <w:noWrap w:val="0"/>
            <w:vAlign w:val="top"/>
          </w:tcPr>
          <w:p w14:paraId="648611EC">
            <w:pPr>
              <w:spacing w:line="380" w:lineRule="exact"/>
              <w:jc w:val="center"/>
              <w:rPr>
                <w:rFonts w:hint="eastAsia" w:ascii="宋体" w:hAnsi="宋体" w:eastAsia="宋体" w:cs="宋体"/>
                <w:color w:val="auto"/>
                <w:szCs w:val="21"/>
                <w:highlight w:val="none"/>
              </w:rPr>
            </w:pPr>
          </w:p>
        </w:tc>
        <w:tc>
          <w:tcPr>
            <w:tcW w:w="1056" w:type="dxa"/>
            <w:tcBorders>
              <w:top w:val="single" w:color="auto" w:sz="12" w:space="0"/>
              <w:left w:val="single" w:color="auto" w:sz="12" w:space="0"/>
              <w:bottom w:val="single" w:color="auto" w:sz="12" w:space="0"/>
            </w:tcBorders>
            <w:noWrap w:val="0"/>
            <w:vAlign w:val="center"/>
          </w:tcPr>
          <w:p w14:paraId="156658B4">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812" w:type="dxa"/>
            <w:tcBorders>
              <w:top w:val="single" w:color="auto" w:sz="12" w:space="0"/>
              <w:bottom w:val="single" w:color="auto" w:sz="12" w:space="0"/>
            </w:tcBorders>
            <w:noWrap w:val="0"/>
            <w:vAlign w:val="center"/>
          </w:tcPr>
          <w:p w14:paraId="669ED21A">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w:t>
            </w:r>
          </w:p>
          <w:p w14:paraId="4659E34D">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条目号</w:t>
            </w:r>
          </w:p>
        </w:tc>
        <w:tc>
          <w:tcPr>
            <w:tcW w:w="1875" w:type="dxa"/>
            <w:tcBorders>
              <w:top w:val="single" w:color="auto" w:sz="12" w:space="0"/>
              <w:bottom w:val="single" w:color="auto" w:sz="12" w:space="0"/>
            </w:tcBorders>
            <w:noWrap w:val="0"/>
            <w:vAlign w:val="center"/>
          </w:tcPr>
          <w:p w14:paraId="303D55C8">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w:t>
            </w:r>
          </w:p>
          <w:p w14:paraId="586840A0">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规范要求</w:t>
            </w:r>
          </w:p>
        </w:tc>
        <w:tc>
          <w:tcPr>
            <w:tcW w:w="1950" w:type="dxa"/>
            <w:tcBorders>
              <w:top w:val="single" w:color="auto" w:sz="12" w:space="0"/>
              <w:bottom w:val="single" w:color="auto" w:sz="12" w:space="0"/>
            </w:tcBorders>
            <w:noWrap w:val="0"/>
            <w:vAlign w:val="center"/>
          </w:tcPr>
          <w:p w14:paraId="36C2658E">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磋商响应文件</w:t>
            </w:r>
          </w:p>
          <w:p w14:paraId="4FE915E9">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对应规范</w:t>
            </w:r>
          </w:p>
        </w:tc>
        <w:tc>
          <w:tcPr>
            <w:tcW w:w="1074" w:type="dxa"/>
            <w:tcBorders>
              <w:top w:val="single" w:color="auto" w:sz="12" w:space="0"/>
              <w:bottom w:val="single" w:color="auto" w:sz="12" w:space="0"/>
            </w:tcBorders>
            <w:noWrap w:val="0"/>
            <w:vAlign w:val="center"/>
          </w:tcPr>
          <w:p w14:paraId="520E07B0">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tc>
      </w:tr>
      <w:tr w14:paraId="39ED2C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942" w:type="dxa"/>
            <w:vMerge w:val="restart"/>
            <w:tcBorders>
              <w:top w:val="single" w:color="auto" w:sz="12" w:space="0"/>
              <w:bottom w:val="single" w:color="auto" w:sz="12" w:space="0"/>
              <w:right w:val="single" w:color="auto" w:sz="12" w:space="0"/>
            </w:tcBorders>
            <w:noWrap w:val="0"/>
            <w:vAlign w:val="center"/>
          </w:tcPr>
          <w:p w14:paraId="4047F608">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w:t>
            </w:r>
          </w:p>
          <w:p w14:paraId="6E50906E">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术</w:t>
            </w:r>
          </w:p>
          <w:p w14:paraId="2D8348DE">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w:t>
            </w:r>
          </w:p>
          <w:p w14:paraId="7B1DD3F0">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格</w:t>
            </w:r>
          </w:p>
        </w:tc>
        <w:tc>
          <w:tcPr>
            <w:tcW w:w="1056" w:type="dxa"/>
            <w:tcBorders>
              <w:top w:val="single" w:color="auto" w:sz="12" w:space="0"/>
              <w:left w:val="single" w:color="auto" w:sz="12" w:space="0"/>
            </w:tcBorders>
            <w:noWrap w:val="0"/>
            <w:vAlign w:val="center"/>
          </w:tcPr>
          <w:p w14:paraId="42D1B492">
            <w:pPr>
              <w:spacing w:line="380" w:lineRule="exact"/>
              <w:ind w:firstLine="420" w:firstLineChars="200"/>
              <w:jc w:val="center"/>
              <w:rPr>
                <w:rFonts w:hint="eastAsia" w:ascii="宋体" w:hAnsi="宋体" w:eastAsia="宋体" w:cs="宋体"/>
                <w:color w:val="auto"/>
                <w:szCs w:val="21"/>
                <w:highlight w:val="none"/>
              </w:rPr>
            </w:pPr>
          </w:p>
          <w:p w14:paraId="2089250B">
            <w:pPr>
              <w:spacing w:line="380" w:lineRule="exact"/>
              <w:ind w:firstLine="210" w:firstLineChars="100"/>
              <w:rPr>
                <w:rFonts w:hint="eastAsia" w:ascii="宋体" w:hAnsi="宋体" w:eastAsia="宋体" w:cs="宋体"/>
                <w:color w:val="auto"/>
                <w:szCs w:val="21"/>
                <w:highlight w:val="none"/>
              </w:rPr>
            </w:pPr>
          </w:p>
        </w:tc>
        <w:tc>
          <w:tcPr>
            <w:tcW w:w="1812" w:type="dxa"/>
            <w:tcBorders>
              <w:top w:val="single" w:color="auto" w:sz="12" w:space="0"/>
            </w:tcBorders>
            <w:noWrap w:val="0"/>
            <w:vAlign w:val="center"/>
          </w:tcPr>
          <w:p w14:paraId="4AB8F7F4">
            <w:pPr>
              <w:spacing w:line="380" w:lineRule="exact"/>
              <w:jc w:val="center"/>
              <w:rPr>
                <w:rFonts w:hint="eastAsia" w:ascii="宋体" w:hAnsi="宋体" w:eastAsia="宋体" w:cs="宋体"/>
                <w:color w:val="auto"/>
                <w:szCs w:val="21"/>
                <w:highlight w:val="none"/>
              </w:rPr>
            </w:pPr>
          </w:p>
        </w:tc>
        <w:tc>
          <w:tcPr>
            <w:tcW w:w="1875" w:type="dxa"/>
            <w:tcBorders>
              <w:top w:val="single" w:color="auto" w:sz="12" w:space="0"/>
            </w:tcBorders>
            <w:noWrap w:val="0"/>
            <w:vAlign w:val="center"/>
          </w:tcPr>
          <w:p w14:paraId="6262F522">
            <w:pPr>
              <w:spacing w:line="380" w:lineRule="exact"/>
              <w:jc w:val="center"/>
              <w:rPr>
                <w:rFonts w:hint="eastAsia" w:ascii="宋体" w:hAnsi="宋体" w:eastAsia="宋体" w:cs="宋体"/>
                <w:color w:val="auto"/>
                <w:szCs w:val="21"/>
                <w:highlight w:val="none"/>
              </w:rPr>
            </w:pPr>
          </w:p>
        </w:tc>
        <w:tc>
          <w:tcPr>
            <w:tcW w:w="1950" w:type="dxa"/>
            <w:tcBorders>
              <w:top w:val="single" w:color="auto" w:sz="12" w:space="0"/>
            </w:tcBorders>
            <w:noWrap w:val="0"/>
            <w:vAlign w:val="center"/>
          </w:tcPr>
          <w:p w14:paraId="0C339334">
            <w:pPr>
              <w:spacing w:line="380" w:lineRule="exact"/>
              <w:jc w:val="center"/>
              <w:rPr>
                <w:rFonts w:hint="eastAsia" w:ascii="宋体" w:hAnsi="宋体" w:eastAsia="宋体" w:cs="宋体"/>
                <w:color w:val="auto"/>
                <w:szCs w:val="21"/>
                <w:highlight w:val="none"/>
              </w:rPr>
            </w:pPr>
          </w:p>
        </w:tc>
        <w:tc>
          <w:tcPr>
            <w:tcW w:w="1074" w:type="dxa"/>
            <w:tcBorders>
              <w:top w:val="single" w:color="auto" w:sz="12" w:space="0"/>
            </w:tcBorders>
            <w:noWrap w:val="0"/>
            <w:vAlign w:val="center"/>
          </w:tcPr>
          <w:p w14:paraId="6A7C1597">
            <w:pPr>
              <w:spacing w:line="380" w:lineRule="exact"/>
              <w:jc w:val="center"/>
              <w:rPr>
                <w:rFonts w:hint="eastAsia" w:ascii="宋体" w:hAnsi="宋体" w:eastAsia="宋体" w:cs="宋体"/>
                <w:color w:val="auto"/>
                <w:szCs w:val="21"/>
                <w:highlight w:val="none"/>
              </w:rPr>
            </w:pPr>
          </w:p>
        </w:tc>
      </w:tr>
      <w:tr w14:paraId="0C8FE3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42" w:type="dxa"/>
            <w:vMerge w:val="continue"/>
            <w:tcBorders>
              <w:bottom w:val="single" w:color="auto" w:sz="12" w:space="0"/>
              <w:right w:val="single" w:color="auto" w:sz="12" w:space="0"/>
            </w:tcBorders>
            <w:noWrap w:val="0"/>
            <w:vAlign w:val="top"/>
          </w:tcPr>
          <w:p w14:paraId="7ACA6297">
            <w:pPr>
              <w:spacing w:line="380" w:lineRule="exact"/>
              <w:ind w:firstLine="210" w:firstLineChars="100"/>
              <w:rPr>
                <w:rFonts w:hint="eastAsia" w:ascii="宋体" w:hAnsi="宋体" w:eastAsia="宋体" w:cs="宋体"/>
                <w:color w:val="auto"/>
                <w:szCs w:val="21"/>
                <w:highlight w:val="none"/>
              </w:rPr>
            </w:pPr>
          </w:p>
        </w:tc>
        <w:tc>
          <w:tcPr>
            <w:tcW w:w="1056" w:type="dxa"/>
            <w:tcBorders>
              <w:left w:val="single" w:color="auto" w:sz="12" w:space="0"/>
            </w:tcBorders>
            <w:noWrap w:val="0"/>
            <w:vAlign w:val="center"/>
          </w:tcPr>
          <w:p w14:paraId="38F77D67">
            <w:pPr>
              <w:spacing w:line="380" w:lineRule="exact"/>
              <w:ind w:firstLine="210" w:firstLineChars="100"/>
              <w:rPr>
                <w:rFonts w:hint="eastAsia" w:ascii="宋体" w:hAnsi="宋体" w:eastAsia="宋体" w:cs="宋体"/>
                <w:color w:val="auto"/>
                <w:szCs w:val="21"/>
                <w:highlight w:val="none"/>
              </w:rPr>
            </w:pPr>
          </w:p>
        </w:tc>
        <w:tc>
          <w:tcPr>
            <w:tcW w:w="1812" w:type="dxa"/>
            <w:noWrap w:val="0"/>
            <w:vAlign w:val="center"/>
          </w:tcPr>
          <w:p w14:paraId="7BE7A8A3">
            <w:pPr>
              <w:spacing w:line="380" w:lineRule="exact"/>
              <w:jc w:val="center"/>
              <w:rPr>
                <w:rFonts w:hint="eastAsia" w:ascii="宋体" w:hAnsi="宋体" w:eastAsia="宋体" w:cs="宋体"/>
                <w:color w:val="auto"/>
                <w:szCs w:val="21"/>
                <w:highlight w:val="none"/>
              </w:rPr>
            </w:pPr>
          </w:p>
        </w:tc>
        <w:tc>
          <w:tcPr>
            <w:tcW w:w="1875" w:type="dxa"/>
            <w:noWrap w:val="0"/>
            <w:vAlign w:val="center"/>
          </w:tcPr>
          <w:p w14:paraId="29BF8D98">
            <w:pPr>
              <w:spacing w:line="380" w:lineRule="exact"/>
              <w:jc w:val="center"/>
              <w:rPr>
                <w:rFonts w:hint="eastAsia" w:ascii="宋体" w:hAnsi="宋体" w:eastAsia="宋体" w:cs="宋体"/>
                <w:color w:val="auto"/>
                <w:szCs w:val="21"/>
                <w:highlight w:val="none"/>
              </w:rPr>
            </w:pPr>
          </w:p>
        </w:tc>
        <w:tc>
          <w:tcPr>
            <w:tcW w:w="1950" w:type="dxa"/>
            <w:noWrap w:val="0"/>
            <w:vAlign w:val="center"/>
          </w:tcPr>
          <w:p w14:paraId="7B0157A2">
            <w:pPr>
              <w:spacing w:line="380" w:lineRule="exact"/>
              <w:jc w:val="center"/>
              <w:rPr>
                <w:rFonts w:hint="eastAsia" w:ascii="宋体" w:hAnsi="宋体" w:eastAsia="宋体" w:cs="宋体"/>
                <w:color w:val="auto"/>
                <w:szCs w:val="21"/>
                <w:highlight w:val="none"/>
              </w:rPr>
            </w:pPr>
          </w:p>
        </w:tc>
        <w:tc>
          <w:tcPr>
            <w:tcW w:w="1074" w:type="dxa"/>
            <w:noWrap w:val="0"/>
            <w:vAlign w:val="center"/>
          </w:tcPr>
          <w:p w14:paraId="7DA496C9">
            <w:pPr>
              <w:spacing w:line="380" w:lineRule="exact"/>
              <w:jc w:val="center"/>
              <w:rPr>
                <w:rFonts w:hint="eastAsia" w:ascii="宋体" w:hAnsi="宋体" w:eastAsia="宋体" w:cs="宋体"/>
                <w:color w:val="auto"/>
                <w:szCs w:val="21"/>
                <w:highlight w:val="none"/>
              </w:rPr>
            </w:pPr>
          </w:p>
        </w:tc>
      </w:tr>
      <w:tr w14:paraId="4125DA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42" w:type="dxa"/>
            <w:vMerge w:val="continue"/>
            <w:tcBorders>
              <w:bottom w:val="single" w:color="auto" w:sz="12" w:space="0"/>
              <w:right w:val="single" w:color="auto" w:sz="12" w:space="0"/>
            </w:tcBorders>
            <w:noWrap w:val="0"/>
            <w:vAlign w:val="top"/>
          </w:tcPr>
          <w:p w14:paraId="15D84478">
            <w:pPr>
              <w:spacing w:line="380" w:lineRule="exact"/>
              <w:jc w:val="center"/>
              <w:rPr>
                <w:rFonts w:hint="eastAsia" w:ascii="宋体" w:hAnsi="宋体" w:eastAsia="宋体" w:cs="宋体"/>
                <w:color w:val="auto"/>
                <w:szCs w:val="21"/>
                <w:highlight w:val="none"/>
              </w:rPr>
            </w:pPr>
          </w:p>
        </w:tc>
        <w:tc>
          <w:tcPr>
            <w:tcW w:w="1056" w:type="dxa"/>
            <w:tcBorders>
              <w:left w:val="single" w:color="auto" w:sz="12" w:space="0"/>
            </w:tcBorders>
            <w:noWrap w:val="0"/>
            <w:vAlign w:val="center"/>
          </w:tcPr>
          <w:p w14:paraId="5383CD38">
            <w:pPr>
              <w:spacing w:line="380" w:lineRule="exact"/>
              <w:jc w:val="center"/>
              <w:rPr>
                <w:rFonts w:hint="eastAsia" w:ascii="宋体" w:hAnsi="宋体" w:eastAsia="宋体" w:cs="宋体"/>
                <w:color w:val="auto"/>
                <w:szCs w:val="21"/>
                <w:highlight w:val="none"/>
              </w:rPr>
            </w:pPr>
          </w:p>
        </w:tc>
        <w:tc>
          <w:tcPr>
            <w:tcW w:w="1812" w:type="dxa"/>
            <w:noWrap w:val="0"/>
            <w:vAlign w:val="center"/>
          </w:tcPr>
          <w:p w14:paraId="36F7EDB0">
            <w:pPr>
              <w:spacing w:line="380" w:lineRule="exact"/>
              <w:jc w:val="center"/>
              <w:rPr>
                <w:rFonts w:hint="eastAsia" w:ascii="宋体" w:hAnsi="宋体" w:eastAsia="宋体" w:cs="宋体"/>
                <w:color w:val="auto"/>
                <w:szCs w:val="21"/>
                <w:highlight w:val="none"/>
              </w:rPr>
            </w:pPr>
          </w:p>
        </w:tc>
        <w:tc>
          <w:tcPr>
            <w:tcW w:w="1875" w:type="dxa"/>
            <w:noWrap w:val="0"/>
            <w:vAlign w:val="center"/>
          </w:tcPr>
          <w:p w14:paraId="1652C8A6">
            <w:pPr>
              <w:spacing w:line="380" w:lineRule="exact"/>
              <w:jc w:val="center"/>
              <w:rPr>
                <w:rFonts w:hint="eastAsia" w:ascii="宋体" w:hAnsi="宋体" w:eastAsia="宋体" w:cs="宋体"/>
                <w:color w:val="auto"/>
                <w:szCs w:val="21"/>
                <w:highlight w:val="none"/>
              </w:rPr>
            </w:pPr>
          </w:p>
        </w:tc>
        <w:tc>
          <w:tcPr>
            <w:tcW w:w="1950" w:type="dxa"/>
            <w:noWrap w:val="0"/>
            <w:vAlign w:val="center"/>
          </w:tcPr>
          <w:p w14:paraId="4D4A57EF">
            <w:pPr>
              <w:spacing w:line="380" w:lineRule="exact"/>
              <w:jc w:val="center"/>
              <w:rPr>
                <w:rFonts w:hint="eastAsia" w:ascii="宋体" w:hAnsi="宋体" w:eastAsia="宋体" w:cs="宋体"/>
                <w:color w:val="auto"/>
                <w:szCs w:val="21"/>
                <w:highlight w:val="none"/>
              </w:rPr>
            </w:pPr>
          </w:p>
        </w:tc>
        <w:tc>
          <w:tcPr>
            <w:tcW w:w="1074" w:type="dxa"/>
            <w:noWrap w:val="0"/>
            <w:vAlign w:val="center"/>
          </w:tcPr>
          <w:p w14:paraId="12FBD752">
            <w:pPr>
              <w:spacing w:line="380" w:lineRule="exact"/>
              <w:jc w:val="center"/>
              <w:rPr>
                <w:rFonts w:hint="eastAsia" w:ascii="宋体" w:hAnsi="宋体" w:eastAsia="宋体" w:cs="宋体"/>
                <w:color w:val="auto"/>
                <w:szCs w:val="21"/>
                <w:highlight w:val="none"/>
              </w:rPr>
            </w:pPr>
          </w:p>
        </w:tc>
      </w:tr>
      <w:tr w14:paraId="429625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42" w:type="dxa"/>
            <w:vMerge w:val="continue"/>
            <w:tcBorders>
              <w:bottom w:val="single" w:color="auto" w:sz="12" w:space="0"/>
              <w:right w:val="single" w:color="auto" w:sz="12" w:space="0"/>
            </w:tcBorders>
            <w:noWrap w:val="0"/>
            <w:vAlign w:val="top"/>
          </w:tcPr>
          <w:p w14:paraId="28FF4FBA">
            <w:pPr>
              <w:spacing w:line="380" w:lineRule="exact"/>
              <w:jc w:val="center"/>
              <w:rPr>
                <w:rFonts w:hint="eastAsia" w:ascii="宋体" w:hAnsi="宋体" w:eastAsia="宋体" w:cs="宋体"/>
                <w:color w:val="auto"/>
                <w:szCs w:val="21"/>
                <w:highlight w:val="none"/>
              </w:rPr>
            </w:pPr>
          </w:p>
        </w:tc>
        <w:tc>
          <w:tcPr>
            <w:tcW w:w="1056" w:type="dxa"/>
            <w:tcBorders>
              <w:left w:val="single" w:color="auto" w:sz="12" w:space="0"/>
            </w:tcBorders>
            <w:noWrap w:val="0"/>
            <w:vAlign w:val="center"/>
          </w:tcPr>
          <w:p w14:paraId="27D632C2">
            <w:pPr>
              <w:spacing w:line="380" w:lineRule="exact"/>
              <w:jc w:val="center"/>
              <w:rPr>
                <w:rFonts w:hint="eastAsia" w:ascii="宋体" w:hAnsi="宋体" w:eastAsia="宋体" w:cs="宋体"/>
                <w:color w:val="auto"/>
                <w:szCs w:val="21"/>
                <w:highlight w:val="none"/>
              </w:rPr>
            </w:pPr>
          </w:p>
        </w:tc>
        <w:tc>
          <w:tcPr>
            <w:tcW w:w="1812" w:type="dxa"/>
            <w:noWrap w:val="0"/>
            <w:vAlign w:val="center"/>
          </w:tcPr>
          <w:p w14:paraId="61A1EFD3">
            <w:pPr>
              <w:spacing w:line="380" w:lineRule="exact"/>
              <w:jc w:val="center"/>
              <w:rPr>
                <w:rFonts w:hint="eastAsia" w:ascii="宋体" w:hAnsi="宋体" w:eastAsia="宋体" w:cs="宋体"/>
                <w:color w:val="auto"/>
                <w:szCs w:val="21"/>
                <w:highlight w:val="none"/>
              </w:rPr>
            </w:pPr>
          </w:p>
        </w:tc>
        <w:tc>
          <w:tcPr>
            <w:tcW w:w="1875" w:type="dxa"/>
            <w:noWrap w:val="0"/>
            <w:vAlign w:val="center"/>
          </w:tcPr>
          <w:p w14:paraId="53143739">
            <w:pPr>
              <w:spacing w:line="380" w:lineRule="exact"/>
              <w:jc w:val="center"/>
              <w:rPr>
                <w:rFonts w:hint="eastAsia" w:ascii="宋体" w:hAnsi="宋体" w:eastAsia="宋体" w:cs="宋体"/>
                <w:color w:val="auto"/>
                <w:szCs w:val="21"/>
                <w:highlight w:val="none"/>
              </w:rPr>
            </w:pPr>
          </w:p>
        </w:tc>
        <w:tc>
          <w:tcPr>
            <w:tcW w:w="1950" w:type="dxa"/>
            <w:noWrap w:val="0"/>
            <w:vAlign w:val="center"/>
          </w:tcPr>
          <w:p w14:paraId="5E5A80B9">
            <w:pPr>
              <w:spacing w:line="380" w:lineRule="exact"/>
              <w:jc w:val="center"/>
              <w:rPr>
                <w:rFonts w:hint="eastAsia" w:ascii="宋体" w:hAnsi="宋体" w:eastAsia="宋体" w:cs="宋体"/>
                <w:color w:val="auto"/>
                <w:szCs w:val="21"/>
                <w:highlight w:val="none"/>
              </w:rPr>
            </w:pPr>
          </w:p>
        </w:tc>
        <w:tc>
          <w:tcPr>
            <w:tcW w:w="1074" w:type="dxa"/>
            <w:noWrap w:val="0"/>
            <w:vAlign w:val="center"/>
          </w:tcPr>
          <w:p w14:paraId="66D50E14">
            <w:pPr>
              <w:spacing w:line="380" w:lineRule="exact"/>
              <w:jc w:val="center"/>
              <w:rPr>
                <w:rFonts w:hint="eastAsia" w:ascii="宋体" w:hAnsi="宋体" w:eastAsia="宋体" w:cs="宋体"/>
                <w:color w:val="auto"/>
                <w:szCs w:val="21"/>
                <w:highlight w:val="none"/>
              </w:rPr>
            </w:pPr>
          </w:p>
        </w:tc>
      </w:tr>
      <w:tr w14:paraId="027902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42" w:type="dxa"/>
            <w:vMerge w:val="continue"/>
            <w:tcBorders>
              <w:bottom w:val="single" w:color="auto" w:sz="12" w:space="0"/>
              <w:right w:val="single" w:color="auto" w:sz="12" w:space="0"/>
            </w:tcBorders>
            <w:noWrap w:val="0"/>
            <w:vAlign w:val="top"/>
          </w:tcPr>
          <w:p w14:paraId="3613819C">
            <w:pPr>
              <w:spacing w:line="380" w:lineRule="exact"/>
              <w:jc w:val="center"/>
              <w:rPr>
                <w:rFonts w:hint="eastAsia" w:ascii="宋体" w:hAnsi="宋体" w:eastAsia="宋体" w:cs="宋体"/>
                <w:color w:val="auto"/>
                <w:szCs w:val="21"/>
                <w:highlight w:val="none"/>
              </w:rPr>
            </w:pPr>
          </w:p>
        </w:tc>
        <w:tc>
          <w:tcPr>
            <w:tcW w:w="1056" w:type="dxa"/>
            <w:tcBorders>
              <w:left w:val="single" w:color="auto" w:sz="12" w:space="0"/>
              <w:bottom w:val="single" w:color="auto" w:sz="12" w:space="0"/>
            </w:tcBorders>
            <w:noWrap w:val="0"/>
            <w:vAlign w:val="center"/>
          </w:tcPr>
          <w:p w14:paraId="2DEFFEE7">
            <w:pPr>
              <w:spacing w:line="380" w:lineRule="exact"/>
              <w:jc w:val="center"/>
              <w:rPr>
                <w:rFonts w:hint="eastAsia" w:ascii="宋体" w:hAnsi="宋体" w:eastAsia="宋体" w:cs="宋体"/>
                <w:color w:val="auto"/>
                <w:szCs w:val="21"/>
                <w:highlight w:val="none"/>
              </w:rPr>
            </w:pPr>
          </w:p>
        </w:tc>
        <w:tc>
          <w:tcPr>
            <w:tcW w:w="1812" w:type="dxa"/>
            <w:tcBorders>
              <w:bottom w:val="single" w:color="auto" w:sz="12" w:space="0"/>
            </w:tcBorders>
            <w:noWrap w:val="0"/>
            <w:vAlign w:val="center"/>
          </w:tcPr>
          <w:p w14:paraId="18BA7035">
            <w:pPr>
              <w:spacing w:line="380" w:lineRule="exact"/>
              <w:jc w:val="center"/>
              <w:rPr>
                <w:rFonts w:hint="eastAsia" w:ascii="宋体" w:hAnsi="宋体" w:eastAsia="宋体" w:cs="宋体"/>
                <w:color w:val="auto"/>
                <w:szCs w:val="21"/>
                <w:highlight w:val="none"/>
              </w:rPr>
            </w:pPr>
          </w:p>
        </w:tc>
        <w:tc>
          <w:tcPr>
            <w:tcW w:w="1875" w:type="dxa"/>
            <w:tcBorders>
              <w:bottom w:val="single" w:color="auto" w:sz="12" w:space="0"/>
            </w:tcBorders>
            <w:noWrap w:val="0"/>
            <w:vAlign w:val="center"/>
          </w:tcPr>
          <w:p w14:paraId="6E11F447">
            <w:pPr>
              <w:spacing w:line="380" w:lineRule="exact"/>
              <w:jc w:val="center"/>
              <w:rPr>
                <w:rFonts w:hint="eastAsia" w:ascii="宋体" w:hAnsi="宋体" w:eastAsia="宋体" w:cs="宋体"/>
                <w:color w:val="auto"/>
                <w:szCs w:val="21"/>
                <w:highlight w:val="none"/>
              </w:rPr>
            </w:pPr>
          </w:p>
        </w:tc>
        <w:tc>
          <w:tcPr>
            <w:tcW w:w="1950" w:type="dxa"/>
            <w:tcBorders>
              <w:bottom w:val="single" w:color="auto" w:sz="12" w:space="0"/>
            </w:tcBorders>
            <w:noWrap w:val="0"/>
            <w:vAlign w:val="center"/>
          </w:tcPr>
          <w:p w14:paraId="46C97A66">
            <w:pPr>
              <w:spacing w:line="380" w:lineRule="exact"/>
              <w:jc w:val="center"/>
              <w:rPr>
                <w:rFonts w:hint="eastAsia" w:ascii="宋体" w:hAnsi="宋体" w:eastAsia="宋体" w:cs="宋体"/>
                <w:color w:val="auto"/>
                <w:szCs w:val="21"/>
                <w:highlight w:val="none"/>
              </w:rPr>
            </w:pPr>
          </w:p>
        </w:tc>
        <w:tc>
          <w:tcPr>
            <w:tcW w:w="1074" w:type="dxa"/>
            <w:tcBorders>
              <w:bottom w:val="single" w:color="auto" w:sz="12" w:space="0"/>
            </w:tcBorders>
            <w:noWrap w:val="0"/>
            <w:vAlign w:val="center"/>
          </w:tcPr>
          <w:p w14:paraId="3492C503">
            <w:pPr>
              <w:spacing w:line="380" w:lineRule="exact"/>
              <w:jc w:val="center"/>
              <w:rPr>
                <w:rFonts w:hint="eastAsia" w:ascii="宋体" w:hAnsi="宋体" w:eastAsia="宋体" w:cs="宋体"/>
                <w:color w:val="auto"/>
                <w:szCs w:val="21"/>
                <w:highlight w:val="none"/>
              </w:rPr>
            </w:pPr>
          </w:p>
        </w:tc>
      </w:tr>
      <w:tr w14:paraId="6750D8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942" w:type="dxa"/>
            <w:vMerge w:val="restart"/>
            <w:tcBorders>
              <w:bottom w:val="single" w:color="auto" w:sz="12" w:space="0"/>
              <w:right w:val="single" w:color="auto" w:sz="12" w:space="0"/>
            </w:tcBorders>
            <w:noWrap w:val="0"/>
            <w:vAlign w:val="center"/>
          </w:tcPr>
          <w:p w14:paraId="4BB9AA4A">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w:t>
            </w:r>
          </w:p>
          <w:p w14:paraId="5FC354FB">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务</w:t>
            </w:r>
          </w:p>
          <w:p w14:paraId="2F6AF795">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w:t>
            </w:r>
          </w:p>
          <w:p w14:paraId="44D46DD4">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款</w:t>
            </w:r>
          </w:p>
        </w:tc>
        <w:tc>
          <w:tcPr>
            <w:tcW w:w="1056" w:type="dxa"/>
            <w:tcBorders>
              <w:top w:val="single" w:color="auto" w:sz="12" w:space="0"/>
              <w:left w:val="single" w:color="auto" w:sz="12" w:space="0"/>
            </w:tcBorders>
            <w:noWrap w:val="0"/>
            <w:vAlign w:val="center"/>
          </w:tcPr>
          <w:p w14:paraId="268E61B3">
            <w:pPr>
              <w:spacing w:line="380" w:lineRule="exact"/>
              <w:jc w:val="center"/>
              <w:rPr>
                <w:rFonts w:hint="eastAsia" w:ascii="宋体" w:hAnsi="宋体" w:eastAsia="宋体" w:cs="宋体"/>
                <w:color w:val="auto"/>
                <w:szCs w:val="21"/>
                <w:highlight w:val="none"/>
              </w:rPr>
            </w:pPr>
          </w:p>
          <w:p w14:paraId="38973F59">
            <w:pPr>
              <w:spacing w:line="380" w:lineRule="exact"/>
              <w:jc w:val="center"/>
              <w:rPr>
                <w:rFonts w:hint="eastAsia" w:ascii="宋体" w:hAnsi="宋体" w:eastAsia="宋体" w:cs="宋体"/>
                <w:color w:val="auto"/>
                <w:szCs w:val="21"/>
                <w:highlight w:val="none"/>
              </w:rPr>
            </w:pPr>
          </w:p>
        </w:tc>
        <w:tc>
          <w:tcPr>
            <w:tcW w:w="1812" w:type="dxa"/>
            <w:tcBorders>
              <w:top w:val="single" w:color="auto" w:sz="12" w:space="0"/>
            </w:tcBorders>
            <w:noWrap w:val="0"/>
            <w:vAlign w:val="center"/>
          </w:tcPr>
          <w:p w14:paraId="1F931631">
            <w:pPr>
              <w:spacing w:line="380" w:lineRule="exact"/>
              <w:jc w:val="center"/>
              <w:rPr>
                <w:rFonts w:hint="eastAsia" w:ascii="宋体" w:hAnsi="宋体" w:eastAsia="宋体" w:cs="宋体"/>
                <w:color w:val="auto"/>
                <w:szCs w:val="21"/>
                <w:highlight w:val="none"/>
              </w:rPr>
            </w:pPr>
          </w:p>
        </w:tc>
        <w:tc>
          <w:tcPr>
            <w:tcW w:w="1875" w:type="dxa"/>
            <w:tcBorders>
              <w:top w:val="single" w:color="auto" w:sz="12" w:space="0"/>
            </w:tcBorders>
            <w:noWrap w:val="0"/>
            <w:vAlign w:val="center"/>
          </w:tcPr>
          <w:p w14:paraId="7A5C6E03">
            <w:pPr>
              <w:spacing w:line="380" w:lineRule="exact"/>
              <w:jc w:val="center"/>
              <w:rPr>
                <w:rFonts w:hint="eastAsia" w:ascii="宋体" w:hAnsi="宋体" w:eastAsia="宋体" w:cs="宋体"/>
                <w:color w:val="auto"/>
                <w:szCs w:val="21"/>
                <w:highlight w:val="none"/>
              </w:rPr>
            </w:pPr>
          </w:p>
        </w:tc>
        <w:tc>
          <w:tcPr>
            <w:tcW w:w="1950" w:type="dxa"/>
            <w:tcBorders>
              <w:top w:val="single" w:color="auto" w:sz="12" w:space="0"/>
            </w:tcBorders>
            <w:noWrap w:val="0"/>
            <w:vAlign w:val="center"/>
          </w:tcPr>
          <w:p w14:paraId="5D21CC3F">
            <w:pPr>
              <w:spacing w:line="380" w:lineRule="exact"/>
              <w:jc w:val="center"/>
              <w:rPr>
                <w:rFonts w:hint="eastAsia" w:ascii="宋体" w:hAnsi="宋体" w:eastAsia="宋体" w:cs="宋体"/>
                <w:color w:val="auto"/>
                <w:szCs w:val="21"/>
                <w:highlight w:val="none"/>
              </w:rPr>
            </w:pPr>
          </w:p>
        </w:tc>
        <w:tc>
          <w:tcPr>
            <w:tcW w:w="1074" w:type="dxa"/>
            <w:tcBorders>
              <w:top w:val="single" w:color="auto" w:sz="12" w:space="0"/>
            </w:tcBorders>
            <w:noWrap w:val="0"/>
            <w:vAlign w:val="center"/>
          </w:tcPr>
          <w:p w14:paraId="05ADFBD8">
            <w:pPr>
              <w:spacing w:line="380" w:lineRule="exact"/>
              <w:jc w:val="center"/>
              <w:rPr>
                <w:rFonts w:hint="eastAsia" w:ascii="宋体" w:hAnsi="宋体" w:eastAsia="宋体" w:cs="宋体"/>
                <w:color w:val="auto"/>
                <w:szCs w:val="21"/>
                <w:highlight w:val="none"/>
              </w:rPr>
            </w:pPr>
          </w:p>
        </w:tc>
      </w:tr>
      <w:tr w14:paraId="5D6CD5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42" w:type="dxa"/>
            <w:vMerge w:val="continue"/>
            <w:tcBorders>
              <w:bottom w:val="single" w:color="auto" w:sz="12" w:space="0"/>
              <w:right w:val="single" w:color="auto" w:sz="12" w:space="0"/>
            </w:tcBorders>
            <w:noWrap w:val="0"/>
            <w:vAlign w:val="top"/>
          </w:tcPr>
          <w:p w14:paraId="00CA191A">
            <w:pPr>
              <w:spacing w:line="380" w:lineRule="exact"/>
              <w:jc w:val="center"/>
              <w:rPr>
                <w:rFonts w:hint="eastAsia" w:ascii="宋体" w:hAnsi="宋体" w:eastAsia="宋体" w:cs="宋体"/>
                <w:color w:val="auto"/>
                <w:szCs w:val="21"/>
                <w:highlight w:val="none"/>
              </w:rPr>
            </w:pPr>
          </w:p>
        </w:tc>
        <w:tc>
          <w:tcPr>
            <w:tcW w:w="1056" w:type="dxa"/>
            <w:tcBorders>
              <w:left w:val="single" w:color="auto" w:sz="12" w:space="0"/>
            </w:tcBorders>
            <w:noWrap w:val="0"/>
            <w:vAlign w:val="center"/>
          </w:tcPr>
          <w:p w14:paraId="51701094">
            <w:pPr>
              <w:spacing w:line="380" w:lineRule="exact"/>
              <w:jc w:val="center"/>
              <w:rPr>
                <w:rFonts w:hint="eastAsia" w:ascii="宋体" w:hAnsi="宋体" w:eastAsia="宋体" w:cs="宋体"/>
                <w:color w:val="auto"/>
                <w:szCs w:val="21"/>
                <w:highlight w:val="none"/>
              </w:rPr>
            </w:pPr>
          </w:p>
        </w:tc>
        <w:tc>
          <w:tcPr>
            <w:tcW w:w="1812" w:type="dxa"/>
            <w:noWrap w:val="0"/>
            <w:vAlign w:val="center"/>
          </w:tcPr>
          <w:p w14:paraId="29C53FAC">
            <w:pPr>
              <w:spacing w:line="380" w:lineRule="exact"/>
              <w:jc w:val="center"/>
              <w:rPr>
                <w:rFonts w:hint="eastAsia" w:ascii="宋体" w:hAnsi="宋体" w:eastAsia="宋体" w:cs="宋体"/>
                <w:color w:val="auto"/>
                <w:szCs w:val="21"/>
                <w:highlight w:val="none"/>
              </w:rPr>
            </w:pPr>
          </w:p>
        </w:tc>
        <w:tc>
          <w:tcPr>
            <w:tcW w:w="1875" w:type="dxa"/>
            <w:noWrap w:val="0"/>
            <w:vAlign w:val="center"/>
          </w:tcPr>
          <w:p w14:paraId="2DC42F4B">
            <w:pPr>
              <w:spacing w:line="380" w:lineRule="exact"/>
              <w:jc w:val="center"/>
              <w:rPr>
                <w:rFonts w:hint="eastAsia" w:ascii="宋体" w:hAnsi="宋体" w:eastAsia="宋体" w:cs="宋体"/>
                <w:color w:val="auto"/>
                <w:szCs w:val="21"/>
                <w:highlight w:val="none"/>
              </w:rPr>
            </w:pPr>
          </w:p>
        </w:tc>
        <w:tc>
          <w:tcPr>
            <w:tcW w:w="1950" w:type="dxa"/>
            <w:noWrap w:val="0"/>
            <w:vAlign w:val="center"/>
          </w:tcPr>
          <w:p w14:paraId="7FADB1DC">
            <w:pPr>
              <w:spacing w:line="380" w:lineRule="exact"/>
              <w:jc w:val="center"/>
              <w:rPr>
                <w:rFonts w:hint="eastAsia" w:ascii="宋体" w:hAnsi="宋体" w:eastAsia="宋体" w:cs="宋体"/>
                <w:color w:val="auto"/>
                <w:szCs w:val="21"/>
                <w:highlight w:val="none"/>
              </w:rPr>
            </w:pPr>
          </w:p>
        </w:tc>
        <w:tc>
          <w:tcPr>
            <w:tcW w:w="1074" w:type="dxa"/>
            <w:noWrap w:val="0"/>
            <w:vAlign w:val="center"/>
          </w:tcPr>
          <w:p w14:paraId="361CD77A">
            <w:pPr>
              <w:spacing w:line="380" w:lineRule="exact"/>
              <w:jc w:val="center"/>
              <w:rPr>
                <w:rFonts w:hint="eastAsia" w:ascii="宋体" w:hAnsi="宋体" w:eastAsia="宋体" w:cs="宋体"/>
                <w:color w:val="auto"/>
                <w:szCs w:val="21"/>
                <w:highlight w:val="none"/>
              </w:rPr>
            </w:pPr>
          </w:p>
        </w:tc>
      </w:tr>
      <w:tr w14:paraId="32E5ED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42" w:type="dxa"/>
            <w:vMerge w:val="continue"/>
            <w:tcBorders>
              <w:bottom w:val="single" w:color="auto" w:sz="12" w:space="0"/>
              <w:right w:val="single" w:color="auto" w:sz="12" w:space="0"/>
            </w:tcBorders>
            <w:noWrap w:val="0"/>
            <w:vAlign w:val="top"/>
          </w:tcPr>
          <w:p w14:paraId="36A3D62A">
            <w:pPr>
              <w:spacing w:line="380" w:lineRule="exact"/>
              <w:jc w:val="center"/>
              <w:rPr>
                <w:rFonts w:hint="eastAsia" w:ascii="宋体" w:hAnsi="宋体" w:eastAsia="宋体" w:cs="宋体"/>
                <w:color w:val="auto"/>
                <w:szCs w:val="21"/>
                <w:highlight w:val="none"/>
              </w:rPr>
            </w:pPr>
          </w:p>
        </w:tc>
        <w:tc>
          <w:tcPr>
            <w:tcW w:w="1056" w:type="dxa"/>
            <w:tcBorders>
              <w:left w:val="single" w:color="auto" w:sz="12" w:space="0"/>
            </w:tcBorders>
            <w:noWrap w:val="0"/>
            <w:vAlign w:val="center"/>
          </w:tcPr>
          <w:p w14:paraId="5A0DF2C6">
            <w:pPr>
              <w:spacing w:line="380" w:lineRule="exact"/>
              <w:jc w:val="center"/>
              <w:rPr>
                <w:rFonts w:hint="eastAsia" w:ascii="宋体" w:hAnsi="宋体" w:eastAsia="宋体" w:cs="宋体"/>
                <w:color w:val="auto"/>
                <w:szCs w:val="21"/>
                <w:highlight w:val="none"/>
              </w:rPr>
            </w:pPr>
          </w:p>
        </w:tc>
        <w:tc>
          <w:tcPr>
            <w:tcW w:w="1812" w:type="dxa"/>
            <w:noWrap w:val="0"/>
            <w:vAlign w:val="center"/>
          </w:tcPr>
          <w:p w14:paraId="6D87067E">
            <w:pPr>
              <w:spacing w:line="380" w:lineRule="exact"/>
              <w:jc w:val="center"/>
              <w:rPr>
                <w:rFonts w:hint="eastAsia" w:ascii="宋体" w:hAnsi="宋体" w:eastAsia="宋体" w:cs="宋体"/>
                <w:color w:val="auto"/>
                <w:szCs w:val="21"/>
                <w:highlight w:val="none"/>
              </w:rPr>
            </w:pPr>
          </w:p>
        </w:tc>
        <w:tc>
          <w:tcPr>
            <w:tcW w:w="1875" w:type="dxa"/>
            <w:noWrap w:val="0"/>
            <w:vAlign w:val="center"/>
          </w:tcPr>
          <w:p w14:paraId="0853CA0C">
            <w:pPr>
              <w:spacing w:line="380" w:lineRule="exact"/>
              <w:jc w:val="center"/>
              <w:rPr>
                <w:rFonts w:hint="eastAsia" w:ascii="宋体" w:hAnsi="宋体" w:eastAsia="宋体" w:cs="宋体"/>
                <w:color w:val="auto"/>
                <w:szCs w:val="21"/>
                <w:highlight w:val="none"/>
              </w:rPr>
            </w:pPr>
          </w:p>
        </w:tc>
        <w:tc>
          <w:tcPr>
            <w:tcW w:w="1950" w:type="dxa"/>
            <w:noWrap w:val="0"/>
            <w:vAlign w:val="center"/>
          </w:tcPr>
          <w:p w14:paraId="34C42E0F">
            <w:pPr>
              <w:spacing w:line="380" w:lineRule="exact"/>
              <w:jc w:val="center"/>
              <w:rPr>
                <w:rFonts w:hint="eastAsia" w:ascii="宋体" w:hAnsi="宋体" w:eastAsia="宋体" w:cs="宋体"/>
                <w:color w:val="auto"/>
                <w:szCs w:val="21"/>
                <w:highlight w:val="none"/>
              </w:rPr>
            </w:pPr>
          </w:p>
        </w:tc>
        <w:tc>
          <w:tcPr>
            <w:tcW w:w="1074" w:type="dxa"/>
            <w:noWrap w:val="0"/>
            <w:vAlign w:val="center"/>
          </w:tcPr>
          <w:p w14:paraId="741F26EA">
            <w:pPr>
              <w:spacing w:line="380" w:lineRule="exact"/>
              <w:jc w:val="center"/>
              <w:rPr>
                <w:rFonts w:hint="eastAsia" w:ascii="宋体" w:hAnsi="宋体" w:eastAsia="宋体" w:cs="宋体"/>
                <w:color w:val="auto"/>
                <w:szCs w:val="21"/>
                <w:highlight w:val="none"/>
              </w:rPr>
            </w:pPr>
          </w:p>
        </w:tc>
      </w:tr>
      <w:tr w14:paraId="583BAA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42" w:type="dxa"/>
            <w:vMerge w:val="continue"/>
            <w:tcBorders>
              <w:bottom w:val="single" w:color="auto" w:sz="12" w:space="0"/>
              <w:right w:val="single" w:color="auto" w:sz="12" w:space="0"/>
            </w:tcBorders>
            <w:noWrap w:val="0"/>
            <w:vAlign w:val="top"/>
          </w:tcPr>
          <w:p w14:paraId="00A1FC79">
            <w:pPr>
              <w:spacing w:line="380" w:lineRule="exact"/>
              <w:jc w:val="center"/>
              <w:rPr>
                <w:rFonts w:hint="eastAsia" w:ascii="宋体" w:hAnsi="宋体" w:eastAsia="宋体" w:cs="宋体"/>
                <w:color w:val="auto"/>
                <w:szCs w:val="21"/>
                <w:highlight w:val="none"/>
              </w:rPr>
            </w:pPr>
          </w:p>
        </w:tc>
        <w:tc>
          <w:tcPr>
            <w:tcW w:w="1056" w:type="dxa"/>
            <w:tcBorders>
              <w:left w:val="single" w:color="auto" w:sz="12" w:space="0"/>
            </w:tcBorders>
            <w:noWrap w:val="0"/>
            <w:vAlign w:val="center"/>
          </w:tcPr>
          <w:p w14:paraId="532A77B0">
            <w:pPr>
              <w:spacing w:line="380" w:lineRule="exact"/>
              <w:jc w:val="center"/>
              <w:rPr>
                <w:rFonts w:hint="eastAsia" w:ascii="宋体" w:hAnsi="宋体" w:eastAsia="宋体" w:cs="宋体"/>
                <w:color w:val="auto"/>
                <w:szCs w:val="21"/>
                <w:highlight w:val="none"/>
              </w:rPr>
            </w:pPr>
          </w:p>
        </w:tc>
        <w:tc>
          <w:tcPr>
            <w:tcW w:w="1812" w:type="dxa"/>
            <w:noWrap w:val="0"/>
            <w:vAlign w:val="center"/>
          </w:tcPr>
          <w:p w14:paraId="4E496CE4">
            <w:pPr>
              <w:spacing w:line="380" w:lineRule="exact"/>
              <w:jc w:val="center"/>
              <w:rPr>
                <w:rFonts w:hint="eastAsia" w:ascii="宋体" w:hAnsi="宋体" w:eastAsia="宋体" w:cs="宋体"/>
                <w:color w:val="auto"/>
                <w:szCs w:val="21"/>
                <w:highlight w:val="none"/>
              </w:rPr>
            </w:pPr>
          </w:p>
        </w:tc>
        <w:tc>
          <w:tcPr>
            <w:tcW w:w="1875" w:type="dxa"/>
            <w:noWrap w:val="0"/>
            <w:vAlign w:val="center"/>
          </w:tcPr>
          <w:p w14:paraId="1031DE26">
            <w:pPr>
              <w:spacing w:line="380" w:lineRule="exact"/>
              <w:jc w:val="center"/>
              <w:rPr>
                <w:rFonts w:hint="eastAsia" w:ascii="宋体" w:hAnsi="宋体" w:eastAsia="宋体" w:cs="宋体"/>
                <w:color w:val="auto"/>
                <w:szCs w:val="21"/>
                <w:highlight w:val="none"/>
              </w:rPr>
            </w:pPr>
          </w:p>
        </w:tc>
        <w:tc>
          <w:tcPr>
            <w:tcW w:w="1950" w:type="dxa"/>
            <w:noWrap w:val="0"/>
            <w:vAlign w:val="center"/>
          </w:tcPr>
          <w:p w14:paraId="3423C0E2">
            <w:pPr>
              <w:spacing w:line="380" w:lineRule="exact"/>
              <w:jc w:val="center"/>
              <w:rPr>
                <w:rFonts w:hint="eastAsia" w:ascii="宋体" w:hAnsi="宋体" w:eastAsia="宋体" w:cs="宋体"/>
                <w:color w:val="auto"/>
                <w:szCs w:val="21"/>
                <w:highlight w:val="none"/>
              </w:rPr>
            </w:pPr>
          </w:p>
        </w:tc>
        <w:tc>
          <w:tcPr>
            <w:tcW w:w="1074" w:type="dxa"/>
            <w:noWrap w:val="0"/>
            <w:vAlign w:val="center"/>
          </w:tcPr>
          <w:p w14:paraId="42F74665">
            <w:pPr>
              <w:spacing w:line="380" w:lineRule="exact"/>
              <w:jc w:val="center"/>
              <w:rPr>
                <w:rFonts w:hint="eastAsia" w:ascii="宋体" w:hAnsi="宋体" w:eastAsia="宋体" w:cs="宋体"/>
                <w:color w:val="auto"/>
                <w:szCs w:val="21"/>
                <w:highlight w:val="none"/>
              </w:rPr>
            </w:pPr>
          </w:p>
        </w:tc>
      </w:tr>
      <w:tr w14:paraId="2A23EE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42" w:type="dxa"/>
            <w:vMerge w:val="continue"/>
            <w:tcBorders>
              <w:bottom w:val="single" w:color="auto" w:sz="12" w:space="0"/>
              <w:right w:val="single" w:color="auto" w:sz="12" w:space="0"/>
            </w:tcBorders>
            <w:noWrap w:val="0"/>
            <w:vAlign w:val="top"/>
          </w:tcPr>
          <w:p w14:paraId="6AF69802">
            <w:pPr>
              <w:spacing w:line="380" w:lineRule="exact"/>
              <w:jc w:val="center"/>
              <w:rPr>
                <w:rFonts w:hint="eastAsia" w:ascii="宋体" w:hAnsi="宋体" w:eastAsia="宋体" w:cs="宋体"/>
                <w:color w:val="auto"/>
                <w:szCs w:val="21"/>
                <w:highlight w:val="none"/>
              </w:rPr>
            </w:pPr>
          </w:p>
        </w:tc>
        <w:tc>
          <w:tcPr>
            <w:tcW w:w="1056" w:type="dxa"/>
            <w:tcBorders>
              <w:left w:val="single" w:color="auto" w:sz="12" w:space="0"/>
              <w:bottom w:val="single" w:color="auto" w:sz="12" w:space="0"/>
            </w:tcBorders>
            <w:noWrap w:val="0"/>
            <w:vAlign w:val="center"/>
          </w:tcPr>
          <w:p w14:paraId="4B0F535D">
            <w:pPr>
              <w:spacing w:line="380" w:lineRule="exact"/>
              <w:jc w:val="center"/>
              <w:rPr>
                <w:rFonts w:hint="eastAsia" w:ascii="宋体" w:hAnsi="宋体" w:eastAsia="宋体" w:cs="宋体"/>
                <w:color w:val="auto"/>
                <w:szCs w:val="21"/>
                <w:highlight w:val="none"/>
              </w:rPr>
            </w:pPr>
          </w:p>
        </w:tc>
        <w:tc>
          <w:tcPr>
            <w:tcW w:w="1812" w:type="dxa"/>
            <w:tcBorders>
              <w:bottom w:val="single" w:color="auto" w:sz="12" w:space="0"/>
            </w:tcBorders>
            <w:noWrap w:val="0"/>
            <w:vAlign w:val="center"/>
          </w:tcPr>
          <w:p w14:paraId="7634488F">
            <w:pPr>
              <w:spacing w:line="380" w:lineRule="exact"/>
              <w:jc w:val="center"/>
              <w:rPr>
                <w:rFonts w:hint="eastAsia" w:ascii="宋体" w:hAnsi="宋体" w:eastAsia="宋体" w:cs="宋体"/>
                <w:color w:val="auto"/>
                <w:szCs w:val="21"/>
                <w:highlight w:val="none"/>
              </w:rPr>
            </w:pPr>
          </w:p>
        </w:tc>
        <w:tc>
          <w:tcPr>
            <w:tcW w:w="1875" w:type="dxa"/>
            <w:tcBorders>
              <w:bottom w:val="single" w:color="auto" w:sz="12" w:space="0"/>
            </w:tcBorders>
            <w:noWrap w:val="0"/>
            <w:vAlign w:val="center"/>
          </w:tcPr>
          <w:p w14:paraId="40909B8A">
            <w:pPr>
              <w:spacing w:line="380" w:lineRule="exact"/>
              <w:jc w:val="center"/>
              <w:rPr>
                <w:rFonts w:hint="eastAsia" w:ascii="宋体" w:hAnsi="宋体" w:eastAsia="宋体" w:cs="宋体"/>
                <w:color w:val="auto"/>
                <w:szCs w:val="21"/>
                <w:highlight w:val="none"/>
              </w:rPr>
            </w:pPr>
          </w:p>
        </w:tc>
        <w:tc>
          <w:tcPr>
            <w:tcW w:w="1950" w:type="dxa"/>
            <w:tcBorders>
              <w:bottom w:val="single" w:color="auto" w:sz="12" w:space="0"/>
            </w:tcBorders>
            <w:noWrap w:val="0"/>
            <w:vAlign w:val="center"/>
          </w:tcPr>
          <w:p w14:paraId="5421FAF5">
            <w:pPr>
              <w:spacing w:line="380" w:lineRule="exact"/>
              <w:jc w:val="center"/>
              <w:rPr>
                <w:rFonts w:hint="eastAsia" w:ascii="宋体" w:hAnsi="宋体" w:eastAsia="宋体" w:cs="宋体"/>
                <w:color w:val="auto"/>
                <w:szCs w:val="21"/>
                <w:highlight w:val="none"/>
              </w:rPr>
            </w:pPr>
          </w:p>
        </w:tc>
        <w:tc>
          <w:tcPr>
            <w:tcW w:w="1074" w:type="dxa"/>
            <w:tcBorders>
              <w:bottom w:val="single" w:color="auto" w:sz="12" w:space="0"/>
            </w:tcBorders>
            <w:noWrap w:val="0"/>
            <w:vAlign w:val="center"/>
          </w:tcPr>
          <w:p w14:paraId="32669663">
            <w:pPr>
              <w:spacing w:line="380" w:lineRule="exact"/>
              <w:jc w:val="center"/>
              <w:rPr>
                <w:rFonts w:hint="eastAsia" w:ascii="宋体" w:hAnsi="宋体" w:eastAsia="宋体" w:cs="宋体"/>
                <w:color w:val="auto"/>
                <w:szCs w:val="21"/>
                <w:highlight w:val="none"/>
              </w:rPr>
            </w:pPr>
          </w:p>
        </w:tc>
      </w:tr>
    </w:tbl>
    <w:p w14:paraId="4DF7C22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注：1.若磋商响应方在磋商响应文件中对磋商文件规定的内容、要求、质量标准、付款方式及其他各项要求存在偏离（含正偏离或负偏离），须填写说明偏离内容，否则可能作出对磋商响应方不利的评定。</w:t>
      </w:r>
    </w:p>
    <w:p w14:paraId="716C141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2.磋商响应方如无偏离请在表中注明。</w:t>
      </w:r>
    </w:p>
    <w:p w14:paraId="5943D8C3">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3.不提供此表或注明“无偏离”均将视为磋商响应方完全响应及满足磋商文件要求。</w:t>
      </w:r>
    </w:p>
    <w:p w14:paraId="699E780F">
      <w:pPr>
        <w:spacing w:line="360" w:lineRule="auto"/>
        <w:rPr>
          <w:rFonts w:hint="eastAsia" w:ascii="宋体" w:hAnsi="宋体" w:eastAsia="宋体" w:cs="宋体"/>
          <w:color w:val="auto"/>
          <w:szCs w:val="21"/>
          <w:highlight w:val="none"/>
        </w:rPr>
      </w:pPr>
    </w:p>
    <w:p w14:paraId="242E2B9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磋商响应方全称（公章）：</w:t>
      </w:r>
    </w:p>
    <w:p w14:paraId="65CBB87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法定代表人或委托代理人</w:t>
      </w:r>
      <w:r>
        <w:rPr>
          <w:rFonts w:hint="eastAsia" w:ascii="宋体" w:hAnsi="宋体" w:eastAsia="宋体" w:cs="宋体"/>
          <w:color w:val="auto"/>
          <w:szCs w:val="21"/>
          <w:highlight w:val="none"/>
        </w:rPr>
        <w:t>（签字或盖章）：</w:t>
      </w:r>
    </w:p>
    <w:p w14:paraId="4A8A05E2">
      <w:pPr>
        <w:spacing w:line="360" w:lineRule="auto"/>
        <w:rPr>
          <w:rFonts w:hint="eastAsia" w:ascii="宋体" w:hAnsi="宋体" w:eastAsia="宋体" w:cs="宋体"/>
          <w:color w:val="auto"/>
          <w:spacing w:val="20"/>
          <w:szCs w:val="21"/>
          <w:highlight w:val="none"/>
        </w:rPr>
      </w:pPr>
      <w:r>
        <w:rPr>
          <w:rFonts w:hint="eastAsia" w:ascii="宋体" w:hAnsi="宋体" w:eastAsia="宋体" w:cs="宋体"/>
          <w:color w:val="auto"/>
          <w:szCs w:val="21"/>
          <w:highlight w:val="none"/>
        </w:rPr>
        <w:t>日期：</w:t>
      </w:r>
    </w:p>
    <w:p w14:paraId="491A11E5">
      <w:pPr>
        <w:snapToGrid w:val="0"/>
        <w:spacing w:before="50" w:after="50"/>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bookmarkStart w:id="98" w:name="_Toc33695977"/>
      <w:r>
        <w:rPr>
          <w:rFonts w:hint="eastAsia" w:ascii="宋体" w:hAnsi="宋体" w:eastAsia="宋体" w:cs="宋体"/>
          <w:b/>
          <w:color w:val="auto"/>
          <w:szCs w:val="21"/>
          <w:highlight w:val="none"/>
        </w:rPr>
        <w:t>附件7：</w:t>
      </w:r>
    </w:p>
    <w:p w14:paraId="710B4BC7">
      <w:pPr>
        <w:pStyle w:val="14"/>
        <w:snapToGrid w:val="0"/>
        <w:ind w:left="422" w:hanging="422"/>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磋商响应方类似项目实施情况一览表</w:t>
      </w:r>
    </w:p>
    <w:p w14:paraId="5DC93C7D">
      <w:pPr>
        <w:pStyle w:val="14"/>
        <w:snapToGrid w:val="0"/>
        <w:ind w:left="0" w:firstLine="1050" w:firstLineChars="500"/>
        <w:rPr>
          <w:rFonts w:hint="eastAsia" w:ascii="宋体" w:hAnsi="宋体" w:eastAsia="宋体" w:cs="宋体"/>
          <w:color w:val="auto"/>
          <w:sz w:val="21"/>
          <w:szCs w:val="21"/>
          <w:highlight w:val="none"/>
        </w:rPr>
      </w:pPr>
    </w:p>
    <w:p w14:paraId="78412F8F">
      <w:pPr>
        <w:pStyle w:val="14"/>
        <w:snapToGrid w:val="0"/>
        <w:ind w:left="420" w:leftChars="200" w:firstLine="0" w:firstLineChars="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项目名称：                        项目编号：                               </w:t>
      </w:r>
    </w:p>
    <w:tbl>
      <w:tblPr>
        <w:tblStyle w:val="17"/>
        <w:tblW w:w="8398" w:type="dxa"/>
        <w:jc w:val="center"/>
        <w:tblLayout w:type="fixed"/>
        <w:tblCellMar>
          <w:top w:w="0" w:type="dxa"/>
          <w:left w:w="108" w:type="dxa"/>
          <w:bottom w:w="0" w:type="dxa"/>
          <w:right w:w="108" w:type="dxa"/>
        </w:tblCellMar>
      </w:tblPr>
      <w:tblGrid>
        <w:gridCol w:w="1262"/>
        <w:gridCol w:w="1230"/>
        <w:gridCol w:w="831"/>
        <w:gridCol w:w="831"/>
        <w:gridCol w:w="1169"/>
        <w:gridCol w:w="1338"/>
        <w:gridCol w:w="1737"/>
      </w:tblGrid>
      <w:tr w14:paraId="23ACA9AA">
        <w:tblPrEx>
          <w:tblCellMar>
            <w:top w:w="0" w:type="dxa"/>
            <w:left w:w="108" w:type="dxa"/>
            <w:bottom w:w="0" w:type="dxa"/>
            <w:right w:w="108" w:type="dxa"/>
          </w:tblCellMar>
        </w:tblPrEx>
        <w:trPr>
          <w:cantSplit/>
          <w:trHeight w:val="658" w:hRule="atLeast"/>
          <w:jc w:val="center"/>
        </w:trPr>
        <w:tc>
          <w:tcPr>
            <w:tcW w:w="1262" w:type="dxa"/>
            <w:vMerge w:val="restart"/>
            <w:tcBorders>
              <w:top w:val="single" w:color="000000" w:sz="4" w:space="0"/>
              <w:left w:val="single" w:color="000000" w:sz="4" w:space="0"/>
              <w:bottom w:val="single" w:color="000000" w:sz="4" w:space="0"/>
              <w:right w:val="single" w:color="000000" w:sz="4" w:space="0"/>
            </w:tcBorders>
            <w:noWrap w:val="0"/>
            <w:vAlign w:val="center"/>
          </w:tcPr>
          <w:p w14:paraId="36A4601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采购单位名称</w:t>
            </w:r>
          </w:p>
        </w:tc>
        <w:tc>
          <w:tcPr>
            <w:tcW w:w="1230" w:type="dxa"/>
            <w:vMerge w:val="restart"/>
            <w:tcBorders>
              <w:top w:val="single" w:color="000000" w:sz="4" w:space="0"/>
              <w:left w:val="single" w:color="000000" w:sz="4" w:space="0"/>
              <w:bottom w:val="single" w:color="000000" w:sz="4" w:space="0"/>
              <w:right w:val="single" w:color="000000" w:sz="4" w:space="0"/>
            </w:tcBorders>
            <w:noWrap w:val="0"/>
            <w:vAlign w:val="center"/>
          </w:tcPr>
          <w:p w14:paraId="215B275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831" w:type="dxa"/>
            <w:vMerge w:val="restart"/>
            <w:tcBorders>
              <w:top w:val="single" w:color="000000" w:sz="4" w:space="0"/>
              <w:left w:val="single" w:color="000000" w:sz="4" w:space="0"/>
              <w:bottom w:val="single" w:color="000000" w:sz="4" w:space="0"/>
              <w:right w:val="single" w:color="000000" w:sz="4" w:space="0"/>
            </w:tcBorders>
            <w:noWrap w:val="0"/>
            <w:vAlign w:val="center"/>
          </w:tcPr>
          <w:p w14:paraId="498A0A2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w:t>
            </w:r>
          </w:p>
          <w:p w14:paraId="2C9E515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831" w:type="dxa"/>
            <w:vMerge w:val="restart"/>
            <w:tcBorders>
              <w:top w:val="single" w:color="000000" w:sz="4" w:space="0"/>
              <w:left w:val="single" w:color="000000" w:sz="4" w:space="0"/>
              <w:bottom w:val="single" w:color="000000" w:sz="4" w:space="0"/>
              <w:right w:val="single" w:color="000000" w:sz="4" w:space="0"/>
            </w:tcBorders>
            <w:noWrap w:val="0"/>
            <w:vAlign w:val="center"/>
          </w:tcPr>
          <w:p w14:paraId="1094BD5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w:t>
            </w:r>
          </w:p>
        </w:tc>
        <w:tc>
          <w:tcPr>
            <w:tcW w:w="1169" w:type="dxa"/>
            <w:vMerge w:val="restart"/>
            <w:tcBorders>
              <w:top w:val="single" w:color="000000" w:sz="4" w:space="0"/>
              <w:left w:val="single" w:color="000000" w:sz="4" w:space="0"/>
              <w:bottom w:val="single" w:color="000000" w:sz="4" w:space="0"/>
              <w:right w:val="single" w:color="000000" w:sz="4" w:space="0"/>
            </w:tcBorders>
            <w:noWrap w:val="0"/>
            <w:vAlign w:val="center"/>
          </w:tcPr>
          <w:p w14:paraId="4128CD9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w:t>
            </w:r>
          </w:p>
          <w:p w14:paraId="4AC4063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w:t>
            </w:r>
          </w:p>
          <w:p w14:paraId="24C81AA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14:paraId="0C4C64F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附件页码</w:t>
            </w:r>
          </w:p>
        </w:tc>
        <w:tc>
          <w:tcPr>
            <w:tcW w:w="1737" w:type="dxa"/>
            <w:vMerge w:val="restart"/>
            <w:tcBorders>
              <w:top w:val="single" w:color="000000" w:sz="4" w:space="0"/>
              <w:left w:val="single" w:color="000000" w:sz="4" w:space="0"/>
              <w:bottom w:val="single" w:color="000000" w:sz="4" w:space="0"/>
              <w:right w:val="single" w:color="000000" w:sz="4" w:space="0"/>
            </w:tcBorders>
            <w:noWrap w:val="0"/>
            <w:vAlign w:val="center"/>
          </w:tcPr>
          <w:p w14:paraId="594052A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采购单位联系人及联系电话</w:t>
            </w:r>
          </w:p>
        </w:tc>
      </w:tr>
      <w:tr w14:paraId="04D13398">
        <w:tblPrEx>
          <w:tblCellMar>
            <w:top w:w="0" w:type="dxa"/>
            <w:left w:w="108" w:type="dxa"/>
            <w:bottom w:w="0" w:type="dxa"/>
            <w:right w:w="108" w:type="dxa"/>
          </w:tblCellMar>
        </w:tblPrEx>
        <w:trPr>
          <w:cantSplit/>
          <w:trHeight w:val="1747" w:hRule="atLeast"/>
          <w:jc w:val="center"/>
        </w:trPr>
        <w:tc>
          <w:tcPr>
            <w:tcW w:w="12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614C1C">
            <w:pPr>
              <w:jc w:val="left"/>
              <w:rPr>
                <w:rFonts w:hint="eastAsia" w:ascii="宋体" w:hAnsi="宋体" w:eastAsia="宋体" w:cs="宋体"/>
                <w:color w:val="auto"/>
                <w:szCs w:val="21"/>
                <w:highlight w:val="none"/>
              </w:rPr>
            </w:pPr>
          </w:p>
        </w:tc>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90E08A">
            <w:pPr>
              <w:jc w:val="left"/>
              <w:rPr>
                <w:rFonts w:hint="eastAsia" w:ascii="宋体" w:hAnsi="宋体" w:eastAsia="宋体" w:cs="宋体"/>
                <w:color w:val="auto"/>
                <w:szCs w:val="21"/>
                <w:highlight w:val="none"/>
              </w:rPr>
            </w:pPr>
          </w:p>
        </w:tc>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E07E70">
            <w:pPr>
              <w:jc w:val="left"/>
              <w:rPr>
                <w:rFonts w:hint="eastAsia" w:ascii="宋体" w:hAnsi="宋体" w:eastAsia="宋体" w:cs="宋体"/>
                <w:color w:val="auto"/>
                <w:szCs w:val="21"/>
                <w:highlight w:val="none"/>
              </w:rPr>
            </w:pPr>
          </w:p>
        </w:tc>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ECEEA7">
            <w:pPr>
              <w:jc w:val="left"/>
              <w:rPr>
                <w:rFonts w:hint="eastAsia" w:ascii="宋体" w:hAnsi="宋体" w:eastAsia="宋体" w:cs="宋体"/>
                <w:color w:val="auto"/>
                <w:szCs w:val="21"/>
                <w:highlight w:val="none"/>
              </w:rPr>
            </w:pPr>
          </w:p>
        </w:tc>
        <w:tc>
          <w:tcPr>
            <w:tcW w:w="11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DF3AF1">
            <w:pPr>
              <w:jc w:val="left"/>
              <w:rPr>
                <w:rFonts w:hint="eastAsia" w:ascii="宋体" w:hAnsi="宋体" w:eastAsia="宋体" w:cs="宋体"/>
                <w:color w:val="auto"/>
                <w:szCs w:val="21"/>
                <w:highlight w:val="none"/>
              </w:rPr>
            </w:pPr>
          </w:p>
        </w:tc>
        <w:tc>
          <w:tcPr>
            <w:tcW w:w="1338" w:type="dxa"/>
            <w:tcBorders>
              <w:top w:val="single" w:color="000000" w:sz="4" w:space="0"/>
              <w:left w:val="single" w:color="000000" w:sz="4" w:space="0"/>
              <w:bottom w:val="single" w:color="000000" w:sz="4" w:space="0"/>
              <w:right w:val="single" w:color="000000" w:sz="4" w:space="0"/>
            </w:tcBorders>
            <w:noWrap w:val="0"/>
            <w:vAlign w:val="center"/>
          </w:tcPr>
          <w:p w14:paraId="57F9113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中标通知书、合同</w:t>
            </w:r>
          </w:p>
        </w:tc>
        <w:tc>
          <w:tcPr>
            <w:tcW w:w="17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B7C8E7">
            <w:pPr>
              <w:jc w:val="left"/>
              <w:rPr>
                <w:rFonts w:hint="eastAsia" w:ascii="宋体" w:hAnsi="宋体" w:eastAsia="宋体" w:cs="宋体"/>
                <w:color w:val="auto"/>
                <w:szCs w:val="21"/>
                <w:highlight w:val="none"/>
              </w:rPr>
            </w:pPr>
          </w:p>
        </w:tc>
      </w:tr>
      <w:tr w14:paraId="080A3B22">
        <w:tblPrEx>
          <w:tblCellMar>
            <w:top w:w="0" w:type="dxa"/>
            <w:left w:w="108" w:type="dxa"/>
            <w:bottom w:w="0" w:type="dxa"/>
            <w:right w:w="108" w:type="dxa"/>
          </w:tblCellMar>
        </w:tblPrEx>
        <w:trPr>
          <w:trHeight w:val="611" w:hRule="atLeast"/>
          <w:jc w:val="center"/>
        </w:trPr>
        <w:tc>
          <w:tcPr>
            <w:tcW w:w="1262" w:type="dxa"/>
            <w:tcBorders>
              <w:top w:val="single" w:color="000000" w:sz="4" w:space="0"/>
              <w:left w:val="single" w:color="000000" w:sz="4" w:space="0"/>
              <w:bottom w:val="single" w:color="000000" w:sz="4" w:space="0"/>
              <w:right w:val="single" w:color="000000" w:sz="4" w:space="0"/>
            </w:tcBorders>
            <w:noWrap w:val="0"/>
            <w:vAlign w:val="center"/>
          </w:tcPr>
          <w:p w14:paraId="74FB79C8">
            <w:pPr>
              <w:spacing w:before="50" w:after="120" w:line="360" w:lineRule="auto"/>
              <w:jc w:val="center"/>
              <w:rPr>
                <w:rFonts w:hint="eastAsia" w:ascii="宋体" w:hAnsi="宋体" w:eastAsia="宋体" w:cs="宋体"/>
                <w:color w:val="auto"/>
                <w:szCs w:val="21"/>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57B156F">
            <w:pPr>
              <w:spacing w:before="50" w:after="120" w:line="360" w:lineRule="auto"/>
              <w:jc w:val="center"/>
              <w:rPr>
                <w:rFonts w:hint="eastAsia" w:ascii="宋体" w:hAnsi="宋体" w:eastAsia="宋体" w:cs="宋体"/>
                <w:color w:val="auto"/>
                <w:szCs w:val="21"/>
                <w:highlight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0090FABE">
            <w:pPr>
              <w:spacing w:before="50" w:after="120" w:line="360" w:lineRule="auto"/>
              <w:jc w:val="center"/>
              <w:rPr>
                <w:rFonts w:hint="eastAsia" w:ascii="宋体" w:hAnsi="宋体" w:eastAsia="宋体" w:cs="宋体"/>
                <w:color w:val="auto"/>
                <w:szCs w:val="21"/>
                <w:highlight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51E6724B">
            <w:pPr>
              <w:spacing w:before="50" w:after="120" w:line="360" w:lineRule="auto"/>
              <w:jc w:val="center"/>
              <w:rPr>
                <w:rFonts w:hint="eastAsia" w:ascii="宋体" w:hAnsi="宋体" w:eastAsia="宋体" w:cs="宋体"/>
                <w:color w:val="auto"/>
                <w:szCs w:val="21"/>
                <w:highlight w:val="none"/>
              </w:rPr>
            </w:pP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6C0E884F">
            <w:pPr>
              <w:spacing w:before="50" w:after="120" w:line="360" w:lineRule="auto"/>
              <w:jc w:val="center"/>
              <w:rPr>
                <w:rFonts w:hint="eastAsia" w:ascii="宋体" w:hAnsi="宋体" w:eastAsia="宋体" w:cs="宋体"/>
                <w:color w:val="auto"/>
                <w:szCs w:val="21"/>
                <w:highlight w:val="none"/>
              </w:rPr>
            </w:pPr>
          </w:p>
        </w:tc>
        <w:tc>
          <w:tcPr>
            <w:tcW w:w="1338" w:type="dxa"/>
            <w:tcBorders>
              <w:top w:val="single" w:color="000000" w:sz="4" w:space="0"/>
              <w:left w:val="single" w:color="000000" w:sz="4" w:space="0"/>
              <w:bottom w:val="single" w:color="000000" w:sz="4" w:space="0"/>
              <w:right w:val="single" w:color="000000" w:sz="4" w:space="0"/>
            </w:tcBorders>
            <w:noWrap w:val="0"/>
            <w:vAlign w:val="center"/>
          </w:tcPr>
          <w:p w14:paraId="60250018">
            <w:pPr>
              <w:spacing w:before="50" w:after="120" w:line="360" w:lineRule="auto"/>
              <w:jc w:val="center"/>
              <w:rPr>
                <w:rFonts w:hint="eastAsia" w:ascii="宋体" w:hAnsi="宋体" w:eastAsia="宋体" w:cs="宋体"/>
                <w:color w:val="auto"/>
                <w:szCs w:val="21"/>
                <w:highlight w:val="none"/>
              </w:rPr>
            </w:pPr>
          </w:p>
        </w:tc>
        <w:tc>
          <w:tcPr>
            <w:tcW w:w="1737" w:type="dxa"/>
            <w:tcBorders>
              <w:top w:val="single" w:color="000000" w:sz="4" w:space="0"/>
              <w:left w:val="single" w:color="000000" w:sz="4" w:space="0"/>
              <w:bottom w:val="single" w:color="000000" w:sz="4" w:space="0"/>
              <w:right w:val="single" w:color="000000" w:sz="4" w:space="0"/>
            </w:tcBorders>
            <w:noWrap w:val="0"/>
            <w:vAlign w:val="center"/>
          </w:tcPr>
          <w:p w14:paraId="56E21054">
            <w:pPr>
              <w:spacing w:before="50" w:after="120" w:line="360" w:lineRule="auto"/>
              <w:jc w:val="center"/>
              <w:rPr>
                <w:rFonts w:hint="eastAsia" w:ascii="宋体" w:hAnsi="宋体" w:eastAsia="宋体" w:cs="宋体"/>
                <w:color w:val="auto"/>
                <w:szCs w:val="21"/>
                <w:highlight w:val="none"/>
              </w:rPr>
            </w:pPr>
          </w:p>
        </w:tc>
      </w:tr>
      <w:tr w14:paraId="3868312F">
        <w:tblPrEx>
          <w:tblCellMar>
            <w:top w:w="0" w:type="dxa"/>
            <w:left w:w="108" w:type="dxa"/>
            <w:bottom w:w="0" w:type="dxa"/>
            <w:right w:w="108" w:type="dxa"/>
          </w:tblCellMar>
        </w:tblPrEx>
        <w:trPr>
          <w:trHeight w:val="723" w:hRule="atLeast"/>
          <w:jc w:val="center"/>
        </w:trPr>
        <w:tc>
          <w:tcPr>
            <w:tcW w:w="1262" w:type="dxa"/>
            <w:tcBorders>
              <w:top w:val="single" w:color="000000" w:sz="4" w:space="0"/>
              <w:left w:val="single" w:color="000000" w:sz="4" w:space="0"/>
              <w:bottom w:val="single" w:color="000000" w:sz="4" w:space="0"/>
              <w:right w:val="single" w:color="000000" w:sz="4" w:space="0"/>
            </w:tcBorders>
            <w:noWrap w:val="0"/>
            <w:vAlign w:val="center"/>
          </w:tcPr>
          <w:p w14:paraId="791FC5F1">
            <w:pPr>
              <w:spacing w:before="50" w:after="120" w:line="360" w:lineRule="auto"/>
              <w:jc w:val="center"/>
              <w:rPr>
                <w:rFonts w:hint="eastAsia" w:ascii="宋体" w:hAnsi="宋体" w:eastAsia="宋体" w:cs="宋体"/>
                <w:color w:val="auto"/>
                <w:szCs w:val="21"/>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18AFA09">
            <w:pPr>
              <w:spacing w:before="50" w:after="120" w:line="360" w:lineRule="auto"/>
              <w:jc w:val="center"/>
              <w:rPr>
                <w:rFonts w:hint="eastAsia" w:ascii="宋体" w:hAnsi="宋体" w:eastAsia="宋体" w:cs="宋体"/>
                <w:color w:val="auto"/>
                <w:szCs w:val="21"/>
                <w:highlight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3FC1E022">
            <w:pPr>
              <w:spacing w:before="50" w:after="120" w:line="360" w:lineRule="auto"/>
              <w:jc w:val="center"/>
              <w:rPr>
                <w:rFonts w:hint="eastAsia" w:ascii="宋体" w:hAnsi="宋体" w:eastAsia="宋体" w:cs="宋体"/>
                <w:color w:val="auto"/>
                <w:szCs w:val="21"/>
                <w:highlight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0C9BA90F">
            <w:pPr>
              <w:spacing w:before="50" w:after="120" w:line="360" w:lineRule="auto"/>
              <w:jc w:val="center"/>
              <w:rPr>
                <w:rFonts w:hint="eastAsia" w:ascii="宋体" w:hAnsi="宋体" w:eastAsia="宋体" w:cs="宋体"/>
                <w:color w:val="auto"/>
                <w:szCs w:val="21"/>
                <w:highlight w:val="none"/>
              </w:rPr>
            </w:pP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C2B080D">
            <w:pPr>
              <w:spacing w:before="50" w:after="120" w:line="360" w:lineRule="auto"/>
              <w:jc w:val="center"/>
              <w:rPr>
                <w:rFonts w:hint="eastAsia" w:ascii="宋体" w:hAnsi="宋体" w:eastAsia="宋体" w:cs="宋体"/>
                <w:color w:val="auto"/>
                <w:szCs w:val="21"/>
                <w:highlight w:val="none"/>
              </w:rPr>
            </w:pPr>
          </w:p>
        </w:tc>
        <w:tc>
          <w:tcPr>
            <w:tcW w:w="1338" w:type="dxa"/>
            <w:tcBorders>
              <w:top w:val="single" w:color="000000" w:sz="4" w:space="0"/>
              <w:left w:val="single" w:color="000000" w:sz="4" w:space="0"/>
              <w:bottom w:val="single" w:color="000000" w:sz="4" w:space="0"/>
              <w:right w:val="single" w:color="000000" w:sz="4" w:space="0"/>
            </w:tcBorders>
            <w:noWrap w:val="0"/>
            <w:vAlign w:val="center"/>
          </w:tcPr>
          <w:p w14:paraId="1903193A">
            <w:pPr>
              <w:spacing w:before="50" w:after="120" w:line="360" w:lineRule="auto"/>
              <w:jc w:val="center"/>
              <w:rPr>
                <w:rFonts w:hint="eastAsia" w:ascii="宋体" w:hAnsi="宋体" w:eastAsia="宋体" w:cs="宋体"/>
                <w:color w:val="auto"/>
                <w:szCs w:val="21"/>
                <w:highlight w:val="none"/>
              </w:rPr>
            </w:pPr>
          </w:p>
        </w:tc>
        <w:tc>
          <w:tcPr>
            <w:tcW w:w="1737" w:type="dxa"/>
            <w:tcBorders>
              <w:top w:val="single" w:color="000000" w:sz="4" w:space="0"/>
              <w:left w:val="single" w:color="000000" w:sz="4" w:space="0"/>
              <w:bottom w:val="single" w:color="000000" w:sz="4" w:space="0"/>
              <w:right w:val="single" w:color="000000" w:sz="4" w:space="0"/>
            </w:tcBorders>
            <w:noWrap w:val="0"/>
            <w:vAlign w:val="center"/>
          </w:tcPr>
          <w:p w14:paraId="5372DA08">
            <w:pPr>
              <w:spacing w:before="50" w:after="120" w:line="360" w:lineRule="auto"/>
              <w:jc w:val="center"/>
              <w:rPr>
                <w:rFonts w:hint="eastAsia" w:ascii="宋体" w:hAnsi="宋体" w:eastAsia="宋体" w:cs="宋体"/>
                <w:color w:val="auto"/>
                <w:szCs w:val="21"/>
                <w:highlight w:val="none"/>
              </w:rPr>
            </w:pPr>
          </w:p>
        </w:tc>
      </w:tr>
      <w:tr w14:paraId="3E1CCAE7">
        <w:tblPrEx>
          <w:tblCellMar>
            <w:top w:w="0" w:type="dxa"/>
            <w:left w:w="108" w:type="dxa"/>
            <w:bottom w:w="0" w:type="dxa"/>
            <w:right w:w="108" w:type="dxa"/>
          </w:tblCellMar>
        </w:tblPrEx>
        <w:trPr>
          <w:trHeight w:val="611" w:hRule="atLeast"/>
          <w:jc w:val="center"/>
        </w:trPr>
        <w:tc>
          <w:tcPr>
            <w:tcW w:w="1262" w:type="dxa"/>
            <w:tcBorders>
              <w:top w:val="single" w:color="000000" w:sz="4" w:space="0"/>
              <w:left w:val="single" w:color="000000" w:sz="4" w:space="0"/>
              <w:bottom w:val="single" w:color="000000" w:sz="4" w:space="0"/>
              <w:right w:val="single" w:color="000000" w:sz="4" w:space="0"/>
            </w:tcBorders>
            <w:noWrap w:val="0"/>
            <w:vAlign w:val="center"/>
          </w:tcPr>
          <w:p w14:paraId="2D6C666E">
            <w:pPr>
              <w:spacing w:before="50" w:after="120" w:line="360" w:lineRule="auto"/>
              <w:jc w:val="center"/>
              <w:rPr>
                <w:rFonts w:hint="eastAsia" w:ascii="宋体" w:hAnsi="宋体" w:eastAsia="宋体" w:cs="宋体"/>
                <w:color w:val="auto"/>
                <w:szCs w:val="21"/>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5BDF2CA">
            <w:pPr>
              <w:spacing w:before="50" w:after="120" w:line="360" w:lineRule="auto"/>
              <w:jc w:val="center"/>
              <w:rPr>
                <w:rFonts w:hint="eastAsia" w:ascii="宋体" w:hAnsi="宋体" w:eastAsia="宋体" w:cs="宋体"/>
                <w:color w:val="auto"/>
                <w:szCs w:val="21"/>
                <w:highlight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6D461877">
            <w:pPr>
              <w:spacing w:before="50" w:after="120" w:line="360" w:lineRule="auto"/>
              <w:jc w:val="center"/>
              <w:rPr>
                <w:rFonts w:hint="eastAsia" w:ascii="宋体" w:hAnsi="宋体" w:eastAsia="宋体" w:cs="宋体"/>
                <w:color w:val="auto"/>
                <w:szCs w:val="21"/>
                <w:highlight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2DD90146">
            <w:pPr>
              <w:spacing w:before="50" w:after="120" w:line="360" w:lineRule="auto"/>
              <w:jc w:val="center"/>
              <w:rPr>
                <w:rFonts w:hint="eastAsia" w:ascii="宋体" w:hAnsi="宋体" w:eastAsia="宋体" w:cs="宋体"/>
                <w:color w:val="auto"/>
                <w:szCs w:val="21"/>
                <w:highlight w:val="none"/>
              </w:rPr>
            </w:pP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666C405C">
            <w:pPr>
              <w:spacing w:before="50" w:after="120" w:line="360" w:lineRule="auto"/>
              <w:jc w:val="center"/>
              <w:rPr>
                <w:rFonts w:hint="eastAsia" w:ascii="宋体" w:hAnsi="宋体" w:eastAsia="宋体" w:cs="宋体"/>
                <w:color w:val="auto"/>
                <w:szCs w:val="21"/>
                <w:highlight w:val="none"/>
              </w:rPr>
            </w:pPr>
          </w:p>
        </w:tc>
        <w:tc>
          <w:tcPr>
            <w:tcW w:w="1338" w:type="dxa"/>
            <w:tcBorders>
              <w:top w:val="single" w:color="000000" w:sz="4" w:space="0"/>
              <w:left w:val="single" w:color="000000" w:sz="4" w:space="0"/>
              <w:bottom w:val="single" w:color="000000" w:sz="4" w:space="0"/>
              <w:right w:val="single" w:color="000000" w:sz="4" w:space="0"/>
            </w:tcBorders>
            <w:noWrap w:val="0"/>
            <w:vAlign w:val="center"/>
          </w:tcPr>
          <w:p w14:paraId="52E4A39F">
            <w:pPr>
              <w:spacing w:before="50" w:after="120" w:line="360" w:lineRule="auto"/>
              <w:jc w:val="center"/>
              <w:rPr>
                <w:rFonts w:hint="eastAsia" w:ascii="宋体" w:hAnsi="宋体" w:eastAsia="宋体" w:cs="宋体"/>
                <w:color w:val="auto"/>
                <w:szCs w:val="21"/>
                <w:highlight w:val="none"/>
              </w:rPr>
            </w:pPr>
          </w:p>
        </w:tc>
        <w:tc>
          <w:tcPr>
            <w:tcW w:w="1737" w:type="dxa"/>
            <w:tcBorders>
              <w:top w:val="single" w:color="000000" w:sz="4" w:space="0"/>
              <w:left w:val="single" w:color="000000" w:sz="4" w:space="0"/>
              <w:bottom w:val="single" w:color="000000" w:sz="4" w:space="0"/>
              <w:right w:val="single" w:color="000000" w:sz="4" w:space="0"/>
            </w:tcBorders>
            <w:noWrap w:val="0"/>
            <w:vAlign w:val="center"/>
          </w:tcPr>
          <w:p w14:paraId="53DB6669">
            <w:pPr>
              <w:spacing w:before="50" w:after="120" w:line="360" w:lineRule="auto"/>
              <w:jc w:val="center"/>
              <w:rPr>
                <w:rFonts w:hint="eastAsia" w:ascii="宋体" w:hAnsi="宋体" w:eastAsia="宋体" w:cs="宋体"/>
                <w:color w:val="auto"/>
                <w:szCs w:val="21"/>
                <w:highlight w:val="none"/>
              </w:rPr>
            </w:pPr>
          </w:p>
        </w:tc>
      </w:tr>
      <w:tr w14:paraId="2C759E98">
        <w:tblPrEx>
          <w:tblCellMar>
            <w:top w:w="0" w:type="dxa"/>
            <w:left w:w="108" w:type="dxa"/>
            <w:bottom w:w="0" w:type="dxa"/>
            <w:right w:w="108" w:type="dxa"/>
          </w:tblCellMar>
        </w:tblPrEx>
        <w:trPr>
          <w:trHeight w:val="626" w:hRule="atLeast"/>
          <w:jc w:val="center"/>
        </w:trPr>
        <w:tc>
          <w:tcPr>
            <w:tcW w:w="1262" w:type="dxa"/>
            <w:tcBorders>
              <w:top w:val="single" w:color="000000" w:sz="4" w:space="0"/>
              <w:left w:val="single" w:color="000000" w:sz="4" w:space="0"/>
              <w:bottom w:val="single" w:color="000000" w:sz="4" w:space="0"/>
              <w:right w:val="single" w:color="000000" w:sz="4" w:space="0"/>
            </w:tcBorders>
            <w:noWrap w:val="0"/>
            <w:vAlign w:val="center"/>
          </w:tcPr>
          <w:p w14:paraId="3847BE8A">
            <w:pPr>
              <w:spacing w:before="50" w:after="120" w:line="360" w:lineRule="auto"/>
              <w:jc w:val="center"/>
              <w:rPr>
                <w:rFonts w:hint="eastAsia" w:ascii="宋体" w:hAnsi="宋体" w:eastAsia="宋体" w:cs="宋体"/>
                <w:color w:val="auto"/>
                <w:szCs w:val="21"/>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5BFCEDA">
            <w:pPr>
              <w:spacing w:before="50" w:after="120" w:line="360" w:lineRule="auto"/>
              <w:jc w:val="center"/>
              <w:rPr>
                <w:rFonts w:hint="eastAsia" w:ascii="宋体" w:hAnsi="宋体" w:eastAsia="宋体" w:cs="宋体"/>
                <w:color w:val="auto"/>
                <w:szCs w:val="21"/>
                <w:highlight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4CC4BD4C">
            <w:pPr>
              <w:spacing w:before="50" w:after="120" w:line="360" w:lineRule="auto"/>
              <w:jc w:val="center"/>
              <w:rPr>
                <w:rFonts w:hint="eastAsia" w:ascii="宋体" w:hAnsi="宋体" w:eastAsia="宋体" w:cs="宋体"/>
                <w:color w:val="auto"/>
                <w:szCs w:val="21"/>
                <w:highlight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48D7EC05">
            <w:pPr>
              <w:spacing w:before="50" w:after="120" w:line="360" w:lineRule="auto"/>
              <w:jc w:val="center"/>
              <w:rPr>
                <w:rFonts w:hint="eastAsia" w:ascii="宋体" w:hAnsi="宋体" w:eastAsia="宋体" w:cs="宋体"/>
                <w:color w:val="auto"/>
                <w:szCs w:val="21"/>
                <w:highlight w:val="none"/>
              </w:rPr>
            </w:pP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1E253337">
            <w:pPr>
              <w:spacing w:before="50" w:after="120" w:line="360" w:lineRule="auto"/>
              <w:jc w:val="center"/>
              <w:rPr>
                <w:rFonts w:hint="eastAsia" w:ascii="宋体" w:hAnsi="宋体" w:eastAsia="宋体" w:cs="宋体"/>
                <w:color w:val="auto"/>
                <w:szCs w:val="21"/>
                <w:highlight w:val="none"/>
              </w:rPr>
            </w:pPr>
          </w:p>
        </w:tc>
        <w:tc>
          <w:tcPr>
            <w:tcW w:w="1338" w:type="dxa"/>
            <w:tcBorders>
              <w:top w:val="single" w:color="000000" w:sz="4" w:space="0"/>
              <w:left w:val="single" w:color="000000" w:sz="4" w:space="0"/>
              <w:bottom w:val="single" w:color="000000" w:sz="4" w:space="0"/>
              <w:right w:val="single" w:color="000000" w:sz="4" w:space="0"/>
            </w:tcBorders>
            <w:noWrap w:val="0"/>
            <w:vAlign w:val="center"/>
          </w:tcPr>
          <w:p w14:paraId="0AFED579">
            <w:pPr>
              <w:spacing w:before="50" w:after="120" w:line="360" w:lineRule="auto"/>
              <w:jc w:val="center"/>
              <w:rPr>
                <w:rFonts w:hint="eastAsia" w:ascii="宋体" w:hAnsi="宋体" w:eastAsia="宋体" w:cs="宋体"/>
                <w:color w:val="auto"/>
                <w:szCs w:val="21"/>
                <w:highlight w:val="none"/>
              </w:rPr>
            </w:pPr>
          </w:p>
        </w:tc>
        <w:tc>
          <w:tcPr>
            <w:tcW w:w="1737" w:type="dxa"/>
            <w:tcBorders>
              <w:top w:val="single" w:color="000000" w:sz="4" w:space="0"/>
              <w:left w:val="single" w:color="000000" w:sz="4" w:space="0"/>
              <w:bottom w:val="single" w:color="000000" w:sz="4" w:space="0"/>
              <w:right w:val="single" w:color="000000" w:sz="4" w:space="0"/>
            </w:tcBorders>
            <w:noWrap w:val="0"/>
            <w:vAlign w:val="center"/>
          </w:tcPr>
          <w:p w14:paraId="7F144D3F">
            <w:pPr>
              <w:spacing w:before="50" w:after="120" w:line="360" w:lineRule="auto"/>
              <w:jc w:val="center"/>
              <w:rPr>
                <w:rFonts w:hint="eastAsia" w:ascii="宋体" w:hAnsi="宋体" w:eastAsia="宋体" w:cs="宋体"/>
                <w:color w:val="auto"/>
                <w:szCs w:val="21"/>
                <w:highlight w:val="none"/>
              </w:rPr>
            </w:pPr>
          </w:p>
        </w:tc>
      </w:tr>
      <w:tr w14:paraId="6680C559">
        <w:tblPrEx>
          <w:tblCellMar>
            <w:top w:w="0" w:type="dxa"/>
            <w:left w:w="108" w:type="dxa"/>
            <w:bottom w:w="0" w:type="dxa"/>
            <w:right w:w="108" w:type="dxa"/>
          </w:tblCellMar>
        </w:tblPrEx>
        <w:trPr>
          <w:trHeight w:val="611" w:hRule="atLeast"/>
          <w:jc w:val="center"/>
        </w:trPr>
        <w:tc>
          <w:tcPr>
            <w:tcW w:w="1262" w:type="dxa"/>
            <w:tcBorders>
              <w:top w:val="single" w:color="000000" w:sz="4" w:space="0"/>
              <w:left w:val="single" w:color="000000" w:sz="4" w:space="0"/>
              <w:bottom w:val="single" w:color="000000" w:sz="4" w:space="0"/>
              <w:right w:val="single" w:color="000000" w:sz="4" w:space="0"/>
            </w:tcBorders>
            <w:noWrap w:val="0"/>
            <w:vAlign w:val="center"/>
          </w:tcPr>
          <w:p w14:paraId="053C40D8">
            <w:pPr>
              <w:spacing w:before="50" w:after="120" w:line="360" w:lineRule="auto"/>
              <w:jc w:val="center"/>
              <w:rPr>
                <w:rFonts w:hint="eastAsia" w:ascii="宋体" w:hAnsi="宋体" w:eastAsia="宋体" w:cs="宋体"/>
                <w:color w:val="auto"/>
                <w:szCs w:val="21"/>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C2A79B4">
            <w:pPr>
              <w:spacing w:before="50" w:after="120" w:line="360" w:lineRule="auto"/>
              <w:jc w:val="center"/>
              <w:rPr>
                <w:rFonts w:hint="eastAsia" w:ascii="宋体" w:hAnsi="宋体" w:eastAsia="宋体" w:cs="宋体"/>
                <w:color w:val="auto"/>
                <w:szCs w:val="21"/>
                <w:highlight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7A825F36">
            <w:pPr>
              <w:spacing w:before="50" w:after="120" w:line="360" w:lineRule="auto"/>
              <w:jc w:val="center"/>
              <w:rPr>
                <w:rFonts w:hint="eastAsia" w:ascii="宋体" w:hAnsi="宋体" w:eastAsia="宋体" w:cs="宋体"/>
                <w:color w:val="auto"/>
                <w:szCs w:val="21"/>
                <w:highlight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346637B3">
            <w:pPr>
              <w:spacing w:before="50" w:after="120" w:line="360" w:lineRule="auto"/>
              <w:jc w:val="center"/>
              <w:rPr>
                <w:rFonts w:hint="eastAsia" w:ascii="宋体" w:hAnsi="宋体" w:eastAsia="宋体" w:cs="宋体"/>
                <w:color w:val="auto"/>
                <w:szCs w:val="21"/>
                <w:highlight w:val="none"/>
              </w:rPr>
            </w:pP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3F775DEF">
            <w:pPr>
              <w:spacing w:before="50" w:after="120" w:line="360" w:lineRule="auto"/>
              <w:jc w:val="center"/>
              <w:rPr>
                <w:rFonts w:hint="eastAsia" w:ascii="宋体" w:hAnsi="宋体" w:eastAsia="宋体" w:cs="宋体"/>
                <w:color w:val="auto"/>
                <w:szCs w:val="21"/>
                <w:highlight w:val="none"/>
              </w:rPr>
            </w:pPr>
          </w:p>
        </w:tc>
        <w:tc>
          <w:tcPr>
            <w:tcW w:w="1338" w:type="dxa"/>
            <w:tcBorders>
              <w:top w:val="single" w:color="000000" w:sz="4" w:space="0"/>
              <w:left w:val="single" w:color="000000" w:sz="4" w:space="0"/>
              <w:bottom w:val="single" w:color="000000" w:sz="4" w:space="0"/>
              <w:right w:val="single" w:color="000000" w:sz="4" w:space="0"/>
            </w:tcBorders>
            <w:noWrap w:val="0"/>
            <w:vAlign w:val="center"/>
          </w:tcPr>
          <w:p w14:paraId="793EA49B">
            <w:pPr>
              <w:spacing w:before="50" w:after="120" w:line="360" w:lineRule="auto"/>
              <w:jc w:val="center"/>
              <w:rPr>
                <w:rFonts w:hint="eastAsia" w:ascii="宋体" w:hAnsi="宋体" w:eastAsia="宋体" w:cs="宋体"/>
                <w:color w:val="auto"/>
                <w:szCs w:val="21"/>
                <w:highlight w:val="none"/>
              </w:rPr>
            </w:pPr>
          </w:p>
        </w:tc>
        <w:tc>
          <w:tcPr>
            <w:tcW w:w="1737" w:type="dxa"/>
            <w:tcBorders>
              <w:top w:val="single" w:color="000000" w:sz="4" w:space="0"/>
              <w:left w:val="single" w:color="000000" w:sz="4" w:space="0"/>
              <w:bottom w:val="single" w:color="000000" w:sz="4" w:space="0"/>
              <w:right w:val="single" w:color="000000" w:sz="4" w:space="0"/>
            </w:tcBorders>
            <w:noWrap w:val="0"/>
            <w:vAlign w:val="center"/>
          </w:tcPr>
          <w:p w14:paraId="4699308E">
            <w:pPr>
              <w:spacing w:before="50" w:after="120" w:line="360" w:lineRule="auto"/>
              <w:jc w:val="center"/>
              <w:rPr>
                <w:rFonts w:hint="eastAsia" w:ascii="宋体" w:hAnsi="宋体" w:eastAsia="宋体" w:cs="宋体"/>
                <w:color w:val="auto"/>
                <w:szCs w:val="21"/>
                <w:highlight w:val="none"/>
              </w:rPr>
            </w:pPr>
          </w:p>
        </w:tc>
      </w:tr>
      <w:tr w14:paraId="3EE2D8BA">
        <w:tblPrEx>
          <w:tblCellMar>
            <w:top w:w="0" w:type="dxa"/>
            <w:left w:w="108" w:type="dxa"/>
            <w:bottom w:w="0" w:type="dxa"/>
            <w:right w:w="108" w:type="dxa"/>
          </w:tblCellMar>
        </w:tblPrEx>
        <w:trPr>
          <w:trHeight w:val="626" w:hRule="atLeast"/>
          <w:jc w:val="center"/>
        </w:trPr>
        <w:tc>
          <w:tcPr>
            <w:tcW w:w="1262" w:type="dxa"/>
            <w:tcBorders>
              <w:top w:val="single" w:color="000000" w:sz="4" w:space="0"/>
              <w:left w:val="single" w:color="000000" w:sz="4" w:space="0"/>
              <w:bottom w:val="single" w:color="000000" w:sz="4" w:space="0"/>
              <w:right w:val="single" w:color="000000" w:sz="4" w:space="0"/>
            </w:tcBorders>
            <w:noWrap w:val="0"/>
            <w:vAlign w:val="center"/>
          </w:tcPr>
          <w:p w14:paraId="752C62EB">
            <w:pPr>
              <w:spacing w:before="50" w:after="120" w:line="360" w:lineRule="auto"/>
              <w:jc w:val="center"/>
              <w:rPr>
                <w:rFonts w:hint="eastAsia" w:ascii="宋体" w:hAnsi="宋体" w:eastAsia="宋体" w:cs="宋体"/>
                <w:color w:val="auto"/>
                <w:szCs w:val="21"/>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4A01164">
            <w:pPr>
              <w:spacing w:before="50" w:after="120" w:line="360" w:lineRule="auto"/>
              <w:jc w:val="center"/>
              <w:rPr>
                <w:rFonts w:hint="eastAsia" w:ascii="宋体" w:hAnsi="宋体" w:eastAsia="宋体" w:cs="宋体"/>
                <w:color w:val="auto"/>
                <w:szCs w:val="21"/>
                <w:highlight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7F8C9B69">
            <w:pPr>
              <w:spacing w:before="50" w:after="120" w:line="360" w:lineRule="auto"/>
              <w:jc w:val="center"/>
              <w:rPr>
                <w:rFonts w:hint="eastAsia" w:ascii="宋体" w:hAnsi="宋体" w:eastAsia="宋体" w:cs="宋体"/>
                <w:color w:val="auto"/>
                <w:szCs w:val="21"/>
                <w:highlight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1FC691ED">
            <w:pPr>
              <w:spacing w:before="50" w:after="120" w:line="360" w:lineRule="auto"/>
              <w:jc w:val="center"/>
              <w:rPr>
                <w:rFonts w:hint="eastAsia" w:ascii="宋体" w:hAnsi="宋体" w:eastAsia="宋体" w:cs="宋体"/>
                <w:color w:val="auto"/>
                <w:szCs w:val="21"/>
                <w:highlight w:val="none"/>
              </w:rPr>
            </w:pP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7C161D8F">
            <w:pPr>
              <w:spacing w:before="50" w:after="120" w:line="360" w:lineRule="auto"/>
              <w:jc w:val="center"/>
              <w:rPr>
                <w:rFonts w:hint="eastAsia" w:ascii="宋体" w:hAnsi="宋体" w:eastAsia="宋体" w:cs="宋体"/>
                <w:color w:val="auto"/>
                <w:szCs w:val="21"/>
                <w:highlight w:val="none"/>
              </w:rPr>
            </w:pPr>
          </w:p>
        </w:tc>
        <w:tc>
          <w:tcPr>
            <w:tcW w:w="1338" w:type="dxa"/>
            <w:tcBorders>
              <w:top w:val="single" w:color="000000" w:sz="4" w:space="0"/>
              <w:left w:val="single" w:color="000000" w:sz="4" w:space="0"/>
              <w:bottom w:val="single" w:color="000000" w:sz="4" w:space="0"/>
              <w:right w:val="single" w:color="000000" w:sz="4" w:space="0"/>
            </w:tcBorders>
            <w:noWrap w:val="0"/>
            <w:vAlign w:val="center"/>
          </w:tcPr>
          <w:p w14:paraId="28357CB0">
            <w:pPr>
              <w:spacing w:before="50" w:after="120" w:line="360" w:lineRule="auto"/>
              <w:jc w:val="center"/>
              <w:rPr>
                <w:rFonts w:hint="eastAsia" w:ascii="宋体" w:hAnsi="宋体" w:eastAsia="宋体" w:cs="宋体"/>
                <w:color w:val="auto"/>
                <w:szCs w:val="21"/>
                <w:highlight w:val="none"/>
              </w:rPr>
            </w:pPr>
          </w:p>
        </w:tc>
        <w:tc>
          <w:tcPr>
            <w:tcW w:w="1737" w:type="dxa"/>
            <w:tcBorders>
              <w:top w:val="single" w:color="000000" w:sz="4" w:space="0"/>
              <w:left w:val="single" w:color="000000" w:sz="4" w:space="0"/>
              <w:bottom w:val="single" w:color="000000" w:sz="4" w:space="0"/>
              <w:right w:val="single" w:color="000000" w:sz="4" w:space="0"/>
            </w:tcBorders>
            <w:noWrap w:val="0"/>
            <w:vAlign w:val="center"/>
          </w:tcPr>
          <w:p w14:paraId="686B5BF6">
            <w:pPr>
              <w:spacing w:before="50" w:after="120" w:line="360" w:lineRule="auto"/>
              <w:jc w:val="center"/>
              <w:rPr>
                <w:rFonts w:hint="eastAsia" w:ascii="宋体" w:hAnsi="宋体" w:eastAsia="宋体" w:cs="宋体"/>
                <w:color w:val="auto"/>
                <w:szCs w:val="21"/>
                <w:highlight w:val="none"/>
              </w:rPr>
            </w:pPr>
          </w:p>
        </w:tc>
      </w:tr>
      <w:tr w14:paraId="469EE9A6">
        <w:tblPrEx>
          <w:tblCellMar>
            <w:top w:w="0" w:type="dxa"/>
            <w:left w:w="108" w:type="dxa"/>
            <w:bottom w:w="0" w:type="dxa"/>
            <w:right w:w="108" w:type="dxa"/>
          </w:tblCellMar>
        </w:tblPrEx>
        <w:trPr>
          <w:trHeight w:val="626" w:hRule="atLeast"/>
          <w:jc w:val="center"/>
        </w:trPr>
        <w:tc>
          <w:tcPr>
            <w:tcW w:w="1262" w:type="dxa"/>
            <w:tcBorders>
              <w:top w:val="single" w:color="000000" w:sz="4" w:space="0"/>
              <w:left w:val="single" w:color="000000" w:sz="4" w:space="0"/>
              <w:bottom w:val="single" w:color="000000" w:sz="4" w:space="0"/>
              <w:right w:val="single" w:color="000000" w:sz="4" w:space="0"/>
            </w:tcBorders>
            <w:noWrap w:val="0"/>
            <w:vAlign w:val="center"/>
          </w:tcPr>
          <w:p w14:paraId="35EBA4C9">
            <w:pPr>
              <w:spacing w:before="50" w:after="120" w:line="360" w:lineRule="auto"/>
              <w:jc w:val="center"/>
              <w:rPr>
                <w:rFonts w:hint="eastAsia" w:ascii="宋体" w:hAnsi="宋体" w:eastAsia="宋体" w:cs="宋体"/>
                <w:color w:val="auto"/>
                <w:szCs w:val="21"/>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D913114">
            <w:pPr>
              <w:spacing w:before="50" w:after="120" w:line="360" w:lineRule="auto"/>
              <w:jc w:val="center"/>
              <w:rPr>
                <w:rFonts w:hint="eastAsia" w:ascii="宋体" w:hAnsi="宋体" w:eastAsia="宋体" w:cs="宋体"/>
                <w:color w:val="auto"/>
                <w:szCs w:val="21"/>
                <w:highlight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0BE1CDC4">
            <w:pPr>
              <w:spacing w:before="50" w:after="120" w:line="360" w:lineRule="auto"/>
              <w:jc w:val="center"/>
              <w:rPr>
                <w:rFonts w:hint="eastAsia" w:ascii="宋体" w:hAnsi="宋体" w:eastAsia="宋体" w:cs="宋体"/>
                <w:color w:val="auto"/>
                <w:szCs w:val="21"/>
                <w:highlight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38F9DAB1">
            <w:pPr>
              <w:spacing w:before="50" w:after="120" w:line="360" w:lineRule="auto"/>
              <w:jc w:val="center"/>
              <w:rPr>
                <w:rFonts w:hint="eastAsia" w:ascii="宋体" w:hAnsi="宋体" w:eastAsia="宋体" w:cs="宋体"/>
                <w:color w:val="auto"/>
                <w:szCs w:val="21"/>
                <w:highlight w:val="none"/>
              </w:rPr>
            </w:pP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118DCE99">
            <w:pPr>
              <w:spacing w:before="50" w:after="120" w:line="360" w:lineRule="auto"/>
              <w:jc w:val="center"/>
              <w:rPr>
                <w:rFonts w:hint="eastAsia" w:ascii="宋体" w:hAnsi="宋体" w:eastAsia="宋体" w:cs="宋体"/>
                <w:color w:val="auto"/>
                <w:szCs w:val="21"/>
                <w:highlight w:val="none"/>
              </w:rPr>
            </w:pPr>
          </w:p>
        </w:tc>
        <w:tc>
          <w:tcPr>
            <w:tcW w:w="1338" w:type="dxa"/>
            <w:tcBorders>
              <w:top w:val="single" w:color="000000" w:sz="4" w:space="0"/>
              <w:left w:val="single" w:color="000000" w:sz="4" w:space="0"/>
              <w:bottom w:val="single" w:color="000000" w:sz="4" w:space="0"/>
              <w:right w:val="single" w:color="000000" w:sz="4" w:space="0"/>
            </w:tcBorders>
            <w:noWrap w:val="0"/>
            <w:vAlign w:val="center"/>
          </w:tcPr>
          <w:p w14:paraId="4DF301CD">
            <w:pPr>
              <w:spacing w:before="50" w:after="120" w:line="360" w:lineRule="auto"/>
              <w:jc w:val="center"/>
              <w:rPr>
                <w:rFonts w:hint="eastAsia" w:ascii="宋体" w:hAnsi="宋体" w:eastAsia="宋体" w:cs="宋体"/>
                <w:color w:val="auto"/>
                <w:szCs w:val="21"/>
                <w:highlight w:val="none"/>
              </w:rPr>
            </w:pPr>
          </w:p>
        </w:tc>
        <w:tc>
          <w:tcPr>
            <w:tcW w:w="1737" w:type="dxa"/>
            <w:tcBorders>
              <w:top w:val="single" w:color="000000" w:sz="4" w:space="0"/>
              <w:left w:val="single" w:color="000000" w:sz="4" w:space="0"/>
              <w:bottom w:val="single" w:color="000000" w:sz="4" w:space="0"/>
              <w:right w:val="single" w:color="000000" w:sz="4" w:space="0"/>
            </w:tcBorders>
            <w:noWrap w:val="0"/>
            <w:vAlign w:val="center"/>
          </w:tcPr>
          <w:p w14:paraId="39C42A5A">
            <w:pPr>
              <w:spacing w:before="50" w:after="120" w:line="360" w:lineRule="auto"/>
              <w:jc w:val="center"/>
              <w:rPr>
                <w:rFonts w:hint="eastAsia" w:ascii="宋体" w:hAnsi="宋体" w:eastAsia="宋体" w:cs="宋体"/>
                <w:color w:val="auto"/>
                <w:szCs w:val="21"/>
                <w:highlight w:val="none"/>
              </w:rPr>
            </w:pPr>
          </w:p>
        </w:tc>
      </w:tr>
      <w:tr w14:paraId="3D401874">
        <w:tblPrEx>
          <w:tblCellMar>
            <w:top w:w="0" w:type="dxa"/>
            <w:left w:w="108" w:type="dxa"/>
            <w:bottom w:w="0" w:type="dxa"/>
            <w:right w:w="108" w:type="dxa"/>
          </w:tblCellMar>
        </w:tblPrEx>
        <w:trPr>
          <w:trHeight w:val="504" w:hRule="atLeast"/>
          <w:jc w:val="center"/>
        </w:trPr>
        <w:tc>
          <w:tcPr>
            <w:tcW w:w="1262" w:type="dxa"/>
            <w:tcBorders>
              <w:top w:val="single" w:color="000000" w:sz="4" w:space="0"/>
              <w:left w:val="single" w:color="000000" w:sz="4" w:space="0"/>
              <w:bottom w:val="single" w:color="000000" w:sz="4" w:space="0"/>
              <w:right w:val="single" w:color="000000" w:sz="4" w:space="0"/>
            </w:tcBorders>
            <w:noWrap w:val="0"/>
            <w:vAlign w:val="center"/>
          </w:tcPr>
          <w:p w14:paraId="14376B28">
            <w:pPr>
              <w:spacing w:before="50" w:after="12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7136" w:type="dxa"/>
            <w:gridSpan w:val="6"/>
            <w:tcBorders>
              <w:top w:val="single" w:color="000000" w:sz="4" w:space="0"/>
              <w:left w:val="single" w:color="000000" w:sz="4" w:space="0"/>
              <w:bottom w:val="single" w:color="000000" w:sz="4" w:space="0"/>
              <w:right w:val="single" w:color="000000" w:sz="4" w:space="0"/>
            </w:tcBorders>
            <w:noWrap w:val="0"/>
            <w:vAlign w:val="center"/>
          </w:tcPr>
          <w:p w14:paraId="0D0E20F3">
            <w:pPr>
              <w:spacing w:before="50" w:after="1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需提供</w:t>
            </w:r>
            <w:r>
              <w:rPr>
                <w:rFonts w:hint="eastAsia" w:ascii="宋体" w:hAnsi="宋体" w:eastAsia="宋体" w:cs="宋体"/>
                <w:b/>
                <w:bCs/>
                <w:color w:val="auto"/>
                <w:szCs w:val="21"/>
                <w:highlight w:val="none"/>
                <w:lang w:eastAsia="zh-CN"/>
              </w:rPr>
              <w:t>证明材料</w:t>
            </w:r>
            <w:r>
              <w:rPr>
                <w:rFonts w:hint="eastAsia" w:ascii="宋体" w:hAnsi="宋体" w:eastAsia="宋体" w:cs="宋体"/>
                <w:b/>
                <w:bCs/>
                <w:color w:val="auto"/>
                <w:szCs w:val="21"/>
                <w:highlight w:val="none"/>
              </w:rPr>
              <w:t>扫描件加盖CA签章</w:t>
            </w:r>
            <w:r>
              <w:rPr>
                <w:rFonts w:hint="eastAsia" w:ascii="宋体" w:hAnsi="宋体" w:eastAsia="宋体" w:cs="宋体"/>
                <w:color w:val="auto"/>
                <w:szCs w:val="21"/>
                <w:highlight w:val="none"/>
              </w:rPr>
              <w:t>。</w:t>
            </w:r>
          </w:p>
        </w:tc>
      </w:tr>
    </w:tbl>
    <w:p w14:paraId="1EB42922">
      <w:pPr>
        <w:pStyle w:val="5"/>
        <w:snapToGrid w:val="0"/>
        <w:rPr>
          <w:rFonts w:hint="eastAsia" w:ascii="宋体" w:hAnsi="宋体" w:eastAsia="宋体" w:cs="宋体"/>
          <w:color w:val="auto"/>
          <w:sz w:val="21"/>
          <w:szCs w:val="21"/>
          <w:highlight w:val="none"/>
        </w:rPr>
      </w:pPr>
    </w:p>
    <w:p w14:paraId="0494E4F7">
      <w:pPr>
        <w:snapToGrid w:val="0"/>
        <w:spacing w:before="50" w:after="120" w:afterLines="50" w:line="4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磋商响应方全称（公章）：</w:t>
      </w:r>
    </w:p>
    <w:p w14:paraId="1BA1B3D7">
      <w:pPr>
        <w:snapToGrid w:val="0"/>
        <w:spacing w:before="50" w:after="120" w:afterLines="50" w:line="4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法定代表人或委托代理人</w:t>
      </w:r>
      <w:r>
        <w:rPr>
          <w:rFonts w:hint="eastAsia" w:ascii="宋体" w:hAnsi="宋体" w:eastAsia="宋体" w:cs="宋体"/>
          <w:color w:val="auto"/>
          <w:szCs w:val="21"/>
          <w:highlight w:val="none"/>
        </w:rPr>
        <w:t>（签字或盖章）：</w:t>
      </w:r>
    </w:p>
    <w:p w14:paraId="4A377A57">
      <w:pPr>
        <w:snapToGrid w:val="0"/>
        <w:spacing w:before="50" w:after="120" w:afterLine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日期：  </w:t>
      </w:r>
    </w:p>
    <w:p w14:paraId="678F25A4">
      <w:pP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b/>
          <w:color w:val="auto"/>
          <w:szCs w:val="21"/>
          <w:highlight w:val="none"/>
        </w:rPr>
        <w:t>附件8：</w:t>
      </w:r>
      <w:bookmarkEnd w:id="98"/>
    </w:p>
    <w:p w14:paraId="0837F09A">
      <w:pPr>
        <w:snapToGrid w:val="0"/>
        <w:spacing w:before="50" w:after="120" w:afterLines="5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磋商报价一览表</w:t>
      </w:r>
    </w:p>
    <w:p w14:paraId="4797C4D2">
      <w:pPr>
        <w:snapToGrid w:val="0"/>
        <w:spacing w:before="50" w:after="120" w:afterLines="50" w:line="460" w:lineRule="exact"/>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 xml:space="preserve">项目名称：                                        项目编号：                   </w:t>
      </w:r>
      <w:r>
        <w:rPr>
          <w:rFonts w:hint="eastAsia" w:ascii="宋体" w:hAnsi="宋体" w:eastAsia="宋体" w:cs="宋体"/>
          <w:b/>
          <w:bCs/>
          <w:color w:val="auto"/>
          <w:szCs w:val="21"/>
          <w:highlight w:val="none"/>
        </w:rPr>
        <w:t xml:space="preserve"> </w:t>
      </w:r>
    </w:p>
    <w:tbl>
      <w:tblPr>
        <w:tblStyle w:val="18"/>
        <w:tblW w:w="9333"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2670"/>
        <w:gridCol w:w="1185"/>
        <w:gridCol w:w="1590"/>
        <w:gridCol w:w="1530"/>
        <w:gridCol w:w="1035"/>
      </w:tblGrid>
      <w:tr w14:paraId="284FF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60" w:hRule="atLeast"/>
        </w:trPr>
        <w:tc>
          <w:tcPr>
            <w:tcW w:w="1323" w:type="dxa"/>
            <w:noWrap w:val="0"/>
            <w:vAlign w:val="center"/>
          </w:tcPr>
          <w:p w14:paraId="6489301F">
            <w:pPr>
              <w:widowControl/>
              <w:jc w:val="center"/>
              <w:textAlignment w:val="center"/>
              <w:rPr>
                <w:rFonts w:hint="eastAsia" w:ascii="宋体" w:hAnsi="宋体" w:eastAsia="宋体" w:cs="宋体"/>
                <w:snapToGrid w:val="0"/>
                <w:spacing w:val="-8"/>
                <w:kern w:val="0"/>
                <w:sz w:val="21"/>
                <w:szCs w:val="21"/>
              </w:rPr>
            </w:pPr>
            <w:r>
              <w:rPr>
                <w:rFonts w:hint="eastAsia" w:ascii="宋体" w:hAnsi="宋体" w:eastAsia="宋体" w:cs="宋体"/>
                <w:snapToGrid w:val="0"/>
                <w:spacing w:val="-8"/>
                <w:kern w:val="0"/>
                <w:sz w:val="21"/>
                <w:szCs w:val="21"/>
              </w:rPr>
              <w:t xml:space="preserve">                                                            序号</w:t>
            </w:r>
          </w:p>
        </w:tc>
        <w:tc>
          <w:tcPr>
            <w:tcW w:w="2670" w:type="dxa"/>
            <w:noWrap w:val="0"/>
            <w:vAlign w:val="center"/>
          </w:tcPr>
          <w:p w14:paraId="1B48665A">
            <w:pPr>
              <w:widowControl/>
              <w:jc w:val="center"/>
              <w:textAlignment w:val="center"/>
              <w:rPr>
                <w:rFonts w:hint="eastAsia" w:ascii="宋体" w:hAnsi="宋体" w:eastAsia="宋体" w:cs="宋体"/>
                <w:snapToGrid w:val="0"/>
                <w:spacing w:val="-8"/>
                <w:kern w:val="0"/>
                <w:sz w:val="21"/>
                <w:szCs w:val="21"/>
              </w:rPr>
            </w:pPr>
            <w:r>
              <w:rPr>
                <w:rFonts w:hint="eastAsia" w:ascii="宋体" w:hAnsi="宋体" w:eastAsia="宋体" w:cs="宋体"/>
                <w:snapToGrid w:val="0"/>
                <w:spacing w:val="-8"/>
                <w:kern w:val="0"/>
                <w:sz w:val="21"/>
                <w:szCs w:val="21"/>
              </w:rPr>
              <w:t>项目名称</w:t>
            </w:r>
          </w:p>
        </w:tc>
        <w:tc>
          <w:tcPr>
            <w:tcW w:w="1185" w:type="dxa"/>
            <w:noWrap w:val="0"/>
            <w:vAlign w:val="center"/>
          </w:tcPr>
          <w:p w14:paraId="529BF881">
            <w:pPr>
              <w:snapToGrid w:val="0"/>
              <w:spacing w:before="50" w:after="120" w:afterLines="50" w:line="4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数量</w:t>
            </w:r>
          </w:p>
        </w:tc>
        <w:tc>
          <w:tcPr>
            <w:tcW w:w="1590" w:type="dxa"/>
            <w:noWrap w:val="0"/>
            <w:vAlign w:val="center"/>
          </w:tcPr>
          <w:p w14:paraId="47213A19">
            <w:pPr>
              <w:snapToGrid w:val="0"/>
              <w:spacing w:before="50" w:after="120" w:afterLines="50" w:line="46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单位（年）</w:t>
            </w:r>
          </w:p>
        </w:tc>
        <w:tc>
          <w:tcPr>
            <w:tcW w:w="1530" w:type="dxa"/>
            <w:noWrap w:val="0"/>
            <w:vAlign w:val="center"/>
          </w:tcPr>
          <w:p w14:paraId="22C3DE78">
            <w:pPr>
              <w:snapToGrid w:val="0"/>
              <w:spacing w:before="50" w:after="120" w:afterLines="50"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磋商响应报价（</w:t>
            </w:r>
            <w:r>
              <w:rPr>
                <w:rFonts w:hint="eastAsia" w:ascii="宋体" w:hAnsi="宋体" w:cs="宋体"/>
                <w:color w:val="auto"/>
                <w:szCs w:val="21"/>
                <w:highlight w:val="none"/>
                <w:lang w:val="en-US" w:eastAsia="zh-CN"/>
              </w:rPr>
              <w:t>万</w:t>
            </w:r>
            <w:r>
              <w:rPr>
                <w:rFonts w:hint="eastAsia" w:ascii="宋体" w:hAnsi="宋体" w:eastAsia="宋体" w:cs="宋体"/>
                <w:color w:val="auto"/>
                <w:szCs w:val="21"/>
                <w:highlight w:val="none"/>
              </w:rPr>
              <w:t>元）</w:t>
            </w:r>
          </w:p>
        </w:tc>
        <w:tc>
          <w:tcPr>
            <w:tcW w:w="1035" w:type="dxa"/>
            <w:noWrap w:val="0"/>
            <w:vAlign w:val="center"/>
          </w:tcPr>
          <w:p w14:paraId="3040EE78">
            <w:pPr>
              <w:snapToGrid w:val="0"/>
              <w:spacing w:before="50" w:after="120" w:afterLines="50" w:line="4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备注</w:t>
            </w:r>
          </w:p>
        </w:tc>
      </w:tr>
      <w:tr w14:paraId="0B856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280" w:hRule="atLeast"/>
        </w:trPr>
        <w:tc>
          <w:tcPr>
            <w:tcW w:w="1323" w:type="dxa"/>
            <w:noWrap w:val="0"/>
            <w:vAlign w:val="center"/>
          </w:tcPr>
          <w:p w14:paraId="60B7B794">
            <w:pPr>
              <w:widowControl/>
              <w:jc w:val="center"/>
              <w:textAlignment w:val="center"/>
              <w:rPr>
                <w:rFonts w:hint="eastAsia" w:ascii="宋体" w:hAnsi="宋体" w:eastAsia="宋体" w:cs="宋体"/>
                <w:snapToGrid w:val="0"/>
                <w:spacing w:val="-8"/>
                <w:kern w:val="0"/>
                <w:sz w:val="21"/>
                <w:szCs w:val="21"/>
              </w:rPr>
            </w:pPr>
            <w:r>
              <w:rPr>
                <w:rFonts w:hint="eastAsia" w:ascii="宋体" w:hAnsi="宋体" w:eastAsia="宋体" w:cs="宋体"/>
                <w:snapToGrid w:val="0"/>
                <w:spacing w:val="-8"/>
                <w:kern w:val="0"/>
                <w:sz w:val="21"/>
                <w:szCs w:val="21"/>
              </w:rPr>
              <w:t>1</w:t>
            </w:r>
          </w:p>
        </w:tc>
        <w:tc>
          <w:tcPr>
            <w:tcW w:w="2670" w:type="dxa"/>
            <w:noWrap w:val="0"/>
            <w:vAlign w:val="center"/>
          </w:tcPr>
          <w:p w14:paraId="79DA850C">
            <w:pPr>
              <w:widowControl/>
              <w:jc w:val="center"/>
              <w:textAlignment w:val="center"/>
              <w:rPr>
                <w:rFonts w:hint="eastAsia" w:ascii="宋体" w:hAnsi="宋体" w:eastAsia="宋体" w:cs="宋体"/>
                <w:snapToGrid w:val="0"/>
                <w:spacing w:val="-8"/>
                <w:kern w:val="0"/>
                <w:sz w:val="21"/>
                <w:szCs w:val="21"/>
                <w:lang w:eastAsia="zh-CN"/>
              </w:rPr>
            </w:pPr>
            <w:r>
              <w:rPr>
                <w:rFonts w:hint="eastAsia" w:ascii="宋体" w:hAnsi="宋体" w:eastAsia="宋体" w:cs="宋体"/>
                <w:snapToGrid w:val="0"/>
                <w:spacing w:val="-8"/>
                <w:kern w:val="0"/>
                <w:sz w:val="21"/>
                <w:szCs w:val="21"/>
                <w:lang w:val="en-US" w:eastAsia="zh-CN"/>
              </w:rPr>
              <w:t xml:space="preserve"> </w:t>
            </w:r>
          </w:p>
        </w:tc>
        <w:tc>
          <w:tcPr>
            <w:tcW w:w="1185" w:type="dxa"/>
            <w:noWrap w:val="0"/>
            <w:vAlign w:val="center"/>
          </w:tcPr>
          <w:p w14:paraId="29063736">
            <w:pPr>
              <w:snapToGrid w:val="0"/>
              <w:spacing w:before="50" w:after="120" w:afterLines="50" w:line="460" w:lineRule="exact"/>
              <w:jc w:val="center"/>
              <w:rPr>
                <w:rFonts w:hint="eastAsia" w:ascii="宋体" w:hAnsi="宋体" w:eastAsia="宋体" w:cs="宋体"/>
                <w:color w:val="auto"/>
                <w:szCs w:val="21"/>
                <w:highlight w:val="none"/>
              </w:rPr>
            </w:pPr>
          </w:p>
        </w:tc>
        <w:tc>
          <w:tcPr>
            <w:tcW w:w="1590" w:type="dxa"/>
            <w:noWrap w:val="0"/>
            <w:vAlign w:val="center"/>
          </w:tcPr>
          <w:p w14:paraId="106072A9">
            <w:pPr>
              <w:snapToGrid w:val="0"/>
              <w:spacing w:before="50" w:after="120" w:afterLines="50" w:line="460" w:lineRule="exact"/>
              <w:ind w:right="643" w:rightChars="306"/>
              <w:jc w:val="center"/>
              <w:rPr>
                <w:rFonts w:hint="eastAsia" w:ascii="宋体" w:hAnsi="宋体" w:eastAsia="宋体" w:cs="宋体"/>
                <w:color w:val="auto"/>
                <w:szCs w:val="21"/>
                <w:highlight w:val="none"/>
              </w:rPr>
            </w:pPr>
          </w:p>
        </w:tc>
        <w:tc>
          <w:tcPr>
            <w:tcW w:w="1530" w:type="dxa"/>
            <w:noWrap w:val="0"/>
            <w:vAlign w:val="center"/>
          </w:tcPr>
          <w:p w14:paraId="1B54C438">
            <w:pPr>
              <w:snapToGrid w:val="0"/>
              <w:spacing w:before="50" w:after="120" w:afterLines="50" w:line="460" w:lineRule="exact"/>
              <w:jc w:val="center"/>
              <w:rPr>
                <w:rFonts w:hint="eastAsia" w:ascii="宋体" w:hAnsi="宋体" w:eastAsia="宋体" w:cs="宋体"/>
                <w:color w:val="auto"/>
                <w:szCs w:val="21"/>
                <w:highlight w:val="none"/>
              </w:rPr>
            </w:pPr>
          </w:p>
        </w:tc>
        <w:tc>
          <w:tcPr>
            <w:tcW w:w="1035" w:type="dxa"/>
            <w:noWrap w:val="0"/>
            <w:vAlign w:val="center"/>
          </w:tcPr>
          <w:p w14:paraId="5AF3AAF2">
            <w:pPr>
              <w:snapToGrid w:val="0"/>
              <w:spacing w:before="50" w:after="120" w:afterLines="50" w:line="4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第一年</w:t>
            </w:r>
          </w:p>
        </w:tc>
      </w:tr>
      <w:tr w14:paraId="2FCC1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280" w:hRule="atLeast"/>
        </w:trPr>
        <w:tc>
          <w:tcPr>
            <w:tcW w:w="1323" w:type="dxa"/>
            <w:noWrap w:val="0"/>
            <w:vAlign w:val="center"/>
          </w:tcPr>
          <w:p w14:paraId="06E75052">
            <w:pPr>
              <w:snapToGrid w:val="0"/>
              <w:spacing w:before="50" w:after="120" w:afterLines="50" w:line="4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2670" w:type="dxa"/>
            <w:noWrap w:val="0"/>
            <w:vAlign w:val="center"/>
          </w:tcPr>
          <w:p w14:paraId="0BF921B6">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bCs/>
                <w:color w:val="000000"/>
                <w:sz w:val="21"/>
                <w:szCs w:val="21"/>
                <w:lang w:val="en-US" w:eastAsia="zh-CN"/>
              </w:rPr>
              <w:t xml:space="preserve"> </w:t>
            </w:r>
          </w:p>
        </w:tc>
        <w:tc>
          <w:tcPr>
            <w:tcW w:w="1185" w:type="dxa"/>
            <w:noWrap w:val="0"/>
            <w:vAlign w:val="center"/>
          </w:tcPr>
          <w:p w14:paraId="56EDA442">
            <w:pPr>
              <w:snapToGrid w:val="0"/>
              <w:spacing w:before="50" w:after="120" w:afterLines="50" w:line="460" w:lineRule="exact"/>
              <w:jc w:val="center"/>
              <w:rPr>
                <w:rFonts w:hint="eastAsia" w:ascii="宋体" w:hAnsi="宋体" w:eastAsia="宋体" w:cs="宋体"/>
                <w:color w:val="auto"/>
                <w:szCs w:val="21"/>
                <w:highlight w:val="none"/>
              </w:rPr>
            </w:pPr>
          </w:p>
        </w:tc>
        <w:tc>
          <w:tcPr>
            <w:tcW w:w="1590" w:type="dxa"/>
            <w:noWrap w:val="0"/>
            <w:vAlign w:val="center"/>
          </w:tcPr>
          <w:p w14:paraId="69197E2E">
            <w:pPr>
              <w:snapToGrid w:val="0"/>
              <w:spacing w:before="50" w:after="120" w:afterLines="50" w:line="460" w:lineRule="exact"/>
              <w:jc w:val="center"/>
              <w:rPr>
                <w:rFonts w:hint="eastAsia" w:ascii="宋体" w:hAnsi="宋体" w:eastAsia="宋体" w:cs="宋体"/>
                <w:color w:val="auto"/>
                <w:szCs w:val="21"/>
                <w:highlight w:val="none"/>
              </w:rPr>
            </w:pPr>
          </w:p>
        </w:tc>
        <w:tc>
          <w:tcPr>
            <w:tcW w:w="1530" w:type="dxa"/>
            <w:noWrap w:val="0"/>
            <w:vAlign w:val="center"/>
          </w:tcPr>
          <w:p w14:paraId="7CF48192">
            <w:pPr>
              <w:snapToGrid w:val="0"/>
              <w:spacing w:before="50" w:after="120" w:afterLines="50" w:line="460" w:lineRule="exact"/>
              <w:jc w:val="center"/>
              <w:rPr>
                <w:rFonts w:hint="eastAsia" w:ascii="宋体" w:hAnsi="宋体" w:eastAsia="宋体" w:cs="宋体"/>
                <w:color w:val="auto"/>
                <w:szCs w:val="21"/>
                <w:highlight w:val="none"/>
              </w:rPr>
            </w:pPr>
          </w:p>
        </w:tc>
        <w:tc>
          <w:tcPr>
            <w:tcW w:w="1035" w:type="dxa"/>
            <w:noWrap w:val="0"/>
            <w:vAlign w:val="center"/>
          </w:tcPr>
          <w:p w14:paraId="6B5EEC09">
            <w:pPr>
              <w:snapToGrid w:val="0"/>
              <w:spacing w:before="50" w:after="120" w:afterLines="50" w:line="4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第二年</w:t>
            </w:r>
            <w:r>
              <w:rPr>
                <w:rFonts w:hint="eastAsia" w:ascii="宋体" w:hAnsi="宋体" w:eastAsia="宋体" w:cs="宋体"/>
                <w:color w:val="auto"/>
                <w:sz w:val="20"/>
                <w:szCs w:val="20"/>
                <w:highlight w:val="none"/>
                <w:lang w:val="en-US" w:eastAsia="zh-CN"/>
              </w:rPr>
              <w:t xml:space="preserve"> </w:t>
            </w:r>
          </w:p>
        </w:tc>
      </w:tr>
      <w:tr w14:paraId="76966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323" w:type="dxa"/>
            <w:noWrap w:val="0"/>
            <w:vAlign w:val="center"/>
          </w:tcPr>
          <w:p w14:paraId="611D4FED">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报价</w:t>
            </w:r>
            <w:r>
              <w:rPr>
                <w:rFonts w:hint="eastAsia" w:ascii="宋体" w:hAnsi="宋体" w:eastAsia="宋体" w:cs="宋体"/>
                <w:color w:val="auto"/>
                <w:szCs w:val="21"/>
                <w:highlight w:val="none"/>
              </w:rPr>
              <w:t>金额</w:t>
            </w:r>
            <w:r>
              <w:rPr>
                <w:rFonts w:hint="eastAsia" w:ascii="宋体" w:hAnsi="宋体" w:eastAsia="宋体" w:cs="宋体"/>
                <w:color w:val="auto"/>
                <w:szCs w:val="21"/>
                <w:highlight w:val="none"/>
                <w:lang w:val="en-US" w:eastAsia="zh-CN"/>
              </w:rPr>
              <w:t>合计</w:t>
            </w:r>
            <w:r>
              <w:rPr>
                <w:rFonts w:hint="eastAsia" w:ascii="宋体" w:hAnsi="宋体" w:eastAsia="宋体" w:cs="宋体"/>
                <w:color w:val="auto"/>
                <w:szCs w:val="21"/>
                <w:highlight w:val="none"/>
              </w:rPr>
              <w:t>（元）</w:t>
            </w:r>
          </w:p>
        </w:tc>
        <w:tc>
          <w:tcPr>
            <w:tcW w:w="5445" w:type="dxa"/>
            <w:gridSpan w:val="3"/>
            <w:noWrap w:val="0"/>
            <w:vAlign w:val="center"/>
          </w:tcPr>
          <w:p w14:paraId="5ADB4C21">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小写：            </w:t>
            </w:r>
          </w:p>
        </w:tc>
        <w:tc>
          <w:tcPr>
            <w:tcW w:w="2565" w:type="dxa"/>
            <w:gridSpan w:val="2"/>
            <w:noWrap w:val="0"/>
            <w:vAlign w:val="center"/>
          </w:tcPr>
          <w:p w14:paraId="7325665E">
            <w:pPr>
              <w:spacing w:line="40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大写</w:t>
            </w:r>
            <w:r>
              <w:rPr>
                <w:rFonts w:hint="eastAsia" w:ascii="宋体" w:hAnsi="宋体" w:eastAsia="宋体" w:cs="宋体"/>
                <w:color w:val="auto"/>
                <w:szCs w:val="21"/>
                <w:highlight w:val="none"/>
                <w:lang w:eastAsia="zh-CN"/>
              </w:rPr>
              <w:t>：</w:t>
            </w:r>
          </w:p>
        </w:tc>
      </w:tr>
    </w:tbl>
    <w:p w14:paraId="49DA5ED8">
      <w:pPr>
        <w:pStyle w:val="24"/>
        <w:numPr>
          <w:numId w:val="15"/>
        </w:numPr>
        <w:tabs>
          <w:tab w:val="left" w:pos="454"/>
          <w:tab w:val="left" w:pos="900"/>
        </w:tabs>
        <w:spacing w:after="0" w:afterLines="0" w:line="400" w:lineRule="exact"/>
        <w:ind w:left="0"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磋商响应报价是履行合同的最终价格，即完成本项目服务内容和要求所产生的所有费用，包括人员工资（含节假日加班费、劳保费、福利费等）、调查、研究、通讯、方案编制、材料费、管理费、差旅食宿费、交通费、评审费（含评审专家费）、专利费（著作权费）、利润、税金、保险（包括医疗、工伤、养老等社会保险及人身意外保险）、代理服务费等完成合同所需的一切本身和不可或缺的所有工作开支、政策性文件规定计合同包含的所有风险、责任等各项全部费用。</w:t>
      </w:r>
    </w:p>
    <w:p w14:paraId="231965CC">
      <w:pPr>
        <w:pStyle w:val="24"/>
        <w:numPr>
          <w:ilvl w:val="0"/>
          <w:numId w:val="0"/>
        </w:numPr>
        <w:tabs>
          <w:tab w:val="left" w:pos="454"/>
          <w:tab w:val="left" w:pos="900"/>
          <w:tab w:val="clear" w:pos="360"/>
        </w:tabs>
        <w:spacing w:afterLines="0" w:line="400" w:lineRule="exact"/>
        <w:ind w:left="480" w:leftChars="0"/>
        <w:rPr>
          <w:rFonts w:hint="eastAsia" w:ascii="宋体" w:hAnsi="宋体" w:eastAsia="宋体" w:cs="宋体"/>
          <w:color w:val="auto"/>
          <w:sz w:val="21"/>
          <w:szCs w:val="21"/>
          <w:highlight w:val="none"/>
        </w:rPr>
      </w:pPr>
    </w:p>
    <w:p w14:paraId="0B55F710">
      <w:pPr>
        <w:snapToGrid w:val="0"/>
        <w:spacing w:before="50" w:after="120" w:afterLines="50" w:line="460" w:lineRule="exact"/>
        <w:jc w:val="left"/>
        <w:rPr>
          <w:rFonts w:hint="eastAsia" w:ascii="宋体" w:hAnsi="宋体" w:eastAsia="宋体" w:cs="宋体"/>
          <w:color w:val="auto"/>
          <w:szCs w:val="21"/>
          <w:highlight w:val="none"/>
        </w:rPr>
      </w:pPr>
    </w:p>
    <w:p w14:paraId="06EDA3E9">
      <w:pPr>
        <w:snapToGrid w:val="0"/>
        <w:spacing w:before="50" w:after="120" w:afterLines="50" w:line="4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磋商响应方全称（公章）：</w:t>
      </w:r>
    </w:p>
    <w:p w14:paraId="1CAFA724">
      <w:pPr>
        <w:snapToGrid w:val="0"/>
        <w:spacing w:before="50" w:after="120" w:afterLines="50" w:line="4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或委托代理人</w:t>
      </w:r>
      <w:r>
        <w:rPr>
          <w:rFonts w:hint="eastAsia" w:ascii="宋体" w:hAnsi="宋体" w:eastAsia="宋体" w:cs="宋体"/>
          <w:color w:val="auto"/>
          <w:szCs w:val="21"/>
          <w:highlight w:val="none"/>
        </w:rPr>
        <w:t>（签字或盖章）：</w:t>
      </w:r>
    </w:p>
    <w:p w14:paraId="597301FB">
      <w:pPr>
        <w:snapToGrid w:val="0"/>
        <w:spacing w:before="50" w:after="120" w:afterLines="50" w:line="4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706093BE">
      <w:pPr>
        <w:snapToGrid w:val="0"/>
        <w:spacing w:before="50" w:after="120" w:afterLines="50"/>
        <w:jc w:val="left"/>
        <w:rPr>
          <w:rFonts w:hint="eastAsia" w:ascii="宋体" w:hAnsi="宋体" w:eastAsia="宋体" w:cs="宋体"/>
          <w:b/>
          <w:color w:val="auto"/>
          <w:szCs w:val="21"/>
          <w:highlight w:val="none"/>
        </w:rPr>
      </w:pPr>
    </w:p>
    <w:p w14:paraId="6134A771">
      <w:pPr>
        <w:snapToGrid w:val="0"/>
        <w:spacing w:before="50" w:after="120" w:afterLines="50"/>
        <w:jc w:val="left"/>
        <w:rPr>
          <w:rFonts w:hint="eastAsia" w:ascii="宋体" w:hAnsi="宋体" w:eastAsia="宋体" w:cs="宋体"/>
          <w:b/>
          <w:color w:val="auto"/>
          <w:szCs w:val="21"/>
          <w:highlight w:val="none"/>
        </w:rPr>
      </w:pPr>
    </w:p>
    <w:p w14:paraId="68E07B2F">
      <w:pPr>
        <w:snapToGrid w:val="0"/>
        <w:spacing w:before="50" w:after="120" w:afterLines="50"/>
        <w:jc w:val="left"/>
        <w:rPr>
          <w:rFonts w:hint="eastAsia" w:ascii="宋体" w:hAnsi="宋体" w:eastAsia="宋体" w:cs="宋体"/>
          <w:b/>
          <w:color w:val="auto"/>
          <w:szCs w:val="21"/>
          <w:highlight w:val="none"/>
        </w:rPr>
      </w:pPr>
    </w:p>
    <w:p w14:paraId="1B7CA0AA">
      <w:pPr>
        <w:snapToGrid w:val="0"/>
        <w:spacing w:before="50" w:after="120" w:afterLines="50"/>
        <w:jc w:val="left"/>
        <w:rPr>
          <w:rFonts w:hint="eastAsia" w:ascii="宋体" w:hAnsi="宋体" w:eastAsia="宋体" w:cs="宋体"/>
          <w:b/>
          <w:color w:val="auto"/>
          <w:szCs w:val="21"/>
          <w:highlight w:val="none"/>
        </w:rPr>
      </w:pPr>
    </w:p>
    <w:p w14:paraId="7B86E7F8">
      <w:pPr>
        <w:snapToGrid w:val="0"/>
        <w:spacing w:before="50" w:after="120" w:afterLines="50"/>
        <w:jc w:val="left"/>
        <w:rPr>
          <w:rFonts w:hint="eastAsia" w:ascii="宋体" w:hAnsi="宋体" w:eastAsia="宋体" w:cs="宋体"/>
          <w:b/>
          <w:color w:val="auto"/>
          <w:szCs w:val="21"/>
          <w:highlight w:val="none"/>
        </w:rPr>
      </w:pPr>
    </w:p>
    <w:p w14:paraId="4C71D8EB">
      <w:pP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rPr>
        <w:t>附件9：</w:t>
      </w:r>
    </w:p>
    <w:p w14:paraId="235B6497">
      <w:pPr>
        <w:snapToGrid w:val="0"/>
        <w:spacing w:before="50" w:after="120" w:afterLines="5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磋商分项报价明细表</w:t>
      </w:r>
    </w:p>
    <w:p w14:paraId="0E3419B0">
      <w:pPr>
        <w:snapToGrid w:val="0"/>
        <w:spacing w:before="50" w:after="120" w:afterLines="50" w:line="4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                                              项目编号：</w:t>
      </w:r>
    </w:p>
    <w:tbl>
      <w:tblPr>
        <w:tblStyle w:val="17"/>
        <w:tblW w:w="881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8"/>
        <w:gridCol w:w="80"/>
        <w:gridCol w:w="767"/>
        <w:gridCol w:w="2352"/>
        <w:gridCol w:w="708"/>
        <w:gridCol w:w="720"/>
        <w:gridCol w:w="1263"/>
        <w:gridCol w:w="1337"/>
        <w:gridCol w:w="958"/>
      </w:tblGrid>
      <w:tr w14:paraId="7A1484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jc w:val="center"/>
        </w:trPr>
        <w:tc>
          <w:tcPr>
            <w:tcW w:w="8813" w:type="dxa"/>
            <w:gridSpan w:val="9"/>
            <w:tcBorders>
              <w:top w:val="single" w:color="auto" w:sz="4" w:space="0"/>
              <w:left w:val="single" w:color="auto" w:sz="4" w:space="0"/>
              <w:bottom w:val="single" w:color="auto" w:sz="4" w:space="0"/>
              <w:right w:val="single" w:color="auto" w:sz="4" w:space="0"/>
            </w:tcBorders>
            <w:noWrap w:val="0"/>
            <w:vAlign w:val="center"/>
          </w:tcPr>
          <w:p w14:paraId="053F0DDD">
            <w:pPr>
              <w:snapToGrid w:val="0"/>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服务类</w:t>
            </w:r>
          </w:p>
        </w:tc>
      </w:tr>
      <w:tr w14:paraId="4EC90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708" w:type="dxa"/>
            <w:gridSpan w:val="2"/>
            <w:tcBorders>
              <w:top w:val="single" w:color="auto" w:sz="4" w:space="0"/>
              <w:left w:val="single" w:color="auto" w:sz="4" w:space="0"/>
              <w:bottom w:val="nil"/>
              <w:right w:val="single" w:color="auto" w:sz="4" w:space="0"/>
            </w:tcBorders>
            <w:noWrap w:val="0"/>
            <w:vAlign w:val="center"/>
          </w:tcPr>
          <w:p w14:paraId="2308D1E3">
            <w:pPr>
              <w:widowControl/>
              <w:textAlignment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序号</w:t>
            </w:r>
          </w:p>
        </w:tc>
        <w:tc>
          <w:tcPr>
            <w:tcW w:w="767" w:type="dxa"/>
            <w:tcBorders>
              <w:top w:val="single" w:color="auto" w:sz="4" w:space="0"/>
              <w:left w:val="single" w:color="auto" w:sz="4" w:space="0"/>
              <w:bottom w:val="nil"/>
              <w:right w:val="single" w:color="auto" w:sz="4" w:space="0"/>
            </w:tcBorders>
            <w:noWrap w:val="0"/>
            <w:vAlign w:val="center"/>
          </w:tcPr>
          <w:p w14:paraId="54871BC0">
            <w:pPr>
              <w:widowControl/>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类别</w:t>
            </w:r>
          </w:p>
        </w:tc>
        <w:tc>
          <w:tcPr>
            <w:tcW w:w="2352" w:type="dxa"/>
            <w:tcBorders>
              <w:top w:val="single" w:color="auto" w:sz="4" w:space="0"/>
              <w:left w:val="single" w:color="auto" w:sz="4" w:space="0"/>
              <w:bottom w:val="nil"/>
              <w:right w:val="single" w:color="auto" w:sz="4" w:space="0"/>
            </w:tcBorders>
            <w:noWrap w:val="0"/>
            <w:vAlign w:val="center"/>
          </w:tcPr>
          <w:p w14:paraId="59078150">
            <w:pPr>
              <w:widowControl/>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内容</w:t>
            </w:r>
          </w:p>
        </w:tc>
        <w:tc>
          <w:tcPr>
            <w:tcW w:w="708" w:type="dxa"/>
            <w:tcBorders>
              <w:top w:val="single" w:color="auto" w:sz="4" w:space="0"/>
              <w:left w:val="single" w:color="auto" w:sz="4" w:space="0"/>
              <w:bottom w:val="nil"/>
              <w:right w:val="single" w:color="auto" w:sz="4" w:space="0"/>
            </w:tcBorders>
            <w:noWrap w:val="0"/>
            <w:vAlign w:val="center"/>
          </w:tcPr>
          <w:p w14:paraId="41505602">
            <w:pPr>
              <w:widowControl/>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单位</w:t>
            </w:r>
          </w:p>
        </w:tc>
        <w:tc>
          <w:tcPr>
            <w:tcW w:w="720" w:type="dxa"/>
            <w:tcBorders>
              <w:top w:val="single" w:color="auto" w:sz="4" w:space="0"/>
              <w:left w:val="single" w:color="auto" w:sz="4" w:space="0"/>
              <w:bottom w:val="nil"/>
              <w:right w:val="single" w:color="auto" w:sz="4" w:space="0"/>
            </w:tcBorders>
            <w:noWrap w:val="0"/>
            <w:vAlign w:val="center"/>
          </w:tcPr>
          <w:p w14:paraId="5BC790E9">
            <w:pPr>
              <w:snapToGrid w:val="0"/>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1263" w:type="dxa"/>
            <w:tcBorders>
              <w:top w:val="single" w:color="auto" w:sz="4" w:space="0"/>
              <w:left w:val="single" w:color="auto" w:sz="4" w:space="0"/>
              <w:bottom w:val="nil"/>
              <w:right w:val="single" w:color="auto" w:sz="4" w:space="0"/>
            </w:tcBorders>
            <w:noWrap w:val="0"/>
            <w:vAlign w:val="center"/>
          </w:tcPr>
          <w:p w14:paraId="6DABD8B7">
            <w:pPr>
              <w:snapToGrid w:val="0"/>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单价（元）</w:t>
            </w:r>
          </w:p>
        </w:tc>
        <w:tc>
          <w:tcPr>
            <w:tcW w:w="1337" w:type="dxa"/>
            <w:tcBorders>
              <w:top w:val="single" w:color="auto" w:sz="4" w:space="0"/>
              <w:left w:val="single" w:color="auto" w:sz="4" w:space="0"/>
              <w:bottom w:val="nil"/>
              <w:right w:val="single" w:color="auto" w:sz="4" w:space="0"/>
            </w:tcBorders>
            <w:noWrap w:val="0"/>
            <w:vAlign w:val="center"/>
          </w:tcPr>
          <w:p w14:paraId="184B6AE4">
            <w:pPr>
              <w:snapToGrid w:val="0"/>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总价（元）</w:t>
            </w:r>
          </w:p>
        </w:tc>
        <w:tc>
          <w:tcPr>
            <w:tcW w:w="958" w:type="dxa"/>
            <w:tcBorders>
              <w:top w:val="single" w:color="auto" w:sz="4" w:space="0"/>
              <w:left w:val="single" w:color="auto" w:sz="4" w:space="0"/>
              <w:right w:val="single" w:color="auto" w:sz="4" w:space="0"/>
            </w:tcBorders>
            <w:noWrap w:val="0"/>
            <w:vAlign w:val="center"/>
          </w:tcPr>
          <w:p w14:paraId="25CB5A49">
            <w:pPr>
              <w:snapToGrid w:val="0"/>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458C89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708" w:type="dxa"/>
            <w:gridSpan w:val="2"/>
            <w:tcBorders>
              <w:top w:val="single" w:color="auto" w:sz="4" w:space="0"/>
              <w:left w:val="single" w:color="auto" w:sz="4" w:space="0"/>
              <w:bottom w:val="single" w:color="auto" w:sz="4" w:space="0"/>
              <w:right w:val="single" w:color="auto" w:sz="4" w:space="0"/>
            </w:tcBorders>
            <w:noWrap w:val="0"/>
            <w:vAlign w:val="center"/>
          </w:tcPr>
          <w:p w14:paraId="297428BD">
            <w:pPr>
              <w:widowControl/>
              <w:jc w:val="center"/>
              <w:textAlignment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2C096FF9">
            <w:pPr>
              <w:widowControl/>
              <w:jc w:val="center"/>
              <w:textAlignment w:val="center"/>
              <w:rPr>
                <w:rFonts w:hint="eastAsia" w:ascii="宋体" w:hAnsi="宋体" w:eastAsia="宋体" w:cs="宋体"/>
                <w:color w:val="auto"/>
                <w:szCs w:val="21"/>
                <w:highlight w:val="none"/>
              </w:rPr>
            </w:pPr>
          </w:p>
        </w:tc>
        <w:tc>
          <w:tcPr>
            <w:tcW w:w="2352" w:type="dxa"/>
            <w:tcBorders>
              <w:top w:val="single" w:color="auto" w:sz="4" w:space="0"/>
              <w:left w:val="single" w:color="auto" w:sz="4" w:space="0"/>
              <w:bottom w:val="single" w:color="auto" w:sz="4" w:space="0"/>
              <w:right w:val="single" w:color="auto" w:sz="4" w:space="0"/>
            </w:tcBorders>
            <w:noWrap w:val="0"/>
            <w:vAlign w:val="center"/>
          </w:tcPr>
          <w:p w14:paraId="54D2D898">
            <w:pPr>
              <w:widowControl/>
              <w:jc w:val="center"/>
              <w:textAlignment w:val="center"/>
              <w:rPr>
                <w:rFonts w:hint="eastAsia" w:ascii="宋体" w:hAnsi="宋体" w:eastAsia="宋体" w:cs="宋体"/>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38712CF2">
            <w:pPr>
              <w:widowControl/>
              <w:jc w:val="center"/>
              <w:textAlignment w:val="center"/>
              <w:rPr>
                <w:rFonts w:hint="eastAsia" w:ascii="宋体" w:hAnsi="宋体" w:eastAsia="宋体" w:cs="宋体"/>
                <w:color w:val="auto"/>
                <w:szCs w:val="21"/>
                <w:highlight w:val="none"/>
                <w:lang w:val="en-US" w:eastAsia="zh-CN"/>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63E6B251">
            <w:pPr>
              <w:widowControl/>
              <w:jc w:val="center"/>
              <w:textAlignment w:val="center"/>
              <w:rPr>
                <w:rFonts w:hint="eastAsia" w:ascii="宋体" w:hAnsi="宋体" w:eastAsia="宋体" w:cs="宋体"/>
                <w:color w:val="auto"/>
                <w:szCs w:val="21"/>
                <w:highlight w:val="none"/>
                <w:lang w:val="en-US" w:eastAsia="zh-CN"/>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14:paraId="40EAE796">
            <w:pPr>
              <w:snapToGrid w:val="0"/>
              <w:spacing w:line="400" w:lineRule="exact"/>
              <w:jc w:val="center"/>
              <w:rPr>
                <w:rFonts w:hint="eastAsia" w:ascii="宋体" w:hAnsi="宋体" w:eastAsia="宋体" w:cs="宋体"/>
                <w:b/>
                <w:color w:val="auto"/>
                <w:szCs w:val="21"/>
                <w:highlight w:val="none"/>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14:paraId="037C4E9E">
            <w:pPr>
              <w:snapToGrid w:val="0"/>
              <w:spacing w:line="400" w:lineRule="exact"/>
              <w:jc w:val="center"/>
              <w:rPr>
                <w:rFonts w:hint="eastAsia" w:ascii="宋体" w:hAnsi="宋体" w:eastAsia="宋体" w:cs="宋体"/>
                <w:b/>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65C075EB">
            <w:pPr>
              <w:snapToGrid w:val="0"/>
              <w:spacing w:line="400" w:lineRule="exact"/>
              <w:jc w:val="center"/>
              <w:rPr>
                <w:rFonts w:hint="eastAsia" w:ascii="宋体" w:hAnsi="宋体" w:eastAsia="宋体" w:cs="宋体"/>
                <w:b/>
                <w:color w:val="auto"/>
                <w:szCs w:val="21"/>
                <w:highlight w:val="none"/>
              </w:rPr>
            </w:pPr>
          </w:p>
        </w:tc>
      </w:tr>
      <w:tr w14:paraId="0EE3C6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708" w:type="dxa"/>
            <w:gridSpan w:val="2"/>
            <w:tcBorders>
              <w:top w:val="single" w:color="auto" w:sz="4" w:space="0"/>
              <w:left w:val="single" w:color="auto" w:sz="4" w:space="0"/>
              <w:bottom w:val="single" w:color="auto" w:sz="4" w:space="0"/>
              <w:right w:val="single" w:color="auto" w:sz="4" w:space="0"/>
            </w:tcBorders>
            <w:noWrap w:val="0"/>
            <w:vAlign w:val="center"/>
          </w:tcPr>
          <w:p w14:paraId="6F813394">
            <w:pPr>
              <w:widowControl/>
              <w:jc w:val="center"/>
              <w:textAlignment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0553BB1D">
            <w:pPr>
              <w:widowControl/>
              <w:jc w:val="center"/>
              <w:textAlignment w:val="center"/>
              <w:rPr>
                <w:rFonts w:hint="eastAsia" w:ascii="宋体" w:hAnsi="宋体" w:eastAsia="宋体" w:cs="宋体"/>
                <w:color w:val="auto"/>
                <w:szCs w:val="21"/>
                <w:highlight w:val="none"/>
              </w:rPr>
            </w:pPr>
          </w:p>
        </w:tc>
        <w:tc>
          <w:tcPr>
            <w:tcW w:w="2352" w:type="dxa"/>
            <w:tcBorders>
              <w:top w:val="single" w:color="auto" w:sz="4" w:space="0"/>
              <w:left w:val="single" w:color="auto" w:sz="4" w:space="0"/>
              <w:bottom w:val="single" w:color="auto" w:sz="4" w:space="0"/>
              <w:right w:val="single" w:color="auto" w:sz="4" w:space="0"/>
            </w:tcBorders>
            <w:noWrap w:val="0"/>
            <w:vAlign w:val="center"/>
          </w:tcPr>
          <w:p w14:paraId="04D8C8D3">
            <w:pPr>
              <w:widowControl/>
              <w:jc w:val="center"/>
              <w:textAlignment w:val="center"/>
              <w:rPr>
                <w:rFonts w:hint="eastAsia" w:ascii="宋体" w:hAnsi="宋体" w:eastAsia="宋体" w:cs="宋体"/>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3A0F7894">
            <w:pPr>
              <w:widowControl/>
              <w:jc w:val="center"/>
              <w:textAlignment w:val="center"/>
              <w:rPr>
                <w:rFonts w:hint="eastAsia" w:ascii="宋体" w:hAnsi="宋体" w:eastAsia="宋体" w:cs="宋体"/>
                <w:color w:val="auto"/>
                <w:szCs w:val="21"/>
                <w:highlight w:val="none"/>
                <w:lang w:val="en-US" w:eastAsia="zh-CN"/>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524AAB78">
            <w:pPr>
              <w:widowControl/>
              <w:jc w:val="center"/>
              <w:textAlignment w:val="center"/>
              <w:rPr>
                <w:rFonts w:hint="eastAsia" w:ascii="宋体" w:hAnsi="宋体" w:eastAsia="宋体" w:cs="宋体"/>
                <w:color w:val="auto"/>
                <w:szCs w:val="21"/>
                <w:highlight w:val="none"/>
                <w:lang w:val="en-US" w:eastAsia="zh-CN"/>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14:paraId="4BE57F21">
            <w:pPr>
              <w:snapToGrid w:val="0"/>
              <w:spacing w:line="400" w:lineRule="exact"/>
              <w:jc w:val="center"/>
              <w:rPr>
                <w:rFonts w:hint="eastAsia" w:ascii="宋体" w:hAnsi="宋体" w:eastAsia="宋体" w:cs="宋体"/>
                <w:b/>
                <w:color w:val="auto"/>
                <w:szCs w:val="21"/>
                <w:highlight w:val="none"/>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14:paraId="0D03EA4A">
            <w:pPr>
              <w:snapToGrid w:val="0"/>
              <w:spacing w:line="400" w:lineRule="exact"/>
              <w:jc w:val="center"/>
              <w:rPr>
                <w:rFonts w:hint="eastAsia" w:ascii="宋体" w:hAnsi="宋体" w:eastAsia="宋体" w:cs="宋体"/>
                <w:b/>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3E8C6C2C">
            <w:pPr>
              <w:snapToGrid w:val="0"/>
              <w:spacing w:line="400" w:lineRule="exact"/>
              <w:jc w:val="center"/>
              <w:rPr>
                <w:rFonts w:hint="eastAsia" w:ascii="宋体" w:hAnsi="宋体" w:eastAsia="宋体" w:cs="宋体"/>
                <w:b/>
                <w:color w:val="auto"/>
                <w:szCs w:val="21"/>
                <w:highlight w:val="none"/>
              </w:rPr>
            </w:pPr>
          </w:p>
        </w:tc>
      </w:tr>
      <w:tr w14:paraId="502C71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708" w:type="dxa"/>
            <w:gridSpan w:val="2"/>
            <w:tcBorders>
              <w:top w:val="single" w:color="auto" w:sz="4" w:space="0"/>
              <w:left w:val="single" w:color="auto" w:sz="4" w:space="0"/>
              <w:bottom w:val="single" w:color="auto" w:sz="4" w:space="0"/>
              <w:right w:val="single" w:color="auto" w:sz="4" w:space="0"/>
            </w:tcBorders>
            <w:noWrap w:val="0"/>
            <w:vAlign w:val="center"/>
          </w:tcPr>
          <w:p w14:paraId="4C911ECD">
            <w:pPr>
              <w:widowControl/>
              <w:jc w:val="center"/>
              <w:textAlignment w:val="center"/>
              <w:rPr>
                <w:rFonts w:hint="eastAsia" w:ascii="宋体" w:hAnsi="宋体" w:eastAsia="宋体" w:cs="宋体"/>
                <w:color w:val="auto"/>
                <w:szCs w:val="21"/>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14:paraId="0719A5B6">
            <w:pPr>
              <w:widowControl/>
              <w:jc w:val="center"/>
              <w:textAlignment w:val="center"/>
              <w:rPr>
                <w:rFonts w:hint="eastAsia" w:ascii="宋体" w:hAnsi="宋体" w:eastAsia="宋体" w:cs="宋体"/>
                <w:color w:val="auto"/>
                <w:szCs w:val="21"/>
                <w:highlight w:val="none"/>
              </w:rPr>
            </w:pPr>
          </w:p>
        </w:tc>
        <w:tc>
          <w:tcPr>
            <w:tcW w:w="2352" w:type="dxa"/>
            <w:tcBorders>
              <w:top w:val="single" w:color="auto" w:sz="4" w:space="0"/>
              <w:left w:val="single" w:color="auto" w:sz="4" w:space="0"/>
              <w:bottom w:val="single" w:color="auto" w:sz="4" w:space="0"/>
              <w:right w:val="single" w:color="auto" w:sz="4" w:space="0"/>
            </w:tcBorders>
            <w:noWrap w:val="0"/>
            <w:vAlign w:val="center"/>
          </w:tcPr>
          <w:p w14:paraId="52980888">
            <w:pPr>
              <w:widowControl/>
              <w:jc w:val="center"/>
              <w:textAlignment w:val="center"/>
              <w:rPr>
                <w:rFonts w:hint="eastAsia" w:ascii="宋体" w:hAnsi="宋体" w:eastAsia="宋体" w:cs="宋体"/>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35AA20B9">
            <w:pPr>
              <w:widowControl/>
              <w:jc w:val="center"/>
              <w:textAlignment w:val="center"/>
              <w:rPr>
                <w:rFonts w:hint="eastAsia" w:ascii="宋体" w:hAnsi="宋体" w:eastAsia="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4E6AEDC6">
            <w:pPr>
              <w:widowControl/>
              <w:jc w:val="center"/>
              <w:textAlignment w:val="center"/>
              <w:rPr>
                <w:rFonts w:hint="eastAsia" w:ascii="宋体" w:hAnsi="宋体" w:eastAsia="宋体" w:cs="宋体"/>
                <w:color w:val="auto"/>
                <w:szCs w:val="21"/>
                <w:highlight w:val="none"/>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14:paraId="0F2E5649">
            <w:pPr>
              <w:snapToGrid w:val="0"/>
              <w:spacing w:line="400" w:lineRule="exact"/>
              <w:jc w:val="center"/>
              <w:rPr>
                <w:rFonts w:hint="eastAsia" w:ascii="宋体" w:hAnsi="宋体" w:eastAsia="宋体" w:cs="宋体"/>
                <w:b/>
                <w:color w:val="auto"/>
                <w:szCs w:val="21"/>
                <w:highlight w:val="none"/>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14:paraId="434EC71F">
            <w:pPr>
              <w:snapToGrid w:val="0"/>
              <w:spacing w:line="400" w:lineRule="exact"/>
              <w:jc w:val="center"/>
              <w:rPr>
                <w:rFonts w:hint="eastAsia" w:ascii="宋体" w:hAnsi="宋体" w:eastAsia="宋体" w:cs="宋体"/>
                <w:b/>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77C912D5">
            <w:pPr>
              <w:snapToGrid w:val="0"/>
              <w:spacing w:line="400" w:lineRule="exact"/>
              <w:jc w:val="center"/>
              <w:rPr>
                <w:rFonts w:hint="eastAsia" w:ascii="宋体" w:hAnsi="宋体" w:eastAsia="宋体" w:cs="宋体"/>
                <w:b/>
                <w:color w:val="auto"/>
                <w:szCs w:val="21"/>
                <w:highlight w:val="none"/>
              </w:rPr>
            </w:pPr>
          </w:p>
        </w:tc>
      </w:tr>
      <w:tr w14:paraId="76B411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6" w:hRule="atLeast"/>
          <w:jc w:val="center"/>
        </w:trPr>
        <w:tc>
          <w:tcPr>
            <w:tcW w:w="8813" w:type="dxa"/>
            <w:gridSpan w:val="9"/>
            <w:tcBorders>
              <w:top w:val="single" w:color="auto" w:sz="4" w:space="0"/>
              <w:left w:val="single" w:color="auto" w:sz="4" w:space="0"/>
              <w:bottom w:val="single" w:color="auto" w:sz="4" w:space="0"/>
              <w:right w:val="single" w:color="auto" w:sz="4" w:space="0"/>
            </w:tcBorders>
            <w:noWrap w:val="0"/>
            <w:vAlign w:val="center"/>
          </w:tcPr>
          <w:p w14:paraId="6221A590">
            <w:pPr>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投标总价合计金额大写：                              小写： ￥</w:t>
            </w:r>
            <w:r>
              <w:rPr>
                <w:rFonts w:hint="eastAsia" w:ascii="宋体" w:hAnsi="宋体" w:eastAsia="宋体" w:cs="宋体"/>
                <w:b/>
                <w:color w:val="auto"/>
                <w:szCs w:val="21"/>
                <w:highlight w:val="none"/>
                <w:u w:val="single"/>
              </w:rPr>
              <w:t xml:space="preserve">          </w:t>
            </w:r>
          </w:p>
        </w:tc>
      </w:tr>
      <w:tr w14:paraId="2282F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jc w:val="center"/>
        </w:trPr>
        <w:tc>
          <w:tcPr>
            <w:tcW w:w="628" w:type="dxa"/>
            <w:tcBorders>
              <w:top w:val="single" w:color="auto" w:sz="4" w:space="0"/>
              <w:left w:val="single" w:color="auto" w:sz="4" w:space="0"/>
              <w:bottom w:val="single" w:color="auto" w:sz="4" w:space="0"/>
              <w:right w:val="single" w:color="auto" w:sz="4" w:space="0"/>
            </w:tcBorders>
            <w:noWrap w:val="0"/>
            <w:vAlign w:val="center"/>
          </w:tcPr>
          <w:p w14:paraId="7226FED2">
            <w:pPr>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8185" w:type="dxa"/>
            <w:gridSpan w:val="8"/>
            <w:tcBorders>
              <w:top w:val="single" w:color="auto" w:sz="4" w:space="0"/>
              <w:left w:val="single" w:color="auto" w:sz="4" w:space="0"/>
              <w:bottom w:val="single" w:color="auto" w:sz="4" w:space="0"/>
              <w:right w:val="single" w:color="auto" w:sz="4" w:space="0"/>
            </w:tcBorders>
            <w:noWrap w:val="0"/>
            <w:vAlign w:val="center"/>
          </w:tcPr>
          <w:p w14:paraId="4EEAD4A9">
            <w:pPr>
              <w:snapToGrid w:val="0"/>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1.此表应按项目的明细情况列项填报,在填写时，如上表不适合本项目的实际情况，可在确保投标明细内容完整的情况下，根据上表格式自行划表填写。</w:t>
            </w:r>
          </w:p>
          <w:p w14:paraId="3DDC687A">
            <w:pPr>
              <w:pStyle w:val="24"/>
              <w:numPr>
                <w:numId w:val="15"/>
              </w:numPr>
              <w:tabs>
                <w:tab w:val="left" w:pos="454"/>
                <w:tab w:val="left" w:pos="900"/>
              </w:tabs>
              <w:spacing w:after="0" w:afterLines="0" w:line="400" w:lineRule="exact"/>
              <w:ind w:lef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要求：磋商响应报价是履行合同的最终价格，即完成本项目服务内容和要求所产生的所有费用，包括人员工资（含节假日加班费、劳保费、福利费等）、调查、研究、通讯、方案编制、材料费、管理费、差旅食宿费、交通费、评审费（含评审专家费）、专利费（著作权费）、利润、税金、保险（包括医疗、工伤、养老等社会保险及人身意外保险）、代理服务费等完成合同所需的一切本身和不可或缺的所有工作开支、政策性文件规定计合同包含的所有风险、责任等各项全部费用。</w:t>
            </w:r>
          </w:p>
          <w:p w14:paraId="3819C805">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3.报价中不允许出现报价优惠等字样,投标总价合计金额应与明细报价汇总相等。</w:t>
            </w:r>
          </w:p>
          <w:p w14:paraId="31F1E3F3">
            <w:pP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w:t>
            </w:r>
            <w:r>
              <w:rPr>
                <w:rFonts w:hint="eastAsia" w:ascii="宋体" w:hAnsi="宋体" w:eastAsia="宋体" w:cs="宋体"/>
                <w:color w:val="auto"/>
                <w:szCs w:val="21"/>
                <w:highlight w:val="none"/>
                <w:lang w:eastAsia="zh-CN" w:bidi="ar"/>
              </w:rPr>
              <w:t>潜在供应商</w:t>
            </w:r>
            <w:r>
              <w:rPr>
                <w:rFonts w:hint="eastAsia" w:ascii="宋体" w:hAnsi="宋体" w:eastAsia="宋体" w:cs="宋体"/>
                <w:color w:val="auto"/>
                <w:szCs w:val="21"/>
                <w:highlight w:val="none"/>
                <w:lang w:bidi="ar"/>
              </w:rPr>
              <w:t>所填写的单价在合同实施期间不因市场变化因素而变动；</w:t>
            </w:r>
            <w:r>
              <w:rPr>
                <w:rFonts w:hint="eastAsia" w:ascii="宋体" w:hAnsi="宋体" w:eastAsia="宋体" w:cs="宋体"/>
                <w:color w:val="auto"/>
                <w:szCs w:val="21"/>
                <w:highlight w:val="none"/>
                <w:lang w:eastAsia="zh-CN" w:bidi="ar"/>
              </w:rPr>
              <w:t>潜在供应商</w:t>
            </w:r>
            <w:r>
              <w:rPr>
                <w:rFonts w:hint="eastAsia" w:ascii="宋体" w:hAnsi="宋体" w:eastAsia="宋体" w:cs="宋体"/>
                <w:color w:val="auto"/>
                <w:szCs w:val="21"/>
                <w:highlight w:val="none"/>
                <w:lang w:bidi="ar"/>
              </w:rPr>
              <w:t>在计算报价时应考虑一定的风险系数。</w:t>
            </w:r>
          </w:p>
        </w:tc>
      </w:tr>
    </w:tbl>
    <w:p w14:paraId="704C95DE">
      <w:pPr>
        <w:pStyle w:val="24"/>
        <w:numPr>
          <w:numId w:val="0"/>
        </w:numPr>
        <w:tabs>
          <w:tab w:val="left" w:pos="454"/>
          <w:tab w:val="left" w:pos="900"/>
          <w:tab w:val="clear" w:pos="360"/>
        </w:tabs>
        <w:spacing w:afterLines="0" w:line="400" w:lineRule="exact"/>
        <w:ind w:leftChars="0"/>
        <w:rPr>
          <w:rFonts w:hint="eastAsia" w:ascii="宋体" w:hAnsi="宋体" w:eastAsia="宋体" w:cs="宋体"/>
          <w:color w:val="auto"/>
          <w:sz w:val="21"/>
          <w:szCs w:val="21"/>
          <w:highlight w:val="none"/>
        </w:rPr>
      </w:pPr>
    </w:p>
    <w:p w14:paraId="15B88C04">
      <w:pPr>
        <w:snapToGrid w:val="0"/>
        <w:spacing w:before="50" w:after="120" w:afterLines="50" w:line="460" w:lineRule="exact"/>
        <w:ind w:firstLine="420" w:firstLineChars="200"/>
        <w:jc w:val="left"/>
        <w:rPr>
          <w:rFonts w:hint="eastAsia" w:ascii="宋体" w:hAnsi="宋体" w:eastAsia="宋体" w:cs="宋体"/>
          <w:color w:val="auto"/>
          <w:szCs w:val="21"/>
          <w:highlight w:val="none"/>
        </w:rPr>
      </w:pPr>
    </w:p>
    <w:p w14:paraId="3E0C070A">
      <w:pPr>
        <w:snapToGrid w:val="0"/>
        <w:spacing w:before="50" w:after="120" w:afterLines="50" w:line="4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磋商响应方全称（公章）：</w:t>
      </w:r>
    </w:p>
    <w:p w14:paraId="7745DB17">
      <w:pPr>
        <w:snapToGrid w:val="0"/>
        <w:spacing w:before="50" w:after="120" w:afterLines="50" w:line="4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法定代表人或委托代理人</w:t>
      </w:r>
      <w:r>
        <w:rPr>
          <w:rFonts w:hint="eastAsia" w:ascii="宋体" w:hAnsi="宋体" w:eastAsia="宋体" w:cs="宋体"/>
          <w:color w:val="auto"/>
          <w:szCs w:val="21"/>
          <w:highlight w:val="none"/>
        </w:rPr>
        <w:t>（签字或盖章）：</w:t>
      </w:r>
    </w:p>
    <w:p w14:paraId="4489A88C">
      <w:pPr>
        <w:snapToGrid w:val="0"/>
        <w:spacing w:before="50" w:after="120" w:afterLines="50" w:line="4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7299C1EB">
      <w:pPr>
        <w:pStyle w:val="10"/>
        <w:snapToGrid w:val="0"/>
        <w:spacing w:before="120" w:after="120" w:line="460" w:lineRule="exact"/>
        <w:rPr>
          <w:rFonts w:hint="eastAsia" w:ascii="宋体" w:hAnsi="宋体" w:eastAsia="宋体" w:cs="宋体"/>
          <w:b/>
          <w:color w:val="auto"/>
          <w:sz w:val="21"/>
          <w:szCs w:val="21"/>
          <w:highlight w:val="none"/>
        </w:rPr>
      </w:pPr>
    </w:p>
    <w:p w14:paraId="7F67F893">
      <w:pPr>
        <w:rPr>
          <w:rFonts w:hint="eastAsia" w:ascii="宋体" w:hAnsi="宋体" w:eastAsia="宋体" w:cs="宋体"/>
          <w:color w:val="auto"/>
          <w:szCs w:val="21"/>
          <w:highlight w:val="none"/>
        </w:rPr>
      </w:pPr>
    </w:p>
    <w:p w14:paraId="7A2217E9">
      <w:pPr>
        <w:rPr>
          <w:rFonts w:hint="eastAsia" w:ascii="宋体" w:hAnsi="宋体" w:eastAsia="宋体" w:cs="宋体"/>
          <w:b/>
          <w:color w:val="auto"/>
          <w:szCs w:val="21"/>
          <w:highlight w:val="none"/>
        </w:rPr>
      </w:pPr>
    </w:p>
    <w:p w14:paraId="1F2B709A">
      <w:pPr>
        <w:rPr>
          <w:rFonts w:hint="eastAsia" w:ascii="宋体" w:hAnsi="宋体" w:eastAsia="宋体" w:cs="宋体"/>
          <w:b/>
          <w:color w:val="auto"/>
          <w:szCs w:val="21"/>
          <w:highlight w:val="none"/>
        </w:rPr>
      </w:pPr>
    </w:p>
    <w:p w14:paraId="254A3A74">
      <w:pPr>
        <w:rPr>
          <w:rFonts w:hint="eastAsia" w:ascii="宋体" w:hAnsi="宋体" w:eastAsia="宋体" w:cs="宋体"/>
          <w:b/>
          <w:color w:val="auto"/>
          <w:szCs w:val="21"/>
          <w:highlight w:val="none"/>
        </w:rPr>
      </w:pPr>
    </w:p>
    <w:p w14:paraId="43A37D24">
      <w:pPr>
        <w:pStyle w:val="34"/>
        <w:numPr>
          <w:ilvl w:val="0"/>
          <w:numId w:val="0"/>
        </w:numPr>
        <w:snapToGrid w:val="0"/>
        <w:spacing w:line="400" w:lineRule="exact"/>
        <w:rPr>
          <w:rFonts w:hint="eastAsia" w:ascii="宋体" w:hAnsi="宋体" w:eastAsia="宋体" w:cs="宋体"/>
          <w:color w:val="auto"/>
          <w:spacing w:val="6"/>
          <w:szCs w:val="21"/>
          <w:highlight w:val="none"/>
        </w:rPr>
      </w:pPr>
      <w:r>
        <w:rPr>
          <w:rFonts w:hint="eastAsia" w:ascii="宋体" w:hAnsi="宋体" w:eastAsia="宋体" w:cs="宋体"/>
          <w:snapToGrid w:val="0"/>
          <w:color w:val="000000"/>
          <w:kern w:val="0"/>
          <w:sz w:val="21"/>
          <w:szCs w:val="21"/>
          <w:highlight w:val="none"/>
          <w:lang w:val="en-US" w:eastAsia="zh-CN" w:bidi="ar"/>
        </w:rPr>
        <w:br w:type="page"/>
      </w:r>
      <w:r>
        <w:rPr>
          <w:rFonts w:hint="eastAsia" w:ascii="宋体" w:hAnsi="宋体" w:eastAsia="宋体" w:cs="宋体"/>
          <w:b/>
          <w:bCs/>
          <w:color w:val="auto"/>
          <w:szCs w:val="21"/>
          <w:highlight w:val="none"/>
        </w:rPr>
        <w:t>附件1</w:t>
      </w:r>
      <w:r>
        <w:rPr>
          <w:rFonts w:hint="eastAsia" w:ascii="宋体" w:hAnsi="宋体" w:eastAsia="宋体" w:cs="宋体"/>
          <w:b/>
          <w:bCs/>
          <w:color w:val="auto"/>
          <w:szCs w:val="21"/>
          <w:highlight w:val="none"/>
          <w:lang w:val="en-US" w:eastAsia="zh-CN"/>
        </w:rPr>
        <w:t>0</w:t>
      </w:r>
      <w:r>
        <w:rPr>
          <w:rFonts w:hint="eastAsia" w:ascii="宋体" w:hAnsi="宋体" w:eastAsia="宋体" w:cs="宋体"/>
          <w:b/>
          <w:bCs/>
          <w:color w:val="auto"/>
          <w:szCs w:val="21"/>
          <w:highlight w:val="none"/>
        </w:rPr>
        <w:t>：</w:t>
      </w:r>
    </w:p>
    <w:p w14:paraId="712B0538">
      <w:pPr>
        <w:spacing w:line="400" w:lineRule="exact"/>
        <w:ind w:firstLine="442" w:firstLineChars="200"/>
        <w:rPr>
          <w:rFonts w:hint="eastAsia" w:ascii="宋体" w:hAnsi="宋体" w:eastAsia="宋体" w:cs="宋体"/>
          <w:color w:val="auto"/>
          <w:highlight w:val="none"/>
        </w:rPr>
      </w:pPr>
      <w:r>
        <w:rPr>
          <w:rFonts w:hint="eastAsia" w:ascii="宋体" w:hAnsi="宋体" w:eastAsia="宋体" w:cs="宋体"/>
          <w:b/>
          <w:bCs/>
          <w:color w:val="auto"/>
          <w:sz w:val="22"/>
          <w:szCs w:val="20"/>
          <w:highlight w:val="none"/>
        </w:rPr>
        <w:t>注：</w:t>
      </w:r>
      <w:r>
        <w:rPr>
          <w:rFonts w:hint="eastAsia" w:ascii="宋体" w:hAnsi="宋体" w:eastAsia="宋体" w:cs="宋体"/>
          <w:b/>
          <w:bCs/>
          <w:color w:val="auto"/>
          <w:sz w:val="22"/>
          <w:szCs w:val="20"/>
          <w:highlight w:val="none"/>
          <w:lang w:val="en-US" w:eastAsia="zh-CN"/>
        </w:rPr>
        <w:t>投标</w:t>
      </w:r>
      <w:r>
        <w:rPr>
          <w:rFonts w:hint="eastAsia" w:ascii="宋体" w:hAnsi="宋体" w:eastAsia="宋体" w:cs="宋体"/>
          <w:b/>
          <w:bCs/>
          <w:color w:val="auto"/>
          <w:sz w:val="22"/>
          <w:szCs w:val="20"/>
          <w:highlight w:val="none"/>
        </w:rPr>
        <w:t>文件解密结束后，各供应商签署《</w:t>
      </w:r>
      <w:r>
        <w:rPr>
          <w:rFonts w:hint="eastAsia" w:ascii="宋体" w:hAnsi="宋体" w:eastAsia="宋体" w:cs="宋体"/>
          <w:b/>
          <w:bCs/>
          <w:color w:val="auto"/>
          <w:sz w:val="22"/>
          <w:szCs w:val="20"/>
          <w:highlight w:val="none"/>
          <w:lang w:eastAsia="zh-CN"/>
        </w:rPr>
        <w:t>政企</w:t>
      </w:r>
      <w:r>
        <w:rPr>
          <w:rFonts w:hint="eastAsia" w:ascii="宋体" w:hAnsi="宋体" w:eastAsia="宋体" w:cs="宋体"/>
          <w:b/>
          <w:bCs/>
          <w:color w:val="auto"/>
          <w:sz w:val="22"/>
          <w:szCs w:val="20"/>
          <w:highlight w:val="none"/>
        </w:rPr>
        <w:t>采购活动现场确认声明书》，并在规定时间内通过邮件形式发送至采购代理机构邮箱：</w:t>
      </w:r>
      <w:r>
        <w:rPr>
          <w:rFonts w:hint="eastAsia" w:ascii="宋体" w:hAnsi="宋体" w:eastAsia="宋体" w:cs="宋体"/>
          <w:b/>
          <w:bCs/>
          <w:color w:val="auto"/>
          <w:sz w:val="22"/>
          <w:szCs w:val="20"/>
          <w:highlight w:val="none"/>
          <w:lang w:val="en-US" w:eastAsia="zh-CN"/>
        </w:rPr>
        <w:fldChar w:fldCharType="begin"/>
      </w:r>
      <w:r>
        <w:rPr>
          <w:rFonts w:hint="eastAsia" w:ascii="宋体" w:hAnsi="宋体" w:eastAsia="宋体" w:cs="宋体"/>
          <w:b/>
          <w:bCs/>
          <w:color w:val="auto"/>
          <w:sz w:val="22"/>
          <w:szCs w:val="20"/>
          <w:highlight w:val="none"/>
          <w:lang w:val="en-US" w:eastAsia="zh-CN"/>
        </w:rPr>
        <w:instrText xml:space="preserve"> HYPERLINK "mailto:815743236@qq.com" </w:instrText>
      </w:r>
      <w:r>
        <w:rPr>
          <w:rFonts w:hint="eastAsia" w:ascii="宋体" w:hAnsi="宋体" w:eastAsia="宋体" w:cs="宋体"/>
          <w:b/>
          <w:bCs/>
          <w:color w:val="auto"/>
          <w:sz w:val="22"/>
          <w:szCs w:val="20"/>
          <w:highlight w:val="none"/>
          <w:lang w:val="en-US" w:eastAsia="zh-CN"/>
        </w:rPr>
        <w:fldChar w:fldCharType="separate"/>
      </w:r>
      <w:r>
        <w:rPr>
          <w:rFonts w:hint="eastAsia" w:ascii="宋体" w:hAnsi="宋体" w:eastAsia="宋体" w:cs="宋体"/>
          <w:b/>
          <w:bCs/>
          <w:color w:val="auto"/>
          <w:sz w:val="22"/>
          <w:szCs w:val="20"/>
          <w:highlight w:val="none"/>
          <w:lang w:val="en-US" w:eastAsia="zh-CN"/>
        </w:rPr>
        <w:t>65523876@qq.com</w:t>
      </w:r>
      <w:r>
        <w:rPr>
          <w:rFonts w:hint="eastAsia" w:ascii="宋体" w:hAnsi="宋体" w:eastAsia="宋体" w:cs="宋体"/>
          <w:b/>
          <w:bCs/>
          <w:color w:val="auto"/>
          <w:sz w:val="22"/>
          <w:szCs w:val="20"/>
          <w:highlight w:val="none"/>
          <w:lang w:val="en-US" w:eastAsia="zh-CN"/>
        </w:rPr>
        <w:fldChar w:fldCharType="end"/>
      </w:r>
      <w:r>
        <w:rPr>
          <w:rFonts w:hint="eastAsia" w:ascii="宋体" w:hAnsi="宋体" w:eastAsia="宋体" w:cs="宋体"/>
          <w:b/>
          <w:bCs/>
          <w:color w:val="auto"/>
          <w:sz w:val="22"/>
          <w:szCs w:val="20"/>
          <w:highlight w:val="none"/>
          <w:lang w:val="en-US" w:eastAsia="zh-CN"/>
        </w:rPr>
        <w:t>，</w:t>
      </w:r>
      <w:r>
        <w:rPr>
          <w:rFonts w:hint="eastAsia" w:ascii="宋体" w:hAnsi="宋体" w:eastAsia="宋体" w:cs="宋体"/>
          <w:b/>
          <w:bCs/>
          <w:color w:val="auto"/>
          <w:sz w:val="22"/>
          <w:szCs w:val="20"/>
          <w:highlight w:val="none"/>
        </w:rPr>
        <w:t>如未如实填写，将有可能影响你的投标文件评审。</w:t>
      </w:r>
    </w:p>
    <w:p w14:paraId="41776205">
      <w:pPr>
        <w:pStyle w:val="34"/>
        <w:numPr>
          <w:ilvl w:val="0"/>
          <w:numId w:val="0"/>
        </w:numPr>
        <w:snapToGrid w:val="0"/>
        <w:spacing w:line="400" w:lineRule="exact"/>
        <w:ind w:firstLine="562" w:firstLineChars="200"/>
        <w:jc w:val="center"/>
        <w:rPr>
          <w:rFonts w:hint="eastAsia" w:ascii="宋体" w:hAnsi="宋体" w:eastAsia="宋体" w:cs="宋体"/>
          <w:color w:val="auto"/>
          <w:sz w:val="28"/>
          <w:szCs w:val="28"/>
          <w:highlight w:val="none"/>
          <w:u w:val="single"/>
        </w:rPr>
      </w:pPr>
      <w:r>
        <w:rPr>
          <w:rFonts w:hint="eastAsia" w:ascii="宋体" w:hAnsi="宋体" w:eastAsia="宋体" w:cs="宋体"/>
          <w:b/>
          <w:bCs/>
          <w:color w:val="auto"/>
          <w:sz w:val="28"/>
          <w:szCs w:val="28"/>
          <w:highlight w:val="none"/>
          <w:lang w:eastAsia="zh-CN"/>
        </w:rPr>
        <w:t>政企</w:t>
      </w:r>
      <w:r>
        <w:rPr>
          <w:rFonts w:hint="eastAsia" w:ascii="宋体" w:hAnsi="宋体" w:eastAsia="宋体" w:cs="宋体"/>
          <w:b/>
          <w:bCs/>
          <w:color w:val="auto"/>
          <w:sz w:val="28"/>
          <w:szCs w:val="28"/>
          <w:highlight w:val="none"/>
        </w:rPr>
        <w:t>采购活动现场确认声明书</w:t>
      </w:r>
    </w:p>
    <w:p w14:paraId="1C92620F">
      <w:pPr>
        <w:pStyle w:val="34"/>
        <w:numPr>
          <w:ilvl w:val="0"/>
          <w:numId w:val="0"/>
        </w:numPr>
        <w:snapToGrid w:val="0"/>
        <w:spacing w:line="400" w:lineRule="exact"/>
        <w:rPr>
          <w:rFonts w:hint="eastAsia" w:ascii="宋体" w:hAnsi="宋体" w:eastAsia="宋体" w:cs="宋体"/>
          <w:b/>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8D0C6AC">
      <w:pPr>
        <w:pStyle w:val="34"/>
        <w:numPr>
          <w:ilvl w:val="0"/>
          <w:numId w:val="0"/>
        </w:numPr>
        <w:snapToGrid w:val="0"/>
        <w:spacing w:line="40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（授权代表姓名），经由</w:t>
      </w:r>
      <w:r>
        <w:rPr>
          <w:rFonts w:hint="eastAsia" w:ascii="宋体" w:hAnsi="宋体" w:eastAsia="宋体" w:cs="宋体"/>
          <w:color w:val="auto"/>
          <w:spacing w:val="6"/>
          <w:szCs w:val="21"/>
          <w:highlight w:val="none"/>
          <w:u w:val="single"/>
        </w:rPr>
        <w:t xml:space="preserve">                              （单位）</w:t>
      </w:r>
      <w:r>
        <w:rPr>
          <w:rFonts w:hint="eastAsia" w:ascii="宋体" w:hAnsi="宋体" w:eastAsia="宋体" w:cs="宋体"/>
          <w:color w:val="auto"/>
          <w:spacing w:val="6"/>
          <w:szCs w:val="21"/>
          <w:highlight w:val="none"/>
        </w:rPr>
        <w:t>负责人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（法定代表人）合法授权参加</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（编号：</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lang w:eastAsia="zh-CN"/>
        </w:rPr>
        <w:t>政企</w:t>
      </w:r>
      <w:r>
        <w:rPr>
          <w:rFonts w:hint="eastAsia" w:ascii="宋体" w:hAnsi="宋体" w:eastAsia="宋体" w:cs="宋体"/>
          <w:color w:val="auto"/>
          <w:spacing w:val="6"/>
          <w:szCs w:val="21"/>
          <w:highlight w:val="none"/>
        </w:rPr>
        <w:t xml:space="preserve">采购活动，经与本单位法人代表（负责人）联系确认，现就有关公平竞争事项郑重声明如下： </w:t>
      </w:r>
    </w:p>
    <w:p w14:paraId="423F497F">
      <w:pPr>
        <w:pStyle w:val="35"/>
        <w:widowControl/>
        <w:numPr>
          <w:ilvl w:val="0"/>
          <w:numId w:val="16"/>
        </w:numPr>
        <w:snapToGrid w:val="0"/>
        <w:spacing w:line="400" w:lineRule="exact"/>
        <w:ind w:firstLine="396" w:firstLineChars="18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本单位与采购人之间 □不存在利害关系 □存在下列利害关系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376E2A80">
      <w:pPr>
        <w:pStyle w:val="35"/>
        <w:widowControl/>
        <w:snapToGrid w:val="0"/>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A.投资关系    B.行政隶属关系    C.业务指导关系</w:t>
      </w:r>
    </w:p>
    <w:p w14:paraId="2D010E21">
      <w:pPr>
        <w:pStyle w:val="35"/>
        <w:widowControl/>
        <w:snapToGrid w:val="0"/>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D.其他可能</w:t>
      </w:r>
      <w:r>
        <w:rPr>
          <w:rFonts w:hint="eastAsia" w:ascii="宋体" w:hAnsi="宋体" w:eastAsia="宋体" w:cs="宋体"/>
          <w:color w:val="auto"/>
          <w:szCs w:val="21"/>
          <w:highlight w:val="none"/>
        </w:rPr>
        <w:t>影响采购公正的</w:t>
      </w:r>
      <w:r>
        <w:rPr>
          <w:rFonts w:hint="eastAsia" w:ascii="宋体" w:hAnsi="宋体" w:eastAsia="宋体" w:cs="宋体"/>
          <w:color w:val="auto"/>
          <w:kern w:val="0"/>
          <w:szCs w:val="21"/>
          <w:highlight w:val="none"/>
        </w:rPr>
        <w:t>利害关系</w:t>
      </w:r>
      <w:r>
        <w:rPr>
          <w:rFonts w:hint="eastAsia" w:ascii="宋体" w:hAnsi="宋体" w:eastAsia="宋体" w:cs="宋体"/>
          <w:color w:val="auto"/>
          <w:kern w:val="0"/>
          <w:szCs w:val="21"/>
          <w:highlight w:val="none"/>
          <w:u w:val="single"/>
        </w:rPr>
        <w:t xml:space="preserve">（如有，请如实说明）                 </w:t>
      </w:r>
      <w:r>
        <w:rPr>
          <w:rFonts w:hint="eastAsia" w:ascii="宋体" w:hAnsi="宋体" w:eastAsia="宋体" w:cs="宋体"/>
          <w:color w:val="auto"/>
          <w:kern w:val="0"/>
          <w:szCs w:val="21"/>
          <w:highlight w:val="none"/>
        </w:rPr>
        <w:t>。</w:t>
      </w:r>
    </w:p>
    <w:p w14:paraId="24354E28">
      <w:pPr>
        <w:pStyle w:val="35"/>
        <w:widowControl/>
        <w:snapToGrid w:val="0"/>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spacing w:val="6"/>
          <w:szCs w:val="21"/>
          <w:highlight w:val="none"/>
        </w:rPr>
        <w:t xml:space="preserve">   二、</w:t>
      </w:r>
      <w:r>
        <w:rPr>
          <w:rFonts w:hint="eastAsia" w:ascii="宋体" w:hAnsi="宋体" w:eastAsia="宋体" w:cs="宋体"/>
          <w:color w:val="auto"/>
          <w:kern w:val="0"/>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Cs w:val="21"/>
          <w:highlight w:val="none"/>
          <w:u w:val="single"/>
        </w:rPr>
        <w:t xml:space="preserve">           （供应商名称）</w:t>
      </w:r>
      <w:r>
        <w:rPr>
          <w:rFonts w:hint="eastAsia" w:ascii="宋体" w:hAnsi="宋体" w:eastAsia="宋体" w:cs="宋体"/>
          <w:color w:val="auto"/>
          <w:kern w:val="0"/>
          <w:szCs w:val="21"/>
          <w:highlight w:val="none"/>
        </w:rPr>
        <w:t>之间存在下列利害关系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5C722DE2">
      <w:pPr>
        <w:pStyle w:val="34"/>
        <w:numPr>
          <w:ilvl w:val="0"/>
          <w:numId w:val="0"/>
        </w:num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A.法定代表人或负责人或实际控制人是同一人</w:t>
      </w:r>
    </w:p>
    <w:p w14:paraId="4BC0BB33">
      <w:pPr>
        <w:pStyle w:val="34"/>
        <w:numPr>
          <w:ilvl w:val="0"/>
          <w:numId w:val="0"/>
        </w:numPr>
        <w:snapToGrid w:val="0"/>
        <w:spacing w:line="400" w:lineRule="exact"/>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 xml:space="preserve">  B.法定代表人或负责人或实际控制人是夫妻关系</w:t>
      </w:r>
    </w:p>
    <w:p w14:paraId="05930393">
      <w:pPr>
        <w:pStyle w:val="34"/>
        <w:numPr>
          <w:ilvl w:val="0"/>
          <w:numId w:val="0"/>
        </w:numPr>
        <w:snapToGrid w:val="0"/>
        <w:spacing w:line="400" w:lineRule="exact"/>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 xml:space="preserve">  C.法定代表人或负责人或实际控制人是直系血亲关系</w:t>
      </w:r>
    </w:p>
    <w:p w14:paraId="6E59D033">
      <w:pPr>
        <w:pStyle w:val="34"/>
        <w:numPr>
          <w:ilvl w:val="0"/>
          <w:numId w:val="0"/>
        </w:numPr>
        <w:snapToGrid w:val="0"/>
        <w:spacing w:line="400" w:lineRule="exact"/>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 xml:space="preserve">  D.法定代表人或负责人或实际控制人存在三代以内旁系血亲关系</w:t>
      </w:r>
    </w:p>
    <w:p w14:paraId="068F5C99">
      <w:pPr>
        <w:pStyle w:val="34"/>
        <w:numPr>
          <w:ilvl w:val="0"/>
          <w:numId w:val="0"/>
        </w:num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E.法定代表人或负责人或实际控制人存在近姻亲关系</w:t>
      </w:r>
    </w:p>
    <w:p w14:paraId="17DE7FBF">
      <w:pPr>
        <w:pStyle w:val="34"/>
        <w:numPr>
          <w:ilvl w:val="0"/>
          <w:numId w:val="0"/>
        </w:num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F.法定代表人或负责人或实际控制人存在股份控制或实际控制关系</w:t>
      </w:r>
    </w:p>
    <w:p w14:paraId="0617F3CE">
      <w:pPr>
        <w:pStyle w:val="34"/>
        <w:numPr>
          <w:ilvl w:val="0"/>
          <w:numId w:val="0"/>
        </w:num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G.存在共同直接或间接投资设立子公司、联营企业和合营企业情况</w:t>
      </w:r>
    </w:p>
    <w:p w14:paraId="79471AC0">
      <w:pPr>
        <w:pStyle w:val="34"/>
        <w:numPr>
          <w:ilvl w:val="0"/>
          <w:numId w:val="0"/>
        </w:num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H.存在分级代理或代销关系、同一生产制造商关系、管理关系、重要业务（占主营业务收入50%以上）或重要财务往来关系（如融资）等其他实质性控制关系</w:t>
      </w:r>
    </w:p>
    <w:p w14:paraId="59EE1BB3">
      <w:pPr>
        <w:pStyle w:val="34"/>
        <w:numPr>
          <w:ilvl w:val="0"/>
          <w:numId w:val="0"/>
        </w:numPr>
        <w:snapToGrid w:val="0"/>
        <w:spacing w:line="400" w:lineRule="exact"/>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 xml:space="preserve">    I.其他利害关系情况</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640C0DA">
      <w:pPr>
        <w:pStyle w:val="35"/>
        <w:widowControl/>
        <w:numPr>
          <w:ilvl w:val="0"/>
          <w:numId w:val="17"/>
        </w:numPr>
        <w:snapToGrid w:val="0"/>
        <w:spacing w:line="400" w:lineRule="exact"/>
        <w:ind w:firstLine="396" w:firstLineChars="18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现已清楚知道并</w:t>
      </w:r>
      <w:r>
        <w:rPr>
          <w:rFonts w:hint="eastAsia" w:ascii="宋体" w:hAnsi="宋体" w:eastAsia="宋体" w:cs="宋体"/>
          <w:color w:val="auto"/>
          <w:kern w:val="0"/>
          <w:szCs w:val="21"/>
          <w:highlight w:val="none"/>
        </w:rPr>
        <w:t>严格遵守政府采购法律法规和现场纪律。</w:t>
      </w:r>
    </w:p>
    <w:p w14:paraId="416A5F5C">
      <w:pPr>
        <w:pStyle w:val="35"/>
        <w:widowControl/>
        <w:numPr>
          <w:ilvl w:val="0"/>
          <w:numId w:val="17"/>
        </w:numPr>
        <w:snapToGrid w:val="0"/>
        <w:spacing w:line="400" w:lineRule="exact"/>
        <w:ind w:firstLine="396" w:firstLineChars="18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我发现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供应商之间存在或可能存在上述第二条第</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项利害关系</w:t>
      </w:r>
      <w:r>
        <w:rPr>
          <w:rFonts w:hint="eastAsia" w:ascii="宋体" w:hAnsi="宋体" w:eastAsia="宋体" w:cs="宋体"/>
          <w:color w:val="auto"/>
          <w:szCs w:val="21"/>
          <w:highlight w:val="none"/>
        </w:rPr>
        <w:t xml:space="preserve">                         </w:t>
      </w:r>
    </w:p>
    <w:p w14:paraId="58C228B1">
      <w:pPr>
        <w:pStyle w:val="34"/>
        <w:numPr>
          <w:ilvl w:val="0"/>
          <w:numId w:val="0"/>
        </w:numPr>
        <w:snapToGrid w:val="0"/>
        <w:spacing w:line="400" w:lineRule="exact"/>
        <w:ind w:left="4410" w:leftChars="2100"/>
        <w:rPr>
          <w:rFonts w:hint="eastAsia" w:ascii="宋体" w:hAnsi="宋体" w:eastAsia="宋体" w:cs="宋体"/>
          <w:color w:val="auto"/>
          <w:szCs w:val="21"/>
          <w:highlight w:val="none"/>
        </w:rPr>
      </w:pPr>
    </w:p>
    <w:p w14:paraId="50BA88BF">
      <w:pPr>
        <w:pStyle w:val="34"/>
        <w:numPr>
          <w:ilvl w:val="0"/>
          <w:numId w:val="0"/>
        </w:numPr>
        <w:snapToGrid w:val="0"/>
        <w:spacing w:line="400" w:lineRule="exact"/>
        <w:ind w:left="4410" w:leftChars="2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供应商代表签名：</w:t>
      </w:r>
    </w:p>
    <w:p w14:paraId="71029368">
      <w:pPr>
        <w:pStyle w:val="34"/>
        <w:numPr>
          <w:ilvl w:val="0"/>
          <w:numId w:val="0"/>
        </w:numPr>
        <w:snapToGrid w:val="0"/>
        <w:spacing w:line="400" w:lineRule="exact"/>
        <w:ind w:left="4410" w:leftChars="21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年   月   日</w:t>
      </w:r>
    </w:p>
    <w:p w14:paraId="133831EC">
      <w:pPr>
        <w:pStyle w:val="8"/>
        <w:spacing w:line="400" w:lineRule="exact"/>
        <w:rPr>
          <w:rFonts w:hint="eastAsia" w:ascii="宋体" w:hAnsi="宋体" w:eastAsia="宋体" w:cs="宋体"/>
          <w:b/>
          <w:bCs/>
          <w:color w:val="auto"/>
          <w:szCs w:val="21"/>
          <w:highlight w:val="none"/>
        </w:rPr>
      </w:pPr>
    </w:p>
    <w:p w14:paraId="26FA2710">
      <w:pPr>
        <w:rPr>
          <w:rFonts w:hint="eastAsia" w:ascii="宋体" w:hAnsi="宋体" w:eastAsia="宋体" w:cs="宋体"/>
          <w:color w:val="auto"/>
          <w:highlight w:val="none"/>
        </w:rPr>
      </w:pPr>
    </w:p>
    <w:p w14:paraId="70EAA9CB">
      <w:pPr>
        <w:rPr>
          <w:rFonts w:hint="eastAsia" w:ascii="宋体" w:hAnsi="宋体" w:eastAsia="宋体" w:cs="宋体"/>
          <w:color w:val="auto"/>
          <w:sz w:val="24"/>
          <w:szCs w:val="24"/>
          <w:highlight w:val="none"/>
        </w:rPr>
      </w:pPr>
    </w:p>
    <w:p w14:paraId="4070E949">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6A3EDE4">
      <w:pPr>
        <w:pStyle w:val="34"/>
        <w:numPr>
          <w:ilvl w:val="0"/>
          <w:numId w:val="0"/>
        </w:numPr>
        <w:snapToGrid w:val="0"/>
        <w:spacing w:line="400" w:lineRule="exact"/>
        <w:rPr>
          <w:rFonts w:hint="eastAsia" w:ascii="宋体" w:hAnsi="宋体" w:eastAsia="宋体" w:cs="宋体"/>
          <w:b/>
          <w:bCs/>
          <w:snapToGrid w:val="0"/>
          <w:color w:val="000000"/>
          <w:kern w:val="0"/>
          <w:sz w:val="21"/>
          <w:szCs w:val="21"/>
          <w:highlight w:val="none"/>
          <w:lang w:val="en-US" w:eastAsia="zh-CN" w:bidi="ar"/>
        </w:rPr>
      </w:pPr>
      <w:r>
        <w:rPr>
          <w:rFonts w:hint="eastAsia" w:ascii="宋体" w:hAnsi="宋体" w:eastAsia="宋体" w:cs="宋体"/>
          <w:b/>
          <w:bCs/>
          <w:snapToGrid w:val="0"/>
          <w:color w:val="000000"/>
          <w:kern w:val="0"/>
          <w:sz w:val="21"/>
          <w:szCs w:val="21"/>
          <w:highlight w:val="none"/>
          <w:lang w:val="en-US" w:eastAsia="zh-CN" w:bidi="ar"/>
        </w:rPr>
        <w:t>附件11：</w:t>
      </w:r>
    </w:p>
    <w:p w14:paraId="7F452E3B">
      <w:pPr>
        <w:snapToGrid w:val="0"/>
        <w:spacing w:line="300" w:lineRule="auto"/>
        <w:jc w:val="center"/>
        <w:textAlignment w:val="baseline"/>
        <w:rPr>
          <w:rFonts w:hint="eastAsia" w:ascii="宋体" w:hAnsi="宋体" w:eastAsia="宋体" w:cs="宋体"/>
          <w:b/>
          <w:color w:val="000000"/>
          <w:kern w:val="0"/>
          <w:sz w:val="44"/>
          <w:szCs w:val="44"/>
          <w:highlight w:val="none"/>
          <w:u w:val="none" w:color="000000"/>
        </w:rPr>
      </w:pPr>
      <w:r>
        <w:rPr>
          <w:rFonts w:hint="eastAsia" w:ascii="宋体" w:hAnsi="宋体" w:eastAsia="宋体" w:cs="宋体"/>
          <w:b/>
          <w:color w:val="000000"/>
          <w:kern w:val="0"/>
          <w:sz w:val="44"/>
          <w:szCs w:val="44"/>
          <w:highlight w:val="none"/>
          <w:u w:val="none" w:color="000000"/>
        </w:rPr>
        <w:t>关于服务考核管理办法</w:t>
      </w:r>
    </w:p>
    <w:p w14:paraId="0149813B">
      <w:pPr>
        <w:numPr>
          <w:ilvl w:val="0"/>
          <w:numId w:val="18"/>
        </w:numPr>
        <w:rPr>
          <w:rFonts w:hint="eastAsia" w:ascii="宋体" w:hAnsi="宋体" w:eastAsia="宋体" w:cs="宋体"/>
          <w:lang w:val="en-US" w:eastAsia="zh-CN"/>
        </w:rPr>
      </w:pPr>
      <w:r>
        <w:rPr>
          <w:rFonts w:hint="eastAsia" w:ascii="宋体" w:hAnsi="宋体" w:eastAsia="宋体" w:cs="宋体"/>
          <w:color w:val="000000"/>
          <w:kern w:val="0"/>
          <w:sz w:val="24"/>
          <w:szCs w:val="32"/>
          <w:highlight w:val="none"/>
          <w:u w:val="none" w:color="000000"/>
        </w:rPr>
        <w:t>为加强和规范服务管理，确保各项服务保质保量完成，特制定本办法</w:t>
      </w:r>
      <w:r>
        <w:rPr>
          <w:rFonts w:hint="eastAsia" w:ascii="宋体" w:hAnsi="宋体" w:eastAsia="宋体" w:cs="宋体"/>
          <w:color w:val="000000"/>
          <w:kern w:val="0"/>
          <w:sz w:val="24"/>
          <w:szCs w:val="32"/>
          <w:highlight w:val="none"/>
          <w:u w:val="none" w:color="000000"/>
          <w:lang w:val="en-US" w:eastAsia="zh-CN"/>
        </w:rPr>
        <w:t>进去考核。</w:t>
      </w:r>
    </w:p>
    <w:p w14:paraId="6A0ECC11">
      <w:pPr>
        <w:numPr>
          <w:ilvl w:val="0"/>
          <w:numId w:val="18"/>
        </w:numPr>
        <w:rPr>
          <w:rFonts w:hint="eastAsia" w:ascii="宋体" w:hAnsi="宋体" w:eastAsia="宋体" w:cs="宋体"/>
          <w:lang w:val="en-US" w:eastAsia="zh-CN"/>
        </w:rPr>
      </w:pPr>
      <w:r>
        <w:rPr>
          <w:rFonts w:hint="eastAsia" w:ascii="宋体" w:hAnsi="宋体" w:eastAsia="宋体" w:cs="宋体"/>
          <w:b w:val="0"/>
          <w:bCs w:val="0"/>
          <w:color w:val="000000"/>
          <w:sz w:val="24"/>
          <w:szCs w:val="24"/>
          <w:highlight w:val="none"/>
          <w:lang w:val="en-US" w:eastAsia="zh-CN"/>
        </w:rPr>
        <w:t>考核总分为100，考核分达到95分及以上，为合格；考核分在94分以下，为不合格，采购有权单方面取消合同及服务资格。</w:t>
      </w:r>
    </w:p>
    <w:p w14:paraId="628C4FE7">
      <w:pPr>
        <w:spacing w:line="560" w:lineRule="exact"/>
        <w:jc w:val="center"/>
        <w:textAlignment w:val="baseline"/>
        <w:rPr>
          <w:rFonts w:hint="eastAsia" w:ascii="宋体" w:hAnsi="宋体" w:eastAsia="宋体" w:cs="宋体"/>
          <w:b/>
          <w:bCs/>
          <w:color w:val="000000"/>
          <w:kern w:val="0"/>
          <w:sz w:val="32"/>
          <w:szCs w:val="32"/>
          <w:highlight w:val="none"/>
          <w:u w:val="none" w:color="000000"/>
        </w:rPr>
      </w:pPr>
      <w:r>
        <w:rPr>
          <w:rFonts w:hint="eastAsia" w:ascii="宋体" w:hAnsi="宋体" w:eastAsia="宋体" w:cs="宋体"/>
          <w:b/>
          <w:bCs/>
          <w:color w:val="000000"/>
          <w:kern w:val="0"/>
          <w:sz w:val="32"/>
          <w:szCs w:val="32"/>
          <w:highlight w:val="none"/>
          <w:u w:val="none" w:color="000000"/>
        </w:rPr>
        <w:t>服务公司考核总表</w:t>
      </w:r>
    </w:p>
    <w:p w14:paraId="7B91BEDB">
      <w:pPr>
        <w:rPr>
          <w:rFonts w:hint="eastAsia" w:ascii="宋体" w:hAnsi="宋体" w:eastAsia="宋体" w:cs="宋体"/>
          <w:b w:val="0"/>
          <w:bCs w:val="0"/>
          <w:color w:val="000000"/>
          <w:sz w:val="24"/>
          <w:szCs w:val="24"/>
          <w:highlight w:val="none"/>
          <w:lang w:val="en-US" w:eastAsia="zh-CN"/>
        </w:rPr>
      </w:pPr>
    </w:p>
    <w:p w14:paraId="710F7249">
      <w:pPr>
        <w:spacing w:line="380" w:lineRule="exact"/>
        <w:rPr>
          <w:rFonts w:hint="eastAsia" w:ascii="宋体" w:hAnsi="宋体" w:eastAsia="宋体" w:cs="宋体"/>
          <w:lang w:val="en-US" w:eastAsia="zh-CN"/>
        </w:rPr>
      </w:pPr>
      <w:r>
        <w:rPr>
          <w:rFonts w:hint="eastAsia" w:ascii="宋体" w:hAnsi="宋体" w:eastAsia="宋体" w:cs="宋体"/>
          <w:sz w:val="24"/>
          <w:szCs w:val="24"/>
          <w:highlight w:val="none"/>
        </w:rPr>
        <w:t>考核对象：                        考核时间：</w:t>
      </w:r>
    </w:p>
    <w:tbl>
      <w:tblPr>
        <w:tblStyle w:val="17"/>
        <w:tblW w:w="9406" w:type="dxa"/>
        <w:tblInd w:w="-2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6"/>
        <w:gridCol w:w="1560"/>
        <w:gridCol w:w="4815"/>
        <w:gridCol w:w="1155"/>
        <w:gridCol w:w="780"/>
      </w:tblGrid>
      <w:tr w14:paraId="1363E0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96" w:type="dxa"/>
            <w:tcBorders>
              <w:top w:val="single" w:color="auto" w:sz="4" w:space="0"/>
              <w:left w:val="single" w:color="auto" w:sz="4" w:space="0"/>
              <w:bottom w:val="single" w:color="auto" w:sz="4" w:space="0"/>
              <w:right w:val="single" w:color="auto" w:sz="4" w:space="0"/>
            </w:tcBorders>
            <w:noWrap w:val="0"/>
            <w:vAlign w:val="center"/>
          </w:tcPr>
          <w:p w14:paraId="709EC587">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305F0D">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000000"/>
                <w:sz w:val="24"/>
                <w:szCs w:val="24"/>
                <w:highlight w:val="none"/>
              </w:rPr>
              <w:t>类  别</w:t>
            </w:r>
          </w:p>
        </w:tc>
        <w:tc>
          <w:tcPr>
            <w:tcW w:w="48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345B42">
            <w:pPr>
              <w:jc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rPr>
              <w:t>内  容</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标   准</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04F1203C">
            <w:pPr>
              <w:jc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分值</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2E83598A">
            <w:pPr>
              <w:jc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得分</w:t>
            </w:r>
          </w:p>
        </w:tc>
      </w:tr>
      <w:tr w14:paraId="4DDCF1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96" w:type="dxa"/>
            <w:tcBorders>
              <w:top w:val="single" w:color="auto" w:sz="4" w:space="0"/>
              <w:left w:val="single" w:color="auto" w:sz="4" w:space="0"/>
              <w:bottom w:val="single" w:color="auto" w:sz="4" w:space="0"/>
              <w:right w:val="single" w:color="auto" w:sz="4" w:space="0"/>
            </w:tcBorders>
            <w:noWrap w:val="0"/>
            <w:vAlign w:val="top"/>
          </w:tcPr>
          <w:p w14:paraId="45032CB9">
            <w:pPr>
              <w:spacing w:line="440" w:lineRule="exact"/>
              <w:jc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w:t>
            </w:r>
          </w:p>
        </w:tc>
        <w:tc>
          <w:tcPr>
            <w:tcW w:w="1560" w:type="dxa"/>
            <w:tcBorders>
              <w:top w:val="single" w:color="auto" w:sz="4" w:space="0"/>
              <w:left w:val="single" w:color="auto" w:sz="4" w:space="0"/>
              <w:bottom w:val="single" w:color="auto" w:sz="4" w:space="0"/>
              <w:right w:val="single" w:color="auto" w:sz="4" w:space="0"/>
            </w:tcBorders>
            <w:noWrap w:val="0"/>
            <w:vAlign w:val="top"/>
          </w:tcPr>
          <w:p w14:paraId="36BF76DC">
            <w:pPr>
              <w:spacing w:line="440" w:lineRule="exact"/>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通航点</w:t>
            </w:r>
          </w:p>
        </w:tc>
        <w:tc>
          <w:tcPr>
            <w:tcW w:w="4815" w:type="dxa"/>
            <w:tcBorders>
              <w:top w:val="single" w:color="auto" w:sz="4" w:space="0"/>
              <w:left w:val="single" w:color="auto" w:sz="4" w:space="0"/>
              <w:bottom w:val="single" w:color="auto" w:sz="4" w:space="0"/>
              <w:right w:val="single" w:color="auto" w:sz="4" w:space="0"/>
            </w:tcBorders>
            <w:noWrap w:val="0"/>
            <w:vAlign w:val="top"/>
          </w:tcPr>
          <w:p w14:paraId="74A76090">
            <w:pPr>
              <w:spacing w:line="440" w:lineRule="exact"/>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不少于65个城市,每少5个城市扣5分</w:t>
            </w:r>
          </w:p>
        </w:tc>
        <w:tc>
          <w:tcPr>
            <w:tcW w:w="1155" w:type="dxa"/>
            <w:tcBorders>
              <w:top w:val="single" w:color="auto" w:sz="4" w:space="0"/>
              <w:left w:val="single" w:color="auto" w:sz="4" w:space="0"/>
              <w:bottom w:val="single" w:color="auto" w:sz="4" w:space="0"/>
              <w:right w:val="single" w:color="auto" w:sz="4" w:space="0"/>
            </w:tcBorders>
            <w:noWrap w:val="0"/>
            <w:vAlign w:val="top"/>
          </w:tcPr>
          <w:p w14:paraId="749BAA15">
            <w:pPr>
              <w:keepNext w:val="0"/>
              <w:keepLines w:val="0"/>
              <w:pageBreakBefore w:val="0"/>
              <w:widowControl w:val="0"/>
              <w:kinsoku/>
              <w:wordWrap/>
              <w:overflowPunct/>
              <w:topLinePunct w:val="0"/>
              <w:autoSpaceDE/>
              <w:autoSpaceDN/>
              <w:bidi w:val="0"/>
              <w:adjustRightInd w:val="0"/>
              <w:snapToGrid/>
              <w:spacing w:line="440" w:lineRule="exact"/>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0-20</w:t>
            </w:r>
          </w:p>
        </w:tc>
        <w:tc>
          <w:tcPr>
            <w:tcW w:w="780" w:type="dxa"/>
            <w:tcBorders>
              <w:top w:val="single" w:color="auto" w:sz="4" w:space="0"/>
              <w:left w:val="single" w:color="auto" w:sz="4" w:space="0"/>
              <w:bottom w:val="single" w:color="auto" w:sz="4" w:space="0"/>
              <w:right w:val="single" w:color="auto" w:sz="4" w:space="0"/>
            </w:tcBorders>
            <w:noWrap w:val="0"/>
            <w:vAlign w:val="top"/>
          </w:tcPr>
          <w:p w14:paraId="3A395752">
            <w:pPr>
              <w:keepNext w:val="0"/>
              <w:keepLines w:val="0"/>
              <w:pageBreakBefore w:val="0"/>
              <w:widowControl w:val="0"/>
              <w:kinsoku/>
              <w:wordWrap/>
              <w:overflowPunct/>
              <w:topLinePunct w:val="0"/>
              <w:autoSpaceDE/>
              <w:autoSpaceDN/>
              <w:bidi w:val="0"/>
              <w:adjustRightInd w:val="0"/>
              <w:snapToGrid/>
              <w:spacing w:line="440" w:lineRule="exact"/>
              <w:ind w:firstLine="240" w:firstLineChars="100"/>
              <w:textAlignment w:val="auto"/>
              <w:rPr>
                <w:rFonts w:hint="eastAsia" w:ascii="宋体" w:hAnsi="宋体" w:eastAsia="宋体" w:cs="宋体"/>
                <w:color w:val="auto"/>
                <w:sz w:val="24"/>
                <w:szCs w:val="24"/>
                <w:highlight w:val="none"/>
                <w:lang w:val="en-US" w:eastAsia="zh-CN"/>
              </w:rPr>
            </w:pPr>
          </w:p>
        </w:tc>
      </w:tr>
      <w:tr w14:paraId="32A364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1096"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6470F9C">
            <w:pPr>
              <w:spacing w:line="440" w:lineRule="exact"/>
              <w:jc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2</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4A72B8">
            <w:pPr>
              <w:spacing w:line="440" w:lineRule="exact"/>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旅客运输量</w:t>
            </w:r>
          </w:p>
        </w:tc>
        <w:tc>
          <w:tcPr>
            <w:tcW w:w="48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A6E156">
            <w:pPr>
              <w:spacing w:line="440" w:lineRule="exact"/>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不少于10万人次，每少1000人次扣5分</w:t>
            </w:r>
          </w:p>
        </w:tc>
        <w:tc>
          <w:tcPr>
            <w:tcW w:w="1155" w:type="dxa"/>
            <w:tcBorders>
              <w:top w:val="single" w:color="auto" w:sz="4" w:space="0"/>
              <w:left w:val="single" w:color="auto" w:sz="4" w:space="0"/>
              <w:bottom w:val="single" w:color="auto" w:sz="4" w:space="0"/>
              <w:right w:val="single" w:color="auto" w:sz="4" w:space="0"/>
            </w:tcBorders>
            <w:noWrap w:val="0"/>
            <w:vAlign w:val="top"/>
          </w:tcPr>
          <w:p w14:paraId="61E0F6F6">
            <w:pPr>
              <w:keepNext w:val="0"/>
              <w:keepLines w:val="0"/>
              <w:pageBreakBefore w:val="0"/>
              <w:widowControl w:val="0"/>
              <w:kinsoku/>
              <w:wordWrap/>
              <w:overflowPunct/>
              <w:topLinePunct w:val="0"/>
              <w:autoSpaceDE/>
              <w:autoSpaceDN/>
              <w:bidi w:val="0"/>
              <w:adjustRightInd w:val="0"/>
              <w:snapToGrid/>
              <w:spacing w:line="440" w:lineRule="exact"/>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0-20</w:t>
            </w:r>
          </w:p>
        </w:tc>
        <w:tc>
          <w:tcPr>
            <w:tcW w:w="780" w:type="dxa"/>
            <w:tcBorders>
              <w:top w:val="single" w:color="auto" w:sz="4" w:space="0"/>
              <w:left w:val="single" w:color="auto" w:sz="4" w:space="0"/>
              <w:bottom w:val="single" w:color="auto" w:sz="4" w:space="0"/>
              <w:right w:val="single" w:color="auto" w:sz="4" w:space="0"/>
            </w:tcBorders>
            <w:noWrap w:val="0"/>
            <w:vAlign w:val="top"/>
          </w:tcPr>
          <w:p w14:paraId="574859EE">
            <w:pPr>
              <w:keepNext w:val="0"/>
              <w:keepLines w:val="0"/>
              <w:pageBreakBefore w:val="0"/>
              <w:widowControl w:val="0"/>
              <w:kinsoku/>
              <w:wordWrap/>
              <w:overflowPunct/>
              <w:topLinePunct w:val="0"/>
              <w:autoSpaceDE/>
              <w:autoSpaceDN/>
              <w:bidi w:val="0"/>
              <w:adjustRightInd w:val="0"/>
              <w:snapToGrid/>
              <w:spacing w:line="440" w:lineRule="exact"/>
              <w:ind w:firstLine="240" w:firstLineChars="100"/>
              <w:textAlignment w:val="auto"/>
              <w:rPr>
                <w:rFonts w:hint="eastAsia" w:ascii="宋体" w:hAnsi="宋体" w:eastAsia="宋体" w:cs="宋体"/>
                <w:color w:val="auto"/>
                <w:sz w:val="24"/>
                <w:szCs w:val="24"/>
                <w:highlight w:val="none"/>
                <w:lang w:val="en-US" w:eastAsia="zh-CN"/>
              </w:rPr>
            </w:pPr>
          </w:p>
        </w:tc>
      </w:tr>
      <w:tr w14:paraId="514A88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96"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13D9EA9">
            <w:pPr>
              <w:spacing w:line="440" w:lineRule="exact"/>
              <w:jc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3</w:t>
            </w:r>
          </w:p>
        </w:tc>
        <w:tc>
          <w:tcPr>
            <w:tcW w:w="1560" w:type="dxa"/>
            <w:tcBorders>
              <w:top w:val="single" w:color="auto" w:sz="4" w:space="0"/>
              <w:left w:val="single" w:color="auto" w:sz="4" w:space="0"/>
              <w:bottom w:val="single" w:color="auto" w:sz="4" w:space="0"/>
              <w:right w:val="single" w:color="auto" w:sz="4" w:space="0"/>
            </w:tcBorders>
            <w:noWrap w:val="0"/>
            <w:vAlign w:val="top"/>
          </w:tcPr>
          <w:p w14:paraId="10C92D36">
            <w:pPr>
              <w:spacing w:line="440" w:lineRule="exact"/>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直飞航班</w:t>
            </w:r>
          </w:p>
        </w:tc>
        <w:tc>
          <w:tcPr>
            <w:tcW w:w="4815" w:type="dxa"/>
            <w:tcBorders>
              <w:top w:val="single" w:color="auto" w:sz="4" w:space="0"/>
              <w:left w:val="single" w:color="auto" w:sz="4" w:space="0"/>
              <w:bottom w:val="single" w:color="auto" w:sz="4" w:space="0"/>
              <w:right w:val="single" w:color="auto" w:sz="4" w:space="0"/>
            </w:tcBorders>
            <w:noWrap w:val="0"/>
            <w:vAlign w:val="top"/>
          </w:tcPr>
          <w:p w14:paraId="2C2E520C">
            <w:pPr>
              <w:spacing w:line="440" w:lineRule="exact"/>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直飞航班不少于750班，不足740班扣5分，不足730班扣10分，依次累计，</w:t>
            </w:r>
          </w:p>
        </w:tc>
        <w:tc>
          <w:tcPr>
            <w:tcW w:w="1155" w:type="dxa"/>
            <w:tcBorders>
              <w:top w:val="single" w:color="auto" w:sz="4" w:space="0"/>
              <w:left w:val="single" w:color="auto" w:sz="4" w:space="0"/>
              <w:bottom w:val="single" w:color="auto" w:sz="4" w:space="0"/>
              <w:right w:val="single" w:color="auto" w:sz="4" w:space="0"/>
            </w:tcBorders>
            <w:noWrap w:val="0"/>
            <w:vAlign w:val="top"/>
          </w:tcPr>
          <w:p w14:paraId="2920411F">
            <w:pPr>
              <w:keepNext w:val="0"/>
              <w:keepLines w:val="0"/>
              <w:pageBreakBefore w:val="0"/>
              <w:widowControl w:val="0"/>
              <w:kinsoku/>
              <w:wordWrap/>
              <w:overflowPunct/>
              <w:topLinePunct w:val="0"/>
              <w:autoSpaceDE/>
              <w:autoSpaceDN/>
              <w:bidi w:val="0"/>
              <w:adjustRightInd w:val="0"/>
              <w:snapToGrid/>
              <w:spacing w:line="440" w:lineRule="exact"/>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0-20</w:t>
            </w:r>
          </w:p>
        </w:tc>
        <w:tc>
          <w:tcPr>
            <w:tcW w:w="780" w:type="dxa"/>
            <w:tcBorders>
              <w:top w:val="single" w:color="auto" w:sz="4" w:space="0"/>
              <w:left w:val="single" w:color="auto" w:sz="4" w:space="0"/>
              <w:bottom w:val="single" w:color="auto" w:sz="4" w:space="0"/>
              <w:right w:val="single" w:color="auto" w:sz="4" w:space="0"/>
            </w:tcBorders>
            <w:noWrap w:val="0"/>
            <w:vAlign w:val="top"/>
          </w:tcPr>
          <w:p w14:paraId="5CC4D021">
            <w:pPr>
              <w:keepNext w:val="0"/>
              <w:keepLines w:val="0"/>
              <w:pageBreakBefore w:val="0"/>
              <w:widowControl w:val="0"/>
              <w:kinsoku/>
              <w:wordWrap/>
              <w:overflowPunct/>
              <w:topLinePunct w:val="0"/>
              <w:autoSpaceDE/>
              <w:autoSpaceDN/>
              <w:bidi w:val="0"/>
              <w:adjustRightInd w:val="0"/>
              <w:snapToGrid/>
              <w:spacing w:line="440" w:lineRule="exact"/>
              <w:ind w:firstLine="240" w:firstLineChars="100"/>
              <w:textAlignment w:val="auto"/>
              <w:rPr>
                <w:rFonts w:hint="eastAsia" w:ascii="宋体" w:hAnsi="宋体" w:eastAsia="宋体" w:cs="宋体"/>
                <w:color w:val="auto"/>
                <w:sz w:val="24"/>
                <w:szCs w:val="24"/>
                <w:highlight w:val="none"/>
                <w:lang w:val="en-US" w:eastAsia="zh-CN"/>
              </w:rPr>
            </w:pPr>
          </w:p>
        </w:tc>
      </w:tr>
      <w:tr w14:paraId="406AC1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96"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5FA03FE">
            <w:pPr>
              <w:spacing w:line="440" w:lineRule="exact"/>
              <w:jc w:val="center"/>
              <w:rPr>
                <w:rFonts w:hint="eastAsia" w:ascii="宋体" w:hAnsi="宋体" w:eastAsia="宋体" w:cs="宋体"/>
                <w:b w:val="0"/>
                <w:bCs w:val="0"/>
                <w:color w:val="000000"/>
                <w:sz w:val="24"/>
                <w:szCs w:val="24"/>
                <w:highlight w:val="none"/>
                <w:lang w:val="en-US" w:eastAsia="zh-CN"/>
              </w:rPr>
            </w:pPr>
          </w:p>
          <w:p w14:paraId="5F650A0D">
            <w:pPr>
              <w:spacing w:line="440" w:lineRule="exact"/>
              <w:jc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4</w:t>
            </w:r>
          </w:p>
        </w:tc>
        <w:tc>
          <w:tcPr>
            <w:tcW w:w="1560" w:type="dxa"/>
            <w:tcBorders>
              <w:top w:val="single" w:color="auto" w:sz="4" w:space="0"/>
              <w:left w:val="single" w:color="auto" w:sz="4" w:space="0"/>
              <w:bottom w:val="single" w:color="auto" w:sz="4" w:space="0"/>
              <w:right w:val="single" w:color="auto" w:sz="4" w:space="0"/>
            </w:tcBorders>
            <w:noWrap w:val="0"/>
            <w:vAlign w:val="top"/>
          </w:tcPr>
          <w:p w14:paraId="3A654B79">
            <w:pPr>
              <w:spacing w:line="440" w:lineRule="exact"/>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响应文件中提供如下承诺</w:t>
            </w:r>
          </w:p>
        </w:tc>
        <w:tc>
          <w:tcPr>
            <w:tcW w:w="4815" w:type="dxa"/>
            <w:tcBorders>
              <w:top w:val="single" w:color="auto" w:sz="4" w:space="0"/>
              <w:left w:val="single" w:color="auto" w:sz="4" w:space="0"/>
              <w:bottom w:val="single" w:color="auto" w:sz="4" w:space="0"/>
              <w:right w:val="single" w:color="auto" w:sz="4" w:space="0"/>
            </w:tcBorders>
            <w:noWrap w:val="0"/>
            <w:vAlign w:val="top"/>
          </w:tcPr>
          <w:p w14:paraId="6367C74F">
            <w:pPr>
              <w:spacing w:line="440" w:lineRule="exact"/>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采购单位有重要保障任务，对方应全力配合进行调机，将喷绘飞机调至采购单位所需要的航班直飞。未能达到采购人要求扣0-10分。</w:t>
            </w:r>
          </w:p>
        </w:tc>
        <w:tc>
          <w:tcPr>
            <w:tcW w:w="1155" w:type="dxa"/>
            <w:tcBorders>
              <w:top w:val="single" w:color="auto" w:sz="4" w:space="0"/>
              <w:left w:val="single" w:color="auto" w:sz="4" w:space="0"/>
              <w:bottom w:val="single" w:color="auto" w:sz="4" w:space="0"/>
              <w:right w:val="single" w:color="auto" w:sz="4" w:space="0"/>
            </w:tcBorders>
            <w:noWrap w:val="0"/>
            <w:vAlign w:val="top"/>
          </w:tcPr>
          <w:p w14:paraId="5B4332F3">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4"/>
                <w:szCs w:val="24"/>
                <w:highlight w:val="none"/>
                <w:lang w:val="en-US" w:eastAsia="zh-CN"/>
              </w:rPr>
            </w:pPr>
          </w:p>
          <w:p w14:paraId="24A4977A">
            <w:pPr>
              <w:keepNext w:val="0"/>
              <w:keepLines w:val="0"/>
              <w:pageBreakBefore w:val="0"/>
              <w:widowControl w:val="0"/>
              <w:kinsoku/>
              <w:wordWrap/>
              <w:overflowPunct/>
              <w:topLinePunct w:val="0"/>
              <w:autoSpaceDE/>
              <w:autoSpaceDN/>
              <w:bidi w:val="0"/>
              <w:adjustRightInd w:val="0"/>
              <w:snapToGrid/>
              <w:spacing w:line="440" w:lineRule="exact"/>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0-10</w:t>
            </w:r>
          </w:p>
        </w:tc>
        <w:tc>
          <w:tcPr>
            <w:tcW w:w="780" w:type="dxa"/>
            <w:tcBorders>
              <w:top w:val="single" w:color="auto" w:sz="4" w:space="0"/>
              <w:left w:val="single" w:color="auto" w:sz="4" w:space="0"/>
              <w:bottom w:val="single" w:color="auto" w:sz="4" w:space="0"/>
              <w:right w:val="single" w:color="auto" w:sz="4" w:space="0"/>
            </w:tcBorders>
            <w:noWrap w:val="0"/>
            <w:vAlign w:val="top"/>
          </w:tcPr>
          <w:p w14:paraId="266D5D1E">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4"/>
                <w:szCs w:val="24"/>
                <w:highlight w:val="none"/>
                <w:lang w:val="en-US" w:eastAsia="zh-CN"/>
              </w:rPr>
            </w:pPr>
          </w:p>
        </w:tc>
      </w:tr>
      <w:tr w14:paraId="4DBFB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96"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0922316">
            <w:pPr>
              <w:spacing w:line="440" w:lineRule="exact"/>
              <w:jc w:val="center"/>
              <w:rPr>
                <w:rFonts w:hint="eastAsia" w:ascii="宋体" w:hAnsi="宋体" w:eastAsia="宋体" w:cs="宋体"/>
                <w:b w:val="0"/>
                <w:bCs w:val="0"/>
                <w:color w:val="000000"/>
                <w:sz w:val="24"/>
                <w:szCs w:val="24"/>
                <w:highlight w:val="none"/>
                <w:lang w:val="en-US" w:eastAsia="zh-CN"/>
              </w:rPr>
            </w:pPr>
          </w:p>
          <w:p w14:paraId="6138CE4B">
            <w:pPr>
              <w:spacing w:line="440" w:lineRule="exact"/>
              <w:jc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5</w:t>
            </w:r>
          </w:p>
        </w:tc>
        <w:tc>
          <w:tcPr>
            <w:tcW w:w="1560" w:type="dxa"/>
            <w:tcBorders>
              <w:top w:val="single" w:color="auto" w:sz="4" w:space="0"/>
              <w:left w:val="single" w:color="auto" w:sz="4" w:space="0"/>
              <w:bottom w:val="single" w:color="auto" w:sz="4" w:space="0"/>
              <w:right w:val="single" w:color="auto" w:sz="4" w:space="0"/>
            </w:tcBorders>
            <w:noWrap w:val="0"/>
            <w:vAlign w:val="top"/>
          </w:tcPr>
          <w:p w14:paraId="133CC8A1">
            <w:pPr>
              <w:spacing w:line="440" w:lineRule="exact"/>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供商应确保喷绘飞机安全</w:t>
            </w:r>
          </w:p>
        </w:tc>
        <w:tc>
          <w:tcPr>
            <w:tcW w:w="4815" w:type="dxa"/>
            <w:tcBorders>
              <w:top w:val="single" w:color="auto" w:sz="4" w:space="0"/>
              <w:left w:val="single" w:color="auto" w:sz="4" w:space="0"/>
              <w:bottom w:val="single" w:color="auto" w:sz="4" w:space="0"/>
              <w:right w:val="single" w:color="auto" w:sz="4" w:space="0"/>
            </w:tcBorders>
            <w:noWrap w:val="0"/>
            <w:vAlign w:val="top"/>
          </w:tcPr>
          <w:p w14:paraId="454F9441">
            <w:pPr>
              <w:spacing w:line="440" w:lineRule="exact"/>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因安全问题导致飞机不能直飞，供商应对喷绘飞机的安全文明负全责，合同期间若发生安全责任事故或被相关部门查处。扣0-10分。</w:t>
            </w:r>
          </w:p>
        </w:tc>
        <w:tc>
          <w:tcPr>
            <w:tcW w:w="1155" w:type="dxa"/>
            <w:tcBorders>
              <w:top w:val="single" w:color="auto" w:sz="4" w:space="0"/>
              <w:left w:val="single" w:color="auto" w:sz="4" w:space="0"/>
              <w:bottom w:val="single" w:color="auto" w:sz="4" w:space="0"/>
              <w:right w:val="single" w:color="auto" w:sz="4" w:space="0"/>
            </w:tcBorders>
            <w:noWrap w:val="0"/>
            <w:vAlign w:val="top"/>
          </w:tcPr>
          <w:p w14:paraId="7F9D7F2F">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4"/>
                <w:szCs w:val="24"/>
                <w:highlight w:val="none"/>
                <w:lang w:val="en-US" w:eastAsia="zh-CN"/>
              </w:rPr>
            </w:pPr>
          </w:p>
          <w:p w14:paraId="4603A9F8">
            <w:pPr>
              <w:keepNext w:val="0"/>
              <w:keepLines w:val="0"/>
              <w:pageBreakBefore w:val="0"/>
              <w:widowControl w:val="0"/>
              <w:kinsoku/>
              <w:wordWrap/>
              <w:overflowPunct/>
              <w:topLinePunct w:val="0"/>
              <w:autoSpaceDE/>
              <w:autoSpaceDN/>
              <w:bidi w:val="0"/>
              <w:adjustRightInd w:val="0"/>
              <w:snapToGrid/>
              <w:spacing w:line="440" w:lineRule="exact"/>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0-10</w:t>
            </w:r>
          </w:p>
        </w:tc>
        <w:tc>
          <w:tcPr>
            <w:tcW w:w="780" w:type="dxa"/>
            <w:tcBorders>
              <w:top w:val="single" w:color="auto" w:sz="4" w:space="0"/>
              <w:left w:val="single" w:color="auto" w:sz="4" w:space="0"/>
              <w:bottom w:val="single" w:color="auto" w:sz="4" w:space="0"/>
              <w:right w:val="single" w:color="auto" w:sz="4" w:space="0"/>
            </w:tcBorders>
            <w:noWrap w:val="0"/>
            <w:vAlign w:val="top"/>
          </w:tcPr>
          <w:p w14:paraId="099882CF">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4"/>
                <w:szCs w:val="24"/>
                <w:highlight w:val="none"/>
                <w:lang w:val="en-US" w:eastAsia="zh-CN"/>
              </w:rPr>
            </w:pPr>
          </w:p>
        </w:tc>
      </w:tr>
      <w:tr w14:paraId="7B881A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1096"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A387821">
            <w:pPr>
              <w:spacing w:line="440" w:lineRule="exact"/>
              <w:jc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6</w:t>
            </w:r>
          </w:p>
        </w:tc>
        <w:tc>
          <w:tcPr>
            <w:tcW w:w="1560" w:type="dxa"/>
            <w:tcBorders>
              <w:top w:val="single" w:color="auto" w:sz="4" w:space="0"/>
              <w:left w:val="single" w:color="auto" w:sz="4" w:space="0"/>
              <w:bottom w:val="single" w:color="auto" w:sz="4" w:space="0"/>
              <w:right w:val="single" w:color="auto" w:sz="4" w:space="0"/>
            </w:tcBorders>
            <w:noWrap w:val="0"/>
            <w:vAlign w:val="top"/>
          </w:tcPr>
          <w:p w14:paraId="359E1749">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其它增值服务</w:t>
            </w:r>
          </w:p>
        </w:tc>
        <w:tc>
          <w:tcPr>
            <w:tcW w:w="4815" w:type="dxa"/>
            <w:tcBorders>
              <w:top w:val="single" w:color="auto" w:sz="4" w:space="0"/>
              <w:left w:val="single" w:color="auto" w:sz="4" w:space="0"/>
              <w:bottom w:val="single" w:color="auto" w:sz="4" w:space="0"/>
              <w:right w:val="single" w:color="auto" w:sz="4" w:space="0"/>
            </w:tcBorders>
            <w:noWrap w:val="0"/>
            <w:vAlign w:val="top"/>
          </w:tcPr>
          <w:p w14:paraId="3B95E337">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采购人要求提供的增值服务，未能达到要求或未提供，扣0-20分</w:t>
            </w:r>
          </w:p>
        </w:tc>
        <w:tc>
          <w:tcPr>
            <w:tcW w:w="1155" w:type="dxa"/>
            <w:tcBorders>
              <w:top w:val="single" w:color="auto" w:sz="4" w:space="0"/>
              <w:left w:val="single" w:color="auto" w:sz="4" w:space="0"/>
              <w:bottom w:val="single" w:color="auto" w:sz="4" w:space="0"/>
              <w:right w:val="single" w:color="auto" w:sz="4" w:space="0"/>
            </w:tcBorders>
            <w:noWrap w:val="0"/>
            <w:vAlign w:val="top"/>
          </w:tcPr>
          <w:p w14:paraId="2CF49123">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0-20</w:t>
            </w:r>
          </w:p>
        </w:tc>
        <w:tc>
          <w:tcPr>
            <w:tcW w:w="780" w:type="dxa"/>
            <w:tcBorders>
              <w:top w:val="single" w:color="auto" w:sz="4" w:space="0"/>
              <w:left w:val="single" w:color="auto" w:sz="4" w:space="0"/>
              <w:bottom w:val="single" w:color="auto" w:sz="4" w:space="0"/>
              <w:right w:val="single" w:color="auto" w:sz="4" w:space="0"/>
            </w:tcBorders>
            <w:noWrap w:val="0"/>
            <w:vAlign w:val="top"/>
          </w:tcPr>
          <w:p w14:paraId="33B0A087">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4"/>
                <w:szCs w:val="24"/>
                <w:highlight w:val="none"/>
                <w:lang w:val="en-US" w:eastAsia="zh-CN"/>
              </w:rPr>
            </w:pPr>
          </w:p>
        </w:tc>
      </w:tr>
      <w:tr w14:paraId="19B4C5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2656"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14:paraId="1E5B31F3">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考核结果：</w:t>
            </w:r>
          </w:p>
        </w:tc>
        <w:tc>
          <w:tcPr>
            <w:tcW w:w="4815" w:type="dxa"/>
            <w:tcBorders>
              <w:top w:val="single" w:color="auto" w:sz="4" w:space="0"/>
              <w:left w:val="single" w:color="auto" w:sz="4" w:space="0"/>
              <w:bottom w:val="single" w:color="auto" w:sz="4" w:space="0"/>
              <w:right w:val="single" w:color="auto" w:sz="4" w:space="0"/>
            </w:tcBorders>
            <w:noWrap w:val="0"/>
            <w:vAlign w:val="top"/>
          </w:tcPr>
          <w:p w14:paraId="54602DB2">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总得分：</w:t>
            </w:r>
          </w:p>
        </w:tc>
        <w:tc>
          <w:tcPr>
            <w:tcW w:w="1155" w:type="dxa"/>
            <w:tcBorders>
              <w:top w:val="single" w:color="auto" w:sz="4" w:space="0"/>
              <w:left w:val="single" w:color="auto" w:sz="4" w:space="0"/>
              <w:bottom w:val="single" w:color="auto" w:sz="4" w:space="0"/>
              <w:right w:val="single" w:color="auto" w:sz="4" w:space="0"/>
            </w:tcBorders>
            <w:noWrap w:val="0"/>
            <w:vAlign w:val="top"/>
          </w:tcPr>
          <w:p w14:paraId="10F4D815">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4"/>
                <w:szCs w:val="24"/>
                <w:highlight w:val="none"/>
                <w:lang w:val="en-US"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792408A6">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4"/>
                <w:szCs w:val="24"/>
                <w:highlight w:val="none"/>
                <w:lang w:val="en-US" w:eastAsia="zh-CN"/>
              </w:rPr>
            </w:pPr>
          </w:p>
        </w:tc>
      </w:tr>
      <w:tr w14:paraId="7351B0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2656"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14:paraId="49072661">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考核人（签名）：</w:t>
            </w:r>
          </w:p>
        </w:tc>
        <w:tc>
          <w:tcPr>
            <w:tcW w:w="4815" w:type="dxa"/>
            <w:tcBorders>
              <w:top w:val="single" w:color="auto" w:sz="4" w:space="0"/>
              <w:left w:val="single" w:color="auto" w:sz="4" w:space="0"/>
              <w:bottom w:val="single" w:color="auto" w:sz="4" w:space="0"/>
              <w:right w:val="single" w:color="auto" w:sz="4" w:space="0"/>
            </w:tcBorders>
            <w:noWrap w:val="0"/>
            <w:vAlign w:val="top"/>
          </w:tcPr>
          <w:p w14:paraId="458B1413">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4"/>
                <w:szCs w:val="24"/>
                <w:highlight w:val="none"/>
                <w:lang w:val="en-US" w:eastAsia="zh-CN"/>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33941474">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4"/>
                <w:szCs w:val="24"/>
                <w:highlight w:val="none"/>
                <w:lang w:val="en-US"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7F6331FA">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4"/>
                <w:szCs w:val="24"/>
                <w:highlight w:val="none"/>
                <w:lang w:val="en-US" w:eastAsia="zh-CN"/>
              </w:rPr>
            </w:pPr>
          </w:p>
        </w:tc>
      </w:tr>
    </w:tbl>
    <w:p w14:paraId="3EF8F376">
      <w:pPr>
        <w:spacing w:line="440" w:lineRule="exact"/>
        <w:jc w:val="right"/>
        <w:rPr>
          <w:rFonts w:hint="eastAsia" w:ascii="宋体" w:hAnsi="宋体" w:eastAsia="宋体" w:cs="宋体"/>
          <w:b w:val="0"/>
          <w:bCs w:val="0"/>
          <w:color w:val="000000"/>
          <w:sz w:val="24"/>
          <w:szCs w:val="24"/>
          <w:highlight w:val="none"/>
          <w:lang w:val="en-US" w:eastAsia="zh-CN"/>
        </w:rPr>
      </w:pPr>
    </w:p>
    <w:p w14:paraId="0E18E6F6">
      <w:pPr>
        <w:spacing w:line="440" w:lineRule="exact"/>
        <w:jc w:val="right"/>
        <w:rPr>
          <w:rFonts w:hint="eastAsia" w:ascii="宋体" w:hAnsi="宋体" w:eastAsia="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嵊州小吃产业有限公司</w:t>
      </w:r>
    </w:p>
    <w:p w14:paraId="78442703">
      <w:pPr>
        <w:rPr>
          <w:rFonts w:hint="eastAsia"/>
        </w:rPr>
      </w:pPr>
    </w:p>
    <w:p w14:paraId="27A25765"/>
    <w:sectPr>
      <w:headerReference r:id="rId14" w:type="first"/>
      <w:footerReference r:id="rId17" w:type="first"/>
      <w:headerReference r:id="rId12" w:type="default"/>
      <w:footerReference r:id="rId15" w:type="default"/>
      <w:headerReference r:id="rId13" w:type="even"/>
      <w:footerReference r:id="rId16" w:type="even"/>
      <w:pgSz w:w="11906" w:h="16838"/>
      <w:pgMar w:top="1474" w:right="1514" w:bottom="1247" w:left="1514" w:header="851" w:footer="850"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A6236">
    <w:pPr>
      <w:pStyle w:val="11"/>
      <w:tabs>
        <w:tab w:val="left" w:pos="4049"/>
        <w:tab w:val="clear" w:pos="4153"/>
      </w:tabs>
      <w:ind w:firstLine="36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9D026">
    <w:pPr>
      <w:pStyle w:val="11"/>
      <w:tabs>
        <w:tab w:val="left" w:pos="4049"/>
        <w:tab w:val="clear" w:pos="4153"/>
      </w:tabs>
      <w:ind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223A1A">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1223A1A">
                    <w:pPr>
                      <w:pStyle w:val="11"/>
                    </w:pPr>
                    <w:r>
                      <w:fldChar w:fldCharType="begin"/>
                    </w:r>
                    <w:r>
                      <w:instrText xml:space="preserve"> PAGE  \* MERGEFORMAT </w:instrText>
                    </w:r>
                    <w:r>
                      <w:fldChar w:fldCharType="separate"/>
                    </w:r>
                    <w:r>
                      <w:t>1</w:t>
                    </w:r>
                    <w:r>
                      <w:fldChar w:fldCharType="end"/>
                    </w:r>
                  </w:p>
                </w:txbxContent>
              </v:textbox>
            </v:shape>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23E8C">
    <w:pPr>
      <w:pStyle w:val="11"/>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A76A57">
                          <w:pPr>
                            <w:pStyle w:val="11"/>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4BA76A57">
                    <w:pPr>
                      <w:pStyle w:val="11"/>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C44B7">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B84CE8">
                          <w:pPr>
                            <w:pStyle w:val="11"/>
                          </w:pPr>
                          <w:r>
                            <w:fldChar w:fldCharType="begin"/>
                          </w:r>
                          <w:r>
                            <w:instrText xml:space="preserve"> PAGE  \* MERGEFORMAT </w:instrText>
                          </w:r>
                          <w:r>
                            <w:fldChar w:fldCharType="separate"/>
                          </w:r>
                          <w:r>
                            <w:t>29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71B84CE8">
                    <w:pPr>
                      <w:pStyle w:val="11"/>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AA5CF">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FF2CE1">
                          <w:pPr>
                            <w:pStyle w:val="11"/>
                          </w:pPr>
                          <w:r>
                            <w:fldChar w:fldCharType="begin"/>
                          </w:r>
                          <w:r>
                            <w:instrText xml:space="preserve"> PAGE  \* MERGEFORMAT </w:instrText>
                          </w:r>
                          <w:r>
                            <w:fldChar w:fldCharType="separate"/>
                          </w:r>
                          <w:r>
                            <w:t>28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20FF2CE1">
                    <w:pPr>
                      <w:pStyle w:val="1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29574">
    <w:pPr>
      <w:pStyle w:val="11"/>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24783A">
                          <w:pPr>
                            <w:pStyle w:val="11"/>
                          </w:pPr>
                          <w:r>
                            <w:fldChar w:fldCharType="begin"/>
                          </w:r>
                          <w:r>
                            <w:instrText xml:space="preserve"> PAGE  \* MERGEFORMAT </w:instrText>
                          </w:r>
                          <w:r>
                            <w:fldChar w:fldCharType="separate"/>
                          </w:r>
                          <w:r>
                            <w:t>32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6224783A">
                    <w:pPr>
                      <w:pStyle w:val="11"/>
                    </w:pPr>
                    <w:r>
                      <w:fldChar w:fldCharType="begin"/>
                    </w:r>
                    <w:r>
                      <w:instrText xml:space="preserve"> PAGE  \* MERGEFORMAT </w:instrText>
                    </w:r>
                    <w:r>
                      <w:fldChar w:fldCharType="separate"/>
                    </w:r>
                    <w:r>
                      <w:t>32</w:t>
                    </w:r>
                    <w:r>
                      <w:fldChar w:fldCharType="end"/>
                    </w:r>
                  </w:p>
                </w:txbxContent>
              </v:textbox>
            </v:shape>
          </w:pict>
        </mc:Fallback>
      </mc:AlternateContent>
    </w:r>
  </w:p>
  <w:p w14:paraId="48AD404A">
    <w:pPr>
      <w:pStyle w:val="11"/>
      <w:ind w:right="720" w:firstLine="180" w:firstLineChars="10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26F1E">
    <w:pPr>
      <w:pStyle w:val="11"/>
      <w:framePr w:wrap="around" w:vAnchor="text" w:hAnchor="margin" w:xAlign="outside" w:y="1"/>
      <w:rPr>
        <w:rStyle w:val="20"/>
      </w:rPr>
    </w:pPr>
    <w:r>
      <w:rPr>
        <w:rStyle w:val="20"/>
      </w:rPr>
      <w:fldChar w:fldCharType="begin"/>
    </w:r>
    <w:r>
      <w:rPr>
        <w:rStyle w:val="20"/>
      </w:rPr>
      <w:instrText xml:space="preserve">PAGE  </w:instrText>
    </w:r>
    <w:r>
      <w:rPr>
        <w:rStyle w:val="20"/>
      </w:rPr>
      <w:fldChar w:fldCharType="separate"/>
    </w:r>
    <w:r>
      <w:rPr>
        <w:rStyle w:val="20"/>
      </w:rPr>
      <w:t>19</w:t>
    </w:r>
    <w:r>
      <w:rPr>
        <w:rStyle w:val="20"/>
      </w:rPr>
      <w:fldChar w:fldCharType="end"/>
    </w:r>
  </w:p>
  <w:p w14:paraId="00ABF51B">
    <w:pPr>
      <w:pStyle w:val="11"/>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2A774">
    <w:pPr>
      <w:pStyle w:val="11"/>
      <w:jc w:val="center"/>
    </w:pP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C5822">
    <w:pPr>
      <w:pStyle w:val="12"/>
    </w:pPr>
    <w:r>
      <w:pict>
        <v:shape id="PowerPlusWaterMarkObject1406298550" o:spid="_x0000_s3074" o:spt="136" type="#_x0000_t136" style="position:absolute;left:0pt;height:48.45pt;width:581.7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绍兴平准招标代理有限公司" style="font-family:宋体;font-size:8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E4DB4">
    <w:pPr>
      <w:pStyle w:val="12"/>
    </w:pPr>
    <w:r>
      <w:pict>
        <v:shape id="PowerPlusWaterMarkObject1406298549" o:spid="_x0000_s3073" o:spt="136" type="#_x0000_t136" style="position:absolute;left:0pt;height:48.45pt;width:581.7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绍兴平准招标代理有限公司" style="font-family:宋体;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2D0BE">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B153F">
    <w:pPr>
      <w:pStyle w:val="1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A9B3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91754">
    <w:pPr>
      <w:pStyle w:val="12"/>
    </w:pPr>
    <w:r>
      <w:pict>
        <v:shape id="PowerPlusWaterMarkObject1406298553" o:spid="_x0000_s3081" o:spt="136" type="#_x0000_t136" style="position:absolute;left:0pt;height:48.45pt;width:581.7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绍兴平准招标代理有限公司" style="font-family:宋体;font-size:8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BFABD">
    <w:r>
      <w:pict>
        <v:shape id="PowerPlusWaterMarkObject1406298552" o:spid="_x0000_s3079" o:spt="136" type="#_x0000_t136" style="position:absolute;left:0pt;height:48.45pt;width:581.7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绍兴平准招标代理有限公司" style="font-family:宋体;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30E48"/>
    <w:multiLevelType w:val="singleLevel"/>
    <w:tmpl w:val="81D30E48"/>
    <w:lvl w:ilvl="0" w:tentative="0">
      <w:start w:val="3"/>
      <w:numFmt w:val="chineseCounting"/>
      <w:suff w:val="space"/>
      <w:lvlText w:val="第%1章"/>
      <w:lvlJc w:val="left"/>
      <w:rPr>
        <w:rFonts w:hint="eastAsia"/>
      </w:rPr>
    </w:lvl>
  </w:abstractNum>
  <w:abstractNum w:abstractNumId="1">
    <w:nsid w:val="AAE1F751"/>
    <w:multiLevelType w:val="singleLevel"/>
    <w:tmpl w:val="AAE1F751"/>
    <w:lvl w:ilvl="0" w:tentative="0">
      <w:start w:val="1"/>
      <w:numFmt w:val="decimal"/>
      <w:pStyle w:val="4"/>
      <w:lvlText w:val="%1."/>
      <w:lvlJc w:val="left"/>
      <w:pPr>
        <w:tabs>
          <w:tab w:val="left" w:pos="360"/>
        </w:tabs>
        <w:ind w:left="360" w:hanging="360"/>
      </w:pPr>
    </w:lvl>
  </w:abstractNum>
  <w:abstractNum w:abstractNumId="2">
    <w:nsid w:val="B8A7AEB3"/>
    <w:multiLevelType w:val="singleLevel"/>
    <w:tmpl w:val="B8A7AEB3"/>
    <w:lvl w:ilvl="0" w:tentative="0">
      <w:start w:val="1"/>
      <w:numFmt w:val="decimal"/>
      <w:suff w:val="nothing"/>
      <w:lvlText w:val="%1，"/>
      <w:lvlJc w:val="left"/>
    </w:lvl>
  </w:abstractNum>
  <w:abstractNum w:abstractNumId="3">
    <w:nsid w:val="B9621F79"/>
    <w:multiLevelType w:val="singleLevel"/>
    <w:tmpl w:val="B9621F79"/>
    <w:lvl w:ilvl="0" w:tentative="0">
      <w:start w:val="1"/>
      <w:numFmt w:val="decimal"/>
      <w:lvlText w:val="%1."/>
      <w:lvlJc w:val="left"/>
      <w:pPr>
        <w:tabs>
          <w:tab w:val="left" w:pos="312"/>
        </w:tabs>
      </w:pPr>
    </w:lvl>
  </w:abstractNum>
  <w:abstractNum w:abstractNumId="4">
    <w:nsid w:val="C388AFB2"/>
    <w:multiLevelType w:val="singleLevel"/>
    <w:tmpl w:val="C388AFB2"/>
    <w:lvl w:ilvl="0" w:tentative="0">
      <w:start w:val="1"/>
      <w:numFmt w:val="decimal"/>
      <w:suff w:val="nothing"/>
      <w:lvlText w:val="%1，"/>
      <w:lvlJc w:val="left"/>
    </w:lvl>
  </w:abstractNum>
  <w:abstractNum w:abstractNumId="5">
    <w:nsid w:val="E17AB803"/>
    <w:multiLevelType w:val="singleLevel"/>
    <w:tmpl w:val="E17AB803"/>
    <w:lvl w:ilvl="0" w:tentative="0">
      <w:start w:val="3"/>
      <w:numFmt w:val="chineseCounting"/>
      <w:suff w:val="nothing"/>
      <w:lvlText w:val="%1、"/>
      <w:lvlJc w:val="left"/>
      <w:rPr>
        <w:rFonts w:hint="eastAsia"/>
      </w:rPr>
    </w:lvl>
  </w:abstractNum>
  <w:abstractNum w:abstractNumId="6">
    <w:nsid w:val="FF46E295"/>
    <w:multiLevelType w:val="singleLevel"/>
    <w:tmpl w:val="FF46E295"/>
    <w:lvl w:ilvl="0" w:tentative="0">
      <w:start w:val="3"/>
      <w:numFmt w:val="chineseCounting"/>
      <w:suff w:val="nothing"/>
      <w:lvlText w:val="%1、"/>
      <w:lvlJc w:val="left"/>
      <w:rPr>
        <w:rFonts w:hint="eastAsia"/>
      </w:rPr>
    </w:lvl>
  </w:abstractNum>
  <w:abstractNum w:abstractNumId="7">
    <w:nsid w:val="058DA8AF"/>
    <w:multiLevelType w:val="singleLevel"/>
    <w:tmpl w:val="058DA8AF"/>
    <w:lvl w:ilvl="0" w:tentative="0">
      <w:start w:val="2"/>
      <w:numFmt w:val="decimal"/>
      <w:suff w:val="nothing"/>
      <w:lvlText w:val="（%1）"/>
      <w:lvlJc w:val="left"/>
    </w:lvl>
  </w:abstractNum>
  <w:abstractNum w:abstractNumId="8">
    <w:nsid w:val="1A983286"/>
    <w:multiLevelType w:val="singleLevel"/>
    <w:tmpl w:val="1A983286"/>
    <w:lvl w:ilvl="0" w:tentative="0">
      <w:start w:val="1"/>
      <w:numFmt w:val="decimal"/>
      <w:lvlText w:val="%1."/>
      <w:lvlJc w:val="left"/>
      <w:pPr>
        <w:ind w:left="425" w:hanging="425"/>
      </w:pPr>
      <w:rPr>
        <w:rFonts w:hint="default"/>
      </w:rPr>
    </w:lvl>
  </w:abstractNum>
  <w:abstractNum w:abstractNumId="9">
    <w:nsid w:val="1F9A49C5"/>
    <w:multiLevelType w:val="singleLevel"/>
    <w:tmpl w:val="1F9A49C5"/>
    <w:lvl w:ilvl="0" w:tentative="0">
      <w:start w:val="1"/>
      <w:numFmt w:val="decimal"/>
      <w:lvlText w:val="(%1)"/>
      <w:lvlJc w:val="left"/>
      <w:pPr>
        <w:tabs>
          <w:tab w:val="left" w:pos="312"/>
        </w:tabs>
      </w:pPr>
    </w:lvl>
  </w:abstractNum>
  <w:abstractNum w:abstractNumId="10">
    <w:nsid w:val="2610A741"/>
    <w:multiLevelType w:val="singleLevel"/>
    <w:tmpl w:val="2610A741"/>
    <w:lvl w:ilvl="0" w:tentative="0">
      <w:start w:val="6"/>
      <w:numFmt w:val="chineseCounting"/>
      <w:suff w:val="space"/>
      <w:lvlText w:val="第%1章"/>
      <w:lvlJc w:val="left"/>
      <w:rPr>
        <w:rFonts w:hint="eastAsia"/>
      </w:rPr>
    </w:lvl>
  </w:abstractNum>
  <w:abstractNum w:abstractNumId="11">
    <w:nsid w:val="2F7BE20C"/>
    <w:multiLevelType w:val="singleLevel"/>
    <w:tmpl w:val="2F7BE20C"/>
    <w:lvl w:ilvl="0" w:tentative="0">
      <w:start w:val="1"/>
      <w:numFmt w:val="decimal"/>
      <w:lvlText w:val="%1."/>
      <w:lvlJc w:val="left"/>
      <w:pPr>
        <w:ind w:left="425" w:hanging="425"/>
      </w:pPr>
      <w:rPr>
        <w:rFonts w:hint="default"/>
      </w:rPr>
    </w:lvl>
  </w:abstractNum>
  <w:abstractNum w:abstractNumId="12">
    <w:nsid w:val="38285C3C"/>
    <w:multiLevelType w:val="singleLevel"/>
    <w:tmpl w:val="38285C3C"/>
    <w:lvl w:ilvl="0" w:tentative="0">
      <w:start w:val="1"/>
      <w:numFmt w:val="chineseCounting"/>
      <w:suff w:val="nothing"/>
      <w:lvlText w:val="%1、"/>
      <w:lvlJc w:val="left"/>
      <w:pPr>
        <w:ind w:left="0" w:firstLine="420"/>
      </w:pPr>
      <w:rPr>
        <w:rFonts w:hint="eastAsia"/>
      </w:rPr>
    </w:lvl>
  </w:abstractNum>
  <w:abstractNum w:abstractNumId="13">
    <w:nsid w:val="41377145"/>
    <w:multiLevelType w:val="singleLevel"/>
    <w:tmpl w:val="41377145"/>
    <w:lvl w:ilvl="0" w:tentative="0">
      <w:start w:val="1"/>
      <w:numFmt w:val="decimal"/>
      <w:suff w:val="nothing"/>
      <w:lvlText w:val="%1，"/>
      <w:lvlJc w:val="left"/>
    </w:lvl>
  </w:abstractNum>
  <w:abstractNum w:abstractNumId="14">
    <w:nsid w:val="54F403B5"/>
    <w:multiLevelType w:val="singleLevel"/>
    <w:tmpl w:val="54F403B5"/>
    <w:lvl w:ilvl="0" w:tentative="0">
      <w:start w:val="1"/>
      <w:numFmt w:val="chineseCounting"/>
      <w:suff w:val="nothing"/>
      <w:lvlText w:val="%1、"/>
      <w:lvlJc w:val="left"/>
    </w:lvl>
  </w:abstractNum>
  <w:abstractNum w:abstractNumId="15">
    <w:nsid w:val="557FD3DA"/>
    <w:multiLevelType w:val="singleLevel"/>
    <w:tmpl w:val="557FD3DA"/>
    <w:lvl w:ilvl="0" w:tentative="0">
      <w:start w:val="3"/>
      <w:numFmt w:val="chineseCounting"/>
      <w:suff w:val="nothing"/>
      <w:lvlText w:val="%1、"/>
      <w:lvlJc w:val="left"/>
    </w:lvl>
  </w:abstractNum>
  <w:abstractNum w:abstractNumId="16">
    <w:nsid w:val="57DD3A7F"/>
    <w:multiLevelType w:val="singleLevel"/>
    <w:tmpl w:val="57DD3A7F"/>
    <w:lvl w:ilvl="0" w:tentative="0">
      <w:start w:val="1"/>
      <w:numFmt w:val="decimal"/>
      <w:lvlText w:val="(%1)"/>
      <w:lvlJc w:val="left"/>
      <w:pPr>
        <w:tabs>
          <w:tab w:val="left" w:pos="312"/>
        </w:tabs>
      </w:pPr>
    </w:lvl>
  </w:abstractNum>
  <w:num w:numId="1">
    <w:abstractNumId w:val="1"/>
  </w:num>
  <w:num w:numId="2">
    <w:abstractNumId w:val="0"/>
  </w:num>
  <w:num w:numId="3">
    <w:abstractNumId w:val="4"/>
  </w:num>
  <w:num w:numId="4">
    <w:abstractNumId w:val="7"/>
  </w:num>
  <w:num w:numId="5">
    <w:abstractNumId w:val="16"/>
  </w:num>
  <w:num w:numId="6">
    <w:abstractNumId w:val="5"/>
  </w:num>
  <w:num w:numId="7">
    <w:abstractNumId w:val="11"/>
  </w:num>
  <w:num w:numId="8">
    <w:abstractNumId w:val="8"/>
  </w:num>
  <w:num w:numId="9">
    <w:abstractNumId w:val="6"/>
  </w:num>
  <w:num w:numId="10">
    <w:abstractNumId w:val="3"/>
  </w:num>
  <w:num w:numId="11">
    <w:abstractNumId w:val="12"/>
  </w:num>
  <w:num w:numId="12">
    <w:abstractNumId w:val="2"/>
  </w:num>
  <w:num w:numId="13">
    <w:abstractNumId w:val="9"/>
  </w:num>
  <w:num w:numId="14">
    <w:abstractNumId w:val="10"/>
  </w:num>
  <w:num w:numId="15">
    <w:abstractNumId w:val="1"/>
    <w:lvlOverride w:ilvl="0">
      <w:startOverride w:val="1"/>
    </w:lvlOverride>
  </w:num>
  <w:num w:numId="16">
    <w:abstractNumId w:val="14"/>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014726"/>
    <w:rsid w:val="007F4E4D"/>
    <w:rsid w:val="01014726"/>
    <w:rsid w:val="01A83123"/>
    <w:rsid w:val="055C722B"/>
    <w:rsid w:val="0B397091"/>
    <w:rsid w:val="0DCD5CDE"/>
    <w:rsid w:val="163559AE"/>
    <w:rsid w:val="164A4622"/>
    <w:rsid w:val="16753188"/>
    <w:rsid w:val="1BA17641"/>
    <w:rsid w:val="20C067BC"/>
    <w:rsid w:val="21C1459A"/>
    <w:rsid w:val="2C0520CB"/>
    <w:rsid w:val="33523534"/>
    <w:rsid w:val="33A97DE9"/>
    <w:rsid w:val="3A0345F4"/>
    <w:rsid w:val="4D8C0147"/>
    <w:rsid w:val="4E9778C2"/>
    <w:rsid w:val="57DE3613"/>
    <w:rsid w:val="598F2E0C"/>
    <w:rsid w:val="59B475A0"/>
    <w:rsid w:val="632E08FA"/>
    <w:rsid w:val="68922DFE"/>
    <w:rsid w:val="6CA20EAA"/>
    <w:rsid w:val="6EEF60FD"/>
    <w:rsid w:val="703414BC"/>
    <w:rsid w:val="70DC0075"/>
    <w:rsid w:val="78795767"/>
    <w:rsid w:val="79AE27CB"/>
    <w:rsid w:val="7A6B0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qFormat="1"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9"/>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List Number"/>
    <w:basedOn w:val="1"/>
    <w:qFormat/>
    <w:uiPriority w:val="0"/>
    <w:pPr>
      <w:numPr>
        <w:ilvl w:val="0"/>
        <w:numId w:val="1"/>
      </w:numPr>
    </w:pPr>
  </w:style>
  <w:style w:type="paragraph" w:styleId="5">
    <w:name w:val="caption"/>
    <w:basedOn w:val="1"/>
    <w:next w:val="1"/>
    <w:qFormat/>
    <w:uiPriority w:val="99"/>
    <w:pPr>
      <w:spacing w:before="152" w:after="160"/>
    </w:pPr>
    <w:rPr>
      <w:rFonts w:ascii="Arial" w:hAnsi="Arial" w:eastAsia="黑体" w:cs="Arial"/>
      <w:sz w:val="20"/>
      <w:szCs w:val="20"/>
    </w:rPr>
  </w:style>
  <w:style w:type="paragraph" w:styleId="6">
    <w:name w:val="Body Text"/>
    <w:basedOn w:val="1"/>
    <w:next w:val="7"/>
    <w:qFormat/>
    <w:uiPriority w:val="0"/>
    <w:pPr>
      <w:autoSpaceDE w:val="0"/>
      <w:autoSpaceDN w:val="0"/>
      <w:spacing w:line="360" w:lineRule="auto"/>
    </w:pPr>
    <w:rPr>
      <w:rFonts w:ascii="宋体"/>
      <w:sz w:val="24"/>
      <w:szCs w:val="21"/>
      <w:lang w:val="zh-CN"/>
    </w:rPr>
  </w:style>
  <w:style w:type="paragraph" w:styleId="7">
    <w:name w:val="Body Text First Indent"/>
    <w:basedOn w:val="6"/>
    <w:next w:val="1"/>
    <w:qFormat/>
    <w:uiPriority w:val="0"/>
    <w:pPr>
      <w:ind w:firstLine="420"/>
    </w:pPr>
    <w:rPr>
      <w:szCs w:val="20"/>
    </w:rPr>
  </w:style>
  <w:style w:type="paragraph" w:styleId="8">
    <w:name w:val="Body Text Indent"/>
    <w:basedOn w:val="1"/>
    <w:next w:val="1"/>
    <w:qFormat/>
    <w:uiPriority w:val="99"/>
    <w:pPr>
      <w:spacing w:line="200" w:lineRule="exact"/>
      <w:ind w:firstLine="301"/>
    </w:pPr>
    <w:rPr>
      <w:rFonts w:ascii="宋体" w:hAnsi="Courier New"/>
      <w:spacing w:val="-4"/>
      <w:sz w:val="18"/>
      <w:szCs w:val="20"/>
    </w:rPr>
  </w:style>
  <w:style w:type="paragraph" w:styleId="9">
    <w:name w:val="List 2"/>
    <w:basedOn w:val="1"/>
    <w:qFormat/>
    <w:uiPriority w:val="99"/>
    <w:pPr>
      <w:ind w:left="100" w:leftChars="200" w:hanging="200" w:hangingChars="200"/>
    </w:pPr>
    <w:rPr>
      <w:sz w:val="28"/>
      <w:szCs w:val="24"/>
    </w:rPr>
  </w:style>
  <w:style w:type="paragraph" w:styleId="10">
    <w:name w:val="Plain Text"/>
    <w:basedOn w:val="1"/>
    <w:next w:val="1"/>
    <w:qFormat/>
    <w:uiPriority w:val="99"/>
    <w:pPr>
      <w:spacing w:beforeLines="50" w:afterLines="50" w:line="400" w:lineRule="exact"/>
    </w:pPr>
    <w:rPr>
      <w:rFonts w:ascii="宋体" w:hAnsi="Courier New"/>
      <w:sz w:val="24"/>
      <w:szCs w:val="24"/>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99"/>
    <w:rPr>
      <w:szCs w:val="24"/>
    </w:rPr>
  </w:style>
  <w:style w:type="paragraph" w:styleId="14">
    <w:name w:val="List"/>
    <w:basedOn w:val="1"/>
    <w:qFormat/>
    <w:uiPriority w:val="99"/>
    <w:pPr>
      <w:ind w:left="200" w:hanging="200" w:hangingChars="200"/>
    </w:pPr>
    <w:rPr>
      <w:sz w:val="28"/>
      <w:szCs w:val="24"/>
    </w:rPr>
  </w:style>
  <w:style w:type="paragraph" w:styleId="15">
    <w:name w:val="toc 2"/>
    <w:basedOn w:val="1"/>
    <w:next w:val="1"/>
    <w:qFormat/>
    <w:uiPriority w:val="99"/>
    <w:pPr>
      <w:widowControl/>
      <w:tabs>
        <w:tab w:val="right" w:leader="dot" w:pos="8302"/>
      </w:tabs>
      <w:spacing w:line="240" w:lineRule="atLeast"/>
      <w:ind w:left="420" w:leftChars="68" w:hanging="277" w:hangingChars="115"/>
      <w:jc w:val="left"/>
    </w:pPr>
    <w:rPr>
      <w:szCs w:val="24"/>
    </w:rPr>
  </w:style>
  <w:style w:type="paragraph" w:styleId="16">
    <w:name w:val="Body Text 2"/>
    <w:basedOn w:val="1"/>
    <w:qFormat/>
    <w:uiPriority w:val="99"/>
    <w:pPr>
      <w:widowControl/>
      <w:snapToGrid w:val="0"/>
      <w:spacing w:before="50" w:afterLines="50" w:line="400" w:lineRule="exact"/>
      <w:jc w:val="left"/>
    </w:pPr>
    <w:rPr>
      <w:rFonts w:ascii="宋体" w:hAnsi="宋体"/>
      <w:color w:val="000000"/>
      <w:sz w:val="24"/>
      <w:szCs w:val="24"/>
    </w:rPr>
  </w:style>
  <w:style w:type="table" w:styleId="18">
    <w:name w:val="Table Grid"/>
    <w:basedOn w:val="1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99"/>
    <w:rPr>
      <w:rFonts w:cs="Times New Roman"/>
    </w:rPr>
  </w:style>
  <w:style w:type="character" w:styleId="21">
    <w:name w:val="Hyperlink"/>
    <w:basedOn w:val="19"/>
    <w:qFormat/>
    <w:uiPriority w:val="99"/>
    <w:rPr>
      <w:rFonts w:cs="Times New Roman"/>
      <w:color w:val="0000FF"/>
      <w:u w:val="single"/>
    </w:rPr>
  </w:style>
  <w:style w:type="paragraph" w:customStyle="1" w:styleId="22">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23">
    <w:name w:val="Normal Indent1"/>
    <w:basedOn w:val="1"/>
    <w:qFormat/>
    <w:uiPriority w:val="0"/>
    <w:pPr>
      <w:ind w:firstLine="420" w:firstLineChars="200"/>
    </w:pPr>
  </w:style>
  <w:style w:type="paragraph" w:customStyle="1" w:styleId="24">
    <w:name w:val="样式 列表编号 + 段后: 0.5 行"/>
    <w:basedOn w:val="4"/>
    <w:qFormat/>
    <w:uiPriority w:val="99"/>
    <w:pPr>
      <w:tabs>
        <w:tab w:val="left" w:pos="720"/>
      </w:tabs>
      <w:spacing w:after="156" w:line="360" w:lineRule="auto"/>
      <w:ind w:left="720" w:hanging="720"/>
    </w:pPr>
  </w:style>
  <w:style w:type="paragraph" w:customStyle="1" w:styleId="25">
    <w:name w:val="Default"/>
    <w:next w:val="26"/>
    <w:qFormat/>
    <w:uiPriority w:val="99"/>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customStyle="1" w:styleId="26">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27">
    <w:name w:val="正文缩进1"/>
    <w:basedOn w:val="1"/>
    <w:next w:val="8"/>
    <w:qFormat/>
    <w:uiPriority w:val="99"/>
    <w:pPr>
      <w:autoSpaceDE w:val="0"/>
      <w:autoSpaceDN w:val="0"/>
      <w:adjustRightInd w:val="0"/>
      <w:spacing w:after="180" w:line="310" w:lineRule="auto"/>
      <w:ind w:firstLine="420"/>
      <w:jc w:val="left"/>
    </w:pPr>
    <w:rPr>
      <w:kern w:val="0"/>
      <w:sz w:val="20"/>
      <w:szCs w:val="20"/>
    </w:rPr>
  </w:style>
  <w:style w:type="paragraph" w:customStyle="1" w:styleId="28">
    <w:name w:val="索引 11"/>
    <w:basedOn w:val="1"/>
    <w:next w:val="1"/>
    <w:qFormat/>
    <w:uiPriority w:val="99"/>
    <w:pPr>
      <w:adjustRightInd/>
      <w:spacing w:line="360" w:lineRule="auto"/>
    </w:pPr>
    <w:rPr>
      <w:rFonts w:ascii="仿宋_GB2312" w:eastAsia="仿宋_GB2312"/>
      <w:sz w:val="24"/>
      <w:szCs w:val="20"/>
    </w:rPr>
  </w:style>
  <w:style w:type="paragraph" w:customStyle="1" w:styleId="29">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character" w:customStyle="1" w:styleId="30">
    <w:name w:val="NormalCharacter"/>
    <w:semiHidden/>
    <w:qFormat/>
    <w:uiPriority w:val="0"/>
    <w:rPr>
      <w:rFonts w:ascii="Times New Roman" w:hAnsi="Times New Roman" w:eastAsia="宋体" w:cs="Times New Roman"/>
      <w:kern w:val="2"/>
      <w:sz w:val="21"/>
      <w:szCs w:val="22"/>
      <w:lang w:val="en-US" w:eastAsia="zh-CN" w:bidi="ar-SA"/>
    </w:rPr>
  </w:style>
  <w:style w:type="paragraph" w:customStyle="1" w:styleId="31">
    <w:name w:val="PlainText"/>
    <w:basedOn w:val="1"/>
    <w:next w:val="1"/>
    <w:qFormat/>
    <w:uiPriority w:val="0"/>
    <w:rPr>
      <w:rFonts w:ascii="宋体" w:hAnsi="Courier New"/>
    </w:rPr>
  </w:style>
  <w:style w:type="paragraph" w:customStyle="1" w:styleId="32">
    <w:name w:val="默认段落字体 Para Char Char Char Char Char Char Char Char Char1 Char Char Char Char"/>
    <w:basedOn w:val="1"/>
    <w:qFormat/>
    <w:uiPriority w:val="99"/>
    <w:rPr>
      <w:rFonts w:ascii="Tahoma" w:hAnsi="Tahoma"/>
      <w:sz w:val="24"/>
      <w:szCs w:val="20"/>
    </w:rPr>
  </w:style>
  <w:style w:type="paragraph" w:customStyle="1" w:styleId="33">
    <w:name w:val="DG正文"/>
    <w:basedOn w:val="1"/>
    <w:qFormat/>
    <w:uiPriority w:val="99"/>
    <w:pPr>
      <w:widowControl/>
      <w:spacing w:line="360" w:lineRule="auto"/>
      <w:ind w:right="142" w:firstLine="640" w:firstLineChars="200"/>
      <w:jc w:val="left"/>
    </w:pPr>
    <w:rPr>
      <w:rFonts w:ascii="Calibri" w:hAnsi="Calibri" w:cs="Calibri"/>
      <w:sz w:val="24"/>
      <w:szCs w:val="24"/>
    </w:rPr>
  </w:style>
  <w:style w:type="paragraph" w:customStyle="1" w:styleId="34">
    <w:name w:val="Plain Text"/>
    <w:basedOn w:val="35"/>
    <w:next w:val="1"/>
    <w:qFormat/>
    <w:uiPriority w:val="0"/>
    <w:pPr>
      <w:widowControl/>
      <w:jc w:val="left"/>
    </w:pPr>
    <w:rPr>
      <w:rFonts w:ascii="宋体" w:hAnsi="Courier New"/>
    </w:rPr>
  </w:style>
  <w:style w:type="paragraph" w:customStyle="1" w:styleId="35">
    <w:name w:val="Normal"/>
    <w:basedOn w:val="1"/>
    <w:qFormat/>
    <w:uiPriority w:val="0"/>
    <w:pPr>
      <w:widowControl w:val="0"/>
      <w:jc w:val="both"/>
    </w:pPr>
    <w:rPr>
      <w:rFonts w:eastAsia="宋体"/>
      <w:color w:val="000000"/>
      <w:kern w:val="1"/>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4"/>
    <customShpInfo spid="_x0000_s3073"/>
    <customShpInfo spid="_x0000_s1026" textRotate="1"/>
    <customShpInfo spid="_x0000_s3081"/>
    <customShpInfo spid="_x0000_s307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17589</Words>
  <Characters>18495</Characters>
  <Lines>0</Lines>
  <Paragraphs>0</Paragraphs>
  <TotalTime>1</TotalTime>
  <ScaleCrop>false</ScaleCrop>
  <LinksUpToDate>false</LinksUpToDate>
  <CharactersWithSpaces>18667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2025-03-12T02:35:00Z</dcterms:created>
  <dc:creator>NTKO</dc:creator>
  <cp:lastModifiedBy>NTKO</cp:lastModifiedBy>
  <cp:lastPrinted>2025-03-13T07:08:47Z</cp:lastPrinted>
  <dcterms:modified xsi:type="dcterms:W3CDTF">2025-03-13T08:05:43Z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38C23B5328F24DD4955CE2F39ADBF8AA_11</vt:lpwstr>
  </property>
  <property fmtid="{D5CDD505-2E9C-101B-9397-08002B2CF9AE}" pid="4" name="KSOTemplateDocerSaveRecord">
    <vt:lpwstr>eyJoZGlkIjoiYTJhMDAxYjQ2Y2Y0NmQ4NjJkOGRhNTI3ZjcxZmU3NzAiLCJ1c2VySWQiOiIxMzA3MDA2ODU3In0=</vt:lpwstr>
  </property>
</Properties>
</file>