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嵊州市商业集团党建展陈布置服务采购项目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both"/>
        <w:rPr>
          <w:rFonts w:hint="eastAsia" w:ascii="宋体" w:hAnsi="宋体" w:eastAsia="宋体" w:cs="宋体"/>
          <w:b/>
          <w:bCs/>
          <w:color w:val="00000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项目编号：HZDL-2024-018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both"/>
        <w:rPr>
          <w:rFonts w:hint="eastAsia" w:ascii="宋体" w:hAnsi="宋体" w:eastAsia="宋体" w:cs="宋体"/>
          <w:b/>
          <w:bCs/>
          <w:color w:val="000000"/>
          <w:sz w:val="32"/>
          <w:szCs w:val="32"/>
          <w:lang w:val="en-US" w:eastAsia="zh-CN"/>
        </w:rPr>
      </w:pPr>
    </w:p>
    <w:p>
      <w:pPr>
        <w:pStyle w:val="1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lang w:val="en-US" w:eastAsia="zh-CN"/>
        </w:rPr>
      </w:pPr>
    </w:p>
    <w:p>
      <w:pPr>
        <w:pStyle w:val="1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lang w:val="en-US" w:eastAsia="zh-CN"/>
        </w:rPr>
      </w:pPr>
      <w:r>
        <w:rPr>
          <w:rFonts w:hint="eastAsia" w:ascii="宋体" w:hAnsi="宋体" w:eastAsia="宋体" w:cs="宋体"/>
          <w:b/>
          <w:bCs/>
          <w:color w:val="000000"/>
          <w:sz w:val="72"/>
          <w:szCs w:val="72"/>
          <w:lang w:val="en-US" w:eastAsia="zh-CN"/>
        </w:rPr>
        <w:t>公</w:t>
      </w:r>
    </w:p>
    <w:p>
      <w:pPr>
        <w:pStyle w:val="1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lang w:val="en-US" w:eastAsia="zh-CN"/>
        </w:rPr>
      </w:pPr>
      <w:r>
        <w:rPr>
          <w:rFonts w:hint="eastAsia" w:ascii="宋体" w:hAnsi="宋体" w:eastAsia="宋体" w:cs="宋体"/>
          <w:b/>
          <w:bCs/>
          <w:color w:val="000000"/>
          <w:sz w:val="72"/>
          <w:szCs w:val="72"/>
          <w:lang w:val="en-US" w:eastAsia="zh-CN"/>
        </w:rPr>
        <w:t>开</w:t>
      </w:r>
    </w:p>
    <w:p>
      <w:pPr>
        <w:pStyle w:val="1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lang w:val="en-US" w:eastAsia="zh-CN"/>
        </w:rPr>
      </w:pPr>
      <w:r>
        <w:rPr>
          <w:rFonts w:hint="eastAsia" w:ascii="宋体" w:hAnsi="宋体" w:eastAsia="宋体" w:cs="宋体"/>
          <w:b/>
          <w:bCs/>
          <w:color w:val="000000"/>
          <w:sz w:val="72"/>
          <w:szCs w:val="72"/>
          <w:lang w:val="en-US" w:eastAsia="zh-CN"/>
        </w:rPr>
        <w:t>招</w:t>
      </w:r>
    </w:p>
    <w:p>
      <w:pPr>
        <w:pStyle w:val="1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lang w:val="en-US" w:eastAsia="zh-CN"/>
        </w:rPr>
      </w:pPr>
      <w:r>
        <w:rPr>
          <w:rFonts w:hint="eastAsia" w:ascii="宋体" w:hAnsi="宋体" w:eastAsia="宋体" w:cs="宋体"/>
          <w:b/>
          <w:bCs/>
          <w:color w:val="000000"/>
          <w:sz w:val="72"/>
          <w:szCs w:val="72"/>
          <w:lang w:val="en-US" w:eastAsia="zh-CN"/>
        </w:rPr>
        <w:t>标</w:t>
      </w:r>
    </w:p>
    <w:p>
      <w:pPr>
        <w:spacing w:line="360" w:lineRule="auto"/>
        <w:jc w:val="both"/>
        <w:rPr>
          <w:rFonts w:hint="eastAsia" w:ascii="宋体" w:hAnsi="宋体" w:eastAsia="宋体" w:cs="宋体"/>
          <w:sz w:val="32"/>
          <w:szCs w:val="32"/>
          <w:lang w:val="en-US" w:eastAsia="zh-CN"/>
        </w:rPr>
      </w:pPr>
    </w:p>
    <w:p>
      <w:pPr>
        <w:spacing w:line="360" w:lineRule="auto"/>
        <w:ind w:firstLine="1280" w:firstLineChars="400"/>
        <w:jc w:val="left"/>
        <w:rPr>
          <w:rFonts w:hint="eastAsia" w:ascii="宋体" w:hAnsi="宋体" w:eastAsia="宋体" w:cs="宋体"/>
          <w:sz w:val="32"/>
          <w:szCs w:val="32"/>
          <w:lang w:val="en-US" w:eastAsia="zh-CN"/>
        </w:rPr>
      </w:pPr>
    </w:p>
    <w:p>
      <w:pPr>
        <w:spacing w:line="360" w:lineRule="auto"/>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招标单位：嵊州市商业发展集团有限公司</w:t>
      </w:r>
    </w:p>
    <w:p>
      <w:pPr>
        <w:spacing w:line="360" w:lineRule="auto"/>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招标代理：禾泽都林设计集团有限公司</w:t>
      </w:r>
    </w:p>
    <w:p>
      <w:pPr>
        <w:spacing w:line="360" w:lineRule="auto"/>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日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期 ：2024年9月</w:t>
      </w:r>
    </w:p>
    <w:p>
      <w:pPr>
        <w:rPr>
          <w:rFonts w:hint="eastAsia" w:ascii="宋体" w:hAnsi="宋体" w:eastAsia="宋体" w:cs="宋体"/>
          <w:b/>
          <w:bCs/>
          <w:sz w:val="52"/>
          <w:szCs w:val="52"/>
          <w:lang w:eastAsia="zh-CN"/>
        </w:rPr>
      </w:pPr>
    </w:p>
    <w:p>
      <w:pPr>
        <w:jc w:val="center"/>
        <w:rPr>
          <w:rFonts w:hint="eastAsia" w:ascii="宋体" w:hAnsi="宋体" w:eastAsia="宋体" w:cs="宋体"/>
          <w:b/>
          <w:sz w:val="48"/>
          <w:szCs w:val="48"/>
        </w:rPr>
        <w:sectPr>
          <w:headerReference r:id="rId3" w:type="default"/>
          <w:pgSz w:w="11907" w:h="16840"/>
          <w:pgMar w:top="1474" w:right="1693" w:bottom="1286" w:left="1814" w:header="851" w:footer="851" w:gutter="0"/>
          <w:pgNumType w:fmt="decimal"/>
          <w:cols w:space="720" w:num="1"/>
        </w:sectPr>
      </w:pPr>
    </w:p>
    <w:p>
      <w:pPr>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jc w:val="center"/>
        <w:rPr>
          <w:rFonts w:hint="eastAsia" w:ascii="宋体" w:hAnsi="宋体" w:eastAsia="宋体" w:cs="宋体"/>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sz w:val="24"/>
          <w:szCs w:val="24"/>
          <w:u w:val="single"/>
          <w:lang w:eastAsia="zh-CN"/>
        </w:rPr>
        <w:t>嵊州市商业集团党建展陈布置服务采购项目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招标项目的潜在投标人应在</w:t>
      </w:r>
      <w:r>
        <w:rPr>
          <w:rFonts w:hint="eastAsia" w:ascii="宋体" w:hAnsi="宋体" w:eastAsia="宋体" w:cs="宋体"/>
          <w:sz w:val="24"/>
          <w:szCs w:val="24"/>
          <w:lang w:eastAsia="zh-CN"/>
        </w:rPr>
        <w:t>乐采云</w:t>
      </w:r>
      <w:r>
        <w:rPr>
          <w:rFonts w:hint="eastAsia" w:ascii="宋体" w:hAnsi="宋体" w:eastAsia="宋体" w:cs="宋体"/>
          <w:sz w:val="24"/>
          <w:szCs w:val="24"/>
        </w:rPr>
        <w:t>平台</w:t>
      </w:r>
      <w:r>
        <w:rPr>
          <w:rFonts w:hint="eastAsia" w:ascii="宋体" w:hAnsi="宋体" w:eastAsia="宋体" w:cs="宋体"/>
          <w:sz w:val="24"/>
          <w:szCs w:val="24"/>
          <w:lang w:eastAsia="zh-CN"/>
        </w:rPr>
        <w:t>线上</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"https://www.zcygov.cn/）获取（下载）招标文件，并于2021年" </w:instrText>
      </w:r>
      <w:r>
        <w:rPr>
          <w:rFonts w:hint="eastAsia" w:ascii="宋体" w:hAnsi="宋体" w:eastAsia="宋体" w:cs="宋体"/>
          <w:color w:val="auto"/>
          <w:sz w:val="24"/>
          <w:szCs w:val="24"/>
        </w:rPr>
        <w:fldChar w:fldCharType="separate"/>
      </w:r>
      <w:r>
        <w:rPr>
          <w:rStyle w:val="21"/>
          <w:rFonts w:hint="eastAsia" w:ascii="宋体" w:hAnsi="宋体" w:eastAsia="宋体" w:cs="宋体"/>
          <w:snapToGrid/>
          <w:color w:val="auto"/>
          <w:kern w:val="2"/>
          <w:sz w:val="24"/>
          <w:szCs w:val="24"/>
        </w:rPr>
        <w:t>获取（下载）招标文件，并于</w:t>
      </w:r>
      <w:r>
        <w:rPr>
          <w:rFonts w:hint="eastAsia" w:ascii="宋体" w:hAnsi="宋体" w:eastAsia="宋体" w:cs="宋体"/>
          <w:color w:val="auto"/>
          <w:sz w:val="24"/>
          <w:szCs w:val="24"/>
          <w:u w:val="single"/>
          <w:lang w:eastAsia="zh-CN"/>
        </w:rPr>
        <w:t>2024年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日09</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w:t>
      </w:r>
      <w:r>
        <w:rPr>
          <w:rFonts w:hint="eastAsia" w:ascii="宋体" w:hAnsi="宋体" w:eastAsia="宋体" w:cs="宋体"/>
          <w:bCs/>
          <w:color w:val="auto"/>
          <w:sz w:val="24"/>
          <w:szCs w:val="24"/>
          <w:u w:val="single"/>
        </w:rPr>
        <w:t>00秒</w:t>
      </w:r>
      <w:r>
        <w:rPr>
          <w:rFonts w:hint="eastAsia" w:ascii="宋体" w:hAnsi="宋体" w:eastAsia="宋体" w:cs="宋体"/>
          <w:bCs/>
          <w:color w:val="auto"/>
          <w:sz w:val="24"/>
          <w:szCs w:val="24"/>
          <w:u w:val="single"/>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lang w:val="en-US" w:eastAsia="zh-CN"/>
        </w:rPr>
        <w:t>1.</w:t>
      </w:r>
      <w:r>
        <w:rPr>
          <w:rFonts w:hint="eastAsia" w:ascii="宋体" w:hAnsi="宋体" w:eastAsia="宋体" w:cs="宋体"/>
          <w:b/>
          <w:color w:val="auto"/>
          <w:sz w:val="24"/>
          <w:szCs w:val="24"/>
        </w:rPr>
        <w:t>项目编号：</w:t>
      </w:r>
      <w:r>
        <w:rPr>
          <w:rFonts w:hint="eastAsia" w:ascii="宋体" w:hAnsi="宋体" w:eastAsia="宋体" w:cs="宋体"/>
          <w:b w:val="0"/>
          <w:bCs/>
          <w:color w:val="auto"/>
          <w:sz w:val="24"/>
          <w:szCs w:val="24"/>
          <w:lang w:val="en-US" w:eastAsia="zh-CN"/>
        </w:rPr>
        <w:t>HZDL-2024-018</w:t>
      </w:r>
    </w:p>
    <w:p>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w:t>
      </w:r>
      <w:r>
        <w:rPr>
          <w:rFonts w:hint="eastAsia" w:ascii="宋体" w:hAnsi="宋体" w:eastAsia="宋体" w:cs="宋体"/>
          <w:b/>
          <w:color w:val="auto"/>
          <w:sz w:val="24"/>
          <w:szCs w:val="24"/>
          <w:highlight w:val="none"/>
        </w:rPr>
        <w:t>目名称：</w:t>
      </w:r>
      <w:r>
        <w:rPr>
          <w:rFonts w:hint="eastAsia" w:ascii="宋体" w:hAnsi="宋体" w:eastAsia="宋体" w:cs="宋体"/>
          <w:color w:val="auto"/>
          <w:sz w:val="24"/>
          <w:szCs w:val="24"/>
          <w:highlight w:val="none"/>
          <w:lang w:eastAsia="zh-CN"/>
        </w:rPr>
        <w:t>嵊州市商业集团党建展陈布置服务采购项目</w:t>
      </w:r>
      <w:r>
        <w:rPr>
          <w:rFonts w:hint="eastAsia" w:ascii="宋体" w:hAnsi="宋体" w:eastAsia="宋体" w:cs="宋体"/>
          <w:color w:val="auto"/>
          <w:sz w:val="24"/>
          <w:szCs w:val="24"/>
          <w:highlight w:val="none"/>
        </w:rPr>
        <w:t xml:space="preserve">   </w:t>
      </w:r>
    </w:p>
    <w:p>
      <w:pPr>
        <w:spacing w:line="360" w:lineRule="auto"/>
        <w:ind w:left="481" w:leftChars="229"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3.预算金额（元）：2074769.00</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2074769.00</w:t>
      </w:r>
    </w:p>
    <w:p>
      <w:pPr>
        <w:pStyle w:val="3"/>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采购需求：</w:t>
      </w:r>
    </w:p>
    <w:tbl>
      <w:tblPr>
        <w:tblStyle w:val="18"/>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2"/>
        <w:gridCol w:w="2792"/>
        <w:gridCol w:w="590"/>
        <w:gridCol w:w="703"/>
        <w:gridCol w:w="1550"/>
        <w:gridCol w:w="1119"/>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619"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标项名称</w:t>
            </w:r>
          </w:p>
        </w:tc>
        <w:tc>
          <w:tcPr>
            <w:tcW w:w="330"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818"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预算金额(元)</w:t>
            </w:r>
          </w:p>
        </w:tc>
        <w:tc>
          <w:tcPr>
            <w:tcW w:w="645"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w:t>
            </w:r>
          </w:p>
        </w:tc>
        <w:tc>
          <w:tcPr>
            <w:tcW w:w="587"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619"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eastAsia="zh-CN"/>
              </w:rPr>
              <w:t>嵊州市商业集团党建展陈布置服务采购项目</w:t>
            </w:r>
          </w:p>
        </w:tc>
        <w:tc>
          <w:tcPr>
            <w:tcW w:w="330"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项</w:t>
            </w:r>
          </w:p>
        </w:tc>
        <w:tc>
          <w:tcPr>
            <w:tcW w:w="81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2074769.00</w:t>
            </w:r>
          </w:p>
        </w:tc>
        <w:tc>
          <w:tcPr>
            <w:tcW w:w="645" w:type="pct"/>
            <w:noWrap w:val="0"/>
            <w:tcMar>
              <w:top w:w="75" w:type="dxa"/>
              <w:left w:w="150" w:type="dxa"/>
              <w:bottom w:w="75" w:type="dxa"/>
              <w:right w:w="150" w:type="dxa"/>
            </w:tcMar>
            <w:vAlign w:val="center"/>
          </w:tcPr>
          <w:p>
            <w:pPr>
              <w:widowControl/>
              <w:wordWrap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详见招标文件</w:t>
            </w:r>
          </w:p>
        </w:tc>
        <w:tc>
          <w:tcPr>
            <w:tcW w:w="587"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eastAsia="宋体" w:cs="宋体"/>
                <w:i w:val="0"/>
                <w:caps w:val="0"/>
                <w:color w:val="auto"/>
                <w:spacing w:val="0"/>
                <w:kern w:val="2"/>
                <w:sz w:val="24"/>
                <w:szCs w:val="24"/>
                <w:highlight w:val="none"/>
                <w:lang w:val="en-US" w:eastAsia="zh-CN" w:bidi="ar-SA"/>
              </w:rPr>
            </w:pPr>
          </w:p>
        </w:tc>
      </w:tr>
    </w:tbl>
    <w:p>
      <w:pPr>
        <w:pStyle w:val="22"/>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w:t>
      </w:r>
      <w:r>
        <w:rPr>
          <w:rFonts w:hint="eastAsia" w:ascii="宋体" w:hAnsi="宋体" w:eastAsia="宋体" w:cs="宋体"/>
          <w:b/>
          <w:color w:val="auto"/>
          <w:highlight w:val="none"/>
        </w:rPr>
        <w:t>招标文件</w:t>
      </w:r>
    </w:p>
    <w:p>
      <w:pPr>
        <w:pStyle w:val="3"/>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lang w:eastAsia="zh-CN"/>
        </w:rPr>
        <w:t>否</w:t>
      </w:r>
      <w:r>
        <w:rPr>
          <w:rFonts w:hint="eastAsia" w:ascii="宋体" w:hAnsi="宋体" w:eastAsia="宋体" w:cs="宋体"/>
          <w:b/>
          <w:color w:val="auto"/>
          <w:sz w:val="24"/>
          <w:highlight w:val="none"/>
        </w:rPr>
        <w:t>）接受联合体投标</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1.具</w:t>
      </w:r>
      <w:r>
        <w:rPr>
          <w:rFonts w:hint="eastAsia" w:ascii="宋体" w:hAnsi="宋体" w:eastAsia="宋体" w:cs="宋体"/>
          <w:snapToGrid w:val="0"/>
          <w:color w:val="auto"/>
          <w:kern w:val="28"/>
          <w:sz w:val="24"/>
          <w:szCs w:val="20"/>
          <w:lang w:eastAsia="zh-CN"/>
        </w:rPr>
        <w:t>有</w:t>
      </w:r>
      <w:r>
        <w:rPr>
          <w:rFonts w:hint="eastAsia" w:ascii="宋体" w:hAnsi="宋体" w:eastAsia="宋体" w:cs="宋体"/>
          <w:snapToGrid w:val="0"/>
          <w:color w:val="auto"/>
          <w:kern w:val="28"/>
          <w:sz w:val="24"/>
          <w:szCs w:val="20"/>
        </w:rPr>
        <w:t>独立承担民事责任的能力；</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rPr>
        <w:t>具有良好的</w:t>
      </w:r>
      <w:r>
        <w:rPr>
          <w:rFonts w:hint="eastAsia" w:ascii="宋体" w:hAnsi="宋体" w:eastAsia="宋体" w:cs="宋体"/>
          <w:snapToGrid w:val="0"/>
          <w:color w:val="auto"/>
          <w:kern w:val="28"/>
          <w:sz w:val="24"/>
          <w:szCs w:val="20"/>
          <w:lang w:eastAsia="zh-CN"/>
        </w:rPr>
        <w:t>商</w:t>
      </w:r>
      <w:r>
        <w:rPr>
          <w:rFonts w:hint="eastAsia" w:ascii="宋体" w:hAnsi="宋体" w:eastAsia="宋体" w:cs="宋体"/>
          <w:snapToGrid w:val="0"/>
          <w:color w:val="auto"/>
          <w:kern w:val="28"/>
          <w:sz w:val="24"/>
          <w:szCs w:val="20"/>
        </w:rPr>
        <w:t>业信誉；</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具有履行合同所必需的设备和专业技术，售后保障等能力；</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4.</w:t>
      </w:r>
      <w:r>
        <w:rPr>
          <w:rFonts w:hint="eastAsia" w:ascii="宋体" w:hAnsi="宋体" w:eastAsia="宋体" w:cs="宋体"/>
          <w:snapToGrid w:val="0"/>
          <w:color w:val="auto"/>
          <w:kern w:val="28"/>
          <w:sz w:val="24"/>
          <w:szCs w:val="20"/>
        </w:rPr>
        <w:t>有</w:t>
      </w:r>
      <w:r>
        <w:rPr>
          <w:rFonts w:hint="eastAsia" w:ascii="宋体" w:hAnsi="宋体" w:eastAsia="宋体" w:cs="宋体"/>
          <w:snapToGrid w:val="0"/>
          <w:color w:val="auto"/>
          <w:kern w:val="28"/>
          <w:sz w:val="24"/>
          <w:szCs w:val="20"/>
          <w:lang w:eastAsia="zh-CN"/>
        </w:rPr>
        <w:t>依</w:t>
      </w:r>
      <w:r>
        <w:rPr>
          <w:rFonts w:hint="eastAsia" w:ascii="宋体" w:hAnsi="宋体" w:eastAsia="宋体" w:cs="宋体"/>
          <w:snapToGrid w:val="0"/>
          <w:color w:val="auto"/>
          <w:kern w:val="28"/>
          <w:sz w:val="24"/>
          <w:szCs w:val="20"/>
        </w:rPr>
        <w:t>法缴纳税收和社会保障</w:t>
      </w:r>
      <w:r>
        <w:rPr>
          <w:rFonts w:hint="eastAsia" w:ascii="宋体" w:hAnsi="宋体" w:eastAsia="宋体" w:cs="宋体"/>
          <w:snapToGrid w:val="0"/>
          <w:color w:val="auto"/>
          <w:kern w:val="28"/>
          <w:sz w:val="24"/>
          <w:szCs w:val="20"/>
          <w:lang w:eastAsia="zh-CN"/>
        </w:rPr>
        <w:t>资</w:t>
      </w:r>
      <w:r>
        <w:rPr>
          <w:rFonts w:hint="eastAsia" w:ascii="宋体" w:hAnsi="宋体" w:eastAsia="宋体" w:cs="宋体"/>
          <w:snapToGrid w:val="0"/>
          <w:color w:val="auto"/>
          <w:kern w:val="28"/>
          <w:sz w:val="24"/>
          <w:szCs w:val="20"/>
        </w:rPr>
        <w:t>金的</w:t>
      </w:r>
      <w:r>
        <w:rPr>
          <w:rFonts w:hint="eastAsia" w:ascii="宋体" w:hAnsi="宋体" w:eastAsia="宋体" w:cs="宋体"/>
          <w:snapToGrid w:val="0"/>
          <w:color w:val="auto"/>
          <w:kern w:val="28"/>
          <w:sz w:val="24"/>
          <w:szCs w:val="20"/>
          <w:lang w:eastAsia="zh-CN"/>
        </w:rPr>
        <w:t>良</w:t>
      </w:r>
      <w:r>
        <w:rPr>
          <w:rFonts w:hint="eastAsia" w:ascii="宋体" w:hAnsi="宋体" w:eastAsia="宋体" w:cs="宋体"/>
          <w:snapToGrid w:val="0"/>
          <w:color w:val="auto"/>
          <w:kern w:val="28"/>
          <w:sz w:val="24"/>
          <w:szCs w:val="20"/>
        </w:rPr>
        <w:t>好记录；</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参加</w:t>
      </w:r>
      <w:r>
        <w:rPr>
          <w:rFonts w:hint="eastAsia" w:ascii="宋体" w:hAnsi="宋体" w:eastAsia="宋体" w:cs="宋体"/>
          <w:snapToGrid w:val="0"/>
          <w:color w:val="auto"/>
          <w:kern w:val="28"/>
          <w:sz w:val="24"/>
          <w:szCs w:val="20"/>
          <w:lang w:eastAsia="zh-CN"/>
        </w:rPr>
        <w:t>采购</w:t>
      </w:r>
      <w:r>
        <w:rPr>
          <w:rFonts w:hint="eastAsia" w:ascii="宋体" w:hAnsi="宋体" w:eastAsia="宋体" w:cs="宋体"/>
          <w:snapToGrid w:val="0"/>
          <w:color w:val="auto"/>
          <w:kern w:val="28"/>
          <w:sz w:val="24"/>
          <w:szCs w:val="20"/>
        </w:rPr>
        <w:t>活动前三年内，没有重大</w:t>
      </w:r>
      <w:r>
        <w:rPr>
          <w:rFonts w:hint="eastAsia" w:ascii="宋体" w:hAnsi="宋体" w:eastAsia="宋体" w:cs="宋体"/>
          <w:snapToGrid w:val="0"/>
          <w:color w:val="auto"/>
          <w:kern w:val="28"/>
          <w:sz w:val="24"/>
          <w:szCs w:val="20"/>
          <w:lang w:eastAsia="zh-CN"/>
        </w:rPr>
        <w:t>违</w:t>
      </w:r>
      <w:r>
        <w:rPr>
          <w:rFonts w:hint="eastAsia" w:ascii="宋体" w:hAnsi="宋体" w:eastAsia="宋体" w:cs="宋体"/>
          <w:snapToGrid w:val="0"/>
          <w:color w:val="auto"/>
          <w:kern w:val="28"/>
          <w:sz w:val="24"/>
          <w:szCs w:val="20"/>
        </w:rPr>
        <w:t>法记录，严重</w:t>
      </w:r>
      <w:r>
        <w:rPr>
          <w:rFonts w:hint="eastAsia" w:ascii="宋体" w:hAnsi="宋体" w:eastAsia="宋体" w:cs="宋体"/>
          <w:snapToGrid w:val="0"/>
          <w:color w:val="auto"/>
          <w:kern w:val="28"/>
          <w:sz w:val="24"/>
          <w:szCs w:val="20"/>
          <w:lang w:eastAsia="zh-CN"/>
        </w:rPr>
        <w:t>失信</w:t>
      </w:r>
      <w:r>
        <w:rPr>
          <w:rFonts w:hint="eastAsia" w:ascii="宋体" w:hAnsi="宋体" w:eastAsia="宋体" w:cs="宋体"/>
          <w:snapToGrid w:val="0"/>
          <w:color w:val="auto"/>
          <w:kern w:val="28"/>
          <w:sz w:val="24"/>
          <w:szCs w:val="20"/>
        </w:rPr>
        <w:t>行为和行贿记录；</w:t>
      </w:r>
    </w:p>
    <w:p>
      <w:pPr>
        <w:spacing w:line="360" w:lineRule="auto"/>
        <w:ind w:firstLine="480"/>
        <w:rPr>
          <w:rFonts w:hint="eastAsia" w:ascii="宋体" w:hAnsi="宋体" w:eastAsia="宋体" w:cs="宋体"/>
          <w:snapToGrid w:val="0"/>
          <w:color w:val="auto"/>
          <w:kern w:val="28"/>
          <w:sz w:val="24"/>
          <w:szCs w:val="20"/>
          <w:lang w:eastAsia="zh-CN"/>
        </w:rPr>
      </w:pPr>
      <w:r>
        <w:rPr>
          <w:rFonts w:hint="eastAsia" w:ascii="宋体" w:hAnsi="宋体" w:eastAsia="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rPr>
        <w:t>法律、行政法规规定的其他条件</w:t>
      </w:r>
      <w:r>
        <w:rPr>
          <w:rFonts w:hint="eastAsia" w:ascii="宋体" w:hAnsi="宋体" w:eastAsia="宋体" w:cs="宋体"/>
          <w:snapToGrid w:val="0"/>
          <w:color w:val="auto"/>
          <w:kern w:val="28"/>
          <w:sz w:val="24"/>
          <w:szCs w:val="20"/>
          <w:lang w:eastAsia="zh-CN"/>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.单位负</w:t>
      </w:r>
      <w:r>
        <w:rPr>
          <w:rFonts w:hint="eastAsia" w:ascii="宋体" w:hAnsi="宋体" w:eastAsia="宋体" w:cs="宋体"/>
          <w:color w:val="auto"/>
          <w:sz w:val="24"/>
          <w:highlight w:val="none"/>
        </w:rPr>
        <w:t>责人为同一人或者存在直接控股、管理关系的不同供应商，不得参加同一合同项下的采购活动；为采购项目提供整体设计、规范编制或者项目管理、监理、检测等服务后不得再参加该采购项目的其他采购活动。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9.本项目不接受联合体投标。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u w:val="single"/>
          <w:lang w:eastAsia="zh-CN"/>
        </w:rPr>
        <w:t>2024年</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10</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lang w:val="en-US" w:eastAsia="zh-CN"/>
        </w:rPr>
        <w:t>2.</w:t>
      </w:r>
      <w:r>
        <w:rPr>
          <w:rFonts w:hint="eastAsia" w:ascii="宋体" w:hAnsi="宋体" w:eastAsia="宋体" w:cs="宋体"/>
          <w:b/>
          <w:color w:val="auto"/>
          <w:sz w:val="24"/>
        </w:rPr>
        <w:t>地点（网址）：</w:t>
      </w:r>
      <w:r>
        <w:rPr>
          <w:rFonts w:hint="eastAsia" w:ascii="宋体" w:hAnsi="宋体" w:eastAsia="宋体" w:cs="宋体"/>
          <w:color w:val="auto"/>
          <w:sz w:val="24"/>
          <w:lang w:eastAsia="zh-CN"/>
        </w:rPr>
        <w:t>乐采云</w:t>
      </w:r>
      <w:r>
        <w:rPr>
          <w:rFonts w:hint="eastAsia" w:ascii="宋体" w:hAnsi="宋体" w:eastAsia="宋体" w:cs="宋体"/>
          <w:color w:val="auto"/>
          <w:sz w:val="24"/>
        </w:rPr>
        <w:t>平台（https://www.</w:t>
      </w:r>
      <w:r>
        <w:rPr>
          <w:rFonts w:hint="eastAsia" w:ascii="宋体" w:hAnsi="宋体" w:eastAsia="宋体" w:cs="宋体"/>
          <w:color w:val="auto"/>
          <w:sz w:val="24"/>
          <w:lang w:eastAsia="zh-CN"/>
        </w:rPr>
        <w:t>lecaiyun.com</w:t>
      </w:r>
      <w:r>
        <w:rPr>
          <w:rFonts w:hint="eastAsia" w:ascii="宋体" w:hAnsi="宋体" w:eastAsia="宋体" w:cs="宋体"/>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lang w:val="en-US" w:eastAsia="zh-CN"/>
        </w:rPr>
        <w:t>3.</w:t>
      </w:r>
      <w:r>
        <w:rPr>
          <w:rFonts w:hint="eastAsia" w:ascii="宋体" w:hAnsi="宋体" w:eastAsia="宋体" w:cs="宋体"/>
          <w:b/>
          <w:color w:val="auto"/>
          <w:sz w:val="24"/>
        </w:rPr>
        <w:t>方式：</w:t>
      </w:r>
      <w:r>
        <w:rPr>
          <w:rFonts w:hint="eastAsia" w:ascii="宋体" w:hAnsi="宋体" w:eastAsia="宋体" w:cs="宋体"/>
          <w:color w:val="auto"/>
          <w:sz w:val="24"/>
        </w:rPr>
        <w:t>供应商登录</w:t>
      </w:r>
      <w:r>
        <w:rPr>
          <w:rFonts w:hint="eastAsia" w:ascii="宋体" w:hAnsi="宋体" w:eastAsia="宋体" w:cs="宋体"/>
          <w:color w:val="auto"/>
          <w:sz w:val="24"/>
          <w:lang w:eastAsia="zh-CN"/>
        </w:rPr>
        <w:t>乐采云</w:t>
      </w:r>
      <w:r>
        <w:rPr>
          <w:rFonts w:hint="eastAsia" w:ascii="宋体" w:hAnsi="宋体" w:eastAsia="宋体" w:cs="宋体"/>
          <w:color w:val="auto"/>
          <w:sz w:val="24"/>
        </w:rPr>
        <w:t>平台https://www.</w:t>
      </w:r>
      <w:r>
        <w:rPr>
          <w:rFonts w:hint="eastAsia" w:ascii="宋体" w:hAnsi="宋体" w:eastAsia="宋体" w:cs="宋体"/>
          <w:color w:val="auto"/>
          <w:sz w:val="24"/>
          <w:lang w:eastAsia="zh-CN"/>
        </w:rPr>
        <w:t>lecaiyun.com</w:t>
      </w:r>
      <w:r>
        <w:rPr>
          <w:rFonts w:hint="eastAsia" w:ascii="宋体" w:hAnsi="宋体" w:eastAsia="宋体" w:cs="宋体"/>
          <w:color w:val="auto"/>
          <w:sz w:val="24"/>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提交投标文件截止时间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请登录政采云投标客户端投标</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乐采云平台（https://www.lecaiyun.com/）</w:t>
      </w:r>
    </w:p>
    <w:p>
      <w:pPr>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五、</w:t>
      </w:r>
      <w:r>
        <w:rPr>
          <w:rFonts w:hint="eastAsia" w:ascii="宋体" w:hAnsi="宋体" w:eastAsia="宋体" w:cs="宋体"/>
          <w:b/>
          <w:color w:val="auto"/>
          <w:kern w:val="2"/>
          <w:sz w:val="24"/>
          <w:szCs w:val="24"/>
          <w:lang w:val="en-US" w:eastAsia="zh-CN" w:bidi="ar-SA"/>
        </w:rPr>
        <w:t>投标保证金</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投标保证金：人民币</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万元（大写：</w:t>
      </w:r>
      <w:r>
        <w:rPr>
          <w:rFonts w:hint="eastAsia" w:ascii="宋体" w:hAnsi="宋体" w:cs="宋体"/>
          <w:color w:val="auto"/>
          <w:sz w:val="24"/>
          <w:highlight w:val="none"/>
          <w:lang w:val="en-US" w:eastAsia="zh-CN"/>
        </w:rPr>
        <w:t>肆</w:t>
      </w:r>
      <w:r>
        <w:rPr>
          <w:rFonts w:hint="eastAsia" w:ascii="宋体" w:hAnsi="宋体" w:eastAsia="宋体" w:cs="宋体"/>
          <w:color w:val="auto"/>
          <w:sz w:val="24"/>
          <w:highlight w:val="none"/>
          <w:lang w:val="en-US" w:eastAsia="zh-CN"/>
        </w:rPr>
        <w:t>拾万元整），投标保证金必须在2024年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日16：00前提交以网上银行、电汇、汇票或转账形式，通过投标人的基本账户汇入指定账户，以到账为准。如因投标人自身原因，造成投标单位保证金未及时到账的，一律视为不响应招标文件，投标无效。</w:t>
      </w:r>
      <w:r>
        <w:rPr>
          <w:rFonts w:hint="eastAsia" w:ascii="宋体" w:hAnsi="宋体" w:eastAsia="宋体" w:cs="宋体"/>
          <w:color w:val="auto"/>
          <w:sz w:val="24"/>
          <w:highlight w:val="none"/>
          <w:lang w:eastAsia="zh-CN"/>
        </w:rPr>
        <w:t>中包通知书发出后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个工作日内，未中标的</w:t>
      </w:r>
      <w:r>
        <w:rPr>
          <w:rFonts w:hint="eastAsia" w:ascii="宋体" w:hAnsi="宋体" w:eastAsia="宋体" w:cs="宋体"/>
          <w:color w:val="auto"/>
          <w:sz w:val="24"/>
          <w:highlight w:val="none"/>
          <w:lang w:val="en-US" w:eastAsia="zh-CN"/>
        </w:rPr>
        <w:t>投标单位</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lang w:val="en-US" w:eastAsia="zh-CN"/>
        </w:rPr>
        <w:t>原路退还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eastAsia="zh-CN"/>
        </w:rPr>
        <w:t>保证金在中标人与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人签订合同后</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个工作日内退还（不计息）。</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开户名称：禾泽都林设计集团有限公司</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开户银行：</w:t>
      </w:r>
      <w:r>
        <w:rPr>
          <w:rFonts w:hint="eastAsia" w:ascii="宋体" w:hAnsi="宋体" w:eastAsia="宋体" w:cs="宋体"/>
          <w:color w:val="auto"/>
          <w:sz w:val="24"/>
          <w:highlight w:val="none"/>
          <w:lang w:val="en-US" w:eastAsia="zh-CN"/>
        </w:rPr>
        <w:t>招商银行嵊州支行；</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  号：5759 0290 2110 606。</w:t>
      </w:r>
    </w:p>
    <w:p>
      <w:pPr>
        <w:spacing w:line="360" w:lineRule="auto"/>
        <w:rPr>
          <w:rFonts w:hint="eastAsia" w:ascii="宋体" w:hAnsi="宋体" w:eastAsia="宋体" w:cs="宋体"/>
          <w:color w:val="auto"/>
          <w:sz w:val="24"/>
        </w:rPr>
      </w:pPr>
      <w:r>
        <w:rPr>
          <w:rFonts w:hint="eastAsia" w:ascii="宋体" w:hAnsi="宋体" w:eastAsia="宋体" w:cs="宋体"/>
          <w:b/>
          <w:sz w:val="24"/>
        </w:rPr>
        <w:t>六、</w:t>
      </w:r>
      <w:r>
        <w:rPr>
          <w:rFonts w:hint="eastAsia" w:ascii="宋体" w:hAnsi="宋体" w:eastAsia="宋体" w:cs="宋体"/>
          <w:b/>
          <w:color w:val="auto"/>
          <w:sz w:val="24"/>
        </w:rPr>
        <w:t xml:space="preserve">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w:t>
      </w:r>
      <w:r>
        <w:rPr>
          <w:rFonts w:hint="eastAsia" w:ascii="宋体" w:hAnsi="宋体" w:eastAsia="宋体" w:cs="宋体"/>
          <w:color w:val="auto"/>
          <w:sz w:val="24"/>
        </w:rPr>
        <w:t>：（1）电</w:t>
      </w:r>
      <w:r>
        <w:rPr>
          <w:rFonts w:hint="eastAsia" w:ascii="宋体" w:hAnsi="宋体" w:eastAsia="宋体" w:cs="宋体"/>
          <w:sz w:val="24"/>
        </w:rPr>
        <w:t>子招投标的说明：①电子招投标：本项目以数据电文形式</w:t>
      </w:r>
      <w:r>
        <w:rPr>
          <w:rFonts w:hint="eastAsia" w:ascii="宋体" w:hAnsi="宋体" w:eastAsia="宋体" w:cs="宋体"/>
          <w:color w:val="0000FF"/>
          <w:sz w:val="24"/>
        </w:rPr>
        <w:t>，</w:t>
      </w:r>
      <w:r>
        <w:rPr>
          <w:rFonts w:hint="eastAsia" w:ascii="宋体" w:hAnsi="宋体" w:eastAsia="宋体" w:cs="宋体"/>
          <w:color w:val="auto"/>
          <w:sz w:val="24"/>
          <w:highlight w:val="none"/>
        </w:rPr>
        <w:t>依托“采购云平台（www.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）”进行招投标活动，不接受纸质投标文件；②投标准备：注册账号--点击“商家入驻”，进行采购</w:t>
      </w:r>
      <w:r>
        <w:rPr>
          <w:rFonts w:hint="eastAsia" w:ascii="宋体" w:hAnsi="宋体" w:eastAsia="宋体" w:cs="宋体"/>
          <w:sz w:val="24"/>
        </w:rPr>
        <w:t>供应商资料填写；申领CA数字证书---申领流程详见“浙江政府采购网-下载专区-电子交易客户端-CA驱动和申领流程”；安装“</w:t>
      </w:r>
      <w:r>
        <w:rPr>
          <w:rFonts w:hint="eastAsia" w:ascii="宋体" w:hAnsi="宋体" w:eastAsia="宋体" w:cs="宋体"/>
          <w:sz w:val="24"/>
          <w:lang w:eastAsia="zh-CN"/>
        </w:rPr>
        <w:t>乐采云</w:t>
      </w:r>
      <w:r>
        <w:rPr>
          <w:rFonts w:hint="eastAsia" w:ascii="宋体" w:hAnsi="宋体" w:eastAsia="宋体" w:cs="宋体"/>
          <w:sz w:val="24"/>
        </w:rPr>
        <w:t>电子交易客户端”----前往“浙江政府采购网-下载专区-电子交易客户端”进行下载并安装；③招标文件的获取：使用账号登录或者使用CA登录</w:t>
      </w:r>
      <w:r>
        <w:rPr>
          <w:rFonts w:hint="eastAsia" w:ascii="宋体" w:hAnsi="宋体" w:eastAsia="宋体" w:cs="宋体"/>
          <w:sz w:val="24"/>
          <w:lang w:eastAsia="zh-CN"/>
        </w:rPr>
        <w:t>乐采云</w:t>
      </w:r>
      <w:r>
        <w:rPr>
          <w:rFonts w:hint="eastAsia" w:ascii="宋体" w:hAnsi="宋体" w:eastAsia="宋体" w:cs="宋体"/>
          <w:sz w:val="24"/>
        </w:rPr>
        <w:t>平台；进入“项目采购”应用，在获取采购文件菜单中选择项目，获取招标文件；④投标文件的制作：在“</w:t>
      </w:r>
      <w:r>
        <w:rPr>
          <w:rFonts w:hint="eastAsia" w:ascii="宋体" w:hAnsi="宋体" w:eastAsia="宋体" w:cs="宋体"/>
          <w:sz w:val="24"/>
          <w:lang w:eastAsia="zh-CN"/>
        </w:rPr>
        <w:t>乐采云</w:t>
      </w:r>
      <w:r>
        <w:rPr>
          <w:rFonts w:hint="eastAsia" w:ascii="宋体" w:hAnsi="宋体" w:eastAsia="宋体" w:cs="宋体"/>
          <w:sz w:val="24"/>
        </w:rPr>
        <w:t>电子交易客户端”中完成“填写基本信息”、“导入投标文件”、“标书关联”、“标书检查”、“</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sz w:val="24"/>
        </w:rPr>
        <w:t>”、“生成电子标书”等操作；⑤采购人、采购机构将依托</w:t>
      </w:r>
      <w:r>
        <w:rPr>
          <w:rFonts w:hint="eastAsia" w:ascii="宋体" w:hAnsi="宋体" w:eastAsia="宋体" w:cs="宋体"/>
          <w:sz w:val="24"/>
          <w:lang w:eastAsia="zh-CN"/>
        </w:rPr>
        <w:t>乐采云</w:t>
      </w:r>
      <w:r>
        <w:rPr>
          <w:rFonts w:hint="eastAsia" w:ascii="宋体" w:hAnsi="宋体" w:eastAsia="宋体" w:cs="宋体"/>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宋体" w:hAnsi="宋体" w:eastAsia="宋体" w:cs="宋体"/>
          <w:color w:val="auto"/>
          <w:sz w:val="24"/>
        </w:rPr>
        <w:t>第二部分第15点—“备份投标文件”；</w:t>
      </w:r>
      <w:r>
        <w:rPr>
          <w:rFonts w:hint="eastAsia" w:ascii="宋体" w:hAnsi="宋体" w:eastAsia="宋体" w:cs="宋体"/>
          <w:sz w:val="24"/>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lang w:eastAsia="zh-CN"/>
        </w:rPr>
        <w:t>乐采云</w:t>
      </w:r>
      <w:r>
        <w:rPr>
          <w:rFonts w:hint="eastAsia" w:ascii="宋体" w:hAnsi="宋体" w:eastAsia="宋体" w:cs="宋体"/>
          <w:sz w:val="24"/>
        </w:rPr>
        <w:t>平台“服务中心-帮助文档-项目采购-操作流程-电子招投标-采购项目电子交易管理操作指南-供应商”。</w:t>
      </w:r>
    </w:p>
    <w:p>
      <w:pPr>
        <w:spacing w:line="360" w:lineRule="auto"/>
        <w:rPr>
          <w:rFonts w:hint="eastAsia" w:ascii="宋体" w:hAnsi="宋体" w:eastAsia="宋体" w:cs="宋体"/>
          <w:b/>
          <w:sz w:val="24"/>
        </w:rPr>
      </w:pPr>
      <w:r>
        <w:rPr>
          <w:rFonts w:hint="eastAsia" w:ascii="宋体" w:hAnsi="宋体" w:cs="宋体"/>
          <w:b/>
          <w:sz w:val="24"/>
          <w:lang w:val="en-US" w:eastAsia="zh-CN"/>
        </w:rPr>
        <w:t>八</w:t>
      </w:r>
      <w:r>
        <w:rPr>
          <w:rFonts w:hint="eastAsia" w:ascii="宋体" w:hAnsi="宋体" w:eastAsia="宋体" w:cs="宋体"/>
          <w:b/>
          <w:sz w:val="24"/>
        </w:rPr>
        <w:t>、对本次采购提出询问、质疑、投诉，请按以下方式联系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sz w:val="24"/>
        </w:rPr>
        <w:t xml:space="preserve">   </w:t>
      </w:r>
      <w:r>
        <w:rPr>
          <w:rFonts w:hint="eastAsia" w:ascii="宋体" w:hAnsi="宋体" w:eastAsia="宋体" w:cs="宋体"/>
          <w:color w:val="auto"/>
          <w:sz w:val="24"/>
        </w:rPr>
        <w:t xml:space="preserve"> 名    称：</w:t>
      </w:r>
      <w:r>
        <w:rPr>
          <w:rFonts w:hint="eastAsia" w:ascii="宋体" w:hAnsi="宋体" w:eastAsia="宋体" w:cs="宋体"/>
          <w:color w:val="auto"/>
          <w:sz w:val="24"/>
          <w:lang w:eastAsia="zh-CN"/>
        </w:rPr>
        <w:t>嵊州市商业发展集团有限公司</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color w:val="auto"/>
          <w:sz w:val="24"/>
          <w:lang w:eastAsia="zh-CN"/>
        </w:rPr>
        <w:t>浙江嵊州市三江街道官河南路699号 </w:t>
      </w:r>
      <w:r>
        <w:rPr>
          <w:rFonts w:hint="eastAsia" w:ascii="宋体" w:hAnsi="宋体" w:eastAsia="宋体" w:cs="宋体"/>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lang w:eastAsia="zh-CN"/>
        </w:rPr>
        <w:t>修女士</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eastAsia="zh-CN"/>
        </w:rPr>
        <w:t>0575-83361876</w:t>
      </w:r>
    </w:p>
    <w:p>
      <w:pPr>
        <w:spacing w:line="360" w:lineRule="auto"/>
        <w:rPr>
          <w:rFonts w:hint="eastAsia" w:ascii="宋体" w:hAnsi="宋体" w:eastAsia="宋体" w:cs="宋体"/>
          <w:color w:val="auto"/>
          <w:sz w:val="24"/>
          <w:lang w:val="en-US"/>
        </w:rPr>
      </w:pPr>
      <w:r>
        <w:rPr>
          <w:rFonts w:hint="eastAsia" w:ascii="宋体" w:hAnsi="宋体" w:eastAsia="宋体" w:cs="宋体"/>
          <w:color w:val="auto"/>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2</w:t>
      </w:r>
      <w:r>
        <w:rPr>
          <w:rFonts w:hint="eastAsia" w:ascii="宋体" w:hAnsi="宋体" w:eastAsia="宋体" w:cs="宋体"/>
          <w:sz w:val="24"/>
        </w:rPr>
        <w:t xml:space="preserve">.采购代理机构信息            </w:t>
      </w:r>
    </w:p>
    <w:p>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名    称：</w:t>
      </w:r>
      <w:r>
        <w:rPr>
          <w:rFonts w:hint="eastAsia" w:ascii="宋体" w:hAnsi="宋体" w:eastAsia="宋体" w:cs="宋体"/>
          <w:sz w:val="24"/>
          <w:lang w:eastAsia="zh-CN"/>
        </w:rPr>
        <w:t>禾泽都林设计集团有限公司</w:t>
      </w:r>
    </w:p>
    <w:p>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 xml:space="preserve">地    址： </w:t>
      </w:r>
      <w:r>
        <w:rPr>
          <w:rFonts w:hint="eastAsia" w:ascii="宋体" w:hAnsi="宋体" w:eastAsia="宋体" w:cs="宋体"/>
          <w:sz w:val="24"/>
          <w:lang w:eastAsia="zh-CN"/>
        </w:rPr>
        <w:t>绍兴市嵊州市剡湖街道龙会一路14号 </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钱巧林</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18758559400</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曾主任</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w:t>
      </w:r>
      <w:r>
        <w:rPr>
          <w:rFonts w:hint="eastAsia" w:ascii="宋体" w:hAnsi="宋体" w:eastAsia="宋体" w:cs="宋体"/>
          <w:sz w:val="24"/>
          <w:lang w:val="en-US" w:eastAsia="zh-CN"/>
        </w:rPr>
        <w:t>0575-83031200</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w:t>
      </w:r>
      <w:r>
        <w:rPr>
          <w:rFonts w:hint="eastAsia" w:ascii="宋体" w:hAnsi="宋体" w:eastAsia="宋体" w:cs="宋体"/>
          <w:sz w:val="24"/>
          <w:lang w:eastAsia="zh-CN"/>
        </w:rPr>
        <w:t>乐采云</w:t>
      </w:r>
      <w:r>
        <w:rPr>
          <w:rFonts w:hint="eastAsia" w:ascii="宋体" w:hAnsi="宋体" w:eastAsia="宋体" w:cs="宋体"/>
          <w:sz w:val="24"/>
        </w:rPr>
        <w:t>（https://www.lecaiyun.com/），点击右侧咨询小采，获取采小蜜智能服务管家帮助，或拨打</w:t>
      </w:r>
      <w:r>
        <w:rPr>
          <w:rFonts w:hint="eastAsia" w:ascii="宋体" w:hAnsi="宋体" w:eastAsia="宋体" w:cs="宋体"/>
          <w:sz w:val="24"/>
          <w:lang w:eastAsia="zh-CN"/>
        </w:rPr>
        <w:t>乐采云</w:t>
      </w:r>
      <w:r>
        <w:rPr>
          <w:rFonts w:hint="eastAsia" w:ascii="宋体" w:hAnsi="宋体" w:eastAsia="宋体" w:cs="宋体"/>
          <w:sz w:val="24"/>
        </w:rPr>
        <w:t>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 投标人须知</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18"/>
        <w:tblW w:w="8914"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497"/>
        <w:gridCol w:w="67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kern w:val="0"/>
                <w:sz w:val="24"/>
                <w:lang w:val="zh-CN"/>
              </w:rPr>
              <w:t>有关本项</w:t>
            </w:r>
            <w:r>
              <w:rPr>
                <w:rFonts w:hint="eastAsia" w:ascii="宋体" w:hAnsi="宋体" w:eastAsia="宋体" w:cs="宋体"/>
                <w:color w:val="auto"/>
                <w:kern w:val="0"/>
                <w:sz w:val="24"/>
                <w:lang w:val="zh-CN"/>
              </w:rPr>
              <w:t>目实施所需的所有费用（含税费）均计入报价。</w:t>
            </w:r>
            <w:r>
              <w:rPr>
                <w:rFonts w:hint="eastAsia" w:ascii="宋体" w:hAnsi="宋体" w:eastAsia="宋体" w:cs="宋体"/>
                <w:color w:val="auto"/>
                <w:sz w:val="24"/>
              </w:rPr>
              <w:t>开标一览表（报价表）是报价的唯一载体</w:t>
            </w:r>
            <w:r>
              <w:rPr>
                <w:rFonts w:hint="eastAsia" w:ascii="宋体" w:hAnsi="宋体" w:eastAsia="宋体" w:cs="宋体"/>
                <w:color w:val="auto"/>
                <w:kern w:val="0"/>
                <w:sz w:val="24"/>
                <w:lang w:val="zh-CN"/>
              </w:rPr>
              <w:t>。投标文件中价格全部采用人民币报价</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zh-CN"/>
              </w:rPr>
              <w:t>开标一览表（报价表）另有约定的除外】。招标文件未列明，而投标人认为必需的费用也需列入报价。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lang w:eastAsia="zh-CN"/>
              </w:rPr>
              <w:t>★</w:t>
            </w: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sz w:val="24"/>
                <w:lang w:eastAsia="zh-CN"/>
              </w:rPr>
              <w:t>★</w:t>
            </w: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lang w:eastAsia="zh-CN"/>
              </w:rPr>
              <w:t>★</w:t>
            </w: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0" w:firstLineChars="100"/>
              <w:rPr>
                <w:rFonts w:hint="eastAsia" w:ascii="宋体" w:hAnsi="宋体" w:eastAsia="宋体" w:cs="宋体"/>
                <w:sz w:val="24"/>
              </w:rPr>
            </w:pPr>
            <w:r>
              <w:rPr>
                <w:rFonts w:hint="eastAsia" w:ascii="宋体" w:hAnsi="宋体" w:eastAsia="宋体" w:cs="宋体"/>
                <w:color w:val="auto"/>
                <w:sz w:val="24"/>
                <w:lang w:eastAsia="zh-CN"/>
              </w:rPr>
              <w:t>★</w:t>
            </w:r>
            <w:r>
              <w:rPr>
                <w:rFonts w:hint="eastAsia" w:ascii="宋体" w:hAnsi="宋体" w:eastAsia="宋体" w:cs="宋体"/>
                <w:b/>
                <w:color w:val="auto"/>
                <w:kern w:val="0"/>
                <w:sz w:val="24"/>
              </w:rPr>
              <w:t>投标</w:t>
            </w:r>
            <w:r>
              <w:rPr>
                <w:rFonts w:hint="eastAsia" w:ascii="宋体" w:hAnsi="宋体" w:eastAsia="宋体" w:cs="宋体"/>
                <w:b/>
                <w:kern w:val="0"/>
                <w:sz w:val="24"/>
              </w:rPr>
              <w:t>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r>
              <w:rPr>
                <w:rFonts w:hint="eastAsia" w:ascii="宋体" w:hAnsi="宋体" w:eastAsia="宋体" w:cs="宋体"/>
                <w:sz w:val="24"/>
                <w:lang w:eastAsia="zh-CN"/>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49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w:t>
            </w:r>
            <w:r>
              <w:rPr>
                <w:rFonts w:hint="eastAsia" w:ascii="宋体" w:hAnsi="宋体" w:eastAsia="宋体" w:cs="宋体"/>
                <w:b/>
                <w:sz w:val="24"/>
                <w:lang w:eastAsia="zh-CN"/>
              </w:rPr>
              <w:t>证明</w:t>
            </w:r>
            <w:r>
              <w:rPr>
                <w:rFonts w:hint="eastAsia" w:ascii="宋体" w:hAnsi="宋体" w:eastAsia="宋体" w:cs="宋体"/>
                <w:b/>
                <w:sz w:val="24"/>
              </w:rPr>
              <w:t>、</w:t>
            </w:r>
            <w:r>
              <w:rPr>
                <w:rFonts w:hint="eastAsia" w:ascii="宋体" w:hAnsi="宋体" w:eastAsia="宋体" w:cs="宋体"/>
                <w:b/>
                <w:sz w:val="24"/>
                <w:lang w:eastAsia="zh-CN"/>
              </w:rPr>
              <w:t>商务技术、报价</w:t>
            </w:r>
            <w:r>
              <w:rPr>
                <w:rFonts w:hint="eastAsia" w:ascii="宋体" w:hAnsi="宋体" w:eastAsia="宋体" w:cs="宋体"/>
                <w:b/>
                <w:sz w:val="24"/>
              </w:rPr>
              <w:t>文件</w:t>
            </w:r>
          </w:p>
        </w:tc>
        <w:tc>
          <w:tcPr>
            <w:tcW w:w="67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tc>
        <w:tc>
          <w:tcPr>
            <w:tcW w:w="149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7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商务技术</w:t>
            </w:r>
            <w:r>
              <w:rPr>
                <w:rFonts w:hint="eastAsia" w:ascii="宋体" w:hAnsi="宋体" w:eastAsia="宋体" w:cs="宋体"/>
                <w:color w:val="auto"/>
                <w:sz w:val="24"/>
              </w:rPr>
              <w:t>文件：根据招标文件第二部分11.</w:t>
            </w:r>
            <w:r>
              <w:rPr>
                <w:rFonts w:hint="eastAsia" w:ascii="宋体" w:hAnsi="宋体" w:eastAsia="宋体" w:cs="宋体"/>
                <w:color w:val="auto"/>
                <w:sz w:val="24"/>
                <w:lang w:val="en-US" w:eastAsia="zh-CN"/>
              </w:rPr>
              <w:t>2结合</w:t>
            </w:r>
            <w:r>
              <w:rPr>
                <w:rFonts w:hint="eastAsia" w:ascii="宋体" w:hAnsi="宋体" w:eastAsia="宋体" w:cs="宋体"/>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宋体" w:hAnsi="宋体" w:eastAsia="宋体" w:cs="宋体"/>
              </w:rPr>
            </w:pPr>
          </w:p>
        </w:tc>
        <w:tc>
          <w:tcPr>
            <w:tcW w:w="1497"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rPr>
            </w:pPr>
          </w:p>
        </w:tc>
        <w:tc>
          <w:tcPr>
            <w:tcW w:w="67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eastAsia="zh-CN"/>
              </w:rPr>
              <w:t>报价</w:t>
            </w:r>
            <w:r>
              <w:rPr>
                <w:rFonts w:hint="eastAsia" w:ascii="宋体" w:hAnsi="宋体" w:eastAsia="宋体" w:cs="宋体"/>
                <w:color w:val="auto"/>
                <w:sz w:val="24"/>
              </w:rPr>
              <w:t>文件：见招标文件第二部分11.</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4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4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B要求提供，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详见第三部分采购需求</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lang w:eastAsia="zh-CN"/>
              </w:rPr>
              <w:t>详见第三部分采购需求</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sz w:val="24"/>
              </w:rPr>
            </w:pPr>
            <w:r>
              <w:rPr>
                <w:rFonts w:hint="eastAsia" w:ascii="宋体" w:hAnsi="宋体" w:eastAsia="宋体" w:cs="宋体"/>
                <w:color w:val="auto"/>
                <w:sz w:val="24"/>
              </w:rPr>
              <w:t>（5）提供样品的时间</w:t>
            </w:r>
            <w:r>
              <w:rPr>
                <w:rFonts w:hint="eastAsia" w:ascii="宋体" w:hAnsi="宋体" w:eastAsia="宋体" w:cs="宋体"/>
                <w:color w:val="auto"/>
                <w:sz w:val="24"/>
                <w:lang w:eastAsia="zh-CN"/>
              </w:rPr>
              <w:t>、地点等</w:t>
            </w:r>
            <w:r>
              <w:rPr>
                <w:rFonts w:hint="eastAsia" w:ascii="宋体" w:hAnsi="宋体" w:eastAsia="宋体" w:cs="宋体"/>
                <w:color w:val="auto"/>
                <w:kern w:val="0"/>
                <w:sz w:val="24"/>
              </w:rPr>
              <w:t>：</w:t>
            </w:r>
            <w:r>
              <w:rPr>
                <w:rFonts w:hint="eastAsia" w:ascii="宋体" w:hAnsi="宋体" w:eastAsia="宋体" w:cs="宋体"/>
                <w:color w:val="auto"/>
                <w:sz w:val="24"/>
                <w:u w:val="single"/>
                <w:lang w:eastAsia="zh-CN"/>
              </w:rPr>
              <w:t>详见第三部分采购需求</w:t>
            </w:r>
            <w:r>
              <w:rPr>
                <w:rFonts w:hint="eastAsia" w:ascii="宋体" w:hAnsi="宋体" w:eastAsia="宋体" w:cs="宋体"/>
                <w:color w:val="auto"/>
                <w:sz w:val="24"/>
              </w:rPr>
              <w:t>。请投标人在上述时间内提供</w:t>
            </w:r>
            <w:r>
              <w:rPr>
                <w:rFonts w:hint="eastAsia" w:ascii="宋体" w:hAnsi="宋体" w:eastAsia="宋体" w:cs="宋体"/>
                <w:sz w:val="24"/>
              </w:rPr>
              <w:t>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4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spacing w:line="360" w:lineRule="auto"/>
              <w:rPr>
                <w:rFonts w:hint="eastAsia" w:ascii="宋体" w:hAnsi="宋体" w:eastAsia="宋体" w:cs="宋体"/>
                <w:b/>
                <w:kern w:val="0"/>
                <w:sz w:val="24"/>
                <w:highlight w:val="none"/>
                <w:lang w:val="en-US" w:eastAsia="zh-CN"/>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FF0000"/>
                <w:sz w:val="24"/>
              </w:rPr>
            </w:pPr>
            <w:r>
              <w:rPr>
                <w:rFonts w:hint="eastAsia" w:ascii="宋体" w:hAnsi="宋体" w:eastAsia="宋体" w:cs="宋体"/>
                <w:b w:val="0"/>
                <w:bCs w:val="0"/>
                <w:color w:val="auto"/>
                <w:sz w:val="24"/>
              </w:rPr>
              <w:t>7</w:t>
            </w:r>
          </w:p>
        </w:tc>
        <w:tc>
          <w:tcPr>
            <w:tcW w:w="14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可以采购进口产品，优先采购向我</w:t>
            </w:r>
            <w:r>
              <w:rPr>
                <w:rFonts w:hint="eastAsia" w:ascii="宋体" w:hAnsi="宋体" w:eastAsia="宋体" w:cs="宋体"/>
                <w:color w:val="auto"/>
                <w:kern w:val="0"/>
                <w:sz w:val="24"/>
                <w:lang w:eastAsia="zh-CN"/>
              </w:rPr>
              <w:t>国企</w:t>
            </w:r>
            <w:r>
              <w:rPr>
                <w:rFonts w:hint="eastAsia" w:ascii="宋体" w:hAnsi="宋体" w:eastAsia="宋体" w:cs="宋体"/>
                <w:color w:val="auto"/>
                <w:kern w:val="0"/>
                <w:sz w:val="24"/>
              </w:rPr>
              <w:t>业转让技术、与我</w:t>
            </w:r>
            <w:r>
              <w:rPr>
                <w:rFonts w:hint="eastAsia" w:ascii="宋体" w:hAnsi="宋体" w:eastAsia="宋体" w:cs="宋体"/>
                <w:color w:val="auto"/>
                <w:kern w:val="0"/>
                <w:sz w:val="24"/>
                <w:lang w:eastAsia="zh-CN"/>
              </w:rPr>
              <w:t>国企</w:t>
            </w:r>
            <w:r>
              <w:rPr>
                <w:rFonts w:hint="eastAsia" w:ascii="宋体" w:hAnsi="宋体" w:eastAsia="宋体" w:cs="宋体"/>
                <w:color w:val="auto"/>
                <w:kern w:val="0"/>
                <w:sz w:val="24"/>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97"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宋体"/>
                <w:b/>
                <w:bCs/>
                <w:color w:val="auto"/>
                <w:sz w:val="24"/>
                <w:lang w:eastAsia="zh-CN"/>
              </w:rPr>
              <w:t>代理服务费</w:t>
            </w:r>
          </w:p>
        </w:tc>
        <w:tc>
          <w:tcPr>
            <w:tcW w:w="6729"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360" w:lineRule="auto"/>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本项目代理服务费：根据项目的中标金额，采用差额定率累进法进行计算，具体费率标准如下：</w:t>
            </w:r>
          </w:p>
          <w:tbl>
            <w:tblPr>
              <w:tblStyle w:val="18"/>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0.45%</w:t>
                  </w:r>
                </w:p>
              </w:tc>
            </w:tr>
          </w:tbl>
          <w:p>
            <w:pPr>
              <w:numPr>
                <w:ilvl w:val="0"/>
                <w:numId w:val="0"/>
              </w:num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其他费用按实结算,</w:t>
            </w:r>
            <w:r>
              <w:rPr>
                <w:rFonts w:hint="eastAsia" w:ascii="宋体" w:hAnsi="宋体" w:eastAsia="宋体" w:cs="宋体"/>
                <w:color w:val="auto"/>
                <w:sz w:val="24"/>
              </w:rPr>
              <w:t>由中标人在领取中标通知书时支付</w:t>
            </w:r>
            <w:r>
              <w:rPr>
                <w:rFonts w:hint="eastAsia" w:ascii="宋体" w:hAnsi="宋体" w:eastAsia="宋体" w:cs="宋体"/>
                <w:color w:val="auto"/>
                <w:sz w:val="24"/>
                <w:lang w:eastAsia="zh-CN"/>
              </w:rPr>
              <w:t>。</w:t>
            </w:r>
          </w:p>
          <w:p>
            <w:pPr>
              <w:numPr>
                <w:ilvl w:val="0"/>
                <w:numId w:val="0"/>
              </w:num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.代理服务费以（转账或现金形式支付）转账账户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公司名称：</w:t>
            </w:r>
            <w:r>
              <w:rPr>
                <w:rFonts w:hint="eastAsia" w:ascii="宋体" w:hAnsi="宋体" w:eastAsia="宋体" w:cs="宋体"/>
                <w:color w:val="auto"/>
                <w:sz w:val="24"/>
                <w:lang w:eastAsia="zh-CN"/>
              </w:rPr>
              <w:t>禾泽都林设计集团有限公司</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开户银行：</w:t>
            </w:r>
            <w:r>
              <w:rPr>
                <w:rFonts w:hint="eastAsia" w:ascii="宋体" w:hAnsi="宋体" w:eastAsia="宋体" w:cs="宋体"/>
                <w:color w:val="auto"/>
                <w:sz w:val="24"/>
                <w:lang w:eastAsia="zh-CN"/>
              </w:rPr>
              <w:t xml:space="preserve">招商银行绍兴分行嵊州支行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帐    号：</w:t>
            </w:r>
            <w:r>
              <w:rPr>
                <w:rFonts w:hint="eastAsia" w:ascii="宋体" w:hAnsi="宋体" w:eastAsia="宋体" w:cs="宋体"/>
                <w:color w:val="auto"/>
                <w:szCs w:val="24"/>
              </w:rPr>
              <w:t>575902902110606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729" w:type="dxa"/>
            <w:tcBorders>
              <w:top w:val="single" w:color="000000" w:sz="8" w:space="0"/>
              <w:left w:val="single" w:color="000000" w:sz="2" w:space="0"/>
              <w:bottom w:val="single" w:color="000000" w:sz="8" w:space="0"/>
              <w:right w:val="single" w:color="000000" w:sz="8" w:space="0"/>
            </w:tcBorders>
            <w:vAlign w:val="center"/>
          </w:tcPr>
          <w:p>
            <w:pPr>
              <w:pStyle w:val="14"/>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ascii="宋体" w:hAnsi="宋体" w:eastAsia="宋体" w:cs="宋体"/>
                <w:sz w:val="24"/>
                <w:u w:val="single"/>
                <w:lang w:eastAsia="zh-CN"/>
              </w:rPr>
              <w:t>绍兴市嵊州市剡湖街道龙会一路14号</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lang w:val="en-US" w:eastAsia="zh-CN"/>
              </w:rPr>
              <w:t>18758559400</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4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其他</w:t>
            </w:r>
          </w:p>
        </w:tc>
        <w:tc>
          <w:tcPr>
            <w:tcW w:w="6729" w:type="dxa"/>
            <w:tcBorders>
              <w:top w:val="single" w:color="000000" w:sz="8" w:space="0"/>
              <w:left w:val="single" w:color="000000" w:sz="2" w:space="0"/>
              <w:bottom w:val="single" w:color="000000" w:sz="8" w:space="0"/>
              <w:right w:val="single" w:color="000000" w:sz="8" w:space="0"/>
            </w:tcBorders>
            <w:vAlign w:val="center"/>
          </w:tcPr>
          <w:p>
            <w:pPr>
              <w:pStyle w:val="14"/>
              <w:spacing w:line="360" w:lineRule="auto"/>
              <w:rPr>
                <w:rFonts w:hint="eastAsia" w:ascii="宋体" w:hAnsi="宋体" w:eastAsia="宋体" w:cs="宋体"/>
                <w:kern w:val="28"/>
                <w:sz w:val="24"/>
                <w:szCs w:val="24"/>
              </w:rPr>
            </w:pPr>
            <w:r>
              <w:rPr>
                <w:rFonts w:hint="eastAsia" w:ascii="宋体" w:hAnsi="宋体" w:eastAsia="宋体" w:cs="宋体"/>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11</w:t>
            </w:r>
          </w:p>
        </w:tc>
        <w:tc>
          <w:tcPr>
            <w:tcW w:w="149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snapToGrid w:val="0"/>
                <w:kern w:val="2"/>
                <w:sz w:val="24"/>
                <w:szCs w:val="24"/>
                <w:lang w:val="en-US" w:eastAsia="zh-CN" w:bidi="ar-SA"/>
              </w:rPr>
              <w:t>推荐中标候选人数量</w:t>
            </w:r>
          </w:p>
        </w:tc>
        <w:tc>
          <w:tcPr>
            <w:tcW w:w="672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napToGrid w:val="0"/>
                <w:kern w:val="2"/>
                <w:sz w:val="24"/>
                <w:szCs w:val="24"/>
                <w:highlight w:val="none"/>
                <w:lang w:val="en-US" w:eastAsia="zh-CN" w:bidi="ar-SA"/>
              </w:rPr>
              <w:t>推荐中标候选人数量：1名。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4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7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b/>
                <w:kern w:val="0"/>
                <w:sz w:val="24"/>
              </w:rPr>
              <w:t>本招标文件的解释权属于</w:t>
            </w:r>
            <w:r>
              <w:rPr>
                <w:rFonts w:hint="eastAsia" w:ascii="宋体" w:hAnsi="宋体" w:eastAsia="宋体" w:cs="宋体"/>
                <w:b/>
                <w:kern w:val="0"/>
                <w:sz w:val="24"/>
                <w:lang w:eastAsia="zh-CN"/>
              </w:rPr>
              <w:t>禾泽都林设计集团有限公司</w:t>
            </w:r>
            <w:r>
              <w:rPr>
                <w:rFonts w:hint="eastAsia" w:ascii="宋体" w:hAnsi="宋体" w:eastAsia="宋体" w:cs="宋体"/>
                <w:b/>
                <w:kern w:val="0"/>
                <w:sz w:val="24"/>
              </w:rPr>
              <w:t>。</w:t>
            </w:r>
          </w:p>
        </w:tc>
      </w:tr>
    </w:tbl>
    <w:p>
      <w:pPr>
        <w:snapToGrid w:val="0"/>
        <w:spacing w:line="360" w:lineRule="auto"/>
        <w:jc w:val="center"/>
        <w:rPr>
          <w:rFonts w:hint="eastAsia" w:ascii="宋体" w:hAnsi="宋体" w:eastAsia="宋体" w:cs="宋体"/>
          <w:b/>
          <w:sz w:val="32"/>
          <w:szCs w:val="20"/>
        </w:rPr>
      </w:pPr>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color w:val="auto"/>
          <w:sz w:val="24"/>
        </w:rPr>
        <w:t>”系指数据电文中以电子形式所含、所附用于识别签名人身份并表明签名人认可其中内容的数据；“公章”系指单位法定名称章。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2.6“电子交易平台”是指本项目采购活动所依托的采购云平台（https://www.</w:t>
      </w:r>
      <w:r>
        <w:rPr>
          <w:rFonts w:hint="eastAsia" w:ascii="宋体" w:hAnsi="宋体" w:eastAsia="宋体" w:cs="宋体"/>
          <w:color w:val="auto"/>
          <w:sz w:val="24"/>
          <w:lang w:eastAsia="zh-CN"/>
        </w:rPr>
        <w:t>lecaiyun.com</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系指实质性要求条款，“▲”系产品采购项目中</w:t>
      </w:r>
      <w:r>
        <w:rPr>
          <w:rFonts w:hint="eastAsia" w:ascii="宋体" w:hAnsi="宋体" w:eastAsia="宋体" w:cs="宋体"/>
          <w:color w:val="auto"/>
          <w:sz w:val="24"/>
          <w:lang w:val="en-US" w:eastAsia="zh-CN"/>
        </w:rPr>
        <w:t>的重要指标。</w:t>
      </w:r>
      <w:r>
        <w:rPr>
          <w:rFonts w:hint="eastAsia" w:ascii="宋体" w:hAnsi="宋体" w:eastAsia="宋体" w:cs="宋体"/>
          <w:color w:val="auto"/>
          <w:sz w:val="24"/>
        </w:rPr>
        <w:t>如任意一条打“★”的指标出现负偏离视为实质性不响应招标文件要求，作无效投标处理；如任意一条打“▲”的指标出现负偏离按评分标准作扣分处理，“</w:t>
      </w:r>
      <w:sdt>
        <w:sdtPr>
          <w:rPr>
            <w:rFonts w:hint="eastAsia" w:ascii="宋体" w:hAnsi="宋体" w:eastAsia="宋体" w:cs="宋体"/>
            <w:color w:val="auto"/>
            <w:kern w:val="0"/>
            <w:sz w:val="24"/>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 系指不适用本项目的要求。</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w:t>
      </w:r>
      <w:r>
        <w:rPr>
          <w:rFonts w:hint="eastAsia" w:ascii="宋体" w:hAnsi="宋体" w:eastAsia="宋体" w:cs="宋体"/>
          <w:color w:val="auto"/>
          <w:sz w:val="24"/>
          <w:lang w:eastAsia="zh-CN"/>
        </w:rPr>
        <w:t>监管</w:t>
      </w:r>
      <w:r>
        <w:rPr>
          <w:rFonts w:hint="eastAsia" w:ascii="宋体" w:hAnsi="宋体" w:eastAsia="宋体" w:cs="宋体"/>
          <w:color w:val="auto"/>
          <w:sz w:val="24"/>
        </w:rPr>
        <w:t>部门提出申请并获得</w:t>
      </w:r>
      <w:r>
        <w:rPr>
          <w:rFonts w:hint="eastAsia" w:ascii="宋体" w:hAnsi="宋体" w:eastAsia="宋体" w:cs="宋体"/>
          <w:color w:val="auto"/>
          <w:sz w:val="24"/>
          <w:lang w:eastAsia="zh-CN"/>
        </w:rPr>
        <w:t>监管</w:t>
      </w:r>
      <w:r>
        <w:rPr>
          <w:rFonts w:hint="eastAsia" w:ascii="宋体" w:hAnsi="宋体" w:eastAsia="宋体" w:cs="宋体"/>
          <w:color w:val="auto"/>
          <w:sz w:val="24"/>
        </w:rPr>
        <w:t>部门审核同意，</w:t>
      </w:r>
      <w:r>
        <w:rPr>
          <w:rFonts w:hint="eastAsia" w:ascii="宋体" w:hAnsi="宋体" w:eastAsia="宋体" w:cs="宋体"/>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rPr>
          <w:rFonts w:hint="eastAsia" w:ascii="宋体" w:hAnsi="宋体" w:eastAsia="宋体" w:cs="宋体"/>
          <w:b/>
          <w:sz w:val="24"/>
        </w:rPr>
      </w:pP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供应商对采购活动事项有疑问的，可以提出询问，采购人或者采购代理机构应当在</w:t>
      </w:r>
      <w:r>
        <w:rPr>
          <w:rFonts w:hint="eastAsia" w:ascii="宋体" w:hAnsi="宋体" w:eastAsia="宋体" w:cs="宋体"/>
          <w:color w:val="auto"/>
          <w:kern w:val="0"/>
          <w:sz w:val="24"/>
          <w:lang w:val="zh-CN"/>
        </w:rPr>
        <w:t>3个工作日内</w:t>
      </w:r>
      <w:r>
        <w:rPr>
          <w:rFonts w:hint="eastAsia" w:ascii="宋体" w:hAnsi="宋体" w:eastAsia="宋体" w:cs="宋体"/>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1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1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3"/>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14"/>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pPr>
        <w:pStyle w:val="14"/>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4.2.3.1供应商的姓名或者名称、地址、邮编、联系人及联系电话；</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4.2.3.2质疑项目的名称、编号；</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4.2.3.3具体、明确的质疑事项和与质疑事项相关的请求；</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4.2.3.4事实依据；</w:t>
      </w:r>
    </w:p>
    <w:p>
      <w:pPr>
        <w:pStyle w:val="1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4.2.3.5必要的法律依据；</w:t>
      </w:r>
    </w:p>
    <w:p>
      <w:pPr>
        <w:pStyle w:val="1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w:t>
      </w:r>
      <w:r>
        <w:rPr>
          <w:rFonts w:hint="eastAsia" w:ascii="宋体" w:hAnsi="宋体" w:eastAsia="宋体" w:cs="宋体"/>
          <w:lang w:val="en-US" w:eastAsia="zh-CN"/>
        </w:rPr>
        <w:t>1</w:t>
      </w:r>
      <w:r>
        <w:rPr>
          <w:rFonts w:hint="eastAsia" w:ascii="宋体" w:hAnsi="宋体" w:eastAsia="宋体" w:cs="宋体"/>
        </w:rPr>
        <w:t>。</w:t>
      </w:r>
    </w:p>
    <w:p>
      <w:pPr>
        <w:pStyle w:val="23"/>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w:t>
      </w:r>
      <w:r>
        <w:rPr>
          <w:rFonts w:hint="eastAsia" w:ascii="宋体" w:hAnsi="宋体" w:eastAsia="宋体" w:cs="宋体"/>
          <w:color w:val="auto"/>
        </w:rPr>
        <w:t>商和其他与质疑处理结果有利害关系的采购当事人，但答复的内容不得涉及商业秘密。</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23"/>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4.3.1质疑供应商对采购人、采购机构的答复不满意或者采购人、采购机构未在规定的时间内作出答复的，可以在答复期满后十五个工作日内向同级采购监督管理部门提出投诉。</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2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以联合体形式参加采购活动的，其投诉应当由组成联合体的所有供应商共同提出。</w:t>
      </w:r>
    </w:p>
    <w:p>
      <w:pPr>
        <w:pStyle w:val="23"/>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w:t>
      </w:r>
      <w:r>
        <w:rPr>
          <w:rFonts w:hint="eastAsia" w:ascii="宋体" w:hAnsi="宋体" w:eastAsia="宋体" w:cs="宋体"/>
          <w:color w:val="auto"/>
          <w:lang w:val="en-US" w:eastAsia="zh-CN"/>
        </w:rPr>
        <w:t>2</w:t>
      </w:r>
      <w:r>
        <w:rPr>
          <w:rFonts w:hint="eastAsia" w:ascii="宋体" w:hAnsi="宋体" w:eastAsia="宋体" w:cs="宋体"/>
          <w:color w:val="auto"/>
        </w:rPr>
        <w:t>。</w:t>
      </w: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1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1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1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2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22"/>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1"/>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1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14"/>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14"/>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3"/>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w:t>
      </w:r>
      <w:r>
        <w:rPr>
          <w:rFonts w:hint="eastAsia" w:ascii="宋体" w:hAnsi="宋体" w:eastAsia="宋体" w:cs="宋体"/>
          <w:color w:val="auto"/>
          <w:sz w:val="24"/>
          <w:lang w:eastAsia="zh-CN"/>
        </w:rPr>
        <w:t>无</w:t>
      </w:r>
      <w:r>
        <w:rPr>
          <w:rFonts w:hint="eastAsia" w:ascii="宋体" w:hAnsi="宋体" w:eastAsia="宋体" w:cs="宋体"/>
          <w:color w:val="auto"/>
          <w:sz w:val="24"/>
        </w:rPr>
        <w:t>需缴纳投标保证金。</w:t>
      </w:r>
    </w:p>
    <w:p>
      <w:pPr>
        <w:pStyle w:val="1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1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w:t>
      </w:r>
      <w:r>
        <w:rPr>
          <w:rFonts w:hint="eastAsia" w:ascii="宋体" w:hAnsi="宋体" w:eastAsia="宋体" w:cs="宋体"/>
          <w:b/>
          <w:color w:val="auto"/>
          <w:sz w:val="24"/>
          <w:lang w:eastAsia="zh-CN"/>
        </w:rPr>
        <w:t>证明</w:t>
      </w:r>
      <w:r>
        <w:rPr>
          <w:rFonts w:hint="eastAsia" w:ascii="宋体" w:hAnsi="宋体" w:eastAsia="宋体" w:cs="宋体"/>
          <w:b/>
          <w:color w:val="auto"/>
          <w:sz w:val="24"/>
        </w:rPr>
        <w:t>文件</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rPr>
        <w:t>11.1.1</w:t>
      </w:r>
      <w:r>
        <w:rPr>
          <w:rFonts w:hint="eastAsia" w:ascii="宋体" w:hAnsi="宋体" w:eastAsia="宋体" w:cs="宋体"/>
          <w:color w:val="auto"/>
          <w:sz w:val="24"/>
          <w:lang w:eastAsia="zh-CN"/>
        </w:rPr>
        <w:t>营业执照扫描件；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11.1.2</w:t>
      </w:r>
      <w:r>
        <w:rPr>
          <w:rFonts w:hint="eastAsia" w:ascii="宋体" w:hAnsi="宋体" w:eastAsia="宋体" w:cs="宋体"/>
          <w:color w:val="auto"/>
          <w:sz w:val="24"/>
        </w:rPr>
        <w:t>符合参加采购活动应当具备的一般条件的承诺函；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（若有）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b/>
          <w:bCs/>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eastAsia="zh-CN"/>
        </w:rPr>
        <w:t>营业执照扫描件；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11.2.2</w:t>
      </w:r>
      <w:r>
        <w:rPr>
          <w:rFonts w:hint="eastAsia" w:ascii="宋体" w:hAnsi="宋体" w:eastAsia="宋体" w:cs="宋体"/>
          <w:color w:val="auto"/>
          <w:sz w:val="24"/>
        </w:rPr>
        <w:t>投标函；</w:t>
      </w:r>
      <w:r>
        <w:rPr>
          <w:rFonts w:hint="eastAsia" w:ascii="宋体" w:hAnsi="宋体" w:eastAsia="宋体" w:cs="宋体"/>
          <w:color w:val="auto"/>
          <w:sz w:val="24"/>
          <w:lang w:val="zh-CN"/>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eastAsia="宋体" w:cs="宋体"/>
          <w:color w:val="auto"/>
          <w:sz w:val="24"/>
          <w:lang w:val="en-US" w:eastAsia="zh-CN"/>
        </w:rPr>
        <w:t>3</w:t>
      </w:r>
      <w:r>
        <w:rPr>
          <w:rFonts w:hint="eastAsia" w:ascii="宋体" w:hAnsi="宋体" w:eastAsia="宋体" w:cs="宋体"/>
          <w:color w:val="auto"/>
          <w:sz w:val="24"/>
        </w:rPr>
        <w:t>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符合性审查资料；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eastAsia="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供应商廉洁自律承诺书；</w:t>
      </w: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960" w:firstLineChars="400"/>
        <w:rPr>
          <w:rFonts w:hint="eastAsia" w:ascii="宋体" w:hAnsi="宋体" w:eastAsia="宋体" w:cs="宋体"/>
          <w:b/>
          <w:sz w:val="24"/>
          <w:lang w:val="en-US" w:eastAsia="zh-CN"/>
        </w:rPr>
      </w:pPr>
      <w:r>
        <w:rPr>
          <w:rFonts w:hint="eastAsia" w:ascii="宋体" w:hAnsi="宋体" w:eastAsia="宋体" w:cs="宋体"/>
          <w:color w:val="auto"/>
          <w:sz w:val="24"/>
        </w:rPr>
        <w:t>11.3.1开标一览表（报价表）</w:t>
      </w:r>
      <w:r>
        <w:rPr>
          <w:rFonts w:hint="eastAsia" w:ascii="宋体" w:hAnsi="宋体" w:eastAsia="宋体" w:cs="宋体"/>
          <w:color w:val="auto"/>
          <w:sz w:val="24"/>
          <w:lang w:eastAsia="zh-CN"/>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2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2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lang w:eastAsia="zh-CN"/>
        </w:rPr>
        <w:t>★</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2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13.2为确保网上操作合法、有效和安全，投标人应当在投标截止时间前完成在“采购云平台”的身份认证，确保在电子投标过程中能够对相关数据电文进行加密和使用</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rPr>
        <w:t>。</w:t>
      </w:r>
    </w:p>
    <w:p>
      <w:pPr>
        <w:pStyle w:val="2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rPr>
        <w:t>。</w:t>
      </w:r>
    </w:p>
    <w:p>
      <w:pPr>
        <w:pStyle w:val="22"/>
        <w:spacing w:before="0"/>
        <w:ind w:firstLine="0" w:firstLineChars="0"/>
        <w:rPr>
          <w:rFonts w:hint="eastAsia" w:ascii="宋体" w:hAnsi="宋体" w:eastAsia="宋体" w:cs="宋体"/>
          <w:b/>
          <w:szCs w:val="24"/>
        </w:rPr>
      </w:pPr>
      <w:r>
        <w:rPr>
          <w:rFonts w:hint="eastAsia" w:ascii="宋体" w:hAnsi="宋体" w:eastAsia="宋体" w:cs="宋体"/>
          <w:b/>
          <w:szCs w:val="24"/>
        </w:rPr>
        <w:t>14.投标文件的提交、补充、修改、撤回</w:t>
      </w:r>
    </w:p>
    <w:p>
      <w:pPr>
        <w:pStyle w:val="2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2"/>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14"/>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14"/>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14"/>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auto"/>
          <w:sz w:val="24"/>
          <w:szCs w:val="24"/>
        </w:rPr>
        <w:t>15.2备份投标文件须在“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投标客户端”制作生成，并储存在</w:t>
      </w:r>
      <w:r>
        <w:rPr>
          <w:rFonts w:hint="eastAsia" w:ascii="宋体" w:hAnsi="宋体" w:eastAsia="宋体" w:cs="宋体"/>
          <w:color w:val="auto"/>
          <w:sz w:val="24"/>
          <w:lang w:val="en-US" w:eastAsia="zh-CN"/>
        </w:rPr>
        <w:t>U</w:t>
      </w:r>
      <w:r>
        <w:rPr>
          <w:rFonts w:hint="eastAsia" w:ascii="宋体" w:hAnsi="宋体" w:eastAsia="宋体" w:cs="宋体"/>
          <w:color w:val="auto"/>
          <w:sz w:val="24"/>
        </w:rPr>
        <w:t>盘</w:t>
      </w:r>
      <w:r>
        <w:rPr>
          <w:rFonts w:hint="eastAsia" w:ascii="宋体" w:hAnsi="宋体" w:eastAsia="宋体" w:cs="宋体"/>
          <w:color w:val="auto"/>
          <w:sz w:val="24"/>
          <w:szCs w:val="24"/>
        </w:rPr>
        <w:t>中。备</w:t>
      </w:r>
      <w:r>
        <w:rPr>
          <w:rFonts w:hint="eastAsia" w:ascii="宋体" w:hAnsi="宋体" w:eastAsia="宋体" w:cs="宋体"/>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w:t>
      </w:r>
      <w:r>
        <w:rPr>
          <w:rFonts w:hint="eastAsia" w:ascii="宋体" w:hAnsi="宋体" w:eastAsia="宋体" w:cs="宋体"/>
          <w:color w:val="auto"/>
          <w:sz w:val="24"/>
          <w:szCs w:val="24"/>
        </w:rPr>
        <w:t>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w:t>
      </w:r>
      <w:r>
        <w:rPr>
          <w:rFonts w:hint="eastAsia" w:ascii="宋体" w:hAnsi="宋体" w:eastAsia="宋体" w:cs="宋体"/>
          <w:sz w:val="24"/>
          <w:szCs w:val="24"/>
        </w:rPr>
        <w:t>时间以签收人签收时间为准。采购机构将拒绝接受逾期送达的备份投标文件。邮寄过程中，电子备份投标文件发生泄露、遗失、损坏或延期送达等情况的，由投标人自行负责。</w:t>
      </w:r>
    </w:p>
    <w:p>
      <w:pPr>
        <w:pStyle w:val="1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pStyle w:val="2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4"/>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w:t>
      </w:r>
      <w:r>
        <w:rPr>
          <w:rFonts w:hint="eastAsia" w:ascii="宋体" w:hAnsi="宋体" w:eastAsia="宋体" w:cs="宋体"/>
          <w:lang w:val="en-US" w:eastAsia="zh-CN"/>
        </w:rPr>
        <w:t>4.2</w:t>
      </w:r>
      <w:r>
        <w:rPr>
          <w:rFonts w:hint="eastAsia" w:ascii="宋体" w:hAnsi="宋体" w:eastAsia="宋体" w:cs="宋体"/>
        </w:rPr>
        <w:t>项规定</w:t>
      </w:r>
      <w:r>
        <w:rPr>
          <w:rFonts w:hint="eastAsia" w:ascii="宋体" w:hAnsi="宋体" w:eastAsia="宋体" w:cs="宋体"/>
          <w:szCs w:val="21"/>
        </w:rPr>
        <w:t>的情形之一的，投标无效：</w:t>
      </w:r>
    </w:p>
    <w:p>
      <w:pPr>
        <w:pStyle w:val="2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sz w:val="24"/>
          <w:szCs w:val="20"/>
          <w:lang w:eastAsia="zh-CN"/>
        </w:rPr>
        <w:t>★</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2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2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22"/>
        <w:spacing w:before="0"/>
        <w:ind w:firstLine="643"/>
        <w:rPr>
          <w:rFonts w:hint="eastAsia" w:ascii="宋体" w:hAnsi="宋体" w:eastAsia="宋体" w:cs="宋体"/>
          <w:b/>
          <w:sz w:val="32"/>
        </w:rPr>
      </w:pPr>
    </w:p>
    <w:p>
      <w:pPr>
        <w:pStyle w:val="2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24"/>
        <w:spacing w:before="0" w:line="360" w:lineRule="auto"/>
        <w:ind w:left="0" w:leftChars="0" w:firstLine="0" w:firstLineChars="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2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19</w:t>
      </w:r>
      <w:r>
        <w:rPr>
          <w:rFonts w:hint="eastAsia" w:ascii="宋体" w:hAnsi="宋体" w:eastAsia="宋体" w:cs="宋体"/>
          <w:b/>
          <w:sz w:val="24"/>
          <w:szCs w:val="20"/>
          <w:lang w:val="en-US" w:eastAsia="zh-CN"/>
        </w:rPr>
        <w:t>.</w:t>
      </w:r>
      <w:r>
        <w:rPr>
          <w:rFonts w:hint="eastAsia" w:ascii="宋体" w:hAnsi="宋体" w:eastAsia="宋体" w:cs="宋体"/>
          <w:b/>
          <w:sz w:val="24"/>
          <w:szCs w:val="20"/>
        </w:rPr>
        <w:t>资格审查</w:t>
      </w:r>
    </w:p>
    <w:p>
      <w:pPr>
        <w:pStyle w:val="2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22"/>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2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2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22"/>
        <w:spacing w:before="0"/>
        <w:ind w:firstLine="0" w:firstLineChars="0"/>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w:t>
      </w:r>
      <w:r>
        <w:rPr>
          <w:rFonts w:hint="eastAsia" w:ascii="宋体" w:hAnsi="宋体" w:eastAsia="宋体" w:cs="宋体"/>
          <w:b/>
          <w:szCs w:val="24"/>
        </w:rPr>
        <w:t>信用信息查询</w:t>
      </w:r>
    </w:p>
    <w:p>
      <w:pPr>
        <w:pStyle w:val="2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2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2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20.3信用信息的使用规则：经查询列入失信被执行人名单、重大税收违法案件当事人名单、政府采购严重违法失信行为记录名单的投标人将被拒绝参与采购活动。</w:t>
      </w:r>
    </w:p>
    <w:p>
      <w:pPr>
        <w:pStyle w:val="22"/>
        <w:spacing w:before="0"/>
        <w:ind w:firstLine="480"/>
        <w:rPr>
          <w:rFonts w:hint="eastAsia" w:ascii="宋体" w:hAnsi="宋体" w:eastAsia="宋体" w:cs="宋体"/>
        </w:rPr>
      </w:pPr>
      <w:r>
        <w:rPr>
          <w:rFonts w:hint="eastAsia" w:ascii="宋体" w:hAnsi="宋体" w:eastAsia="宋体" w:cs="宋体"/>
          <w:kern w:val="0"/>
          <w:szCs w:val="24"/>
        </w:rPr>
        <w:t>20.</w:t>
      </w:r>
      <w:r>
        <w:rPr>
          <w:rFonts w:hint="eastAsia" w:ascii="宋体" w:hAnsi="宋体" w:eastAsia="宋体" w:cs="宋体"/>
          <w:color w:val="auto"/>
          <w:kern w:val="0"/>
          <w:szCs w:val="24"/>
        </w:rPr>
        <w:t>4联合体信用信息查询：两个以上的自然人、法人或者其他组织组成一个联合体，</w:t>
      </w:r>
      <w:r>
        <w:rPr>
          <w:rFonts w:hint="eastAsia" w:ascii="宋体" w:hAnsi="宋体" w:eastAsia="宋体" w:cs="宋体"/>
          <w:kern w:val="0"/>
          <w:szCs w:val="24"/>
        </w:rPr>
        <w:t>以一个供应商的身份共同参加采购活动的，应当对所有联合体成员进行信用记录查询，联合体成员存在不良信用记录的，视同联合体存在不良信用记录</w:t>
      </w:r>
      <w:r>
        <w:rPr>
          <w:rFonts w:hint="eastAsia" w:ascii="宋体" w:hAnsi="宋体" w:eastAsia="宋体" w:cs="宋体"/>
        </w:rPr>
        <w:t>。</w:t>
      </w:r>
    </w:p>
    <w:p>
      <w:pPr>
        <w:pStyle w:val="22"/>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4"/>
        <w:spacing w:line="360" w:lineRule="auto"/>
        <w:ind w:left="479" w:hanging="479" w:hangingChars="199"/>
        <w:rPr>
          <w:rFonts w:hint="eastAsia" w:ascii="宋体" w:hAnsi="宋体" w:eastAsia="宋体" w:cs="宋体"/>
          <w:b/>
        </w:rPr>
      </w:pPr>
      <w:r>
        <w:rPr>
          <w:rFonts w:hint="eastAsia" w:ascii="宋体" w:hAnsi="宋体" w:eastAsia="宋体" w:cs="宋体"/>
          <w:b/>
        </w:rPr>
        <w:t>22.确定中标供应商</w:t>
      </w:r>
    </w:p>
    <w:p>
      <w:pPr>
        <w:pStyle w:val="22"/>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pStyle w:val="2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23.中标通知与中标结果公告</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sz w:val="24"/>
        </w:rPr>
        <w:t>23.1自中标人确定之日起2个工作日</w:t>
      </w:r>
      <w:r>
        <w:rPr>
          <w:rFonts w:hint="eastAsia" w:ascii="宋体" w:hAnsi="宋体" w:eastAsia="宋体" w:cs="宋体"/>
          <w:color w:val="auto"/>
          <w:sz w:val="24"/>
        </w:rPr>
        <w:t>内，采购机构编制发布采购结果公告，同时通过电子交易平台</w:t>
      </w:r>
      <w:r>
        <w:rPr>
          <w:rFonts w:hint="eastAsia" w:ascii="宋体" w:hAnsi="宋体" w:eastAsia="宋体" w:cs="宋体"/>
          <w:color w:val="auto"/>
          <w:sz w:val="24"/>
          <w:lang w:eastAsia="zh-CN"/>
        </w:rPr>
        <w:t>或</w:t>
      </w:r>
      <w:r>
        <w:rPr>
          <w:rFonts w:hint="eastAsia" w:ascii="宋体" w:hAnsi="宋体" w:eastAsia="宋体" w:cs="宋体"/>
          <w:color w:val="auto"/>
          <w:sz w:val="24"/>
        </w:rPr>
        <w:t>纸质形式向中标人发出中标通知书。</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宋体" w:hAnsi="宋体" w:eastAsia="宋体" w:cs="宋体"/>
          <w:color w:val="auto"/>
          <w:sz w:val="24"/>
          <w:lang w:eastAsia="zh-CN"/>
        </w:rPr>
        <w:t>（具体信息以乐采云系统模板为准）</w:t>
      </w:r>
      <w:r>
        <w:rPr>
          <w:rFonts w:hint="eastAsia" w:ascii="宋体" w:hAnsi="宋体" w:eastAsia="宋体" w:cs="宋体"/>
          <w:color w:val="auto"/>
          <w:sz w:val="24"/>
        </w:rPr>
        <w:t>。</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4"/>
        <w:spacing w:line="360" w:lineRule="auto"/>
        <w:ind w:left="479" w:hanging="479" w:hangingChars="199"/>
        <w:rPr>
          <w:rFonts w:hint="eastAsia" w:ascii="宋体" w:hAnsi="宋体" w:eastAsia="宋体" w:cs="宋体"/>
          <w:b/>
        </w:rPr>
      </w:pPr>
      <w:r>
        <w:rPr>
          <w:rFonts w:hint="eastAsia" w:ascii="宋体" w:hAnsi="宋体" w:eastAsia="宋体" w:cs="宋体"/>
          <w:b/>
        </w:rPr>
        <w:t>24.</w:t>
      </w:r>
      <w:r>
        <w:rPr>
          <w:rFonts w:hint="eastAsia" w:ascii="宋体" w:hAnsi="宋体" w:eastAsia="宋体" w:cs="宋体"/>
        </w:rPr>
        <w:t>合同主要条款详见第五部分拟签订的合同文本。</w:t>
      </w:r>
    </w:p>
    <w:p>
      <w:pPr>
        <w:pStyle w:val="4"/>
        <w:spacing w:line="360" w:lineRule="auto"/>
        <w:ind w:left="479" w:hanging="479" w:hangingChars="199"/>
        <w:rPr>
          <w:rFonts w:hint="eastAsia" w:ascii="宋体" w:hAnsi="宋体" w:eastAsia="宋体" w:cs="宋体"/>
          <w:b/>
        </w:rPr>
      </w:pPr>
      <w:r>
        <w:rPr>
          <w:rFonts w:hint="eastAsia" w:ascii="宋体" w:hAnsi="宋体" w:eastAsia="宋体" w:cs="宋体"/>
          <w:b/>
        </w:rPr>
        <w:t>25.合同的签订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采购人与中标人应当通过电子交易平台在中标通知书发出之日起三十日内，按照招标文件确定的事项签订采购合同，并在合同签订之日起2个工作日内依法发布合同公告。</w:t>
      </w:r>
    </w:p>
    <w:p>
      <w:pPr>
        <w:pStyle w:val="2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2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25.4中标供应商拒绝与采购人签订合同的，采购人可以按照评审报告推荐的中标或者成交候选人名单排序，确定下一候选人为中标供应商，也可以重新开展采购活动。</w:t>
      </w:r>
    </w:p>
    <w:p>
      <w:pPr>
        <w:pStyle w:val="2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w:t>
      </w:r>
      <w:r>
        <w:rPr>
          <w:rFonts w:hint="eastAsia" w:ascii="宋体" w:hAnsi="宋体" w:eastAsia="宋体" w:cs="宋体"/>
          <w:lang w:eastAsia="zh-CN"/>
        </w:rPr>
        <w:t>的约定进行合同</w:t>
      </w:r>
      <w:r>
        <w:rPr>
          <w:rFonts w:hint="eastAsia" w:ascii="宋体" w:hAnsi="宋体" w:eastAsia="宋体" w:cs="宋体"/>
        </w:rPr>
        <w:t>签</w:t>
      </w:r>
      <w:r>
        <w:rPr>
          <w:rFonts w:hint="eastAsia" w:ascii="宋体" w:hAnsi="宋体" w:eastAsia="宋体" w:cs="宋体"/>
          <w:color w:val="auto"/>
        </w:rPr>
        <w:t>订，</w:t>
      </w:r>
      <w:r>
        <w:rPr>
          <w:rFonts w:hint="eastAsia" w:ascii="宋体" w:hAnsi="宋体" w:eastAsia="宋体" w:cs="宋体"/>
          <w:color w:val="auto"/>
          <w:lang w:eastAsia="zh-CN"/>
        </w:rPr>
        <w:t>并提交（代理机构或采购人）进行</w:t>
      </w:r>
      <w:r>
        <w:rPr>
          <w:rFonts w:hint="eastAsia" w:ascii="宋体" w:hAnsi="宋体" w:eastAsia="宋体" w:cs="宋体"/>
          <w:color w:val="auto"/>
        </w:rPr>
        <w:t>备案。</w:t>
      </w:r>
    </w:p>
    <w:p>
      <w:pPr>
        <w:pStyle w:val="4"/>
        <w:spacing w:line="360" w:lineRule="auto"/>
        <w:ind w:left="479" w:hanging="479" w:hangingChars="199"/>
        <w:rPr>
          <w:rFonts w:hint="eastAsia" w:ascii="宋体" w:hAnsi="宋体" w:eastAsia="宋体" w:cs="宋体"/>
          <w:b/>
        </w:rPr>
      </w:pPr>
      <w:r>
        <w:rPr>
          <w:rFonts w:hint="eastAsia" w:ascii="宋体" w:hAnsi="宋体" w:eastAsia="宋体" w:cs="宋体"/>
          <w:b/>
        </w:rPr>
        <w:t>26.履约保证金</w:t>
      </w:r>
    </w:p>
    <w:p>
      <w:pPr>
        <w:tabs>
          <w:tab w:val="left" w:pos="0"/>
        </w:tabs>
        <w:spacing w:line="360" w:lineRule="auto"/>
        <w:ind w:firstLine="482"/>
        <w:rPr>
          <w:rFonts w:hint="eastAsia" w:ascii="宋体" w:hAnsi="宋体" w:eastAsia="宋体" w:cs="宋体"/>
          <w:b/>
          <w:color w:val="auto"/>
          <w:sz w:val="24"/>
          <w:lang w:eastAsia="zh-CN"/>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。鼓励和支持供应商以银行、保险公司出具的保函形式提供履约保证金。</w:t>
      </w:r>
      <w:r>
        <w:rPr>
          <w:rFonts w:hint="eastAsia" w:ascii="宋体" w:hAnsi="宋体" w:eastAsia="宋体" w:cs="宋体"/>
          <w:b w:val="0"/>
          <w:bCs/>
          <w:color w:val="auto"/>
          <w:sz w:val="24"/>
        </w:rPr>
        <w:t>采购人不得拒收履约保函。</w:t>
      </w:r>
      <w:r>
        <w:rPr>
          <w:rFonts w:hint="eastAsia" w:ascii="宋体" w:hAnsi="宋体" w:eastAsia="宋体" w:cs="宋体"/>
          <w:b w:val="0"/>
          <w:bCs/>
          <w:color w:val="auto"/>
          <w:sz w:val="24"/>
          <w:lang w:eastAsia="zh-CN"/>
        </w:rPr>
        <w:t>相关商务条款未作要求的，无须缴纳履约保证金。</w:t>
      </w:r>
    </w:p>
    <w:p>
      <w:pPr>
        <w:snapToGrid w:val="0"/>
        <w:spacing w:line="360" w:lineRule="auto"/>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八、电子交易活动的中止</w:t>
      </w:r>
    </w:p>
    <w:p>
      <w:pPr>
        <w:pStyle w:val="22"/>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7</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2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2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2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2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2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22"/>
        <w:snapToGrid w:val="0"/>
        <w:spacing w:before="0"/>
        <w:ind w:firstLine="0" w:firstLineChars="0"/>
        <w:rPr>
          <w:rFonts w:hint="eastAsia" w:ascii="宋体" w:hAnsi="宋体" w:eastAsia="宋体" w:cs="宋体"/>
        </w:rPr>
      </w:pPr>
      <w:r>
        <w:rPr>
          <w:rFonts w:hint="eastAsia" w:ascii="宋体" w:hAnsi="宋体" w:eastAsia="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4"/>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29.验收</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eastAsia="宋体" w:cs="宋体"/>
          <w:color w:val="auto"/>
          <w:kern w:val="0"/>
          <w:sz w:val="24"/>
          <w:lang w:eastAsia="zh-CN"/>
        </w:rPr>
        <w:t>监管</w:t>
      </w:r>
      <w:r>
        <w:rPr>
          <w:rFonts w:hint="eastAsia" w:ascii="宋体" w:hAnsi="宋体" w:eastAsia="宋体" w:cs="宋体"/>
          <w:color w:val="auto"/>
          <w:kern w:val="0"/>
          <w:sz w:val="24"/>
        </w:rPr>
        <w:t>部门。</w:t>
      </w:r>
    </w:p>
    <w:p>
      <w:pPr>
        <w:rPr>
          <w:rFonts w:hint="eastAsia" w:ascii="宋体" w:hAnsi="宋体" w:eastAsia="宋体" w:cs="宋体"/>
        </w:rPr>
      </w:pPr>
      <w:r>
        <w:rPr>
          <w:rFonts w:hint="eastAsia" w:ascii="宋体" w:hAnsi="宋体" w:eastAsia="宋体" w:cs="宋体"/>
        </w:rPr>
        <w:br w:type="page"/>
      </w:r>
    </w:p>
    <w:p>
      <w:pPr>
        <w:numPr>
          <w:ilvl w:val="0"/>
          <w:numId w:val="1"/>
        </w:num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w:t>
      </w:r>
      <w:r>
        <w:rPr>
          <w:rFonts w:hint="eastAsia" w:ascii="宋体" w:hAnsi="宋体" w:eastAsia="宋体" w:cs="宋体"/>
          <w:b/>
          <w:sz w:val="24"/>
          <w:szCs w:val="24"/>
          <w:lang w:val="en-US" w:eastAsia="zh-CN"/>
        </w:rPr>
        <w:t>项目</w:t>
      </w:r>
      <w:r>
        <w:rPr>
          <w:rFonts w:hint="eastAsia" w:ascii="宋体" w:hAnsi="宋体" w:eastAsia="宋体" w:cs="宋体"/>
          <w:b/>
          <w:sz w:val="24"/>
          <w:szCs w:val="24"/>
        </w:rPr>
        <w:t>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商业集团一楼大厅、1-5楼电梯厅、三楼党员活动室、四楼党委会议室、五楼大会议室、党员驿站、职工之家、文化走廊、儿童托管区等区域的布展提升改造，总建筑面积约4200平方米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二、具体要求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1.一楼大厅</w:t>
      </w:r>
      <w:r>
        <w:rPr>
          <w:rFonts w:hint="eastAsia" w:ascii="宋体" w:hAnsi="宋体" w:eastAsia="宋体" w:cs="宋体"/>
          <w:sz w:val="24"/>
          <w:szCs w:val="24"/>
          <w:lang w:val="en-US" w:eastAsia="zh-CN"/>
        </w:rPr>
        <w:t>：布置集团形象接待大厅，配置LED显示大屏，展示集团业务板块介绍。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2.党委会议室</w:t>
      </w:r>
      <w:r>
        <w:rPr>
          <w:rFonts w:hint="eastAsia" w:ascii="宋体" w:hAnsi="宋体" w:eastAsia="宋体" w:cs="宋体"/>
          <w:sz w:val="24"/>
          <w:szCs w:val="24"/>
          <w:lang w:val="en-US" w:eastAsia="zh-CN"/>
        </w:rPr>
        <w:t>：布置大屏电视机或显示屏，布置符合参会人数的配套桌椅及文化墙。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3.大会议室：</w:t>
      </w:r>
      <w:r>
        <w:rPr>
          <w:rFonts w:hint="eastAsia" w:ascii="宋体" w:hAnsi="宋体" w:eastAsia="宋体" w:cs="宋体"/>
          <w:sz w:val="24"/>
          <w:szCs w:val="24"/>
          <w:lang w:val="en-US" w:eastAsia="zh-CN"/>
        </w:rPr>
        <w:t>对现有大会议室主席台进行优化布展，设计大屏电视机或显示屏。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4.党员活动室：</w:t>
      </w:r>
      <w:r>
        <w:rPr>
          <w:rFonts w:hint="eastAsia" w:ascii="宋体" w:hAnsi="宋体" w:eastAsia="宋体" w:cs="宋体"/>
          <w:sz w:val="24"/>
          <w:szCs w:val="24"/>
          <w:lang w:val="en-US" w:eastAsia="zh-CN"/>
        </w:rPr>
        <w:t>布置完整的党组织架构图，准确展示各党组织隶属关系及党组织班子情况；有规范的上墙元素，具备党旗、入党誓词、党员义务、党员权利、“三会一课”制度、党员发展流程、党支部工作挂图、支部主题党日“十有”、党务公开栏、党员全家福。严禁出现异形党旗党徽形象、文字写在党旗上等情形，布置符合参会人数的配套桌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5.党员驿站：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（1）风采展示区。根据国企特色、干部特长，结合越剧、书法、围棋等我市传统文化项目，建立可听、可绘、可读的实体化学习交流区域；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（2）党员谈心角。用于党员开展日常交流、心理疏导、听取意见、提醒帮助等；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（3）党建图书角。根据现有集团党建书屋实施整体规划提升。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6.职工之家</w:t>
      </w:r>
      <w:r>
        <w:rPr>
          <w:rFonts w:hint="eastAsia" w:ascii="宋体" w:hAnsi="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有清晰的功能区划分。包含休闲、运动、影视等功能区，各功能区使用做到互不影响；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休闲区：布置咖啡茶吧等，供职工休憩；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运动区：优化布置现有运动场地，划分器械区、乒乓球区、台球区、瑜伽区等，供职工锻炼健身体。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7.文化走廊</w:t>
      </w:r>
      <w:r>
        <w:rPr>
          <w:rFonts w:hint="eastAsia" w:ascii="宋体" w:hAnsi="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（1）一层走廊大厅（正门入内）美观整洁，彰显集团业务特色；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（2）三层、四层走廊，注重上墙内容提炼，最大程度展现单位特色、党员干部精气神，内容应体现清廉国企元素。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（3）一层-五层电梯入口，一层一主题，注重展现单位特色。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（4）电梯内部，做好集团文化宣传等。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8.儿童托管区</w:t>
      </w:r>
      <w:r>
        <w:rPr>
          <w:rFonts w:hint="eastAsia" w:ascii="宋体" w:hAnsi="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结合现有商旅书屋，布置符合儿童学习娱乐的场地和桌椅等，能保证儿童安全。</w:t>
      </w:r>
    </w:p>
    <w:p>
      <w:pPr>
        <w:rPr>
          <w:rFonts w:hint="eastAsia" w:ascii="宋体" w:hAnsi="宋体" w:eastAsia="宋体" w:cs="宋体"/>
          <w:b/>
          <w:sz w:val="24"/>
          <w:szCs w:val="24"/>
          <w:highlight w:val="yellow"/>
        </w:rPr>
      </w:pPr>
    </w:p>
    <w:p>
      <w:pPr>
        <w:numPr>
          <w:ilvl w:val="0"/>
          <w:numId w:val="2"/>
        </w:numPr>
        <w:snapToGrid w:val="0"/>
        <w:spacing w:line="360" w:lineRule="auto"/>
        <w:rPr>
          <w:rFonts w:hint="eastAsia"/>
          <w:lang w:val="en-US" w:eastAsia="zh-CN"/>
        </w:rPr>
      </w:pPr>
      <w:r>
        <w:rPr>
          <w:rFonts w:hint="eastAsia" w:ascii="宋体" w:hAnsi="宋体" w:eastAsia="宋体" w:cs="宋体"/>
          <w:b/>
          <w:bCs/>
          <w:sz w:val="24"/>
          <w:highlight w:val="none"/>
          <w:lang w:val="en-US" w:eastAsia="zh-CN"/>
        </w:rPr>
        <w:t>采购清单</w:t>
      </w:r>
    </w:p>
    <w:tbl>
      <w:tblPr>
        <w:tblStyle w:val="18"/>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1323"/>
        <w:gridCol w:w="5360"/>
        <w:gridCol w:w="670"/>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项目内容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项目特征/规格型号</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装饰灯</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1.装饰灯名称：LED灯带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2.装饰灯型号、规格：按设计要求</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装饰灯</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1.装饰灯名称：磁吸轨道格栅射灯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2.装饰灯型号、规格：16瓦暖光 按轨道长度1M/套含灯</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装饰灯</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1.装饰灯名称：射灯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2.装饰灯型号、规格：6瓦暖光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照明开关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1.名称：跷板暗开关；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2.规格：单极开关 86型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照明开关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1.名称：跷板暗开关；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2.规格：三极开关 86型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称：二三孔组合插座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格：86型 10A/250V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称：地插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2.安装方式：埋地安装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接线盒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2.材质、规格：塑料接线盒 86型；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接线盒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1.名称：开关盒、插座盒；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2.材质、规格：塑料开关盒、插座盒 86型；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接线盒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1.名称：地插座盒；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2.材质、规格：塑料开关盒、插座盒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信息插座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1、名称：VGA插座；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 型：按设计要求；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格：含一位防尘面板；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4、安装方式：底盒内暗装。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信息插座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1、名称：电脑电话插座；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 型：按设计要求；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格：含二位防尘面板；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4、安装方式：底盒内暗装。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接线盒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2.材质、规格：塑料接线盒 86型；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管线布置开槽修复、开关移位</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管线布置开槽修复、开关移位</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多媒体会议系统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1.LED显示屏灯珠采用表贴三合一铜线封装；LED封装形式：SMD1515黑灯；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2.LED显示屏采用≤1.86mm点间距；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4.LED显示屏采用前/后维护方式，可正面拆卸模组、接收卡、电源等低压器件，具备热插拔能力；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5.LED显示屏符合等同或优于IP5X防护等级；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6.LED显示屏亮度可达到200-800CD/m²，可通过配套软件0-100%调节，设置亮度定时调节；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8.LED显示屏刷新频率≥4200Hz，可通过配套控制软件调节刷新率设置选项；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9.LED显示屏色温100K-20000K连续可调，可设冷色、暖色、标准等多档白场调节,色温为8500K时，100%、75%、50%、25%四档电平白场调节色温误</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 xml:space="preserve"> 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收发器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名称：发送盒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1.具备带载面积≥520万像素，最宽≥8192点，或最高≥4096点；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2.具备输入分辨率≥1920×1200@60Hz，支持自定义分辨率设置；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3.具备≥8路千兆网口输出；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5.具备≥3画面显示，位置、大小可自由调节；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6.具备独立音频输入；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7.具备RS232串口协议控制；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9.具备亮度和色温调节；</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名称：台式电脑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1.处理器：I5处理器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3.硬盘：1TB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4.系统：Windows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5.包含21.45英寸显示器</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配电箱</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1.额定功率：≥20kW，输出路数：≥6路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2.输入电压：三相五线制AC380V±10%，频率50Hz±5%，具有高温断电、浪涌、短路、过流、过载保护功能；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3.输出电压：单相三线制AC220V±10%；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4.内置避雷器，具有避雷防雷功能；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5.配电柜含多功能卡控制，具有远程控制功能、RS232串口或千兆网口通信；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6.通过LED显示屏智慧控制系统软件搭配多功能卡实现电源监视、温度监控操作；</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三层党员活动室会议系统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智慧会议平板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名称：智慧会议平板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1.内置Windows操作系统，系统版本优于或等同于Windows 10 IoT正版已激活操作系统；CPU等同或优于11代i3、内存≥8G、存储≥128G。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2.整机屏幕采用≥98英寸DLED液晶屏，显示比例16:9，屏幕图像分辨率≥3840*2160，色彩度≥10bit ,色域≥85%NTSC；可视角度≥178°；支持全高清4K系统图标显示。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3.支持≥40点或以上触摸；内置高清摄像头像素≥1200W，摄像头视场角度≥105°，阵列麦≥8，拾音距离≥10m，支持自动降噪、自动增益、回声消除、声源定位功能。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4.输入接口：LAN≥1；TOUCH≥1；HDMI-IN≥1；DP-IN≥1；VIDEO-IN（USB-C+反控）≥1；LINE-IN≥1；MIC-IN≥1；USB-A(gen3 10G速率)≥4；USB-C（gen3 10G 速率）≥1；RS232≥1；IO≥2；RELAY≥2；输出接口：HDMI-OUT≥1；LINE-OUT≥1。（提供设备接口图佐证）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5.产品采用 2.1声道设计，具有3个音腔 ，1*32W（低音）+2*20W（中高音）缝隙发声扬声器；提供≥5种场景音效选择。</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移动支架</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名称：移动支架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1.高度调节行程：0-430mm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2.高度调节方式：螺丝锁定调整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3.材质：SPCC高强度钢（主体）/PA6+PB（轮子）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4.支架安装适配一体机尺寸：86英寸-98英寸</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名称：传屏器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1.会议模式：主持人模式：主持人可以触摸屏幕列表选择指定PC传屏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2.与会人员模式：当前非主持人传屏时，谁按下传屏按钮谁就获取传屏控制权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3.帧率：音视频18~30帧；分辨率：720P~1080P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4.频段：2.4GHz/5GHz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5.传输距离：无遮挡的情况下30m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6.显示模式：支持扩展桌面（Windows 7/8/10）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7.触摸反控：支持10点触摸回传（Windows 7/8/10）；支持鼠标模式回传（Mac）</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全数字会议系统主机</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名称：全数字会议系统主机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1.设备具有音频时钟同步传输技术，端到端音频传输＜5ms。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2.内置DSP处理器，具有≥16路音频矩阵、啸叫抑制、≥10段EQ调节、音量dB值调节、延时器调节功能。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3.设备具有会议发言录音功能；搭配会议话筒可以录制单个话筒发言音频或录制所有话筒混音输出音频；支持通过主机U盘录音或PC软件录音。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6.设备具有客户端、WEB端控制方式，通过客户端或WEB端可调节音频矩阵参数（包括EQ、音量、延时器、话筒灵敏度等）、≥16通道输出模式切换</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名称：会议话筒处理器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5.支持话筒同时开麦数量≥16个有线单元+≥8个无线单元。</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4.主席单元具1.采用数字传输链路，通过网口转六芯航空线连接到会议主机级联口供电，非压缩音频传输技术。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4.主席单元具备关闭代表单元发言的优先权限。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10.单元支持web页面固件升级功能。</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9.单元支持web页面固件升级功能。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10.单元支持IP地址嗅探功能，通过PC工具可以查找到未知单元的ID号、IP地址、MAC地址等参数。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11.具有≥2个网口，可用于手拉手级联</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称：连接线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 号：≥10米延长线（一公一母）</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1.一进三出连接单元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≥100M/10M 自适应网络传输，可以实现手拉手级联。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3.每个六芯航空接口支持IEEE802.3、IEEE802.3u、 IEEE802.3x规范。</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名称：会议音频综合管理平台软件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方便项目音频设备统一管理，具有扫描硬件设备功能（包括全数字会议系统、电子桌牌系统、音频处理器、智能混音器、反馈抑制器、数字功放等系统硬件设备），可以通过平台扫描所有在线设备，并显示设备硬件名称、硬件型号、硬件IP地址、在线、离线状态等信息；可以针对不同硬件类型选择适用软件版本，并直接下载或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2.具有检测设备固件版本以及版本升级功能；通过检测在线设备硬件版本，检测到有新版本时提供更新提示，用户可以对固件进行升级。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应用列表显示，支持显示已下载的软件（包括全数字会议系统软件模块、电子桌牌软件模块、反馈抑制器软件模块、智能混音器软件模块、数字音频处理器软件模块、智控数字专业功放软件模块），可以选择打开应用、卸载应用，应用上移、下移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4.具有软件配置信息备份及还原功能（包括全数字会议系统软件模块、反馈抑制器软件模块、智能混音器软件模块、数字音频处理器软件模块、</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名称：专业功放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1.1U机箱设计，采用D类数字功放设计方案。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2.标准XLR输入接口，和LINK输出口。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3.电源采用开关电源技术，效率高，有效的抑制电源谐波。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6.输出功率：立体声@8Ω：≥350W×2；立体声@4Ω：≥600W×2。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名称：专业音箱(含支架）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4.灵敏度≥96dB/W/M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6.高音≥1.4"压缩高音单元×1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7.低音≥8"低音×1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1.具有≥1台接收主机、≥双手持发射机；频率范围等同或优于470-510MHz、540MHz-590MHz、640MHz-690MHz、807MHz-830MHz。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2.接收机具有≥2路平衡输出、≥1路非平衡混音输出。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3.具有自动频率扫描功能，可快速地给麦克风找到清晰的频率。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4.接收机具有显示屏，用户可通过显示屏查看设备发射功率强度、音频加密状态、电池电量、频率数值、智能静音状态、静音标志。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5.具有自动静音功能，麦克风跌落、抛掷时，毫秒级响应自动静音，避免冲击声；产品静置5秒自动静音。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6.麦克风具有长时间静置自动关机功能，设备自动检测工作状态（使用状态、静置状态），静置时间≥8分钟后，设备自动关机。</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2.具有≥2组立体主输出、≥4路编组输出、≥4路辅助输出、≥1组立体声监听输出、≥1个耳机监听输出、≥1个效果输出、≥1组主混音断点插入、≥6个断点插入。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3.内置≥24位DSP效果器，提供≥100种预设效果。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4.具备≥13个60mm行程的高精密碳膜推子。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5.内置USB声卡模块，支持连接电脑进行音乐播放和声音录音；内置MP3播放器，支持≥1个USB接口接U盘播放音乐。</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7.配置双向RS-232接口，可用于控制外部设备；配置RS-485接口，可实现自动摄像跟踪功能。配置≥8通道可</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名称：会议音频综合管理平台软件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方便项目音频设备统一管理，具有扫描硬件设备功能（包括全数字会议系统、电子桌牌系统、音频处理器、智能混音器、反馈抑制器、数字功放等系统硬件设备），可以通过平台扫描所有在线设备，并显示设备硬件名称、硬件型号、硬件IP地址、在线、离线状态等信息；可以针对不同硬件类型选择适用软件版本，并直接下载或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2.具有检测设备固件版本以及版本升级功能；通过检测在线设备硬件版本，检测到有新版本时提供更新提示，用户可以对固件进行升级。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应用列表显示，支持显示已下载的软件（包括全数字会议系统软件模块、电子桌牌软件模块、反馈抑制器软件模块、智能混音器软件模块、数字音频处理器软件模块、智控数字专业功放软件模块），可以选择打开应用、卸载应用，应用上移、下移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4.具有软件配置信息备份及还原功能（包括全数字会议系统软件模块、反馈抑制器软件模块、智能混音器软件模块、数字音频处理器软件模块、</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网络中控主机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名称：网络中控主机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▲1.采用SMT全贴片式生产工艺，高度集成处理芯片，系统运行稳定、流畅。内置等同或优于32位Cortex-A8 ARM架构内嵌式处理器，处理速度≥720MHz。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3.主机具备≥8路独立可编程串口、≥8路独立可编程IR红外发射口、≥8路数字I/0控制口、≥8路弱电继电器控制接口、≥1个NET网络控制接口。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7.支持触发联动。中控主机可根据</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名称：触摸屏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▲1.设备采用操作系统等同或优于Android 11，显示器≥10.1 英寸，显示画面≥1920*1200分辨率，显示屏≥五点触控，摄像头像素≥500W。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2.触摸屏具有物理隐私拨片，滑动可遮挡摄像头，保护用户隐私。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3.内置≥4个拾音麦，拾音距离可达≥5米；搭配中控主机支持通过语音助手控制切换矩阵显示画面、设备开关等功能。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距离传感器，搭配软件可感应人体位置，实现人来亮屏功能；具有光感传感器，搭配软件可采集周边环境光线亮度值并可将数值实时显示；具有温湿度传感器，搭配软件可采集周边温湿度环境并可将数值实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5.具有语音唤醒控制功能；呼唤“</w:t>
            </w:r>
            <w:r>
              <w:rPr>
                <w:rFonts w:hint="eastAsia" w:ascii="宋体" w:hAnsi="宋体" w:cs="宋体"/>
                <w:i w:val="0"/>
                <w:iCs w:val="0"/>
                <w:color w:val="000000"/>
                <w:kern w:val="0"/>
                <w:sz w:val="18"/>
                <w:szCs w:val="18"/>
                <w:u w:val="none"/>
                <w:lang w:val="en-US" w:eastAsia="zh-CN" w:bidi="ar"/>
              </w:rPr>
              <w:t>XX</w:t>
            </w:r>
            <w:r>
              <w:rPr>
                <w:rFonts w:hint="eastAsia" w:ascii="宋体" w:hAnsi="宋体" w:eastAsia="宋体" w:cs="宋体"/>
                <w:i w:val="0"/>
                <w:iCs w:val="0"/>
                <w:color w:val="000000"/>
                <w:kern w:val="0"/>
                <w:sz w:val="18"/>
                <w:szCs w:val="18"/>
                <w:u w:val="none"/>
                <w:lang w:val="en-US" w:eastAsia="zh-CN" w:bidi="ar"/>
              </w:rPr>
              <w:t>”即可唤醒AI语音助手，通过将语音转换成中控指令，实现对周边设备控制或场景调用。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6.内置≥1个背光灯条，搭配中控主机可根据会议状态切换指示灯显示状态，无需接近即可了解会议室使用情况。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7.支持对接会务管理系统；搭配中</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名称：控制器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2.每路继电器都有三连接点的接线柱,具有常开与常闭的功能。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4.具有设备运行状态指示灯及≥8个继电器的开关状态指示灯。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5.具有键盘锁（LOCK）功能。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6.机器具备ID识别，通过中控主机网络控制多台时，可通过ID识别。</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10.95英寸 2021款120Hz高刷全面屏 鸿蒙HarmonyOS 影音娱乐办公学习平板电脑8+128GB WIFI  处理器骁龙865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路由器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1.名 称：1500M高速双频wifi路由器，支持全千兆网口</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名称：超高清视频无缝切换矩阵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1.支持≥4个HDMI输入接口，≥4个HDMI输出接口。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2.最大输入输出分辨率≥3840×2160P@60Hz。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3.支持视频无缝切换、无闪屏、无黑屏。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4.控制接口：≥1×RS-232、≥1×RS-485、≥1×红外传感接收器、≥1×网口、≥1×UPDATE。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5.面板按键：≥4×输入按键、≥4×输出按键、≥6×功能按键。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6.支持EDID管理，可选默认EDID或者现场可学习。</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43</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10.95英寸 2021款120Hz高刷全面屏 鸿蒙HarmonyOS 影音娱乐办公学习平板电脑8+128GB WIFI  处理器骁龙865</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44</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机柜、机架</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称：42U机柜，600*600*2055mm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格：8口PDU国标电源插排×1，固定板部件×3,风扇×2,2"重型脚轮×4，M12支脚×4，M6方螺母螺钉×40，内六角扳手×1</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45</w:t>
            </w:r>
          </w:p>
        </w:tc>
        <w:tc>
          <w:tcPr>
            <w:tcW w:w="132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交换机</w:t>
            </w:r>
          </w:p>
        </w:tc>
        <w:tc>
          <w:tcPr>
            <w:tcW w:w="53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1.8 个10/100/1000BASE-T以太网端口，4个干兆 SFP(不含光模块)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2.交换容量：336Gbps/3.36Tbps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3.包转发率：27/102Mpps</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名称：电源管理器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4.具有一路及以上USB输出接口。</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18"/>
                <w:szCs w:val="18"/>
                <w:u w:val="none"/>
                <w:lang w:val="en-US" w:eastAsia="zh-CN" w:bidi="ar"/>
              </w:rPr>
              <w:t>机柜、机架</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18"/>
                <w:szCs w:val="18"/>
                <w:u w:val="none"/>
                <w:lang w:val="en-US" w:eastAsia="zh-CN" w:bidi="ar"/>
              </w:rPr>
              <w:t>1.名 称：42U机柜，600*600*2055mm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格：8口PDU国标电源插排×1，固定板部件×3,风扇×2,2"重型脚轮×4，M12支脚×4，M6方螺母螺钉×40，内六角扳手×1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交换机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1.8 个10/100/1000BASE-T以太网端口，4个干兆 SFP(不含光模块)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2.交换容量：336Gbps/3.36Tbps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3.包转发率：27/102Mpps</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名称：电源管理器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4.具有一路及以上USB输出接口。</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1.插座采用全铝结构，信息模块接口采用标准模块。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2.弹起式桌面插座，支持45°仰角。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4.配置接口：≥1个多功能电源接口、≥2个RJ45网络、≥1个3.5音频、≥1个HDMI高清视频接口、≥1个功能按键</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1．具备≥2路输入、≥2路输出，工业标准接线端子。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2．隔离静噪抗干扰器，消除“嗡”音和“嗞”音“超大电流声”</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5米音频连接线：3.5（耳机插头）-双6.35话筒插头</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1.8米音频连接线：卡侬头（母）-卡侬头（公）</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53</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3米音频连接线：卡农头（母）-空</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3米音频连接线：6.35话筒插头-空</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1.8米音频连接线：卡农头（公）-空</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四楼会议室</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57</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智慧会议平板</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名称：智慧会议平板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1.内置Windows操作系统，系统版本优于或等同于Windows 10 IoT正版已激活操作系统；CPU等同或优于11代i3、内存≥8G、存储≥128G。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2.整机屏幕采用≥98英寸DLED液晶屏，显示比例16:9，屏幕图像分辨率≥3840*2160，色彩度≥10bit ,色域≥85%NTSC；可视角度≥178°；支持全高清4K系统图标显示。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3.支持≥40点或以上触摸；内置高清摄像头像素≥1200W，摄像头视场角度≥105°，阵列麦≥8，拾音距离≥10m，支持自动降噪、自动增益、回声消除、声源定位功能。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4.输入接口：LAN≥1；TOUCH≥1；HDMI-IN≥1；DP-IN≥1；VIDEO-IN（USB-C+反控）≥1；LINE-IN≥1；MIC-IN≥1；USB-A(gen3 10G速率)≥4；USB-C（gen3 10G 速率）≥1；RS232≥1；IO≥2；RELAY≥2；输出接口：HDMI-OUT≥1；LINE-OUT≥1。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5.产品采用 2.1声道设计，具有3个音腔 ，1*32W（低音）+2*20W（中高音）缝隙发声扬声器；提供≥5种场景音效选择。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6.支持待机状态下，HDMI通道信号</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58</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移动支架</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名称：移动支架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1.高度调节行程：0-430mm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2.高度调节方式：螺丝锁定调整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3.材质：SPCC高强度钢（主体）/PA6+PB（轮子）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4.支架安装适配一体机尺寸：86英寸-98英寸</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59</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名称：传屏器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1.会议模式：主持人模式：主持人可以触摸屏幕列表选择指定PC传屏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2.与会人员模式：当前非主持人传屏时，谁按下传屏按钮谁就获取传屏控制权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3.帧率：音视频18~30帧；分辨率：720P~1080P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4.频段：2.4GHz/5GHz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5.传输距离：无遮挡的情况下30m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6.显示模式：支持扩展桌面（Windows 7/8/10）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7.触摸反控：支持10点触摸回传（Windows 7/8/10）；支持鼠标模式回传（Mac）</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全数字会议系统主机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名称：全数字会议系统主机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1.设备具有音频时钟同步传输技术，端到端音频传输＜5ms。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2.内置DSP处理器，具有≥16路音频矩阵、啸叫抑制、≥10段EQ调节、音量dB值调节、延时器调节功能。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3.设备具有会议发言录音功能；搭配会议话筒可以录制单个话筒发言音频或录制所有话筒混音输出音频；支持通过主机U盘录音或PC软件录音。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6.设备具有客户端、WEB端控制方式，通过客户端或WEB端可调节音频矩阵参数（包括EQ、音量、延时器、话筒灵敏度等）、≥16通道输出模式切换、开关话筒同步、中英俄法四种语言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名称：会议话筒处理器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5.支持话筒同时开麦数量≥16个有线单元+≥8个无线单元。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4.主席单元具备关闭代表单元发言的优先权限。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10.单元支持web页面固件升级功能。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12.具有≥2个网口，可用于手拉手级联。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4.主席单元具备关闭代表单元发言的优先权限。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10.单元支持web页面固件升级功能。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12.具有≥2个网口，可用于手拉手级联。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称：连接线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 号：≥10米延长线（一公一母）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1.一进三出连接单元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≥100M/10M 自适应网络传输，可以实现手拉手级联。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3.每个六芯航空接口支持IEEE802.3、IEEE802.3u、 IEEE802.3x规范。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名称：专业功放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1.1U机箱设计，采用D类数字功放设计方案。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2.标准XLR输入接口，和LINK输出口。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3.电源采用开关电源技术，效率高，有效的抑制电源谐波。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6.输出功率：立体声@8Ω：≥350W×2；立体声@4Ω：≥600W×2。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名称：专业音箱(含支架）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4.灵敏度≥96dB/W/M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6.高音≥1.4"压缩高音单元×1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7.低音≥8"低音×1</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1.具有≥1台接收主机、≥双手持发射机；频率范围等同或优于470-510MHz、540MHz-590MHz、640MHz-690MHz、807MHz-830MHz。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2.接收机具有≥2路平衡输出、≥1路非平衡混音输出。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3.具有自动频率扫描功能，可快速地给麦克风找到清晰的频率。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4.接收机具有显示屏，用户可通过显示屏查看设备发射功率强度、音频加密状态、电池电量、频率数值、智能静音状态、静音标志。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5.具有自动静音功能，麦克风跌落、抛掷时，毫秒级响应自动静音，避免冲击声；产品静置5秒自动静音。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6.麦克风具有长时间静置自动关机功能，设备自动检测工作状态（使用状态、静置状态），静置时间≥8分钟后，设备自动关机。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2.具有≥2组立体主输出、≥4路编组输出、≥4路辅助输出、≥1组立体声监听输出、≥1个耳机监听输出、≥1个效果输出、≥1组主混音断点插入、≥6个断点插入。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3.内置≥24位DSP效果器，提供≥100种预设效果。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4.具备≥13个60mm行程的高精密碳膜推子。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5.内置USB声卡模块，支持连接电脑进行音乐播放和声音录音；内置MP3播放器，支持≥1个USB接口接U盘播放音乐。</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提供设备界面截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7.配置双向RS-232接口，可用于控制外部设备；配置RS-485接口，可实现自动摄像跟踪功能。配置≥8通道可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名称：会议音频综合管理平台软件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方便项目音频设备统一管理，具有扫描硬件设备功能（包括全数字会议系统、电子桌牌系统、音频处理器、智能混音器、反馈抑制器、数字功放等系统硬件设备），可以通过平台扫描所有在线设备，并显示设备硬件名称、硬件型号、硬件IP地址、在线、离线状态等信息；可以针对不同硬件类型选择适用软件版本，并直接下载或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2.具有检测设备固件版本以及版本升级功能；通过检测在线设备硬件版本，检测到有新版本时提供更新提示，用户可以对固件进行升级。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应用列表显示，支持显示已下载的软件（包括全数字会议系统软件模块、电子桌牌软件模块、反馈抑制器软件模块、智能混音器软件模块、数字音频处理器软件模块、智控数字专业功放软件模块），可以选择打开应用、卸载应用，应用上移、下移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4.具有软件配置信息备份及还原功能（包括全数字会议系统软件模块、反馈抑制器软件模块、智能混音器软件模块、数字音频处理器软件模块、</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网络中控主机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名称：网络中控主机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▲1.采用SMT全贴片式生产工艺，高度集成处理芯片，系统运行稳定、流畅。内置等同或优于32位Cortex-A8 ARM架构内嵌式处理器，处理速度≥720MHz。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3.主机具备≥8路独立可编程串口、≥8路独立可编程IR红外发射口、≥8路数字I/0控制口、≥8路弱电继电器控制接口、≥1个NET网络控制接口。（提供设备接口图佐证）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6.支持双机热备份。当中控主机出现故障时，备用中控主机自动承担服务，从而保证系统在不需要人工干预的情况下能正常运行。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1.设备采用操作系统等同或优于Android 11，显示器≥10.1 英寸，显示画面≥1920*1200分辨率，显示屏≥五点触控，摄像头像素≥500W。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2.触摸屏具有物理隐私拨片，滑动可遮挡摄像头，保护用户隐私。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3.内置≥4个拾音麦，拾音距离可达≥5米；搭配中控主机支持通过语音助手控制切换矩阵显示画面、设备开关等功能。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距离传感器，搭配软件可感应人体位置，实现人来亮屏功能；具有光感传感器，搭配软件可采集周边环境光线亮度值并可将数值实时显示；具有温湿度传感器，搭配软件可采集周边温湿度环境并可将数值实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5.具有语音唤醒控制功能；呼唤“</w:t>
            </w:r>
            <w:r>
              <w:rPr>
                <w:rFonts w:hint="eastAsia" w:ascii="宋体" w:hAnsi="宋体" w:cs="宋体"/>
                <w:i w:val="0"/>
                <w:iCs w:val="0"/>
                <w:color w:val="000000"/>
                <w:kern w:val="0"/>
                <w:sz w:val="18"/>
                <w:szCs w:val="18"/>
                <w:u w:val="none"/>
                <w:lang w:val="en-US" w:eastAsia="zh-CN" w:bidi="ar"/>
              </w:rPr>
              <w:t>XX</w:t>
            </w:r>
            <w:r>
              <w:rPr>
                <w:rFonts w:hint="eastAsia" w:ascii="宋体" w:hAnsi="宋体" w:eastAsia="宋体" w:cs="宋体"/>
                <w:i w:val="0"/>
                <w:iCs w:val="0"/>
                <w:color w:val="000000"/>
                <w:kern w:val="0"/>
                <w:sz w:val="18"/>
                <w:szCs w:val="18"/>
                <w:u w:val="none"/>
                <w:lang w:val="en-US" w:eastAsia="zh-CN" w:bidi="ar"/>
              </w:rPr>
              <w:t>”即可唤醒AI语音助手，通过将语音转换成中控指令，实现对周边设备控制或场景调用。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6.内置≥1个背光灯条，搭配中控主机可根据会议状态切换指示灯显示状态，无需接近即可了解会议室使用情况。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7.支持对接会务管理系统；搭配中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2.每路继电器都有三连接点的接线柱,具有常开与常闭的功能。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4.具有设备运行状态指示灯及≥8个继电器的开关状态指示灯。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5.具有键盘锁（LOCK）功能。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6.机器具备ID识别，通过中控主机网络控制多台时，可通过ID识别。</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称：安卓平板电脑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 别：10.95英寸 2021款120Hz高刷全面屏 鸿蒙HarmonyOS 影音娱乐办公学习平板电脑8+128GB WIFI  处理器骁龙865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路由器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称：1500M高速双频wifi路由器，支持全千兆网口</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名称：超高清视频无缝切换矩阵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1.支持≥4个HDMI输入接口，≥4个HDMI输出接口。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2.最大输入输出分辨率≥3840×2160P@60Hz。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3.支持视频无缝切换、无闪屏、无黑屏。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4.控制接口：≥1×RS-232、≥1×RS-485、≥1×红外传感接收器、≥1×网口、≥1×UPDATE。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5.面板按键：≥4×输入按键、≥4×输出按键、≥6×功能按键。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6.支持EDID管理，可选默认EDID或者现场可学习。</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机柜、机架</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1.名 称：42U机柜，600*600*2055mm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格：8口PDU国标电源插排×1，固定板部件×3,风扇×2,2"重型脚轮×4，M12支脚×4，M6方螺母螺钉×40，内六角扳手×1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交换机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1.8 个10/100/1000BASE-T以太网端口，4个干兆 SFP(不含光模块)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2.交换容量：336Gbps/3.36Tbps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3.包转发率：27/102Mpps</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名称：电源管理器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4.具有一路及以上USB输出接口。</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名称：桌插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1.插座采用全铝结构，信息模块接口采用标准模块。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2.弹起式桌面插座，支持45°仰角。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4.配置接口：≥1个多功能电源接口、≥2个RJ45网络、≥1个3.5音频、≥1个HDMI高清视频接口、≥1个功能按键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1．具备≥2路输入、≥2路输出，工业标准接线端子。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2．隔离静噪抗干扰器，消除“嗡”音和“嗞”音“超大电流声”</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5米音频连接线：3.5（耳机插头）-双6.35话筒插头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1.8米音频连接线：卡侬头（母）-卡侬头（公）</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3米音频连接线：卡农头（母）-空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3米音频连接线：6.35话筒插头-空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1.8米音频连接线：卡农头（公）-空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五楼报告厅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名称：户内全彩LED屏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1.LED显示屏灯珠采用表贴三合一铜线封装；LED封装形式：SMD1515黑灯；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2.LED显示屏采用≤2.0mm点间距；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4.LED显示屏采用前/后维护方式，可正面拆卸模组、接收卡、电源等低压器件，具备热插拔能力；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5.LED显示屏符合等同或优于IP5X防护等级；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6.LED显示屏亮度可达到200-800CD/m²，可通过配套软件0-100%调节，设置亮度定时调节；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w:t>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iCs/>
                <w:color w:val="auto"/>
                <w:sz w:val="24"/>
                <w:szCs w:val="24"/>
                <w:highlight w:val="none"/>
                <w:lang w:val="en-US" w:eastAsia="zh-CN"/>
              </w:rPr>
              <w:t>▲</w:t>
            </w:r>
            <w:r>
              <w:rPr>
                <w:rFonts w:hint="eastAsia" w:ascii="宋体" w:hAnsi="宋体" w:eastAsia="宋体" w:cs="宋体"/>
                <w:i w:val="0"/>
                <w:iCs w:val="0"/>
                <w:color w:val="000000"/>
                <w:kern w:val="0"/>
                <w:sz w:val="18"/>
                <w:szCs w:val="18"/>
                <w:u w:val="none"/>
                <w:lang w:val="en-US" w:eastAsia="zh-CN" w:bidi="ar"/>
              </w:rPr>
              <w:t>8.LED显示屏刷新频率≥4200Hz，可通过配套控制软件调节刷新率设置选项；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9.LED显示屏色温100K-20000K连续可调，可设冷色、暖色、标准等多档白场调节,色温为8500K时，100%、75%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收发器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发送盒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1.具备带载面积≥260万像素，最宽≥4096点，或最高≥2560点；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2.具备输入分辨率≥1920×1200@60Hz，支持自定义分辨率设置；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3.具备≥4路千兆网口输出；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5.具备画面偏移；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6.具备独立音频输入；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8.具备亮度和色温调节；</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名称：台式电脑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1.处理器：I5处理器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3.硬盘：1TB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4.系统：Windows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5.包含21.45英寸显示器</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1.额定功率：≥10kW，输出路数：≥3路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2.输入电压：三相五线制AC380V±10%，频率50Hz±5%，具有高温断电、浪涌、短路、过流、过载保护功能；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3.输出电压：单相三线制AC220V±10%；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4.内置避雷器，具有避雷防雷功能；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5.配电柜含多功能卡控制，具有远程控制功能、RS232串口或千兆网口通信；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6.通过LED显示屏智慧控制系统软件搭配多功能卡实现电源监视、温度监控操作；</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全数字会议系统主机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名称：全数字会议系统主机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1.设备具有音频时钟同步传输技术，端到端音频传输＜5ms。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2.内置DSP处理器，具有≥16路音频矩阵、啸叫抑制、≥10段EQ调节、音量dB值调节、延时器调节功能。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3.设备具有会议发言录音功能；搭配会议话筒可以录制单个话筒发言音频或录制所有话筒混音输出音频；支持通过主机U盘录音或PC软件录音。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6.设备具有客户端、WEB端控制方式，通过客户端或WEB端可调节音频矩阵参数（包括EQ、音量、延时器、话筒灵敏度等）、≥16通道输出模式切换、开关话筒同步、中英俄法四种语言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名称：会议话筒处理器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5.支持话筒同时开麦数量≥16个有线单元+≥8个无线单元。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名称：会议话筒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4.主席单元具备关闭代表单元发言的优先权限。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10.单元支持IP地址嗅探功能，通过PC工具可以查找到未知单元的ID号、IP地址、MAC地址等参数。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11.具有≥2个网口，可用于手拉手级联。（提供设备接口图佐证）</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3.单元支持PC软件话筒控制，支持声控功能。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4.单元具有TCP/IP协议簇，支持ICMP、HTTP、UDP、TCP、IGMP等多种协议。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5.单元支持PING包功能。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6.单元内部具有反馈抑制功能，具有声控功能，声控灵敏度可调。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7.单元具有≥5段EQ调节功能。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8.单元支持签到功能，也可以通过PC软件禁止单元签到、控制单元签到等功能。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9.单元支持web页面固件升级功能。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10.单元支持IP地址嗅探功能，通过PC工具可以查找到未知单元的ID号、IP地址、MAC地址等参数。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11.具有≥2个网口，可用于手拉手级联。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 称：连接线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 号：≥20米延长线（一公一母）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1.一进三出连接单元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≥100M/10M 自适应网络传输，可以实现手拉手级联。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3.每个六芯航空接口支持IEEE802.3、IEEE802.3u、 IEEE802.3x规范。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名称：专业功放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1.1U机箱设计，采用D类数字功放设计方案。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2.标准XLR输入接口，和LINK输出口。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3.电源采用开关电源技术，效率高，有效的抑制电源谐波。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6.输出功率：立体声@8Ω：≥500W×2；立体声@4Ω：≥850W×2；桥接@8Ω：≥1700W。</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名称：专业音箱(含支架）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4.灵敏度≥99dB/W/M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6.高音≥1.7"压缩高音单元×1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7.低音≥12"低音×1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名称：专业功放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1.1U机箱设计，采用D类数字功放设计方案。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2.标准XLR输入接口，和LINK输出口。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3.电源采用开关电源技术，效率高，有效的抑制电源谐波。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6.输出功率：立体声@8Ω：≥350W×2；立体声@4Ω：≥600W×2。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名称：专业音箱(含支架）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4.灵敏度≥96dB/W/M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6.高音≥1.4"压缩高音单元×1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7.低音≥8"低音×1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1.具有≥1台接收主机、≥双手持发射机；频率范围等同或优于470-510MHz、540MHz-590MHz、640MHz-690MHz、807MHz-830MHz。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2.接收机具有≥2路平衡输出、≥1路非平衡混音输出。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3.具有自动频率扫描功能，可快速地给麦克风找到清晰的频率。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4.接收机具有显示屏，用户可通过显示屏查看设备发射功率强度、音频加密状态、电池电量、频率数值、智能静音状态、静音标志。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5.具有自动静音功能，麦克风跌落、抛掷时，毫秒级响应自动静音，避免冲击声；产品静置5秒自动静音。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6.麦克风具有长时间静置自动关机功能，设备自动检测工作状态（使用状态、静置状态），静置时间≥8分钟后，设备自动关机。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名称：话筒天线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1.射频频率范围等同或优于470～950MHz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2.驻波比：≤2.0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4.指向性：≥180度指向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2.内置≥24位DSP效果器，提供≥100种预设效果。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3.具备≥13个60mm行程的高精密碳膜推子。</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7.支持断电自动保护记忆功能。支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名称：会议音频综合管理平台软件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软件配置信息备份及还原功能（包括全数字会议系统软件模块、反馈抑制器软件模块、智能混音器软件模块、数字音频处理器软件模块、智控数字专业功放软件模块），支持将软件配置信息上传云端或保存本地，用户可以选择备份数据一键还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2.具有全数字会议系统软件模块，软件具有签到、表决、话筒管理、会议管理、模拟排位、摄像跟踪、译员机语种及多语言版本功能。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3.具有反馈抑制器软件模块，软件支持反馈抑制AFC、场景切换及导入导出、在线固件升级、多设备管理、用户管理、信号选择、模拟输入、模拟输出、陷波器、噪声门、限幅器音频参数配置功能。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.具有智能混音器软件模块，软件支持多设备管理、≥4场景切换、在线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网络中控主机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名称：网络中控主机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▲1.采用SMT全贴片式生产工艺，高度集成处理芯片，系统运行稳定、流畅。内置等同或优于32位Cortex-A8 ARM架构内嵌式处理器，处理速度≥720MHz。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3.主机具备≥8路独立可编程串口、≥8路独立可编程IR红外发射口、≥8路数字I/0控制口、≥8路弱电继电器控制接口、≥1个NET网络控制接口。（提供设备接口图佐证）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6.支持双机热备份。当中控主机出现故障时，备用中控主机自动承担服务，从而保证系统在不需要人工干预的情况下能正常运行。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▲1.设备采用操作系统等同或优于Android 11，显示器≥10.1 英寸，显示画面≥1920*1200分辨率，显示屏≥五点触控，摄像头像素≥500W。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2.触摸屏具有物理隐私拨片，滑动可遮挡摄像头，保护用户隐私。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3.内置≥4个拾音麦，拾音距离可达≥5米；搭配中控主机支持通过语音助手控制切换矩阵显示画面、设备开关等功能。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距离传感器，搭配软件可感应人体位置，实现人来亮屏功能；具有光感传感器，搭配软件可采集周边环境光线亮度值并可将数值实时显示；具有温湿度传感器，搭配软件可采集周边温湿度环境并可将数值实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5.具有语音唤醒控制功能；呼唤“小慧”即可唤醒AI语音助手，通过将语音转换成中控指令，实现对周边设备控制或场景调用。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6.内置≥1个背光灯条，搭配中控主机可根据会议状态切换指示灯显示状态，无需接近即可了解会议室使用情况。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7.支持对接会务管理系统；搭配中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2.每路继电器都有三连接点的接线柱,具有常开与常闭的功能。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4.具有设备运行状态指示灯及≥8个继电器的开关状态指示灯。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5.具有键盘锁（LOCK）功能。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6.机器具备ID识别，通过中控主机网络控制多台时，可通过ID识别。</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 称：安卓平板电脑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 别：10.95英寸 2021款120Hz高刷全面屏 鸿蒙HarmonyOS 影音娱乐办公学习平板电脑8+128GB WIFI  处理器骁龙865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 称：1500M高速双频wifi路由器，支持全千兆网口</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视频控制设备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名称：无缝高清矩阵切换器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3.支持无缝切换功能，切换过程无黑屏信号。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4.分辨率支持≥4Kx2K。支持断电记忆功能，免除上电重复设置动作。系统内可存储多组预切换指令，调用时可以一键切换。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5.支持模拟音频与HDMI内嵌音频选择输入、支持模拟音频与HDMI内嵌音频同时输出。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6.支持接入≥1块控制板卡，具有≥1路RS-232,≥1路RS-485,≥1路TCP/IP端口（PC软件）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7.HDBaseT输入输出信号支持双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SDI无缝高清输入卡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名称：SDI无缝高清输入卡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1.支持≥4路SDI视频信号输入，支持热插拔。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2.带宽支持19Mbps至2.97Gbps，支持分辨率≥1080P，兼容HDTV。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3.支持快速无缝切换，无闪烁，无黑屏。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4.支持断电现场切换记忆保护功能。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5.兼容各种格式的SDI信号，包括：SD/HD/3G-SDI(自适应)。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HDMI无缝高清输入卡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名称：HDMI无缝高清输入卡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2.支持快速无缝切换，无闪烁，无黑屏。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3.支持断电现场切换记忆保护功能，特有ESD静电保护功能。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4.兼容HDMI1.3a的标准，HDCP1.3协议，DVI1.0协议。支持分辨率≥1920X1200P@60。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HDMI无缝高清输出卡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名称：HDMI无缝高清输出卡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2.支持快速无缝切换，无闪烁，无黑屏。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3.支持断电现场切换记忆保护功能，特有ESD静电保护功能。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4.兼容HDMI1.3a的标准，HDCP1.3协议，DVI1.0协议。支持倍线功能，分辨率支持≥1080P。</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 称：42U机柜，600*600*2055mm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格：8口PDU国标电源插排×1，固定板部件×3,风扇×2,2"重型脚轮×4，M12支脚×4，M6方螺母螺钉×40，内六角扳手×1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 个10/100/1000BASE-T以太网端口，4个干兆 SFP(不含光模块)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2.交换容量：336Gbps/3.36Tbps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3.包转发率：27/102Mpps</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名称：电源管理器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4.具有一路及以上USB输出接口。</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名称：桌插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1.插座采用全铝结构，信息模块接口采用标准模块。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2.弹起式桌面插座，支持45°仰角。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4.配置接口：≥1个多功能电源接口、≥2个RJ45网络、≥1个3.5音频、≥1个HDMI高清视频接口、≥1个功能按键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1．具备≥2路输入、≥2路输出，工业标准接线端子。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2．隔离静噪抗干扰器，消除“嗡”音和“嗞”音“超大电流声”</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5米音频连接线：3.5（耳机插头）-双6.35话筒插头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1.8米音频连接线：卡侬头（母）-卡侬头（公）</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3米音频连接线：卡农头（母）-空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3米音频连接线：6.35话筒插头-空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1.8米音频连接线：卡农头（公）-空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专用线缆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1.8米音频连接线：3.5（耳机插头）-6.35话筒插头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拆除装修</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一层大厅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1.部位：大厅左侧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2.原墙面石材及内钢架拆除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1.部位：大厅右侧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2.原墙面砖砌体拆除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墙柱面龙骨及饰面拆除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1.部位：连廊正面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2.原石膏板龙骨拆除，风口拆除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木构件拆除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1.部位：连廊下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2.原墙面木饰面及基层拆除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1.部位：一层电梯厅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2.原墙面石材及内钢架拆除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1.部位：一层电梯厅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2.原墙面石材及内钢架拆除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三层走廊及党员活动室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金属门窗拆除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1拆除房间门及门套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零星砌砖</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1、封堵门洞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2、砖品种、规格、强度等级：MU15标准砖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3、砂浆强度等级、配合比：水泥M7.5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隔断隔墙拆除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1.拆除原隔墙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1.拆除房间原地面石材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1.石膏板吊顶拆除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1.部位：四层电梯厅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2.原墙面石材及内钢架拆除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四层党员活动室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金属门窗拆除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1拆除房间门及门套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零星砌砖</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1、封堵门洞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2、砖品种、规格、强度等级：MU15标准砖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3、砂浆强度等级、配合比：水泥M7.5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1.扩大门洞，为双开门口2100*2300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隔断隔墙拆除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1.拆除原隔墙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1.拆除房间内的原地面石材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1.拆除房间内的石膏板吊顶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立面块料拆除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1.部位：四层电梯厅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2.原墙面石材及内钢架拆除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3.垃圾外运，运距自行考虑</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一层大厅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大厅左侧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1.龙骨材料种类、规格、中距：100系轻钢龙骨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3.面层材料品种、规格、颜色：2.0厚白色铝板斜面造型</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大厅左侧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1.龙骨材料种类、规格、中距：100系轻钢龙骨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3.面层材料品种、规格、颜色：玫瑰金不锈钢格栅40*20@40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大厅右侧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3.面层材料品种、规格、颜色：白色实木格栅40*20@40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2.涂料品种、喷刷遍数：艺术漆三遍（远景山深灰色艺术漆、中景山浅灰色艺术漆、近景山白色艺术漆）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连廊正面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1.龙骨材料种类、规格、中距：U50轻钢龙骨平面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2.基层材料种类、规格：双层9.5mm耐火石膏板基层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3.嵌缝材料种类：板缝贴胶带、点锈</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2.涂料品种、喷刷遍数：艺术漆三遍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公司架构墙面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2.涂料品种、喷刷遍数：白色艺术漆三遍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铝合金风口</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1.白色铝合金风口</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金属装饰线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1.拉丝玫瑰金不锈钢收边 40*20 厚度 1.2MM.</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1.龙骨材料种类、规格、中距：100系轻钢龙骨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2.涂料品种、喷刷遍数：米色艺术漆三遍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3.面层材料品种、规格、颜色：橡木实木格栅</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平面、箱式招牌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1.6+1+6厚超白钢化夹胶玻璃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2.不锈钢底座 3580*500*200，不锈钢厚度 1.2MM，内部 8个万向轮。</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1.龙骨材料种类、规格、中距：100系轻钢龙骨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2.涂料品种、喷刷遍数：艺术漆三遍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3.面层材料品种、规格、颜色：橡木实木格栅</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1.龙骨材料种类、规格、中距：100系轻钢龙骨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1.刮腻子要求：腻子两遍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不锈钢底座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1.不锈钢底座 3580*500*200，不锈钢厚度 1.2MM</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3.面层材料品种、规格、颜色：米白色长城板格栅@25*10*20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3.面层材料品种、规格、颜色：白色实木格栅40*20@40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三层党员活动室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1.龙骨材料种类、规格、中距：U50轻钢龙骨平面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2.基层材料种类、规格：双层9.5mm耐火石膏板基层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3.嵌缝材料种类：板缝贴胶带、点锈</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竹、木（复合）地板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1.30厚1:2.5水泥砂浆地面找平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2.3mm自流平地面找平，平整度达到铺地要求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3.910*127*15mm胡桃木实木地板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1.骨架、边框材料种类、规格：轻钢龙骨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2.隔板材料品种、规格、颜色：石膏板内填隔音棉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1.门框、扇材质：成品木质门1800*2400，(含门套五金等一切配件）</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1.涂料品种、喷刷遍数：乳胶漆刷白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木质踢脚线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1.120高成品木饰面踢脚线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谈心室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1.专用腻子粉两遍,粗细砂纸打磨平整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金属装饰线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1.拉丝玫瑰金嵌条 10*10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3.面层材料品种、规格、颜色：本色实木格栅65*15@10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3.面层材料品种、规格、颜色：实木格栅@50*10*20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3.面层材料品种、规格、颜色：实木格栅@20*10*20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3.面层材料品种、规格、颜色：3mm橡木橡木木饰面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四层党会议室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1.龙骨材料种类、规格、中距：U50轻钢龙骨平面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2.基层材料种类、规格：双层9.5mm耐火石膏板基层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3.嵌缝材料种类：板缝贴胶带、点锈</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木质踢脚线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1.120高成品木饰面踢脚线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1.门框、扇材质：成品木质门2100*2300，(含门套五金等一切配件）</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竹、木（复合）地板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1.30厚1:2.5水泥砂浆地面找平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2.3mm自流平地面找平，平整度达到铺地要求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3.910*127*15mm胡桃木实木地板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3.面层材料品种、规格、颜色：3mm橡木木饰面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3.面层材料品种、规格、颜色：橡木饰面格栅@20*10*20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五层电梯厅</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1.刮腻子要求：满刮腻子2遍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3.面层材料品种、规格、颜色：橡木实木格栅</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职工风采背景墙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1.刮腻子要求：满刮腻子2遍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企业荣誉墙、企业发展历程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3.面层材料品种、规格、颜色：9.5mm石膏板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1.刮腻子要求：满刮腻子2遍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乒乓球室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1.刮腻子要求：满刮腻子2遍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健身房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1.刮腻子要求：满刮腻子2遍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2.涂料品种、喷刷遍数：防霉无机涂料1底2面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1.面层材料品种、规格、颜色：墙面贴满6mm镜子</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玻璃隔断</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1.玻璃品种、规格、颜色：12厚钢化玻璃隔墙</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1.门代号及洞口尺寸：平开玻璃门1500*2200(含五金等一切配件）</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瑜伽房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1.面层材料品种、规格、颜色：墙面贴满6mm镜子</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竹、木（复合）地板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1.30厚1:2.5水泥砂浆地面找平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2.3mm自流平地面找平，平整度达到铺地要求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3.910*127*15mm胡桃木实木地板</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大会议室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天棚喷刷涂料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1.涂料品种、喷刷遍数：乳胶漆一遍</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墙面装饰板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1.龙骨材料种类、规格、中距：100轻钢龙骨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2.基层材料种类、规格：12厚多层阻燃板基层+9.5mm石膏板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3.面层材料品种、规格、颜色：3mm橡木木饰面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原党建展陈拆除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1.原党建展陈、玻璃车贴等拆除</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党建陈设</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不锈钢用1.2mm的厚度，玫瑰金拉丝，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6cm的立体厚度，不锈钢包边发光字，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面部是2.5mm的亚克力，无缝打磨电镀。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不锈钢用1.2mm的厚度，侧边黑色烤漆，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6cm的立体厚度，不锈钢包边发光字，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面部是2.5mm的白色亚克力，无缝打磨电镀。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不锈钢用1.2mm的厚度，侧边黑色烤漆，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6cm的立体厚度，不锈钢包边发光字，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面部是2.5mm的白色亚克力，无缝打磨电镀。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玻璃贴（户外2文件名）</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右上角的色块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商标组合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底部图案组合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大厅左侧墙面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不锈钢用1.2mm厚度，底部PVC8mm，玫瑰金拉丝2厘米的立体厚度的精工字，无缝打磨电镀不锈钢发光字</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开拓进取引领商业发展新风尚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拉丝2厘米的立体厚度的精工字，无缝打磨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电镀不锈钢包边发光字含灯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大厅右侧墙面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不锈钢用1.2mm厚度，底部PVC8mm，黑色拉丝2厘米的立体厚度的精工字，无缝打磨电镀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不锈钢用1.2mm厚度，底部PVC8mm，黑色拉丝2厘米的立体厚度的精工字，无缝打磨电镀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大厅连廊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忠诚勤业务实创新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中间发光弧线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8MM半透明磨砂亚克力含灯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大厅公司架构与主营业务板块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企业文字介绍</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磁性（磁底+磁面）</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一楼电梯厅玻璃门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玻璃贴</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户外车贴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一楼电梯间1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不锈钢用1.2mm厚度，底部PVC8mm，玫瑰金拉丝2厘米的立体厚度的精工字，无缝打磨电镀不锈钢发光字</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LOGO下的白色底</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SHENGZHOU 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公司索引</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右下角LOGO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右下角商业集团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右下角COMMERCIAL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右下角建筑物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一楼电梯间2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一楼电梯间3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COMMERCIAL GROUP斜的</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携手并进共创未来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班子成员及分工下的板块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班子成员及分工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右上角的LOGO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右上角的商业集团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一楼电梯间4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二层电梯间1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011508002001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0.8mm不锈钢的拉丝玫瑰金左右可以抽拉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可以换插片，材质亚克力54*102cm</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左上角的商业集团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星星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安全舒适公务出行新标杆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二层电梯间2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用心服务传递温暖</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TRAFFIC SAFETY</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三层电梯间1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构建国企发展新格局</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拉丝2厘米的立体厚度的精工字，无缝打磨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电镀不锈钢包边发光字含灯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不锈钢用1.2mm厚度，底部PVC8mm，红色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拉丝2厘米的立体厚度的精工字，无缝打磨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电镀不锈钢包边发光字含灯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楼层索引牌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0.8mm不锈钢的拉丝玫瑰金左右可以抽拉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可以换插片，材质亚克力54*102cm</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左上角的商业集团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右上角COMMERCIAL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五角星底色</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雪绒布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构建国企发展新格局下方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的长方形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三层电梯间2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梦想启航，共创辉煌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不锈钢用1.2mm厚度，底部PVC8mm，玫瑰金拉丝2厘米的立体厚度的精工字，发光字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无缝打磨电镀含灯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三层电梯间3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携手并进共筑未来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LOGO外框线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飘旗加五星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社会主义核心价值观字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人民有信仰字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华表柱子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底部长城</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圆柱体</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四个自信四个意识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坚定 牢记 做到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四个自信四个意识等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坚决维护等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坚决维护等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底部波浪</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不忘牢记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初心使命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华表柱子加党旗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为中华民族谋复兴等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扎实开展三会等文字加色块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组织生活有力度下的色块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组织生活有力度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参观红色教育基地色块等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不忘初心牢记使命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雪弗板粘1.8mm亚克力卡槽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照片下的文字说明</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底部图案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标语文字加色块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志愿服务有深度等加色块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红方有立度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功成不必在我等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雪弗板粘1.8mm亚克力卡槽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照片下的文字说明</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不忘初心加底色方框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标语文字加色块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标语文字加色块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华表柱子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3只鸟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五角星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守初心等文字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底部装饰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多边形图案和照片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五四青年节活动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只争朝夕等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雪弗板粘1.8mm亚克力卡槽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标语文字加色块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标语文字加色块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多边形图案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雪弗板粘1.8mm亚克力卡槽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底部波浪</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牢记使命文字加色块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结语</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结语文字内容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荷花</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三层电梯正对长廊-左1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底部建筑物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华表柱子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党建文化长廊底板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永远跟党走底板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携手并进再创辉煌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党建文化长廊底板小</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党建文化长廊底</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新时代新思想等文字加色块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党建文化长廊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三层电梯正对长廊-左2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坚持党的领导加强自身建设</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竹子花纹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忠严廉勤文字加色块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对党忠诚等文字加色块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三层电梯正对长廊-左3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党建标语加色块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装饰竹子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争做五心党员中文字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争做五心党员拼音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三层电梯正对长廊-左4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飘旗加党徽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风采旗帜四个字加色块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展企业等标语</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竖条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底部图案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电梯左侧长廊1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雪弗板粘1.8mm亚克力卡槽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标题色块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强化宣传教育等文字加色块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安全生产人人有责</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安全生产标准化定义加色块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建筑物塔吊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用好党建引领加色块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电梯左侧长廊2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新时代国有企业的地位与使命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新时代先锋队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飘带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三层党员活动室-改造1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LOGO释意</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党徽和装饰条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不忘初心牢记使命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党务公开栏</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党务公开栏下的装饰条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党务公开栏下的卡槽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1.9mm透明亚克力做单面外径卡盒胶条粘好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党组织架构</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党员发展流程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底部灰色山岚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三层党员活动室-改造2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底部长城</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一名党员等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党员全家福拼音字下的装饰条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党员全家福拼音字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党徽和装饰条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党员全家福</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底部灰色装饰条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党员全家福卡槽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1.9mm透明亚克力做单面外径卡盒胶条粘好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永远跟党走拼音字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三层党员活动室-改造3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党员义务党员权利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入党誓词</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入党誓言</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党徽红旗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两块白板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三层走廊北侧第一间-谈心室1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饮水机咖啡吧台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雪绒布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三层走廊北侧第一间-谈心室2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倾听你的声音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爱心和音符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心灵的驿站下的色块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心灵的驿站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沿途有风景生活有阳光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沿途有风景生活有阳光下的装饰条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三层走廊北侧第一间-谈心室3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爱心装饰和山</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小爱心</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沟通自信理解分享</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爱心驿站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三层走廊北侧第一间-谈心室4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当你足够努力幸运总会与你等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不期而遇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四层电梯间1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开拓进取引领商业发展新风尚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左上角的商业集团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云朵山岚</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楼层索引牌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0.8mm不锈钢的拉丝玫瑰金左右可以抽拉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可以换插片，材质亚克力54*102cm</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四层电梯间2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经营诚信等字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四层电梯间3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激发国企强化国企</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活力担当</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中等大的多边形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大一点的多边形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四层电梯正对长廊右1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人与菊同清等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加减乘除符号</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善于加法等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实时加强等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四层电梯正对长廊右2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牌匾</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四层电梯正对长廊左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不锈钢用1.2厚度，底部PVC8mm，玫瑰金拉丝2厘米的立体厚度的精工字，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不锈钢用1.2厚度，底部PVC8mm，黑色拉丝2厘米的立体厚度的精工字，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不锈钢用1.2厚度，底部PVC8mm，黑色拉丝2厘米的立体厚度的精工字，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七笔帐清廉国企底的色块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七笔帐清廉国企</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党员干部要算好人生的底部色块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竖条装饰条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竹子花纹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长方形色块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自由帐等花朵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政商亲清等色块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政商亲清等字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廉政为民等字加色块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加强廉政建设等字下的色块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中国梦实现民族伟大复兴等字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不忘初心廉政等字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LOGO下的竖条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目录愿景下的色块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企业精神下的色块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目录愿景企业精神</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目录愿景下的长条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四层办公区1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态度决定一切细节决定成败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携手并进共创未来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态度细节目标行动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LOGO下的长方形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咖啡色格子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科学决策等四块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优透党员下的四个圆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五个过硬</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五角星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党徽和装饰条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政治过硬等多边形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做好五个过硬等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提高工作效率增强工作执行力</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花纹</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认真负责等四个圆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四层走廊办公区5</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拾起新责任创造新业绩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不忘初心跟党走同心共筑中国梦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讲政治顾大全等五个色块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四层走廊办公区6</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云朵加手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越努力越幸运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携手并进展望未来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四层走廊办公区7</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党建引领推动高质量发展</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商业集团牢固等小字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四层走廊办公区8</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用好党建引领指挥棒等字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积极探索等文字内容及照片介绍</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所有的照片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1.9mm透明亚克力做单面外径卡盒胶条粘好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四层走廊办公区9</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用好党建引领指挥棒等字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积极开展嵊州小吃等文字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装饰块大</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灰色色块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多边形图案及照片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四层走廊办公区10</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长方形色块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大的长方形色块永远跟党走浅色的</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永远跟党走和LOGO下的色块深色的</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永远跟党走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党建引领等字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时常跟新业务知识等字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1.9mm透明亚克力做单面外径卡盒胶条粘好</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四层党员会议室</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不锈钢用1.2mm厚度，底部PVC8mm，玫瑰金拉丝2厘米的立体厚度的精工字，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不锈钢用1.2mm厚度，底部PVC8mm，黑色拉丝2厘米的立体厚度的精工字，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不锈钢用1.2mm厚度，底部PVC8mm，黑色拉丝2厘米的立体厚度的精工字，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无缝打磨电镀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定制国画</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定制以山水为主题，以墨色为主线，运用墨色的技法，勾勒山水，描绘山、水和植物的相互关系，达到完美的气韵与意境的山水国画，具体需二次深化。</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五层电梯间</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左上角图形线条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左上角COMMERCIAL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户内车贴</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正中央COMMERCIAL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为职工服务为企业献策等字加色块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爱心及飘带</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职家</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树</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五层乒乓球室1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装饰长方形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我运动我快乐等圆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装饰三角形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爱才会赢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装饰长曲线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五层乒乓球室2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树</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运动健康等多边形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五层乒乓球室3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拼搏超越奋斗等圆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乒</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爱运动爱快乐爱健康</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出快乐乒出精彩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五层乒乓球室4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汗水心跳</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用感受每一次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装饰长方形条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五角星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足球及圆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五层-瑜伽、健身房1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愉悦身伽倍美丽</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三角图形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健身员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底部曲线及蓝色装饰条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YOGA</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五层-瑜伽、健身房2</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三角图形1</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装饰大色块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我运动我健康我快乐</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英文字加爱心</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我运动我健康我快乐下的长方形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五层-瑜伽、健身房3</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生命在于运动成功在于拼搏</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拼搏超越自信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五层-瑜伽、健身房4</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健身型动下的三角形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健身型动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生命不息运动不止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强身健体等圆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运动人员下的圆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运动人员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五层-瑜伽、健身房5</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装饰线条圆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1234等数字下的圆</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球动我心杆为我先</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爱生活爱运动快乐工作释放压力</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生命不息运动不止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三角形装饰条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底部曲线</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运动员</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五层-职工风采、发展历程、荣誉墙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顶部装饰线条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优秀员工</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商业集团下的色块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照片及多边形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塑企业形象，创优质品牌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底部建筑物及装饰线条花</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五层集团荣誉墙</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所有的荣誉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失量图奖杯</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装饰曲线色块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云朵</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忠诚勤业务实创新</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我们的</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荣誉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LOGO下的线条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荣誉列表</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五层企业发展历程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英文字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历程</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企业发展</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商及底部红色块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商业集团</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COMMERCIAL GROUP</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8mm亚克力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鸟</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忠诚勤业务实创新等</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挂照片的线条</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黄色标签</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照片</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雪弗板粘1.8mm亚克力+UV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底部建筑物</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底部色块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顶部色块</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9mm 雪弗板+UV</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办公家具</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洽谈桌（三楼谈心室）2020*810*750，标准会议椅计8把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1.饰面：采用优质胡桃木木皮饰面，木纹厚度0.6mm，木纹宽度≥200mm,经过防虫防腐处理，耐磨性好，纹理清晰自然，色泽一致。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2.基材：优质环保E0级实木多层板。密度达850KG/M3以上，甲醛含量≤1.5mg/L，经防潮、防虫、防腐处理，强度高、刚性好、不变形，各种物理、化学性能指标均达到国际相关标准。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3.封边采用印尼白木进行封边精修，物理性能佳，不易变形及开裂，封边细腻，线条均匀，转角过渡自然。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4.引用意大利先进工艺“五底三面”。游离甲醛释放量1mg/100g。木材含水率≤8%-12%。四周隐蔽部位全部做封边处理。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会议桌（三楼党员活动室）9440*2650*750，标准会议椅计40把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1.饰面：采用优质胡桃木木皮饰面，木纹厚度0.6mm，木纹宽度≥200mm,经过防虫防腐处理，耐磨性好，纹理清晰自然，色泽一致。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2.基材：优质环保E0级实木多层板。密度达850KG/M3以上，甲醛含量≤1.5mg/L，经防潮、防虫、防腐处理，强度高、刚性好、不变形，各种物理、化学性能指标均达到国际相关标准。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3.封边采用印尼白木进行封边精修，物理性能佳，不易变形及开裂，封边细腻，线条均匀，转角过渡自然。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4.引用意大利先进工艺“五底三面”。游离甲醛释放量1mg/100g。木材含水率≤8%-12%。四周隐蔽部位全部做封边处理。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会议桌（四楼党委会议室）6840*2650*750，标准会议椅计40把</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1.饰面：采用优质胡桃木木皮饰面，木纹厚度0.6mm，木纹宽度≥200mm,经过防虫防腐处理，耐磨性好，纹理清晰自然，色泽一致。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2.基材：优质环保E0级实木多层板。密度达850KG/M3以上，甲醛含量≤1.5mg/L，经防潮、防虫、防腐处理，强度高、刚性好、不变形，各种物理、化学性能指标均达到国际相关标准。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3.封边采用印尼白木进行封边精修，物理性能佳，不易变形及开裂，封边细腻，线条均匀，转角过渡自然。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4.引用意大利先进工艺“五底三面”。游离甲醛释放量1mg/100g。木材含水率≤8%-12%。四周隐蔽部位全部做封边处理。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谈心谈话室 咖啡机</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谈心谈话室 全自动咖啡机</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740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五楼活动室 台球桌</w:t>
            </w:r>
          </w:p>
        </w:tc>
        <w:tc>
          <w:tcPr>
            <w:tcW w:w="5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五楼活动室 国标黑八台球桌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ascii="宋体" w:hAnsi="宋体" w:eastAsia="宋体" w:cs="宋体"/>
          <w:b/>
          <w:bCs/>
          <w:i w:val="0"/>
          <w:iCs w:val="0"/>
          <w:color w:val="000000"/>
          <w:kern w:val="0"/>
          <w:sz w:val="21"/>
          <w:szCs w:val="21"/>
          <w:highlight w:val="none"/>
          <w:u w:val="none"/>
          <w:lang w:val="en-US" w:eastAsia="zh-CN" w:bidi="ar"/>
        </w:rPr>
      </w:pPr>
    </w:p>
    <w:p>
      <w:pP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w:t>
      </w:r>
      <w:r>
        <w:rPr>
          <w:rFonts w:hint="eastAsia" w:ascii="宋体" w:hAnsi="宋体" w:cs="宋体"/>
          <w:b/>
          <w:bCs/>
          <w:i w:val="0"/>
          <w:iCs w:val="0"/>
          <w:color w:val="000000"/>
          <w:kern w:val="0"/>
          <w:sz w:val="21"/>
          <w:szCs w:val="21"/>
          <w:highlight w:val="none"/>
          <w:u w:val="none"/>
          <w:lang w:val="en-US" w:eastAsia="zh-CN" w:bidi="ar"/>
        </w:rPr>
        <w:t>以上清单以实际情况、施工图、预算清单为准，以上清单推荐品牌如下。</w:t>
      </w:r>
      <w:bookmarkStart w:id="365" w:name="_GoBack"/>
      <w:bookmarkEnd w:id="365"/>
    </w:p>
    <w:tbl>
      <w:tblPr>
        <w:tblStyle w:val="18"/>
        <w:tblW w:w="8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2"/>
        <w:gridCol w:w="4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产品名称</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品牌档次要求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户内全彩LED屏</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强力巨彩、浙江大华、艾比森相当或以上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台式电脑</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联想、长城、戴尔相当或以上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全数字会议系统主机</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会议话筒处理器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会议话筒</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连接线</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专业功放</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专业音箱</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支架</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无线话筒</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调音台</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音频处理器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网络中控主机</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触摸屏</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安卓平板电脑</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华为、小米、荣耀相当或以上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华为、华三、TP-LINK相当或以上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超高清视频无缝切换矩阵</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图腾、一舟、大唐保镖相当或以上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H3C、华为、tplink相当或以上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电源管理器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ITC、捷思通、艾比欧相当或以上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智慧会议平板</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华为、鸿合、MAXHUB相当或以上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移动支架</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传屏器</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华为、鸿合、MAXHUB相当或以上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音频连接线</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线材</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水晶头</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管材</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国产优质</w:t>
            </w:r>
          </w:p>
        </w:tc>
      </w:tr>
    </w:tbl>
    <w:p>
      <w:pPr>
        <w:rPr>
          <w:rFonts w:hint="eastAsia" w:ascii="宋体" w:hAnsi="宋体" w:eastAsia="宋体" w:cs="宋体"/>
          <w:b/>
          <w:bCs/>
          <w:sz w:val="24"/>
          <w:lang w:val="en-US" w:eastAsia="zh-CN"/>
        </w:rPr>
      </w:pPr>
    </w:p>
    <w:p>
      <w:pPr>
        <w:snapToGrid w:val="0"/>
        <w:spacing w:line="360" w:lineRule="auto"/>
        <w:rPr>
          <w:rFonts w:hint="eastAsia" w:ascii="宋体" w:hAnsi="宋体" w:eastAsia="宋体" w:cs="宋体"/>
          <w:b/>
          <w:bCs/>
          <w:sz w:val="24"/>
        </w:rPr>
      </w:pPr>
      <w:r>
        <w:rPr>
          <w:rFonts w:hint="eastAsia" w:ascii="宋体" w:hAnsi="宋体" w:eastAsia="宋体" w:cs="宋体"/>
          <w:b/>
          <w:bCs/>
          <w:sz w:val="24"/>
          <w:lang w:val="en-US" w:eastAsia="zh-CN"/>
        </w:rPr>
        <w:t>四、</w:t>
      </w:r>
      <w:r>
        <w:rPr>
          <w:rFonts w:hint="eastAsia" w:ascii="宋体" w:hAnsi="宋体" w:eastAsia="宋体" w:cs="宋体"/>
          <w:b/>
          <w:bCs/>
          <w:sz w:val="24"/>
        </w:rPr>
        <w:t>商务要求</w:t>
      </w:r>
    </w:p>
    <w:tbl>
      <w:tblPr>
        <w:tblStyle w:val="18"/>
        <w:tblW w:w="8715" w:type="dxa"/>
        <w:tblInd w:w="120" w:type="dxa"/>
        <w:tblLayout w:type="fixed"/>
        <w:tblCellMar>
          <w:top w:w="0" w:type="dxa"/>
          <w:left w:w="108" w:type="dxa"/>
          <w:bottom w:w="0" w:type="dxa"/>
          <w:right w:w="108" w:type="dxa"/>
        </w:tblCellMar>
      </w:tblPr>
      <w:tblGrid>
        <w:gridCol w:w="766"/>
        <w:gridCol w:w="1254"/>
        <w:gridCol w:w="6695"/>
      </w:tblGrid>
      <w:tr>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color w:val="000000" w:themeColor="text1"/>
                <w:kern w:val="1"/>
                <w:sz w:val="24"/>
                <w14:textFill>
                  <w14:solidFill>
                    <w14:schemeClr w14:val="tx1"/>
                  </w14:solidFill>
                </w14:textFill>
              </w:rPr>
            </w:pPr>
            <w:r>
              <w:rPr>
                <w:rFonts w:hint="eastAsia" w:ascii="宋体" w:hAnsi="宋体" w:eastAsia="宋体" w:cs="宋体"/>
                <w:b/>
                <w:bCs/>
                <w:color w:val="000000" w:themeColor="text1"/>
                <w:kern w:val="1"/>
                <w:sz w:val="24"/>
                <w14:textFill>
                  <w14:solidFill>
                    <w14:schemeClr w14:val="tx1"/>
                  </w14:solidFill>
                </w14:textFill>
              </w:rPr>
              <w:t>序号</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color w:val="auto"/>
                <w:kern w:val="1"/>
                <w:sz w:val="24"/>
              </w:rPr>
            </w:pPr>
            <w:r>
              <w:rPr>
                <w:rFonts w:hint="eastAsia" w:ascii="宋体" w:hAnsi="宋体" w:eastAsia="宋体" w:cs="宋体"/>
                <w:b/>
                <w:bCs/>
                <w:color w:val="auto"/>
                <w:kern w:val="1"/>
                <w:sz w:val="24"/>
              </w:rPr>
              <w:t>内  容</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color w:val="auto"/>
                <w:kern w:val="1"/>
                <w:sz w:val="24"/>
              </w:rPr>
            </w:pPr>
            <w:r>
              <w:rPr>
                <w:rFonts w:hint="eastAsia" w:ascii="宋体" w:hAnsi="宋体" w:eastAsia="宋体" w:cs="宋体"/>
                <w:b/>
                <w:bCs/>
                <w:color w:val="auto"/>
                <w:kern w:val="1"/>
                <w:sz w:val="24"/>
              </w:rPr>
              <w:t>要      求</w:t>
            </w:r>
          </w:p>
        </w:tc>
      </w:tr>
      <w:tr>
        <w:tblPrEx>
          <w:tblCellMar>
            <w:top w:w="0" w:type="dxa"/>
            <w:left w:w="108" w:type="dxa"/>
            <w:bottom w:w="0" w:type="dxa"/>
            <w:right w:w="108" w:type="dxa"/>
          </w:tblCellMar>
        </w:tblPrEx>
        <w:trPr>
          <w:trHeight w:val="45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质保期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整体</w:t>
            </w:r>
            <w:r>
              <w:rPr>
                <w:rFonts w:hint="eastAsia" w:ascii="宋体" w:hAnsi="宋体" w:eastAsia="宋体" w:cs="宋体"/>
                <w:color w:val="auto"/>
                <w:sz w:val="24"/>
                <w:highlight w:val="none"/>
              </w:rPr>
              <w:t>质保期为</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年。质保期内如出现系统设备故障（除人为原因造成外）中标供应商无条件免费维修。</w:t>
            </w:r>
          </w:p>
        </w:tc>
      </w:tr>
      <w:tr>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kern w:val="1"/>
                <w:sz w:val="24"/>
                <w:highlight w:val="none"/>
              </w:rPr>
            </w:pPr>
            <w:r>
              <w:rPr>
                <w:rFonts w:hint="eastAsia" w:ascii="宋体" w:hAnsi="宋体" w:eastAsia="宋体" w:cs="宋体"/>
                <w:color w:val="auto"/>
                <w:kern w:val="1"/>
                <w:sz w:val="24"/>
                <w:szCs w:val="24"/>
                <w:highlight w:val="none"/>
                <w:lang w:eastAsia="zh-CN"/>
              </w:rPr>
              <w:t>工期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240" w:lineRule="auto"/>
              <w:ind w:firstLine="0" w:firstLineChars="0"/>
              <w:rPr>
                <w:rFonts w:hint="eastAsia" w:ascii="宋体" w:hAnsi="宋体" w:eastAsia="宋体" w:cs="宋体"/>
                <w:color w:val="auto"/>
                <w:kern w:val="1"/>
                <w:sz w:val="24"/>
                <w:highlight w:val="none"/>
              </w:rPr>
            </w:pPr>
            <w:r>
              <w:rPr>
                <w:rFonts w:hint="eastAsia" w:ascii="宋体" w:hAnsi="宋体" w:eastAsia="宋体" w:cs="宋体"/>
                <w:color w:val="auto"/>
                <w:sz w:val="24"/>
                <w:highlight w:val="none"/>
              </w:rPr>
              <w:t>本项目为交钥匙工程</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在合同签订之日起具备实施条件后</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天内完成供货并安装调试完成，安装过程中的所有费用由</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自行负责。</w:t>
            </w:r>
          </w:p>
        </w:tc>
      </w:tr>
      <w:tr>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安装地点及要求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240" w:lineRule="auto"/>
              <w:ind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szCs w:val="24"/>
              </w:rPr>
              <w:t>安装地点；</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指定</w:t>
            </w:r>
            <w:r>
              <w:rPr>
                <w:rFonts w:hint="eastAsia" w:ascii="宋体" w:hAnsi="宋体" w:eastAsia="宋体" w:cs="宋体"/>
                <w:color w:val="auto"/>
                <w:sz w:val="24"/>
                <w:szCs w:val="24"/>
                <w:lang w:val="en-US" w:eastAsia="zh-CN"/>
              </w:rPr>
              <w:t>地点。</w:t>
            </w:r>
          </w:p>
          <w:p>
            <w:pPr>
              <w:keepNext w:val="0"/>
              <w:keepLines w:val="0"/>
              <w:pageBreakBefore w:val="0"/>
              <w:kinsoku/>
              <w:wordWrap/>
              <w:topLinePunct w:val="0"/>
              <w:bidi w:val="0"/>
              <w:spacing w:line="240" w:lineRule="auto"/>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2.安装标准：符合国家有关安全技术规范和技术标准。</w:t>
            </w:r>
          </w:p>
        </w:tc>
      </w:tr>
      <w:tr>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验收要求、标准</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1.符合我国国家有关技术规范要求和技术标准；</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2.验收由采购单位组织相关人员进行验收；</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3.项目的工作内容及成果文档的提交应覆盖以下内容，电子文档是成果不可分割的部分。</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(a)实施确认书（包括设备到货签收单、设备安装图片等）；</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(b)培训资料；</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(c)安装维护手册；</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(d)使用操作手册；</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b w:val="0"/>
                <w:bCs/>
                <w:color w:val="auto"/>
                <w:kern w:val="2"/>
                <w:sz w:val="21"/>
                <w:szCs w:val="24"/>
                <w:lang w:val="en-US" w:eastAsia="zh-CN" w:bidi="ar-SA"/>
              </w:rPr>
            </w:pPr>
            <w:r>
              <w:rPr>
                <w:rFonts w:hint="eastAsia" w:ascii="宋体" w:hAnsi="宋体" w:eastAsia="宋体" w:cs="宋体"/>
                <w:color w:val="auto"/>
                <w:sz w:val="24"/>
                <w:szCs w:val="24"/>
                <w:lang w:val="en-US" w:eastAsia="zh-CN"/>
              </w:rPr>
              <w:t>(e)项目验收报告</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售后服务</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设备出现故障，接采购人通知后1小时内响应，核心设备故障两小时内修复完成，其他设备免费维修与更换缺陷部件的时间为中标人收到采购人通知后24小时内，其他售后服务内容由投标人进行承诺</w:t>
            </w:r>
            <w:r>
              <w:rPr>
                <w:rFonts w:hint="eastAsia" w:ascii="宋体" w:hAnsi="宋体" w:eastAsia="宋体" w:cs="宋体"/>
                <w:color w:val="000000" w:themeColor="text1"/>
                <w:kern w:val="1"/>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履约保证金</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highlight w:val="none"/>
                <w:lang w:eastAsia="zh-CN"/>
              </w:rPr>
              <w:t>合同总金额的</w:t>
            </w:r>
            <w:r>
              <w:rPr>
                <w:rFonts w:hint="eastAsia" w:ascii="宋体" w:hAnsi="宋体" w:eastAsia="宋体" w:cs="宋体"/>
                <w:color w:val="auto"/>
                <w:sz w:val="24"/>
                <w:highlight w:val="none"/>
                <w:lang w:val="en-US" w:eastAsia="zh-CN"/>
              </w:rPr>
              <w:t>1%，供应商在履行完合同约定事项后，经采购人验收合格后30天内退还履约保证金（不计息）。</w:t>
            </w:r>
          </w:p>
        </w:tc>
      </w:tr>
      <w:tr>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7</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kern w:val="1"/>
                <w:sz w:val="24"/>
                <w:highlight w:val="none"/>
              </w:rPr>
            </w:pPr>
            <w:r>
              <w:rPr>
                <w:rFonts w:hint="eastAsia" w:ascii="宋体" w:hAnsi="宋体" w:eastAsia="宋体" w:cs="宋体"/>
                <w:color w:val="auto"/>
                <w:sz w:val="24"/>
                <w:highlight w:val="none"/>
              </w:rPr>
              <w:t>付款</w:t>
            </w:r>
            <w:r>
              <w:rPr>
                <w:rFonts w:hint="eastAsia" w:ascii="宋体" w:hAnsi="宋体" w:eastAsia="宋体" w:cs="宋体"/>
                <w:color w:val="auto"/>
                <w:sz w:val="24"/>
                <w:highlight w:val="none"/>
                <w:lang w:eastAsia="zh-CN"/>
              </w:rPr>
              <w:t>方式</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left="425" w:leftChars="0" w:hanging="425" w:firstLineChars="0"/>
              <w:textAlignment w:val="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合同签订后15个工作日内支付合同金额的30%</w:t>
            </w:r>
            <w:r>
              <w:rPr>
                <w:rFonts w:hint="eastAsia" w:ascii="宋体" w:hAnsi="宋体" w:cs="宋体"/>
                <w:color w:val="auto"/>
                <w:kern w:val="1"/>
                <w:sz w:val="24"/>
                <w:highlight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left="425" w:leftChars="0" w:hanging="425" w:firstLineChars="0"/>
              <w:textAlignment w:val="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安装调试完成经业主单位验收合格后15个工作日内支付至合同价的9</w:t>
            </w:r>
            <w:r>
              <w:rPr>
                <w:rFonts w:hint="eastAsia" w:ascii="宋体" w:hAnsi="宋体" w:eastAsia="宋体" w:cs="宋体"/>
                <w:color w:val="auto"/>
                <w:kern w:val="1"/>
                <w:sz w:val="24"/>
                <w:highlight w:val="none"/>
                <w:lang w:val="en-US" w:eastAsia="zh-CN"/>
              </w:rPr>
              <w:t>8</w:t>
            </w:r>
            <w:r>
              <w:rPr>
                <w:rFonts w:hint="eastAsia" w:ascii="宋体" w:hAnsi="宋体" w:eastAsia="宋体" w:cs="宋体"/>
                <w:color w:val="auto"/>
                <w:kern w:val="1"/>
                <w:sz w:val="24"/>
                <w:highlight w:val="none"/>
              </w:rPr>
              <w:t>.5%</w:t>
            </w:r>
            <w:r>
              <w:rPr>
                <w:rFonts w:hint="eastAsia" w:ascii="宋体" w:hAnsi="宋体" w:cs="宋体"/>
                <w:color w:val="auto"/>
                <w:kern w:val="1"/>
                <w:sz w:val="24"/>
                <w:highlight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pacing w:line="240" w:lineRule="auto"/>
              <w:ind w:left="425" w:leftChars="0" w:hanging="425" w:firstLineChars="0"/>
              <w:textAlignment w:val="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余款</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.5%作为维修保证金，于质保期满后15个工日内无息退还</w:t>
            </w:r>
            <w:r>
              <w:rPr>
                <w:rFonts w:hint="eastAsia" w:ascii="宋体" w:hAnsi="宋体" w:cs="宋体"/>
                <w:color w:val="auto"/>
                <w:kern w:val="1"/>
                <w:sz w:val="24"/>
                <w:highlight w:val="none"/>
                <w:lang w:eastAsia="zh-CN"/>
              </w:rPr>
              <w:t>。</w:t>
            </w:r>
          </w:p>
        </w:tc>
      </w:tr>
      <w:tr>
        <w:tblPrEx>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jc w:val="center"/>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风险控制价</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本项目设风险控制价，风险控制价为</w:t>
            </w:r>
            <w:r>
              <w:rPr>
                <w:rFonts w:hint="eastAsia" w:ascii="宋体" w:hAnsi="宋体" w:cs="宋体"/>
                <w:color w:val="auto"/>
                <w:kern w:val="1"/>
                <w:sz w:val="24"/>
                <w:highlight w:val="none"/>
                <w:lang w:val="en-US" w:eastAsia="zh-CN"/>
              </w:rPr>
              <w:t>1659815.00</w:t>
            </w:r>
            <w:r>
              <w:rPr>
                <w:rFonts w:hint="eastAsia" w:ascii="宋体" w:hAnsi="宋体" w:eastAsia="宋体" w:cs="宋体"/>
                <w:color w:val="auto"/>
                <w:kern w:val="1"/>
                <w:sz w:val="24"/>
                <w:highlight w:val="none"/>
              </w:rPr>
              <w:t>元（预算金额的80%），若中标人低于该风险控制价中标的，在中标后5个工作日内，中标人应在缴纳履约保证金的同时必须</w:t>
            </w:r>
            <w:r>
              <w:rPr>
                <w:rFonts w:hint="eastAsia" w:ascii="宋体" w:hAnsi="宋体" w:eastAsia="宋体" w:cs="宋体"/>
                <w:color w:val="auto"/>
                <w:kern w:val="1"/>
                <w:sz w:val="24"/>
                <w:highlight w:val="none"/>
                <w:lang w:eastAsia="zh-CN"/>
              </w:rPr>
              <w:t>以银行转账形式</w:t>
            </w:r>
            <w:r>
              <w:rPr>
                <w:rFonts w:hint="eastAsia" w:ascii="宋体" w:hAnsi="宋体" w:eastAsia="宋体" w:cs="宋体"/>
                <w:color w:val="auto"/>
                <w:kern w:val="1"/>
                <w:sz w:val="24"/>
                <w:highlight w:val="none"/>
              </w:rPr>
              <w:t>额外补交中标总价与风险控制价之差额，中标人不缴纳的视为放弃中标，重新组织招标,相关损失由放弃中标的中标</w:t>
            </w:r>
            <w:r>
              <w:rPr>
                <w:rFonts w:hint="eastAsia" w:ascii="宋体" w:hAnsi="宋体" w:eastAsia="宋体" w:cs="宋体"/>
                <w:color w:val="auto"/>
                <w:kern w:val="1"/>
                <w:sz w:val="24"/>
                <w:highlight w:val="none"/>
                <w:lang w:eastAsia="zh-CN"/>
              </w:rPr>
              <w:t>人</w:t>
            </w:r>
            <w:r>
              <w:rPr>
                <w:rFonts w:hint="eastAsia" w:ascii="宋体" w:hAnsi="宋体" w:eastAsia="宋体" w:cs="宋体"/>
                <w:color w:val="auto"/>
                <w:kern w:val="1"/>
                <w:sz w:val="24"/>
                <w:highlight w:val="none"/>
              </w:rPr>
              <w:t>承担。差额保证金在验收合格后30日内无息退还。</w:t>
            </w:r>
          </w:p>
        </w:tc>
      </w:tr>
      <w:tr>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其它要求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采购人发现成交单位进行转包、分包的，有权单方解除合同，取消成交单位实施项目资格。成交单位除赔偿损失外，还须向采购人支付项目合同总价款10%的违约金。</w:t>
            </w:r>
          </w:p>
        </w:tc>
      </w:tr>
    </w:tbl>
    <w:p>
      <w:pPr>
        <w:jc w:val="center"/>
        <w:rPr>
          <w:rFonts w:hint="eastAsia" w:ascii="宋体" w:hAnsi="宋体" w:eastAsia="宋体" w:cs="宋体"/>
          <w:b/>
          <w:sz w:val="36"/>
          <w:szCs w:val="36"/>
        </w:rPr>
      </w:pPr>
      <w:r>
        <w:rPr>
          <w:rFonts w:hint="eastAsia" w:ascii="宋体" w:hAnsi="宋体" w:eastAsia="宋体" w:cs="宋体"/>
          <w:lang w:val="en-US" w:eastAsia="zh-CN"/>
        </w:rPr>
        <w:br w:type="page"/>
      </w:r>
      <w:r>
        <w:rPr>
          <w:rFonts w:hint="eastAsia" w:ascii="宋体" w:hAnsi="宋体" w:eastAsia="宋体" w:cs="宋体"/>
          <w:b/>
          <w:sz w:val="36"/>
          <w:szCs w:val="36"/>
        </w:rPr>
        <w:t xml:space="preserve">第四部分   </w:t>
      </w:r>
      <w:bookmarkStart w:id="0" w:name="_Toc184314419"/>
      <w:bookmarkEnd w:id="0"/>
      <w:bookmarkStart w:id="1" w:name="_Toc184312120"/>
      <w:bookmarkEnd w:id="1"/>
      <w:bookmarkStart w:id="2" w:name="_Toc184314411"/>
      <w:bookmarkEnd w:id="2"/>
      <w:bookmarkStart w:id="3" w:name="_Toc184314455"/>
      <w:bookmarkEnd w:id="3"/>
      <w:bookmarkStart w:id="4" w:name="_Toc184314452"/>
      <w:bookmarkEnd w:id="4"/>
      <w:bookmarkStart w:id="5" w:name="_Toc184310288"/>
      <w:bookmarkEnd w:id="5"/>
      <w:bookmarkStart w:id="6" w:name="_Toc184314482"/>
      <w:bookmarkEnd w:id="6"/>
      <w:bookmarkStart w:id="7" w:name="_Toc184310296"/>
      <w:bookmarkEnd w:id="7"/>
      <w:bookmarkStart w:id="8" w:name="_Toc184310294"/>
      <w:bookmarkEnd w:id="8"/>
      <w:bookmarkStart w:id="9" w:name="_Toc184314444"/>
      <w:bookmarkEnd w:id="9"/>
      <w:bookmarkStart w:id="10" w:name="_Toc184308068"/>
      <w:bookmarkEnd w:id="10"/>
      <w:bookmarkStart w:id="11" w:name="_Toc184310314"/>
      <w:bookmarkEnd w:id="11"/>
      <w:bookmarkStart w:id="12" w:name="_Toc184310282"/>
      <w:bookmarkEnd w:id="12"/>
      <w:bookmarkStart w:id="13" w:name="_Toc184310329"/>
      <w:bookmarkEnd w:id="13"/>
      <w:bookmarkStart w:id="14" w:name="_Toc184313294"/>
      <w:bookmarkEnd w:id="14"/>
      <w:bookmarkStart w:id="15" w:name="_Toc184313240"/>
      <w:bookmarkEnd w:id="15"/>
      <w:bookmarkStart w:id="16" w:name="_Toc184310336"/>
      <w:bookmarkEnd w:id="16"/>
      <w:bookmarkStart w:id="17" w:name="_Toc184312132"/>
      <w:bookmarkEnd w:id="17"/>
      <w:bookmarkStart w:id="18" w:name="_Toc184308074"/>
      <w:bookmarkEnd w:id="18"/>
      <w:bookmarkStart w:id="19" w:name="_Toc184313299"/>
      <w:bookmarkEnd w:id="19"/>
      <w:bookmarkStart w:id="20" w:name="_Toc184314413"/>
      <w:bookmarkEnd w:id="20"/>
      <w:bookmarkStart w:id="21" w:name="_Toc184313305"/>
      <w:bookmarkEnd w:id="21"/>
      <w:bookmarkStart w:id="22" w:name="_Toc184310291"/>
      <w:bookmarkEnd w:id="22"/>
      <w:bookmarkStart w:id="23" w:name="_Toc184313238"/>
      <w:bookmarkEnd w:id="23"/>
      <w:bookmarkStart w:id="24" w:name="_Toc184314422"/>
      <w:bookmarkEnd w:id="24"/>
      <w:bookmarkStart w:id="25" w:name="_Toc184308036"/>
      <w:bookmarkEnd w:id="25"/>
      <w:bookmarkStart w:id="26" w:name="_Toc184312138"/>
      <w:bookmarkEnd w:id="26"/>
      <w:bookmarkStart w:id="27" w:name="_Toc184312130"/>
      <w:bookmarkEnd w:id="27"/>
      <w:bookmarkStart w:id="28" w:name="_Toc184313298"/>
      <w:bookmarkEnd w:id="28"/>
      <w:bookmarkStart w:id="29" w:name="_Toc184314435"/>
      <w:bookmarkEnd w:id="29"/>
      <w:bookmarkStart w:id="30" w:name="_Toc184308107"/>
      <w:bookmarkEnd w:id="30"/>
      <w:bookmarkStart w:id="31" w:name="_Toc184312103"/>
      <w:bookmarkEnd w:id="31"/>
      <w:bookmarkStart w:id="32" w:name="_Toc184314416"/>
      <w:bookmarkEnd w:id="32"/>
      <w:bookmarkStart w:id="33" w:name="_Toc184310308"/>
      <w:bookmarkEnd w:id="33"/>
      <w:bookmarkStart w:id="34" w:name="_Toc184310305"/>
      <w:bookmarkEnd w:id="34"/>
      <w:bookmarkStart w:id="35" w:name="_Toc184314417"/>
      <w:bookmarkEnd w:id="35"/>
      <w:bookmarkStart w:id="36" w:name="_Toc184312131"/>
      <w:bookmarkEnd w:id="36"/>
      <w:bookmarkStart w:id="37" w:name="_Toc184310342"/>
      <w:bookmarkEnd w:id="37"/>
      <w:bookmarkStart w:id="38" w:name="_Toc184312113"/>
      <w:bookmarkEnd w:id="38"/>
      <w:bookmarkStart w:id="39" w:name="_Toc184314451"/>
      <w:bookmarkEnd w:id="39"/>
      <w:bookmarkStart w:id="40" w:name="_Toc184312077"/>
      <w:bookmarkEnd w:id="40"/>
      <w:bookmarkStart w:id="41" w:name="_Toc184312099"/>
      <w:bookmarkEnd w:id="41"/>
      <w:bookmarkStart w:id="42" w:name="_Toc184310326"/>
      <w:bookmarkEnd w:id="42"/>
      <w:bookmarkStart w:id="43" w:name="_Toc184312116"/>
      <w:bookmarkEnd w:id="43"/>
      <w:bookmarkStart w:id="44" w:name="_Toc184313253"/>
      <w:bookmarkEnd w:id="44"/>
      <w:bookmarkStart w:id="45" w:name="_Toc184313301"/>
      <w:bookmarkEnd w:id="45"/>
      <w:bookmarkStart w:id="46" w:name="_Toc184314424"/>
      <w:bookmarkEnd w:id="46"/>
      <w:bookmarkStart w:id="47" w:name="_Toc184313258"/>
      <w:bookmarkEnd w:id="47"/>
      <w:bookmarkStart w:id="48" w:name="_Toc184313310"/>
      <w:bookmarkEnd w:id="48"/>
      <w:bookmarkStart w:id="49" w:name="_Toc184308060"/>
      <w:bookmarkEnd w:id="49"/>
      <w:bookmarkStart w:id="50" w:name="_Toc184313261"/>
      <w:bookmarkEnd w:id="50"/>
      <w:bookmarkStart w:id="51" w:name="_Toc184313242"/>
      <w:bookmarkEnd w:id="51"/>
      <w:bookmarkStart w:id="52" w:name="_Toc184312068"/>
      <w:bookmarkEnd w:id="52"/>
      <w:bookmarkStart w:id="53" w:name="_Toc184314460"/>
      <w:bookmarkEnd w:id="53"/>
      <w:bookmarkStart w:id="54" w:name="_Toc184313287"/>
      <w:bookmarkEnd w:id="54"/>
      <w:bookmarkStart w:id="55" w:name="_Toc184308057"/>
      <w:bookmarkEnd w:id="55"/>
      <w:bookmarkStart w:id="56" w:name="_Toc184314464"/>
      <w:bookmarkEnd w:id="56"/>
      <w:bookmarkStart w:id="57" w:name="_Toc184314432"/>
      <w:bookmarkEnd w:id="57"/>
      <w:bookmarkStart w:id="58" w:name="_Toc184308048"/>
      <w:bookmarkEnd w:id="58"/>
      <w:bookmarkStart w:id="59" w:name="_Toc184310277"/>
      <w:bookmarkEnd w:id="59"/>
      <w:bookmarkStart w:id="60" w:name="_Toc184308087"/>
      <w:bookmarkEnd w:id="60"/>
      <w:bookmarkStart w:id="61" w:name="_Toc184308039"/>
      <w:bookmarkEnd w:id="61"/>
      <w:bookmarkStart w:id="62" w:name="_Toc184314447"/>
      <w:bookmarkEnd w:id="62"/>
      <w:bookmarkStart w:id="63" w:name="_Toc184312127"/>
      <w:bookmarkEnd w:id="63"/>
      <w:bookmarkStart w:id="64" w:name="_Toc184313289"/>
      <w:bookmarkEnd w:id="64"/>
      <w:bookmarkStart w:id="65" w:name="_Toc184308077"/>
      <w:bookmarkEnd w:id="65"/>
      <w:bookmarkStart w:id="66" w:name="_Toc184312122"/>
      <w:bookmarkEnd w:id="66"/>
      <w:bookmarkStart w:id="67" w:name="_Toc184314478"/>
      <w:bookmarkEnd w:id="67"/>
      <w:bookmarkStart w:id="68" w:name="_Toc184310285"/>
      <w:bookmarkEnd w:id="68"/>
      <w:bookmarkStart w:id="69" w:name="_Toc184314448"/>
      <w:bookmarkEnd w:id="69"/>
      <w:bookmarkStart w:id="70" w:name="_Toc184308053"/>
      <w:bookmarkEnd w:id="70"/>
      <w:bookmarkStart w:id="71" w:name="_Toc184310327"/>
      <w:bookmarkEnd w:id="71"/>
      <w:bookmarkStart w:id="72" w:name="_Toc184314453"/>
      <w:bookmarkEnd w:id="72"/>
      <w:bookmarkStart w:id="73" w:name="_Toc184314446"/>
      <w:bookmarkEnd w:id="73"/>
      <w:bookmarkStart w:id="74" w:name="_Toc184312101"/>
      <w:bookmarkEnd w:id="74"/>
      <w:bookmarkStart w:id="75" w:name="_Toc184308078"/>
      <w:bookmarkEnd w:id="75"/>
      <w:bookmarkStart w:id="76" w:name="_Toc184308070"/>
      <w:bookmarkEnd w:id="76"/>
      <w:bookmarkStart w:id="77" w:name="_Toc184313259"/>
      <w:bookmarkEnd w:id="77"/>
      <w:bookmarkStart w:id="78" w:name="_Toc184310284"/>
      <w:bookmarkEnd w:id="78"/>
      <w:bookmarkStart w:id="79" w:name="_Toc184312107"/>
      <w:bookmarkEnd w:id="79"/>
      <w:bookmarkStart w:id="80" w:name="_Toc184310324"/>
      <w:bookmarkEnd w:id="80"/>
      <w:bookmarkStart w:id="81" w:name="_Toc184313265"/>
      <w:bookmarkEnd w:id="81"/>
      <w:bookmarkStart w:id="82" w:name="_Toc184314414"/>
      <w:bookmarkEnd w:id="82"/>
      <w:bookmarkStart w:id="83" w:name="_Toc184310317"/>
      <w:bookmarkEnd w:id="83"/>
      <w:bookmarkStart w:id="84" w:name="_Toc184308097"/>
      <w:bookmarkEnd w:id="84"/>
      <w:bookmarkStart w:id="85" w:name="_Toc184313304"/>
      <w:bookmarkEnd w:id="85"/>
      <w:bookmarkStart w:id="86" w:name="_Toc184308062"/>
      <w:bookmarkEnd w:id="86"/>
      <w:bookmarkStart w:id="87" w:name="_Toc184310293"/>
      <w:bookmarkEnd w:id="87"/>
      <w:bookmarkStart w:id="88" w:name="_Toc184314441"/>
      <w:bookmarkEnd w:id="88"/>
      <w:bookmarkStart w:id="89" w:name="_Toc184312112"/>
      <w:bookmarkEnd w:id="89"/>
      <w:bookmarkStart w:id="90" w:name="_Toc184312104"/>
      <w:bookmarkEnd w:id="90"/>
      <w:bookmarkStart w:id="91" w:name="_Toc184308083"/>
      <w:bookmarkEnd w:id="91"/>
      <w:bookmarkStart w:id="92" w:name="_Toc184314467"/>
      <w:bookmarkEnd w:id="92"/>
      <w:bookmarkStart w:id="93" w:name="_Toc184312126"/>
      <w:bookmarkEnd w:id="93"/>
      <w:bookmarkStart w:id="94" w:name="_Toc184308093"/>
      <w:bookmarkEnd w:id="94"/>
      <w:bookmarkStart w:id="95" w:name="_Toc184310281"/>
      <w:bookmarkEnd w:id="95"/>
      <w:bookmarkStart w:id="96" w:name="_Toc184312124"/>
      <w:bookmarkEnd w:id="96"/>
      <w:bookmarkStart w:id="97" w:name="_Toc184314439"/>
      <w:bookmarkEnd w:id="97"/>
      <w:bookmarkStart w:id="98" w:name="_Toc184313280"/>
      <w:bookmarkEnd w:id="98"/>
      <w:bookmarkStart w:id="99" w:name="_Toc184310300"/>
      <w:bookmarkEnd w:id="99"/>
      <w:bookmarkStart w:id="100" w:name="_Toc184308106"/>
      <w:bookmarkEnd w:id="100"/>
      <w:bookmarkStart w:id="101" w:name="_Toc184308091"/>
      <w:bookmarkEnd w:id="101"/>
      <w:bookmarkStart w:id="102" w:name="_Toc184310274"/>
      <w:bookmarkEnd w:id="102"/>
      <w:bookmarkStart w:id="103" w:name="_Toc184310337"/>
      <w:bookmarkEnd w:id="103"/>
      <w:bookmarkStart w:id="104" w:name="_Toc184313277"/>
      <w:bookmarkEnd w:id="104"/>
      <w:bookmarkStart w:id="105" w:name="_Toc184312100"/>
      <w:bookmarkEnd w:id="105"/>
      <w:bookmarkStart w:id="106" w:name="_Toc184313270"/>
      <w:bookmarkEnd w:id="106"/>
      <w:bookmarkStart w:id="107" w:name="_Toc184314468"/>
      <w:bookmarkEnd w:id="107"/>
      <w:bookmarkStart w:id="108" w:name="_Toc184308038"/>
      <w:bookmarkEnd w:id="108"/>
      <w:bookmarkStart w:id="109" w:name="_Toc184308064"/>
      <w:bookmarkEnd w:id="109"/>
      <w:bookmarkStart w:id="110" w:name="_Toc184308086"/>
      <w:bookmarkEnd w:id="110"/>
      <w:bookmarkStart w:id="111" w:name="_Toc184308061"/>
      <w:bookmarkEnd w:id="111"/>
      <w:bookmarkStart w:id="112" w:name="_Toc184314474"/>
      <w:bookmarkEnd w:id="112"/>
      <w:bookmarkStart w:id="113" w:name="_Toc184313246"/>
      <w:bookmarkEnd w:id="113"/>
      <w:bookmarkStart w:id="114" w:name="_Toc184312093"/>
      <w:bookmarkEnd w:id="114"/>
      <w:bookmarkStart w:id="115" w:name="_Toc184314418"/>
      <w:bookmarkEnd w:id="115"/>
      <w:bookmarkStart w:id="116" w:name="_Toc184310334"/>
      <w:bookmarkEnd w:id="116"/>
      <w:bookmarkStart w:id="117" w:name="_Toc184314466"/>
      <w:bookmarkEnd w:id="117"/>
      <w:bookmarkStart w:id="118" w:name="_Toc184313307"/>
      <w:bookmarkEnd w:id="118"/>
      <w:bookmarkStart w:id="119" w:name="_Toc184314473"/>
      <w:bookmarkEnd w:id="119"/>
      <w:bookmarkStart w:id="120" w:name="_Toc184313247"/>
      <w:bookmarkEnd w:id="120"/>
      <w:bookmarkStart w:id="121" w:name="_Toc184308076"/>
      <w:bookmarkEnd w:id="121"/>
      <w:bookmarkStart w:id="122" w:name="_Toc184312091"/>
      <w:bookmarkEnd w:id="122"/>
      <w:bookmarkStart w:id="123" w:name="_Toc184308071"/>
      <w:bookmarkEnd w:id="123"/>
      <w:bookmarkStart w:id="124" w:name="_Toc184310311"/>
      <w:bookmarkEnd w:id="124"/>
      <w:bookmarkStart w:id="125" w:name="_Toc184314434"/>
      <w:bookmarkEnd w:id="125"/>
      <w:bookmarkStart w:id="126" w:name="_Toc184312115"/>
      <w:bookmarkEnd w:id="126"/>
      <w:bookmarkStart w:id="127" w:name="_Toc184313300"/>
      <w:bookmarkEnd w:id="127"/>
      <w:bookmarkStart w:id="128" w:name="_Toc184313239"/>
      <w:bookmarkEnd w:id="128"/>
      <w:bookmarkStart w:id="129" w:name="_Toc184313263"/>
      <w:bookmarkEnd w:id="129"/>
      <w:bookmarkStart w:id="130" w:name="_Toc184313297"/>
      <w:bookmarkEnd w:id="130"/>
      <w:bookmarkStart w:id="131" w:name="_Toc184308079"/>
      <w:bookmarkEnd w:id="131"/>
      <w:bookmarkStart w:id="132" w:name="_Toc184312135"/>
      <w:bookmarkEnd w:id="132"/>
      <w:bookmarkStart w:id="133" w:name="_Toc184313249"/>
      <w:bookmarkEnd w:id="133"/>
      <w:bookmarkStart w:id="134" w:name="_Toc184310333"/>
      <w:bookmarkEnd w:id="134"/>
      <w:bookmarkStart w:id="135" w:name="_Toc184313302"/>
      <w:bookmarkEnd w:id="135"/>
      <w:bookmarkStart w:id="136" w:name="_Toc184312109"/>
      <w:bookmarkEnd w:id="136"/>
      <w:bookmarkStart w:id="137" w:name="_Toc184310318"/>
      <w:bookmarkEnd w:id="137"/>
      <w:bookmarkStart w:id="138" w:name="_Toc184310315"/>
      <w:bookmarkEnd w:id="138"/>
      <w:bookmarkStart w:id="139" w:name="_Toc184310328"/>
      <w:bookmarkEnd w:id="139"/>
      <w:bookmarkStart w:id="140" w:name="_Toc184312085"/>
      <w:bookmarkEnd w:id="140"/>
      <w:bookmarkStart w:id="141" w:name="_Toc184308104"/>
      <w:bookmarkEnd w:id="141"/>
      <w:bookmarkStart w:id="142" w:name="_Toc184308095"/>
      <w:bookmarkEnd w:id="142"/>
      <w:bookmarkStart w:id="143" w:name="_Toc184310320"/>
      <w:bookmarkEnd w:id="143"/>
      <w:bookmarkStart w:id="144" w:name="_Toc184312108"/>
      <w:bookmarkEnd w:id="144"/>
      <w:bookmarkStart w:id="145" w:name="_Toc184314450"/>
      <w:bookmarkEnd w:id="145"/>
      <w:bookmarkStart w:id="146" w:name="_Toc184310299"/>
      <w:bookmarkEnd w:id="146"/>
      <w:bookmarkStart w:id="147" w:name="_Toc184314420"/>
      <w:bookmarkEnd w:id="147"/>
      <w:bookmarkStart w:id="148" w:name="_Toc184310298"/>
      <w:bookmarkEnd w:id="148"/>
      <w:bookmarkStart w:id="149" w:name="_Toc184313241"/>
      <w:bookmarkEnd w:id="149"/>
      <w:bookmarkStart w:id="150" w:name="_Toc184314445"/>
      <w:bookmarkEnd w:id="150"/>
      <w:bookmarkStart w:id="151" w:name="_Toc184310276"/>
      <w:bookmarkEnd w:id="151"/>
      <w:bookmarkStart w:id="152" w:name="_Toc184312086"/>
      <w:bookmarkEnd w:id="152"/>
      <w:bookmarkStart w:id="153" w:name="_Toc184313256"/>
      <w:bookmarkEnd w:id="153"/>
      <w:bookmarkStart w:id="154" w:name="_Toc184313278"/>
      <w:bookmarkEnd w:id="154"/>
      <w:bookmarkStart w:id="155" w:name="_Toc184308056"/>
      <w:bookmarkEnd w:id="155"/>
      <w:bookmarkStart w:id="156" w:name="_Toc184310275"/>
      <w:bookmarkEnd w:id="156"/>
      <w:bookmarkStart w:id="157" w:name="_Toc184310343"/>
      <w:bookmarkEnd w:id="157"/>
      <w:bookmarkStart w:id="158" w:name="_Toc184314457"/>
      <w:bookmarkEnd w:id="158"/>
      <w:bookmarkStart w:id="159" w:name="_Toc184313293"/>
      <w:bookmarkEnd w:id="159"/>
      <w:bookmarkStart w:id="160" w:name="_Toc184310339"/>
      <w:bookmarkEnd w:id="160"/>
      <w:bookmarkStart w:id="161" w:name="_Toc184308069"/>
      <w:bookmarkEnd w:id="161"/>
      <w:bookmarkStart w:id="162" w:name="_Toc184312094"/>
      <w:bookmarkEnd w:id="162"/>
      <w:bookmarkStart w:id="163" w:name="_Toc184310316"/>
      <w:bookmarkEnd w:id="163"/>
      <w:bookmarkStart w:id="164" w:name="_Toc184310306"/>
      <w:bookmarkEnd w:id="164"/>
      <w:bookmarkStart w:id="165" w:name="_Toc184314456"/>
      <w:bookmarkEnd w:id="165"/>
      <w:bookmarkStart w:id="166" w:name="_Toc184313273"/>
      <w:bookmarkEnd w:id="166"/>
      <w:bookmarkStart w:id="167" w:name="_Toc184313279"/>
      <w:bookmarkEnd w:id="167"/>
      <w:bookmarkStart w:id="168" w:name="_Toc184313284"/>
      <w:bookmarkEnd w:id="168"/>
      <w:bookmarkStart w:id="169" w:name="_Toc184310304"/>
      <w:bookmarkEnd w:id="169"/>
      <w:bookmarkStart w:id="170" w:name="_Toc184314442"/>
      <w:bookmarkEnd w:id="170"/>
      <w:bookmarkStart w:id="171" w:name="_Toc184314430"/>
      <w:bookmarkEnd w:id="171"/>
      <w:bookmarkStart w:id="172" w:name="_Toc184313248"/>
      <w:bookmarkEnd w:id="172"/>
      <w:bookmarkStart w:id="173" w:name="_Toc184313282"/>
      <w:bookmarkEnd w:id="173"/>
      <w:bookmarkStart w:id="174" w:name="_Toc184310307"/>
      <w:bookmarkEnd w:id="174"/>
      <w:bookmarkStart w:id="175" w:name="_Toc184314465"/>
      <w:bookmarkEnd w:id="175"/>
      <w:bookmarkStart w:id="176" w:name="_Toc184314412"/>
      <w:bookmarkEnd w:id="176"/>
      <w:bookmarkStart w:id="177" w:name="_Toc184312119"/>
      <w:bookmarkEnd w:id="177"/>
      <w:bookmarkStart w:id="178" w:name="_Toc184313251"/>
      <w:bookmarkEnd w:id="178"/>
      <w:bookmarkStart w:id="179" w:name="_Toc184310321"/>
      <w:bookmarkEnd w:id="179"/>
      <w:bookmarkStart w:id="180" w:name="_Toc184312125"/>
      <w:bookmarkEnd w:id="180"/>
      <w:bookmarkStart w:id="181" w:name="_Toc184313292"/>
      <w:bookmarkEnd w:id="181"/>
      <w:bookmarkStart w:id="182" w:name="_Toc184308108"/>
      <w:bookmarkEnd w:id="182"/>
      <w:bookmarkStart w:id="183" w:name="_Toc184312121"/>
      <w:bookmarkEnd w:id="183"/>
      <w:bookmarkStart w:id="184" w:name="_Toc184310278"/>
      <w:bookmarkEnd w:id="184"/>
      <w:bookmarkStart w:id="185" w:name="_Toc184308099"/>
      <w:bookmarkEnd w:id="185"/>
      <w:bookmarkStart w:id="186" w:name="_Toc184310331"/>
      <w:bookmarkEnd w:id="186"/>
      <w:bookmarkStart w:id="187" w:name="_Toc184313268"/>
      <w:bookmarkEnd w:id="187"/>
      <w:bookmarkStart w:id="188" w:name="_Toc184314437"/>
      <w:bookmarkEnd w:id="188"/>
      <w:bookmarkStart w:id="189" w:name="_Toc184314454"/>
      <w:bookmarkEnd w:id="189"/>
      <w:bookmarkStart w:id="190" w:name="_Toc184310295"/>
      <w:bookmarkEnd w:id="190"/>
      <w:bookmarkStart w:id="191" w:name="_Toc184314481"/>
      <w:bookmarkEnd w:id="191"/>
      <w:bookmarkStart w:id="192" w:name="_Toc184310338"/>
      <w:bookmarkEnd w:id="192"/>
      <w:bookmarkStart w:id="193" w:name="_Toc184312083"/>
      <w:bookmarkEnd w:id="193"/>
      <w:bookmarkStart w:id="194" w:name="_Toc184312073"/>
      <w:bookmarkEnd w:id="194"/>
      <w:bookmarkStart w:id="195" w:name="_Toc184314423"/>
      <w:bookmarkEnd w:id="195"/>
      <w:bookmarkStart w:id="196" w:name="_Toc184312106"/>
      <w:bookmarkEnd w:id="196"/>
      <w:bookmarkStart w:id="197" w:name="_Toc184313266"/>
      <w:bookmarkEnd w:id="197"/>
      <w:bookmarkStart w:id="198" w:name="_Toc184308081"/>
      <w:bookmarkEnd w:id="198"/>
      <w:bookmarkStart w:id="199" w:name="_Toc184313308"/>
      <w:bookmarkEnd w:id="199"/>
      <w:bookmarkStart w:id="200" w:name="_Toc184308103"/>
      <w:bookmarkEnd w:id="200"/>
      <w:bookmarkStart w:id="201" w:name="_Toc184313296"/>
      <w:bookmarkEnd w:id="201"/>
      <w:bookmarkStart w:id="202" w:name="_Toc184310325"/>
      <w:bookmarkEnd w:id="202"/>
      <w:bookmarkStart w:id="203" w:name="_Toc184312129"/>
      <w:bookmarkEnd w:id="203"/>
      <w:bookmarkStart w:id="204" w:name="_Toc184313245"/>
      <w:bookmarkEnd w:id="204"/>
      <w:bookmarkStart w:id="205" w:name="_Toc184308101"/>
      <w:bookmarkEnd w:id="205"/>
      <w:bookmarkStart w:id="206" w:name="_Toc184310340"/>
      <w:bookmarkEnd w:id="206"/>
      <w:bookmarkStart w:id="207" w:name="_Toc184314480"/>
      <w:bookmarkEnd w:id="207"/>
      <w:bookmarkStart w:id="208" w:name="_Toc184312088"/>
      <w:bookmarkEnd w:id="208"/>
      <w:bookmarkStart w:id="209" w:name="_Toc184313286"/>
      <w:bookmarkEnd w:id="209"/>
      <w:bookmarkStart w:id="210" w:name="_Toc184312096"/>
      <w:bookmarkEnd w:id="210"/>
      <w:bookmarkStart w:id="211" w:name="_Toc184312087"/>
      <w:bookmarkEnd w:id="211"/>
      <w:bookmarkStart w:id="212" w:name="_Toc184312098"/>
      <w:bookmarkEnd w:id="212"/>
      <w:bookmarkStart w:id="213" w:name="_Toc184310287"/>
      <w:bookmarkEnd w:id="213"/>
      <w:bookmarkStart w:id="214" w:name="_Toc184310283"/>
      <w:bookmarkEnd w:id="214"/>
      <w:bookmarkStart w:id="215" w:name="_Toc184312133"/>
      <w:bookmarkEnd w:id="215"/>
      <w:bookmarkStart w:id="216" w:name="_Toc184312080"/>
      <w:bookmarkEnd w:id="216"/>
      <w:bookmarkStart w:id="217" w:name="_Toc184312118"/>
      <w:bookmarkEnd w:id="217"/>
      <w:bookmarkStart w:id="218" w:name="_Toc184310292"/>
      <w:bookmarkEnd w:id="218"/>
      <w:bookmarkStart w:id="219" w:name="_Toc184312139"/>
      <w:bookmarkEnd w:id="219"/>
      <w:bookmarkStart w:id="220" w:name="_Toc184310310"/>
      <w:bookmarkEnd w:id="220"/>
      <w:bookmarkStart w:id="221" w:name="_Toc184312082"/>
      <w:bookmarkEnd w:id="221"/>
      <w:bookmarkStart w:id="222" w:name="_Toc184312084"/>
      <w:bookmarkEnd w:id="222"/>
      <w:bookmarkStart w:id="223" w:name="_Toc184310309"/>
      <w:bookmarkEnd w:id="223"/>
      <w:bookmarkStart w:id="224" w:name="_Toc184313260"/>
      <w:bookmarkEnd w:id="224"/>
      <w:bookmarkStart w:id="225" w:name="_Toc184308044"/>
      <w:bookmarkEnd w:id="225"/>
      <w:bookmarkStart w:id="226" w:name="_Toc184312136"/>
      <w:bookmarkEnd w:id="226"/>
      <w:bookmarkStart w:id="227" w:name="_Toc184313288"/>
      <w:bookmarkEnd w:id="227"/>
      <w:bookmarkStart w:id="228" w:name="_Toc184313271"/>
      <w:bookmarkEnd w:id="228"/>
      <w:bookmarkStart w:id="229" w:name="_Toc184310280"/>
      <w:bookmarkEnd w:id="229"/>
      <w:bookmarkStart w:id="230" w:name="_Toc184308098"/>
      <w:bookmarkEnd w:id="230"/>
      <w:bookmarkStart w:id="231" w:name="_Toc184313262"/>
      <w:bookmarkEnd w:id="231"/>
      <w:bookmarkStart w:id="232" w:name="_Toc184314425"/>
      <w:bookmarkEnd w:id="232"/>
      <w:bookmarkStart w:id="233" w:name="_Toc184313243"/>
      <w:bookmarkEnd w:id="233"/>
      <w:bookmarkStart w:id="234" w:name="_Toc184310335"/>
      <w:bookmarkEnd w:id="234"/>
      <w:bookmarkStart w:id="235" w:name="_Toc184312117"/>
      <w:bookmarkEnd w:id="235"/>
      <w:bookmarkStart w:id="236" w:name="_Toc184313281"/>
      <w:bookmarkEnd w:id="236"/>
      <w:bookmarkStart w:id="237" w:name="_Toc184314475"/>
      <w:bookmarkEnd w:id="237"/>
      <w:bookmarkStart w:id="238" w:name="_Toc184310301"/>
      <w:bookmarkEnd w:id="238"/>
      <w:bookmarkStart w:id="239" w:name="_Toc184314440"/>
      <w:bookmarkEnd w:id="239"/>
      <w:bookmarkStart w:id="240" w:name="_Toc184312081"/>
      <w:bookmarkEnd w:id="240"/>
      <w:bookmarkStart w:id="241" w:name="_Toc184312072"/>
      <w:bookmarkEnd w:id="241"/>
      <w:bookmarkStart w:id="242" w:name="_Toc184308047"/>
      <w:bookmarkEnd w:id="242"/>
      <w:bookmarkStart w:id="243" w:name="_Toc184313264"/>
      <w:bookmarkEnd w:id="243"/>
      <w:bookmarkStart w:id="244" w:name="_Toc184313252"/>
      <w:bookmarkEnd w:id="244"/>
      <w:bookmarkStart w:id="245" w:name="_Toc184310297"/>
      <w:bookmarkEnd w:id="245"/>
      <w:bookmarkStart w:id="246" w:name="_Toc184314421"/>
      <w:bookmarkEnd w:id="246"/>
      <w:bookmarkStart w:id="247" w:name="_Toc184312095"/>
      <w:bookmarkEnd w:id="247"/>
      <w:bookmarkStart w:id="248" w:name="_Toc184308041"/>
      <w:bookmarkEnd w:id="248"/>
      <w:bookmarkStart w:id="249" w:name="_Toc184314469"/>
      <w:bookmarkEnd w:id="249"/>
      <w:bookmarkStart w:id="250" w:name="_Toc184314472"/>
      <w:bookmarkEnd w:id="250"/>
      <w:bookmarkStart w:id="251" w:name="_Toc184312111"/>
      <w:bookmarkEnd w:id="251"/>
      <w:bookmarkStart w:id="252" w:name="_Toc184314461"/>
      <w:bookmarkEnd w:id="252"/>
      <w:bookmarkStart w:id="253" w:name="_Toc184308065"/>
      <w:bookmarkEnd w:id="253"/>
      <w:bookmarkStart w:id="254" w:name="_Toc184312067"/>
      <w:bookmarkEnd w:id="254"/>
      <w:bookmarkStart w:id="255" w:name="_Toc184312092"/>
      <w:bookmarkEnd w:id="255"/>
      <w:bookmarkStart w:id="256" w:name="_Toc184313254"/>
      <w:bookmarkEnd w:id="256"/>
      <w:bookmarkStart w:id="257" w:name="_Toc184312078"/>
      <w:bookmarkEnd w:id="257"/>
      <w:bookmarkStart w:id="258" w:name="_Toc184314477"/>
      <w:bookmarkEnd w:id="258"/>
      <w:bookmarkStart w:id="259" w:name="_Toc184314470"/>
      <w:bookmarkEnd w:id="259"/>
      <w:bookmarkStart w:id="260" w:name="_Toc184310313"/>
      <w:bookmarkEnd w:id="260"/>
      <w:bookmarkStart w:id="261" w:name="_Toc184308037"/>
      <w:bookmarkEnd w:id="261"/>
      <w:bookmarkStart w:id="262" w:name="_Toc184313274"/>
      <w:bookmarkEnd w:id="262"/>
      <w:bookmarkStart w:id="263" w:name="_Toc184312071"/>
      <w:bookmarkEnd w:id="263"/>
      <w:bookmarkStart w:id="264" w:name="_Toc184310273"/>
      <w:bookmarkEnd w:id="264"/>
      <w:bookmarkStart w:id="265" w:name="_Toc184313285"/>
      <w:bookmarkEnd w:id="265"/>
      <w:bookmarkStart w:id="266" w:name="_Toc184314479"/>
      <w:bookmarkEnd w:id="266"/>
      <w:bookmarkStart w:id="267" w:name="_Toc184313290"/>
      <w:bookmarkEnd w:id="267"/>
      <w:bookmarkStart w:id="268" w:name="_Toc184312102"/>
      <w:bookmarkEnd w:id="268"/>
      <w:bookmarkStart w:id="269" w:name="_Toc184314458"/>
      <w:bookmarkEnd w:id="269"/>
      <w:bookmarkStart w:id="270" w:name="_Toc184312070"/>
      <w:bookmarkEnd w:id="270"/>
      <w:bookmarkStart w:id="271" w:name="_Toc184314443"/>
      <w:bookmarkEnd w:id="271"/>
      <w:bookmarkStart w:id="272" w:name="_Toc184314431"/>
      <w:bookmarkEnd w:id="272"/>
      <w:bookmarkStart w:id="273" w:name="_Toc184308050"/>
      <w:bookmarkEnd w:id="273"/>
      <w:bookmarkStart w:id="274" w:name="_Toc184308084"/>
      <w:bookmarkEnd w:id="274"/>
      <w:bookmarkStart w:id="275" w:name="_Toc184310303"/>
      <w:bookmarkEnd w:id="275"/>
      <w:bookmarkStart w:id="276" w:name="_Toc184310319"/>
      <w:bookmarkEnd w:id="276"/>
      <w:bookmarkStart w:id="277" w:name="_Toc184314427"/>
      <w:bookmarkEnd w:id="277"/>
      <w:bookmarkStart w:id="278" w:name="_Toc184308072"/>
      <w:bookmarkEnd w:id="278"/>
      <w:bookmarkStart w:id="279" w:name="_Toc184312134"/>
      <w:bookmarkEnd w:id="279"/>
      <w:bookmarkStart w:id="280" w:name="_Toc184312075"/>
      <w:bookmarkEnd w:id="280"/>
      <w:bookmarkStart w:id="281" w:name="_Toc184310341"/>
      <w:bookmarkEnd w:id="281"/>
      <w:bookmarkStart w:id="282" w:name="_Toc184308054"/>
      <w:bookmarkEnd w:id="282"/>
      <w:bookmarkStart w:id="283" w:name="_Toc184308052"/>
      <w:bookmarkEnd w:id="283"/>
      <w:bookmarkStart w:id="284" w:name="_Toc184310286"/>
      <w:bookmarkEnd w:id="284"/>
      <w:bookmarkStart w:id="285" w:name="_Toc184308045"/>
      <w:bookmarkEnd w:id="285"/>
      <w:bookmarkStart w:id="286" w:name="_Toc184314459"/>
      <w:bookmarkEnd w:id="286"/>
      <w:bookmarkStart w:id="287" w:name="_Toc184308042"/>
      <w:bookmarkEnd w:id="287"/>
      <w:bookmarkStart w:id="288" w:name="_Toc184310312"/>
      <w:bookmarkEnd w:id="288"/>
      <w:bookmarkStart w:id="289" w:name="_Toc184308096"/>
      <w:bookmarkEnd w:id="289"/>
      <w:bookmarkStart w:id="290" w:name="_Toc184308063"/>
      <w:bookmarkEnd w:id="290"/>
      <w:bookmarkStart w:id="291" w:name="_Toc184313303"/>
      <w:bookmarkEnd w:id="291"/>
      <w:bookmarkStart w:id="292" w:name="_Toc184308046"/>
      <w:bookmarkEnd w:id="292"/>
      <w:bookmarkStart w:id="293" w:name="_Toc184312097"/>
      <w:bookmarkEnd w:id="293"/>
      <w:bookmarkStart w:id="294" w:name="_Toc184313272"/>
      <w:bookmarkEnd w:id="294"/>
      <w:bookmarkStart w:id="295" w:name="_Toc184314410"/>
      <w:bookmarkEnd w:id="295"/>
      <w:bookmarkStart w:id="296" w:name="_Toc184314438"/>
      <w:bookmarkEnd w:id="296"/>
      <w:bookmarkStart w:id="297" w:name="_Toc184308051"/>
      <w:bookmarkEnd w:id="297"/>
      <w:bookmarkStart w:id="298" w:name="_Toc184310344"/>
      <w:bookmarkEnd w:id="298"/>
      <w:bookmarkStart w:id="299" w:name="_Toc184310272"/>
      <w:bookmarkEnd w:id="299"/>
      <w:bookmarkStart w:id="300" w:name="_Toc184314433"/>
      <w:bookmarkEnd w:id="300"/>
      <w:bookmarkStart w:id="301" w:name="_Toc184313283"/>
      <w:bookmarkEnd w:id="301"/>
      <w:bookmarkStart w:id="302" w:name="_Toc184308067"/>
      <w:bookmarkEnd w:id="302"/>
      <w:bookmarkStart w:id="303" w:name="_Toc184314436"/>
      <w:bookmarkEnd w:id="303"/>
      <w:bookmarkStart w:id="304" w:name="_Toc184308100"/>
      <w:bookmarkEnd w:id="304"/>
      <w:bookmarkStart w:id="305" w:name="_Toc184308059"/>
      <w:bookmarkEnd w:id="305"/>
      <w:bookmarkStart w:id="306" w:name="_Toc184308092"/>
      <w:bookmarkEnd w:id="306"/>
      <w:bookmarkStart w:id="307" w:name="_Toc184314428"/>
      <w:bookmarkEnd w:id="307"/>
      <w:bookmarkStart w:id="308" w:name="_Toc184308089"/>
      <w:bookmarkEnd w:id="308"/>
      <w:bookmarkStart w:id="309" w:name="_Toc184313250"/>
      <w:bookmarkEnd w:id="309"/>
      <w:bookmarkStart w:id="310" w:name="_Toc184313244"/>
      <w:bookmarkEnd w:id="310"/>
      <w:bookmarkStart w:id="311" w:name="_Toc184308085"/>
      <w:bookmarkEnd w:id="311"/>
      <w:bookmarkStart w:id="312" w:name="_Toc184310323"/>
      <w:bookmarkEnd w:id="312"/>
      <w:bookmarkStart w:id="313" w:name="_Toc184310322"/>
      <w:bookmarkEnd w:id="313"/>
      <w:bookmarkStart w:id="314" w:name="_Toc184308082"/>
      <w:bookmarkEnd w:id="314"/>
      <w:bookmarkStart w:id="315" w:name="_Toc184308094"/>
      <w:bookmarkEnd w:id="315"/>
      <w:bookmarkStart w:id="316" w:name="_Toc184313257"/>
      <w:bookmarkEnd w:id="316"/>
      <w:bookmarkStart w:id="317" w:name="_Toc184314463"/>
      <w:bookmarkEnd w:id="317"/>
      <w:bookmarkStart w:id="318" w:name="_Toc184312079"/>
      <w:bookmarkEnd w:id="318"/>
      <w:bookmarkStart w:id="319" w:name="_Toc184312069"/>
      <w:bookmarkEnd w:id="319"/>
      <w:bookmarkStart w:id="320" w:name="_Toc184312110"/>
      <w:bookmarkEnd w:id="320"/>
      <w:bookmarkStart w:id="321" w:name="_Toc184313291"/>
      <w:bookmarkEnd w:id="321"/>
      <w:bookmarkStart w:id="322" w:name="_Toc184312114"/>
      <w:bookmarkEnd w:id="322"/>
      <w:bookmarkStart w:id="323" w:name="_Toc184314426"/>
      <w:bookmarkEnd w:id="323"/>
      <w:bookmarkStart w:id="324" w:name="_Toc184313267"/>
      <w:bookmarkEnd w:id="324"/>
      <w:bookmarkStart w:id="325" w:name="_Toc184308073"/>
      <w:bookmarkEnd w:id="325"/>
      <w:bookmarkStart w:id="326" w:name="_Toc184314415"/>
      <w:bookmarkEnd w:id="326"/>
      <w:bookmarkStart w:id="327" w:name="_Toc184314476"/>
      <w:bookmarkEnd w:id="327"/>
      <w:bookmarkStart w:id="328" w:name="_Toc184308102"/>
      <w:bookmarkEnd w:id="328"/>
      <w:bookmarkStart w:id="329" w:name="_Toc184313295"/>
      <w:bookmarkEnd w:id="329"/>
      <w:bookmarkStart w:id="330" w:name="_Toc184312128"/>
      <w:bookmarkEnd w:id="330"/>
      <w:bookmarkStart w:id="331" w:name="_Toc184308058"/>
      <w:bookmarkEnd w:id="331"/>
      <w:bookmarkStart w:id="332" w:name="_Toc184312089"/>
      <w:bookmarkEnd w:id="332"/>
      <w:bookmarkStart w:id="333" w:name="_Toc184310279"/>
      <w:bookmarkEnd w:id="333"/>
      <w:bookmarkStart w:id="334" w:name="_Toc184314429"/>
      <w:bookmarkEnd w:id="334"/>
      <w:bookmarkStart w:id="335" w:name="_Toc184308075"/>
      <w:bookmarkEnd w:id="335"/>
      <w:bookmarkStart w:id="336" w:name="_Toc184310289"/>
      <w:bookmarkEnd w:id="336"/>
      <w:bookmarkStart w:id="337" w:name="_Toc184312137"/>
      <w:bookmarkEnd w:id="337"/>
      <w:bookmarkStart w:id="338" w:name="_Toc184310332"/>
      <w:bookmarkEnd w:id="338"/>
      <w:bookmarkStart w:id="339" w:name="_Toc184308090"/>
      <w:bookmarkEnd w:id="339"/>
      <w:bookmarkStart w:id="340" w:name="_Toc184308105"/>
      <w:bookmarkEnd w:id="340"/>
      <w:bookmarkStart w:id="341" w:name="_Toc184313275"/>
      <w:bookmarkEnd w:id="341"/>
      <w:bookmarkStart w:id="342" w:name="_Toc184308040"/>
      <w:bookmarkEnd w:id="342"/>
      <w:bookmarkStart w:id="343" w:name="_Toc184312123"/>
      <w:bookmarkEnd w:id="343"/>
      <w:bookmarkStart w:id="344" w:name="_Toc184308066"/>
      <w:bookmarkEnd w:id="344"/>
      <w:bookmarkStart w:id="345" w:name="_Toc184310290"/>
      <w:bookmarkEnd w:id="345"/>
      <w:bookmarkStart w:id="346" w:name="_Toc184308088"/>
      <w:bookmarkEnd w:id="346"/>
      <w:bookmarkStart w:id="347" w:name="_Toc184312090"/>
      <w:bookmarkEnd w:id="347"/>
      <w:bookmarkStart w:id="348" w:name="_Toc184312074"/>
      <w:bookmarkEnd w:id="348"/>
      <w:bookmarkStart w:id="349" w:name="_Toc184312105"/>
      <w:bookmarkEnd w:id="349"/>
      <w:bookmarkStart w:id="350" w:name="_Toc184308080"/>
      <w:bookmarkEnd w:id="350"/>
      <w:bookmarkStart w:id="351" w:name="_Toc184313306"/>
      <w:bookmarkEnd w:id="351"/>
      <w:bookmarkStart w:id="352" w:name="_Toc184308049"/>
      <w:bookmarkEnd w:id="352"/>
      <w:bookmarkStart w:id="353" w:name="_Toc184308055"/>
      <w:bookmarkEnd w:id="353"/>
      <w:bookmarkStart w:id="354" w:name="_Toc184314449"/>
      <w:bookmarkEnd w:id="354"/>
      <w:bookmarkStart w:id="355" w:name="_Toc184312076"/>
      <w:bookmarkEnd w:id="355"/>
      <w:bookmarkStart w:id="356" w:name="_Toc184313309"/>
      <w:bookmarkEnd w:id="356"/>
      <w:bookmarkStart w:id="357" w:name="_Toc184310330"/>
      <w:bookmarkEnd w:id="357"/>
      <w:bookmarkStart w:id="358" w:name="_Toc184313255"/>
      <w:bookmarkEnd w:id="358"/>
      <w:bookmarkStart w:id="359" w:name="_Toc184310302"/>
      <w:bookmarkEnd w:id="359"/>
      <w:bookmarkStart w:id="360" w:name="_Toc184313269"/>
      <w:bookmarkEnd w:id="360"/>
      <w:bookmarkStart w:id="361" w:name="_Toc184314471"/>
      <w:bookmarkEnd w:id="361"/>
      <w:bookmarkStart w:id="362" w:name="_Toc184313276"/>
      <w:bookmarkEnd w:id="362"/>
      <w:bookmarkStart w:id="363" w:name="_Toc184308043"/>
      <w:bookmarkEnd w:id="363"/>
      <w:bookmarkStart w:id="364" w:name="_Toc184314462"/>
      <w:bookmarkEnd w:id="364"/>
      <w:r>
        <w:rPr>
          <w:rFonts w:hint="eastAsia" w:ascii="宋体" w:hAnsi="宋体" w:eastAsia="宋体" w:cs="宋体"/>
          <w:b/>
          <w:sz w:val="36"/>
          <w:szCs w:val="36"/>
        </w:rPr>
        <w:t>评标办法</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32"/>
        </w:rPr>
        <w:t>一、评标方法</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4"/>
        </w:rPr>
      </w:pPr>
      <w:r>
        <w:rPr>
          <w:rFonts w:hint="eastAsia" w:ascii="宋体" w:hAnsi="宋体" w:eastAsia="宋体" w:cs="宋体"/>
          <w:b/>
          <w:sz w:val="32"/>
        </w:rPr>
        <w:t>二、评标标准</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sz w:val="24"/>
        </w:rPr>
        <w:t>共100分，其中商</w:t>
      </w:r>
      <w:r>
        <w:rPr>
          <w:rFonts w:hint="eastAsia" w:ascii="宋体" w:hAnsi="宋体" w:eastAsia="宋体" w:cs="宋体"/>
          <w:sz w:val="24"/>
          <w:highlight w:val="none"/>
        </w:rPr>
        <w:t>务技术分</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rPr>
        <w:t>分，价格分</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lang w:val="en-US" w:eastAsia="zh-CN"/>
        </w:rPr>
        <w:t xml:space="preserve">0 </w:t>
      </w:r>
      <w:r>
        <w:rPr>
          <w:rFonts w:hint="eastAsia" w:ascii="宋体" w:hAnsi="宋体" w:eastAsia="宋体" w:cs="宋体"/>
          <w:sz w:val="24"/>
          <w:highlight w:val="none"/>
        </w:rPr>
        <w:t>分。评分依下述所列为评标打分依据，分值如下（计算分值时，按其算术平均值保留小数</w:t>
      </w:r>
      <w:r>
        <w:rPr>
          <w:rFonts w:hint="eastAsia" w:ascii="宋体" w:hAnsi="宋体" w:eastAsia="宋体" w:cs="宋体"/>
          <w:sz w:val="24"/>
        </w:rPr>
        <w:t>2位）</w:t>
      </w:r>
      <w:r>
        <w:rPr>
          <w:rFonts w:hint="eastAsia" w:ascii="宋体" w:hAnsi="宋体" w:eastAsia="宋体" w:cs="宋体"/>
          <w:kern w:val="0"/>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32"/>
          <w:szCs w:val="20"/>
          <w:lang w:val="en-US" w:eastAsia="zh-CN"/>
        </w:rPr>
      </w:pPr>
      <w:r>
        <w:rPr>
          <w:rFonts w:hint="eastAsia" w:ascii="宋体" w:hAnsi="宋体" w:eastAsia="宋体" w:cs="宋体"/>
          <w:b/>
          <w:bCs/>
          <w:iCs/>
          <w:sz w:val="24"/>
        </w:rPr>
        <w:t>2.1商务技术分（</w:t>
      </w:r>
      <w:r>
        <w:rPr>
          <w:rFonts w:hint="eastAsia" w:ascii="宋体" w:hAnsi="宋体" w:eastAsia="宋体" w:cs="宋体"/>
          <w:b/>
          <w:bCs/>
          <w:iCs/>
          <w:sz w:val="24"/>
          <w:u w:val="single"/>
          <w:lang w:val="en-US" w:eastAsia="zh-CN"/>
        </w:rPr>
        <w:t xml:space="preserve"> </w:t>
      </w:r>
      <w:r>
        <w:rPr>
          <w:rFonts w:hint="eastAsia" w:ascii="宋体" w:hAnsi="宋体" w:cs="宋体"/>
          <w:b/>
          <w:bCs/>
          <w:iCs/>
          <w:sz w:val="24"/>
          <w:u w:val="single"/>
          <w:lang w:val="en-US" w:eastAsia="zh-CN"/>
        </w:rPr>
        <w:t>5</w:t>
      </w:r>
      <w:r>
        <w:rPr>
          <w:rFonts w:hint="eastAsia" w:ascii="宋体" w:hAnsi="宋体" w:eastAsia="宋体" w:cs="宋体"/>
          <w:b/>
          <w:bCs/>
          <w:iCs/>
          <w:sz w:val="24"/>
          <w:u w:val="single"/>
          <w:lang w:val="en-US" w:eastAsia="zh-CN"/>
        </w:rPr>
        <w:t xml:space="preserve">0 </w:t>
      </w:r>
      <w:r>
        <w:rPr>
          <w:rFonts w:hint="eastAsia" w:ascii="宋体" w:hAnsi="宋体" w:eastAsia="宋体" w:cs="宋体"/>
          <w:b/>
          <w:bCs/>
          <w:iCs/>
          <w:sz w:val="24"/>
        </w:rPr>
        <w:t>分）</w:t>
      </w:r>
    </w:p>
    <w:tbl>
      <w:tblPr>
        <w:tblStyle w:val="18"/>
        <w:tblpPr w:leftFromText="180" w:rightFromText="180" w:vertAnchor="text" w:horzAnchor="page" w:tblpXSpec="center" w:tblpY="126"/>
        <w:tblW w:w="5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42"/>
        <w:gridCol w:w="5632"/>
        <w:gridCol w:w="78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Align w:val="center"/>
          </w:tcPr>
          <w:p>
            <w:pPr>
              <w:spacing w:line="240" w:lineRule="auto"/>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728"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评标内容</w:t>
            </w:r>
          </w:p>
        </w:tc>
        <w:tc>
          <w:tcPr>
            <w:tcW w:w="3057" w:type="pct"/>
            <w:vAlign w:val="center"/>
          </w:tcPr>
          <w:p>
            <w:pPr>
              <w:spacing w:line="240" w:lineRule="auto"/>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评标标准</w:t>
            </w:r>
          </w:p>
        </w:tc>
        <w:tc>
          <w:tcPr>
            <w:tcW w:w="423" w:type="pct"/>
            <w:vAlign w:val="center"/>
          </w:tcPr>
          <w:p>
            <w:pPr>
              <w:spacing w:line="240" w:lineRule="auto"/>
              <w:jc w:val="left"/>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分值</w:t>
            </w:r>
          </w:p>
        </w:tc>
        <w:tc>
          <w:tcPr>
            <w:tcW w:w="376"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Align w:val="center"/>
          </w:tcPr>
          <w:p>
            <w:pPr>
              <w:spacing w:line="24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2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综合实力</w:t>
            </w:r>
          </w:p>
        </w:tc>
        <w:tc>
          <w:tcPr>
            <w:tcW w:w="3057" w:type="pct"/>
            <w:vAlign w:val="center"/>
          </w:tcPr>
          <w:p>
            <w:pPr>
              <w:pStyle w:val="11"/>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1、投标人具有中国展览馆协会颁发的展览工程企业资质或展览陈列工程设计与施工一体化资质，一级得2分，二级得1.5分,三级得1分；</w:t>
            </w:r>
          </w:p>
          <w:p>
            <w:pPr>
              <w:pStyle w:val="11"/>
              <w:rPr>
                <w:rFonts w:hint="eastAsia" w:ascii="宋体" w:hAnsi="宋体" w:eastAsia="宋体" w:cs="宋体"/>
                <w:lang w:val="en-US" w:eastAsia="zh-CN"/>
              </w:rPr>
            </w:pPr>
            <w:r>
              <w:rPr>
                <w:rFonts w:hint="eastAsia" w:ascii="宋体" w:hAnsi="宋体" w:eastAsia="宋体" w:cs="宋体"/>
                <w:b w:val="0"/>
                <w:bCs/>
                <w:iCs/>
                <w:color w:val="auto"/>
                <w:sz w:val="24"/>
                <w:szCs w:val="24"/>
                <w:highlight w:val="none"/>
                <w:lang w:val="en-US" w:eastAsia="zh-CN"/>
              </w:rPr>
              <w:t>2、投标人具有建筑装修装饰工程专业承包壹级资质得2分</w:t>
            </w:r>
            <w:r>
              <w:rPr>
                <w:rFonts w:hint="eastAsia" w:ascii="宋体" w:hAnsi="宋体" w:eastAsia="宋体" w:cs="宋体"/>
                <w:b w:val="0"/>
                <w:bCs/>
                <w:iCs/>
                <w:snapToGrid/>
                <w:color w:val="auto"/>
                <w:kern w:val="2"/>
                <w:sz w:val="24"/>
                <w:szCs w:val="24"/>
                <w:highlight w:val="none"/>
                <w:lang w:val="en-US" w:eastAsia="zh-CN" w:bidi="ar-SA"/>
              </w:rPr>
              <w:t>，建筑装修装饰工程专业承包贰级资质得1分。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（提供有效期内的相关证书扫描件并加盖CA签章）。</w:t>
            </w:r>
          </w:p>
        </w:tc>
        <w:tc>
          <w:tcPr>
            <w:tcW w:w="423" w:type="pct"/>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4分</w:t>
            </w:r>
          </w:p>
        </w:tc>
        <w:tc>
          <w:tcPr>
            <w:tcW w:w="376" w:type="pct"/>
            <w:vAlign w:val="center"/>
          </w:tcPr>
          <w:p>
            <w:pPr>
              <w:spacing w:line="240" w:lineRule="auto"/>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14" w:type="pct"/>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2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9"/>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color w:val="auto"/>
                <w:sz w:val="24"/>
                <w:lang w:eastAsia="zh-CN"/>
              </w:rPr>
              <w:t>认证证书</w:t>
            </w:r>
          </w:p>
        </w:tc>
        <w:tc>
          <w:tcPr>
            <w:tcW w:w="30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Cs/>
                <w:color w:val="auto"/>
                <w:sz w:val="24"/>
                <w:lang w:val="en-US" w:eastAsia="zh-CN"/>
              </w:rPr>
              <w:t>供应商具有在有效期内的质量管理体系认证证书的得1分，环境管理体系认证证书的得1分，职业健康安全管理体系认证的得1分。本项最高得3分，不提供不得分。</w:t>
            </w:r>
            <w:r>
              <w:rPr>
                <w:rFonts w:hint="eastAsia" w:ascii="宋体" w:hAnsi="宋体" w:cs="宋体"/>
                <w:bCs/>
                <w:color w:val="auto"/>
                <w:sz w:val="24"/>
                <w:lang w:val="en-US" w:eastAsia="zh-CN"/>
              </w:rPr>
              <w:t>（</w:t>
            </w:r>
            <w:r>
              <w:rPr>
                <w:rFonts w:hint="eastAsia" w:ascii="宋体" w:hAnsi="宋体" w:eastAsia="宋体" w:cs="宋体"/>
                <w:bCs/>
                <w:color w:val="auto"/>
                <w:sz w:val="24"/>
                <w:lang w:val="en-US" w:eastAsia="zh-CN"/>
              </w:rPr>
              <w:t>需提供认证证书扫描件并加盖CA签章</w:t>
            </w:r>
            <w:r>
              <w:rPr>
                <w:rFonts w:hint="eastAsia" w:ascii="宋体" w:hAnsi="宋体" w:cs="宋体"/>
                <w:bCs/>
                <w:color w:val="auto"/>
                <w:sz w:val="24"/>
                <w:lang w:val="en-US" w:eastAsia="zh-CN"/>
              </w:rPr>
              <w:t>）</w:t>
            </w:r>
            <w:r>
              <w:rPr>
                <w:rFonts w:hint="eastAsia" w:ascii="宋体" w:hAnsi="宋体" w:eastAsia="宋体" w:cs="宋体"/>
                <w:bCs/>
                <w:color w:val="auto"/>
                <w:sz w:val="24"/>
                <w:lang w:val="en-US" w:eastAsia="zh-CN"/>
              </w:rPr>
              <w:t>。</w:t>
            </w:r>
          </w:p>
        </w:tc>
        <w:tc>
          <w:tcPr>
            <w:tcW w:w="423" w:type="pct"/>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c>
          <w:tcPr>
            <w:tcW w:w="376" w:type="pct"/>
            <w:vAlign w:val="center"/>
          </w:tcPr>
          <w:p>
            <w:pPr>
              <w:spacing w:line="240" w:lineRule="auto"/>
              <w:outlineLvl w:val="0"/>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414" w:type="pct"/>
            <w:vAlign w:val="center"/>
          </w:tcPr>
          <w:p>
            <w:pPr>
              <w:spacing w:line="24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72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业绩</w:t>
            </w:r>
          </w:p>
        </w:tc>
        <w:tc>
          <w:tcPr>
            <w:tcW w:w="3057" w:type="pct"/>
            <w:vAlign w:val="center"/>
          </w:tcPr>
          <w:p>
            <w:pPr>
              <w:pStyle w:val="11"/>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投标人自202</w:t>
            </w:r>
            <w:r>
              <w:rPr>
                <w:rFonts w:hint="eastAsia" w:hAnsi="宋体" w:cs="宋体"/>
                <w:b w:val="0"/>
                <w:bCs/>
                <w:iCs/>
                <w:color w:val="auto"/>
                <w:sz w:val="24"/>
                <w:szCs w:val="24"/>
                <w:highlight w:val="none"/>
                <w:lang w:val="en-US" w:eastAsia="zh-CN"/>
              </w:rPr>
              <w:t>1</w:t>
            </w:r>
            <w:r>
              <w:rPr>
                <w:rFonts w:hint="eastAsia" w:ascii="宋体" w:hAnsi="宋体" w:eastAsia="宋体" w:cs="宋体"/>
                <w:b w:val="0"/>
                <w:bCs/>
                <w:iCs/>
                <w:color w:val="auto"/>
                <w:sz w:val="24"/>
                <w:szCs w:val="24"/>
                <w:highlight w:val="none"/>
                <w:lang w:val="en-US" w:eastAsia="zh-CN"/>
              </w:rPr>
              <w:t>年1月至今（以合同签订时间为准）独立完成过类似布展业绩的，</w:t>
            </w:r>
            <w:r>
              <w:rPr>
                <w:rFonts w:hint="eastAsia" w:hAnsi="宋体" w:cs="宋体"/>
                <w:b w:val="0"/>
                <w:bCs/>
                <w:iCs/>
                <w:color w:val="auto"/>
                <w:sz w:val="24"/>
                <w:szCs w:val="24"/>
                <w:highlight w:val="none"/>
                <w:lang w:val="en-US" w:eastAsia="zh-CN"/>
              </w:rPr>
              <w:t>每提供</w:t>
            </w:r>
            <w:r>
              <w:rPr>
                <w:rFonts w:hint="eastAsia" w:ascii="宋体" w:hAnsi="宋体" w:eastAsia="宋体" w:cs="宋体"/>
                <w:b w:val="0"/>
                <w:bCs/>
                <w:iCs/>
                <w:color w:val="auto"/>
                <w:sz w:val="24"/>
                <w:szCs w:val="24"/>
                <w:highlight w:val="none"/>
                <w:lang w:val="en-US" w:eastAsia="zh-CN"/>
              </w:rPr>
              <w:t>1个得</w:t>
            </w:r>
            <w:r>
              <w:rPr>
                <w:rFonts w:hint="eastAsia" w:hAnsi="宋体" w:cs="宋体"/>
                <w:b w:val="0"/>
                <w:bCs/>
                <w:iCs/>
                <w:color w:val="auto"/>
                <w:sz w:val="24"/>
                <w:szCs w:val="24"/>
                <w:highlight w:val="none"/>
                <w:lang w:val="en-US" w:eastAsia="zh-CN"/>
              </w:rPr>
              <w:t>1</w:t>
            </w:r>
            <w:r>
              <w:rPr>
                <w:rFonts w:hint="eastAsia" w:ascii="宋体" w:hAnsi="宋体" w:eastAsia="宋体" w:cs="宋体"/>
                <w:b w:val="0"/>
                <w:bCs/>
                <w:iCs/>
                <w:color w:val="auto"/>
                <w:sz w:val="24"/>
                <w:szCs w:val="24"/>
                <w:highlight w:val="none"/>
                <w:lang w:val="en-US" w:eastAsia="zh-CN"/>
              </w:rPr>
              <w:t>分，最高得</w:t>
            </w:r>
            <w:r>
              <w:rPr>
                <w:rFonts w:hint="eastAsia" w:hAnsi="宋体" w:cs="宋体"/>
                <w:b w:val="0"/>
                <w:bCs/>
                <w:iCs/>
                <w:color w:val="auto"/>
                <w:sz w:val="24"/>
                <w:szCs w:val="24"/>
                <w:highlight w:val="none"/>
                <w:lang w:val="en-US" w:eastAsia="zh-CN"/>
              </w:rPr>
              <w:t>3</w:t>
            </w:r>
            <w:r>
              <w:rPr>
                <w:rFonts w:hint="eastAsia" w:ascii="宋体" w:hAnsi="宋体" w:eastAsia="宋体" w:cs="宋体"/>
                <w:b w:val="0"/>
                <w:bCs/>
                <w:iCs/>
                <w:color w:val="auto"/>
                <w:sz w:val="24"/>
                <w:szCs w:val="24"/>
                <w:highlight w:val="none"/>
                <w:lang w:val="en-US" w:eastAsia="zh-CN"/>
              </w:rPr>
              <w:t>分。</w:t>
            </w:r>
          </w:p>
          <w:p>
            <w:pPr>
              <w:pStyle w:val="11"/>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（提供合同扫描件加盖CA签章，不提供或提供不全不得分）。</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376" w:type="pct"/>
            <w:vAlign w:val="center"/>
          </w:tcPr>
          <w:p>
            <w:pPr>
              <w:spacing w:line="240" w:lineRule="auto"/>
              <w:outlineLvl w:val="0"/>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4" w:type="pc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4</w:t>
            </w:r>
          </w:p>
        </w:tc>
        <w:tc>
          <w:tcPr>
            <w:tcW w:w="72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strike w:val="0"/>
                <w:dstrike w:val="0"/>
                <w:color w:val="auto"/>
                <w:sz w:val="24"/>
                <w:szCs w:val="24"/>
                <w:highlight w:val="none"/>
              </w:rPr>
              <w:t>项目负责</w:t>
            </w:r>
            <w:r>
              <w:rPr>
                <w:rFonts w:hint="eastAsia" w:ascii="宋体" w:hAnsi="宋体" w:eastAsia="宋体" w:cs="宋体"/>
                <w:b w:val="0"/>
                <w:bCs/>
                <w:iCs/>
                <w:strike w:val="0"/>
                <w:dstrike w:val="0"/>
                <w:color w:val="auto"/>
                <w:sz w:val="24"/>
                <w:szCs w:val="24"/>
                <w:highlight w:val="none"/>
                <w:lang w:val="en-US" w:eastAsia="zh-CN"/>
              </w:rPr>
              <w:t>人</w:t>
            </w:r>
          </w:p>
        </w:tc>
        <w:tc>
          <w:tcPr>
            <w:tcW w:w="3057" w:type="pct"/>
            <w:vAlign w:val="center"/>
          </w:tcPr>
          <w:p>
            <w:pPr>
              <w:pStyle w:val="11"/>
              <w:numPr>
                <w:ilvl w:val="0"/>
                <w:numId w:val="4"/>
              </w:numPr>
              <w:rPr>
                <w:rFonts w:hint="eastAsia" w:ascii="宋体" w:hAnsi="宋体" w:eastAsia="宋体" w:cs="宋体"/>
                <w:b w:val="0"/>
                <w:bCs/>
                <w:iCs/>
                <w:strike w:val="0"/>
                <w:dstrike w:val="0"/>
                <w:color w:val="auto"/>
                <w:sz w:val="24"/>
                <w:szCs w:val="24"/>
                <w:highlight w:val="none"/>
                <w:lang w:eastAsia="zh-CN"/>
              </w:rPr>
            </w:pPr>
            <w:r>
              <w:rPr>
                <w:rFonts w:hint="eastAsia" w:ascii="宋体" w:hAnsi="宋体" w:eastAsia="宋体" w:cs="宋体"/>
                <w:b w:val="0"/>
                <w:bCs/>
                <w:iCs/>
                <w:strike w:val="0"/>
                <w:dstrike w:val="0"/>
                <w:color w:val="auto"/>
                <w:sz w:val="24"/>
                <w:szCs w:val="24"/>
                <w:highlight w:val="none"/>
              </w:rPr>
              <w:t>拟派项目负责人具有建筑工程</w:t>
            </w:r>
            <w:r>
              <w:rPr>
                <w:rFonts w:hint="eastAsia" w:ascii="宋体" w:hAnsi="宋体" w:eastAsia="宋体" w:cs="宋体"/>
                <w:b w:val="0"/>
                <w:bCs/>
                <w:iCs/>
                <w:strike w:val="0"/>
                <w:dstrike w:val="0"/>
                <w:color w:val="auto"/>
                <w:sz w:val="24"/>
                <w:szCs w:val="24"/>
                <w:highlight w:val="none"/>
                <w:lang w:val="en-US" w:eastAsia="zh-CN"/>
              </w:rPr>
              <w:t>二</w:t>
            </w:r>
            <w:r>
              <w:rPr>
                <w:rFonts w:hint="eastAsia" w:ascii="宋体" w:hAnsi="宋体" w:eastAsia="宋体" w:cs="宋体"/>
                <w:b w:val="0"/>
                <w:bCs/>
                <w:iCs/>
                <w:strike w:val="0"/>
                <w:dstrike w:val="0"/>
                <w:color w:val="auto"/>
                <w:sz w:val="24"/>
                <w:szCs w:val="24"/>
                <w:highlight w:val="none"/>
              </w:rPr>
              <w:t>级及以上注册</w:t>
            </w:r>
            <w:r>
              <w:rPr>
                <w:rFonts w:hint="eastAsia" w:ascii="宋体" w:hAnsi="宋体" w:eastAsia="宋体" w:cs="宋体"/>
                <w:b w:val="0"/>
                <w:bCs/>
                <w:iCs/>
                <w:strike w:val="0"/>
                <w:dstrike w:val="0"/>
                <w:color w:val="auto"/>
                <w:sz w:val="24"/>
                <w:szCs w:val="24"/>
                <w:highlight w:val="none"/>
                <w:lang w:val="en-US" w:eastAsia="zh-CN"/>
              </w:rPr>
              <w:t>建造</w:t>
            </w:r>
            <w:r>
              <w:rPr>
                <w:rFonts w:hint="eastAsia" w:ascii="宋体" w:hAnsi="宋体" w:eastAsia="宋体" w:cs="宋体"/>
                <w:b w:val="0"/>
                <w:bCs/>
                <w:iCs/>
                <w:strike w:val="0"/>
                <w:dstrike w:val="0"/>
                <w:color w:val="auto"/>
                <w:sz w:val="24"/>
                <w:szCs w:val="24"/>
                <w:highlight w:val="none"/>
              </w:rPr>
              <w:t>师资格</w:t>
            </w:r>
            <w:r>
              <w:rPr>
                <w:rFonts w:hint="eastAsia" w:ascii="宋体" w:hAnsi="宋体" w:eastAsia="宋体" w:cs="宋体"/>
                <w:b w:val="0"/>
                <w:bCs/>
                <w:iCs/>
                <w:strike w:val="0"/>
                <w:dstrike w:val="0"/>
                <w:color w:val="auto"/>
                <w:sz w:val="24"/>
                <w:szCs w:val="24"/>
                <w:highlight w:val="none"/>
                <w:lang w:val="en-US" w:eastAsia="zh-CN"/>
              </w:rPr>
              <w:t>及</w:t>
            </w:r>
            <w:r>
              <w:rPr>
                <w:rFonts w:hint="eastAsia" w:ascii="宋体" w:hAnsi="宋体" w:eastAsia="宋体" w:cs="宋体"/>
                <w:b w:val="0"/>
                <w:bCs/>
                <w:iCs/>
                <w:strike w:val="0"/>
                <w:dstrike w:val="0"/>
                <w:color w:val="auto"/>
                <w:sz w:val="24"/>
                <w:szCs w:val="24"/>
                <w:highlight w:val="none"/>
              </w:rPr>
              <w:t>安全生产考核合格证书(B)证资格得</w:t>
            </w:r>
            <w:r>
              <w:rPr>
                <w:rFonts w:hint="eastAsia" w:ascii="宋体" w:hAnsi="宋体" w:eastAsia="宋体" w:cs="宋体"/>
                <w:b w:val="0"/>
                <w:bCs/>
                <w:iCs/>
                <w:strike w:val="0"/>
                <w:dstrike w:val="0"/>
                <w:color w:val="auto"/>
                <w:sz w:val="24"/>
                <w:szCs w:val="24"/>
                <w:highlight w:val="none"/>
                <w:lang w:val="en-US" w:eastAsia="zh-CN"/>
              </w:rPr>
              <w:t>2</w:t>
            </w:r>
            <w:r>
              <w:rPr>
                <w:rFonts w:hint="eastAsia" w:ascii="宋体" w:hAnsi="宋体" w:eastAsia="宋体" w:cs="宋体"/>
                <w:b w:val="0"/>
                <w:bCs/>
                <w:iCs/>
                <w:strike w:val="0"/>
                <w:dstrike w:val="0"/>
                <w:color w:val="auto"/>
                <w:sz w:val="24"/>
                <w:szCs w:val="24"/>
                <w:highlight w:val="none"/>
              </w:rPr>
              <w:t>分</w:t>
            </w:r>
            <w:r>
              <w:rPr>
                <w:rFonts w:hint="eastAsia" w:ascii="宋体" w:hAnsi="宋体" w:eastAsia="宋体" w:cs="宋体"/>
                <w:b w:val="0"/>
                <w:bCs/>
                <w:iCs/>
                <w:strike w:val="0"/>
                <w:dstrike w:val="0"/>
                <w:color w:val="auto"/>
                <w:sz w:val="24"/>
                <w:szCs w:val="24"/>
                <w:highlight w:val="none"/>
                <w:lang w:eastAsia="zh-CN"/>
              </w:rPr>
              <w:t>；</w:t>
            </w:r>
          </w:p>
          <w:p>
            <w:pPr>
              <w:pStyle w:val="11"/>
              <w:numPr>
                <w:ilvl w:val="0"/>
                <w:numId w:val="4"/>
              </w:numPr>
              <w:rPr>
                <w:rFonts w:hint="eastAsia" w:ascii="宋体" w:hAnsi="宋体" w:eastAsia="宋体" w:cs="宋体"/>
                <w:lang w:val="en-US" w:eastAsia="zh-CN"/>
              </w:rPr>
            </w:pPr>
            <w:r>
              <w:rPr>
                <w:rFonts w:hint="eastAsia" w:ascii="宋体" w:hAnsi="宋体" w:eastAsia="宋体" w:cs="宋体"/>
                <w:b w:val="0"/>
                <w:bCs/>
                <w:iCs/>
                <w:strike w:val="0"/>
                <w:dstrike w:val="0"/>
                <w:color w:val="auto"/>
                <w:sz w:val="24"/>
                <w:szCs w:val="24"/>
                <w:highlight w:val="none"/>
                <w:lang w:val="en-US" w:eastAsia="zh-CN"/>
              </w:rPr>
              <w:t>具有高级职称的得2分，中级职称的得1分。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（以上需</w:t>
            </w:r>
            <w:r>
              <w:rPr>
                <w:rFonts w:hint="eastAsia" w:ascii="宋体" w:hAnsi="宋体" w:eastAsia="宋体" w:cs="宋体"/>
                <w:b w:val="0"/>
                <w:bCs/>
                <w:iCs/>
                <w:color w:val="auto"/>
                <w:sz w:val="24"/>
                <w:szCs w:val="24"/>
                <w:highlight w:val="none"/>
              </w:rPr>
              <w:t>提供</w:t>
            </w:r>
            <w:r>
              <w:rPr>
                <w:rFonts w:hint="eastAsia" w:ascii="宋体" w:hAnsi="宋体" w:eastAsia="宋体" w:cs="宋体"/>
                <w:b w:val="0"/>
                <w:bCs/>
                <w:iCs/>
                <w:color w:val="auto"/>
                <w:sz w:val="24"/>
                <w:szCs w:val="24"/>
                <w:highlight w:val="none"/>
                <w:lang w:val="en-US" w:eastAsia="zh-CN"/>
              </w:rPr>
              <w:t>相关</w:t>
            </w:r>
            <w:r>
              <w:rPr>
                <w:rFonts w:hint="eastAsia" w:ascii="宋体" w:hAnsi="宋体" w:eastAsia="宋体" w:cs="宋体"/>
                <w:b w:val="0"/>
                <w:bCs/>
                <w:iCs/>
                <w:color w:val="auto"/>
                <w:sz w:val="24"/>
                <w:szCs w:val="24"/>
                <w:highlight w:val="none"/>
              </w:rPr>
              <w:t>证</w:t>
            </w:r>
            <w:r>
              <w:rPr>
                <w:rFonts w:hint="eastAsia" w:ascii="宋体" w:hAnsi="宋体" w:eastAsia="宋体" w:cs="宋体"/>
                <w:b w:val="0"/>
                <w:bCs/>
                <w:iCs/>
                <w:color w:val="auto"/>
                <w:sz w:val="24"/>
                <w:szCs w:val="24"/>
                <w:highlight w:val="none"/>
                <w:lang w:val="en-US" w:eastAsia="zh-CN"/>
              </w:rPr>
              <w:t>书</w:t>
            </w:r>
            <w:r>
              <w:rPr>
                <w:rFonts w:hint="eastAsia" w:ascii="宋体" w:hAnsi="宋体" w:eastAsia="宋体" w:cs="宋体"/>
                <w:b w:val="0"/>
                <w:bCs/>
                <w:iCs/>
                <w:color w:val="auto"/>
                <w:sz w:val="24"/>
                <w:szCs w:val="24"/>
                <w:highlight w:val="none"/>
                <w:lang w:eastAsia="zh-CN"/>
              </w:rPr>
              <w:t>扫描件</w:t>
            </w:r>
            <w:r>
              <w:rPr>
                <w:rFonts w:hint="eastAsia" w:ascii="宋体" w:hAnsi="宋体" w:eastAsia="宋体" w:cs="宋体"/>
                <w:b w:val="0"/>
                <w:bCs/>
                <w:iCs/>
                <w:color w:val="auto"/>
                <w:sz w:val="24"/>
                <w:szCs w:val="24"/>
                <w:highlight w:val="none"/>
                <w:lang w:val="en-US" w:eastAsia="zh-CN"/>
              </w:rPr>
              <w:t>加盖CA签章，</w:t>
            </w:r>
            <w:r>
              <w:rPr>
                <w:rFonts w:hint="eastAsia" w:ascii="宋体" w:hAnsi="宋体" w:eastAsia="宋体" w:cs="宋体"/>
                <w:b w:val="0"/>
                <w:bCs/>
                <w:iCs/>
                <w:color w:val="auto"/>
                <w:sz w:val="24"/>
                <w:szCs w:val="24"/>
                <w:highlight w:val="none"/>
              </w:rPr>
              <w:t>投标人为其缴纳的近</w:t>
            </w:r>
            <w:r>
              <w:rPr>
                <w:rFonts w:hint="eastAsia" w:ascii="宋体" w:hAnsi="宋体" w:eastAsia="宋体" w:cs="宋体"/>
                <w:b w:val="0"/>
                <w:bCs/>
                <w:iCs/>
                <w:color w:val="auto"/>
                <w:sz w:val="24"/>
                <w:szCs w:val="24"/>
                <w:highlight w:val="none"/>
                <w:lang w:val="en-US" w:eastAsia="zh-CN"/>
              </w:rPr>
              <w:t>三</w:t>
            </w:r>
            <w:r>
              <w:rPr>
                <w:rFonts w:hint="eastAsia" w:ascii="宋体" w:hAnsi="宋体" w:eastAsia="宋体" w:cs="宋体"/>
                <w:b w:val="0"/>
                <w:bCs/>
                <w:iCs/>
                <w:color w:val="auto"/>
                <w:sz w:val="24"/>
                <w:szCs w:val="24"/>
                <w:highlight w:val="none"/>
              </w:rPr>
              <w:t>个月的社保缴纳证明</w:t>
            </w:r>
            <w:r>
              <w:rPr>
                <w:rFonts w:hint="eastAsia" w:ascii="宋体" w:hAnsi="宋体" w:eastAsia="宋体" w:cs="宋体"/>
                <w:b w:val="0"/>
                <w:bCs/>
                <w:iCs/>
                <w:color w:val="auto"/>
                <w:sz w:val="24"/>
                <w:szCs w:val="24"/>
                <w:highlight w:val="none"/>
                <w:lang w:eastAsia="zh-CN"/>
              </w:rPr>
              <w:t>）</w:t>
            </w:r>
            <w:r>
              <w:rPr>
                <w:rFonts w:hint="eastAsia" w:ascii="宋体" w:hAnsi="宋体" w:eastAsia="宋体" w:cs="宋体"/>
                <w:b w:val="0"/>
                <w:bCs/>
                <w:iCs/>
                <w:color w:val="auto"/>
                <w:sz w:val="24"/>
                <w:szCs w:val="24"/>
                <w:highlight w:val="none"/>
              </w:rPr>
              <w:t>。</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w:t>
            </w:r>
          </w:p>
        </w:tc>
        <w:tc>
          <w:tcPr>
            <w:tcW w:w="376" w:type="pct"/>
            <w:vAlign w:val="center"/>
          </w:tcPr>
          <w:p>
            <w:pPr>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14" w:type="pct"/>
            <w:shd w:val="clear" w:color="auto" w:fill="auto"/>
            <w:vAlign w:val="center"/>
          </w:tcPr>
          <w:p>
            <w:pPr>
              <w:keepNext w:val="0"/>
              <w:keepLines w:val="0"/>
              <w:pageBreakBefore w:val="0"/>
              <w:kinsoku/>
              <w:wordWrap/>
              <w:overflowPunct/>
              <w:topLinePunct w:val="0"/>
              <w:autoSpaceDE/>
              <w:autoSpaceDN/>
              <w:bidi w:val="0"/>
              <w:adjustRightInd w:val="0"/>
              <w:snapToGrid w:val="0"/>
              <w:spacing w:before="120" w:after="120" w:line="320" w:lineRule="exact"/>
              <w:jc w:val="center"/>
              <w:rPr>
                <w:rFonts w:hint="eastAsia" w:ascii="宋体" w:hAnsi="宋体" w:eastAsia="宋体" w:cs="宋体"/>
                <w:color w:val="auto"/>
                <w:sz w:val="24"/>
                <w:szCs w:val="24"/>
                <w:highlight w:val="none"/>
                <w:lang w:val="en-US" w:eastAsia="zh-CN"/>
              </w:rPr>
            </w:pPr>
          </w:p>
        </w:tc>
        <w:tc>
          <w:tcPr>
            <w:tcW w:w="72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项目团队</w:t>
            </w:r>
          </w:p>
        </w:tc>
        <w:tc>
          <w:tcPr>
            <w:tcW w:w="3057"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cs="宋体"/>
                <w:b w:val="0"/>
                <w:bCs/>
                <w:iCs/>
                <w:color w:val="auto"/>
                <w:sz w:val="24"/>
                <w:szCs w:val="24"/>
                <w:highlight w:val="none"/>
                <w:lang w:val="en-US" w:eastAsia="zh-CN"/>
              </w:rPr>
              <w:t>拟派</w:t>
            </w:r>
            <w:r>
              <w:rPr>
                <w:rFonts w:hint="eastAsia" w:ascii="宋体" w:hAnsi="宋体" w:eastAsia="宋体" w:cs="宋体"/>
                <w:b w:val="0"/>
                <w:bCs/>
                <w:iCs/>
                <w:color w:val="auto"/>
                <w:sz w:val="24"/>
                <w:szCs w:val="24"/>
                <w:highlight w:val="none"/>
                <w:lang w:val="en-US" w:eastAsia="zh-CN"/>
              </w:rPr>
              <w:t>项目组人员具备高级工程师职称的得2分，中级职称的得1分，同一人员不累计得分。最高得4分。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rPr>
            </w:pPr>
            <w:r>
              <w:rPr>
                <w:rFonts w:hint="eastAsia" w:ascii="宋体" w:hAnsi="宋体" w:eastAsia="宋体" w:cs="宋体"/>
                <w:b w:val="0"/>
                <w:bCs/>
                <w:iCs/>
                <w:color w:val="auto"/>
                <w:sz w:val="24"/>
                <w:szCs w:val="24"/>
                <w:highlight w:val="none"/>
                <w:lang w:val="en-US" w:eastAsia="zh-CN"/>
              </w:rPr>
              <w:t>提供证明资料和近三个月社保证明加盖CA签章。</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w:t>
            </w:r>
          </w:p>
        </w:tc>
        <w:tc>
          <w:tcPr>
            <w:tcW w:w="376" w:type="pct"/>
            <w:vAlign w:val="center"/>
          </w:tcPr>
          <w:p>
            <w:pPr>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4" w:type="pct"/>
            <w:shd w:val="clear" w:color="auto" w:fill="auto"/>
            <w:vAlign w:val="center"/>
          </w:tcPr>
          <w:p>
            <w:pPr>
              <w:keepNext w:val="0"/>
              <w:keepLines w:val="0"/>
              <w:pageBreakBefore w:val="0"/>
              <w:kinsoku/>
              <w:wordWrap/>
              <w:overflowPunct/>
              <w:topLinePunct w:val="0"/>
              <w:autoSpaceDE/>
              <w:autoSpaceDN/>
              <w:bidi w:val="0"/>
              <w:adjustRightInd w:val="0"/>
              <w:snapToGrid w:val="0"/>
              <w:spacing w:before="120" w:after="120"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72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所投产品技术指标要求</w:t>
            </w:r>
          </w:p>
        </w:tc>
        <w:tc>
          <w:tcPr>
            <w:tcW w:w="3057"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iCs/>
                <w:color w:val="auto"/>
                <w:sz w:val="24"/>
                <w:szCs w:val="24"/>
                <w:highlight w:val="none"/>
                <w:lang w:val="en-US" w:eastAsia="zh-CN"/>
              </w:rPr>
            </w:pPr>
            <w:r>
              <w:rPr>
                <w:rFonts w:hint="eastAsia" w:ascii="宋体" w:hAnsi="宋体" w:eastAsia="宋体" w:cs="宋体"/>
                <w:b w:val="0"/>
                <w:bCs/>
                <w:iCs/>
                <w:color w:val="auto"/>
                <w:sz w:val="24"/>
                <w:szCs w:val="24"/>
                <w:highlight w:val="none"/>
                <w:lang w:val="en-US" w:eastAsia="zh-CN"/>
              </w:rPr>
              <w:t>根据投标人提供投标产品的性能及技术指标完全满足招标文件要求的得10分，标注有▲的重要技术指标如出现负偏离或缺项，每项扣1分，其他技术参数项出现负偏离或缺项的，每项扣0.5分，扣完为止。（涉及到技术指标、数据等必须供相关证明材料，并加盖CA签章，否则视为负偏离）</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376" w:type="pct"/>
            <w:vAlign w:val="center"/>
          </w:tcPr>
          <w:p>
            <w:pPr>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restar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28" w:type="pct"/>
            <w:vMerge w:val="restart"/>
            <w:vAlign w:val="center"/>
          </w:tcPr>
          <w:p>
            <w:pPr>
              <w:widowControl/>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实施</w:t>
            </w:r>
            <w:r>
              <w:rPr>
                <w:rFonts w:hint="eastAsia" w:ascii="宋体" w:hAnsi="宋体" w:eastAsia="宋体" w:cs="宋体"/>
                <w:color w:val="auto"/>
                <w:sz w:val="24"/>
              </w:rPr>
              <w:t>方案</w:t>
            </w:r>
          </w:p>
        </w:tc>
        <w:tc>
          <w:tcPr>
            <w:tcW w:w="3057" w:type="pct"/>
            <w:vAlign w:val="center"/>
          </w:tcPr>
          <w:p>
            <w:pPr>
              <w:spacing w:line="24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针对本项目的</w:t>
            </w:r>
            <w:r>
              <w:rPr>
                <w:rFonts w:hint="eastAsia" w:ascii="宋体" w:hAnsi="宋体" w:eastAsia="宋体" w:cs="宋体"/>
                <w:bCs/>
                <w:color w:val="auto"/>
                <w:sz w:val="24"/>
                <w:lang w:eastAsia="zh-CN"/>
              </w:rPr>
              <w:t>项目施工方案</w:t>
            </w:r>
            <w:r>
              <w:rPr>
                <w:rFonts w:hint="eastAsia" w:ascii="宋体" w:hAnsi="宋体" w:cs="宋体"/>
                <w:bCs/>
                <w:color w:val="auto"/>
                <w:sz w:val="24"/>
                <w:lang w:eastAsia="zh-CN"/>
              </w:rPr>
              <w:t>、</w:t>
            </w:r>
            <w:r>
              <w:rPr>
                <w:rFonts w:hint="eastAsia" w:ascii="宋体" w:hAnsi="宋体" w:eastAsia="宋体" w:cs="宋体"/>
                <w:bCs/>
                <w:color w:val="auto"/>
                <w:sz w:val="24"/>
                <w:lang w:eastAsia="zh-CN"/>
              </w:rPr>
              <w:t>技术措施（</w:t>
            </w:r>
            <w:r>
              <w:rPr>
                <w:rFonts w:hint="eastAsia" w:ascii="宋体" w:hAnsi="宋体" w:eastAsia="宋体" w:cs="宋体"/>
                <w:bCs/>
                <w:color w:val="auto"/>
                <w:sz w:val="24"/>
                <w:lang w:val="en-US" w:eastAsia="zh-CN"/>
              </w:rPr>
              <w:t>0-2分）</w:t>
            </w:r>
            <w:r>
              <w:rPr>
                <w:rFonts w:hint="eastAsia" w:ascii="宋体" w:hAnsi="宋体" w:eastAsia="宋体" w:cs="宋体"/>
                <w:bCs/>
                <w:color w:val="auto"/>
                <w:sz w:val="24"/>
                <w:lang w:eastAsia="zh-CN"/>
              </w:rPr>
              <w:t>。</w:t>
            </w:r>
          </w:p>
        </w:tc>
        <w:tc>
          <w:tcPr>
            <w:tcW w:w="423" w:type="pct"/>
            <w:vMerge w:val="restar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376" w:type="pct"/>
            <w:vMerge w:val="restart"/>
            <w:vAlign w:val="center"/>
          </w:tcPr>
          <w:p>
            <w:pPr>
              <w:spacing w:line="240" w:lineRule="auto"/>
              <w:rPr>
                <w:rFonts w:hint="eastAsia" w:ascii="宋体" w:hAnsi="宋体" w:eastAsia="宋体" w:cs="宋体"/>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728"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3057" w:type="pct"/>
            <w:vAlign w:val="center"/>
          </w:tcPr>
          <w:p>
            <w:pPr>
              <w:spacing w:line="24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针对本项目的</w:t>
            </w:r>
            <w:r>
              <w:rPr>
                <w:rFonts w:hint="eastAsia" w:ascii="宋体" w:hAnsi="宋体" w:eastAsia="宋体" w:cs="宋体"/>
                <w:bCs/>
                <w:color w:val="auto"/>
                <w:sz w:val="24"/>
                <w:lang w:eastAsia="zh-CN"/>
              </w:rPr>
              <w:t>施工进度计划（</w:t>
            </w:r>
            <w:r>
              <w:rPr>
                <w:rFonts w:hint="eastAsia" w:ascii="宋体" w:hAnsi="宋体" w:eastAsia="宋体" w:cs="宋体"/>
                <w:bCs/>
                <w:color w:val="auto"/>
                <w:sz w:val="24"/>
                <w:lang w:val="en-US" w:eastAsia="zh-CN"/>
              </w:rPr>
              <w:t>0-2分）</w:t>
            </w:r>
            <w:r>
              <w:rPr>
                <w:rFonts w:hint="eastAsia" w:ascii="宋体" w:hAnsi="宋体" w:eastAsia="宋体" w:cs="宋体"/>
                <w:bCs/>
                <w:color w:val="auto"/>
                <w:sz w:val="24"/>
                <w:lang w:eastAsia="zh-CN"/>
              </w:rPr>
              <w:t>。</w:t>
            </w:r>
          </w:p>
        </w:tc>
        <w:tc>
          <w:tcPr>
            <w:tcW w:w="423" w:type="pct"/>
            <w:vMerge w:val="continue"/>
            <w:vAlign w:val="center"/>
          </w:tcPr>
          <w:p>
            <w:pPr>
              <w:spacing w:line="240" w:lineRule="auto"/>
              <w:jc w:val="center"/>
              <w:rPr>
                <w:rFonts w:hint="eastAsia" w:ascii="宋体" w:hAnsi="宋体" w:eastAsia="宋体" w:cs="宋体"/>
                <w:color w:val="auto"/>
                <w:sz w:val="24"/>
                <w:szCs w:val="24"/>
                <w:lang w:val="en-US" w:eastAsia="zh-CN"/>
              </w:rPr>
            </w:pPr>
          </w:p>
        </w:tc>
        <w:tc>
          <w:tcPr>
            <w:tcW w:w="376"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728"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3057" w:type="pct"/>
            <w:vAlign w:val="center"/>
          </w:tcPr>
          <w:p>
            <w:pPr>
              <w:spacing w:line="24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针对本项目的</w:t>
            </w:r>
            <w:r>
              <w:rPr>
                <w:rFonts w:hint="eastAsia" w:ascii="宋体" w:hAnsi="宋体" w:eastAsia="宋体" w:cs="宋体"/>
                <w:bCs/>
                <w:color w:val="auto"/>
                <w:sz w:val="24"/>
                <w:lang w:eastAsia="zh-CN"/>
              </w:rPr>
              <w:t>质量保证措施（</w:t>
            </w:r>
            <w:r>
              <w:rPr>
                <w:rFonts w:hint="eastAsia" w:ascii="宋体" w:hAnsi="宋体" w:eastAsia="宋体" w:cs="宋体"/>
                <w:bCs/>
                <w:color w:val="auto"/>
                <w:sz w:val="24"/>
                <w:lang w:val="en-US" w:eastAsia="zh-CN"/>
              </w:rPr>
              <w:t>0-2分）</w:t>
            </w:r>
            <w:r>
              <w:rPr>
                <w:rFonts w:hint="eastAsia" w:ascii="宋体" w:hAnsi="宋体" w:eastAsia="宋体" w:cs="宋体"/>
                <w:bCs/>
                <w:color w:val="auto"/>
                <w:sz w:val="24"/>
                <w:lang w:eastAsia="zh-CN"/>
              </w:rPr>
              <w:t>。</w:t>
            </w:r>
          </w:p>
        </w:tc>
        <w:tc>
          <w:tcPr>
            <w:tcW w:w="423" w:type="pct"/>
            <w:vMerge w:val="continue"/>
            <w:vAlign w:val="center"/>
          </w:tcPr>
          <w:p>
            <w:pPr>
              <w:spacing w:line="240" w:lineRule="auto"/>
              <w:jc w:val="center"/>
              <w:rPr>
                <w:rFonts w:hint="eastAsia" w:ascii="宋体" w:hAnsi="宋体" w:eastAsia="宋体" w:cs="宋体"/>
                <w:color w:val="auto"/>
                <w:sz w:val="24"/>
                <w:szCs w:val="24"/>
                <w:lang w:val="en-US" w:eastAsia="zh-CN"/>
              </w:rPr>
            </w:pPr>
          </w:p>
        </w:tc>
        <w:tc>
          <w:tcPr>
            <w:tcW w:w="376"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728"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c>
          <w:tcPr>
            <w:tcW w:w="3057" w:type="pct"/>
            <w:vAlign w:val="center"/>
          </w:tcPr>
          <w:p>
            <w:pPr>
              <w:spacing w:line="24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针对本项目的</w:t>
            </w:r>
            <w:r>
              <w:rPr>
                <w:rFonts w:hint="eastAsia" w:ascii="宋体" w:hAnsi="宋体" w:eastAsia="宋体" w:cs="宋体"/>
                <w:bCs/>
                <w:color w:val="auto"/>
                <w:sz w:val="24"/>
                <w:lang w:eastAsia="zh-CN"/>
              </w:rPr>
              <w:t>安全文明</w:t>
            </w:r>
            <w:r>
              <w:rPr>
                <w:rFonts w:hint="eastAsia" w:ascii="宋体" w:hAnsi="宋体" w:eastAsia="宋体" w:cs="宋体"/>
                <w:bCs/>
                <w:color w:val="auto"/>
                <w:sz w:val="24"/>
                <w:lang w:val="en-US" w:eastAsia="zh-CN"/>
              </w:rPr>
              <w:t>及环保</w:t>
            </w:r>
            <w:r>
              <w:rPr>
                <w:rFonts w:hint="eastAsia" w:ascii="宋体" w:hAnsi="宋体" w:eastAsia="宋体" w:cs="宋体"/>
                <w:bCs/>
                <w:color w:val="auto"/>
                <w:sz w:val="24"/>
                <w:lang w:eastAsia="zh-CN"/>
              </w:rPr>
              <w:t>施工措施（</w:t>
            </w:r>
            <w:r>
              <w:rPr>
                <w:rFonts w:hint="eastAsia" w:ascii="宋体" w:hAnsi="宋体" w:eastAsia="宋体" w:cs="宋体"/>
                <w:bCs/>
                <w:color w:val="auto"/>
                <w:sz w:val="24"/>
                <w:lang w:val="en-US" w:eastAsia="zh-CN"/>
              </w:rPr>
              <w:t>0-2分）</w:t>
            </w:r>
            <w:r>
              <w:rPr>
                <w:rFonts w:hint="eastAsia" w:ascii="宋体" w:hAnsi="宋体" w:eastAsia="宋体" w:cs="宋体"/>
                <w:bCs/>
                <w:color w:val="auto"/>
                <w:sz w:val="24"/>
                <w:lang w:eastAsia="zh-CN"/>
              </w:rPr>
              <w:t>。</w:t>
            </w:r>
          </w:p>
        </w:tc>
        <w:tc>
          <w:tcPr>
            <w:tcW w:w="423" w:type="pct"/>
            <w:vMerge w:val="continue"/>
            <w:vAlign w:val="center"/>
          </w:tcPr>
          <w:p>
            <w:pPr>
              <w:spacing w:line="240" w:lineRule="auto"/>
              <w:jc w:val="center"/>
              <w:rPr>
                <w:rFonts w:hint="eastAsia" w:ascii="宋体" w:hAnsi="宋体" w:eastAsia="宋体" w:cs="宋体"/>
                <w:color w:val="auto"/>
                <w:sz w:val="24"/>
                <w:szCs w:val="24"/>
                <w:lang w:val="en-US" w:eastAsia="zh-CN"/>
              </w:rPr>
            </w:pPr>
          </w:p>
        </w:tc>
        <w:tc>
          <w:tcPr>
            <w:tcW w:w="376" w:type="pct"/>
            <w:vMerge w:val="continue"/>
            <w:vAlign w:val="center"/>
          </w:tcPr>
          <w:p>
            <w:pPr>
              <w:spacing w:line="24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Align w:val="center"/>
          </w:tcPr>
          <w:p>
            <w:pPr>
              <w:widowControl/>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28" w:type="pct"/>
            <w:vAlign w:val="center"/>
          </w:tcPr>
          <w:p>
            <w:pPr>
              <w:widowControl/>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重点、难点及解决措施</w:t>
            </w:r>
          </w:p>
        </w:tc>
        <w:tc>
          <w:tcPr>
            <w:tcW w:w="3057" w:type="pct"/>
            <w:vAlign w:val="center"/>
          </w:tcPr>
          <w:p>
            <w:pPr>
              <w:keepNext w:val="0"/>
              <w:keepLines w:val="0"/>
              <w:pageBreakBefore w:val="0"/>
              <w:widowControl w:val="0"/>
              <w:numPr>
                <w:ilvl w:val="0"/>
                <w:numId w:val="0"/>
              </w:numPr>
              <w:suppressLineNumbers w:val="0"/>
              <w:tabs>
                <w:tab w:val="center" w:pos="2558"/>
              </w:tabs>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根据供应商对本项目现状、存在问题的重点、难点分析及解决措施方案进行综合评分（0-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376" w:type="pct"/>
            <w:vAlign w:val="center"/>
          </w:tcPr>
          <w:p>
            <w:pPr>
              <w:spacing w:line="240" w:lineRule="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2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突发情况应急预案</w:t>
            </w:r>
          </w:p>
        </w:tc>
        <w:tc>
          <w:tcPr>
            <w:tcW w:w="30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根据投标人提供的突发情况应急预案。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（1）应急预案的针对性强、可操作性强（3分）；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（2）应急预案的针对性一般、可操作性一般（2分）；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（3）应急预案的针对性差、可操作性差（1分）；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bCs/>
                <w:color w:val="auto"/>
                <w:sz w:val="24"/>
                <w:lang w:val="en-US" w:eastAsia="zh-CN"/>
              </w:rPr>
            </w:pPr>
            <w:r>
              <w:rPr>
                <w:rFonts w:hint="eastAsia" w:ascii="宋体" w:hAnsi="宋体" w:eastAsia="宋体" w:cs="宋体"/>
                <w:color w:val="auto"/>
                <w:sz w:val="24"/>
                <w:szCs w:val="24"/>
                <w:highlight w:val="none"/>
                <w:lang w:val="en-US" w:eastAsia="zh-CN"/>
              </w:rPr>
              <w:t>（4）不提供不得分。</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c>
          <w:tcPr>
            <w:tcW w:w="376" w:type="pct"/>
            <w:vAlign w:val="center"/>
          </w:tcPr>
          <w:p>
            <w:pPr>
              <w:spacing w:line="240" w:lineRule="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14" w:type="pct"/>
            <w:vMerge w:val="restar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28" w:type="pct"/>
            <w:vMerge w:val="restart"/>
            <w:vAlign w:val="center"/>
          </w:tcPr>
          <w:p>
            <w:pPr>
              <w:widowControl/>
              <w:adjustRightInd w:val="0"/>
              <w:snapToGrid w:val="0"/>
              <w:spacing w:line="240" w:lineRule="auto"/>
              <w:ind w:left="372" w:leftChars="0" w:hanging="372" w:hangingChars="1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4"/>
                <w:sz w:val="24"/>
                <w:szCs w:val="24"/>
              </w:rPr>
              <w:t>售后服务</w:t>
            </w:r>
          </w:p>
        </w:tc>
        <w:tc>
          <w:tcPr>
            <w:tcW w:w="3057" w:type="pct"/>
            <w:vAlign w:val="center"/>
          </w:tcPr>
          <w:p>
            <w:pPr>
              <w:tabs>
                <w:tab w:val="left" w:pos="969"/>
              </w:tabs>
              <w:bidi w:val="0"/>
              <w:jc w:val="left"/>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质保期承诺：投标人提供的智能化设备质保期在满足招标文件的基础上（免费质保2年）每延长一年得1分，最高得2分。</w:t>
            </w:r>
          </w:p>
        </w:tc>
        <w:tc>
          <w:tcPr>
            <w:tcW w:w="423" w:type="pct"/>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lang w:val="en-US" w:eastAsia="zh-CN"/>
              </w:rPr>
              <w:t>分</w:t>
            </w:r>
          </w:p>
        </w:tc>
        <w:tc>
          <w:tcPr>
            <w:tcW w:w="376" w:type="pct"/>
            <w:vMerge w:val="restart"/>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14" w:type="pct"/>
            <w:vMerge w:val="continue"/>
            <w:vAlign w:val="center"/>
          </w:tcPr>
          <w:p>
            <w:pPr>
              <w:spacing w:line="240" w:lineRule="auto"/>
              <w:jc w:val="center"/>
              <w:rPr>
                <w:rFonts w:hint="eastAsia" w:ascii="宋体" w:hAnsi="宋体" w:eastAsia="宋体" w:cs="宋体"/>
                <w:color w:val="auto"/>
                <w:sz w:val="24"/>
                <w:szCs w:val="24"/>
                <w:highlight w:val="none"/>
                <w:lang w:val="en-US" w:eastAsia="zh-CN"/>
              </w:rPr>
            </w:pPr>
          </w:p>
        </w:tc>
        <w:tc>
          <w:tcPr>
            <w:tcW w:w="728" w:type="pct"/>
            <w:vMerge w:val="continue"/>
            <w:vAlign w:val="center"/>
          </w:tcPr>
          <w:p>
            <w:pPr>
              <w:widowControl/>
              <w:adjustRightInd w:val="0"/>
              <w:snapToGrid w:val="0"/>
              <w:spacing w:line="240" w:lineRule="auto"/>
              <w:ind w:left="360" w:leftChars="0" w:hanging="360" w:hangingChars="150"/>
              <w:jc w:val="center"/>
              <w:rPr>
                <w:rFonts w:hint="eastAsia" w:ascii="宋体" w:hAnsi="宋体" w:eastAsia="宋体" w:cs="宋体"/>
                <w:color w:val="auto"/>
                <w:sz w:val="24"/>
                <w:szCs w:val="24"/>
                <w:highlight w:val="none"/>
                <w:lang w:val="en-US" w:eastAsia="zh-CN"/>
              </w:rPr>
            </w:pPr>
          </w:p>
        </w:tc>
        <w:tc>
          <w:tcPr>
            <w:tcW w:w="305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根据投标人提供的服务</w:t>
            </w:r>
            <w:r>
              <w:rPr>
                <w:rFonts w:hint="eastAsia" w:ascii="宋体" w:hAnsi="宋体" w:eastAsia="宋体" w:cs="宋体"/>
                <w:color w:val="auto"/>
                <w:sz w:val="24"/>
                <w:szCs w:val="24"/>
                <w:highlight w:val="none"/>
              </w:rPr>
              <w:t>响应时间、故障处理时间</w:t>
            </w:r>
            <w:r>
              <w:rPr>
                <w:rFonts w:hint="eastAsia" w:ascii="宋体" w:hAnsi="宋体" w:eastAsia="宋体" w:cs="宋体"/>
                <w:color w:val="auto"/>
                <w:sz w:val="24"/>
                <w:szCs w:val="24"/>
                <w:highlight w:val="none"/>
                <w:lang w:eastAsia="zh-CN"/>
              </w:rPr>
              <w:t>进行打分：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响应时间在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分钟内</w:t>
            </w:r>
            <w:r>
              <w:rPr>
                <w:rFonts w:hint="eastAsia" w:ascii="宋体" w:hAnsi="宋体" w:eastAsia="宋体" w:cs="宋体"/>
                <w:color w:val="auto"/>
                <w:sz w:val="24"/>
                <w:szCs w:val="24"/>
                <w:highlight w:val="none"/>
                <w:lang w:eastAsia="zh-CN"/>
              </w:rPr>
              <w:t>电话响应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30分钟内到达现场并</w:t>
            </w:r>
            <w:r>
              <w:rPr>
                <w:rFonts w:hint="eastAsia" w:ascii="宋体" w:hAnsi="宋体" w:eastAsia="宋体" w:cs="宋体"/>
                <w:color w:val="auto"/>
                <w:sz w:val="24"/>
                <w:szCs w:val="24"/>
                <w:highlight w:val="none"/>
              </w:rPr>
              <w:t>及时处理故障的得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响应时间在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分钟内</w:t>
            </w:r>
            <w:r>
              <w:rPr>
                <w:rFonts w:hint="eastAsia" w:ascii="宋体" w:hAnsi="宋体" w:eastAsia="宋体" w:cs="宋体"/>
                <w:color w:val="auto"/>
                <w:sz w:val="24"/>
                <w:szCs w:val="24"/>
                <w:highlight w:val="none"/>
                <w:lang w:eastAsia="zh-CN"/>
              </w:rPr>
              <w:t>电话响应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45分钟内到达现场并</w:t>
            </w:r>
            <w:r>
              <w:rPr>
                <w:rFonts w:hint="eastAsia" w:ascii="宋体" w:hAnsi="宋体" w:eastAsia="宋体" w:cs="宋体"/>
                <w:color w:val="auto"/>
                <w:sz w:val="24"/>
                <w:szCs w:val="24"/>
                <w:highlight w:val="none"/>
              </w:rPr>
              <w:t>及时处理故障的得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投标人承诺响应时间在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分钟内电话响应，</w:t>
            </w:r>
            <w:r>
              <w:rPr>
                <w:rFonts w:hint="eastAsia" w:ascii="宋体" w:hAnsi="宋体" w:eastAsia="宋体" w:cs="宋体"/>
                <w:color w:val="auto"/>
                <w:sz w:val="24"/>
                <w:szCs w:val="24"/>
                <w:highlight w:val="none"/>
                <w:lang w:val="en-US" w:eastAsia="zh-CN"/>
              </w:rPr>
              <w:t>60分钟内到达现场并</w:t>
            </w:r>
            <w:r>
              <w:rPr>
                <w:rFonts w:hint="eastAsia" w:ascii="宋体" w:hAnsi="宋体" w:eastAsia="宋体" w:cs="宋体"/>
                <w:color w:val="auto"/>
                <w:sz w:val="24"/>
                <w:szCs w:val="24"/>
                <w:highlight w:val="none"/>
                <w:lang w:eastAsia="zh-CN"/>
              </w:rPr>
              <w:t>及时处理故障的得</w:t>
            </w:r>
            <w:r>
              <w:rPr>
                <w:rFonts w:hint="eastAsia" w:ascii="宋体" w:hAnsi="宋体" w:eastAsia="宋体" w:cs="宋体"/>
                <w:color w:val="auto"/>
                <w:sz w:val="24"/>
                <w:szCs w:val="24"/>
                <w:highlight w:val="none"/>
                <w:lang w:val="en-US" w:eastAsia="zh-CN"/>
              </w:rPr>
              <w:t>1分。</w:t>
            </w:r>
          </w:p>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（提供承诺函，不提供或提供不全本项不得分）</w:t>
            </w:r>
          </w:p>
        </w:tc>
        <w:tc>
          <w:tcPr>
            <w:tcW w:w="423" w:type="pct"/>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lang w:val="en-US" w:eastAsia="zh-CN"/>
              </w:rPr>
              <w:t>分</w:t>
            </w:r>
          </w:p>
        </w:tc>
        <w:tc>
          <w:tcPr>
            <w:tcW w:w="376" w:type="pct"/>
            <w:vMerge w:val="continue"/>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14" w:type="pct"/>
            <w:vMerge w:val="restart"/>
            <w:vAlign w:val="center"/>
          </w:tcPr>
          <w:p>
            <w:pPr>
              <w:spacing w:line="240" w:lineRule="auto"/>
              <w:jc w:val="center"/>
              <w:rPr>
                <w:rFonts w:hint="eastAsia" w:ascii="宋体" w:hAnsi="宋体" w:eastAsia="宋体" w:cs="宋体"/>
                <w:color w:val="auto"/>
                <w:sz w:val="24"/>
                <w:szCs w:val="24"/>
                <w:highlight w:val="yellow"/>
                <w:shd w:val="clear" w:color="FFFFFF" w:fill="D9D9D9"/>
                <w:lang w:val="en-US" w:eastAsia="zh-CN"/>
              </w:rPr>
            </w:pPr>
            <w:r>
              <w:rPr>
                <w:rFonts w:hint="eastAsia" w:ascii="宋体" w:hAnsi="宋体" w:eastAsia="宋体" w:cs="宋体"/>
                <w:color w:val="auto"/>
                <w:sz w:val="24"/>
                <w:szCs w:val="24"/>
                <w:highlight w:val="none"/>
                <w:lang w:val="en-US" w:eastAsia="zh-CN"/>
              </w:rPr>
              <w:t>11</w:t>
            </w:r>
          </w:p>
        </w:tc>
        <w:tc>
          <w:tcPr>
            <w:tcW w:w="728"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sz w:val="24"/>
                <w:szCs w:val="24"/>
                <w:highlight w:val="yellow"/>
                <w:shd w:val="clear" w:color="FFFFFF" w:fill="D9D9D9"/>
                <w:lang w:val="en-US"/>
              </w:rPr>
            </w:pPr>
            <w:r>
              <w:rPr>
                <w:rFonts w:hint="eastAsia" w:ascii="宋体" w:hAnsi="宋体" w:eastAsia="宋体" w:cs="宋体"/>
                <w:color w:val="auto"/>
                <w:sz w:val="24"/>
                <w:szCs w:val="24"/>
                <w:highlight w:val="none"/>
                <w:lang w:val="en-US" w:eastAsia="zh-CN"/>
              </w:rPr>
              <w:t>进度计划</w:t>
            </w:r>
          </w:p>
        </w:tc>
        <w:tc>
          <w:tcPr>
            <w:tcW w:w="30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根据供应商对本项目的进度安排、服务期承诺以及进度保障措施的科学性、合理性进行综合评分（0-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42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lang w:val="en-US" w:eastAsia="zh-CN"/>
              </w:rPr>
              <w:t>分</w:t>
            </w:r>
          </w:p>
        </w:tc>
        <w:tc>
          <w:tcPr>
            <w:tcW w:w="376" w:type="pct"/>
            <w:vMerge w:val="restart"/>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4" w:type="pct"/>
            <w:vMerge w:val="continue"/>
            <w:vAlign w:val="center"/>
          </w:tcPr>
          <w:p>
            <w:pPr>
              <w:spacing w:line="240" w:lineRule="auto"/>
              <w:jc w:val="center"/>
              <w:rPr>
                <w:rFonts w:hint="eastAsia" w:ascii="宋体" w:hAnsi="宋体" w:eastAsia="宋体" w:cs="宋体"/>
                <w:color w:val="auto"/>
                <w:sz w:val="24"/>
                <w:szCs w:val="24"/>
                <w:highlight w:val="yellow"/>
                <w:shd w:val="clear" w:color="FFFFFF" w:fill="D9D9D9"/>
                <w:lang w:val="en-US" w:eastAsia="zh-CN"/>
              </w:rPr>
            </w:pPr>
          </w:p>
        </w:tc>
        <w:tc>
          <w:tcPr>
            <w:tcW w:w="72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sz w:val="24"/>
                <w:szCs w:val="24"/>
                <w:highlight w:val="yellow"/>
                <w:shd w:val="clear" w:color="FFFFFF" w:fill="D9D9D9"/>
              </w:rPr>
            </w:pPr>
          </w:p>
        </w:tc>
        <w:tc>
          <w:tcPr>
            <w:tcW w:w="30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工期在满足招标文件的基础上（80个日历天）每减少5日历天得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42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lang w:val="en-US" w:eastAsia="zh-CN"/>
              </w:rPr>
              <w:t>分</w:t>
            </w:r>
          </w:p>
        </w:tc>
        <w:tc>
          <w:tcPr>
            <w:tcW w:w="376" w:type="pct"/>
            <w:vMerge w:val="continue"/>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w:t>
      </w:r>
      <w:r>
        <w:rPr>
          <w:rFonts w:hint="eastAsia" w:ascii="宋体" w:hAnsi="宋体" w:eastAsia="宋体" w:cs="宋体"/>
          <w:color w:val="auto"/>
          <w:sz w:val="24"/>
        </w:rPr>
        <w:t>序号和内容）提供评标标准相应的商务技术资料。 </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eastAsia="宋体" w:cs="宋体"/>
          <w:b/>
          <w:bCs/>
          <w:iCs/>
          <w:sz w:val="24"/>
          <w:u w:val="single"/>
          <w:lang w:val="en-US" w:eastAsia="zh-CN"/>
        </w:rPr>
        <w:t xml:space="preserve"> </w:t>
      </w:r>
      <w:r>
        <w:rPr>
          <w:rFonts w:hint="eastAsia" w:ascii="宋体" w:hAnsi="宋体" w:cs="宋体"/>
          <w:b/>
          <w:bCs/>
          <w:iCs/>
          <w:sz w:val="24"/>
          <w:u w:val="single"/>
          <w:lang w:val="en-US" w:eastAsia="zh-CN"/>
        </w:rPr>
        <w:t>5</w:t>
      </w:r>
      <w:r>
        <w:rPr>
          <w:rFonts w:hint="eastAsia" w:ascii="宋体" w:hAnsi="宋体" w:eastAsia="宋体" w:cs="宋体"/>
          <w:b/>
          <w:bCs/>
          <w:iCs/>
          <w:sz w:val="24"/>
          <w:u w:val="single"/>
          <w:lang w:val="en-US" w:eastAsia="zh-CN"/>
        </w:rPr>
        <w:t xml:space="preserve">0 </w:t>
      </w:r>
      <w:r>
        <w:rPr>
          <w:rFonts w:hint="eastAsia" w:ascii="宋体" w:hAnsi="宋体" w:eastAsia="宋体" w:cs="宋体"/>
          <w:b/>
          <w:bCs/>
          <w:iCs/>
          <w:sz w:val="24"/>
        </w:rPr>
        <w:t>分）</w:t>
      </w:r>
    </w:p>
    <w:p>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rPr>
      </w:pPr>
      <w:r>
        <w:rPr>
          <w:rFonts w:hint="eastAsia" w:ascii="宋体" w:hAnsi="宋体" w:eastAsia="宋体" w:cs="宋体"/>
          <w:bCs/>
          <w:iCs/>
          <w:sz w:val="24"/>
        </w:rPr>
        <w:t>2.2.1评标基准价：即满足招标文件要求且投标价格最低的投标报价为评标基准价，其价格分为满分。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rPr>
      </w:pPr>
      <w:r>
        <w:rPr>
          <w:rFonts w:hint="eastAsia" w:ascii="宋体" w:hAnsi="宋体" w:eastAsia="宋体" w:cs="宋体"/>
          <w:bCs/>
          <w:iCs/>
          <w:sz w:val="24"/>
        </w:rPr>
        <w:t>2.2.2其他投标人的价格分统一按照下列公式计算：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
          <w:color w:val="auto"/>
          <w:sz w:val="24"/>
        </w:rPr>
      </w:pPr>
      <w:r>
        <w:rPr>
          <w:rFonts w:hint="eastAsia" w:ascii="宋体" w:hAnsi="宋体" w:eastAsia="宋体" w:cs="宋体"/>
          <w:bCs/>
          <w:iCs/>
          <w:sz w:val="24"/>
        </w:rPr>
        <w:t>投标报价得分=(评标基准价／投标报价)×</w:t>
      </w:r>
      <w:r>
        <w:rPr>
          <w:rFonts w:hint="eastAsia" w:ascii="宋体" w:hAnsi="宋体" w:cs="宋体"/>
          <w:bCs/>
          <w:iCs/>
          <w:sz w:val="24"/>
          <w:lang w:val="en-US" w:eastAsia="zh-CN"/>
        </w:rPr>
        <w:t>5</w:t>
      </w:r>
      <w:r>
        <w:rPr>
          <w:rFonts w:hint="eastAsia" w:ascii="宋体" w:hAnsi="宋体" w:eastAsia="宋体" w:cs="宋体"/>
          <w:bCs/>
          <w:iCs/>
          <w:sz w:val="24"/>
          <w:lang w:val="en-US" w:eastAsia="zh-CN"/>
        </w:rPr>
        <w:t>0%</w:t>
      </w:r>
      <w:r>
        <w:rPr>
          <w:rFonts w:hint="eastAsia" w:ascii="宋体" w:hAnsi="宋体" w:eastAsia="宋体" w:cs="宋体"/>
          <w:bCs/>
          <w:iCs/>
          <w:sz w:val="24"/>
        </w:rPr>
        <w:t>×100</w:t>
      </w:r>
    </w:p>
    <w:p>
      <w:pPr>
        <w:pageBreakBefore w:val="0"/>
        <w:kinsoku/>
        <w:wordWrap/>
        <w:overflowPunct/>
        <w:topLinePunct w:val="0"/>
        <w:autoSpaceDE/>
        <w:autoSpaceDN/>
        <w:bidi w:val="0"/>
        <w:spacing w:line="360" w:lineRule="auto"/>
        <w:ind w:left="0" w:leftChars="0"/>
        <w:textAlignment w:val="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b/>
          <w:kern w:val="0"/>
          <w:sz w:val="24"/>
        </w:rPr>
      </w:pPr>
      <w:r>
        <w:rPr>
          <w:rFonts w:hint="eastAsia" w:ascii="宋体" w:hAnsi="宋体" w:eastAsia="宋体" w:cs="宋体"/>
          <w:b/>
          <w:kern w:val="0"/>
          <w:sz w:val="24"/>
        </w:rPr>
        <w:t>3.4报价评审。</w:t>
      </w:r>
    </w:p>
    <w:p>
      <w:pPr>
        <w:pStyle w:val="22"/>
        <w:pageBreakBefore w:val="0"/>
        <w:kinsoku/>
        <w:wordWrap/>
        <w:overflowPunct/>
        <w:topLinePunct w:val="0"/>
        <w:autoSpaceDE/>
        <w:autoSpaceDN/>
        <w:bidi w:val="0"/>
        <w:spacing w:before="0" w:line="360" w:lineRule="auto"/>
        <w:ind w:left="0" w:leftChars="0" w:firstLine="508" w:firstLineChars="212"/>
        <w:textAlignment w:val="auto"/>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rPr>
      </w:pPr>
      <w:r>
        <w:rPr>
          <w:rFonts w:hint="eastAsia" w:ascii="宋体" w:hAnsi="宋体" w:eastAsia="宋体" w:cs="宋体"/>
          <w:kern w:val="0"/>
          <w:szCs w:val="24"/>
        </w:rPr>
        <w:t>3.4.1.4总价金额与按单价</w:t>
      </w:r>
      <w:r>
        <w:rPr>
          <w:rFonts w:hint="eastAsia" w:ascii="宋体" w:hAnsi="宋体" w:eastAsia="宋体" w:cs="宋体"/>
          <w:color w:val="auto"/>
          <w:kern w:val="0"/>
          <w:szCs w:val="24"/>
        </w:rPr>
        <w:t>汇总金额不一致的，以单价金额计算结果为准。</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22"/>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sz w:val="32"/>
        </w:rPr>
      </w:pPr>
      <w:r>
        <w:rPr>
          <w:rFonts w:hint="eastAsia" w:ascii="宋体" w:hAnsi="宋体" w:eastAsia="宋体" w:cs="宋体"/>
          <w:b/>
          <w:sz w:val="32"/>
        </w:rPr>
        <w:t>四、评标中的其他事项</w:t>
      </w:r>
    </w:p>
    <w:p>
      <w:pPr>
        <w:pStyle w:val="22"/>
        <w:pageBreakBefore w:val="0"/>
        <w:kinsoku/>
        <w:wordWrap/>
        <w:overflowPunct/>
        <w:topLinePunct w:val="0"/>
        <w:autoSpaceDE/>
        <w:autoSpaceDN/>
        <w:bidi w:val="0"/>
        <w:spacing w:before="0" w:line="360" w:lineRule="auto"/>
        <w:ind w:left="0" w:leftChars="0"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kern w:val="0"/>
          <w:szCs w:val="24"/>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4"/>
        <w:pageBreakBefore w:val="0"/>
        <w:kinsoku/>
        <w:wordWrap/>
        <w:overflowPunct/>
        <w:topLinePunct w:val="0"/>
        <w:autoSpaceDE/>
        <w:autoSpaceDN/>
        <w:bidi w:val="0"/>
        <w:spacing w:line="360" w:lineRule="auto"/>
        <w:ind w:left="544" w:leftChars="228" w:hanging="65" w:hangingChars="27"/>
        <w:textAlignment w:val="auto"/>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2"/>
        <w:pageBreakBefore w:val="0"/>
        <w:kinsoku/>
        <w:wordWrap/>
        <w:overflowPunct/>
        <w:topLinePunct w:val="0"/>
        <w:autoSpaceDE/>
        <w:autoSpaceDN/>
        <w:bidi w:val="0"/>
        <w:spacing w:line="360" w:lineRule="auto"/>
        <w:ind w:left="0" w:leftChars="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4"/>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b/>
          <w:color w:val="auto"/>
        </w:rPr>
        <w:t>。</w:t>
      </w:r>
      <w:r>
        <w:rPr>
          <w:rFonts w:hint="eastAsia" w:ascii="宋体" w:hAnsi="宋体" w:eastAsia="宋体" w:cs="宋体"/>
          <w:color w:val="auto"/>
        </w:rPr>
        <w:t>根据</w:t>
      </w:r>
      <w:r>
        <w:rPr>
          <w:rFonts w:hint="eastAsia" w:ascii="宋体" w:hAnsi="宋体" w:eastAsia="宋体" w:cs="宋体"/>
          <w:color w:val="auto"/>
          <w:sz w:val="24"/>
        </w:rPr>
        <w:t>《</w:t>
      </w:r>
      <w:r>
        <w:rPr>
          <w:rFonts w:hint="eastAsia" w:ascii="宋体" w:hAnsi="宋体" w:eastAsia="宋体" w:cs="宋体"/>
          <w:color w:val="auto"/>
          <w:sz w:val="24"/>
          <w:lang w:eastAsia="zh-CN"/>
        </w:rPr>
        <w:t>嵊州市市属国有企业货物和服务采购管理办法（试行）</w:t>
      </w:r>
      <w:r>
        <w:rPr>
          <w:rFonts w:hint="eastAsia" w:ascii="宋体" w:hAnsi="宋体" w:eastAsia="宋体" w:cs="宋体"/>
          <w:color w:val="auto"/>
          <w:sz w:val="24"/>
        </w:rPr>
        <w:t>》</w:t>
      </w:r>
      <w:r>
        <w:rPr>
          <w:rFonts w:hint="eastAsia" w:ascii="宋体" w:hAnsi="宋体" w:eastAsia="宋体" w:cs="宋体"/>
          <w:color w:val="auto"/>
        </w:rPr>
        <w:t>第</w:t>
      </w:r>
      <w:r>
        <w:rPr>
          <w:rFonts w:hint="eastAsia" w:ascii="宋体" w:hAnsi="宋体" w:eastAsia="宋体" w:cs="宋体"/>
          <w:color w:val="auto"/>
          <w:lang w:eastAsia="zh-CN"/>
        </w:rPr>
        <w:t>四</w:t>
      </w:r>
      <w:r>
        <w:rPr>
          <w:rFonts w:hint="eastAsia" w:ascii="宋体" w:hAnsi="宋体" w:eastAsia="宋体" w:cs="宋体"/>
          <w:color w:val="auto"/>
        </w:rPr>
        <w:t>十六条之规定，</w:t>
      </w:r>
      <w:r>
        <w:rPr>
          <w:rFonts w:hint="eastAsia" w:ascii="宋体" w:hAnsi="宋体" w:eastAsia="宋体" w:cs="宋体"/>
        </w:rPr>
        <w:t>在采购中，出现下列情形之一的，应予废标：</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rPr>
      </w:pPr>
      <w:r>
        <w:rPr>
          <w:rFonts w:hint="eastAsia" w:ascii="宋体" w:hAnsi="宋体" w:eastAsia="宋体" w:cs="宋体"/>
        </w:rPr>
        <w:t>5.2出现影响采购公正的违法、违规行为的；</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rPr>
      </w:pPr>
      <w:r>
        <w:rPr>
          <w:rFonts w:hint="eastAsia" w:ascii="宋体" w:hAnsi="宋体" w:eastAsia="宋体" w:cs="宋体"/>
        </w:rPr>
        <w:t>5.4因重大变故，采购任务取消的。</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rPr>
      </w:pPr>
      <w:r>
        <w:rPr>
          <w:rFonts w:hint="eastAsia" w:ascii="宋体" w:hAnsi="宋体" w:eastAsia="宋体" w:cs="宋体"/>
        </w:rPr>
        <w:t>废标后，采购机构应当将废标理由通知所有投标人。</w:t>
      </w:r>
    </w:p>
    <w:p>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color w:val="auto"/>
        </w:rPr>
      </w:pPr>
      <w:r>
        <w:rPr>
          <w:rFonts w:hint="eastAsia" w:ascii="宋体" w:hAnsi="宋体" w:eastAsia="宋体" w:cs="宋体"/>
          <w:b/>
          <w:kern w:val="0"/>
        </w:rPr>
        <w:t>7.重新开展采购。</w:t>
      </w:r>
      <w:r>
        <w:rPr>
          <w:rFonts w:hint="eastAsia" w:ascii="宋体" w:hAnsi="宋体" w:eastAsia="宋体" w:cs="宋体"/>
          <w:color w:val="auto"/>
        </w:rPr>
        <w:t>根据</w:t>
      </w:r>
      <w:r>
        <w:rPr>
          <w:rFonts w:hint="eastAsia" w:ascii="宋体" w:hAnsi="宋体" w:eastAsia="宋体" w:cs="宋体"/>
          <w:color w:val="auto"/>
          <w:sz w:val="24"/>
        </w:rPr>
        <w:t>《</w:t>
      </w:r>
      <w:r>
        <w:rPr>
          <w:rFonts w:hint="eastAsia" w:ascii="宋体" w:hAnsi="宋体" w:eastAsia="宋体" w:cs="宋体"/>
          <w:color w:val="auto"/>
          <w:sz w:val="24"/>
          <w:lang w:eastAsia="zh-CN"/>
        </w:rPr>
        <w:t>嵊州市市属国有企业货物和服务采购管理办法（试行）</w:t>
      </w:r>
      <w:r>
        <w:rPr>
          <w:rFonts w:hint="eastAsia" w:ascii="宋体" w:hAnsi="宋体" w:eastAsia="宋体" w:cs="宋体"/>
          <w:color w:val="auto"/>
          <w:sz w:val="24"/>
        </w:rPr>
        <w:t>》</w:t>
      </w:r>
      <w:r>
        <w:rPr>
          <w:rFonts w:hint="eastAsia" w:ascii="宋体" w:hAnsi="宋体" w:eastAsia="宋体" w:cs="宋体"/>
          <w:color w:val="auto"/>
        </w:rPr>
        <w:t>第</w:t>
      </w:r>
      <w:r>
        <w:rPr>
          <w:rFonts w:hint="eastAsia" w:ascii="宋体" w:hAnsi="宋体" w:eastAsia="宋体" w:cs="宋体"/>
          <w:color w:val="auto"/>
          <w:lang w:eastAsia="zh-CN"/>
        </w:rPr>
        <w:t>四</w:t>
      </w:r>
      <w:r>
        <w:rPr>
          <w:rFonts w:hint="eastAsia" w:ascii="宋体" w:hAnsi="宋体" w:eastAsia="宋体" w:cs="宋体"/>
          <w:color w:val="auto"/>
        </w:rPr>
        <w:t>十六条之规定，影响或者可能影响中标、成交结果的，依照下列规定处理：</w:t>
      </w:r>
    </w:p>
    <w:p>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rPr>
      </w:pPr>
      <w:r>
        <w:rPr>
          <w:rFonts w:hint="eastAsia" w:ascii="宋体" w:hAnsi="宋体" w:eastAsia="宋体" w:cs="宋体"/>
          <w:color w:val="auto"/>
        </w:rPr>
        <w:t>7.1未确定中标或者中标人的，终止本次采购活动，重新开展采购活动。</w:t>
      </w:r>
    </w:p>
    <w:p>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rPr>
      </w:pPr>
      <w:r>
        <w:rPr>
          <w:rFonts w:hint="eastAsia" w:ascii="宋体" w:hAnsi="宋体" w:eastAsia="宋体" w:cs="宋体"/>
          <w:color w:val="auto"/>
        </w:rPr>
        <w:t>7.2已确定中标或者中标人但尚未签订采购合同的，中标或者成交结果无效；重新开展采购活动。</w:t>
      </w:r>
    </w:p>
    <w:p>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rPr>
      </w:pPr>
      <w:r>
        <w:rPr>
          <w:rFonts w:hint="eastAsia" w:ascii="宋体" w:hAnsi="宋体" w:eastAsia="宋体" w:cs="宋体"/>
          <w:color w:val="auto"/>
        </w:rPr>
        <w:t>7.3采购合同已签订但尚未履行的，撤销合同，从合格的中标或者成交候选人中另行确定中标或者中标人；没有合格的中标或者成交候选人的，重新开展采购活动。</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rPr>
      </w:pPr>
      <w:r>
        <w:rPr>
          <w:rFonts w:hint="eastAsia" w:ascii="宋体" w:hAnsi="宋体" w:eastAsia="宋体" w:cs="宋体"/>
          <w:color w:val="auto"/>
        </w:rPr>
        <w:t>7.4采购合同已经履行，给采购人、供应商造成损失的，由责任人承担赔偿责任。</w:t>
      </w:r>
    </w:p>
    <w:p>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b/>
          <w:sz w:val="36"/>
          <w:szCs w:val="36"/>
        </w:rPr>
      </w:pPr>
      <w:r>
        <w:rPr>
          <w:rFonts w:hint="eastAsia" w:ascii="宋体" w:hAnsi="宋体" w:eastAsia="宋体" w:cs="宋体"/>
          <w:color w:val="auto"/>
        </w:rPr>
        <w:t>7.5采购当事人有其他违反</w:t>
      </w:r>
      <w:r>
        <w:rPr>
          <w:rFonts w:hint="eastAsia" w:ascii="宋体" w:hAnsi="宋体" w:eastAsia="宋体" w:cs="宋体"/>
          <w:color w:val="auto"/>
          <w:sz w:val="24"/>
        </w:rPr>
        <w:t>《</w:t>
      </w:r>
      <w:r>
        <w:rPr>
          <w:rFonts w:hint="eastAsia" w:ascii="宋体" w:hAnsi="宋体" w:eastAsia="宋体" w:cs="宋体"/>
          <w:color w:val="auto"/>
          <w:sz w:val="24"/>
          <w:lang w:eastAsia="zh-CN"/>
        </w:rPr>
        <w:t>嵊州市市属国有企业货物和服务采购管理办法（试行）</w:t>
      </w:r>
      <w:r>
        <w:rPr>
          <w:rFonts w:hint="eastAsia" w:ascii="宋体" w:hAnsi="宋体" w:eastAsia="宋体" w:cs="宋体"/>
          <w:color w:val="auto"/>
          <w:sz w:val="24"/>
        </w:rPr>
        <w:t>》</w:t>
      </w:r>
      <w:r>
        <w:rPr>
          <w:rFonts w:hint="eastAsia" w:ascii="宋体" w:hAnsi="宋体" w:eastAsia="宋体" w:cs="宋体"/>
          <w:color w:val="auto"/>
        </w:rPr>
        <w:t>第</w:t>
      </w:r>
      <w:r>
        <w:rPr>
          <w:rFonts w:hint="eastAsia" w:ascii="宋体" w:hAnsi="宋体" w:eastAsia="宋体" w:cs="宋体"/>
          <w:color w:val="auto"/>
          <w:lang w:eastAsia="zh-CN"/>
        </w:rPr>
        <w:t>四</w:t>
      </w:r>
      <w:r>
        <w:rPr>
          <w:rFonts w:hint="eastAsia" w:ascii="宋体" w:hAnsi="宋体" w:eastAsia="宋体" w:cs="宋体"/>
          <w:color w:val="auto"/>
        </w:rPr>
        <w:t>十六条之规定的</w:t>
      </w:r>
      <w:r>
        <w:rPr>
          <w:rFonts w:hint="eastAsia" w:ascii="宋体" w:hAnsi="宋体" w:eastAsia="宋体" w:cs="宋体"/>
        </w:rPr>
        <w:t>行为，经改正后仍然影响或者可能影响中标、成交结果或者依法被认定为中标、成交无效的，依照7.1-7.4规定处理。</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采购合同参考范本</w:t>
      </w:r>
    </w:p>
    <w:p>
      <w:pPr>
        <w:pStyle w:val="6"/>
        <w:rPr>
          <w:rFonts w:hint="eastAsia" w:ascii="宋体" w:hAnsi="宋体" w:eastAsia="宋体" w:cs="宋体"/>
          <w:szCs w:val="24"/>
        </w:rPr>
      </w:pPr>
    </w:p>
    <w:p>
      <w:pPr>
        <w:pStyle w:val="6"/>
        <w:rPr>
          <w:rFonts w:hint="eastAsia" w:ascii="宋体" w:hAnsi="宋体" w:eastAsia="宋体" w:cs="宋体"/>
          <w:szCs w:val="24"/>
        </w:rPr>
      </w:pPr>
    </w:p>
    <w:p>
      <w:pPr>
        <w:pStyle w:val="6"/>
        <w:jc w:val="center"/>
        <w:rPr>
          <w:rFonts w:hint="eastAsia" w:ascii="宋体" w:hAnsi="宋体" w:eastAsia="宋体" w:cs="宋体"/>
          <w:szCs w:val="24"/>
        </w:rPr>
      </w:pPr>
    </w:p>
    <w:p>
      <w:pPr>
        <w:pStyle w:val="6"/>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6"/>
        <w:rPr>
          <w:rFonts w:hint="eastAsia" w:ascii="宋体" w:hAnsi="宋体" w:eastAsia="宋体" w:cs="宋体"/>
          <w:szCs w:val="24"/>
        </w:rPr>
      </w:pPr>
    </w:p>
    <w:p>
      <w:pPr>
        <w:pStyle w:val="6"/>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5"/>
        <w:spacing w:before="120" w:line="22" w:lineRule="atLeast"/>
        <w:rPr>
          <w:rFonts w:hint="eastAsia" w:ascii="宋体" w:hAnsi="宋体" w:eastAsia="宋体" w:cs="宋体"/>
          <w:szCs w:val="24"/>
        </w:rPr>
      </w:pPr>
    </w:p>
    <w:p>
      <w:pPr>
        <w:pStyle w:val="25"/>
        <w:spacing w:before="120" w:line="22" w:lineRule="atLeast"/>
        <w:rPr>
          <w:rFonts w:hint="eastAsia" w:ascii="宋体" w:hAnsi="宋体" w:eastAsia="宋体" w:cs="宋体"/>
          <w:szCs w:val="24"/>
        </w:rPr>
      </w:pPr>
    </w:p>
    <w:p>
      <w:pPr>
        <w:spacing w:before="120" w:line="22" w:lineRule="atLeast"/>
        <w:ind w:left="960"/>
        <w:rPr>
          <w:rFonts w:hint="eastAsia" w:ascii="宋体" w:hAnsi="宋体" w:eastAsia="宋体" w:cs="宋体"/>
          <w:sz w:val="24"/>
          <w:lang w:val="en-US" w:eastAsia="zh-CN"/>
        </w:rPr>
      </w:pPr>
      <w:r>
        <w:rPr>
          <w:rFonts w:hint="eastAsia" w:ascii="宋体" w:hAnsi="宋体" w:eastAsia="宋体" w:cs="宋体"/>
          <w:sz w:val="24"/>
          <w:lang w:eastAsia="zh-CN"/>
        </w:rPr>
        <w:t>甲方</w:t>
      </w:r>
      <w:r>
        <w:rPr>
          <w:rFonts w:hint="eastAsia" w:ascii="宋体" w:hAnsi="宋体" w:eastAsia="宋体" w:cs="宋体"/>
          <w:sz w:val="24"/>
          <w:lang w:val="en-US" w:eastAsia="zh-CN"/>
        </w:rPr>
        <w:t>（招标人）</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footerReference r:id="rId4" w:type="default"/>
          <w:pgSz w:w="11907" w:h="16840"/>
          <w:pgMar w:top="1474" w:right="1693" w:bottom="1286" w:left="1814" w:header="851" w:footer="851" w:gutter="0"/>
          <w:pgNumType w:fmt="decimal" w:start="1"/>
          <w:cols w:space="720" w:num="1"/>
        </w:sectPr>
      </w:pP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甲方</w:t>
      </w:r>
      <w:r>
        <w:rPr>
          <w:rFonts w:hint="eastAsia" w:ascii="宋体" w:hAnsi="宋体" w:eastAsia="宋体" w:cs="宋体"/>
          <w:kern w:val="0"/>
          <w:sz w:val="24"/>
          <w:lang w:val="en-US" w:eastAsia="zh-CN"/>
        </w:rPr>
        <w:t>（招标人）</w:t>
      </w:r>
      <w:r>
        <w:rPr>
          <w:rFonts w:hint="eastAsia" w:ascii="宋体" w:hAnsi="宋体" w:eastAsia="宋体" w:cs="宋体"/>
          <w:kern w:val="0"/>
          <w:sz w:val="24"/>
        </w:rPr>
        <w:t>：</w:t>
      </w:r>
      <w:r>
        <w:rPr>
          <w:rFonts w:hint="eastAsia" w:ascii="宋体" w:hAnsi="宋体" w:eastAsia="宋体" w:cs="宋体"/>
          <w:sz w:val="24"/>
          <w:u w:val="single"/>
          <w:lang w:val="en-US" w:eastAsia="zh-CN"/>
        </w:rPr>
        <w:t xml:space="preserve">                           </w:t>
      </w:r>
      <w:r>
        <w:rPr>
          <w:rFonts w:hint="eastAsia" w:ascii="宋体" w:hAnsi="宋体" w:eastAsia="宋体" w:cs="宋体"/>
          <w:kern w:val="0"/>
          <w:sz w:val="24"/>
          <w:lang w:val="en-US" w:eastAsia="zh-CN"/>
        </w:rPr>
        <w:t xml:space="preserve">                                 </w:t>
      </w: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 xml:space="preserve">                            </w:t>
      </w: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乙方</w:t>
      </w:r>
      <w:r>
        <w:rPr>
          <w:rFonts w:hint="eastAsia" w:ascii="宋体" w:hAnsi="宋体" w:eastAsia="宋体" w:cs="宋体"/>
          <w:kern w:val="0"/>
          <w:sz w:val="24"/>
          <w:lang w:eastAsia="zh-CN"/>
        </w:rPr>
        <w:t>（供应商）</w:t>
      </w:r>
      <w:r>
        <w:rPr>
          <w:rFonts w:hint="eastAsia" w:ascii="宋体" w:hAnsi="宋体" w:eastAsia="宋体" w:cs="宋体"/>
          <w:kern w:val="0"/>
          <w:sz w:val="24"/>
        </w:rPr>
        <w:t>：</w:t>
      </w:r>
      <w:r>
        <w:rPr>
          <w:rFonts w:hint="eastAsia" w:ascii="宋体" w:hAnsi="宋体" w:eastAsia="宋体" w:cs="宋体"/>
          <w:sz w:val="24"/>
          <w:u w:val="single"/>
          <w:lang w:val="en-US" w:eastAsia="zh-CN"/>
        </w:rPr>
        <w:t xml:space="preserve">                            </w:t>
      </w:r>
      <w:r>
        <w:rPr>
          <w:rFonts w:hint="eastAsia" w:ascii="宋体" w:hAnsi="宋体" w:eastAsia="宋体" w:cs="宋体"/>
          <w:kern w:val="0"/>
          <w:sz w:val="24"/>
        </w:rPr>
        <w:t xml:space="preserve">                              </w:t>
      </w:r>
    </w:p>
    <w:p>
      <w:pPr>
        <w:widowControl/>
        <w:snapToGrid w:val="0"/>
        <w:spacing w:line="480" w:lineRule="exact"/>
        <w:ind w:firstLine="480" w:firstLineChars="200"/>
        <w:rPr>
          <w:rFonts w:hint="eastAsia" w:ascii="宋体" w:hAnsi="宋体" w:eastAsia="宋体" w:cs="宋体"/>
          <w:kern w:val="0"/>
          <w:sz w:val="24"/>
        </w:rPr>
      </w:pP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甲、乙双方根据</w:t>
      </w:r>
      <w:r>
        <w:rPr>
          <w:rFonts w:hint="eastAsia" w:ascii="宋体" w:hAnsi="宋体" w:eastAsia="宋体" w:cs="宋体"/>
          <w:kern w:val="0"/>
          <w:sz w:val="24"/>
          <w:u w:val="single"/>
        </w:rPr>
        <w:t xml:space="preserve">    （填写采购代理机构名称）   </w:t>
      </w:r>
      <w:r>
        <w:rPr>
          <w:rFonts w:hint="eastAsia" w:ascii="宋体" w:hAnsi="宋体" w:eastAsia="宋体" w:cs="宋体"/>
          <w:kern w:val="0"/>
          <w:sz w:val="24"/>
        </w:rPr>
        <w:t>项目编号为的</w:t>
      </w:r>
      <w:r>
        <w:rPr>
          <w:rFonts w:hint="eastAsia" w:ascii="宋体" w:hAnsi="宋体" w:eastAsia="宋体" w:cs="宋体"/>
          <w:kern w:val="0"/>
          <w:sz w:val="24"/>
          <w:u w:val="single"/>
        </w:rPr>
        <w:t>（标项及名称）</w:t>
      </w:r>
      <w:r>
        <w:rPr>
          <w:rFonts w:hint="eastAsia" w:ascii="宋体" w:hAnsi="宋体" w:eastAsia="宋体" w:cs="宋体"/>
          <w:kern w:val="0"/>
          <w:sz w:val="24"/>
        </w:rPr>
        <w:t>项目的采购交易结果，签署本合同。</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建设</w:t>
      </w:r>
      <w:r>
        <w:rPr>
          <w:rFonts w:hint="eastAsia" w:ascii="宋体" w:hAnsi="宋体" w:eastAsia="宋体" w:cs="宋体"/>
          <w:b/>
          <w:sz w:val="24"/>
          <w:szCs w:val="24"/>
        </w:rPr>
        <w:t>内容</w:t>
      </w:r>
    </w:p>
    <w:tbl>
      <w:tblPr>
        <w:tblStyle w:val="19"/>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55"/>
        <w:gridCol w:w="2280"/>
        <w:gridCol w:w="1316"/>
        <w:gridCol w:w="1316"/>
        <w:gridCol w:w="131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5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280"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规格型号</w:t>
            </w: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单价</w:t>
            </w:r>
          </w:p>
        </w:tc>
        <w:tc>
          <w:tcPr>
            <w:tcW w:w="1317"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45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2280"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7"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45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2280"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7"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455"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2280"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6"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c>
          <w:tcPr>
            <w:tcW w:w="1317" w:type="dxa"/>
            <w:noWrap w:val="0"/>
            <w:vAlign w:val="top"/>
          </w:tcPr>
          <w:p>
            <w:pPr>
              <w:pStyle w:val="1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宋体" w:hAnsi="宋体" w:eastAsia="宋体" w:cs="宋体"/>
                <w:sz w:val="24"/>
                <w:szCs w:val="24"/>
                <w:vertAlign w:val="baseline"/>
              </w:rPr>
            </w:pPr>
          </w:p>
        </w:tc>
      </w:tr>
    </w:tbl>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注：</w:t>
      </w:r>
      <w:r>
        <w:rPr>
          <w:rFonts w:hint="eastAsia" w:ascii="宋体" w:hAnsi="宋体" w:eastAsia="宋体" w:cs="宋体"/>
          <w:b w:val="0"/>
          <w:bCs/>
          <w:color w:val="auto"/>
          <w:sz w:val="24"/>
          <w:szCs w:val="24"/>
        </w:rPr>
        <w:t>以上</w:t>
      </w:r>
      <w:r>
        <w:rPr>
          <w:rFonts w:hint="eastAsia" w:ascii="宋体" w:hAnsi="宋体" w:eastAsia="宋体" w:cs="宋体"/>
          <w:b w:val="0"/>
          <w:bCs/>
          <w:color w:val="auto"/>
          <w:sz w:val="24"/>
          <w:szCs w:val="24"/>
          <w:lang w:eastAsia="zh-CN"/>
        </w:rPr>
        <w:t>价格</w:t>
      </w:r>
      <w:r>
        <w:rPr>
          <w:rFonts w:hint="eastAsia" w:ascii="宋体" w:hAnsi="宋体" w:eastAsia="宋体" w:cs="宋体"/>
          <w:b w:val="0"/>
          <w:bCs/>
          <w:color w:val="auto"/>
          <w:sz w:val="24"/>
          <w:szCs w:val="24"/>
        </w:rPr>
        <w:t>包括货款、包装、运输、装卸、保险、安装、验收、税金、售后服务、利润</w:t>
      </w:r>
      <w:r>
        <w:rPr>
          <w:rFonts w:hint="eastAsia" w:ascii="宋体" w:hAnsi="宋体" w:eastAsia="宋体" w:cs="宋体"/>
          <w:b w:val="0"/>
          <w:bCs/>
          <w:color w:val="auto"/>
          <w:sz w:val="24"/>
          <w:szCs w:val="24"/>
          <w:lang w:eastAsia="zh-CN"/>
        </w:rPr>
        <w:t>和招标代理服务费等完成本项目的一切费用。</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二、合同金额</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本合同金额为（大写）：____________________元（￥</w:t>
      </w:r>
      <w:r>
        <w:rPr>
          <w:rFonts w:hint="eastAsia" w:ascii="宋体" w:hAnsi="宋体" w:eastAsia="宋体" w:cs="宋体"/>
          <w:sz w:val="24"/>
          <w:szCs w:val="24"/>
          <w:lang w:eastAsia="zh-CN"/>
        </w:rPr>
        <w:t>：</w:t>
      </w:r>
      <w:r>
        <w:rPr>
          <w:rFonts w:hint="eastAsia" w:ascii="宋体" w:hAnsi="宋体" w:eastAsia="宋体" w:cs="宋体"/>
          <w:sz w:val="24"/>
          <w:szCs w:val="24"/>
        </w:rPr>
        <w:t>_______________元）人民币。</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color w:val="auto"/>
          <w:sz w:val="24"/>
          <w:szCs w:val="24"/>
          <w:highlight w:val="none"/>
          <w:lang w:eastAsia="zh-CN"/>
        </w:rPr>
        <w:t>工</w:t>
      </w:r>
      <w:r>
        <w:rPr>
          <w:rFonts w:hint="eastAsia" w:ascii="宋体" w:hAnsi="宋体" w:eastAsia="宋体" w:cs="宋体"/>
          <w:b/>
          <w:color w:val="auto"/>
          <w:sz w:val="24"/>
          <w:szCs w:val="24"/>
          <w:highlight w:val="none"/>
        </w:rPr>
        <w:t>期、</w:t>
      </w:r>
      <w:r>
        <w:rPr>
          <w:rFonts w:hint="eastAsia" w:ascii="宋体" w:hAnsi="宋体" w:eastAsia="宋体" w:cs="宋体"/>
          <w:b/>
          <w:color w:val="auto"/>
          <w:sz w:val="24"/>
          <w:szCs w:val="24"/>
          <w:highlight w:val="none"/>
          <w:lang w:eastAsia="zh-CN"/>
        </w:rPr>
        <w:t>建设</w:t>
      </w:r>
      <w:r>
        <w:rPr>
          <w:rFonts w:hint="eastAsia" w:ascii="宋体" w:hAnsi="宋体" w:eastAsia="宋体" w:cs="宋体"/>
          <w:b/>
          <w:color w:val="auto"/>
          <w:sz w:val="24"/>
          <w:szCs w:val="24"/>
          <w:highlight w:val="none"/>
        </w:rPr>
        <w:t>地点</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工</w:t>
      </w:r>
      <w:r>
        <w:rPr>
          <w:rFonts w:hint="eastAsia" w:ascii="宋体" w:hAnsi="宋体" w:eastAsia="宋体" w:cs="宋体"/>
          <w:bCs/>
          <w:color w:val="auto"/>
          <w:sz w:val="24"/>
          <w:szCs w:val="24"/>
          <w:highlight w:val="none"/>
        </w:rPr>
        <w:t>期：</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建设</w:t>
      </w:r>
      <w:r>
        <w:rPr>
          <w:rFonts w:hint="eastAsia" w:ascii="宋体" w:hAnsi="宋体" w:eastAsia="宋体" w:cs="宋体"/>
          <w:bCs/>
          <w:color w:val="auto"/>
          <w:sz w:val="24"/>
          <w:szCs w:val="24"/>
          <w:highlight w:val="none"/>
        </w:rPr>
        <w:t>地点：</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color w:val="auto"/>
          <w:sz w:val="24"/>
          <w:szCs w:val="24"/>
          <w:highlight w:val="none"/>
        </w:rPr>
        <w:t>款</w:t>
      </w:r>
      <w:r>
        <w:rPr>
          <w:rFonts w:hint="eastAsia" w:ascii="宋体" w:hAnsi="宋体" w:eastAsia="宋体" w:cs="宋体"/>
          <w:b/>
          <w:color w:val="auto"/>
          <w:sz w:val="24"/>
          <w:szCs w:val="24"/>
          <w:highlight w:val="none"/>
          <w:lang w:eastAsia="zh-CN"/>
        </w:rPr>
        <w:t>项</w:t>
      </w:r>
      <w:r>
        <w:rPr>
          <w:rFonts w:hint="eastAsia" w:ascii="宋体" w:hAnsi="宋体" w:eastAsia="宋体" w:cs="宋体"/>
          <w:b/>
          <w:color w:val="auto"/>
          <w:sz w:val="24"/>
          <w:szCs w:val="24"/>
          <w:highlight w:val="none"/>
        </w:rPr>
        <w:t>支付</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合同签订后15个工作日内支付预付款30%，安装调试完成经业主单位验收合格后15个工作日内支付至合同价的98.5%。余款1.5%作为维修保证金，于质保期满后15个工日内无息退还。</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五、履约保证金</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w:t>
      </w:r>
      <w:r>
        <w:rPr>
          <w:rFonts w:hint="eastAsia" w:ascii="宋体" w:hAnsi="宋体" w:eastAsia="宋体" w:cs="宋体"/>
          <w:color w:val="auto"/>
          <w:sz w:val="24"/>
          <w:szCs w:val="24"/>
          <w:highlight w:val="none"/>
          <w:lang w:val="en-US" w:eastAsia="zh-CN"/>
        </w:rPr>
        <w:t>合同价1%</w:t>
      </w:r>
      <w:r>
        <w:rPr>
          <w:rFonts w:hint="eastAsia" w:ascii="宋体" w:hAnsi="宋体" w:eastAsia="宋体" w:cs="宋体"/>
          <w:color w:val="auto"/>
          <w:sz w:val="24"/>
          <w:szCs w:val="24"/>
          <w:highlight w:val="none"/>
        </w:rPr>
        <w:t>作为本合同的履约保证金。</w:t>
      </w:r>
      <w:r>
        <w:rPr>
          <w:rFonts w:hint="eastAsia" w:ascii="宋体" w:hAnsi="宋体" w:eastAsia="宋体" w:cs="宋体"/>
          <w:color w:val="auto"/>
          <w:sz w:val="24"/>
          <w:highlight w:val="none"/>
          <w:lang w:val="en-US" w:eastAsia="zh-CN"/>
        </w:rPr>
        <w:t>供应商在履行完合同约定事项后，经采购人验收合格后30天内退还履约保证金（不计息）。</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color w:val="auto"/>
          <w:sz w:val="24"/>
          <w:szCs w:val="24"/>
          <w:highlight w:val="none"/>
        </w:rPr>
        <w:t>质保期</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七、转包或分包</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本合同范围的货物，应由乙方直接供应，不得转让他人供应；</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color w:val="auto"/>
          <w:sz w:val="24"/>
          <w:szCs w:val="24"/>
        </w:rPr>
        <w:t>八、</w:t>
      </w:r>
      <w:r>
        <w:rPr>
          <w:rFonts w:hint="eastAsia" w:ascii="宋体" w:hAnsi="宋体" w:eastAsia="宋体" w:cs="宋体"/>
          <w:b/>
          <w:sz w:val="24"/>
          <w:szCs w:val="24"/>
        </w:rPr>
        <w:t>技术资料</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1.乙方应按招标文件规定的时间向甲方提供使用货物的有关技术资料。</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w:t>
      </w:r>
      <w:r>
        <w:rPr>
          <w:rFonts w:hint="eastAsia" w:ascii="宋体" w:hAnsi="宋体" w:eastAsia="宋体" w:cs="宋体"/>
          <w:b/>
          <w:sz w:val="24"/>
          <w:szCs w:val="24"/>
        </w:rPr>
        <w:t>知识产权</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乙方应保证所提供的货物或其任何一部分均不会侵犯任何第三方的知识产权</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十、税费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、质量保证及售后服务</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乙方应按招标文件规定的货物性能、技术要求、质量标准向甲方提供未经使用的全新产品。</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乙方提供的货物在质保期内因货物本身的质量问题发生故障，乙方应负责免费更换。对达</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不到技术要求者，根据实际情况，经双方协商，可按以下办法处理：</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⑴更换：由乙方承担所发生的全部费用。</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⑶退货处理：乙方应退还甲方支付的合同款，同时应承担该货物的直接费用（运输、保险、检验、货款利息及银行手续费等）。</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如在使用过程中质保期内出现问题，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小时内响应，</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小时内到达现场，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小时内解决问题，现场解决不了的采取免费提供同型号替代产品措施。</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在质保期内，乙方</w:t>
      </w:r>
      <w:r>
        <w:rPr>
          <w:rFonts w:hint="eastAsia" w:ascii="宋体" w:hAnsi="宋体" w:eastAsia="宋体" w:cs="宋体"/>
          <w:color w:val="auto"/>
          <w:sz w:val="24"/>
          <w:szCs w:val="24"/>
          <w:highlight w:val="none"/>
        </w:rPr>
        <w:t>应对</w:t>
      </w:r>
      <w:r>
        <w:rPr>
          <w:rFonts w:hint="eastAsia" w:ascii="宋体" w:hAnsi="宋体" w:eastAsia="宋体" w:cs="宋体"/>
          <w:sz w:val="24"/>
          <w:szCs w:val="24"/>
          <w:highlight w:val="none"/>
        </w:rPr>
        <w:t>货物出现的质量及安全问题负责处理解决并承担一切费用。</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rPr>
        <w:t>上述的</w:t>
      </w:r>
      <w:r>
        <w:rPr>
          <w:rFonts w:hint="eastAsia" w:ascii="宋体" w:hAnsi="宋体" w:eastAsia="宋体" w:cs="宋体"/>
          <w:sz w:val="24"/>
          <w:szCs w:val="24"/>
          <w:highlight w:val="none"/>
        </w:rPr>
        <w:t>货物</w:t>
      </w:r>
      <w:r>
        <w:rPr>
          <w:rFonts w:hint="eastAsia" w:ascii="宋体" w:hAnsi="宋体" w:eastAsia="宋体" w:cs="宋体"/>
          <w:color w:val="000000"/>
          <w:sz w:val="24"/>
          <w:szCs w:val="24"/>
          <w:highlight w:val="none"/>
        </w:rPr>
        <w:t>免费保修期为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年，因人为因</w:t>
      </w:r>
      <w:r>
        <w:rPr>
          <w:rFonts w:hint="eastAsia" w:ascii="宋体" w:hAnsi="宋体" w:eastAsia="宋体" w:cs="宋体"/>
          <w:color w:val="000000"/>
          <w:sz w:val="24"/>
          <w:szCs w:val="24"/>
        </w:rPr>
        <w:t>素出现的故障不在免费保修范围内。超过保修期的机器设备，终生维修，维修时只收部件成本费。</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二</w:t>
      </w:r>
      <w:r>
        <w:rPr>
          <w:rFonts w:hint="eastAsia" w:ascii="宋体" w:hAnsi="宋体" w:eastAsia="宋体" w:cs="宋体"/>
          <w:b/>
          <w:sz w:val="24"/>
          <w:szCs w:val="24"/>
        </w:rPr>
        <w:t>、调试和验收</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乙方交货前应对产品作出全面检查和对验收文件进行整理，并列出清单，作为甲方收货验收和使用的技术条件依据，检验的结果应随货物交甲方。</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甲方对乙方提供的货物在使用前进行调试时，乙方需负责安装并培训甲方的使用操作人员，并协助甲方一起调试，直到符合技术要求，甲方才做最终验收。</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对技术复杂的货物，甲方应请国家认可的专业检测机构参与初步验收及最终验收，并由其出具质量检测报告。</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验收时乙方必须在现场，验收完毕后作出验收结果报告；验收费用由乙方负责。</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十三、</w:t>
      </w:r>
      <w:r>
        <w:rPr>
          <w:rFonts w:hint="eastAsia" w:ascii="宋体" w:hAnsi="宋体" w:eastAsia="宋体" w:cs="宋体"/>
          <w:b/>
          <w:sz w:val="24"/>
          <w:szCs w:val="24"/>
        </w:rPr>
        <w:t>货物包装、发运及运输</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以保证货物安全运达甲方指定地点。</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2.使用说明书、质量检验证明书、随配附件和工具以及清单一并附于货物内。</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3.乙方在货物发运手续办理完毕后24小时内或货到甲方48小时前通知甲方，以准备接货。</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4.货物在交付甲方前发生的风险均由乙方负责。</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货物在规定的交付期限内由乙方送达甲方指定的地点视为交付，乙方同时需</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通知甲方货物已送达。</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四</w:t>
      </w:r>
      <w:r>
        <w:rPr>
          <w:rFonts w:hint="eastAsia" w:ascii="宋体" w:hAnsi="宋体" w:eastAsia="宋体" w:cs="宋体"/>
          <w:b/>
          <w:sz w:val="24"/>
          <w:szCs w:val="24"/>
        </w:rPr>
        <w:t>、违约责任</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甲方无正当理由拒收货物的，甲方向乙方偿付拒收货款总值的百分之五违约金。</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甲方无故逾期验收和办理货款支付手续的,甲方应按逾期付款总额每日万分之五向乙方支付违约金。</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乙方逾期交付货物的，乙方应按逾期交货总额每日千分之六向甲方支付违约金，由甲方</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420" w:leftChars="200"/>
        <w:textAlignment w:val="auto"/>
        <w:rPr>
          <w:rFonts w:hint="eastAsia" w:ascii="宋体" w:hAnsi="宋体" w:eastAsia="宋体" w:cs="宋体"/>
          <w:sz w:val="24"/>
          <w:szCs w:val="24"/>
        </w:rPr>
      </w:pPr>
      <w:r>
        <w:rPr>
          <w:rFonts w:hint="eastAsia" w:ascii="宋体" w:hAnsi="宋体" w:eastAsia="宋体" w:cs="宋体"/>
          <w:snapToGrid w:val="0"/>
          <w:kern w:val="2"/>
          <w:sz w:val="24"/>
          <w:szCs w:val="24"/>
          <w:lang w:val="en-US" w:eastAsia="zh-CN" w:bidi="ar-SA"/>
        </w:rPr>
        <w:t>4.</w:t>
      </w:r>
      <w:r>
        <w:rPr>
          <w:rFonts w:hint="eastAsia" w:ascii="宋体" w:hAnsi="宋体" w:eastAsia="宋体" w:cs="宋体"/>
          <w:sz w:val="24"/>
          <w:szCs w:val="24"/>
        </w:rPr>
        <w:t>乙方所交的货物品种、型号、规格、技术参数、质量不符合合同规定及招标文件规定</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五</w:t>
      </w:r>
      <w:r>
        <w:rPr>
          <w:rFonts w:hint="eastAsia" w:ascii="宋体" w:hAnsi="宋体" w:eastAsia="宋体" w:cs="宋体"/>
          <w:b/>
          <w:sz w:val="24"/>
          <w:szCs w:val="24"/>
        </w:rPr>
        <w:t>、不可抗力事件处理</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六</w:t>
      </w:r>
      <w:r>
        <w:rPr>
          <w:rFonts w:hint="eastAsia" w:ascii="宋体" w:hAnsi="宋体" w:eastAsia="宋体" w:cs="宋体"/>
          <w:b/>
          <w:sz w:val="24"/>
          <w:szCs w:val="24"/>
        </w:rPr>
        <w:t>、诉讼</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w:t>
      </w:r>
    </w:p>
    <w:p>
      <w:pPr>
        <w:pStyle w:val="14"/>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方所在地法院起诉。</w:t>
      </w:r>
    </w:p>
    <w:p>
      <w:pPr>
        <w:widowControl/>
        <w:snapToGrid w:val="0"/>
        <w:spacing w:line="480" w:lineRule="exact"/>
        <w:ind w:firstLine="482" w:firstLineChars="200"/>
        <w:rPr>
          <w:rFonts w:hint="eastAsia" w:ascii="宋体" w:hAnsi="宋体" w:eastAsia="宋体" w:cs="宋体"/>
          <w:b/>
          <w:bCs/>
          <w:kern w:val="0"/>
          <w:sz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七</w:t>
      </w:r>
      <w:r>
        <w:rPr>
          <w:rFonts w:hint="eastAsia" w:ascii="宋体" w:hAnsi="宋体" w:eastAsia="宋体" w:cs="宋体"/>
          <w:b/>
          <w:sz w:val="24"/>
          <w:szCs w:val="24"/>
        </w:rPr>
        <w:t>、</w:t>
      </w:r>
      <w:r>
        <w:rPr>
          <w:rFonts w:hint="eastAsia" w:ascii="宋体" w:hAnsi="宋体" w:eastAsia="宋体" w:cs="宋体"/>
          <w:b/>
          <w:bCs/>
          <w:kern w:val="0"/>
          <w:sz w:val="24"/>
        </w:rPr>
        <w:t>合同生效及其他</w:t>
      </w: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1.合同经甲、乙双方签名并加盖单位公章后生效。</w:t>
      </w: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2.采购文件、投标文件与本合同具有同等法律效力。</w:t>
      </w:r>
    </w:p>
    <w:p>
      <w:pPr>
        <w:widowControl/>
        <w:snapToGrid w:val="0"/>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3.本合同未尽事宜，遵照《民法典》有关条文执行。</w:t>
      </w:r>
    </w:p>
    <w:p>
      <w:pPr>
        <w:widowControl/>
        <w:snapToGrid w:val="0"/>
        <w:spacing w:line="480" w:lineRule="exact"/>
        <w:ind w:firstLine="480" w:firstLineChars="200"/>
        <w:rPr>
          <w:rFonts w:hint="eastAsia" w:ascii="宋体" w:hAnsi="宋体" w:eastAsia="宋体" w:cs="宋体"/>
        </w:rPr>
      </w:pPr>
      <w:r>
        <w:rPr>
          <w:rFonts w:hint="eastAsia" w:ascii="宋体" w:hAnsi="宋体" w:eastAsia="宋体" w:cs="宋体"/>
          <w:kern w:val="0"/>
          <w:sz w:val="24"/>
        </w:rPr>
        <w:t>4.本合同一式五份，具有同等法律效力，甲、乙双方各执二份，采购代理机构一份。</w:t>
      </w:r>
    </w:p>
    <w:tbl>
      <w:tblPr>
        <w:tblStyle w:val="1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pStyle w:val="14"/>
              <w:adjustRightInd w:val="0"/>
              <w:snapToGrid w:val="0"/>
              <w:spacing w:before="157" w:after="157" w:line="360" w:lineRule="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甲方（招标人）（盖章）： </w:t>
            </w:r>
          </w:p>
        </w:tc>
        <w:tc>
          <w:tcPr>
            <w:tcW w:w="5135" w:type="dxa"/>
            <w:tcBorders>
              <w:top w:val="nil"/>
              <w:left w:val="nil"/>
              <w:bottom w:val="nil"/>
              <w:right w:val="nil"/>
            </w:tcBorders>
            <w:noWrap w:val="0"/>
            <w:vAlign w:val="center"/>
          </w:tcPr>
          <w:p>
            <w:pPr>
              <w:pStyle w:val="14"/>
              <w:adjustRightInd w:val="0"/>
              <w:snapToGrid w:val="0"/>
              <w:spacing w:before="157" w:after="157" w:line="360" w:lineRule="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法定代表人或受委托人（签字） ： </w:t>
            </w:r>
          </w:p>
        </w:tc>
        <w:tc>
          <w:tcPr>
            <w:tcW w:w="5135"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法定代表人或受委托人（签字）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w:t>
            </w:r>
          </w:p>
        </w:tc>
        <w:tc>
          <w:tcPr>
            <w:tcW w:w="5135"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电话：</w:t>
            </w:r>
          </w:p>
        </w:tc>
        <w:tc>
          <w:tcPr>
            <w:tcW w:w="5135"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开户银行：</w:t>
            </w:r>
          </w:p>
        </w:tc>
        <w:tc>
          <w:tcPr>
            <w:tcW w:w="5135"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帐号：</w:t>
            </w:r>
          </w:p>
        </w:tc>
        <w:tc>
          <w:tcPr>
            <w:tcW w:w="5135" w:type="dxa"/>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38" w:type="dxa"/>
            <w:gridSpan w:val="2"/>
            <w:tcBorders>
              <w:top w:val="nil"/>
              <w:left w:val="nil"/>
              <w:bottom w:val="nil"/>
              <w:right w:val="nil"/>
            </w:tcBorders>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合同签订地点：</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时间：</w:t>
            </w:r>
            <w:r>
              <w:rPr>
                <w:rFonts w:hint="eastAsia" w:ascii="宋体" w:hAnsi="宋体" w:eastAsia="宋体" w:cs="宋体"/>
                <w:sz w:val="24"/>
                <w:u w:val="single"/>
              </w:rPr>
              <w:t xml:space="preserve">                </w:t>
            </w:r>
          </w:p>
        </w:tc>
      </w:tr>
    </w:tbl>
    <w:p>
      <w:pPr>
        <w:pStyle w:val="14"/>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val="0"/>
        <w:snapToGrid w:val="0"/>
        <w:spacing w:line="240" w:lineRule="auto"/>
        <w:ind w:left="0" w:leftChars="0"/>
        <w:textAlignment w:val="auto"/>
        <w:rPr>
          <w:rFonts w:hint="eastAsia" w:ascii="宋体" w:hAnsi="宋体" w:eastAsia="宋体" w:cs="宋体"/>
        </w:rPr>
        <w:sectPr>
          <w:pgSz w:w="11906" w:h="16838"/>
          <w:pgMar w:top="1440" w:right="1080" w:bottom="1440" w:left="1080" w:header="851" w:footer="851" w:gutter="0"/>
          <w:pgNumType w:fmt="decimal"/>
          <w:cols w:space="720" w:num="1"/>
          <w:docGrid w:type="lines" w:linePitch="312" w:charSpace="0"/>
        </w:sectPr>
      </w:pPr>
    </w:p>
    <w:p>
      <w:pPr>
        <w:pStyle w:val="12"/>
        <w:rPr>
          <w:rFonts w:hint="eastAsia" w:ascii="宋体" w:hAnsi="宋体" w:eastAsia="宋体" w:cs="宋体"/>
          <w:lang w:val="en-US" w:eastAsia="zh-CN"/>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w:t>
      </w:r>
      <w:r>
        <w:rPr>
          <w:rFonts w:hint="eastAsia" w:ascii="宋体" w:hAnsi="宋体" w:eastAsia="宋体" w:cs="宋体"/>
          <w:b/>
          <w:kern w:val="0"/>
          <w:sz w:val="36"/>
          <w:szCs w:val="36"/>
          <w:lang w:eastAsia="zh-CN"/>
        </w:rPr>
        <w:t>证明</w:t>
      </w:r>
      <w:r>
        <w:rPr>
          <w:rFonts w:hint="eastAsia" w:ascii="宋体" w:hAnsi="宋体" w:eastAsia="宋体" w:cs="宋体"/>
          <w:b/>
          <w:kern w:val="0"/>
          <w:sz w:val="36"/>
          <w:szCs w:val="36"/>
        </w:rPr>
        <w:t>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sz w:val="24"/>
          <w:lang w:eastAsia="zh-CN"/>
        </w:rPr>
        <w:t>营业执照扫描件</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符合参加采购活动应当具备的一般条件的承诺函…………………（页码）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）本项目的特定资格要求………………………………………………（页码）</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numPr>
          <w:ilvl w:val="0"/>
          <w:numId w:val="0"/>
        </w:numPr>
        <w:snapToGrid w:val="0"/>
        <w:spacing w:line="360" w:lineRule="auto"/>
        <w:ind w:right="480" w:rightChars="0"/>
        <w:jc w:val="center"/>
        <w:rPr>
          <w:rFonts w:hint="eastAsia" w:ascii="宋体" w:hAnsi="宋体" w:eastAsia="宋体" w:cs="宋体"/>
          <w:b/>
          <w:kern w:val="0"/>
          <w:sz w:val="32"/>
          <w:szCs w:val="32"/>
          <w:lang w:eastAsia="zh-CN"/>
        </w:rPr>
      </w:pPr>
      <w:r>
        <w:rPr>
          <w:rFonts w:hint="eastAsia" w:ascii="宋体" w:hAnsi="宋体" w:eastAsia="宋体" w:cs="宋体"/>
          <w:kern w:val="0"/>
          <w:sz w:val="24"/>
          <w:lang w:eastAsia="zh-CN"/>
        </w:rPr>
        <w:t>一、</w:t>
      </w:r>
      <w:r>
        <w:rPr>
          <w:rFonts w:hint="eastAsia" w:ascii="宋体" w:hAnsi="宋体" w:eastAsia="宋体" w:cs="宋体"/>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宋体" w:hAnsi="宋体" w:eastAsia="宋体" w:cs="宋体"/>
          <w:b/>
          <w:kern w:val="0"/>
          <w:sz w:val="32"/>
          <w:szCs w:val="32"/>
          <w:lang w:eastAsia="zh-CN"/>
        </w:rPr>
      </w:pPr>
    </w:p>
    <w:p>
      <w:pPr>
        <w:numPr>
          <w:ilvl w:val="0"/>
          <w:numId w:val="0"/>
        </w:numPr>
        <w:snapToGrid w:val="0"/>
        <w:spacing w:line="360" w:lineRule="auto"/>
        <w:ind w:right="480" w:rightChars="0"/>
        <w:jc w:val="center"/>
        <w:rPr>
          <w:rFonts w:hint="eastAsia" w:ascii="宋体" w:hAnsi="宋体" w:eastAsia="宋体" w:cs="宋体"/>
          <w:b/>
          <w:kern w:val="0"/>
          <w:sz w:val="32"/>
          <w:szCs w:val="32"/>
          <w:lang w:eastAsia="zh-CN"/>
        </w:rPr>
      </w:pPr>
    </w:p>
    <w:p>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符合参加采购活动应当具备的一般条件的承诺函</w:t>
      </w:r>
    </w:p>
    <w:p>
      <w:pPr>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w:t>
      </w:r>
      <w:r>
        <w:rPr>
          <w:rFonts w:hint="eastAsia" w:ascii="宋体" w:hAnsi="宋体" w:eastAsia="宋体" w:cs="宋体"/>
          <w:sz w:val="24"/>
          <w:lang w:eastAsia="zh-CN"/>
        </w:rPr>
        <w:t>项目</w:t>
      </w:r>
      <w:r>
        <w:rPr>
          <w:rFonts w:hint="eastAsia" w:ascii="宋体" w:hAnsi="宋体" w:eastAsia="宋体" w:cs="宋体"/>
          <w:sz w:val="24"/>
        </w:rPr>
        <w:t>编号：】采购活动，郑重承诺：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w:t>
      </w:r>
      <w:r>
        <w:rPr>
          <w:rFonts w:hint="eastAsia" w:ascii="宋体" w:hAnsi="宋体" w:eastAsia="宋体" w:cs="宋体"/>
          <w:color w:val="auto"/>
          <w:sz w:val="24"/>
        </w:rPr>
        <w:t>《</w:t>
      </w:r>
      <w:r>
        <w:rPr>
          <w:rFonts w:hint="eastAsia" w:ascii="宋体" w:hAnsi="宋体" w:eastAsia="宋体" w:cs="宋体"/>
          <w:color w:val="auto"/>
          <w:sz w:val="24"/>
          <w:lang w:eastAsia="zh-CN"/>
        </w:rPr>
        <w:t>嵊州市市属国有企业货物和服务采购管理办法（试行）</w:t>
      </w:r>
      <w:r>
        <w:rPr>
          <w:rFonts w:hint="eastAsia" w:ascii="宋体" w:hAnsi="宋体" w:eastAsia="宋体" w:cs="宋体"/>
          <w:color w:val="auto"/>
          <w:sz w:val="24"/>
        </w:rPr>
        <w:t>》</w:t>
      </w:r>
      <w:r>
        <w:rPr>
          <w:rFonts w:hint="eastAsia" w:ascii="宋体" w:hAnsi="宋体" w:eastAsia="宋体" w:cs="宋体"/>
          <w:sz w:val="24"/>
        </w:rPr>
        <w:t>第</w:t>
      </w:r>
      <w:r>
        <w:rPr>
          <w:rFonts w:hint="eastAsia" w:ascii="宋体" w:hAnsi="宋体" w:eastAsia="宋体" w:cs="宋体"/>
          <w:sz w:val="24"/>
          <w:lang w:eastAsia="zh-CN"/>
        </w:rPr>
        <w:t>十七</w:t>
      </w:r>
      <w:r>
        <w:rPr>
          <w:rFonts w:hint="eastAsia" w:ascii="宋体" w:hAnsi="宋体" w:eastAsia="宋体" w:cs="宋体"/>
          <w:sz w:val="24"/>
        </w:rPr>
        <w:t>条</w:t>
      </w:r>
      <w:r>
        <w:rPr>
          <w:rFonts w:hint="eastAsia" w:ascii="宋体" w:hAnsi="宋体" w:eastAsia="宋体" w:cs="宋体"/>
          <w:color w:val="auto"/>
          <w:sz w:val="24"/>
          <w:highlight w:val="none"/>
        </w:rPr>
        <w:t>第</w:t>
      </w:r>
      <w:r>
        <w:rPr>
          <w:rFonts w:hint="eastAsia" w:ascii="宋体" w:hAnsi="宋体" w:eastAsia="宋体" w:cs="宋体"/>
          <w:sz w:val="24"/>
        </w:rPr>
        <w:t>规定的条件：</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snapToGrid w:val="0"/>
          <w:color w:val="auto"/>
          <w:kern w:val="28"/>
          <w:sz w:val="24"/>
          <w:szCs w:val="20"/>
        </w:rPr>
        <w:t>具</w:t>
      </w:r>
      <w:r>
        <w:rPr>
          <w:rFonts w:hint="eastAsia" w:ascii="宋体" w:hAnsi="宋体" w:eastAsia="宋体" w:cs="宋体"/>
          <w:snapToGrid w:val="0"/>
          <w:color w:val="auto"/>
          <w:kern w:val="28"/>
          <w:sz w:val="24"/>
          <w:szCs w:val="20"/>
          <w:lang w:eastAsia="zh-CN"/>
        </w:rPr>
        <w:t>有</w:t>
      </w:r>
      <w:r>
        <w:rPr>
          <w:rFonts w:hint="eastAsia" w:ascii="宋体" w:hAnsi="宋体" w:eastAsia="宋体" w:cs="宋体"/>
          <w:snapToGrid w:val="0"/>
          <w:color w:val="auto"/>
          <w:kern w:val="28"/>
          <w:sz w:val="24"/>
          <w:szCs w:val="20"/>
        </w:rPr>
        <w:t>独立承担民事责任的能力；</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rPr>
        <w:t>具有良好的</w:t>
      </w:r>
      <w:r>
        <w:rPr>
          <w:rFonts w:hint="eastAsia" w:ascii="宋体" w:hAnsi="宋体" w:eastAsia="宋体" w:cs="宋体"/>
          <w:snapToGrid w:val="0"/>
          <w:color w:val="auto"/>
          <w:kern w:val="28"/>
          <w:sz w:val="24"/>
          <w:szCs w:val="20"/>
          <w:lang w:eastAsia="zh-CN"/>
        </w:rPr>
        <w:t>商</w:t>
      </w:r>
      <w:r>
        <w:rPr>
          <w:rFonts w:hint="eastAsia" w:ascii="宋体" w:hAnsi="宋体" w:eastAsia="宋体" w:cs="宋体"/>
          <w:snapToGrid w:val="0"/>
          <w:color w:val="auto"/>
          <w:kern w:val="28"/>
          <w:sz w:val="24"/>
          <w:szCs w:val="20"/>
        </w:rPr>
        <w:t>业信誉；</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具有履行合同所必需的设备和专业技术，售后保障等能力；</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4.</w:t>
      </w:r>
      <w:r>
        <w:rPr>
          <w:rFonts w:hint="eastAsia" w:ascii="宋体" w:hAnsi="宋体" w:eastAsia="宋体" w:cs="宋体"/>
          <w:snapToGrid w:val="0"/>
          <w:color w:val="auto"/>
          <w:kern w:val="28"/>
          <w:sz w:val="24"/>
          <w:szCs w:val="20"/>
        </w:rPr>
        <w:t>有</w:t>
      </w:r>
      <w:r>
        <w:rPr>
          <w:rFonts w:hint="eastAsia" w:ascii="宋体" w:hAnsi="宋体" w:eastAsia="宋体" w:cs="宋体"/>
          <w:snapToGrid w:val="0"/>
          <w:color w:val="auto"/>
          <w:kern w:val="28"/>
          <w:sz w:val="24"/>
          <w:szCs w:val="20"/>
          <w:lang w:eastAsia="zh-CN"/>
        </w:rPr>
        <w:t>依</w:t>
      </w:r>
      <w:r>
        <w:rPr>
          <w:rFonts w:hint="eastAsia" w:ascii="宋体" w:hAnsi="宋体" w:eastAsia="宋体" w:cs="宋体"/>
          <w:snapToGrid w:val="0"/>
          <w:color w:val="auto"/>
          <w:kern w:val="28"/>
          <w:sz w:val="24"/>
          <w:szCs w:val="20"/>
        </w:rPr>
        <w:t>法缴纳税收和社会保障</w:t>
      </w:r>
      <w:r>
        <w:rPr>
          <w:rFonts w:hint="eastAsia" w:ascii="宋体" w:hAnsi="宋体" w:eastAsia="宋体" w:cs="宋体"/>
          <w:snapToGrid w:val="0"/>
          <w:color w:val="auto"/>
          <w:kern w:val="28"/>
          <w:sz w:val="24"/>
          <w:szCs w:val="20"/>
          <w:lang w:eastAsia="zh-CN"/>
        </w:rPr>
        <w:t>资</w:t>
      </w:r>
      <w:r>
        <w:rPr>
          <w:rFonts w:hint="eastAsia" w:ascii="宋体" w:hAnsi="宋体" w:eastAsia="宋体" w:cs="宋体"/>
          <w:snapToGrid w:val="0"/>
          <w:color w:val="auto"/>
          <w:kern w:val="28"/>
          <w:sz w:val="24"/>
          <w:szCs w:val="20"/>
        </w:rPr>
        <w:t>金的</w:t>
      </w:r>
      <w:r>
        <w:rPr>
          <w:rFonts w:hint="eastAsia" w:ascii="宋体" w:hAnsi="宋体" w:eastAsia="宋体" w:cs="宋体"/>
          <w:snapToGrid w:val="0"/>
          <w:color w:val="auto"/>
          <w:kern w:val="28"/>
          <w:sz w:val="24"/>
          <w:szCs w:val="20"/>
          <w:lang w:eastAsia="zh-CN"/>
        </w:rPr>
        <w:t>良</w:t>
      </w:r>
      <w:r>
        <w:rPr>
          <w:rFonts w:hint="eastAsia" w:ascii="宋体" w:hAnsi="宋体" w:eastAsia="宋体" w:cs="宋体"/>
          <w:snapToGrid w:val="0"/>
          <w:color w:val="auto"/>
          <w:kern w:val="28"/>
          <w:sz w:val="24"/>
          <w:szCs w:val="20"/>
        </w:rPr>
        <w:t>好记录；</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参加</w:t>
      </w:r>
      <w:r>
        <w:rPr>
          <w:rFonts w:hint="eastAsia" w:ascii="宋体" w:hAnsi="宋体" w:eastAsia="宋体" w:cs="宋体"/>
          <w:snapToGrid w:val="0"/>
          <w:color w:val="auto"/>
          <w:kern w:val="28"/>
          <w:sz w:val="24"/>
          <w:szCs w:val="20"/>
          <w:lang w:eastAsia="zh-CN"/>
        </w:rPr>
        <w:t>采购</w:t>
      </w:r>
      <w:r>
        <w:rPr>
          <w:rFonts w:hint="eastAsia" w:ascii="宋体" w:hAnsi="宋体" w:eastAsia="宋体" w:cs="宋体"/>
          <w:snapToGrid w:val="0"/>
          <w:color w:val="auto"/>
          <w:kern w:val="28"/>
          <w:sz w:val="24"/>
          <w:szCs w:val="20"/>
        </w:rPr>
        <w:t>活动前三年内，没有重大</w:t>
      </w:r>
      <w:r>
        <w:rPr>
          <w:rFonts w:hint="eastAsia" w:ascii="宋体" w:hAnsi="宋体" w:eastAsia="宋体" w:cs="宋体"/>
          <w:snapToGrid w:val="0"/>
          <w:color w:val="auto"/>
          <w:kern w:val="28"/>
          <w:sz w:val="24"/>
          <w:szCs w:val="20"/>
          <w:lang w:eastAsia="zh-CN"/>
        </w:rPr>
        <w:t>违</w:t>
      </w:r>
      <w:r>
        <w:rPr>
          <w:rFonts w:hint="eastAsia" w:ascii="宋体" w:hAnsi="宋体" w:eastAsia="宋体" w:cs="宋体"/>
          <w:snapToGrid w:val="0"/>
          <w:color w:val="auto"/>
          <w:kern w:val="28"/>
          <w:sz w:val="24"/>
          <w:szCs w:val="20"/>
        </w:rPr>
        <w:t>法记录，严重</w:t>
      </w:r>
      <w:r>
        <w:rPr>
          <w:rFonts w:hint="eastAsia" w:ascii="宋体" w:hAnsi="宋体" w:eastAsia="宋体" w:cs="宋体"/>
          <w:snapToGrid w:val="0"/>
          <w:color w:val="auto"/>
          <w:kern w:val="28"/>
          <w:sz w:val="24"/>
          <w:szCs w:val="20"/>
          <w:lang w:eastAsia="zh-CN"/>
        </w:rPr>
        <w:t>失信</w:t>
      </w:r>
      <w:r>
        <w:rPr>
          <w:rFonts w:hint="eastAsia" w:ascii="宋体" w:hAnsi="宋体" w:eastAsia="宋体" w:cs="宋体"/>
          <w:snapToGrid w:val="0"/>
          <w:color w:val="auto"/>
          <w:kern w:val="28"/>
          <w:sz w:val="24"/>
          <w:szCs w:val="20"/>
        </w:rPr>
        <w:t>行为和行贿记录；</w:t>
      </w:r>
    </w:p>
    <w:p>
      <w:pPr>
        <w:spacing w:line="360" w:lineRule="auto"/>
        <w:ind w:firstLine="480"/>
        <w:rPr>
          <w:rFonts w:hint="eastAsia" w:ascii="宋体" w:hAnsi="宋体" w:eastAsia="宋体" w:cs="宋体"/>
          <w:color w:val="auto"/>
          <w:sz w:val="24"/>
        </w:rPr>
      </w:pPr>
      <w:r>
        <w:rPr>
          <w:rFonts w:hint="eastAsia" w:ascii="宋体" w:hAnsi="宋体" w:eastAsia="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rPr>
        <w:t>法律、行政法规规定的其他条件</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widowControl/>
        <w:spacing w:line="360" w:lineRule="auto"/>
        <w:ind w:left="150"/>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、本项目的特定资格要求</w:t>
      </w:r>
      <w:r>
        <w:rPr>
          <w:rFonts w:hint="eastAsia" w:ascii="宋体" w:hAnsi="宋体" w:eastAsia="宋体" w:cs="宋体"/>
          <w:b/>
          <w:kern w:val="0"/>
          <w:sz w:val="32"/>
          <w:szCs w:val="32"/>
          <w:lang w:eastAsia="zh-CN"/>
        </w:rPr>
        <w:t>（若有）</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rPr>
      </w:pPr>
    </w:p>
    <w:p>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24"/>
        </w:rPr>
      </w:pPr>
      <w:r>
        <w:rPr>
          <w:rFonts w:hint="eastAsia" w:ascii="宋体" w:hAnsi="宋体" w:eastAsia="宋体" w:cs="宋体"/>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lang w:eastAsia="zh-CN"/>
        </w:rPr>
        <w:t>营业执照扫描件</w:t>
      </w:r>
      <w:r>
        <w:rPr>
          <w:rFonts w:hint="eastAsia" w:ascii="宋体" w:hAnsi="宋体" w:eastAsia="宋体" w:cs="宋体"/>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）供应商廉洁自律承诺书</w:t>
      </w:r>
      <w:r>
        <w:rPr>
          <w:rFonts w:hint="eastAsia" w:ascii="宋体" w:hAnsi="宋体" w:eastAsia="宋体" w:cs="宋体"/>
          <w:sz w:val="24"/>
          <w:szCs w:val="24"/>
        </w:rPr>
        <w:t>…………………………………………………………（页码）</w:t>
      </w:r>
    </w:p>
    <w:p>
      <w:pPr>
        <w:snapToGrid w:val="0"/>
        <w:spacing w:line="360" w:lineRule="auto"/>
        <w:jc w:val="center"/>
        <w:rPr>
          <w:rFonts w:hint="eastAsia" w:ascii="宋体" w:hAnsi="宋体" w:eastAsia="宋体" w:cs="宋体"/>
          <w:b/>
          <w:kern w:val="0"/>
          <w:sz w:val="32"/>
          <w:szCs w:val="32"/>
          <w:lang w:val="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numPr>
          <w:ilvl w:val="0"/>
          <w:numId w:val="5"/>
        </w:numPr>
        <w:snapToGrid w:val="0"/>
        <w:spacing w:line="360" w:lineRule="auto"/>
        <w:jc w:val="center"/>
        <w:outlineLvl w:val="0"/>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t>营业执照</w:t>
      </w:r>
    </w:p>
    <w:p>
      <w:pPr>
        <w:pStyle w:val="17"/>
        <w:widowControl w:val="0"/>
        <w:numPr>
          <w:ilvl w:val="0"/>
          <w:numId w:val="0"/>
        </w:numPr>
        <w:adjustRightInd w:val="0"/>
        <w:spacing w:line="480" w:lineRule="exact"/>
        <w:jc w:val="both"/>
        <w:rPr>
          <w:rFonts w:hint="eastAsia" w:ascii="宋体" w:hAnsi="宋体" w:eastAsia="宋体" w:cs="宋体"/>
          <w:lang w:eastAsia="zh-CN"/>
        </w:rPr>
      </w:pPr>
    </w:p>
    <w:p>
      <w:pPr>
        <w:pStyle w:val="17"/>
        <w:widowControl w:val="0"/>
        <w:numPr>
          <w:ilvl w:val="0"/>
          <w:numId w:val="0"/>
        </w:numPr>
        <w:adjustRightInd w:val="0"/>
        <w:spacing w:line="480" w:lineRule="exact"/>
        <w:jc w:val="both"/>
        <w:rPr>
          <w:rFonts w:hint="eastAsia" w:ascii="宋体" w:hAnsi="宋体" w:eastAsia="宋体" w:cs="宋体"/>
          <w:lang w:eastAsia="zh-CN"/>
        </w:rPr>
      </w:pPr>
    </w:p>
    <w:p>
      <w:pPr>
        <w:numPr>
          <w:ilvl w:val="0"/>
          <w:numId w:val="0"/>
        </w:num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w:t>
      </w:r>
      <w:r>
        <w:rPr>
          <w:rFonts w:hint="eastAsia" w:ascii="宋体" w:hAnsi="宋体" w:eastAsia="宋体" w:cs="宋体"/>
          <w:sz w:val="24"/>
          <w:lang w:eastAsia="zh-CN"/>
        </w:rPr>
        <w:t>项目</w:t>
      </w:r>
      <w:r>
        <w:rPr>
          <w:rFonts w:hint="eastAsia" w:ascii="宋体" w:hAnsi="宋体" w:eastAsia="宋体" w:cs="宋体"/>
          <w:sz w:val="24"/>
        </w:rPr>
        <w:t>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w:t>
      </w:r>
      <w:r>
        <w:rPr>
          <w:rFonts w:hint="eastAsia" w:ascii="宋体" w:hAnsi="宋体" w:eastAsia="宋体" w:cs="宋体"/>
          <w:color w:val="auto"/>
          <w:sz w:val="24"/>
          <w:lang w:eastAsia="zh-CN"/>
        </w:rPr>
        <w:t>证明</w:t>
      </w:r>
      <w:r>
        <w:rPr>
          <w:rFonts w:hint="eastAsia" w:ascii="宋体" w:hAnsi="宋体" w:eastAsia="宋体" w:cs="宋体"/>
          <w:color w:val="auto"/>
          <w:sz w:val="24"/>
        </w:rPr>
        <w:t>文件：</w:t>
      </w:r>
    </w:p>
    <w:p>
      <w:pPr>
        <w:snapToGrid w:val="0"/>
        <w:spacing w:line="360" w:lineRule="auto"/>
        <w:ind w:left="420" w:leftChars="20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2.1.1</w:t>
      </w:r>
      <w:r>
        <w:rPr>
          <w:rFonts w:hint="eastAsia" w:ascii="宋体" w:hAnsi="宋体" w:eastAsia="宋体" w:cs="宋体"/>
          <w:color w:val="auto"/>
          <w:sz w:val="24"/>
          <w:lang w:eastAsia="zh-CN"/>
        </w:rPr>
        <w:t>营业执照；</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2.1.2</w:t>
      </w:r>
      <w:r>
        <w:rPr>
          <w:rFonts w:hint="eastAsia" w:ascii="宋体" w:hAnsi="宋体" w:eastAsia="宋体" w:cs="宋体"/>
          <w:color w:val="auto"/>
          <w:sz w:val="24"/>
        </w:rPr>
        <w:t>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若</w:t>
      </w:r>
      <w:r>
        <w:rPr>
          <w:rFonts w:hint="eastAsia" w:ascii="宋体" w:hAnsi="宋体" w:eastAsia="宋体" w:cs="宋体"/>
          <w:color w:val="auto"/>
          <w:sz w:val="24"/>
        </w:rPr>
        <w:t>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w:t>
      </w:r>
      <w:r>
        <w:rPr>
          <w:rFonts w:hint="eastAsia" w:ascii="宋体" w:hAnsi="宋体" w:eastAsia="宋体" w:cs="宋体"/>
          <w:color w:val="auto"/>
          <w:sz w:val="24"/>
          <w:lang w:eastAsia="zh-CN"/>
        </w:rPr>
        <w:t>营业执照；</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2.2.2</w:t>
      </w:r>
      <w:r>
        <w:rPr>
          <w:rFonts w:hint="eastAsia" w:ascii="宋体" w:hAnsi="宋体" w:eastAsia="宋体" w:cs="宋体"/>
          <w:color w:val="auto"/>
          <w:sz w:val="24"/>
        </w:rPr>
        <w:t>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sz w:val="24"/>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日</w:t>
      </w:r>
      <w:r>
        <w:rPr>
          <w:rFonts w:hint="eastAsia" w:ascii="宋体" w:hAnsi="宋体" w:eastAsia="宋体" w:cs="宋体"/>
          <w:sz w:val="24"/>
          <w:lang w:val="en-US" w:eastAsia="zh-CN"/>
        </w:rPr>
        <w:t xml:space="preserve">  </w:t>
      </w:r>
      <w:r>
        <w:rPr>
          <w:rFonts w:hint="eastAsia" w:ascii="宋体" w:hAnsi="宋体" w:eastAsia="宋体" w:cs="宋体"/>
          <w:sz w:val="24"/>
        </w:rPr>
        <w:t>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三、授权委托书或法定代表人（单位负责人、自然人本人）身份证明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w:t>
      </w:r>
      <w:r>
        <w:rPr>
          <w:rFonts w:hint="eastAsia" w:ascii="宋体" w:hAnsi="宋体" w:eastAsia="宋体" w:cs="宋体"/>
          <w:sz w:val="24"/>
          <w:lang w:eastAsia="zh-CN"/>
        </w:rPr>
        <w:t>项目</w:t>
      </w:r>
      <w:r>
        <w:rPr>
          <w:rFonts w:hint="eastAsia" w:ascii="宋体" w:hAnsi="宋体" w:eastAsia="宋体" w:cs="宋体"/>
          <w:sz w:val="24"/>
        </w:rPr>
        <w:t>编号：】</w:t>
      </w:r>
      <w:r>
        <w:rPr>
          <w:rFonts w:hint="eastAsia" w:ascii="宋体" w:hAnsi="宋体" w:eastAsia="宋体" w:cs="宋体"/>
          <w:kern w:val="0"/>
          <w:sz w:val="24"/>
          <w:lang w:val="zh-CN"/>
        </w:rPr>
        <w:t>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w:t>
      </w:r>
    </w:p>
    <w:p>
      <w:pPr>
        <w:snapToGrid w:val="0"/>
        <w:spacing w:line="360" w:lineRule="auto"/>
        <w:rPr>
          <w:rFonts w:hint="eastAsia" w:ascii="宋体" w:hAnsi="宋体" w:eastAsia="宋体" w:cs="宋体"/>
          <w:sz w:val="24"/>
        </w:rPr>
      </w:pPr>
      <w:r>
        <w:rPr>
          <w:rFonts w:hint="eastAsia" w:ascii="宋体" w:hAnsi="宋体" w:eastAsia="宋体" w:cs="宋体"/>
          <w:kern w:val="0"/>
          <w:sz w:val="24"/>
          <w:lang w:val="zh-CN"/>
        </w:rPr>
        <w:t xml:space="preserve">                                                 签发日期：  年  月   日</w:t>
      </w:r>
    </w:p>
    <w:p>
      <w:pPr>
        <w:autoSpaceDE w:val="0"/>
        <w:autoSpaceDN w:val="0"/>
        <w:spacing w:line="360" w:lineRule="auto"/>
        <w:jc w:val="both"/>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26"/>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pPr>
              <w:pStyle w:val="26"/>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26"/>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 xml:space="preserve">)：                              </w:t>
      </w:r>
    </w:p>
    <w:p>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日期：  年  月  日</w:t>
      </w:r>
    </w:p>
    <w:p>
      <w:pPr>
        <w:snapToGrid w:val="0"/>
        <w:spacing w:line="360" w:lineRule="auto"/>
        <w:rPr>
          <w:rFonts w:hint="eastAsia" w:ascii="宋体" w:hAnsi="宋体" w:eastAsia="宋体" w:cs="宋体"/>
          <w:b/>
          <w:kern w:val="0"/>
          <w:sz w:val="32"/>
          <w:szCs w:val="32"/>
          <w:lang w:eastAsia="zh-CN"/>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864"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864"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需要使用</w:t>
            </w:r>
            <w:r>
              <w:rPr>
                <w:rFonts w:hint="eastAsia" w:ascii="宋体" w:hAnsi="宋体" w:eastAsia="宋体" w:cs="宋体"/>
                <w:kern w:val="0"/>
                <w:sz w:val="24"/>
                <w:lang w:val="zh-CN"/>
              </w:rPr>
              <w:t>电子签</w:t>
            </w:r>
            <w:r>
              <w:rPr>
                <w:rFonts w:hint="eastAsia" w:ascii="宋体" w:hAnsi="宋体" w:eastAsia="宋体" w:cs="宋体"/>
                <w:kern w:val="0"/>
                <w:sz w:val="24"/>
                <w:lang w:val="en-US" w:eastAsia="zh-CN"/>
              </w:rPr>
              <w:t>章</w:t>
            </w:r>
            <w:r>
              <w:rPr>
                <w:rFonts w:hint="eastAsia" w:ascii="宋体" w:hAnsi="宋体" w:eastAsia="宋体" w:cs="宋体"/>
                <w:color w:val="auto"/>
                <w:sz w:val="24"/>
              </w:rPr>
              <w:t>或者签字盖章的投标文件的组成部分</w:t>
            </w:r>
          </w:p>
        </w:tc>
        <w:tc>
          <w:tcPr>
            <w:tcW w:w="1418" w:type="dxa"/>
            <w:vAlign w:val="center"/>
          </w:tcPr>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见投标文件</w:t>
            </w:r>
          </w:p>
          <w:p>
            <w:pPr>
              <w:jc w:val="cente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864"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864"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系指实质性要求条款，招标文件无其它实质性要求的，无需提供）</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jc w:val="center"/>
        <w:rPr>
          <w:rFonts w:hint="eastAsia" w:ascii="宋体" w:hAnsi="宋体" w:eastAsia="宋体" w:cs="宋体"/>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r>
        <w:rPr>
          <w:rFonts w:hint="eastAsia" w:ascii="宋体" w:hAnsi="宋体" w:eastAsia="宋体" w:cs="宋体"/>
          <w:b/>
          <w:sz w:val="24"/>
          <w:lang w:eastAsia="zh-CN"/>
        </w:rPr>
        <w:t>，表格格式根据评分标准自行调整</w:t>
      </w:r>
      <w:r>
        <w:rPr>
          <w:rFonts w:hint="eastAsia" w:ascii="宋体" w:hAnsi="宋体" w:eastAsia="宋体" w:cs="宋体"/>
          <w:b/>
          <w:sz w:val="24"/>
        </w:rPr>
        <w:t>）</w:t>
      </w:r>
    </w:p>
    <w:tbl>
      <w:tblPr>
        <w:tblStyle w:val="18"/>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39"/>
        <w:gridCol w:w="5346"/>
        <w:gridCol w:w="83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序号</w:t>
            </w:r>
          </w:p>
        </w:tc>
        <w:tc>
          <w:tcPr>
            <w:tcW w:w="787"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评标内容</w:t>
            </w:r>
          </w:p>
        </w:tc>
        <w:tc>
          <w:tcPr>
            <w:tcW w:w="2923"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评标标准</w:t>
            </w:r>
          </w:p>
        </w:tc>
        <w:tc>
          <w:tcPr>
            <w:tcW w:w="455"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分值</w:t>
            </w:r>
          </w:p>
        </w:tc>
        <w:tc>
          <w:tcPr>
            <w:tcW w:w="438" w:type="pct"/>
            <w:vAlign w:val="center"/>
          </w:tcPr>
          <w:p>
            <w:pPr>
              <w:spacing w:line="240" w:lineRule="auto"/>
              <w:jc w:val="center"/>
              <w:outlineLvl w:val="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7" w:type="pct"/>
            <w:vAlign w:val="center"/>
          </w:tcPr>
          <w:p>
            <w:pPr>
              <w:spacing w:line="360" w:lineRule="auto"/>
              <w:jc w:val="center"/>
              <w:outlineLvl w:val="0"/>
              <w:rPr>
                <w:rFonts w:hint="eastAsia" w:ascii="宋体" w:hAnsi="宋体" w:eastAsia="宋体" w:cs="宋体"/>
                <w:color w:val="auto"/>
                <w:sz w:val="21"/>
                <w:szCs w:val="21"/>
                <w:lang w:eastAsia="zh-CN"/>
              </w:rPr>
            </w:pPr>
          </w:p>
        </w:tc>
        <w:tc>
          <w:tcPr>
            <w:tcW w:w="2923" w:type="pct"/>
            <w:vAlign w:val="center"/>
          </w:tcPr>
          <w:p>
            <w:pPr>
              <w:ind w:firstLine="0" w:firstLineChars="0"/>
              <w:rPr>
                <w:rFonts w:hint="eastAsia" w:ascii="宋体" w:hAnsi="宋体" w:eastAsia="宋体" w:cs="宋体"/>
                <w:color w:val="auto"/>
                <w:sz w:val="21"/>
                <w:szCs w:val="21"/>
              </w:rPr>
            </w:pPr>
          </w:p>
        </w:tc>
        <w:tc>
          <w:tcPr>
            <w:tcW w:w="455" w:type="pct"/>
            <w:vAlign w:val="center"/>
          </w:tcPr>
          <w:p>
            <w:pPr>
              <w:ind w:firstLine="0" w:firstLineChars="0"/>
              <w:jc w:val="center"/>
              <w:rPr>
                <w:rFonts w:hint="eastAsia" w:ascii="宋体" w:hAnsi="宋体" w:eastAsia="宋体" w:cs="宋体"/>
                <w:color w:val="auto"/>
                <w:kern w:val="2"/>
                <w:sz w:val="21"/>
                <w:szCs w:val="21"/>
                <w:lang w:val="en-US" w:eastAsia="zh-CN" w:bidi="ar-SA"/>
              </w:rPr>
            </w:pPr>
          </w:p>
        </w:tc>
        <w:tc>
          <w:tcPr>
            <w:tcW w:w="438" w:type="pct"/>
            <w:vAlign w:val="center"/>
          </w:tcPr>
          <w:p>
            <w:pPr>
              <w:spacing w:line="360" w:lineRule="auto"/>
              <w:jc w:val="center"/>
              <w:outlineLvl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87" w:type="pct"/>
            <w:vAlign w:val="center"/>
          </w:tcPr>
          <w:p>
            <w:pPr>
              <w:spacing w:line="360" w:lineRule="auto"/>
              <w:jc w:val="center"/>
              <w:outlineLvl w:val="0"/>
              <w:rPr>
                <w:rFonts w:hint="eastAsia" w:ascii="宋体" w:hAnsi="宋体" w:eastAsia="宋体" w:cs="宋体"/>
                <w:color w:val="auto"/>
                <w:sz w:val="21"/>
                <w:szCs w:val="21"/>
              </w:rPr>
            </w:pPr>
          </w:p>
        </w:tc>
        <w:tc>
          <w:tcPr>
            <w:tcW w:w="2923" w:type="pct"/>
            <w:vAlign w:val="center"/>
          </w:tcPr>
          <w:p>
            <w:pPr>
              <w:pStyle w:val="4"/>
              <w:spacing w:line="240" w:lineRule="auto"/>
              <w:ind w:left="0" w:leftChars="0" w:firstLine="0" w:firstLineChars="0"/>
              <w:rPr>
                <w:rFonts w:hint="eastAsia" w:ascii="宋体" w:hAnsi="宋体" w:eastAsia="宋体" w:cs="宋体"/>
                <w:color w:val="auto"/>
                <w:sz w:val="21"/>
                <w:szCs w:val="21"/>
              </w:rPr>
            </w:pPr>
          </w:p>
        </w:tc>
        <w:tc>
          <w:tcPr>
            <w:tcW w:w="455" w:type="pct"/>
            <w:vAlign w:val="center"/>
          </w:tcPr>
          <w:p>
            <w:pPr>
              <w:ind w:firstLine="0" w:firstLineChars="0"/>
              <w:jc w:val="center"/>
              <w:rPr>
                <w:rFonts w:hint="eastAsia" w:ascii="宋体" w:hAnsi="宋体" w:eastAsia="宋体" w:cs="宋体"/>
                <w:color w:val="auto"/>
                <w:kern w:val="2"/>
                <w:sz w:val="21"/>
                <w:szCs w:val="21"/>
                <w:lang w:val="en-US" w:eastAsia="zh-CN" w:bidi="ar-SA"/>
              </w:rPr>
            </w:pPr>
          </w:p>
        </w:tc>
        <w:tc>
          <w:tcPr>
            <w:tcW w:w="438" w:type="pct"/>
            <w:vAlign w:val="center"/>
          </w:tcPr>
          <w:p>
            <w:pPr>
              <w:spacing w:line="360" w:lineRule="auto"/>
              <w:jc w:val="center"/>
              <w:outlineLvl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787" w:type="pct"/>
            <w:vAlign w:val="center"/>
          </w:tcPr>
          <w:p>
            <w:pPr>
              <w:spacing w:line="360" w:lineRule="auto"/>
              <w:jc w:val="center"/>
              <w:outlineLvl w:val="0"/>
              <w:rPr>
                <w:rFonts w:hint="eastAsia" w:ascii="宋体" w:hAnsi="宋体" w:eastAsia="宋体" w:cs="宋体"/>
                <w:color w:val="auto"/>
                <w:sz w:val="21"/>
                <w:szCs w:val="21"/>
                <w:lang w:eastAsia="zh-CN"/>
              </w:rPr>
            </w:pPr>
          </w:p>
        </w:tc>
        <w:tc>
          <w:tcPr>
            <w:tcW w:w="2923"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iCs/>
                <w:color w:val="auto"/>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pPr>
              <w:spacing w:line="360" w:lineRule="auto"/>
              <w:outlineLvl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38" w:type="pct"/>
          </w:tcPr>
          <w:p>
            <w:pPr>
              <w:spacing w:line="360" w:lineRule="auto"/>
              <w:outlineLvl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95" w:type="pct"/>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87" w:type="pct"/>
            <w:vAlign w:val="center"/>
          </w:tcPr>
          <w:p>
            <w:pPr>
              <w:spacing w:line="240" w:lineRule="auto"/>
              <w:jc w:val="center"/>
              <w:rPr>
                <w:rFonts w:hint="eastAsia" w:ascii="宋体" w:hAnsi="宋体" w:eastAsia="宋体" w:cs="宋体"/>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lang w:val="en-US" w:eastAsia="zh-CN" w:bidi="ar-SA"/>
              </w:rPr>
            </w:pPr>
          </w:p>
        </w:tc>
        <w:tc>
          <w:tcPr>
            <w:tcW w:w="438" w:type="pct"/>
          </w:tcPr>
          <w:p>
            <w:pPr>
              <w:spacing w:line="240" w:lineRule="auto"/>
              <w:jc w:val="center"/>
              <w:rPr>
                <w:rFonts w:hint="eastAsia" w:ascii="宋体" w:hAnsi="宋体" w:eastAsia="宋体" w:cs="宋体"/>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7</w:t>
            </w:r>
          </w:p>
        </w:tc>
        <w:tc>
          <w:tcPr>
            <w:tcW w:w="787" w:type="pct"/>
            <w:vAlign w:val="center"/>
          </w:tcPr>
          <w:p>
            <w:pPr>
              <w:spacing w:line="240" w:lineRule="auto"/>
              <w:jc w:val="center"/>
              <w:rPr>
                <w:rFonts w:hint="eastAsia" w:ascii="宋体" w:hAnsi="宋体" w:eastAsia="宋体" w:cs="宋体"/>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lang w:val="en-US" w:eastAsia="zh-CN" w:bidi="ar-SA"/>
              </w:rPr>
            </w:pPr>
          </w:p>
        </w:tc>
        <w:tc>
          <w:tcPr>
            <w:tcW w:w="438" w:type="pct"/>
          </w:tcPr>
          <w:p>
            <w:pPr>
              <w:spacing w:line="240" w:lineRule="auto"/>
              <w:jc w:val="center"/>
              <w:rPr>
                <w:rFonts w:hint="eastAsia" w:ascii="宋体" w:hAnsi="宋体" w:eastAsia="宋体" w:cs="宋体"/>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8</w:t>
            </w:r>
          </w:p>
        </w:tc>
        <w:tc>
          <w:tcPr>
            <w:tcW w:w="787" w:type="pct"/>
            <w:vAlign w:val="center"/>
          </w:tcPr>
          <w:p>
            <w:pPr>
              <w:spacing w:line="240" w:lineRule="auto"/>
              <w:jc w:val="center"/>
              <w:rPr>
                <w:rFonts w:hint="eastAsia" w:ascii="宋体" w:hAnsi="宋体" w:eastAsia="宋体" w:cs="宋体"/>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lang w:val="en-US" w:eastAsia="zh-CN" w:bidi="ar-SA"/>
              </w:rPr>
            </w:pPr>
          </w:p>
        </w:tc>
        <w:tc>
          <w:tcPr>
            <w:tcW w:w="438" w:type="pct"/>
          </w:tcPr>
          <w:p>
            <w:pPr>
              <w:spacing w:line="240" w:lineRule="auto"/>
              <w:jc w:val="center"/>
              <w:rPr>
                <w:rFonts w:hint="eastAsia" w:ascii="宋体" w:hAnsi="宋体" w:eastAsia="宋体" w:cs="宋体"/>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87" w:type="pct"/>
            <w:vAlign w:val="center"/>
          </w:tcPr>
          <w:p>
            <w:pPr>
              <w:spacing w:line="360" w:lineRule="auto"/>
              <w:jc w:val="center"/>
              <w:rPr>
                <w:rFonts w:hint="eastAsia" w:ascii="宋体" w:hAnsi="宋体" w:eastAsia="宋体" w:cs="宋体"/>
                <w:color w:val="auto"/>
                <w:sz w:val="21"/>
                <w:szCs w:val="21"/>
              </w:rPr>
            </w:pPr>
          </w:p>
        </w:tc>
        <w:tc>
          <w:tcPr>
            <w:tcW w:w="2923" w:type="pct"/>
            <w:vAlign w:val="center"/>
          </w:tcPr>
          <w:p>
            <w:pPr>
              <w:spacing w:line="240" w:lineRule="auto"/>
              <w:rPr>
                <w:rFonts w:hint="eastAsia" w:ascii="宋体" w:hAnsi="宋体" w:eastAsia="宋体" w:cs="宋体"/>
                <w:color w:val="auto"/>
                <w:sz w:val="21"/>
                <w:szCs w:val="21"/>
              </w:rPr>
            </w:pPr>
          </w:p>
        </w:tc>
        <w:tc>
          <w:tcPr>
            <w:tcW w:w="455" w:type="pct"/>
            <w:vAlign w:val="center"/>
          </w:tcPr>
          <w:p>
            <w:pPr>
              <w:spacing w:line="360" w:lineRule="auto"/>
              <w:jc w:val="center"/>
              <w:rPr>
                <w:rFonts w:hint="eastAsia" w:ascii="宋体" w:hAnsi="宋体" w:eastAsia="宋体" w:cs="宋体"/>
                <w:color w:val="auto"/>
                <w:kern w:val="2"/>
                <w:sz w:val="21"/>
                <w:szCs w:val="21"/>
                <w:lang w:val="en-US" w:eastAsia="zh-CN" w:bidi="ar-SA"/>
              </w:rPr>
            </w:pPr>
          </w:p>
        </w:tc>
        <w:tc>
          <w:tcPr>
            <w:tcW w:w="438" w:type="pct"/>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95" w:type="pct"/>
            <w:vAlign w:val="center"/>
          </w:tcPr>
          <w:p>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87" w:type="pct"/>
            <w:vAlign w:val="center"/>
          </w:tcPr>
          <w:p>
            <w:pPr>
              <w:spacing w:line="360" w:lineRule="auto"/>
              <w:jc w:val="center"/>
              <w:rPr>
                <w:rFonts w:hint="eastAsia" w:ascii="宋体" w:hAnsi="宋体" w:eastAsia="宋体" w:cs="宋体"/>
                <w:color w:val="auto"/>
                <w:sz w:val="21"/>
                <w:szCs w:val="21"/>
              </w:rPr>
            </w:pPr>
          </w:p>
        </w:tc>
        <w:tc>
          <w:tcPr>
            <w:tcW w:w="2923" w:type="pct"/>
            <w:vAlign w:val="center"/>
          </w:tcPr>
          <w:p>
            <w:pPr>
              <w:spacing w:line="240" w:lineRule="auto"/>
              <w:rPr>
                <w:rFonts w:hint="eastAsia" w:ascii="宋体" w:hAnsi="宋体" w:eastAsia="宋体" w:cs="宋体"/>
                <w:color w:val="auto"/>
                <w:sz w:val="21"/>
                <w:szCs w:val="21"/>
              </w:rPr>
            </w:pPr>
          </w:p>
        </w:tc>
        <w:tc>
          <w:tcPr>
            <w:tcW w:w="455" w:type="pct"/>
            <w:vAlign w:val="center"/>
          </w:tcPr>
          <w:p>
            <w:pPr>
              <w:spacing w:line="360" w:lineRule="auto"/>
              <w:jc w:val="center"/>
              <w:rPr>
                <w:rFonts w:hint="eastAsia" w:ascii="宋体" w:hAnsi="宋体" w:eastAsia="宋体" w:cs="宋体"/>
                <w:color w:val="auto"/>
                <w:kern w:val="2"/>
                <w:sz w:val="21"/>
                <w:szCs w:val="21"/>
                <w:lang w:val="en-US" w:eastAsia="zh-CN" w:bidi="ar-SA"/>
              </w:rPr>
            </w:pPr>
          </w:p>
        </w:tc>
        <w:tc>
          <w:tcPr>
            <w:tcW w:w="438" w:type="pct"/>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pPr>
              <w:rPr>
                <w:rFonts w:hint="eastAsia" w:ascii="宋体" w:hAnsi="宋体" w:eastAsia="宋体" w:cs="宋体"/>
                <w:color w:val="auto"/>
                <w:sz w:val="21"/>
                <w:szCs w:val="21"/>
                <w:lang w:val="en-US"/>
              </w:rPr>
            </w:pPr>
            <w:r>
              <w:rPr>
                <w:rFonts w:hint="eastAsia" w:ascii="宋体" w:hAnsi="宋体" w:eastAsia="宋体" w:cs="宋体"/>
                <w:bCs/>
                <w:color w:val="auto"/>
                <w:sz w:val="24"/>
                <w:szCs w:val="24"/>
                <w:lang w:val="en-US" w:eastAsia="zh-CN"/>
              </w:rPr>
              <w:t>注：价格部分内容无需在此表中体现。</w:t>
            </w:r>
          </w:p>
        </w:tc>
      </w:tr>
    </w:tbl>
    <w:p>
      <w:pPr>
        <w:jc w:val="center"/>
        <w:rPr>
          <w:rFonts w:hint="eastAsia" w:ascii="宋体" w:hAnsi="宋体" w:eastAsia="宋体" w:cs="宋体"/>
          <w:b/>
          <w:kern w:val="0"/>
          <w:sz w:val="32"/>
          <w:szCs w:val="32"/>
          <w:lang w:eastAsia="zh-CN"/>
        </w:rPr>
      </w:pPr>
    </w:p>
    <w:p>
      <w:pPr>
        <w:jc w:val="center"/>
        <w:rPr>
          <w:rFonts w:hint="eastAsia" w:ascii="宋体" w:hAnsi="宋体" w:eastAsia="宋体" w:cs="宋体"/>
          <w:b/>
          <w:kern w:val="0"/>
          <w:sz w:val="32"/>
          <w:szCs w:val="32"/>
          <w:lang w:eastAsia="zh-CN"/>
        </w:rPr>
      </w:pPr>
    </w:p>
    <w:p>
      <w:pPr>
        <w:jc w:val="center"/>
        <w:rPr>
          <w:rFonts w:hint="eastAsia" w:ascii="宋体" w:hAnsi="宋体" w:eastAsia="宋体" w:cs="宋体"/>
          <w:b/>
          <w:kern w:val="0"/>
          <w:sz w:val="32"/>
          <w:szCs w:val="32"/>
          <w:lang w:eastAsia="zh-CN"/>
        </w:rPr>
      </w:pPr>
    </w:p>
    <w:p>
      <w:pPr>
        <w:jc w:val="center"/>
        <w:rPr>
          <w:rFonts w:hint="eastAsia" w:ascii="宋体" w:hAnsi="宋体" w:eastAsia="宋体" w:cs="宋体"/>
          <w:b/>
          <w:kern w:val="0"/>
          <w:sz w:val="32"/>
          <w:szCs w:val="32"/>
          <w:lang w:eastAsia="zh-CN"/>
        </w:rPr>
      </w:pPr>
    </w:p>
    <w:p>
      <w:pPr>
        <w:jc w:val="both"/>
        <w:rPr>
          <w:rFonts w:hint="eastAsia" w:ascii="宋体" w:hAnsi="宋体" w:eastAsia="宋体" w:cs="宋体"/>
          <w:b/>
          <w:kern w:val="0"/>
          <w:sz w:val="32"/>
          <w:szCs w:val="32"/>
          <w:lang w:eastAsia="zh-CN"/>
        </w:rPr>
      </w:pPr>
    </w:p>
    <w:p>
      <w:pPr>
        <w:jc w:val="center"/>
        <w:rPr>
          <w:rFonts w:hint="eastAsia" w:ascii="宋体" w:hAnsi="宋体" w:eastAsia="宋体" w:cs="宋体"/>
          <w:b/>
          <w:kern w:val="0"/>
          <w:sz w:val="32"/>
          <w:szCs w:val="32"/>
          <w:lang w:eastAsia="zh-CN"/>
        </w:rPr>
      </w:pPr>
    </w:p>
    <w:p>
      <w:pPr>
        <w:numPr>
          <w:ilvl w:val="0"/>
          <w:numId w:val="6"/>
        </w:numPr>
        <w:jc w:val="center"/>
        <w:rPr>
          <w:rFonts w:hint="eastAsia" w:ascii="宋体" w:hAnsi="宋体" w:eastAsia="宋体" w:cs="宋体"/>
          <w:b/>
          <w:kern w:val="0"/>
          <w:sz w:val="32"/>
          <w:szCs w:val="32"/>
        </w:rPr>
      </w:pPr>
      <w:r>
        <w:rPr>
          <w:rFonts w:hint="eastAsia" w:ascii="宋体" w:hAnsi="宋体" w:eastAsia="宋体" w:cs="宋体"/>
          <w:b/>
          <w:kern w:val="0"/>
          <w:sz w:val="32"/>
          <w:szCs w:val="32"/>
        </w:rPr>
        <w:t>商务技术偏离表</w:t>
      </w:r>
    </w:p>
    <w:p>
      <w:pPr>
        <w:numPr>
          <w:ilvl w:val="0"/>
          <w:numId w:val="0"/>
        </w:numPr>
        <w:jc w:val="both"/>
        <w:rPr>
          <w:rFonts w:hint="eastAsia" w:ascii="宋体" w:hAnsi="宋体" w:eastAsia="宋体" w:cs="宋体"/>
          <w:b/>
          <w:kern w:val="0"/>
          <w:sz w:val="32"/>
          <w:szCs w:val="32"/>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vAlign w:val="center"/>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vAlign w:val="center"/>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center"/>
          </w:tcPr>
          <w:p>
            <w:pPr>
              <w:jc w:val="center"/>
              <w:rPr>
                <w:rFonts w:hint="eastAsia" w:ascii="宋体" w:hAnsi="宋体" w:eastAsia="宋体" w:cs="宋体"/>
                <w:b/>
                <w:kern w:val="0"/>
                <w:sz w:val="32"/>
                <w:szCs w:val="32"/>
              </w:rPr>
            </w:pPr>
          </w:p>
        </w:tc>
        <w:tc>
          <w:tcPr>
            <w:tcW w:w="3546" w:type="dxa"/>
            <w:vAlign w:val="center"/>
          </w:tcPr>
          <w:p>
            <w:pPr>
              <w:jc w:val="center"/>
              <w:rPr>
                <w:rFonts w:hint="eastAsia" w:ascii="宋体" w:hAnsi="宋体" w:eastAsia="宋体" w:cs="宋体"/>
                <w:b/>
                <w:kern w:val="0"/>
                <w:sz w:val="32"/>
                <w:szCs w:val="32"/>
              </w:rPr>
            </w:pPr>
          </w:p>
        </w:tc>
        <w:tc>
          <w:tcPr>
            <w:tcW w:w="1276" w:type="dxa"/>
            <w:vAlign w:val="center"/>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center"/>
          </w:tcPr>
          <w:p>
            <w:pPr>
              <w:jc w:val="center"/>
              <w:rPr>
                <w:rFonts w:hint="eastAsia" w:ascii="宋体" w:hAnsi="宋体" w:eastAsia="宋体" w:cs="宋体"/>
                <w:b/>
                <w:kern w:val="0"/>
                <w:sz w:val="32"/>
                <w:szCs w:val="32"/>
              </w:rPr>
            </w:pPr>
          </w:p>
        </w:tc>
        <w:tc>
          <w:tcPr>
            <w:tcW w:w="3546" w:type="dxa"/>
            <w:vAlign w:val="center"/>
          </w:tcPr>
          <w:p>
            <w:pPr>
              <w:jc w:val="center"/>
              <w:rPr>
                <w:rFonts w:hint="eastAsia" w:ascii="宋体" w:hAnsi="宋体" w:eastAsia="宋体" w:cs="宋体"/>
                <w:b/>
                <w:kern w:val="0"/>
                <w:sz w:val="32"/>
                <w:szCs w:val="32"/>
              </w:rPr>
            </w:pPr>
          </w:p>
        </w:tc>
        <w:tc>
          <w:tcPr>
            <w:tcW w:w="1276" w:type="dxa"/>
            <w:vAlign w:val="center"/>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center"/>
          </w:tcPr>
          <w:p>
            <w:pPr>
              <w:jc w:val="center"/>
              <w:rPr>
                <w:rFonts w:hint="eastAsia" w:ascii="宋体" w:hAnsi="宋体" w:eastAsia="宋体" w:cs="宋体"/>
                <w:b/>
                <w:kern w:val="0"/>
                <w:sz w:val="32"/>
                <w:szCs w:val="32"/>
              </w:rPr>
            </w:pPr>
          </w:p>
        </w:tc>
        <w:tc>
          <w:tcPr>
            <w:tcW w:w="3546" w:type="dxa"/>
            <w:vAlign w:val="center"/>
          </w:tcPr>
          <w:p>
            <w:pPr>
              <w:jc w:val="center"/>
              <w:rPr>
                <w:rFonts w:hint="eastAsia" w:ascii="宋体" w:hAnsi="宋体" w:eastAsia="宋体" w:cs="宋体"/>
                <w:b/>
                <w:kern w:val="0"/>
                <w:sz w:val="32"/>
                <w:szCs w:val="32"/>
              </w:rPr>
            </w:pPr>
          </w:p>
        </w:tc>
        <w:tc>
          <w:tcPr>
            <w:tcW w:w="1276" w:type="dxa"/>
            <w:vAlign w:val="center"/>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rPr>
          <w:rFonts w:hint="eastAsia" w:ascii="宋体" w:hAnsi="宋体" w:eastAsia="宋体" w:cs="宋体"/>
          <w:kern w:val="0"/>
          <w:sz w:val="24"/>
          <w:lang w:val="zh-CN"/>
        </w:rPr>
      </w:pPr>
      <w:r>
        <w:rPr>
          <w:rFonts w:hint="eastAsia" w:ascii="宋体" w:hAnsi="宋体" w:eastAsia="宋体" w:cs="宋体"/>
          <w:kern w:val="0"/>
          <w:sz w:val="24"/>
          <w:lang w:val="zh-CN"/>
        </w:rPr>
        <w:br w:type="page"/>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pStyle w:val="11"/>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28"/>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5" w:type="default"/>
          <w:pgSz w:w="11906" w:h="16838"/>
          <w:pgMar w:top="1440" w:right="1486" w:bottom="1440" w:left="1380" w:header="851" w:footer="992" w:gutter="0"/>
          <w:pgNumType w:fmt="decimal"/>
          <w:cols w:space="425" w:num="1"/>
          <w:docGrid w:type="lines" w:linePitch="312" w:charSpace="0"/>
        </w:sectPr>
      </w:pPr>
    </w:p>
    <w:p>
      <w:pPr>
        <w:pStyle w:val="28"/>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kern w:val="0"/>
          <w:sz w:val="24"/>
          <w:lang w:val="zh-CN"/>
        </w:rPr>
        <w:t>【项目编号：</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54"/>
        <w:gridCol w:w="2400"/>
        <w:gridCol w:w="975"/>
        <w:gridCol w:w="2738"/>
        <w:gridCol w:w="1365"/>
        <w:gridCol w:w="1718"/>
        <w:gridCol w:w="1522"/>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8E9E3" w:themeFill="accent5" w:themeFillTint="66"/>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154" w:type="dxa"/>
            <w:shd w:val="clear" w:color="auto" w:fill="A8E9E3" w:themeFill="accent5" w:themeFillTint="66"/>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rPr>
              <w:t>名称</w:t>
            </w:r>
          </w:p>
        </w:tc>
        <w:tc>
          <w:tcPr>
            <w:tcW w:w="2400" w:type="dxa"/>
            <w:shd w:val="clear" w:color="auto" w:fill="A8E9E3" w:themeFill="accent5" w:themeFillTint="66"/>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规格型号（或具体服务）</w:t>
            </w:r>
          </w:p>
        </w:tc>
        <w:tc>
          <w:tcPr>
            <w:tcW w:w="975" w:type="dxa"/>
            <w:shd w:val="clear" w:color="auto" w:fill="A8E9E3" w:themeFill="accent5" w:themeFillTint="66"/>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品牌</w:t>
            </w:r>
          </w:p>
        </w:tc>
        <w:tc>
          <w:tcPr>
            <w:tcW w:w="2738" w:type="dxa"/>
            <w:shd w:val="clear" w:color="auto" w:fill="A8E9E3" w:themeFill="accent5" w:themeFillTint="66"/>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eastAsia="zh-CN"/>
              </w:rPr>
              <w:t>单位</w:t>
            </w:r>
          </w:p>
        </w:tc>
        <w:tc>
          <w:tcPr>
            <w:tcW w:w="1365" w:type="dxa"/>
            <w:shd w:val="clear" w:color="auto" w:fill="A8E9E3" w:themeFill="accent5" w:themeFillTint="66"/>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数量</w:t>
            </w:r>
          </w:p>
        </w:tc>
        <w:tc>
          <w:tcPr>
            <w:tcW w:w="1718" w:type="dxa"/>
            <w:shd w:val="clear" w:color="auto" w:fill="A8E9E3" w:themeFill="accent5" w:themeFillTint="66"/>
            <w:vAlign w:val="center"/>
          </w:tcPr>
          <w:p>
            <w:pPr>
              <w:spacing w:line="360" w:lineRule="auto"/>
              <w:jc w:val="center"/>
              <w:rPr>
                <w:rFonts w:hint="eastAsia" w:ascii="宋体" w:hAnsi="宋体" w:eastAsia="宋体" w:cs="宋体"/>
                <w:b/>
                <w:bCs/>
                <w:sz w:val="24"/>
                <w:lang w:val="en-US" w:eastAsia="zh-CN"/>
              </w:rPr>
            </w:pPr>
            <w:r>
              <w:rPr>
                <w:rFonts w:hint="eastAsia" w:ascii="宋体" w:hAnsi="宋体" w:eastAsia="宋体" w:cs="宋体"/>
                <w:b/>
                <w:bCs/>
                <w:color w:val="000000"/>
                <w:sz w:val="24"/>
                <w:lang w:val="en-US" w:eastAsia="zh-CN"/>
              </w:rPr>
              <w:t>综合</w:t>
            </w:r>
            <w:r>
              <w:rPr>
                <w:rFonts w:hint="eastAsia" w:ascii="宋体" w:hAnsi="宋体" w:eastAsia="宋体" w:cs="宋体"/>
                <w:b/>
                <w:bCs/>
                <w:color w:val="000000"/>
                <w:sz w:val="24"/>
              </w:rPr>
              <w:t>单价</w:t>
            </w:r>
          </w:p>
        </w:tc>
        <w:tc>
          <w:tcPr>
            <w:tcW w:w="1522" w:type="dxa"/>
            <w:shd w:val="clear" w:color="auto" w:fill="A8E9E3" w:themeFill="accent5" w:themeFillTint="66"/>
            <w:vAlign w:val="center"/>
          </w:tcPr>
          <w:p>
            <w:pPr>
              <w:spacing w:line="360" w:lineRule="auto"/>
              <w:jc w:val="center"/>
              <w:rPr>
                <w:rFonts w:hint="eastAsia" w:ascii="宋体" w:hAnsi="宋体" w:eastAsia="宋体" w:cs="宋体"/>
                <w:b/>
                <w:bCs/>
                <w:sz w:val="24"/>
                <w:lang w:val="en-US" w:eastAsia="zh-CN"/>
              </w:rPr>
            </w:pPr>
            <w:r>
              <w:rPr>
                <w:rFonts w:hint="eastAsia" w:ascii="宋体" w:hAnsi="宋体" w:eastAsia="宋体" w:cs="宋体"/>
                <w:b/>
                <w:bCs/>
                <w:color w:val="000000"/>
                <w:sz w:val="24"/>
              </w:rPr>
              <w:t>总价（元）</w:t>
            </w:r>
          </w:p>
        </w:tc>
        <w:tc>
          <w:tcPr>
            <w:tcW w:w="1789" w:type="dxa"/>
            <w:shd w:val="clear" w:color="auto" w:fill="A8E9E3" w:themeFill="accent5" w:themeFillTint="66"/>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备注（产地等）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1</w:t>
            </w:r>
          </w:p>
        </w:tc>
        <w:tc>
          <w:tcPr>
            <w:tcW w:w="1154" w:type="dxa"/>
            <w:vAlign w:val="center"/>
          </w:tcPr>
          <w:p>
            <w:pPr>
              <w:spacing w:line="360" w:lineRule="auto"/>
              <w:jc w:val="center"/>
              <w:rPr>
                <w:rFonts w:hint="eastAsia" w:ascii="宋体" w:hAnsi="宋体" w:eastAsia="宋体" w:cs="宋体"/>
                <w:b/>
                <w:color w:val="auto"/>
                <w:sz w:val="24"/>
              </w:rPr>
            </w:pPr>
          </w:p>
        </w:tc>
        <w:tc>
          <w:tcPr>
            <w:tcW w:w="2400"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975"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2738"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365"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718" w:type="dxa"/>
            <w:vAlign w:val="center"/>
          </w:tcPr>
          <w:p>
            <w:pPr>
              <w:spacing w:line="360" w:lineRule="auto"/>
              <w:jc w:val="center"/>
              <w:rPr>
                <w:rFonts w:hint="eastAsia" w:ascii="宋体" w:hAnsi="宋体" w:eastAsia="宋体" w:cs="宋体"/>
                <w:b/>
                <w:color w:val="auto"/>
                <w:sz w:val="24"/>
              </w:rPr>
            </w:pPr>
          </w:p>
        </w:tc>
        <w:tc>
          <w:tcPr>
            <w:tcW w:w="1522" w:type="dxa"/>
            <w:vAlign w:val="center"/>
          </w:tcPr>
          <w:p>
            <w:pPr>
              <w:spacing w:line="360" w:lineRule="auto"/>
              <w:jc w:val="center"/>
              <w:rPr>
                <w:rFonts w:hint="eastAsia" w:ascii="宋体" w:hAnsi="宋体" w:eastAsia="宋体" w:cs="宋体"/>
                <w:b/>
                <w:color w:val="auto"/>
                <w:sz w:val="24"/>
              </w:rPr>
            </w:pPr>
          </w:p>
        </w:tc>
        <w:tc>
          <w:tcPr>
            <w:tcW w:w="1789" w:type="dxa"/>
            <w:vAlign w:val="center"/>
          </w:tcPr>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w:t>
            </w:r>
          </w:p>
        </w:tc>
        <w:tc>
          <w:tcPr>
            <w:tcW w:w="1154" w:type="dxa"/>
            <w:vAlign w:val="center"/>
          </w:tcPr>
          <w:p>
            <w:pPr>
              <w:spacing w:line="360" w:lineRule="auto"/>
              <w:jc w:val="center"/>
              <w:rPr>
                <w:rFonts w:hint="eastAsia" w:ascii="宋体" w:hAnsi="宋体" w:eastAsia="宋体" w:cs="宋体"/>
                <w:b/>
                <w:color w:val="auto"/>
                <w:sz w:val="24"/>
              </w:rPr>
            </w:pPr>
          </w:p>
        </w:tc>
        <w:tc>
          <w:tcPr>
            <w:tcW w:w="2400"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975"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2738"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365"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718" w:type="dxa"/>
            <w:vAlign w:val="center"/>
          </w:tcPr>
          <w:p>
            <w:pPr>
              <w:spacing w:line="360" w:lineRule="auto"/>
              <w:jc w:val="center"/>
              <w:rPr>
                <w:rFonts w:hint="eastAsia" w:ascii="宋体" w:hAnsi="宋体" w:eastAsia="宋体" w:cs="宋体"/>
                <w:b/>
                <w:color w:val="auto"/>
                <w:sz w:val="24"/>
              </w:rPr>
            </w:pPr>
          </w:p>
        </w:tc>
        <w:tc>
          <w:tcPr>
            <w:tcW w:w="1522" w:type="dxa"/>
            <w:vAlign w:val="center"/>
          </w:tcPr>
          <w:p>
            <w:pPr>
              <w:spacing w:line="360" w:lineRule="auto"/>
              <w:jc w:val="center"/>
              <w:rPr>
                <w:rFonts w:hint="eastAsia" w:ascii="宋体" w:hAnsi="宋体" w:eastAsia="宋体" w:cs="宋体"/>
                <w:b/>
                <w:color w:val="auto"/>
                <w:sz w:val="24"/>
              </w:rPr>
            </w:pPr>
          </w:p>
        </w:tc>
        <w:tc>
          <w:tcPr>
            <w:tcW w:w="1789" w:type="dxa"/>
            <w:vAlign w:val="center"/>
          </w:tcPr>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w:t>
            </w:r>
          </w:p>
        </w:tc>
        <w:tc>
          <w:tcPr>
            <w:tcW w:w="1154" w:type="dxa"/>
            <w:vAlign w:val="center"/>
          </w:tcPr>
          <w:p>
            <w:pPr>
              <w:spacing w:line="360" w:lineRule="auto"/>
              <w:jc w:val="center"/>
              <w:rPr>
                <w:rFonts w:hint="eastAsia" w:ascii="宋体" w:hAnsi="宋体" w:eastAsia="宋体" w:cs="宋体"/>
                <w:b/>
                <w:color w:val="auto"/>
                <w:sz w:val="24"/>
              </w:rPr>
            </w:pPr>
          </w:p>
        </w:tc>
        <w:tc>
          <w:tcPr>
            <w:tcW w:w="2400"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975"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2738"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365"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718" w:type="dxa"/>
            <w:vAlign w:val="center"/>
          </w:tcPr>
          <w:p>
            <w:pPr>
              <w:spacing w:line="360" w:lineRule="auto"/>
              <w:jc w:val="center"/>
              <w:rPr>
                <w:rFonts w:hint="eastAsia" w:ascii="宋体" w:hAnsi="宋体" w:eastAsia="宋体" w:cs="宋体"/>
                <w:b/>
                <w:color w:val="auto"/>
                <w:sz w:val="24"/>
              </w:rPr>
            </w:pPr>
          </w:p>
        </w:tc>
        <w:tc>
          <w:tcPr>
            <w:tcW w:w="1522" w:type="dxa"/>
            <w:vAlign w:val="center"/>
          </w:tcPr>
          <w:p>
            <w:pPr>
              <w:spacing w:line="360" w:lineRule="auto"/>
              <w:jc w:val="center"/>
              <w:rPr>
                <w:rFonts w:hint="eastAsia" w:ascii="宋体" w:hAnsi="宋体" w:eastAsia="宋体" w:cs="宋体"/>
                <w:b/>
                <w:color w:val="auto"/>
                <w:sz w:val="24"/>
              </w:rPr>
            </w:pPr>
          </w:p>
        </w:tc>
        <w:tc>
          <w:tcPr>
            <w:tcW w:w="1789" w:type="dxa"/>
            <w:vAlign w:val="center"/>
          </w:tcPr>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宋体" w:hAnsi="宋体" w:eastAsia="宋体" w:cs="宋体"/>
                <w:b/>
                <w:color w:val="auto"/>
                <w:sz w:val="24"/>
              </w:rPr>
            </w:pPr>
          </w:p>
        </w:tc>
        <w:tc>
          <w:tcPr>
            <w:tcW w:w="1154" w:type="dxa"/>
            <w:vAlign w:val="center"/>
          </w:tcPr>
          <w:p>
            <w:pPr>
              <w:spacing w:line="360" w:lineRule="auto"/>
              <w:jc w:val="center"/>
              <w:rPr>
                <w:rFonts w:hint="eastAsia" w:ascii="宋体" w:hAnsi="宋体" w:eastAsia="宋体" w:cs="宋体"/>
                <w:b/>
                <w:color w:val="auto"/>
                <w:sz w:val="24"/>
              </w:rPr>
            </w:pPr>
          </w:p>
        </w:tc>
        <w:tc>
          <w:tcPr>
            <w:tcW w:w="2400"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975" w:type="dxa"/>
            <w:vAlign w:val="center"/>
          </w:tcPr>
          <w:p>
            <w:pPr>
              <w:spacing w:line="360" w:lineRule="auto"/>
              <w:jc w:val="both"/>
              <w:rPr>
                <w:rFonts w:hint="eastAsia" w:ascii="宋体" w:hAnsi="宋体" w:eastAsia="宋体" w:cs="宋体"/>
                <w:b/>
                <w:color w:val="auto"/>
                <w:kern w:val="2"/>
                <w:sz w:val="24"/>
                <w:szCs w:val="24"/>
                <w:lang w:val="en-US" w:eastAsia="zh-CN" w:bidi="ar-SA"/>
              </w:rPr>
            </w:pPr>
          </w:p>
        </w:tc>
        <w:tc>
          <w:tcPr>
            <w:tcW w:w="2738"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365" w:type="dxa"/>
            <w:vAlign w:val="center"/>
          </w:tcPr>
          <w:p>
            <w:pPr>
              <w:spacing w:line="360" w:lineRule="auto"/>
              <w:jc w:val="center"/>
              <w:rPr>
                <w:rFonts w:hint="eastAsia" w:ascii="宋体" w:hAnsi="宋体" w:eastAsia="宋体" w:cs="宋体"/>
                <w:b/>
                <w:color w:val="auto"/>
                <w:kern w:val="2"/>
                <w:sz w:val="24"/>
                <w:szCs w:val="24"/>
                <w:lang w:val="en-US" w:eastAsia="zh-CN" w:bidi="ar-SA"/>
              </w:rPr>
            </w:pPr>
          </w:p>
        </w:tc>
        <w:tc>
          <w:tcPr>
            <w:tcW w:w="1718" w:type="dxa"/>
            <w:vAlign w:val="center"/>
          </w:tcPr>
          <w:p>
            <w:pPr>
              <w:spacing w:line="360" w:lineRule="auto"/>
              <w:jc w:val="center"/>
              <w:rPr>
                <w:rFonts w:hint="eastAsia" w:ascii="宋体" w:hAnsi="宋体" w:eastAsia="宋体" w:cs="宋体"/>
                <w:b/>
                <w:color w:val="auto"/>
                <w:sz w:val="24"/>
              </w:rPr>
            </w:pPr>
          </w:p>
        </w:tc>
        <w:tc>
          <w:tcPr>
            <w:tcW w:w="1522" w:type="dxa"/>
            <w:vAlign w:val="center"/>
          </w:tcPr>
          <w:p>
            <w:pPr>
              <w:spacing w:line="360" w:lineRule="auto"/>
              <w:jc w:val="center"/>
              <w:rPr>
                <w:rFonts w:hint="eastAsia" w:ascii="宋体" w:hAnsi="宋体" w:eastAsia="宋体" w:cs="宋体"/>
                <w:b/>
                <w:color w:val="auto"/>
                <w:sz w:val="24"/>
              </w:rPr>
            </w:pPr>
          </w:p>
        </w:tc>
        <w:tc>
          <w:tcPr>
            <w:tcW w:w="1789" w:type="dxa"/>
            <w:vAlign w:val="center"/>
          </w:tcPr>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35"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color w:val="auto"/>
                <w:sz w:val="24"/>
                <w:lang w:eastAsia="zh-CN"/>
              </w:rPr>
              <w:t>投标报价</w:t>
            </w:r>
            <w:r>
              <w:rPr>
                <w:rFonts w:hint="eastAsia" w:ascii="宋体" w:hAnsi="宋体" w:eastAsia="宋体" w:cs="宋体"/>
                <w:b/>
                <w:color w:val="auto"/>
                <w:sz w:val="24"/>
              </w:rPr>
              <w:t>（</w:t>
            </w:r>
            <w:r>
              <w:rPr>
                <w:rFonts w:hint="eastAsia" w:ascii="宋体" w:hAnsi="宋体" w:eastAsia="宋体" w:cs="宋体"/>
                <w:b/>
                <w:color w:val="auto"/>
                <w:sz w:val="24"/>
                <w:lang w:val="en-US" w:eastAsia="zh-CN"/>
              </w:rPr>
              <w:t>元</w:t>
            </w:r>
            <w:r>
              <w:rPr>
                <w:rFonts w:hint="eastAsia" w:ascii="宋体" w:hAnsi="宋体" w:eastAsia="宋体" w:cs="宋体"/>
                <w:b/>
                <w:color w:val="auto"/>
                <w:sz w:val="24"/>
              </w:rPr>
              <w:t>）</w:t>
            </w:r>
          </w:p>
        </w:tc>
        <w:tc>
          <w:tcPr>
            <w:tcW w:w="9132" w:type="dxa"/>
            <w:gridSpan w:val="5"/>
            <w:vAlign w:val="center"/>
          </w:tcPr>
          <w:p>
            <w:pPr>
              <w:spacing w:line="360" w:lineRule="auto"/>
              <w:jc w:val="both"/>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35" w:type="dxa"/>
            <w:gridSpan w:val="4"/>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c>
          <w:tcPr>
            <w:tcW w:w="9132" w:type="dxa"/>
            <w:gridSpan w:val="5"/>
            <w:vAlign w:val="center"/>
          </w:tcPr>
          <w:p>
            <w:pPr>
              <w:spacing w:line="360" w:lineRule="auto"/>
              <w:jc w:val="center"/>
              <w:rPr>
                <w:rFonts w:hint="eastAsia" w:ascii="宋体" w:hAnsi="宋体" w:eastAsia="宋体" w:cs="宋体"/>
                <w:sz w:val="24"/>
                <w:lang w:eastAsia="zh-CN"/>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投标</w:t>
      </w:r>
      <w:r>
        <w:rPr>
          <w:rFonts w:hint="eastAsia" w:ascii="宋体" w:hAnsi="宋体" w:eastAsia="宋体" w:cs="宋体"/>
          <w:color w:val="auto"/>
          <w:kern w:val="0"/>
          <w:sz w:val="24"/>
          <w:lang w:val="zh-CN"/>
        </w:rPr>
        <w:t>人需按本表格式</w:t>
      </w:r>
      <w:r>
        <w:rPr>
          <w:rFonts w:hint="eastAsia" w:ascii="宋体" w:hAnsi="宋体" w:eastAsia="宋体" w:cs="宋体"/>
          <w:color w:val="auto"/>
          <w:kern w:val="0"/>
          <w:sz w:val="24"/>
          <w:lang w:val="en-US" w:eastAsia="zh-CN"/>
        </w:rPr>
        <w:t>结合采购需求内容</w:t>
      </w:r>
      <w:r>
        <w:rPr>
          <w:rFonts w:hint="eastAsia" w:ascii="宋体" w:hAnsi="宋体" w:eastAsia="宋体" w:cs="宋体"/>
          <w:color w:val="auto"/>
          <w:kern w:val="0"/>
          <w:sz w:val="24"/>
          <w:lang w:val="zh-CN"/>
        </w:rPr>
        <w:t>填</w:t>
      </w:r>
      <w:r>
        <w:rPr>
          <w:rFonts w:hint="eastAsia" w:ascii="宋体" w:hAnsi="宋体" w:eastAsia="宋体" w:cs="宋体"/>
          <w:kern w:val="0"/>
          <w:sz w:val="24"/>
          <w:lang w:val="zh-CN"/>
        </w:rPr>
        <w:t>写，不得自行更改，</w:t>
      </w:r>
      <w:r>
        <w:rPr>
          <w:rFonts w:hint="eastAsia" w:ascii="宋体" w:hAnsi="宋体" w:eastAsia="宋体" w:cs="宋体"/>
          <w:sz w:val="24"/>
        </w:rPr>
        <w:t>如无对应内容，则填写：“无或/”</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kern w:val="0"/>
          <w:sz w:val="24"/>
          <w:lang w:val="zh-CN"/>
        </w:rPr>
        <w:t>2</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color w:val="FF0000"/>
          <w:kern w:val="0"/>
          <w:sz w:val="24"/>
          <w:lang w:val="zh-CN"/>
        </w:rPr>
        <w:t>不得出现“0元”“免费赠送”等形式的无偿报价</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lang w:val="zh-CN"/>
        </w:rPr>
        <w:t>4</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特别提示：采购机构将对项目名称和项目编号，中标供应商名称、地址和中标金额，主要中标标的的名称、规格型号、数量、单价、服务要求等予以公示。</w:t>
      </w:r>
    </w:p>
    <w:p>
      <w:pPr>
        <w:pStyle w:val="28"/>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autoSpaceDE w:val="0"/>
        <w:autoSpaceDN w:val="0"/>
        <w:spacing w:line="360" w:lineRule="auto"/>
        <w:ind w:left="2" w:leftChars="1" w:right="1120" w:firstLine="7200" w:firstLineChars="30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 xml:space="preserve">）：                                                                                                                                                                                                               </w:t>
      </w:r>
    </w:p>
    <w:p>
      <w:pPr>
        <w:spacing w:line="360" w:lineRule="auto"/>
        <w:ind w:left="4620" w:leftChars="2200" w:firstLine="2640" w:firstLineChars="1100"/>
        <w:rPr>
          <w:rFonts w:hint="eastAsia" w:ascii="宋体" w:hAnsi="宋体" w:eastAsia="宋体" w:cs="宋体"/>
          <w:sz w:val="24"/>
        </w:rPr>
      </w:pPr>
      <w:r>
        <w:rPr>
          <w:rFonts w:hint="eastAsia" w:ascii="宋体" w:hAnsi="宋体" w:eastAsia="宋体" w:cs="宋体"/>
          <w:kern w:val="0"/>
          <w:sz w:val="24"/>
          <w:lang w:val="zh-CN"/>
        </w:rPr>
        <w:t>日</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pStyle w:val="11"/>
        <w:rPr>
          <w:rFonts w:hint="eastAsia" w:ascii="宋体" w:hAnsi="宋体" w:eastAsia="宋体" w:cs="宋体"/>
          <w:lang w:val="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spacing w:line="360" w:lineRule="auto"/>
        <w:jc w:val="left"/>
        <w:rPr>
          <w:rFonts w:hint="eastAsia" w:ascii="宋体" w:hAnsi="宋体" w:eastAsia="宋体" w:cs="宋体"/>
          <w:b/>
          <w:spacing w:val="6"/>
          <w:sz w:val="32"/>
          <w:szCs w:val="32"/>
        </w:rPr>
        <w:sectPr>
          <w:pgSz w:w="16838" w:h="11906" w:orient="landscape"/>
          <w:pgMar w:top="1378" w:right="1440" w:bottom="1485" w:left="1440" w:header="851" w:footer="992" w:gutter="0"/>
          <w:pgNumType w:fmt="decimal"/>
          <w:cols w:space="0" w:num="1"/>
          <w:rtlGutter w:val="0"/>
          <w:docGrid w:type="lines" w:linePitch="322" w:charSpace="0"/>
        </w:sectPr>
      </w:pPr>
    </w:p>
    <w:p>
      <w:pPr>
        <w:pStyle w:val="14"/>
        <w:snapToGrid w:val="0"/>
        <w:spacing w:after="120"/>
        <w:ind w:firstLine="643"/>
        <w:jc w:val="center"/>
        <w:rPr>
          <w:rFonts w:hint="eastAsia" w:hAnsi="宋体" w:cs="宋体"/>
          <w:b/>
          <w:color w:val="auto"/>
          <w:sz w:val="32"/>
          <w:szCs w:val="32"/>
          <w:highlight w:val="none"/>
        </w:rPr>
      </w:pPr>
      <w:r>
        <w:rPr>
          <w:rFonts w:hint="eastAsia" w:hAnsi="宋体" w:cs="宋体"/>
          <w:b/>
          <w:color w:val="auto"/>
          <w:sz w:val="32"/>
          <w:szCs w:val="32"/>
          <w:highlight w:val="none"/>
          <w:lang w:val="en-US" w:eastAsia="zh-CN"/>
        </w:rPr>
        <w:t>二、</w:t>
      </w:r>
      <w:r>
        <w:rPr>
          <w:rFonts w:hint="eastAsia" w:hAnsi="宋体" w:cs="宋体"/>
          <w:b/>
          <w:color w:val="auto"/>
          <w:sz w:val="32"/>
          <w:szCs w:val="32"/>
          <w:highlight w:val="none"/>
        </w:rPr>
        <w:t>报 价 明 细 表</w:t>
      </w:r>
    </w:p>
    <w:p>
      <w:pPr>
        <w:spacing w:line="440" w:lineRule="exact"/>
        <w:rPr>
          <w:rFonts w:hint="eastAsia" w:ascii="宋体" w:hAnsi="宋体" w:cs="宋体"/>
          <w:color w:val="auto"/>
          <w:sz w:val="24"/>
          <w:highlight w:val="none"/>
        </w:rPr>
      </w:pPr>
      <w:r>
        <w:rPr>
          <w:rFonts w:hint="eastAsia" w:ascii="宋体" w:hAnsi="宋体" w:cs="宋体"/>
          <w:color w:val="auto"/>
          <w:highlight w:val="none"/>
        </w:rPr>
        <w:t xml:space="preserve">                                                                        单位：元</w:t>
      </w:r>
    </w:p>
    <w:tbl>
      <w:tblPr>
        <w:tblStyle w:val="18"/>
        <w:tblW w:w="944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84"/>
        <w:gridCol w:w="1431"/>
        <w:gridCol w:w="1035"/>
        <w:gridCol w:w="797"/>
        <w:gridCol w:w="975"/>
        <w:gridCol w:w="990"/>
        <w:gridCol w:w="1230"/>
        <w:gridCol w:w="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pacing w:val="20"/>
                <w:sz w:val="24"/>
                <w:szCs w:val="24"/>
                <w:highlight w:val="none"/>
              </w:rPr>
            </w:pPr>
            <w:r>
              <w:rPr>
                <w:rFonts w:hint="eastAsia" w:ascii="宋体" w:hAnsi="宋体" w:eastAsia="宋体" w:cs="宋体"/>
                <w:i w:val="0"/>
                <w:iCs w:val="0"/>
                <w:color w:val="auto"/>
                <w:kern w:val="0"/>
                <w:sz w:val="24"/>
                <w:szCs w:val="24"/>
                <w:u w:val="none"/>
                <w:lang w:val="en-US" w:eastAsia="zh-CN" w:bidi="ar"/>
              </w:rPr>
              <w:t>序号</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项目内容</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项目特征/规格型号</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单位</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数量</w:t>
            </w:r>
          </w:p>
        </w:tc>
        <w:tc>
          <w:tcPr>
            <w:tcW w:w="9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z w:val="24"/>
                <w:szCs w:val="24"/>
                <w:highlight w:val="none"/>
              </w:rPr>
              <w:t>单价</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rPr>
              <w:t>合</w:t>
            </w:r>
            <w:r>
              <w:rPr>
                <w:rFonts w:hint="eastAsia" w:ascii="宋体" w:hAnsi="宋体" w:cs="宋体"/>
                <w:color w:val="auto"/>
                <w:spacing w:val="20"/>
                <w:sz w:val="24"/>
                <w:szCs w:val="24"/>
                <w:highlight w:val="none"/>
                <w:lang w:val="en-US" w:eastAsia="zh-CN"/>
              </w:rPr>
              <w:t>价</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20" w:lineRule="exact"/>
              <w:jc w:val="center"/>
              <w:textAlignment w:val="auto"/>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品牌</w:t>
            </w:r>
          </w:p>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20" w:lineRule="exact"/>
              <w:jc w:val="center"/>
              <w:textAlignment w:val="auto"/>
              <w:rPr>
                <w:rFonts w:hint="default"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（如有）</w:t>
            </w:r>
          </w:p>
        </w:tc>
        <w:tc>
          <w:tcPr>
            <w:tcW w:w="8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default"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2</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3</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4</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5</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6</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7</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8</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9</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10</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11</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12</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1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13</w:t>
            </w: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100" w:type="dxa"/>
            <w:gridSpan w:val="2"/>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r>
              <w:rPr>
                <w:rFonts w:hint="eastAsia" w:ascii="宋体" w:hAnsi="宋体" w:cs="宋体"/>
                <w:color w:val="auto"/>
                <w:sz w:val="24"/>
                <w:szCs w:val="24"/>
                <w:highlight w:val="none"/>
              </w:rPr>
              <w:t>投标报价</w:t>
            </w:r>
          </w:p>
        </w:tc>
        <w:tc>
          <w:tcPr>
            <w:tcW w:w="645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小写：</w:t>
            </w: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rPr>
                <w:rFonts w:hint="eastAsia"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100" w:type="dxa"/>
            <w:gridSpan w:val="2"/>
            <w:vMerge w:val="continue"/>
            <w:tcBorders>
              <w:left w:val="single" w:color="auto" w:sz="4" w:space="0"/>
              <w:bottom w:val="single" w:color="auto" w:sz="4" w:space="0"/>
              <w:right w:val="single" w:color="auto" w:sz="4" w:space="0"/>
            </w:tcBorders>
          </w:tcPr>
          <w:p>
            <w:pPr>
              <w:tabs>
                <w:tab w:val="left" w:pos="1418"/>
              </w:tabs>
              <w:snapToGrid w:val="0"/>
              <w:spacing w:before="50" w:after="50" w:line="460" w:lineRule="exact"/>
              <w:jc w:val="center"/>
              <w:rPr>
                <w:rFonts w:hint="eastAsia" w:ascii="宋体" w:hAnsi="宋体" w:cs="宋体"/>
                <w:color w:val="auto"/>
                <w:spacing w:val="20"/>
                <w:sz w:val="24"/>
                <w:szCs w:val="24"/>
                <w:highlight w:val="none"/>
              </w:rPr>
            </w:pPr>
          </w:p>
        </w:tc>
        <w:tc>
          <w:tcPr>
            <w:tcW w:w="645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大写：</w:t>
            </w:r>
          </w:p>
        </w:tc>
        <w:tc>
          <w:tcPr>
            <w:tcW w:w="88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rPr>
                <w:rFonts w:hint="eastAsia" w:ascii="宋体" w:hAnsi="宋体" w:cs="宋体"/>
                <w:color w:val="auto"/>
                <w:spacing w:val="20"/>
                <w:sz w:val="24"/>
                <w:szCs w:val="24"/>
                <w:highlight w:val="none"/>
              </w:rPr>
            </w:pPr>
          </w:p>
        </w:tc>
      </w:tr>
    </w:tbl>
    <w:p>
      <w:pPr>
        <w:pStyle w:val="10"/>
        <w:snapToGrid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注:投标人所填写的单价在合同实施期间不因市场变化因素而变动；投标人在计算报价时应考虑一定的风险系数。</w:t>
      </w:r>
      <w:r>
        <w:rPr>
          <w:rFonts w:hint="eastAsia" w:ascii="宋体" w:hAnsi="宋体" w:eastAsia="宋体" w:cs="宋体"/>
          <w:color w:val="auto"/>
          <w:spacing w:val="20"/>
          <w:sz w:val="24"/>
          <w:highlight w:val="none"/>
        </w:rPr>
        <w:t xml:space="preserve"> </w:t>
      </w:r>
    </w:p>
    <w:p>
      <w:pPr>
        <w:autoSpaceDE w:val="0"/>
        <w:autoSpaceDN w:val="0"/>
        <w:spacing w:line="360" w:lineRule="auto"/>
        <w:ind w:right="1120"/>
        <w:jc w:val="left"/>
        <w:rPr>
          <w:rFonts w:hint="eastAsia" w:ascii="宋体" w:hAnsi="宋体" w:eastAsia="宋体" w:cs="宋体"/>
          <w:kern w:val="0"/>
          <w:sz w:val="24"/>
          <w:lang w:val="zh-CN"/>
        </w:rPr>
      </w:pPr>
    </w:p>
    <w:p>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w:t>
      </w:r>
      <w:r>
        <w:rPr>
          <w:rFonts w:hint="eastAsia" w:ascii="宋体" w:hAnsi="宋体" w:eastAsia="宋体" w:cs="宋体"/>
          <w:kern w:val="0"/>
          <w:sz w:val="24"/>
          <w:lang w:val="en-US" w:eastAsia="zh-CN"/>
        </w:rPr>
        <w:t>章</w:t>
      </w:r>
      <w:r>
        <w:rPr>
          <w:rFonts w:hint="eastAsia" w:ascii="宋体" w:hAnsi="宋体" w:eastAsia="宋体" w:cs="宋体"/>
          <w:kern w:val="0"/>
          <w:sz w:val="24"/>
          <w:lang w:val="zh-CN"/>
        </w:rPr>
        <w:t xml:space="preserve">）：                                                                                                                                                                                                               </w:t>
      </w:r>
    </w:p>
    <w:p>
      <w:pPr>
        <w:spacing w:line="360" w:lineRule="auto"/>
        <w:rPr>
          <w:rFonts w:hint="eastAsia" w:ascii="宋体" w:hAnsi="宋体" w:eastAsia="宋体" w:cs="宋体"/>
          <w:sz w:val="24"/>
        </w:rPr>
      </w:pPr>
      <w:r>
        <w:rPr>
          <w:rFonts w:hint="eastAsia" w:ascii="宋体" w:hAnsi="宋体" w:eastAsia="宋体" w:cs="宋体"/>
          <w:kern w:val="0"/>
          <w:sz w:val="24"/>
          <w:lang w:val="zh-CN"/>
        </w:rPr>
        <w:t>日</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pStyle w:val="11"/>
        <w:rPr>
          <w:rFonts w:hint="eastAsia" w:ascii="宋体" w:hAnsi="宋体" w:eastAsia="宋体" w:cs="宋体"/>
          <w:lang w:val="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1</w:t>
      </w:r>
      <w:r>
        <w:rPr>
          <w:rFonts w:hint="eastAsia" w:ascii="宋体" w:hAnsi="宋体" w:eastAsia="宋体" w:cs="宋体"/>
          <w:b/>
          <w:spacing w:val="6"/>
          <w:sz w:val="32"/>
          <w:szCs w:val="32"/>
        </w:rPr>
        <w:t>：质疑函范本及制作说明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eastAsia="宋体" w:cs="宋体"/>
          <w:b/>
          <w:sz w:val="24"/>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：投诉书范本及制作说明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pStyle w:val="2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textAlignment w:val="auto"/>
        <w:rPr>
          <w:rStyle w:val="21"/>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宋体" w:hAnsi="宋体" w:eastAsia="宋体" w:cs="宋体"/>
          <w:b w:val="0"/>
          <w:bCs w:val="0"/>
          <w:color w:val="auto"/>
          <w:sz w:val="24"/>
          <w:szCs w:val="24"/>
        </w:rPr>
        <w:fldChar w:fldCharType="separate"/>
      </w:r>
      <w:r>
        <w:rPr>
          <w:rStyle w:val="21"/>
          <w:rFonts w:hint="eastAsia" w:ascii="宋体" w:hAnsi="宋体" w:eastAsia="宋体" w:cs="宋体"/>
          <w:b w:val="0"/>
          <w:bCs w:val="0"/>
          <w:sz w:val="24"/>
          <w:szCs w:val="24"/>
          <w:lang w:eastAsia="zh-CN"/>
        </w:rPr>
        <w:t>各潜在</w:t>
      </w:r>
      <w:r>
        <w:rPr>
          <w:rStyle w:val="21"/>
          <w:rFonts w:hint="eastAsia" w:ascii="宋体" w:hAnsi="宋体" w:eastAsia="宋体" w:cs="宋体"/>
          <w:b w:val="0"/>
          <w:bCs w:val="0"/>
          <w:sz w:val="24"/>
          <w:szCs w:val="24"/>
        </w:rPr>
        <w:t>投标供应商</w:t>
      </w:r>
      <w:r>
        <w:rPr>
          <w:rStyle w:val="21"/>
          <w:rFonts w:hint="eastAsia" w:ascii="宋体" w:hAnsi="宋体" w:eastAsia="宋体" w:cs="宋体"/>
          <w:b w:val="0"/>
          <w:bCs w:val="0"/>
          <w:sz w:val="24"/>
          <w:szCs w:val="24"/>
          <w:lang w:eastAsia="zh-CN"/>
        </w:rPr>
        <w:t>：</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Style w:val="21"/>
          <w:rFonts w:hint="eastAsia" w:ascii="宋体" w:hAnsi="宋体" w:eastAsia="宋体" w:cs="宋体"/>
          <w:b w:val="0"/>
          <w:bCs w:val="0"/>
          <w:sz w:val="24"/>
          <w:szCs w:val="24"/>
        </w:rPr>
        <w:t>在投标文件解密后</w:t>
      </w:r>
      <w:r>
        <w:rPr>
          <w:rStyle w:val="21"/>
          <w:rFonts w:hint="eastAsia" w:ascii="宋体" w:hAnsi="宋体" w:eastAsia="宋体" w:cs="宋体"/>
          <w:b w:val="0"/>
          <w:bCs w:val="0"/>
          <w:sz w:val="24"/>
          <w:szCs w:val="24"/>
          <w:lang w:eastAsia="zh-CN"/>
        </w:rPr>
        <w:t>半小时内</w:t>
      </w:r>
      <w:r>
        <w:rPr>
          <w:rStyle w:val="21"/>
          <w:rFonts w:hint="eastAsia" w:ascii="宋体" w:hAnsi="宋体" w:eastAsia="宋体" w:cs="宋体"/>
          <w:b w:val="0"/>
          <w:bCs w:val="0"/>
          <w:sz w:val="24"/>
          <w:szCs w:val="24"/>
        </w:rPr>
        <w:t>如实</w:t>
      </w:r>
      <w:r>
        <w:rPr>
          <w:rStyle w:val="21"/>
          <w:rFonts w:hint="eastAsia" w:ascii="宋体" w:hAnsi="宋体" w:eastAsia="宋体" w:cs="宋体"/>
          <w:b w:val="0"/>
          <w:bCs w:val="0"/>
          <w:color w:val="auto"/>
          <w:sz w:val="24"/>
          <w:szCs w:val="24"/>
        </w:rPr>
        <w:t>填写</w:t>
      </w:r>
      <w:r>
        <w:rPr>
          <w:rStyle w:val="21"/>
          <w:rFonts w:hint="eastAsia" w:ascii="宋体" w:hAnsi="宋体" w:eastAsia="宋体" w:cs="宋体"/>
          <w:b w:val="0"/>
          <w:bCs w:val="0"/>
          <w:color w:val="auto"/>
          <w:sz w:val="24"/>
          <w:szCs w:val="24"/>
          <w:lang w:eastAsia="zh-CN"/>
        </w:rPr>
        <w:t>政企</w:t>
      </w:r>
      <w:r>
        <w:rPr>
          <w:rStyle w:val="21"/>
          <w:rFonts w:hint="eastAsia" w:ascii="宋体" w:hAnsi="宋体" w:eastAsia="宋体" w:cs="宋体"/>
          <w:b w:val="0"/>
          <w:bCs w:val="0"/>
          <w:color w:val="auto"/>
          <w:sz w:val="24"/>
          <w:szCs w:val="24"/>
        </w:rPr>
        <w:t>采购活动现场确认声明书，并以扫描件形式发送至271184168@qq.com邮箱，如未如实填写，将有可能影响你的投标文件评审（</w:t>
      </w:r>
      <w:r>
        <w:rPr>
          <w:rStyle w:val="21"/>
          <w:rFonts w:hint="eastAsia" w:ascii="宋体" w:hAnsi="宋体" w:eastAsia="宋体" w:cs="宋体"/>
          <w:b w:val="0"/>
          <w:bCs w:val="0"/>
          <w:color w:val="auto"/>
          <w:sz w:val="24"/>
          <w:szCs w:val="24"/>
          <w:lang w:eastAsia="zh-CN"/>
        </w:rPr>
        <w:t>政企</w:t>
      </w:r>
      <w:r>
        <w:rPr>
          <w:rStyle w:val="21"/>
          <w:rFonts w:hint="eastAsia" w:ascii="宋体" w:hAnsi="宋体" w:eastAsia="宋体" w:cs="宋体"/>
          <w:b w:val="0"/>
          <w:bCs w:val="0"/>
          <w:color w:val="auto"/>
          <w:sz w:val="24"/>
          <w:szCs w:val="24"/>
        </w:rPr>
        <w:t>采购活动现场确认声明书格式</w:t>
      </w:r>
      <w:r>
        <w:rPr>
          <w:rStyle w:val="21"/>
          <w:rFonts w:hint="eastAsia" w:ascii="宋体" w:hAnsi="宋体" w:eastAsia="宋体" w:cs="宋体"/>
          <w:b w:val="0"/>
          <w:bCs w:val="0"/>
          <w:color w:val="auto"/>
          <w:sz w:val="24"/>
          <w:szCs w:val="24"/>
          <w:lang w:eastAsia="zh-CN"/>
        </w:rPr>
        <w:t>如下</w:t>
      </w:r>
      <w:r>
        <w:rPr>
          <w:rStyle w:val="21"/>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fldChar w:fldCharType="end"/>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p>
    <w:p>
      <w:pPr>
        <w:pStyle w:val="2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B050"/>
          <w:sz w:val="28"/>
          <w:szCs w:val="28"/>
        </w:rPr>
      </w:pPr>
      <w:r>
        <w:rPr>
          <w:rFonts w:hint="eastAsia" w:hAnsi="宋体" w:cs="宋体"/>
          <w:b/>
          <w:bCs/>
          <w:color w:val="auto"/>
          <w:sz w:val="28"/>
          <w:szCs w:val="28"/>
          <w:lang w:val="en-US" w:eastAsia="zh-CN"/>
        </w:rPr>
        <w:t>国</w:t>
      </w:r>
      <w:r>
        <w:rPr>
          <w:rFonts w:hint="eastAsia" w:ascii="宋体" w:hAnsi="宋体" w:eastAsia="宋体" w:cs="宋体"/>
          <w:b/>
          <w:bCs/>
          <w:color w:val="auto"/>
          <w:sz w:val="28"/>
          <w:szCs w:val="28"/>
          <w:lang w:eastAsia="zh-CN"/>
        </w:rPr>
        <w:t>企</w:t>
      </w:r>
      <w:r>
        <w:rPr>
          <w:rFonts w:hint="eastAsia" w:ascii="宋体" w:hAnsi="宋体" w:eastAsia="宋体" w:cs="宋体"/>
          <w:b/>
          <w:bCs/>
          <w:color w:val="auto"/>
          <w:sz w:val="28"/>
          <w:szCs w:val="28"/>
        </w:rPr>
        <w:t>采购活动现场确认声明书</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lang w:eastAsia="zh-CN"/>
        </w:rPr>
        <w:t>禾泽都林设计集团有限公司</w:t>
      </w:r>
      <w:r>
        <w:rPr>
          <w:rFonts w:hint="eastAsia" w:ascii="宋体" w:hAnsi="宋体" w:eastAsia="宋体" w:cs="宋体"/>
          <w:color w:val="auto"/>
          <w:kern w:val="0"/>
          <w:sz w:val="24"/>
          <w:szCs w:val="24"/>
        </w:rPr>
        <w:t>：</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负责人</w:t>
      </w:r>
      <w:r>
        <w:rPr>
          <w:rFonts w:hint="eastAsia" w:ascii="宋体" w:hAnsi="宋体" w:eastAsia="宋体" w:cs="宋体"/>
          <w:color w:val="auto"/>
          <w:spacing w:val="6"/>
          <w:sz w:val="24"/>
          <w:szCs w:val="24"/>
          <w:u w:val="single"/>
        </w:rPr>
        <w:t xml:space="preserve"> </w:t>
      </w:r>
      <w:r>
        <w:rPr>
          <w:rFonts w:hint="eastAsia" w:ascii="宋体" w:hAnsi="宋体" w:eastAsia="宋体" w:cs="宋体"/>
          <w:i/>
          <w:iCs/>
          <w:color w:val="auto"/>
          <w:spacing w:val="6"/>
          <w:sz w:val="24"/>
          <w:szCs w:val="24"/>
          <w:u w:val="single"/>
        </w:rPr>
        <w:t xml:space="preserve">     </w:t>
      </w:r>
      <w:r>
        <w:rPr>
          <w:rFonts w:hint="eastAsia" w:ascii="宋体" w:hAnsi="宋体" w:eastAsia="宋体" w:cs="宋体"/>
          <w:color w:val="auto"/>
          <w:spacing w:val="6"/>
          <w:sz w:val="24"/>
          <w:szCs w:val="24"/>
          <w:u w:val="single"/>
        </w:rPr>
        <w:t>（姓名）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（项目编号：</w:t>
      </w:r>
      <w:r>
        <w:rPr>
          <w:rFonts w:hint="eastAsia" w:hAnsi="宋体" w:cs="宋体"/>
          <w:color w:val="auto"/>
          <w:spacing w:val="6"/>
          <w:sz w:val="24"/>
          <w:szCs w:val="24"/>
          <w:u w:val="single"/>
          <w:lang w:eastAsia="zh-CN"/>
        </w:rPr>
        <w:t>HZDL-2024-018</w:t>
      </w:r>
      <w:r>
        <w:rPr>
          <w:rFonts w:hint="eastAsia" w:ascii="宋体" w:hAnsi="宋体" w:eastAsia="宋体" w:cs="宋体"/>
          <w:color w:val="auto"/>
          <w:spacing w:val="6"/>
          <w:sz w:val="24"/>
          <w:szCs w:val="24"/>
        </w:rPr>
        <w:t xml:space="preserve">）采购活动，经与本单位法人代表（负责人）联系确认，现就有关公平竞争事项郑重声明如下： </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一、本单位与采购人之间 </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□不存在利害关系;</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二、</w:t>
      </w:r>
      <w:r>
        <w:rPr>
          <w:rFonts w:hint="eastAsia" w:ascii="宋体" w:hAnsi="宋体" w:eastAsia="宋体" w:cs="宋体"/>
          <w:color w:val="auto"/>
          <w:kern w:val="0"/>
          <w:sz w:val="24"/>
          <w:szCs w:val="24"/>
        </w:rPr>
        <w:t xml:space="preserve">现已清楚知道参加本项目采购活动的其他所有供应商名称，本单位 </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□与其他所有供应商之间均不存在利害关系 </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pPr>
        <w:pStyle w:val="2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三、现已清楚知道并</w:t>
      </w:r>
      <w:r>
        <w:rPr>
          <w:rFonts w:hint="eastAsia" w:ascii="宋体" w:hAnsi="宋体" w:eastAsia="宋体" w:cs="宋体"/>
          <w:color w:val="auto"/>
          <w:kern w:val="0"/>
          <w:sz w:val="24"/>
          <w:szCs w:val="24"/>
        </w:rPr>
        <w:t>严格遵守政府采购法律法规和现场纪律。</w:t>
      </w:r>
    </w:p>
    <w:p>
      <w:pPr>
        <w:pStyle w:val="3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pPr>
        <w:pStyle w:val="11"/>
        <w:rPr>
          <w:rFonts w:hint="eastAsia" w:ascii="宋体" w:hAnsi="宋体" w:eastAsia="宋体" w:cs="宋体"/>
          <w:lang w:val="en-US" w:eastAsia="zh-CN"/>
        </w:rPr>
      </w:pPr>
      <w:r>
        <w:rPr>
          <w:rFonts w:hint="eastAsia" w:ascii="宋体" w:hAnsi="宋体" w:eastAsia="宋体" w:cs="宋体"/>
          <w:color w:val="auto"/>
          <w:sz w:val="24"/>
          <w:szCs w:val="24"/>
        </w:rPr>
        <w:t xml:space="preserve"> （供应商代表签名）：                                        </w:t>
      </w:r>
      <w:r>
        <w:rPr>
          <w:rFonts w:hint="eastAsia" w:ascii="宋体" w:hAnsi="宋体" w:eastAsia="宋体" w:cs="宋体"/>
          <w:color w:val="auto"/>
          <w:sz w:val="24"/>
          <w:szCs w:val="24"/>
          <w:lang w:eastAsia="zh-CN"/>
        </w:rPr>
        <w:t>2024年</w:t>
      </w:r>
      <w:r>
        <w:rPr>
          <w:rFonts w:hint="eastAsia" w:ascii="宋体" w:hAnsi="宋体" w:eastAsia="宋体" w:cs="宋体"/>
          <w:color w:val="auto"/>
          <w:sz w:val="24"/>
          <w:szCs w:val="24"/>
        </w:rPr>
        <w:t xml:space="preserve">  月   日</w:t>
      </w:r>
      <w:r>
        <w:rPr>
          <w:rFonts w:hint="eastAsia" w:ascii="宋体" w:hAnsi="宋体" w:eastAsia="宋体" w:cs="宋体"/>
          <w:kern w:val="0"/>
          <w:sz w:val="24"/>
          <w:lang w:val="zh-CN"/>
        </w:rPr>
        <w:t xml:space="preserve">      </w:t>
      </w:r>
    </w:p>
    <w:sectPr>
      <w:pgSz w:w="11906" w:h="16838"/>
      <w:pgMar w:top="1440" w:right="1485" w:bottom="1440" w:left="1378"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2CA41"/>
    <w:multiLevelType w:val="singleLevel"/>
    <w:tmpl w:val="FB62CA41"/>
    <w:lvl w:ilvl="0" w:tentative="0">
      <w:start w:val="3"/>
      <w:numFmt w:val="chineseCounting"/>
      <w:suff w:val="nothing"/>
      <w:lvlText w:val="%1、"/>
      <w:lvlJc w:val="left"/>
      <w:rPr>
        <w:rFonts w:hint="eastAsia"/>
      </w:rPr>
    </w:lvl>
  </w:abstractNum>
  <w:abstractNum w:abstractNumId="1">
    <w:nsid w:val="132C7268"/>
    <w:multiLevelType w:val="singleLevel"/>
    <w:tmpl w:val="132C7268"/>
    <w:lvl w:ilvl="0" w:tentative="0">
      <w:start w:val="3"/>
      <w:numFmt w:val="chineseCounting"/>
      <w:suff w:val="nothing"/>
      <w:lvlText w:val="第%1章，"/>
      <w:lvlJc w:val="left"/>
      <w:rPr>
        <w:rFonts w:hint="eastAsia"/>
      </w:rPr>
    </w:lvl>
  </w:abstractNum>
  <w:abstractNum w:abstractNumId="2">
    <w:nsid w:val="15F6B6A4"/>
    <w:multiLevelType w:val="singleLevel"/>
    <w:tmpl w:val="15F6B6A4"/>
    <w:lvl w:ilvl="0" w:tentative="0">
      <w:start w:val="1"/>
      <w:numFmt w:val="decimal"/>
      <w:suff w:val="nothing"/>
      <w:lvlText w:val="%1、"/>
      <w:lvlJc w:val="left"/>
    </w:lvl>
  </w:abstractNum>
  <w:abstractNum w:abstractNumId="3">
    <w:nsid w:val="282977B6"/>
    <w:multiLevelType w:val="singleLevel"/>
    <w:tmpl w:val="282977B6"/>
    <w:lvl w:ilvl="0" w:tentative="0">
      <w:start w:val="1"/>
      <w:numFmt w:val="chineseCounting"/>
      <w:suff w:val="nothing"/>
      <w:lvlText w:val="%1、"/>
      <w:lvlJc w:val="left"/>
      <w:rPr>
        <w:rFonts w:hint="eastAsia"/>
      </w:rPr>
    </w:lvl>
  </w:abstractNum>
  <w:abstractNum w:abstractNumId="4">
    <w:nsid w:val="6B4A5A2C"/>
    <w:multiLevelType w:val="singleLevel"/>
    <w:tmpl w:val="6B4A5A2C"/>
    <w:lvl w:ilvl="0" w:tentative="0">
      <w:start w:val="6"/>
      <w:numFmt w:val="chineseCounting"/>
      <w:suff w:val="nothing"/>
      <w:lvlText w:val="%1、"/>
      <w:lvlJc w:val="left"/>
      <w:rPr>
        <w:rFonts w:hint="eastAsia"/>
      </w:rPr>
    </w:lvl>
  </w:abstractNum>
  <w:abstractNum w:abstractNumId="5">
    <w:nsid w:val="75341CE4"/>
    <w:multiLevelType w:val="singleLevel"/>
    <w:tmpl w:val="75341CE4"/>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GZlM2I0NzZhZDU4NjkwNTA4YjViNWMxMzBmMmQifQ=="/>
  </w:docVars>
  <w:rsids>
    <w:rsidRoot w:val="29A25036"/>
    <w:rsid w:val="041526FA"/>
    <w:rsid w:val="046D6604"/>
    <w:rsid w:val="050E411D"/>
    <w:rsid w:val="0C9E0034"/>
    <w:rsid w:val="0D591029"/>
    <w:rsid w:val="0DA925F8"/>
    <w:rsid w:val="0E316A36"/>
    <w:rsid w:val="0F917E25"/>
    <w:rsid w:val="0FC338F7"/>
    <w:rsid w:val="0FFB4CC7"/>
    <w:rsid w:val="105B4AEE"/>
    <w:rsid w:val="12A029B2"/>
    <w:rsid w:val="13DD7512"/>
    <w:rsid w:val="144302DE"/>
    <w:rsid w:val="168B7CC4"/>
    <w:rsid w:val="17B246DF"/>
    <w:rsid w:val="188462A4"/>
    <w:rsid w:val="1A1E1C28"/>
    <w:rsid w:val="1BA875D4"/>
    <w:rsid w:val="1E0353CB"/>
    <w:rsid w:val="1FF94B77"/>
    <w:rsid w:val="20A30FB8"/>
    <w:rsid w:val="20FE313C"/>
    <w:rsid w:val="21585766"/>
    <w:rsid w:val="21B06AF2"/>
    <w:rsid w:val="24DE5462"/>
    <w:rsid w:val="2580651A"/>
    <w:rsid w:val="276E0D20"/>
    <w:rsid w:val="29A25036"/>
    <w:rsid w:val="2AB7478C"/>
    <w:rsid w:val="2D2B320F"/>
    <w:rsid w:val="2FFD70E5"/>
    <w:rsid w:val="30E70A06"/>
    <w:rsid w:val="31EC11BC"/>
    <w:rsid w:val="330D147E"/>
    <w:rsid w:val="344D6161"/>
    <w:rsid w:val="355E6877"/>
    <w:rsid w:val="3832071F"/>
    <w:rsid w:val="3D950AC6"/>
    <w:rsid w:val="3FB012AC"/>
    <w:rsid w:val="407C3434"/>
    <w:rsid w:val="48EB3931"/>
    <w:rsid w:val="4DE80860"/>
    <w:rsid w:val="4E563300"/>
    <w:rsid w:val="55351C71"/>
    <w:rsid w:val="55C67DF5"/>
    <w:rsid w:val="56AF76D2"/>
    <w:rsid w:val="56B57E6A"/>
    <w:rsid w:val="5DFB13FF"/>
    <w:rsid w:val="607E588E"/>
    <w:rsid w:val="617D60D7"/>
    <w:rsid w:val="62A2001C"/>
    <w:rsid w:val="637B3508"/>
    <w:rsid w:val="65421AC2"/>
    <w:rsid w:val="65E41BD1"/>
    <w:rsid w:val="67F85E08"/>
    <w:rsid w:val="688B4586"/>
    <w:rsid w:val="68966E3E"/>
    <w:rsid w:val="68C703F9"/>
    <w:rsid w:val="69FC1E52"/>
    <w:rsid w:val="6B6D6ED0"/>
    <w:rsid w:val="6D102342"/>
    <w:rsid w:val="707D334E"/>
    <w:rsid w:val="71E12BC1"/>
    <w:rsid w:val="73297458"/>
    <w:rsid w:val="74026044"/>
    <w:rsid w:val="75C44D0C"/>
    <w:rsid w:val="768C6099"/>
    <w:rsid w:val="783D7067"/>
    <w:rsid w:val="7A2618F6"/>
    <w:rsid w:val="7A487D6C"/>
    <w:rsid w:val="7AB70B5E"/>
    <w:rsid w:val="7B0F7299"/>
    <w:rsid w:val="7B816961"/>
    <w:rsid w:val="7CF83328"/>
    <w:rsid w:val="7D0E6DBB"/>
    <w:rsid w:val="7E6A3D4A"/>
    <w:rsid w:val="7FC0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autoRedefine/>
    <w:qFormat/>
    <w:uiPriority w:val="0"/>
    <w:pPr>
      <w:spacing w:line="480" w:lineRule="exact"/>
      <w:ind w:firstLine="480" w:firstLineChars="200"/>
    </w:pPr>
    <w:rPr>
      <w:rFonts w:ascii="宋体" w:hAnsi="宋体"/>
      <w:sz w:val="24"/>
    </w:rPr>
  </w:style>
  <w:style w:type="paragraph" w:customStyle="1" w:styleId="5">
    <w:name w:val="正文文本首行缩进 2"/>
    <w:basedOn w:val="6"/>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6">
    <w:name w:val="正文缩进1"/>
    <w:basedOn w:val="7"/>
    <w:next w:val="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
    <w:name w:val="正文1"/>
    <w:basedOn w:val="8"/>
    <w:next w:val="9"/>
    <w:qFormat/>
    <w:uiPriority w:val="0"/>
    <w:pPr>
      <w:tabs>
        <w:tab w:val="right" w:leader="dot" w:pos="8268"/>
      </w:tabs>
    </w:pPr>
    <w:rPr>
      <w:color w:val="000000"/>
      <w:kern w:val="1"/>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9">
    <w:name w:val="标题 21"/>
    <w:basedOn w:val="7"/>
    <w:next w:val="7"/>
    <w:autoRedefine/>
    <w:qFormat/>
    <w:uiPriority w:val="0"/>
    <w:pPr>
      <w:keepNext/>
      <w:keepLines/>
      <w:tabs>
        <w:tab w:val="left" w:pos="706"/>
      </w:tabs>
      <w:ind w:left="106" w:firstLine="454"/>
      <w:outlineLvl w:val="1"/>
    </w:pPr>
    <w:rPr>
      <w:rFonts w:ascii="Arial" w:hAnsi="Arial" w:eastAsia="??"/>
      <w:b/>
      <w:bCs/>
      <w:szCs w:val="32"/>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Body Text"/>
    <w:basedOn w:val="1"/>
    <w:next w:val="12"/>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3"/>
    <w:autoRedefine/>
    <w:qFormat/>
    <w:uiPriority w:val="0"/>
    <w:pPr>
      <w:ind w:firstLine="420"/>
    </w:pPr>
    <w:rPr>
      <w:rFonts w:hAnsi="Calibri" w:cs="Times New Roman"/>
      <w:snapToGrid/>
      <w:szCs w:val="20"/>
    </w:rPr>
  </w:style>
  <w:style w:type="paragraph" w:styleId="13">
    <w:name w:val="toc 6"/>
    <w:basedOn w:val="1"/>
    <w:next w:val="1"/>
    <w:autoRedefine/>
    <w:qFormat/>
    <w:uiPriority w:val="0"/>
    <w:pPr>
      <w:ind w:left="2100" w:leftChars="1000"/>
    </w:pPr>
  </w:style>
  <w:style w:type="paragraph" w:styleId="14">
    <w:name w:val="Plain Text"/>
    <w:basedOn w:val="1"/>
    <w:autoRedefine/>
    <w:qFormat/>
    <w:uiPriority w:val="0"/>
    <w:rPr>
      <w:rFonts w:ascii="宋体" w:hAnsi="Courier New" w:cs="Arial"/>
      <w:snapToGrid w:val="0"/>
      <w:szCs w:val="21"/>
    </w:rPr>
  </w:style>
  <w:style w:type="paragraph" w:styleId="15">
    <w:name w:val="footer"/>
    <w:basedOn w:val="1"/>
    <w:autoRedefine/>
    <w:qFormat/>
    <w:uiPriority w:val="99"/>
    <w:pPr>
      <w:tabs>
        <w:tab w:val="center" w:pos="4153"/>
        <w:tab w:val="right" w:pos="8306"/>
      </w:tabs>
      <w:snapToGrid w:val="0"/>
      <w:jc w:val="left"/>
    </w:pPr>
    <w:rPr>
      <w:sz w:val="18"/>
    </w:rPr>
  </w:style>
  <w:style w:type="paragraph" w:styleId="1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Body Text First Indent 2"/>
    <w:basedOn w:val="4"/>
    <w:next w:val="12"/>
    <w:autoRedefine/>
    <w:qFormat/>
    <w:uiPriority w:val="0"/>
    <w:pPr>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autoRedefine/>
    <w:qFormat/>
    <w:uiPriority w:val="99"/>
    <w:rPr>
      <w:rFonts w:ascii="Arial" w:hAnsi="Arial" w:eastAsia="黑体" w:cs="Arial"/>
      <w:snapToGrid w:val="0"/>
      <w:color w:val="000000"/>
      <w:kern w:val="0"/>
      <w:sz w:val="18"/>
      <w:szCs w:val="18"/>
      <w:u w:val="none"/>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Plain Text"/>
    <w:basedOn w:val="30"/>
    <w:autoRedefine/>
    <w:qFormat/>
    <w:uiPriority w:val="0"/>
    <w:pPr>
      <w:widowControl/>
      <w:jc w:val="left"/>
    </w:pPr>
    <w:rPr>
      <w:rFonts w:ascii="宋体" w:hAnsi="Courier New"/>
    </w:rPr>
  </w:style>
  <w:style w:type="paragraph" w:customStyle="1" w:styleId="30">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55483</Words>
  <Characters>67234</Characters>
  <Lines>0</Lines>
  <Paragraphs>0</Paragraphs>
  <TotalTime>3</TotalTime>
  <ScaleCrop>false</ScaleCrop>
  <LinksUpToDate>false</LinksUpToDate>
  <CharactersWithSpaces>72072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2024-08-20T03:15:00Z</dcterms:created>
  <dc:creator>NTKO</dc:creator>
  <cp:lastModifiedBy>ZJ</cp:lastModifiedBy>
  <dcterms:modified xsi:type="dcterms:W3CDTF">2024-09-15T13:40:41Z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56D1F29443ED439084727984A1B82768_13</vt:lpwstr>
  </property>
</Properties>
</file>