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602D57">
      <w:pPr>
        <w:spacing w:line="360" w:lineRule="auto"/>
        <w:jc w:val="center"/>
        <w:rPr>
          <w:rFonts w:ascii="宋体" w:hAnsi="宋体" w:cs="宋体"/>
          <w:b/>
          <w:color w:val="000000" w:themeColor="text1"/>
          <w:sz w:val="24"/>
          <w:highlight w:val="none"/>
          <w14:textFill>
            <w14:solidFill>
              <w14:schemeClr w14:val="tx1"/>
            </w14:solidFill>
          </w14:textFill>
        </w:rPr>
      </w:pPr>
    </w:p>
    <w:p w14:paraId="71D6B387">
      <w:pPr>
        <w:spacing w:line="360" w:lineRule="auto"/>
        <w:jc w:val="center"/>
        <w:rPr>
          <w:rFonts w:ascii="宋体" w:hAnsi="宋体" w:cs="宋体"/>
          <w:b/>
          <w:color w:val="000000" w:themeColor="text1"/>
          <w:sz w:val="24"/>
          <w:highlight w:val="none"/>
          <w14:textFill>
            <w14:solidFill>
              <w14:schemeClr w14:val="tx1"/>
            </w14:solidFill>
          </w14:textFill>
        </w:rPr>
      </w:pPr>
    </w:p>
    <w:p w14:paraId="69988469">
      <w:pPr>
        <w:adjustRightInd/>
        <w:spacing w:line="360" w:lineRule="auto"/>
        <w:jc w:val="center"/>
        <w:rPr>
          <w:rFonts w:ascii="宋体" w:hAnsi="宋体" w:cs="宋体"/>
          <w:b/>
          <w:color w:val="000000" w:themeColor="text1"/>
          <w:sz w:val="44"/>
          <w:szCs w:val="44"/>
          <w:highlight w:val="none"/>
          <w14:textFill>
            <w14:solidFill>
              <w14:schemeClr w14:val="tx1"/>
            </w14:solidFill>
          </w14:textFill>
        </w:rPr>
      </w:pPr>
    </w:p>
    <w:p w14:paraId="3FDBE9D5">
      <w:pPr>
        <w:spacing w:line="360" w:lineRule="auto"/>
        <w:jc w:val="center"/>
        <w:rPr>
          <w:rFonts w:ascii="宋体" w:hAnsi="宋体" w:cs="宋体"/>
          <w:b/>
          <w:color w:val="000000" w:themeColor="text1"/>
          <w:sz w:val="44"/>
          <w:szCs w:val="44"/>
          <w:highlight w:val="none"/>
          <w14:textFill>
            <w14:solidFill>
              <w14:schemeClr w14:val="tx1"/>
            </w14:solidFill>
          </w14:textFill>
        </w:rPr>
      </w:pPr>
    </w:p>
    <w:p w14:paraId="2D23CBCE">
      <w:pPr>
        <w:adjustRightInd/>
        <w:spacing w:line="360" w:lineRule="auto"/>
        <w:jc w:val="center"/>
        <w:rPr>
          <w:rFonts w:ascii="宋体" w:hAnsi="宋体" w:cs="宋体"/>
          <w:b/>
          <w:color w:val="000000" w:themeColor="text1"/>
          <w:sz w:val="48"/>
          <w:szCs w:val="48"/>
          <w:highlight w:val="none"/>
          <w14:textFill>
            <w14:solidFill>
              <w14:schemeClr w14:val="tx1"/>
            </w14:solidFill>
          </w14:textFill>
        </w:rPr>
      </w:pPr>
    </w:p>
    <w:p w14:paraId="7876580A">
      <w:pPr>
        <w:adjustRightInd/>
        <w:spacing w:line="360" w:lineRule="auto"/>
        <w:jc w:val="center"/>
        <w:rPr>
          <w:rFonts w:hint="eastAsia" w:ascii="宋体" w:hAnsi="宋体" w:eastAsia="宋体" w:cs="宋体"/>
          <w:color w:val="000000" w:themeColor="text1"/>
          <w:sz w:val="48"/>
          <w:szCs w:val="48"/>
          <w:highlight w:val="none"/>
          <w:lang w:eastAsia="zh-CN"/>
          <w14:textFill>
            <w14:solidFill>
              <w14:schemeClr w14:val="tx1"/>
            </w14:solidFill>
          </w14:textFill>
        </w:rPr>
      </w:pPr>
      <w:r>
        <w:rPr>
          <w:rFonts w:hint="eastAsia" w:ascii="宋体" w:hAnsi="宋体" w:cs="宋体"/>
          <w:color w:val="000000" w:themeColor="text1"/>
          <w:sz w:val="48"/>
          <w:szCs w:val="48"/>
          <w:highlight w:val="none"/>
          <w:lang w:eastAsia="zh-CN"/>
          <w14:textFill>
            <w14:solidFill>
              <w14:schemeClr w14:val="tx1"/>
            </w14:solidFill>
          </w14:textFill>
        </w:rPr>
        <w:t>龙湾区第一人民医院普通电动床、血透床、转运床、治疗车、麻醉车等设备采购项目</w:t>
      </w:r>
    </w:p>
    <w:p w14:paraId="1665C29B">
      <w:pPr>
        <w:adjustRightInd/>
        <w:spacing w:line="360" w:lineRule="auto"/>
        <w:jc w:val="center"/>
        <w:rPr>
          <w:rFonts w:ascii="宋体" w:hAnsi="宋体" w:cs="宋体"/>
          <w:color w:val="000000" w:themeColor="text1"/>
          <w:sz w:val="48"/>
          <w:szCs w:val="48"/>
          <w:highlight w:val="none"/>
          <w14:textFill>
            <w14:solidFill>
              <w14:schemeClr w14:val="tx1"/>
            </w14:solidFill>
          </w14:textFill>
        </w:rPr>
      </w:pPr>
      <w:r>
        <w:rPr>
          <w:rFonts w:hint="eastAsia" w:ascii="宋体" w:hAnsi="宋体" w:cs="宋体"/>
          <w:color w:val="000000" w:themeColor="text1"/>
          <w:sz w:val="48"/>
          <w:szCs w:val="48"/>
          <w:highlight w:val="none"/>
          <w14:textFill>
            <w14:solidFill>
              <w14:schemeClr w14:val="tx1"/>
            </w14:solidFill>
          </w14:textFill>
        </w:rPr>
        <w:t xml:space="preserve">招标文件 </w:t>
      </w:r>
    </w:p>
    <w:p w14:paraId="72A70D8F">
      <w:pPr>
        <w:adjustRightInd/>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（电子招投标）</w:t>
      </w:r>
    </w:p>
    <w:p w14:paraId="0F72DB17">
      <w:pPr>
        <w:snapToGrid w:val="0"/>
        <w:spacing w:line="360" w:lineRule="auto"/>
        <w:jc w:val="center"/>
        <w:rPr>
          <w:rFonts w:hint="eastAsia" w:ascii="宋体" w:hAnsi="宋体" w:eastAsia="宋体" w:cs="宋体"/>
          <w:color w:val="000000" w:themeColor="text1"/>
          <w:sz w:val="30"/>
          <w:szCs w:val="30"/>
          <w:highlight w:val="none"/>
          <w:lang w:eastAsia="zh-CN"/>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编号:</w:t>
      </w:r>
      <w:r>
        <w:rPr>
          <w:rFonts w:hint="eastAsia" w:ascii="宋体" w:hAnsi="宋体" w:cs="宋体"/>
          <w:color w:val="000000" w:themeColor="text1"/>
          <w:sz w:val="30"/>
          <w:szCs w:val="30"/>
          <w:highlight w:val="none"/>
          <w:lang w:eastAsia="zh-CN"/>
          <w14:textFill>
            <w14:solidFill>
              <w14:schemeClr w14:val="tx1"/>
            </w14:solidFill>
          </w14:textFill>
        </w:rPr>
        <w:t>ZJHX-2024101801</w:t>
      </w:r>
    </w:p>
    <w:p w14:paraId="5E2EDB7E">
      <w:pPr>
        <w:adjustRightInd/>
        <w:spacing w:line="360" w:lineRule="auto"/>
        <w:rPr>
          <w:rFonts w:ascii="宋体" w:hAnsi="宋体" w:cs="宋体"/>
          <w:color w:val="000000" w:themeColor="text1"/>
          <w:sz w:val="28"/>
          <w:szCs w:val="20"/>
          <w:highlight w:val="none"/>
          <w14:textFill>
            <w14:solidFill>
              <w14:schemeClr w14:val="tx1"/>
            </w14:solidFill>
          </w14:textFill>
        </w:rPr>
      </w:pPr>
    </w:p>
    <w:p w14:paraId="0519699C">
      <w:pPr>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w:t>
      </w:r>
    </w:p>
    <w:p w14:paraId="6E23F4C5">
      <w:pPr>
        <w:spacing w:line="360" w:lineRule="auto"/>
        <w:jc w:val="center"/>
        <w:rPr>
          <w:rFonts w:ascii="宋体" w:hAnsi="宋体" w:cs="宋体"/>
          <w:b/>
          <w:color w:val="000000" w:themeColor="text1"/>
          <w:sz w:val="44"/>
          <w:szCs w:val="44"/>
          <w:highlight w:val="none"/>
          <w14:textFill>
            <w14:solidFill>
              <w14:schemeClr w14:val="tx1"/>
            </w14:solidFill>
          </w14:textFill>
        </w:rPr>
      </w:pPr>
    </w:p>
    <w:p w14:paraId="358ED641">
      <w:pPr>
        <w:spacing w:line="360" w:lineRule="auto"/>
        <w:jc w:val="center"/>
        <w:rPr>
          <w:rFonts w:ascii="宋体" w:hAnsi="宋体" w:cs="宋体"/>
          <w:color w:val="000000" w:themeColor="text1"/>
          <w:sz w:val="24"/>
          <w:highlight w:val="none"/>
          <w14:textFill>
            <w14:solidFill>
              <w14:schemeClr w14:val="tx1"/>
            </w14:solidFill>
          </w14:textFill>
        </w:rPr>
      </w:pPr>
    </w:p>
    <w:p w14:paraId="020773CC">
      <w:pPr>
        <w:spacing w:line="360" w:lineRule="auto"/>
        <w:jc w:val="center"/>
        <w:rPr>
          <w:rFonts w:ascii="宋体" w:hAnsi="宋体" w:cs="宋体"/>
          <w:color w:val="000000" w:themeColor="text1"/>
          <w:sz w:val="24"/>
          <w:highlight w:val="none"/>
          <w14:textFill>
            <w14:solidFill>
              <w14:schemeClr w14:val="tx1"/>
            </w14:solidFill>
          </w14:textFill>
        </w:rPr>
      </w:pPr>
    </w:p>
    <w:p w14:paraId="0DC7BCD6">
      <w:pPr>
        <w:spacing w:line="360" w:lineRule="auto"/>
        <w:rPr>
          <w:rFonts w:ascii="宋体" w:hAnsi="宋体" w:cs="宋体"/>
          <w:color w:val="000000" w:themeColor="text1"/>
          <w:sz w:val="32"/>
          <w:szCs w:val="32"/>
          <w:highlight w:val="none"/>
          <w14:textFill>
            <w14:solidFill>
              <w14:schemeClr w14:val="tx1"/>
            </w14:solidFill>
          </w14:textFill>
        </w:rPr>
      </w:pPr>
    </w:p>
    <w:p w14:paraId="0EAA3DCA">
      <w:pPr>
        <w:snapToGrid w:val="0"/>
        <w:spacing w:line="360" w:lineRule="auto"/>
        <w:jc w:val="cente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采购人</w:t>
      </w:r>
      <w:r>
        <w:rPr>
          <w:rFonts w:hint="eastAsia" w:ascii="宋体" w:hAnsi="宋体" w:cs="宋体"/>
          <w:color w:val="000000" w:themeColor="text1"/>
          <w:sz w:val="32"/>
          <w:szCs w:val="32"/>
          <w:highlight w:val="none"/>
          <w:lang w:eastAsia="zh-CN"/>
          <w14:textFill>
            <w14:solidFill>
              <w14:schemeClr w14:val="tx1"/>
            </w14:solidFill>
          </w14:textFill>
        </w:rPr>
        <w:t>：温州眼谷小镇运营管理有限公司</w:t>
      </w:r>
    </w:p>
    <w:p w14:paraId="652B2316">
      <w:pPr>
        <w:spacing w:line="360" w:lineRule="auto"/>
        <w:jc w:val="center"/>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采购代理机构</w:t>
      </w:r>
      <w:r>
        <w:rPr>
          <w:rFonts w:hint="eastAsia" w:ascii="宋体" w:hAnsi="宋体" w:cs="宋体"/>
          <w:bCs/>
          <w:color w:val="000000" w:themeColor="text1"/>
          <w:sz w:val="32"/>
          <w:szCs w:val="32"/>
          <w:highlight w:val="none"/>
          <w:lang w:eastAsia="zh-CN"/>
          <w14:textFill>
            <w14:solidFill>
              <w14:schemeClr w14:val="tx1"/>
            </w14:solidFill>
          </w14:textFill>
        </w:rPr>
        <w:t>：浙江宏信项目管理有限公司</w:t>
      </w:r>
    </w:p>
    <w:p w14:paraId="5816B8E0">
      <w:pPr>
        <w:snapToGrid w:val="0"/>
        <w:spacing w:line="360" w:lineRule="auto"/>
        <w:jc w:val="center"/>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二〇二</w:t>
      </w:r>
      <w:r>
        <w:rPr>
          <w:rFonts w:hint="eastAsia" w:ascii="宋体" w:hAnsi="宋体" w:cs="宋体"/>
          <w:bCs/>
          <w:color w:val="000000" w:themeColor="text1"/>
          <w:sz w:val="32"/>
          <w:szCs w:val="32"/>
          <w:highlight w:val="none"/>
          <w:lang w:val="en-US" w:eastAsia="zh-CN"/>
          <w14:textFill>
            <w14:solidFill>
              <w14:schemeClr w14:val="tx1"/>
            </w14:solidFill>
          </w14:textFill>
        </w:rPr>
        <w:t>四</w:t>
      </w:r>
      <w:r>
        <w:rPr>
          <w:rFonts w:hint="eastAsia" w:ascii="宋体" w:hAnsi="宋体" w:cs="宋体"/>
          <w:bCs/>
          <w:color w:val="000000" w:themeColor="text1"/>
          <w:sz w:val="32"/>
          <w:szCs w:val="32"/>
          <w:highlight w:val="none"/>
          <w14:textFill>
            <w14:solidFill>
              <w14:schemeClr w14:val="tx1"/>
            </w14:solidFill>
          </w14:textFill>
        </w:rPr>
        <w:t>年</w:t>
      </w:r>
      <w:r>
        <w:rPr>
          <w:rFonts w:hint="eastAsia" w:ascii="宋体" w:hAnsi="宋体" w:cs="宋体"/>
          <w:bCs/>
          <w:color w:val="000000" w:themeColor="text1"/>
          <w:sz w:val="32"/>
          <w:szCs w:val="32"/>
          <w:highlight w:val="none"/>
          <w:lang w:val="en-US" w:eastAsia="zh-CN"/>
          <w14:textFill>
            <w14:solidFill>
              <w14:schemeClr w14:val="tx1"/>
            </w14:solidFill>
          </w14:textFill>
        </w:rPr>
        <w:t>十</w:t>
      </w:r>
      <w:r>
        <w:rPr>
          <w:rFonts w:hint="eastAsia" w:ascii="宋体" w:hAnsi="宋体" w:cs="宋体"/>
          <w:bCs/>
          <w:color w:val="000000" w:themeColor="text1"/>
          <w:sz w:val="32"/>
          <w:szCs w:val="32"/>
          <w:highlight w:val="none"/>
          <w14:textFill>
            <w14:solidFill>
              <w14:schemeClr w14:val="tx1"/>
            </w14:solidFill>
          </w14:textFill>
        </w:rPr>
        <w:t>月</w:t>
      </w:r>
    </w:p>
    <w:p w14:paraId="7C301584">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bookmarkStart w:id="0" w:name="_Hlt67893495"/>
      <w:bookmarkEnd w:id="0"/>
    </w:p>
    <w:p w14:paraId="4694C6E4">
      <w:pPr>
        <w:spacing w:line="360" w:lineRule="auto"/>
        <w:jc w:val="center"/>
        <w:rPr>
          <w:rFonts w:ascii="宋体" w:hAnsi="宋体" w:cs="宋体"/>
          <w:color w:val="000000" w:themeColor="text1"/>
          <w:sz w:val="24"/>
          <w:highlight w:val="none"/>
          <w14:textFill>
            <w14:solidFill>
              <w14:schemeClr w14:val="tx1"/>
            </w14:solidFill>
          </w14:textFill>
        </w:rPr>
      </w:pPr>
    </w:p>
    <w:p w14:paraId="537E2719">
      <w:pPr>
        <w:spacing w:line="360" w:lineRule="auto"/>
        <w:jc w:val="center"/>
        <w:rPr>
          <w:rFonts w:ascii="宋体" w:hAnsi="宋体" w:cs="宋体"/>
          <w:b/>
          <w:color w:val="000000" w:themeColor="text1"/>
          <w:sz w:val="48"/>
          <w:szCs w:val="48"/>
          <w:highlight w:val="none"/>
          <w14:textFill>
            <w14:solidFill>
              <w14:schemeClr w14:val="tx1"/>
            </w14:solidFill>
          </w14:textFill>
        </w:rPr>
      </w:pPr>
      <w:r>
        <w:rPr>
          <w:rFonts w:hint="eastAsia" w:ascii="宋体" w:hAnsi="宋体" w:cs="宋体"/>
          <w:b/>
          <w:color w:val="000000" w:themeColor="text1"/>
          <w:sz w:val="48"/>
          <w:szCs w:val="48"/>
          <w:highlight w:val="none"/>
          <w14:textFill>
            <w14:solidFill>
              <w14:schemeClr w14:val="tx1"/>
            </w14:solidFill>
          </w14:textFill>
        </w:rPr>
        <w:t>目  录</w:t>
      </w:r>
    </w:p>
    <w:p w14:paraId="457946FB">
      <w:pPr>
        <w:spacing w:line="360" w:lineRule="auto"/>
        <w:rPr>
          <w:rFonts w:ascii="宋体" w:hAnsi="宋体" w:cs="宋体"/>
          <w:color w:val="000000" w:themeColor="text1"/>
          <w:sz w:val="32"/>
          <w:szCs w:val="32"/>
          <w:highlight w:val="none"/>
          <w14:textFill>
            <w14:solidFill>
              <w14:schemeClr w14:val="tx1"/>
            </w14:solidFill>
          </w14:textFill>
        </w:rPr>
      </w:pPr>
    </w:p>
    <w:p w14:paraId="2FA76162">
      <w:pPr>
        <w:spacing w:line="360" w:lineRule="auto"/>
        <w:rPr>
          <w:rFonts w:ascii="宋体" w:hAnsi="宋体" w:cs="宋体"/>
          <w:color w:val="000000" w:themeColor="text1"/>
          <w:sz w:val="32"/>
          <w:szCs w:val="32"/>
          <w:highlight w:val="none"/>
          <w14:textFill>
            <w14:solidFill>
              <w14:schemeClr w14:val="tx1"/>
            </w14:solidFill>
          </w14:textFill>
        </w:rPr>
      </w:pPr>
    </w:p>
    <w:p w14:paraId="2F2C5FB9">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第一部分      招标公告</w:t>
      </w:r>
    </w:p>
    <w:p w14:paraId="3C3591E5">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第二部分      投标人须知</w:t>
      </w:r>
    </w:p>
    <w:p w14:paraId="5857FC02">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第三部分      采购需求</w:t>
      </w:r>
    </w:p>
    <w:p w14:paraId="625076CD">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第四部分      评标办法</w:t>
      </w:r>
    </w:p>
    <w:p w14:paraId="0BEE1DB7">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第五部分      拟签订的合同文本</w:t>
      </w:r>
    </w:p>
    <w:p w14:paraId="5E7483CC">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第六部分      应提交的有关格式范例</w:t>
      </w:r>
    </w:p>
    <w:p w14:paraId="1C5DFB0D">
      <w:pPr>
        <w:spacing w:line="360" w:lineRule="auto"/>
        <w:ind w:firstLine="549" w:firstLineChars="229"/>
        <w:rPr>
          <w:rFonts w:ascii="宋体" w:hAnsi="宋体" w:cs="宋体"/>
          <w:color w:val="000000" w:themeColor="text1"/>
          <w:sz w:val="24"/>
          <w:highlight w:val="none"/>
          <w14:textFill>
            <w14:solidFill>
              <w14:schemeClr w14:val="tx1"/>
            </w14:solidFill>
          </w14:textFill>
        </w:rPr>
      </w:pPr>
      <w:bookmarkStart w:id="1" w:name="_Hlt91233176"/>
      <w:bookmarkEnd w:id="1"/>
      <w:bookmarkStart w:id="2" w:name="_Toc91899869"/>
    </w:p>
    <w:p w14:paraId="319DDB73">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2862793D">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1D3368BD">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644F64BD">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678B7564">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4B86912C">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3DF221AA">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58AC7E8C">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6547DF80">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50ECBCC4">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483F730C">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77161CDA">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0A1891A7">
      <w:pPr>
        <w:spacing w:line="360" w:lineRule="auto"/>
        <w:rPr>
          <w:rFonts w:ascii="宋体" w:hAnsi="宋体" w:cs="宋体"/>
          <w:color w:val="000000" w:themeColor="text1"/>
          <w:sz w:val="24"/>
          <w:highlight w:val="none"/>
          <w14:textFill>
            <w14:solidFill>
              <w14:schemeClr w14:val="tx1"/>
            </w14:solidFill>
          </w14:textFill>
        </w:rPr>
      </w:pPr>
    </w:p>
    <w:p w14:paraId="4A9648F2">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bookmarkStart w:id="3" w:name="第一部分"/>
      <w:r>
        <w:rPr>
          <w:rFonts w:hint="eastAsia" w:ascii="宋体" w:hAnsi="宋体" w:cs="宋体"/>
          <w:b/>
          <w:color w:val="000000" w:themeColor="text1"/>
          <w:sz w:val="36"/>
          <w:szCs w:val="36"/>
          <w:highlight w:val="none"/>
          <w14:textFill>
            <w14:solidFill>
              <w14:schemeClr w14:val="tx1"/>
            </w14:solidFill>
          </w14:textFill>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color w:val="000000" w:themeColor="text1"/>
          <w:sz w:val="36"/>
          <w:szCs w:val="20"/>
          <w:highlight w:val="none"/>
          <w14:textFill>
            <w14:solidFill>
              <w14:schemeClr w14:val="tx1"/>
            </w14:solidFill>
          </w14:textFill>
        </w:rPr>
        <w:t>第一部分 招标公告</w:t>
      </w:r>
    </w:p>
    <w:p w14:paraId="2F34A3C3">
      <w:pPr>
        <w:pBdr>
          <w:top w:val="single" w:color="auto" w:sz="4" w:space="1"/>
          <w:left w:val="single" w:color="auto" w:sz="4" w:space="4"/>
          <w:bottom w:val="single" w:color="auto" w:sz="4" w:space="2"/>
          <w:right w:val="single" w:color="auto" w:sz="4" w:space="4"/>
        </w:pBdr>
        <w:spacing w:line="360" w:lineRule="auto"/>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项目概况</w:t>
      </w:r>
    </w:p>
    <w:p w14:paraId="16308884">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cs="仿宋_GB2312" w:asciiTheme="minorEastAsia" w:hAnsiTheme="minorEastAsia" w:eastAsiaTheme="minorEastAsia"/>
          <w:color w:val="000000" w:themeColor="text1"/>
          <w:sz w:val="24"/>
          <w:highlight w:val="none"/>
          <w:u w:val="single"/>
          <w:lang w:eastAsia="zh-CN"/>
          <w14:textFill>
            <w14:solidFill>
              <w14:schemeClr w14:val="tx1"/>
            </w14:solidFill>
          </w14:textFill>
        </w:rPr>
        <w:t>龙湾区第一人民医院普通电动床、血透床、转运床、治疗车、麻醉车等设备采购项目</w:t>
      </w:r>
      <w:r>
        <w:rPr>
          <w:rFonts w:hint="eastAsia" w:asciiTheme="minorEastAsia" w:hAnsiTheme="minorEastAsia" w:eastAsiaTheme="minorEastAsia"/>
          <w:color w:val="000000" w:themeColor="text1"/>
          <w:sz w:val="24"/>
          <w:highlight w:val="none"/>
          <w14:textFill>
            <w14:solidFill>
              <w14:schemeClr w14:val="tx1"/>
            </w14:solidFill>
          </w14:textFill>
        </w:rPr>
        <w:t>招标项目的潜在投标人应在乐采云平台（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"https://www.zcygov.cn/）获取（下载）招标文件，并于202%20年%20月%20日%20点%20分00秒" </w:instrText>
      </w:r>
      <w:r>
        <w:rPr>
          <w:color w:val="000000" w:themeColor="text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https://www.lecaiyun.com</w:t>
      </w:r>
      <w:r>
        <w:rPr>
          <w:rStyle w:val="77"/>
          <w:rFonts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）获取（下载）招标文件，并于</w:t>
      </w:r>
      <w:r>
        <w:rPr>
          <w:rStyle w:val="77"/>
          <w:rFonts w:hint="eastAsia" w:cs="Times New Roman" w:asciiTheme="minorEastAsia" w:hAnsiTheme="minorEastAsia" w:eastAsiaTheme="minorEastAsia"/>
          <w:snapToGrid/>
          <w:color w:val="000000" w:themeColor="text1"/>
          <w:kern w:val="2"/>
          <w:sz w:val="24"/>
          <w:szCs w:val="24"/>
          <w:highlight w:val="none"/>
          <w:lang w:eastAsia="zh-CN"/>
          <w14:textFill>
            <w14:solidFill>
              <w14:schemeClr w14:val="tx1"/>
            </w14:solidFill>
          </w14:textFill>
        </w:rPr>
        <w:t>2024年11月8日9点30分</w:t>
      </w:r>
      <w:r>
        <w:rPr>
          <w:rStyle w:val="77"/>
          <w:rFonts w:hint="eastAsia" w:cs="Times New Roman" w:asciiTheme="minorEastAsia" w:hAnsiTheme="minorEastAsia" w:eastAsiaTheme="minorEastAsia"/>
          <w:bCs/>
          <w:snapToGrid/>
          <w:color w:val="000000" w:themeColor="text1"/>
          <w:kern w:val="2"/>
          <w:sz w:val="24"/>
          <w:szCs w:val="24"/>
          <w:highlight w:val="none"/>
          <w14:textFill>
            <w14:solidFill>
              <w14:schemeClr w14:val="tx1"/>
            </w14:solidFill>
          </w14:textFill>
        </w:rPr>
        <w:t>00秒</w:t>
      </w:r>
      <w:r>
        <w:rPr>
          <w:rStyle w:val="77"/>
          <w:rFonts w:hint="eastAsia" w:cs="Times New Roman" w:asciiTheme="minorEastAsia" w:hAnsiTheme="minorEastAsia" w:eastAsiaTheme="minorEastAsia"/>
          <w:bCs/>
          <w:snapToGrid/>
          <w:color w:val="000000" w:themeColor="text1"/>
          <w:kern w:val="2"/>
          <w:sz w:val="24"/>
          <w:szCs w:val="24"/>
          <w:highlight w:val="none"/>
          <w14:textFill>
            <w14:solidFill>
              <w14:schemeClr w14:val="tx1"/>
            </w14:solidFill>
          </w14:textFill>
        </w:rPr>
        <w:fldChar w:fldCharType="end"/>
      </w:r>
      <w:r>
        <w:rPr>
          <w:rFonts w:hint="eastAsia" w:asciiTheme="minorEastAsia" w:hAnsiTheme="minorEastAsia" w:eastAsiaTheme="minorEastAsia"/>
          <w:bCs/>
          <w:color w:val="000000" w:themeColor="text1"/>
          <w:sz w:val="24"/>
          <w:highlight w:val="none"/>
          <w14:textFill>
            <w14:solidFill>
              <w14:schemeClr w14:val="tx1"/>
            </w14:solidFill>
          </w14:textFill>
        </w:rPr>
        <w:t>（北京时间）前</w:t>
      </w:r>
      <w:r>
        <w:rPr>
          <w:rFonts w:hint="eastAsia" w:asciiTheme="minorEastAsia" w:hAnsiTheme="minorEastAsia" w:eastAsiaTheme="minorEastAsia"/>
          <w:color w:val="000000" w:themeColor="text1"/>
          <w:sz w:val="24"/>
          <w:highlight w:val="none"/>
          <w14:textFill>
            <w14:solidFill>
              <w14:schemeClr w14:val="tx1"/>
            </w14:solidFill>
          </w14:textFill>
        </w:rPr>
        <w:t>递交（上传）投标文件。</w:t>
      </w:r>
    </w:p>
    <w:p w14:paraId="2B0CEECE">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一、项目基本情况                                            </w:t>
      </w:r>
    </w:p>
    <w:p w14:paraId="34709216">
      <w:pPr>
        <w:spacing w:line="360" w:lineRule="auto"/>
        <w:ind w:firstLine="480"/>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lang w:eastAsia="zh-CN"/>
          <w14:textFill>
            <w14:solidFill>
              <w14:schemeClr w14:val="tx1"/>
            </w14:solidFill>
          </w14:textFill>
        </w:rPr>
        <w:t>ZJHX-2024101801</w:t>
      </w:r>
    </w:p>
    <w:p w14:paraId="1D6887CB">
      <w:pPr>
        <w:spacing w:line="360" w:lineRule="auto"/>
        <w:ind w:firstLine="480"/>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b/>
          <w:bCs/>
          <w:color w:val="000000" w:themeColor="text1"/>
          <w:sz w:val="24"/>
          <w:highlight w:val="none"/>
          <w:lang w:eastAsia="zh-CN"/>
          <w14:textFill>
            <w14:solidFill>
              <w14:schemeClr w14:val="tx1"/>
            </w14:solidFill>
          </w14:textFill>
        </w:rPr>
        <w:t>项目性质：</w:t>
      </w:r>
      <w:r>
        <w:rPr>
          <w:rFonts w:hint="eastAsia" w:ascii="宋体" w:hAnsi="宋体" w:cs="宋体"/>
          <w:color w:val="000000" w:themeColor="text1"/>
          <w:sz w:val="24"/>
          <w:highlight w:val="none"/>
          <w:lang w:eastAsia="zh-CN"/>
          <w14:textFill>
            <w14:solidFill>
              <w14:schemeClr w14:val="tx1"/>
            </w14:solidFill>
          </w14:textFill>
        </w:rPr>
        <w:t>国企采购（非政府采购）</w:t>
      </w:r>
    </w:p>
    <w:p w14:paraId="2BAC8121">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项目名称：</w:t>
      </w:r>
      <w:r>
        <w:rPr>
          <w:rFonts w:hint="eastAsia" w:ascii="宋体" w:hAnsi="宋体" w:cs="宋体"/>
          <w:color w:val="000000" w:themeColor="text1"/>
          <w:sz w:val="24"/>
          <w:highlight w:val="none"/>
          <w:lang w:eastAsia="zh-CN"/>
          <w14:textFill>
            <w14:solidFill>
              <w14:schemeClr w14:val="tx1"/>
            </w14:solidFill>
          </w14:textFill>
        </w:rPr>
        <w:t>龙湾区第一人民医院普通电动床、血透床、转运床、治疗车、麻醉车等设备采购项目</w:t>
      </w:r>
    </w:p>
    <w:p w14:paraId="680F918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预算金额（元）：</w:t>
      </w:r>
      <w:r>
        <w:rPr>
          <w:rFonts w:hint="eastAsia" w:ascii="宋体" w:hAnsi="宋体" w:cs="宋体"/>
          <w:color w:val="000000" w:themeColor="text1"/>
          <w:sz w:val="22"/>
          <w:szCs w:val="22"/>
          <w:highlight w:val="none"/>
          <w:lang w:val="en-US" w:eastAsia="zh-CN"/>
          <w14:textFill>
            <w14:solidFill>
              <w14:schemeClr w14:val="tx1"/>
            </w14:solidFill>
          </w14:textFill>
        </w:rPr>
        <w:t>3100000</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lang w:eastAsia="zh-CN"/>
          <w14:textFill>
            <w14:solidFill>
              <w14:schemeClr w14:val="tx1"/>
            </w14:solidFill>
          </w14:textFill>
        </w:rPr>
        <w:t xml:space="preserve"> </w:t>
      </w:r>
    </w:p>
    <w:p w14:paraId="00A403BB">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最高限价（元）：</w:t>
      </w:r>
      <w:r>
        <w:rPr>
          <w:rFonts w:hint="eastAsia" w:ascii="宋体" w:hAnsi="宋体" w:cs="宋体"/>
          <w:color w:val="000000" w:themeColor="text1"/>
          <w:sz w:val="22"/>
          <w:szCs w:val="22"/>
          <w:highlight w:val="none"/>
          <w:lang w:val="en-US" w:eastAsia="zh-CN"/>
          <w14:textFill>
            <w14:solidFill>
              <w14:schemeClr w14:val="tx1"/>
            </w14:solidFill>
          </w14:textFill>
        </w:rPr>
        <w:t>3000000</w:t>
      </w:r>
    </w:p>
    <w:p w14:paraId="40F2C884">
      <w:pPr>
        <w:spacing w:line="360" w:lineRule="auto"/>
        <w:ind w:firstLine="480"/>
        <w:rPr>
          <w:rFonts w:hAnsi="宋体" w:cs="宋体"/>
          <w:bCs/>
          <w:snapToGrid/>
          <w:color w:val="000000" w:themeColor="text1"/>
          <w:kern w:val="2"/>
          <w:sz w:val="24"/>
          <w:szCs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采购需求：</w:t>
      </w:r>
      <w:r>
        <w:rPr>
          <w:rFonts w:hint="eastAsia" w:hAnsi="宋体" w:cs="宋体"/>
          <w:bCs/>
          <w:snapToGrid/>
          <w:color w:val="000000" w:themeColor="text1"/>
          <w:kern w:val="2"/>
          <w:sz w:val="24"/>
          <w:szCs w:val="24"/>
          <w:highlight w:val="none"/>
          <w:lang w:eastAsia="zh-CN"/>
          <w14:textFill>
            <w14:solidFill>
              <w14:schemeClr w14:val="tx1"/>
            </w14:solidFill>
          </w14:textFill>
        </w:rPr>
        <w:t>龙湾区第一人民医院普通电动床、血透床、转运床、治疗车、麻醉车等设备采购项目</w:t>
      </w:r>
      <w:r>
        <w:rPr>
          <w:rFonts w:hint="eastAsia" w:hAnsi="宋体" w:cs="宋体"/>
          <w:bCs/>
          <w:snapToGrid/>
          <w:color w:val="000000" w:themeColor="text1"/>
          <w:kern w:val="2"/>
          <w:sz w:val="24"/>
          <w:szCs w:val="24"/>
          <w:highlight w:val="none"/>
          <w14:textFill>
            <w14:solidFill>
              <w14:schemeClr w14:val="tx1"/>
            </w14:solidFill>
          </w14:textFill>
        </w:rPr>
        <w:t>主要内容：</w:t>
      </w:r>
      <w:r>
        <w:rPr>
          <w:rFonts w:hint="eastAsia" w:asciiTheme="minorEastAsia" w:hAnsiTheme="minorEastAsia" w:eastAsiaTheme="minorEastAsia"/>
          <w:snapToGrid/>
          <w:color w:val="000000" w:themeColor="text1"/>
          <w:kern w:val="2"/>
          <w:sz w:val="24"/>
          <w:szCs w:val="24"/>
          <w:highlight w:val="none"/>
          <w14:textFill>
            <w14:solidFill>
              <w14:schemeClr w14:val="tx1"/>
            </w14:solidFill>
          </w14:textFill>
        </w:rPr>
        <w:t>具体以招标文件第三部分采购需求为准，供应商可点击本公告下方“浏览采购文件”查看采购需求。</w:t>
      </w:r>
    </w:p>
    <w:p w14:paraId="6A58A4A7">
      <w:pPr>
        <w:pStyle w:val="132"/>
        <w:ind w:firstLine="482"/>
        <w:outlineLvl w:val="2"/>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合同履约期限：详见招标文件第三部分采购需求</w:t>
      </w:r>
      <w:r>
        <w:rPr>
          <w:rFonts w:hint="eastAsia" w:ascii="宋体" w:hAnsi="宋体" w:cs="宋体"/>
          <w:b/>
          <w:color w:val="000000" w:themeColor="text1"/>
          <w:highlight w:val="none"/>
          <w:lang w:eastAsia="zh-CN"/>
          <w14:textFill>
            <w14:solidFill>
              <w14:schemeClr w14:val="tx1"/>
            </w14:solidFill>
          </w14:textFill>
        </w:rPr>
        <w:t>。</w:t>
      </w:r>
      <w:r>
        <w:rPr>
          <w:rFonts w:hint="eastAsia" w:ascii="宋体" w:hAnsi="宋体" w:cs="宋体"/>
          <w:b/>
          <w:color w:val="000000" w:themeColor="text1"/>
          <w:highlight w:val="none"/>
          <w14:textFill>
            <w14:solidFill>
              <w14:schemeClr w14:val="tx1"/>
            </w14:solidFill>
          </w14:textFill>
        </w:rPr>
        <w:t xml:space="preserve"> </w:t>
      </w:r>
    </w:p>
    <w:p w14:paraId="7B5B3E26">
      <w:pPr>
        <w:spacing w:line="360" w:lineRule="auto"/>
        <w:ind w:firstLine="480"/>
        <w:rPr>
          <w:rFonts w:hAnsi="宋体" w:cs="宋体"/>
          <w:color w:val="000000" w:themeColor="text1"/>
          <w:kern w:val="0"/>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本项目接受联合体投标：</w:t>
      </w:r>
      <w:sdt>
        <w:sdtPr>
          <w:rPr>
            <w:rFonts w:hint="eastAsia" w:hAnsi="宋体" w:cs="宋体"/>
            <w:color w:val="000000" w:themeColor="text1"/>
            <w:kern w:val="0"/>
            <w:sz w:val="24"/>
            <w:highlight w:val="none"/>
            <w14:textFill>
              <w14:solidFill>
                <w14:schemeClr w14:val="tx1"/>
              </w14:solidFill>
            </w14:textFill>
          </w:rPr>
          <w:id w:val="2035453831"/>
          <w14:checkbox>
            <w14:checked w14:val="0"/>
            <w14:checkedState w14:val="00FE" w14:font="Wingdings"/>
            <w14:uncheckedState w14:val="2610" w14:font="MS Gothic"/>
          </w14:checkbox>
        </w:sdtPr>
        <w:sdtEndPr>
          <w:rPr>
            <w:rFonts w:hint="eastAsia" w:hAnsi="宋体" w:cs="宋体"/>
            <w:color w:val="000000" w:themeColor="text1"/>
            <w:kern w:val="0"/>
            <w:sz w:val="24"/>
            <w:highlight w:val="none"/>
            <w14:textFill>
              <w14:solidFill>
                <w14:schemeClr w14:val="tx1"/>
              </w14:solidFill>
            </w14:textFill>
          </w:rPr>
        </w:sdtEndPr>
        <w:sdtContent>
          <w:r>
            <w:rPr>
              <w:rFonts w:hint="eastAsia" w:ascii="MS Gothic" w:hAnsi="MS Gothic"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hAnsi="宋体" w:cs="宋体"/>
          <w:b/>
          <w:color w:val="000000" w:themeColor="text1"/>
          <w:sz w:val="24"/>
          <w:highlight w:val="none"/>
          <w14:textFill>
            <w14:solidFill>
              <w14:schemeClr w14:val="tx1"/>
            </w14:solidFill>
          </w14:textFill>
        </w:rPr>
        <w:t>是</w:t>
      </w:r>
      <w:r>
        <w:rPr>
          <w:rFonts w:hint="eastAsia" w:hAnsi="宋体" w:cs="宋体"/>
          <w:b/>
          <w:snapToGrid/>
          <w:color w:val="000000" w:themeColor="text1"/>
          <w:kern w:val="2"/>
          <w:sz w:val="24"/>
          <w:highlight w:val="none"/>
          <w14:textFill>
            <w14:solidFill>
              <w14:schemeClr w14:val="tx1"/>
            </w14:solidFill>
          </w14:textFill>
        </w:rPr>
        <w:t>；</w:t>
      </w:r>
      <w:sdt>
        <w:sdtPr>
          <w:rPr>
            <w:rFonts w:hint="eastAsia" w:hAnsi="宋体" w:cs="宋体"/>
            <w:color w:val="000000" w:themeColor="text1"/>
            <w:kern w:val="0"/>
            <w:sz w:val="24"/>
            <w:highlight w:val="none"/>
            <w14:textFill>
              <w14:solidFill>
                <w14:schemeClr w14:val="tx1"/>
              </w14:solidFill>
            </w14:textFill>
          </w:rPr>
          <w:id w:val="-1765526721"/>
          <w14:checkbox>
            <w14:checked w14:val="1"/>
            <w14:checkedState w14:val="00FE" w14:font="Wingdings"/>
            <w14:uncheckedState w14:val="2610" w14:font="MS Gothic"/>
          </w14:checkbox>
        </w:sdtPr>
        <w:sdtEndPr>
          <w:rPr>
            <w:rFonts w:hint="eastAsia" w:hAnsi="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hAnsi="宋体" w:cs="宋体"/>
          <w:b/>
          <w:color w:val="000000" w:themeColor="text1"/>
          <w:sz w:val="24"/>
          <w:highlight w:val="none"/>
          <w14:textFill>
            <w14:solidFill>
              <w14:schemeClr w14:val="tx1"/>
            </w14:solidFill>
          </w14:textFill>
        </w:rPr>
        <w:t>否</w:t>
      </w:r>
      <w:r>
        <w:rPr>
          <w:rFonts w:hint="eastAsia" w:hAnsi="宋体" w:cs="宋体"/>
          <w:color w:val="000000" w:themeColor="text1"/>
          <w:kern w:val="0"/>
          <w:sz w:val="24"/>
          <w:highlight w:val="none"/>
          <w14:textFill>
            <w14:solidFill>
              <w14:schemeClr w14:val="tx1"/>
            </w14:solidFill>
          </w14:textFill>
        </w:rPr>
        <w:t>。</w:t>
      </w:r>
    </w:p>
    <w:p w14:paraId="476ACA79">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w:t>
      </w:r>
      <w:bookmarkStart w:id="11" w:name="_Hlk101132948"/>
      <w:r>
        <w:rPr>
          <w:rFonts w:hint="eastAsia" w:ascii="宋体" w:hAnsi="宋体" w:cs="宋体"/>
          <w:b/>
          <w:color w:val="000000" w:themeColor="text1"/>
          <w:sz w:val="24"/>
          <w:highlight w:val="none"/>
          <w14:textFill>
            <w14:solidFill>
              <w14:schemeClr w14:val="tx1"/>
            </w14:solidFill>
          </w14:textFill>
        </w:rPr>
        <w:t>申请人的资格要求</w:t>
      </w:r>
      <w:bookmarkEnd w:id="11"/>
      <w:r>
        <w:rPr>
          <w:rFonts w:hint="eastAsia" w:ascii="宋体" w:hAnsi="宋体" w:cs="宋体"/>
          <w:b/>
          <w:color w:val="000000" w:themeColor="text1"/>
          <w:sz w:val="24"/>
          <w:highlight w:val="none"/>
          <w14:textFill>
            <w14:solidFill>
              <w14:schemeClr w14:val="tx1"/>
            </w14:solidFill>
          </w14:textFill>
        </w:rPr>
        <w:t>：</w:t>
      </w:r>
    </w:p>
    <w:p w14:paraId="473615F0">
      <w:pPr>
        <w:spacing w:line="360" w:lineRule="auto"/>
        <w:ind w:firstLine="480"/>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 xml:space="preserve">1. </w:t>
      </w:r>
      <w:r>
        <w:rPr>
          <w:rFonts w:hint="eastAsia" w:ascii="宋体" w:hAnsi="宋体" w:eastAsia="宋体" w:cs="宋体"/>
          <w:snapToGrid w:val="0"/>
          <w:color w:val="000000" w:themeColor="text1"/>
          <w:kern w:val="28"/>
          <w:sz w:val="24"/>
          <w:szCs w:val="20"/>
          <w:highlight w:val="none"/>
          <w14:textFill>
            <w14:solidFill>
              <w14:schemeClr w14:val="tx1"/>
            </w14:solidFill>
          </w14:textFill>
        </w:rPr>
        <w:t>满足《温州市龙湾区区属国有企业采购管理办法》第十四条规定；未被</w:t>
      </w:r>
      <w:r>
        <w:rPr>
          <w:rFonts w:hint="eastAsia" w:ascii="宋体" w:hAnsi="宋体" w:cs="宋体"/>
          <w:snapToGrid w:val="0"/>
          <w:color w:val="000000" w:themeColor="text1"/>
          <w:kern w:val="28"/>
          <w:sz w:val="24"/>
          <w:szCs w:val="20"/>
          <w:highlight w:val="none"/>
          <w14:textFill>
            <w14:solidFill>
              <w14:schemeClr w14:val="tx1"/>
            </w14:solidFill>
          </w14:textFill>
        </w:rPr>
        <w:t>“信用中国”（www.creditchina.gov.cn)、中国政府采购网（www.ccgp.gov.cn）列入失信被执行人、重大税收违法案件当事人名单、政府采购严重违法失信行为记录名单；</w:t>
      </w:r>
    </w:p>
    <w:p w14:paraId="4BF2A5F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.本项目的特定资格要求：无；</w:t>
      </w:r>
    </w:p>
    <w:p w14:paraId="6AC9585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274E1C12">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三、获取招标文件 </w:t>
      </w:r>
    </w:p>
    <w:p w14:paraId="17F04A92">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14:textFill>
            <w14:solidFill>
              <w14:schemeClr w14:val="tx1"/>
            </w14:solidFill>
          </w14:textFill>
        </w:rPr>
        <w:t>/至</w:t>
      </w:r>
      <w:r>
        <w:rPr>
          <w:rFonts w:hint="eastAsia" w:ascii="宋体" w:hAnsi="宋体" w:cs="宋体"/>
          <w:color w:val="000000" w:themeColor="text1"/>
          <w:sz w:val="24"/>
          <w:highlight w:val="none"/>
          <w:u w:val="single"/>
          <w:lang w:eastAsia="zh-CN"/>
          <w14:textFill>
            <w14:solidFill>
              <w14:schemeClr w14:val="tx1"/>
            </w14:solidFill>
          </w14:textFill>
        </w:rPr>
        <w:t>2024年11月8日</w:t>
      </w:r>
      <w:r>
        <w:rPr>
          <w:rFonts w:hint="eastAsia" w:ascii="宋体" w:hAnsi="宋体" w:cs="宋体"/>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14:paraId="2679F8EA">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地点（网址）：</w:t>
      </w:r>
      <w:r>
        <w:rPr>
          <w:rFonts w:hint="eastAsia" w:ascii="宋体" w:hAnsi="宋体" w:cs="宋体"/>
          <w:color w:val="000000" w:themeColor="text1"/>
          <w:sz w:val="24"/>
          <w:highlight w:val="none"/>
          <w14:textFill>
            <w14:solidFill>
              <w14:schemeClr w14:val="tx1"/>
            </w14:solidFill>
          </w14:textFill>
        </w:rPr>
        <w:t xml:space="preserve">乐采云平台（https://www.lecaiyun.com） </w:t>
      </w:r>
    </w:p>
    <w:p w14:paraId="1F40213D">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方式：</w:t>
      </w:r>
      <w:r>
        <w:rPr>
          <w:rFonts w:hint="eastAsia" w:ascii="宋体" w:hAnsi="宋体" w:cs="宋体"/>
          <w:color w:val="000000" w:themeColor="text1"/>
          <w:sz w:val="24"/>
          <w:highlight w:val="none"/>
          <w14:textFill>
            <w14:solidFill>
              <w14:schemeClr w14:val="tx1"/>
            </w14:solidFill>
          </w14:textFill>
        </w:rPr>
        <w:t xml:space="preserve">供应商登录乐采云平台https://www.lecaiyun.com在线申请获取采购文件（进入“项目采购”应用，在获取采购文件菜单中选择项目，申请获取采购文件）。 </w:t>
      </w:r>
    </w:p>
    <w:p w14:paraId="54AC134D">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售价（元）：</w:t>
      </w:r>
      <w:r>
        <w:rPr>
          <w:rFonts w:hint="eastAsia" w:ascii="宋体" w:hAnsi="宋体" w:cs="宋体"/>
          <w:color w:val="000000" w:themeColor="text1"/>
          <w:sz w:val="24"/>
          <w:highlight w:val="none"/>
          <w14:textFill>
            <w14:solidFill>
              <w14:schemeClr w14:val="tx1"/>
            </w14:solidFill>
          </w14:textFill>
        </w:rPr>
        <w:t xml:space="preserve">0 </w:t>
      </w:r>
      <w:r>
        <w:rPr>
          <w:rFonts w:hint="eastAsia" w:ascii="宋体" w:hAnsi="宋体" w:cs="宋体"/>
          <w:color w:val="000000" w:themeColor="text1"/>
          <w:sz w:val="24"/>
          <w:highlight w:val="none"/>
          <w14:textFill>
            <w14:solidFill>
              <w14:schemeClr w14:val="tx1"/>
            </w14:solidFill>
          </w14:textFill>
        </w:rPr>
        <w:tab/>
      </w:r>
    </w:p>
    <w:p w14:paraId="4A949D83">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四、提交投标文件截止时间、开标时间和地点</w:t>
      </w:r>
    </w:p>
    <w:p w14:paraId="55A7E387">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提交投标文件截止时间：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2024年11月8日9点30分</w:t>
      </w:r>
      <w:r>
        <w:rPr>
          <w:rFonts w:hint="eastAsia" w:ascii="宋体" w:hAnsi="宋体" w:cs="宋体"/>
          <w:color w:val="000000" w:themeColor="text1"/>
          <w:sz w:val="24"/>
          <w:highlight w:val="none"/>
          <w:u w:val="single"/>
          <w14:textFill>
            <w14:solidFill>
              <w14:schemeClr w14:val="tx1"/>
            </w14:solidFill>
          </w14:textFill>
        </w:rPr>
        <w:t>00秒</w:t>
      </w:r>
      <w:r>
        <w:rPr>
          <w:rFonts w:hint="eastAsia" w:ascii="宋体" w:hAnsi="宋体" w:cs="宋体"/>
          <w:color w:val="000000" w:themeColor="text1"/>
          <w:sz w:val="24"/>
          <w:highlight w:val="none"/>
          <w14:textFill>
            <w14:solidFill>
              <w14:schemeClr w14:val="tx1"/>
            </w14:solidFill>
          </w14:textFill>
        </w:rPr>
        <w:t>（北京时间）</w:t>
      </w:r>
    </w:p>
    <w:p w14:paraId="48EE0665">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投标地点（网址）：</w:t>
      </w:r>
      <w:r>
        <w:rPr>
          <w:rFonts w:hint="eastAsia" w:ascii="宋体" w:hAnsi="宋体" w:cs="宋体"/>
          <w:color w:val="000000" w:themeColor="text1"/>
          <w:sz w:val="24"/>
          <w:highlight w:val="none"/>
          <w14:textFill>
            <w14:solidFill>
              <w14:schemeClr w14:val="tx1"/>
            </w14:solidFill>
          </w14:textFill>
        </w:rPr>
        <w:t xml:space="preserve">乐采云平台（https://www.lecaiyun.com） </w:t>
      </w:r>
    </w:p>
    <w:p w14:paraId="5AD1F62B">
      <w:pPr>
        <w:spacing w:line="360" w:lineRule="auto"/>
        <w:ind w:firstLine="482" w:firstLineChars="200"/>
        <w:rPr>
          <w:rFonts w:ascii="宋体" w:hAnsi="宋体" w:cs="宋体"/>
          <w:bCs/>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开标时间：</w:t>
      </w:r>
      <w:r>
        <w:rPr>
          <w:rFonts w:hint="eastAsia" w:ascii="宋体" w:hAnsi="宋体" w:cs="宋体"/>
          <w:color w:val="000000" w:themeColor="text1"/>
          <w:sz w:val="24"/>
          <w:highlight w:val="none"/>
          <w:u w:val="single"/>
          <w:lang w:eastAsia="zh-CN"/>
          <w14:textFill>
            <w14:solidFill>
              <w14:schemeClr w14:val="tx1"/>
            </w14:solidFill>
          </w14:textFill>
        </w:rPr>
        <w:t>2024年11月8日9点30分</w:t>
      </w:r>
      <w:r>
        <w:rPr>
          <w:rFonts w:hint="eastAsia" w:ascii="宋体" w:hAnsi="宋体" w:cs="宋体"/>
          <w:color w:val="000000" w:themeColor="text1"/>
          <w:sz w:val="24"/>
          <w:highlight w:val="none"/>
          <w:u w:val="single"/>
          <w14:textFill>
            <w14:solidFill>
              <w14:schemeClr w14:val="tx1"/>
            </w14:solidFill>
          </w14:textFill>
        </w:rPr>
        <w:t>00秒</w:t>
      </w:r>
    </w:p>
    <w:p w14:paraId="4AB292CE">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开标地点（网址）：</w:t>
      </w:r>
      <w:r>
        <w:rPr>
          <w:rFonts w:hint="eastAsia" w:ascii="宋体" w:hAnsi="宋体" w:cs="宋体"/>
          <w:color w:val="000000" w:themeColor="text1"/>
          <w:sz w:val="24"/>
          <w:highlight w:val="none"/>
          <w14:textFill>
            <w14:solidFill>
              <w14:schemeClr w14:val="tx1"/>
            </w14:solidFill>
          </w14:textFill>
        </w:rPr>
        <w:t>乐采云平台（https://www.lecaiyun.com）</w:t>
      </w:r>
    </w:p>
    <w:p w14:paraId="64F86BC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五、公告期限 </w:t>
      </w:r>
    </w:p>
    <w:p w14:paraId="38AE8C9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自本公告发布之日起5个工作日。</w:t>
      </w:r>
    </w:p>
    <w:p w14:paraId="6E5CF172">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六、其他补充事宜</w:t>
      </w:r>
    </w:p>
    <w:p w14:paraId="615A5FD7">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bookmarkStart w:id="12" w:name="_Hlk161388245"/>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、投标人认为采购文件使自己的权益受到损害的，</w:t>
      </w:r>
      <w:r>
        <w:rPr>
          <w:rFonts w:hint="eastAsia" w:ascii="宋体" w:hAnsi="宋体" w:cs="宋体"/>
          <w:color w:val="000000" w:themeColor="text1"/>
          <w:sz w:val="24"/>
          <w:highlight w:val="none"/>
          <w14:textFill>
            <w14:solidFill>
              <w14:schemeClr w14:val="tx1"/>
            </w14:solidFill>
          </w14:textFill>
        </w:rPr>
        <w:t>可以自获取招标文件之日或者招标文件公告期限届满之日（公告期限届满后获取招标文件的，以公告期限届满之日为准）</w:t>
      </w:r>
      <w:r>
        <w:rPr>
          <w:rFonts w:hint="eastAsia" w:ascii="宋体" w:hAnsi="宋体" w:eastAsia="宋体" w:cs="宋体"/>
          <w:color w:val="000000" w:themeColor="text1"/>
          <w:sz w:val="24"/>
          <w:highlight w:val="none"/>
          <w14:textFill>
            <w14:solidFill>
              <w14:schemeClr w14:val="tx1"/>
            </w14:solidFill>
          </w14:textFill>
        </w:rPr>
        <w:t>，以书面形式向采购人和招标代理机构提出质疑。质疑投标人对采购人、招标代理机构的答复不满意或者采购人、招标代理机构未在规定的时间内作出答复的，可以在答复期满后十五个工作日内向采购监督管理部门投诉。</w:t>
      </w:r>
      <w:bookmarkEnd w:id="12"/>
      <w:r>
        <w:rPr>
          <w:rFonts w:hint="eastAsia" w:ascii="宋体" w:hAnsi="宋体" w:eastAsia="宋体" w:cs="宋体"/>
          <w:color w:val="000000" w:themeColor="text1"/>
          <w:sz w:val="24"/>
          <w:highlight w:val="none"/>
          <w14:textFill>
            <w14:solidFill>
              <w14:schemeClr w14:val="tx1"/>
            </w14:solidFill>
          </w14:textFill>
        </w:rPr>
        <w:t>质疑函范本、投诉书范本请到浙江政府采购网下载专区下载。</w:t>
      </w:r>
    </w:p>
    <w:p w14:paraId="5B88460D">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、本项目采用资格后审，请拟投标人自行核对供应商资格条件，如不符合资格条件报名者，在资格审查时导致投标被拒绝的，责任自负；</w:t>
      </w:r>
    </w:p>
    <w:p w14:paraId="1C134CE4">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、书面质疑受理地点：</w:t>
      </w:r>
      <w:r>
        <w:rPr>
          <w:rFonts w:hint="eastAsia" w:ascii="宋体" w:hAnsi="宋体" w:cs="宋体"/>
          <w:color w:val="000000" w:themeColor="text1"/>
          <w:sz w:val="24"/>
          <w:highlight w:val="none"/>
          <w:lang w:eastAsia="zh-CN"/>
          <w14:textFill>
            <w14:solidFill>
              <w14:schemeClr w14:val="tx1"/>
            </w14:solidFill>
          </w14:textFill>
        </w:rPr>
        <w:t>浙江省温州市龙湾区上江路88号凯迪中心6号楼(F座)2101室</w:t>
      </w:r>
      <w:r>
        <w:rPr>
          <w:rFonts w:hint="eastAsia" w:ascii="宋体" w:hAnsi="宋体" w:eastAsia="宋体" w:cs="宋体"/>
          <w:color w:val="000000" w:themeColor="text1"/>
          <w:sz w:val="24"/>
          <w:highlight w:val="none"/>
          <w14:textFill>
            <w14:solidFill>
              <w14:schemeClr w14:val="tx1"/>
            </w14:solidFill>
          </w14:textFill>
        </w:rPr>
        <w:t>，书面质疑受理人：蔡先生，质疑联系电话：0577-86170008/18868450825。</w:t>
      </w:r>
    </w:p>
    <w:p w14:paraId="03E30186">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、采购监督部门：温州眼健康产业投资建设有限公司采购领导小组；联 系 人：黄先生；联系电话：0577-55897239。</w:t>
      </w:r>
    </w:p>
    <w:p w14:paraId="10CE384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.其他事项：详见招标文件的第二部分总则。（</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电子招投标的说明：①电子招投标：本项目以数据电文形式，依托“乐采云平台（www.lecaiyun.com）”进行招投标活动，不接受纸质投标文件；②投标准备：注册账号--点击“商家入驻”，进行供应商资料填写；申领CA数字证书---申领流程详见“乐采云平台-</w:t>
      </w:r>
      <w:r>
        <w:rPr>
          <w:rFonts w:hint="eastAsia" w:ascii="宋体" w:hAnsi="宋体" w:cs="宋体"/>
          <w:color w:val="000000" w:themeColor="text1"/>
          <w:sz w:val="24"/>
          <w:highlight w:val="none"/>
          <w:lang w:eastAsia="zh-CN"/>
          <w14:textFill>
            <w14:solidFill>
              <w14:schemeClr w14:val="tx1"/>
            </w14:solidFill>
          </w14:textFill>
        </w:rPr>
        <w:t>服务中心</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帮助中心</w:t>
      </w:r>
      <w:r>
        <w:rPr>
          <w:rFonts w:hint="eastAsia" w:ascii="宋体" w:hAnsi="宋体" w:cs="宋体"/>
          <w:color w:val="000000" w:themeColor="text1"/>
          <w:sz w:val="24"/>
          <w:highlight w:val="none"/>
          <w14:textFill>
            <w14:solidFill>
              <w14:schemeClr w14:val="tx1"/>
            </w14:solidFill>
          </w14:textFill>
        </w:rPr>
        <w:t>-注册与系统管理</w:t>
      </w:r>
      <w:r>
        <w:rPr>
          <w:rFonts w:hint="eastAsia" w:ascii="宋体" w:hAnsi="宋体" w:cs="宋体"/>
          <w:color w:val="000000" w:themeColor="text1"/>
          <w:sz w:val="24"/>
          <w:highlight w:val="none"/>
          <w:lang w:val="en-US" w:eastAsia="zh-CN"/>
          <w14:textFill>
            <w14:solidFill>
              <w14:schemeClr w14:val="tx1"/>
            </w14:solidFill>
          </w14:textFill>
        </w:rPr>
        <w:t>-CA管理</w:t>
      </w:r>
      <w:r>
        <w:rPr>
          <w:rFonts w:hint="eastAsia" w:ascii="宋体" w:hAnsi="宋体" w:cs="宋体"/>
          <w:color w:val="000000" w:themeColor="text1"/>
          <w:sz w:val="24"/>
          <w:highlight w:val="none"/>
          <w14:textFill>
            <w14:solidFill>
              <w14:schemeClr w14:val="tx1"/>
            </w14:solidFill>
          </w14:textFill>
        </w:rPr>
        <w:t>”；安装“乐采云电子投标客户端”----前往“乐采云平台-</w:t>
      </w:r>
      <w:r>
        <w:rPr>
          <w:rFonts w:hint="eastAsia" w:ascii="宋体" w:hAnsi="宋体" w:cs="宋体"/>
          <w:color w:val="000000" w:themeColor="text1"/>
          <w:sz w:val="24"/>
          <w:highlight w:val="none"/>
          <w:lang w:eastAsia="zh-CN"/>
          <w14:textFill>
            <w14:solidFill>
              <w14:schemeClr w14:val="tx1"/>
            </w14:solidFill>
          </w14:textFill>
        </w:rPr>
        <w:t>投标</w:t>
      </w:r>
      <w:r>
        <w:rPr>
          <w:rFonts w:hint="eastAsia" w:ascii="宋体" w:hAnsi="宋体" w:cs="宋体"/>
          <w:color w:val="000000" w:themeColor="text1"/>
          <w:sz w:val="24"/>
          <w:highlight w:val="none"/>
          <w14:textFill>
            <w14:solidFill>
              <w14:schemeClr w14:val="tx1"/>
            </w14:solidFill>
          </w14:textFill>
        </w:rPr>
        <w:t>客户端”进行下载并安装；③招标文件的获取：使用账号登录或者使用CA登录乐采云平台；进入“项目采购”应用，在获取采购文件菜单中选择项目，获取招标文件；④投标文件的制作：在“乐采云电子投标客户端”中完成“填写基本信息”、“导入投标文件”、“标书关联”、“标书检查”、“电子签名”、“生成电子标书”等操作；⑤采购人、</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将依托乐采云平台完成本项目的电子交易活动，平台不接受未按上述方式获取招标文件的供应商进行投标活动；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乐采云平台，还可以在投标截止时间前直接提交或者以邮政快递方式递交备份投标文件1份。备份投标文件的制作、存储、密封详见招标文件第二部分第1</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点—“备份投标文件”；⑨投标文件的解密：投标人按照平台提示和招标文件的规定在半小时内完成在线解密。通过“乐采云平台”上传递交的投标文件无法按时解密，投标供应商递交了备份投标文件的，以备份投标文件为依据，否则视为投标文件撤回。通过“乐采云平台”上传递交的投标文件已按时解密的，备份投标文件自动失效。投标人仅提交备份投标文件，未在电子交易平台传输递交投标文件的，投标无效；⑩具体操作指南：详见乐采云平台“服务中心-帮助文档-项目采购-操作流程-电子招投标-采购项目电子交易管理操作指南-供应商”。（</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）招标文件公告期限与招标公告的公告期限一致。</w:t>
      </w:r>
    </w:p>
    <w:p w14:paraId="275DE00D">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七、对本次采购提出询问、质疑、投诉，请按以下方式联系</w:t>
      </w:r>
    </w:p>
    <w:p w14:paraId="0F78B3E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1.采购人信息</w:t>
      </w:r>
    </w:p>
    <w:p w14:paraId="04D4028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名    称：</w:t>
      </w:r>
      <w:r>
        <w:rPr>
          <w:rFonts w:hint="eastAsia" w:ascii="宋体" w:hAnsi="宋体" w:cs="宋体"/>
          <w:color w:val="000000" w:themeColor="text1"/>
          <w:sz w:val="24"/>
          <w:highlight w:val="none"/>
          <w:lang w:eastAsia="zh-CN"/>
          <w14:textFill>
            <w14:solidFill>
              <w14:schemeClr w14:val="tx1"/>
            </w14:solidFill>
          </w14:textFill>
        </w:rPr>
        <w:t>温州眼谷小镇运营管理有限公司</w:t>
      </w:r>
      <w:r>
        <w:rPr>
          <w:rFonts w:hint="eastAsia" w:ascii="宋体" w:hAnsi="宋体" w:cs="宋体"/>
          <w:color w:val="000000" w:themeColor="text1"/>
          <w:sz w:val="24"/>
          <w:highlight w:val="none"/>
          <w14:textFill>
            <w14:solidFill>
              <w14:schemeClr w14:val="tx1"/>
            </w14:solidFill>
          </w14:textFill>
        </w:rPr>
        <w:t xml:space="preserve"> </w:t>
      </w:r>
    </w:p>
    <w:p w14:paraId="462A7B0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地    址：浙江省温州市龙湾区罗东北街100号</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47CA8971">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    真： /</w:t>
      </w:r>
    </w:p>
    <w:p w14:paraId="0EBE8FF1">
      <w:pPr>
        <w:spacing w:line="360" w:lineRule="auto"/>
        <w:ind w:firstLine="48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项目联系人（询问）：</w:t>
      </w:r>
      <w:r>
        <w:rPr>
          <w:rFonts w:hint="eastAsia" w:ascii="宋体" w:hAnsi="宋体" w:cs="宋体"/>
          <w:color w:val="000000" w:themeColor="text1"/>
          <w:sz w:val="24"/>
          <w:highlight w:val="none"/>
          <w:lang w:eastAsia="zh-CN"/>
          <w14:textFill>
            <w14:solidFill>
              <w14:schemeClr w14:val="tx1"/>
            </w14:solidFill>
          </w14:textFill>
        </w:rPr>
        <w:t>王先生</w:t>
      </w:r>
      <w:r>
        <w:rPr>
          <w:rFonts w:hint="eastAsia" w:ascii="宋体" w:hAnsi="宋体" w:cs="宋体"/>
          <w:color w:val="000000" w:themeColor="text1"/>
          <w:sz w:val="24"/>
          <w:highlight w:val="none"/>
          <w:lang w:val="en-US" w:eastAsia="zh-CN"/>
          <w14:textFill>
            <w14:solidFill>
              <w14:schemeClr w14:val="tx1"/>
            </w14:solidFill>
          </w14:textFill>
        </w:rPr>
        <w:t xml:space="preserve">   </w:t>
      </w:r>
    </w:p>
    <w:p w14:paraId="31D062A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项目联系方式（询问）：</w:t>
      </w:r>
      <w:r>
        <w:rPr>
          <w:rFonts w:hint="eastAsia" w:ascii="宋体" w:hAnsi="宋体" w:cs="宋体"/>
          <w:color w:val="000000" w:themeColor="text1"/>
          <w:sz w:val="24"/>
          <w:highlight w:val="none"/>
          <w:lang w:val="en-US" w:eastAsia="zh-CN"/>
          <w14:textFill>
            <w14:solidFill>
              <w14:schemeClr w14:val="tx1"/>
            </w14:solidFill>
          </w14:textFill>
        </w:rPr>
        <w:t xml:space="preserve">0577-55897237 </w:t>
      </w:r>
      <w:r>
        <w:rPr>
          <w:rFonts w:hint="eastAsia" w:ascii="宋体" w:hAnsi="宋体" w:cs="宋体"/>
          <w:color w:val="000000" w:themeColor="text1"/>
          <w:sz w:val="24"/>
          <w:highlight w:val="none"/>
          <w14:textFill>
            <w14:solidFill>
              <w14:schemeClr w14:val="tx1"/>
            </w14:solidFill>
          </w14:textFill>
        </w:rPr>
        <w:t xml:space="preserve"> </w:t>
      </w:r>
    </w:p>
    <w:p w14:paraId="35355DE3">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质疑联系人：</w:t>
      </w:r>
      <w:r>
        <w:rPr>
          <w:rFonts w:hint="eastAsia" w:ascii="宋体" w:hAnsi="宋体" w:cs="宋体"/>
          <w:color w:val="000000" w:themeColor="text1"/>
          <w:sz w:val="24"/>
          <w:highlight w:val="none"/>
          <w:lang w:eastAsia="zh-CN"/>
          <w14:textFill>
            <w14:solidFill>
              <w14:schemeClr w14:val="tx1"/>
            </w14:solidFill>
          </w14:textFill>
        </w:rPr>
        <w:t>王先生</w:t>
      </w:r>
      <w:r>
        <w:rPr>
          <w:rFonts w:hint="eastAsia" w:ascii="宋体" w:hAnsi="宋体" w:cs="宋体"/>
          <w:color w:val="000000" w:themeColor="text1"/>
          <w:sz w:val="24"/>
          <w:highlight w:val="none"/>
          <w:lang w:val="en-US" w:eastAsia="zh-CN"/>
          <w14:textFill>
            <w14:solidFill>
              <w14:schemeClr w14:val="tx1"/>
            </w14:solidFill>
          </w14:textFill>
        </w:rPr>
        <w:t xml:space="preserve">  </w:t>
      </w:r>
    </w:p>
    <w:p w14:paraId="2BFE4F8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质疑联系方式：0577-55897237</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280A397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2.采购代理机构信息            </w:t>
      </w:r>
    </w:p>
    <w:p w14:paraId="1B63FA43">
      <w:pPr>
        <w:spacing w:line="360" w:lineRule="auto"/>
        <w:ind w:firstLine="48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w:t>
      </w:r>
      <w:r>
        <w:rPr>
          <w:rFonts w:hint="eastAsia" w:ascii="宋体" w:hAnsi="宋体" w:cs="宋体"/>
          <w:color w:val="000000" w:themeColor="text1"/>
          <w:sz w:val="24"/>
          <w:highlight w:val="none"/>
          <w:lang w:eastAsia="zh-CN"/>
          <w14:textFill>
            <w14:solidFill>
              <w14:schemeClr w14:val="tx1"/>
            </w14:solidFill>
          </w14:textFill>
        </w:rPr>
        <w:t>浙江宏信项目管理有限公司</w:t>
      </w:r>
    </w:p>
    <w:p w14:paraId="77C9F307">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lang w:eastAsia="zh-CN"/>
          <w14:textFill>
            <w14:solidFill>
              <w14:schemeClr w14:val="tx1"/>
            </w14:solidFill>
          </w14:textFill>
        </w:rPr>
        <w:t>浙江省温州市龙湾区上江路88号凯迪中心6号楼(F座)2101室</w:t>
      </w:r>
    </w:p>
    <w:p w14:paraId="20CFDCE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传    真：</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 xml:space="preserve"> </w:t>
      </w:r>
    </w:p>
    <w:p w14:paraId="35EE3FA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项目联系人（询问）：</w:t>
      </w:r>
      <w:r>
        <w:rPr>
          <w:rFonts w:hint="eastAsia" w:ascii="宋体" w:hAnsi="宋体" w:cs="宋体"/>
          <w:color w:val="000000" w:themeColor="text1"/>
          <w:sz w:val="24"/>
          <w:highlight w:val="none"/>
          <w:lang w:val="en-US" w:eastAsia="zh-CN"/>
          <w14:textFill>
            <w14:solidFill>
              <w14:schemeClr w14:val="tx1"/>
            </w14:solidFill>
          </w14:textFill>
        </w:rPr>
        <w:t>蔡先生</w:t>
      </w:r>
      <w:r>
        <w:rPr>
          <w:rFonts w:hint="eastAsia" w:ascii="宋体" w:hAnsi="宋体" w:cs="宋体"/>
          <w:color w:val="000000" w:themeColor="text1"/>
          <w:sz w:val="24"/>
          <w:highlight w:val="none"/>
          <w14:textFill>
            <w14:solidFill>
              <w14:schemeClr w14:val="tx1"/>
            </w14:solidFill>
          </w14:textFill>
        </w:rPr>
        <w:t xml:space="preserve"> </w:t>
      </w:r>
    </w:p>
    <w:p w14:paraId="598E35A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项目联系方式（询问）：</w:t>
      </w:r>
      <w:r>
        <w:rPr>
          <w:rFonts w:hint="eastAsia" w:ascii="宋体" w:hAnsi="宋体" w:cs="宋体"/>
          <w:color w:val="000000" w:themeColor="text1"/>
          <w:sz w:val="24"/>
          <w:highlight w:val="none"/>
          <w:lang w:eastAsia="zh-CN"/>
          <w14:textFill>
            <w14:solidFill>
              <w14:schemeClr w14:val="tx1"/>
            </w14:solidFill>
          </w14:textFill>
        </w:rPr>
        <w:t>0577-86170008/18868450825</w:t>
      </w:r>
    </w:p>
    <w:p w14:paraId="090CADC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质疑联系人：</w:t>
      </w:r>
      <w:r>
        <w:rPr>
          <w:rFonts w:hint="eastAsia" w:ascii="宋体" w:hAnsi="宋体" w:cs="宋体"/>
          <w:color w:val="000000" w:themeColor="text1"/>
          <w:sz w:val="24"/>
          <w:highlight w:val="none"/>
          <w:lang w:val="en-US" w:eastAsia="zh-CN"/>
          <w14:textFill>
            <w14:solidFill>
              <w14:schemeClr w14:val="tx1"/>
            </w14:solidFill>
          </w14:textFill>
        </w:rPr>
        <w:t>金忠静</w:t>
      </w:r>
      <w:r>
        <w:rPr>
          <w:rFonts w:hint="eastAsia" w:ascii="宋体" w:hAnsi="宋体" w:cs="宋体"/>
          <w:color w:val="000000" w:themeColor="text1"/>
          <w:sz w:val="24"/>
          <w:highlight w:val="none"/>
          <w14:textFill>
            <w14:solidFill>
              <w14:schemeClr w14:val="tx1"/>
            </w14:solidFill>
          </w14:textFill>
        </w:rPr>
        <w:t xml:space="preserve"> </w:t>
      </w:r>
    </w:p>
    <w:p w14:paraId="3C75000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质疑联系方式：</w:t>
      </w:r>
      <w:r>
        <w:rPr>
          <w:rFonts w:hint="eastAsia" w:ascii="宋体" w:hAnsi="宋体" w:cs="宋体"/>
          <w:color w:val="000000" w:themeColor="text1"/>
          <w:sz w:val="24"/>
          <w:highlight w:val="none"/>
          <w:lang w:eastAsia="zh-CN"/>
          <w14:textFill>
            <w14:solidFill>
              <w14:schemeClr w14:val="tx1"/>
            </w14:solidFill>
          </w14:textFill>
        </w:rPr>
        <w:t>0577-86170008</w:t>
      </w:r>
    </w:p>
    <w:p w14:paraId="4BBCEB7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3.</w:t>
      </w:r>
      <w:r>
        <w:rPr>
          <w:rFonts w:hint="eastAsia"/>
          <w:color w:val="000000" w:themeColor="text1"/>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eastAsia="zh-CN"/>
          <w14:textFill>
            <w14:solidFill>
              <w14:schemeClr w14:val="tx1"/>
            </w14:solidFill>
          </w14:textFill>
        </w:rPr>
        <w:t xml:space="preserve">采购监督管理部门   </w:t>
      </w:r>
      <w:r>
        <w:rPr>
          <w:rFonts w:hint="eastAsia" w:ascii="宋体" w:hAnsi="宋体" w:cs="宋体"/>
          <w:color w:val="000000" w:themeColor="text1"/>
          <w:sz w:val="24"/>
          <w:highlight w:val="none"/>
          <w14:textFill>
            <w14:solidFill>
              <w14:schemeClr w14:val="tx1"/>
            </w14:solidFill>
          </w14:textFill>
        </w:rPr>
        <w:t xml:space="preserve">         </w:t>
      </w:r>
    </w:p>
    <w:p w14:paraId="7B421045">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名    称：</w:t>
      </w:r>
      <w:r>
        <w:rPr>
          <w:rFonts w:hint="eastAsia" w:ascii="宋体" w:hAnsi="宋体" w:cs="宋体"/>
          <w:color w:val="000000" w:themeColor="text1"/>
          <w:sz w:val="24"/>
          <w:highlight w:val="none"/>
          <w:lang w:val="en-US" w:eastAsia="zh-CN"/>
          <w14:textFill>
            <w14:solidFill>
              <w14:schemeClr w14:val="tx1"/>
            </w14:solidFill>
          </w14:textFill>
        </w:rPr>
        <w:t>温州眼健康产业投资建设有限公司采购领导小组</w:t>
      </w:r>
    </w:p>
    <w:p w14:paraId="66C85C8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地    址：浙江省温州市龙湾区罗东北街100号</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43633A31">
      <w:pPr>
        <w:spacing w:line="360" w:lineRule="auto"/>
        <w:ind w:firstLine="48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    真：</w:t>
      </w:r>
      <w:r>
        <w:rPr>
          <w:rFonts w:hint="eastAsia" w:ascii="宋体" w:hAnsi="宋体" w:cs="宋体"/>
          <w:color w:val="000000" w:themeColor="text1"/>
          <w:sz w:val="24"/>
          <w:highlight w:val="none"/>
          <w:lang w:val="en-US" w:eastAsia="zh-CN"/>
          <w14:textFill>
            <w14:solidFill>
              <w14:schemeClr w14:val="tx1"/>
            </w14:solidFill>
          </w14:textFill>
        </w:rPr>
        <w:t xml:space="preserve">/ </w:t>
      </w:r>
    </w:p>
    <w:p w14:paraId="0C4AE311">
      <w:pPr>
        <w:spacing w:line="360" w:lineRule="auto"/>
        <w:ind w:firstLine="48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 ：黄先生</w:t>
      </w:r>
      <w:r>
        <w:rPr>
          <w:rFonts w:hint="eastAsia" w:ascii="宋体" w:hAnsi="宋体" w:cs="宋体"/>
          <w:color w:val="000000" w:themeColor="text1"/>
          <w:sz w:val="24"/>
          <w:highlight w:val="none"/>
          <w:lang w:val="en-US" w:eastAsia="zh-CN"/>
          <w14:textFill>
            <w14:solidFill>
              <w14:schemeClr w14:val="tx1"/>
            </w14:solidFill>
          </w14:textFill>
        </w:rPr>
        <w:t xml:space="preserve"> </w:t>
      </w:r>
    </w:p>
    <w:p w14:paraId="0C943F8B">
      <w:pPr>
        <w:spacing w:line="360" w:lineRule="auto"/>
        <w:ind w:firstLine="48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监督投诉电话：0577-55897239</w:t>
      </w:r>
      <w:r>
        <w:rPr>
          <w:rFonts w:hint="eastAsia" w:ascii="宋体" w:hAnsi="宋体" w:cs="宋体"/>
          <w:color w:val="000000" w:themeColor="text1"/>
          <w:sz w:val="24"/>
          <w:highlight w:val="none"/>
          <w:lang w:val="en-US" w:eastAsia="zh-CN"/>
          <w14:textFill>
            <w14:solidFill>
              <w14:schemeClr w14:val="tx1"/>
            </w14:solidFill>
          </w14:textFill>
        </w:rPr>
        <w:t xml:space="preserve"> </w:t>
      </w:r>
    </w:p>
    <w:p w14:paraId="179B7293">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02F4493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若对项目采购电子交易系统操作有疑问，可登录</w:t>
      </w:r>
      <w:r>
        <w:rPr>
          <w:rFonts w:hint="eastAsia" w:ascii="宋体" w:hAnsi="宋体" w:cs="宋体"/>
          <w:color w:val="000000" w:themeColor="text1"/>
          <w:sz w:val="24"/>
          <w:highlight w:val="none"/>
          <w:lang w:eastAsia="zh-CN"/>
          <w14:textFill>
            <w14:solidFill>
              <w14:schemeClr w14:val="tx1"/>
            </w14:solidFill>
          </w14:textFill>
        </w:rPr>
        <w:t>乐</w:t>
      </w:r>
      <w:r>
        <w:rPr>
          <w:rFonts w:hint="eastAsia" w:ascii="宋体" w:hAnsi="宋体" w:cs="宋体"/>
          <w:color w:val="000000" w:themeColor="text1"/>
          <w:sz w:val="24"/>
          <w:highlight w:val="none"/>
          <w14:textFill>
            <w14:solidFill>
              <w14:schemeClr w14:val="tx1"/>
            </w14:solidFill>
          </w14:textFill>
        </w:rPr>
        <w:t>采云（https://www.lecaiyun.com），点击右侧咨询小采，获取采小蜜智能服务管家帮助，或拨打</w:t>
      </w:r>
      <w:r>
        <w:rPr>
          <w:rFonts w:hint="eastAsia" w:ascii="宋体" w:hAnsi="宋体" w:cs="宋体"/>
          <w:color w:val="000000" w:themeColor="text1"/>
          <w:sz w:val="24"/>
          <w:highlight w:val="none"/>
          <w:lang w:eastAsia="zh-CN"/>
          <w14:textFill>
            <w14:solidFill>
              <w14:schemeClr w14:val="tx1"/>
            </w14:solidFill>
          </w14:textFill>
        </w:rPr>
        <w:t>乐</w:t>
      </w:r>
      <w:r>
        <w:rPr>
          <w:rFonts w:hint="eastAsia" w:ascii="宋体" w:hAnsi="宋体" w:cs="宋体"/>
          <w:color w:val="000000" w:themeColor="text1"/>
          <w:sz w:val="24"/>
          <w:highlight w:val="none"/>
          <w14:textFill>
            <w14:solidFill>
              <w14:schemeClr w14:val="tx1"/>
            </w14:solidFill>
          </w14:textFill>
        </w:rPr>
        <w:t>采云服务热线95763获取热线服务帮助。</w:t>
      </w:r>
    </w:p>
    <w:p w14:paraId="02CFB4E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CA问题联系电话（人工）：汇信CA 400-888-4636；天谷CA 400-087-8198。</w:t>
      </w:r>
    </w:p>
    <w:p w14:paraId="7758C87B">
      <w:pPr>
        <w:pStyle w:val="33"/>
        <w:spacing w:line="360" w:lineRule="auto"/>
        <w:rPr>
          <w:rFonts w:hAnsi="宋体" w:cs="宋体"/>
          <w:b/>
          <w:color w:val="000000" w:themeColor="text1"/>
          <w:sz w:val="36"/>
          <w:szCs w:val="20"/>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 xml:space="preserve">                        </w:t>
      </w:r>
      <w:r>
        <w:rPr>
          <w:rFonts w:hAnsi="宋体" w:cs="宋体"/>
          <w:b/>
          <w:color w:val="000000" w:themeColor="text1"/>
          <w:sz w:val="36"/>
          <w:szCs w:val="20"/>
          <w:highlight w:val="none"/>
          <w14:textFill>
            <w14:solidFill>
              <w14:schemeClr w14:val="tx1"/>
            </w14:solidFill>
          </w14:textFill>
        </w:rPr>
        <w:t xml:space="preserve"> </w:t>
      </w:r>
    </w:p>
    <w:p w14:paraId="149D0F07">
      <w:pPr>
        <w:pStyle w:val="4"/>
        <w:rPr>
          <w:rFonts w:ascii="宋体"/>
          <w:snapToGrid w:val="0"/>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34362960">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第二部分</w:t>
      </w:r>
      <w:bookmarkEnd w:id="8"/>
      <w:r>
        <w:rPr>
          <w:rFonts w:hint="eastAsia" w:ascii="宋体" w:hAnsi="宋体" w:cs="宋体"/>
          <w:b/>
          <w:color w:val="000000" w:themeColor="text1"/>
          <w:sz w:val="36"/>
          <w:szCs w:val="20"/>
          <w:highlight w:val="none"/>
          <w14:textFill>
            <w14:solidFill>
              <w14:schemeClr w14:val="tx1"/>
            </w14:solidFill>
          </w14:textFill>
        </w:rPr>
        <w:t xml:space="preserve"> 投标人须知</w:t>
      </w:r>
      <w:bookmarkEnd w:id="9"/>
    </w:p>
    <w:p w14:paraId="75C63A8D">
      <w:pPr>
        <w:adjustRightInd/>
        <w:spacing w:line="360" w:lineRule="auto"/>
        <w:ind w:firstLine="3845" w:firstLineChars="1197"/>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66799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23FCABE">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A31376B">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5E85ED8">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本项目的特别规定</w:t>
            </w:r>
          </w:p>
        </w:tc>
      </w:tr>
      <w:tr w14:paraId="439A45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B03C621">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E43EDFB">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2CFAF4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货物</w:t>
            </w:r>
            <w:r>
              <w:rPr>
                <w:rFonts w:hint="eastAsia" w:ascii="宋体" w:hAnsi="宋体" w:eastAsia="宋体" w:cs="宋体"/>
                <w:color w:val="000000" w:themeColor="text1"/>
                <w:sz w:val="24"/>
                <w:highlight w:val="none"/>
                <w14:textFill>
                  <w14:solidFill>
                    <w14:schemeClr w14:val="tx1"/>
                  </w14:solidFill>
                </w14:textFill>
              </w:rPr>
              <w:t>类，单一产品或核心产品为：</w:t>
            </w:r>
            <w:r>
              <w:rPr>
                <w:rFonts w:hint="eastAsia" w:ascii="宋体" w:hAnsi="宋体" w:eastAsia="宋体" w:cs="宋体"/>
                <w:color w:val="000000" w:themeColor="text1"/>
                <w:sz w:val="24"/>
                <w:highlight w:val="none"/>
                <w:u w:val="single"/>
                <w14:textFill>
                  <w14:solidFill>
                    <w14:schemeClr w14:val="tx1"/>
                  </w14:solidFill>
                </w14:textFill>
              </w:rPr>
              <w:t>普通电动床</w:t>
            </w:r>
            <w:r>
              <w:rPr>
                <w:rFonts w:hint="eastAsia" w:ascii="宋体" w:hAnsi="宋体" w:cs="宋体"/>
                <w:color w:val="000000" w:themeColor="text1"/>
                <w:sz w:val="24"/>
                <w:highlight w:val="none"/>
                <w:u w:val="single"/>
                <w:lang w:eastAsia="zh-CN"/>
                <w14:textFill>
                  <w14:solidFill>
                    <w14:schemeClr w14:val="tx1"/>
                  </w14:solidFill>
                </w14:textFill>
              </w:rPr>
              <w:t>、治疗车（三层抽屉）</w:t>
            </w:r>
            <w:r>
              <w:rPr>
                <w:rFonts w:hint="eastAsia" w:asciiTheme="minorEastAsia" w:hAnsiTheme="minorEastAsia" w:eastAsiaTheme="minorEastAsia" w:cstheme="minorEastAsia"/>
                <w:b w:val="0"/>
                <w:bCs w:val="0"/>
                <w:color w:val="000000" w:themeColor="text1"/>
                <w:kern w:val="0"/>
                <w:sz w:val="24"/>
                <w:szCs w:val="32"/>
                <w:highlight w:val="none"/>
                <w:u w:val="single"/>
                <w:lang w:val="zh-CN" w:eastAsia="zh-CN" w:bidi="ar-SA"/>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tc>
      </w:tr>
      <w:tr w14:paraId="6DE93E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A0C9C58">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AA8EE82">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采购标的</w:t>
            </w:r>
          </w:p>
        </w:tc>
        <w:tc>
          <w:tcPr>
            <w:tcW w:w="6095" w:type="dxa"/>
            <w:tcBorders>
              <w:top w:val="single" w:color="000000" w:sz="8" w:space="0"/>
              <w:left w:val="single" w:color="000000" w:sz="2" w:space="0"/>
              <w:bottom w:val="single" w:color="000000" w:sz="8" w:space="0"/>
              <w:right w:val="single" w:color="000000" w:sz="8" w:space="0"/>
            </w:tcBorders>
            <w:vAlign w:val="center"/>
          </w:tcPr>
          <w:p w14:paraId="5B532C7D">
            <w:pPr>
              <w:pStyle w:val="4"/>
              <w:ind w:left="0" w:leftChars="0" w:firstLine="0" w:firstLineChars="0"/>
              <w:rPr>
                <w:rFonts w:hint="default" w:ascii="宋体" w:hAnsi="宋体" w:eastAsia="宋体" w:cs="宋体"/>
                <w:color w:val="000000" w:themeColor="text1"/>
                <w:highlight w:val="none"/>
                <w:lang w:val="en-US"/>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highlight w:val="none"/>
                <w14:textFill>
                  <w14:solidFill>
                    <w14:schemeClr w14:val="tx1"/>
                  </w14:solidFill>
                </w14:textFill>
              </w:rPr>
              <w:t>（1）标的：</w:t>
            </w:r>
            <w:r>
              <w:rPr>
                <w:rFonts w:hint="eastAsia" w:asciiTheme="minorEastAsia" w:hAnsiTheme="minorEastAsia" w:eastAsiaTheme="minorEastAsia" w:cstheme="minorEastAsia"/>
                <w:b w:val="0"/>
                <w:bCs w:val="0"/>
                <w:color w:val="000000" w:themeColor="text1"/>
                <w:kern w:val="0"/>
                <w:sz w:val="24"/>
                <w:highlight w:val="none"/>
                <w:u w:val="single"/>
                <w:lang w:val="en-US" w:eastAsia="zh-CN"/>
                <w14:textFill>
                  <w14:solidFill>
                    <w14:schemeClr w14:val="tx1"/>
                  </w14:solidFill>
                </w14:textFill>
              </w:rPr>
              <w:t>详见招标一览表</w:t>
            </w:r>
          </w:p>
        </w:tc>
      </w:tr>
      <w:tr w14:paraId="4907CC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D21D8E7">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B701F0B">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70F1F5A">
            <w:pPr>
              <w:spacing w:line="360" w:lineRule="auto"/>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828425707"/>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本项目不允许采购进口产品。</w:t>
            </w:r>
          </w:p>
          <w:p w14:paraId="60C3A988">
            <w:pPr>
              <w:spacing w:line="360" w:lineRule="auto"/>
              <w:rPr>
                <w:rFonts w:ascii="宋体" w:hAnsi="宋体" w:cs="宋体"/>
                <w:color w:val="000000" w:themeColor="text1"/>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52852824"/>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可以采购进口产品。</w:t>
            </w:r>
          </w:p>
        </w:tc>
      </w:tr>
      <w:tr w14:paraId="748961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5C98908">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C306F35">
            <w:pPr>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59CFF69">
            <w:pPr>
              <w:spacing w:line="360" w:lineRule="auto"/>
              <w:rPr>
                <w:rFonts w:hint="eastAsia"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7286927"/>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MS Gothic" w:hAnsi="MS Gothic"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 xml:space="preserve"> A</w:t>
            </w:r>
            <w:r>
              <w:rPr>
                <w:rFonts w:hint="eastAsia" w:ascii="宋体" w:hAnsi="宋体" w:cs="宋体"/>
                <w:color w:val="000000" w:themeColor="text1"/>
                <w:sz w:val="24"/>
                <w:highlight w:val="none"/>
                <w14:textFill>
                  <w14:solidFill>
                    <w14:schemeClr w14:val="tx1"/>
                  </w14:solidFill>
                </w14:textFill>
              </w:rPr>
              <w:t>同意将非主体、非关键性的工作分包。</w:t>
            </w:r>
          </w:p>
          <w:p w14:paraId="5DFED8F2">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276331357"/>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 xml:space="preserve"> B</w:t>
            </w:r>
            <w:r>
              <w:rPr>
                <w:rFonts w:hint="eastAsia" w:ascii="宋体" w:hAnsi="宋体" w:cs="宋体"/>
                <w:color w:val="000000" w:themeColor="text1"/>
                <w:sz w:val="24"/>
                <w:highlight w:val="none"/>
                <w14:textFill>
                  <w14:solidFill>
                    <w14:schemeClr w14:val="tx1"/>
                  </w14:solidFill>
                </w14:textFill>
              </w:rPr>
              <w:t>不同意分包。</w:t>
            </w:r>
          </w:p>
        </w:tc>
      </w:tr>
      <w:tr w14:paraId="3F1735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EA7CBB">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11D9946">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C496EB7">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212966419"/>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p w14:paraId="368395B4">
            <w:pPr>
              <w:spacing w:line="360" w:lineRule="auto"/>
              <w:rPr>
                <w:rFonts w:ascii="宋体" w:hAnsi="宋体" w:cs="宋体"/>
                <w:color w:val="000000" w:themeColor="text1"/>
                <w:sz w:val="24"/>
                <w:szCs w:val="20"/>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999802974"/>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B组织，</w:t>
            </w:r>
            <w:r>
              <w:rPr>
                <w:rFonts w:hint="eastAsia" w:ascii="宋体" w:hAnsi="宋体" w:cs="宋体"/>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,地点：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，联系方式：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szCs w:val="20"/>
                <w:highlight w:val="none"/>
                <w14:textFill>
                  <w14:solidFill>
                    <w14:schemeClr w14:val="tx1"/>
                  </w14:solidFill>
                </w14:textFill>
              </w:rPr>
              <w:t>。</w:t>
            </w:r>
          </w:p>
        </w:tc>
      </w:tr>
      <w:tr w14:paraId="2C87E9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402FFCD">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E112C7A">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61E228A">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639946486"/>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不要求提供。</w:t>
            </w:r>
          </w:p>
          <w:p w14:paraId="5F7F94C0">
            <w:pPr>
              <w:spacing w:line="360" w:lineRule="auto"/>
              <w:rPr>
                <w:rFonts w:hint="eastAsia" w:ascii="宋体" w:hAnsi="宋体" w:cs="宋体"/>
                <w:color w:val="000000" w:themeColor="text1"/>
                <w:kern w:val="0"/>
                <w:sz w:val="24"/>
                <w:highlight w:val="none"/>
                <w:lang w:eastAsia="zh-CN"/>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026831988"/>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B要求提供</w:t>
            </w:r>
            <w:r>
              <w:rPr>
                <w:rFonts w:hint="eastAsia" w:ascii="宋体" w:hAnsi="宋体" w:cs="宋体"/>
                <w:color w:val="000000" w:themeColor="text1"/>
                <w:kern w:val="0"/>
                <w:sz w:val="24"/>
                <w:highlight w:val="none"/>
                <w:lang w:eastAsia="zh-CN"/>
                <w14:textFill>
                  <w14:solidFill>
                    <w14:schemeClr w14:val="tx1"/>
                  </w14:solidFill>
                </w14:textFill>
              </w:rPr>
              <w:t>。</w:t>
            </w:r>
          </w:p>
          <w:p w14:paraId="29761345">
            <w:pPr>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（1）样品：</w:t>
            </w:r>
            <w:r>
              <w:rPr>
                <w:rFonts w:hint="eastAsia" w:ascii="宋体" w:hAnsi="宋体" w:cs="宋体"/>
                <w:color w:val="000000" w:themeColor="text1"/>
                <w:kern w:val="0"/>
                <w:sz w:val="24"/>
                <w:highlight w:val="none"/>
                <w:u w:val="single"/>
                <w14:textFill>
                  <w14:solidFill>
                    <w14:schemeClr w14:val="tx1"/>
                  </w14:solidFill>
                </w14:textFill>
              </w:rPr>
              <w:t xml:space="preserve"> 监护床一张</w:t>
            </w:r>
            <w:r>
              <w:rPr>
                <w:rFonts w:hint="eastAsia" w:ascii="宋体" w:hAnsi="宋体" w:cs="宋体"/>
                <w:color w:val="000000" w:themeColor="text1"/>
                <w:kern w:val="0"/>
                <w:sz w:val="24"/>
                <w:highlight w:val="none"/>
                <w:u w:val="single"/>
                <w:lang w:eastAsia="zh-CN"/>
                <w14:textFill>
                  <w14:solidFill>
                    <w14:schemeClr w14:val="tx1"/>
                  </w14:solidFill>
                </w14:textFill>
              </w:rPr>
              <w:t>、</w:t>
            </w:r>
            <w:r>
              <w:rPr>
                <w:rFonts w:hint="eastAsia" w:ascii="宋体" w:hAnsi="宋体" w:eastAsia="宋体" w:cs="宋体"/>
                <w:color w:val="000000" w:themeColor="text1"/>
                <w:kern w:val="0"/>
                <w:sz w:val="24"/>
                <w:highlight w:val="none"/>
                <w:u w:val="single"/>
                <w14:textFill>
                  <w14:solidFill>
                    <w14:schemeClr w14:val="tx1"/>
                  </w14:solidFill>
                </w14:textFill>
              </w:rPr>
              <w:t>普通电动床一张、移动查房车（不带电脑）一辆</w:t>
            </w:r>
            <w:r>
              <w:rPr>
                <w:rFonts w:hint="eastAsia" w:ascii="宋体" w:hAnsi="宋体" w:cs="宋体"/>
                <w:color w:val="000000" w:themeColor="text1"/>
                <w:kern w:val="0"/>
                <w:sz w:val="24"/>
                <w:highlight w:val="none"/>
                <w14:textFill>
                  <w14:solidFill>
                    <w14:schemeClr w14:val="tx1"/>
                  </w14:solidFill>
                </w14:textFill>
              </w:rPr>
              <w:t xml:space="preserve">； </w:t>
            </w:r>
          </w:p>
          <w:p w14:paraId="513CB2D9">
            <w:pPr>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（2）样品制作的标准和要求： </w:t>
            </w:r>
            <w:r>
              <w:rPr>
                <w:rFonts w:hint="eastAsia" w:ascii="宋体" w:hAnsi="宋体" w:cs="宋体"/>
                <w:color w:val="000000" w:themeColor="text1"/>
                <w:kern w:val="0"/>
                <w:sz w:val="24"/>
                <w:highlight w:val="none"/>
                <w:u w:val="single"/>
                <w14:textFill>
                  <w14:solidFill>
                    <w14:schemeClr w14:val="tx1"/>
                  </w14:solidFill>
                </w14:textFill>
              </w:rPr>
              <w:t>详见《第三部分 采购需求》</w:t>
            </w:r>
            <w:r>
              <w:rPr>
                <w:rFonts w:hint="eastAsia" w:ascii="宋体" w:hAnsi="宋体" w:cs="宋体"/>
                <w:color w:val="000000" w:themeColor="text1"/>
                <w:kern w:val="0"/>
                <w:sz w:val="24"/>
                <w:highlight w:val="none"/>
                <w14:textFill>
                  <w14:solidFill>
                    <w14:schemeClr w14:val="tx1"/>
                  </w14:solidFill>
                </w14:textFill>
              </w:rPr>
              <w:t xml:space="preserve"> ；</w:t>
            </w:r>
          </w:p>
          <w:p w14:paraId="539617E2">
            <w:pPr>
              <w:spacing w:line="360" w:lineRule="auto"/>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（3）样品的评审方法以及评审标准：</w:t>
            </w:r>
            <w:r>
              <w:rPr>
                <w:rFonts w:hint="eastAsia" w:ascii="宋体" w:hAnsi="宋体" w:cs="宋体"/>
                <w:color w:val="000000" w:themeColor="text1"/>
                <w:sz w:val="24"/>
                <w:highlight w:val="none"/>
                <w:u w:val="single"/>
                <w14:textFill>
                  <w14:solidFill>
                    <w14:schemeClr w14:val="tx1"/>
                  </w14:solidFill>
                </w14:textFill>
              </w:rPr>
              <w:t>评标办法</w:t>
            </w:r>
            <w:r>
              <w:rPr>
                <w:rFonts w:hint="eastAsia" w:ascii="宋体" w:hAnsi="宋体" w:cs="宋体"/>
                <w:color w:val="000000" w:themeColor="text1"/>
                <w:sz w:val="24"/>
                <w:highlight w:val="none"/>
                <w:u w:val="single"/>
                <w:lang w:eastAsia="zh-CN"/>
                <w14:textFill>
                  <w14:solidFill>
                    <w14:schemeClr w14:val="tx1"/>
                  </w14:solidFill>
                </w14:textFill>
              </w:rPr>
              <w:t>。</w:t>
            </w:r>
          </w:p>
          <w:p w14:paraId="10A4040D">
            <w:pPr>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r>
              <w:rPr>
                <w:rFonts w:hint="eastAsia" w:ascii="宋体" w:hAnsi="宋体" w:cs="宋体"/>
                <w:color w:val="000000" w:themeColor="text1"/>
                <w:kern w:val="0"/>
                <w:sz w:val="24"/>
                <w:highlight w:val="none"/>
                <w14:textFill>
                  <w14:solidFill>
                    <w14:schemeClr w14:val="tx1"/>
                  </w14:solidFill>
                </w14:textFill>
              </w:rPr>
              <w:t>样品分未超过价格分的50%；</w:t>
            </w:r>
          </w:p>
          <w:p w14:paraId="765FCDEB">
            <w:pPr>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☐样品分超过价格分的50%，理由   ；</w:t>
            </w:r>
          </w:p>
          <w:p w14:paraId="0DD087E5">
            <w:pPr>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详见招标文件第四部分评标办分法。 </w:t>
            </w:r>
          </w:p>
          <w:p w14:paraId="681ED208">
            <w:pPr>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（4）是否需要随样品提交检测报告：</w:t>
            </w:r>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r>
              <w:rPr>
                <w:rFonts w:hint="eastAsia" w:ascii="宋体" w:hAnsi="宋体" w:cs="宋体"/>
                <w:color w:val="000000" w:themeColor="text1"/>
                <w:kern w:val="0"/>
                <w:sz w:val="24"/>
                <w:highlight w:val="none"/>
                <w14:textFill>
                  <w14:solidFill>
                    <w14:schemeClr w14:val="tx1"/>
                  </w14:solidFill>
                </w14:textFill>
              </w:rPr>
              <w:t>否；☐是，检测机构的要求：</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检测内容：</w:t>
            </w:r>
            <w:r>
              <w:rPr>
                <w:rFonts w:hint="eastAsia" w:ascii="宋体" w:hAnsi="宋体" w:cs="宋体"/>
                <w:color w:val="000000" w:themeColor="text1"/>
                <w:kern w:val="0"/>
                <w:sz w:val="24"/>
                <w:highlight w:val="none"/>
                <w:u w:val="single"/>
                <w14:textFill>
                  <w14:solidFill>
                    <w14:schemeClr w14:val="tx1"/>
                  </w14:solidFill>
                </w14:textFill>
              </w:rPr>
              <w:t xml:space="preserve">    。</w:t>
            </w:r>
          </w:p>
          <w:p w14:paraId="44933396">
            <w:pPr>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（5）提供样品的时间：</w:t>
            </w:r>
            <w:r>
              <w:rPr>
                <w:rFonts w:hint="eastAsia" w:ascii="宋体" w:hAnsi="宋体" w:cs="宋体"/>
                <w:color w:val="000000" w:themeColor="text1"/>
                <w:sz w:val="24"/>
                <w:highlight w:val="none"/>
                <w:u w:val="single"/>
                <w:lang w:eastAsia="zh-CN"/>
                <w14:textFill>
                  <w14:solidFill>
                    <w14:schemeClr w14:val="tx1"/>
                  </w14:solidFill>
                </w14:textFill>
              </w:rPr>
              <w:t>2024年11月8日</w:t>
            </w:r>
            <w:r>
              <w:rPr>
                <w:rFonts w:hint="eastAsia" w:ascii="宋体" w:hAnsi="宋体" w:cs="宋体"/>
                <w:color w:val="000000" w:themeColor="text1"/>
                <w:kern w:val="0"/>
                <w:sz w:val="24"/>
                <w:highlight w:val="none"/>
                <w14:textFill>
                  <w14:solidFill>
                    <w14:schemeClr w14:val="tx1"/>
                  </w14:solidFill>
                </w14:textFill>
              </w:rPr>
              <w:t>8点30分至</w:t>
            </w:r>
            <w:r>
              <w:rPr>
                <w:rFonts w:hint="eastAsia" w:ascii="宋体" w:hAnsi="宋体" w:cs="宋体"/>
                <w:color w:val="000000" w:themeColor="text1"/>
                <w:sz w:val="24"/>
                <w:highlight w:val="none"/>
                <w:u w:val="single"/>
                <w:lang w:eastAsia="zh-CN"/>
                <w14:textFill>
                  <w14:solidFill>
                    <w14:schemeClr w14:val="tx1"/>
                  </w14:solidFill>
                </w14:textFill>
              </w:rPr>
              <w:t>2024年11月8日</w:t>
            </w:r>
            <w:r>
              <w:rPr>
                <w:rFonts w:hint="eastAsia" w:ascii="宋体" w:hAnsi="宋体" w:cs="宋体"/>
                <w:color w:val="000000" w:themeColor="text1"/>
                <w:kern w:val="0"/>
                <w:sz w:val="24"/>
                <w:highlight w:val="none"/>
                <w14:textFill>
                  <w14:solidFill>
                    <w14:schemeClr w14:val="tx1"/>
                  </w14:solidFill>
                </w14:textFill>
              </w:rPr>
              <w:t>9点30分；地点：龙湾区永中街道升平路77号行政服务中心西裙楼3楼样品陈列室 ；联系人：</w:t>
            </w:r>
            <w:r>
              <w:rPr>
                <w:rFonts w:hint="eastAsia" w:ascii="宋体" w:hAnsi="宋体" w:cs="宋体"/>
                <w:color w:val="000000" w:themeColor="text1"/>
                <w:kern w:val="0"/>
                <w:sz w:val="24"/>
                <w:highlight w:val="none"/>
                <w:lang w:val="en-US" w:eastAsia="zh-CN"/>
                <w14:textFill>
                  <w14:solidFill>
                    <w14:schemeClr w14:val="tx1"/>
                  </w14:solidFill>
                </w14:textFill>
              </w:rPr>
              <w:t>蔡先生</w:t>
            </w:r>
            <w:r>
              <w:rPr>
                <w:rFonts w:hint="eastAsia" w:ascii="宋体" w:hAnsi="宋体" w:cs="宋体"/>
                <w:color w:val="000000" w:themeColor="text1"/>
                <w:kern w:val="0"/>
                <w:sz w:val="24"/>
                <w:highlight w:val="none"/>
                <w14:textFill>
                  <w14:solidFill>
                    <w14:schemeClr w14:val="tx1"/>
                  </w14:solidFill>
                </w14:textFill>
              </w:rPr>
              <w:t>，联系电话：</w:t>
            </w:r>
            <w:r>
              <w:rPr>
                <w:rFonts w:hint="eastAsia" w:ascii="宋体" w:hAnsi="宋体" w:cs="宋体"/>
                <w:color w:val="000000" w:themeColor="text1"/>
                <w:kern w:val="0"/>
                <w:sz w:val="24"/>
                <w:highlight w:val="none"/>
                <w:lang w:val="en-US" w:eastAsia="zh-CN"/>
                <w14:textFill>
                  <w14:solidFill>
                    <w14:schemeClr w14:val="tx1"/>
                  </w14:solidFill>
                </w14:textFill>
              </w:rPr>
              <w:t>18868450825</w:t>
            </w:r>
            <w:r>
              <w:rPr>
                <w:rFonts w:hint="eastAsia" w:ascii="宋体" w:hAnsi="宋体" w:cs="宋体"/>
                <w:color w:val="000000" w:themeColor="text1"/>
                <w:kern w:val="0"/>
                <w:sz w:val="24"/>
                <w:highlight w:val="none"/>
                <w14:textFill>
                  <w14:solidFill>
                    <w14:schemeClr w14:val="tx1"/>
                  </w14:solidFill>
                </w14:textFill>
              </w:rPr>
              <w:t>。请投标人在上述时间内提供样品并按规定位置安装完毕。超过截止时间的，采购人或采购代理机构将不予接收，并将清场并封闭样品现场。</w:t>
            </w:r>
            <w:bookmarkStart w:id="394" w:name="_GoBack"/>
            <w:bookmarkEnd w:id="394"/>
          </w:p>
          <w:p w14:paraId="4BB13D04">
            <w:pPr>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6854E3AB">
            <w:pPr>
              <w:spacing w:line="360" w:lineRule="auto"/>
              <w:rPr>
                <w:rFonts w:hint="eastAsia" w:ascii="宋体" w:hAnsi="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（7）制作、运输、安装和保管样品所发生的一切费用由投标人自理。</w:t>
            </w:r>
          </w:p>
        </w:tc>
      </w:tr>
      <w:tr w14:paraId="035824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3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94CE1A6">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57798D4">
            <w:pPr>
              <w:snapToGrid w:val="0"/>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E0F7443">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859348549"/>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p w14:paraId="1C032FC0">
            <w:pPr>
              <w:spacing w:line="360" w:lineRule="auto"/>
              <w:rPr>
                <w:rFonts w:ascii="宋体" w:hAnsi="宋体" w:cs="宋体"/>
                <w:b/>
                <w:color w:val="000000" w:themeColor="text1"/>
                <w:kern w:val="0"/>
                <w:sz w:val="24"/>
                <w:highlight w:val="none"/>
                <w:lang w:val="zh-CN"/>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B组织。</w:t>
            </w:r>
          </w:p>
        </w:tc>
      </w:tr>
      <w:tr w14:paraId="634E90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E62AC1F">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1843" w:type="dxa"/>
            <w:vMerge w:val="restart"/>
            <w:tcBorders>
              <w:top w:val="single" w:color="000000" w:sz="8" w:space="0"/>
              <w:left w:val="single" w:color="auto" w:sz="4" w:space="0"/>
              <w:right w:val="single" w:color="000000" w:sz="8" w:space="0"/>
            </w:tcBorders>
            <w:vAlign w:val="center"/>
          </w:tcPr>
          <w:p w14:paraId="029477F4">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F0B3A4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（1）资格证明文件：见招标文件第二部分11.1。</w:t>
            </w:r>
          </w:p>
          <w:p w14:paraId="4B185895">
            <w:pPr>
              <w:spacing w:line="36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投标人未提供有效的资格证明文件的，视为投标人不具备招标文件中规定的资格要求，投标无效。</w:t>
            </w:r>
          </w:p>
        </w:tc>
      </w:tr>
      <w:tr w14:paraId="30AE1D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6" w:hRule="atLeast"/>
          <w:tblHeader/>
        </w:trPr>
        <w:tc>
          <w:tcPr>
            <w:tcW w:w="629" w:type="dxa"/>
            <w:vMerge w:val="continue"/>
            <w:tcBorders>
              <w:left w:val="single" w:color="auto" w:sz="4" w:space="0"/>
              <w:bottom w:val="single" w:color="auto" w:sz="4" w:space="0"/>
              <w:right w:val="single" w:color="auto" w:sz="4" w:space="0"/>
            </w:tcBorders>
            <w:vAlign w:val="center"/>
          </w:tcPr>
          <w:p w14:paraId="52F86A8F">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14:paraId="4F7D1055">
            <w:pPr>
              <w:snapToGrid w:val="0"/>
              <w:spacing w:line="360" w:lineRule="auto"/>
              <w:jc w:val="center"/>
              <w:rPr>
                <w:rFonts w:ascii="宋体" w:hAnsi="宋体" w:cs="宋体"/>
                <w:b/>
                <w:color w:val="000000" w:themeColor="text1"/>
                <w:sz w:val="24"/>
                <w:highlight w:val="none"/>
                <w14:textFill>
                  <w14:solidFill>
                    <w14:schemeClr w14:val="tx1"/>
                  </w14:solidFill>
                </w14:textFill>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1F97E7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（2）资信证明文件：根据招标文件第四部分评标标准提供。</w:t>
            </w:r>
          </w:p>
        </w:tc>
      </w:tr>
      <w:tr w14:paraId="3647E4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BD1FF13">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5159F06">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C494622">
            <w:pPr>
              <w:snapToGrid w:val="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4A14B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7762403">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C7EE0F7">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99CF354">
            <w:pPr>
              <w:snapToGrid w:val="0"/>
              <w:spacing w:line="360" w:lineRule="auto"/>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有关本项目实施所需的所有费用（含税费）均计入报价。</w:t>
            </w:r>
            <w:r>
              <w:rPr>
                <w:rFonts w:hint="eastAsia" w:ascii="宋体" w:hAnsi="宋体" w:cs="宋体"/>
                <w:b/>
                <w:bCs/>
                <w:color w:val="000000" w:themeColor="text1"/>
                <w:kern w:val="0"/>
                <w:sz w:val="24"/>
                <w:highlight w:val="none"/>
                <w:lang w:val="zh-CN"/>
                <w14:textFill>
                  <w14:solidFill>
                    <w14:schemeClr w14:val="tx1"/>
                  </w14:solidFill>
                </w14:textFill>
              </w:rPr>
              <w:t>投标文件</w:t>
            </w:r>
            <w:r>
              <w:rPr>
                <w:rFonts w:hint="eastAsia" w:ascii="宋体" w:hAnsi="宋体" w:cs="宋体"/>
                <w:b/>
                <w:bCs/>
                <w:color w:val="000000" w:themeColor="text1"/>
                <w:sz w:val="24"/>
                <w:highlight w:val="none"/>
                <w14:textFill>
                  <w14:solidFill>
                    <w14:schemeClr w14:val="tx1"/>
                  </w14:solidFill>
                </w14:textFill>
              </w:rPr>
              <w:t>开标一览表（报价表）是报价的唯一载体，如投标人在乐采云平台填写的投标报价与投标文件报价文件中开标一览表（报价表）不一致的，以报价文件中开标一览表（报价表）为准。</w:t>
            </w:r>
            <w:r>
              <w:rPr>
                <w:rFonts w:hint="eastAsia" w:ascii="宋体" w:hAnsi="宋体" w:cs="宋体"/>
                <w:color w:val="000000" w:themeColor="text1"/>
                <w:kern w:val="0"/>
                <w:sz w:val="24"/>
                <w:highlight w:val="none"/>
                <w:lang w:val="zh-CN"/>
                <w14:textFill>
                  <w14:solidFill>
                    <w14:schemeClr w14:val="tx1"/>
                  </w14:solidFill>
                </w14:textFill>
              </w:rPr>
              <w:t>投标文件中价格全部采用人民币报价。招标文件未列明，而投标人认为必需的费用也需列入报价。</w:t>
            </w:r>
            <w:r>
              <w:rPr>
                <w:rFonts w:hint="eastAsia" w:ascii="宋体" w:hAnsi="宋体" w:cs="宋体"/>
                <w:b/>
                <w:color w:val="000000" w:themeColor="text1"/>
                <w:kern w:val="0"/>
                <w:sz w:val="24"/>
                <w:highlight w:val="none"/>
                <w:lang w:val="zh-CN"/>
                <w14:textFill>
                  <w14:solidFill>
                    <w14:schemeClr w14:val="tx1"/>
                  </w14:solidFill>
                </w14:textFill>
              </w:rPr>
              <w:t>提醒：验收时检测费用由采购人承担，不包含在投标总价中。</w:t>
            </w:r>
          </w:p>
          <w:p w14:paraId="1FE75FEE">
            <w:pPr>
              <w:snapToGrid w:val="0"/>
              <w:spacing w:line="360" w:lineRule="auto"/>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投标报价出现下列情形的，投标无效：</w:t>
            </w:r>
          </w:p>
          <w:p w14:paraId="4B301C51">
            <w:pPr>
              <w:snapToGrid w:val="0"/>
              <w:spacing w:line="360" w:lineRule="auto"/>
              <w:ind w:firstLine="241" w:firstLineChars="100"/>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投标文件出现不是唯一的、有选择性投标报价的；</w:t>
            </w:r>
          </w:p>
          <w:p w14:paraId="523496EB">
            <w:pPr>
              <w:snapToGrid w:val="0"/>
              <w:spacing w:line="360" w:lineRule="auto"/>
              <w:ind w:firstLine="241" w:firstLineChars="1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投标报价超过招标文件中规定的预算金额或者最高限价的;</w:t>
            </w:r>
          </w:p>
          <w:p w14:paraId="1F7895A2">
            <w:pPr>
              <w:spacing w:line="360" w:lineRule="auto"/>
              <w:ind w:firstLine="241"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000000" w:themeColor="text1"/>
                <w:sz w:val="24"/>
                <w:szCs w:val="21"/>
                <w:highlight w:val="none"/>
                <w14:textFill>
                  <w14:solidFill>
                    <w14:schemeClr w14:val="tx1"/>
                  </w14:solidFill>
                </w14:textFill>
              </w:rPr>
              <w:t>;</w:t>
            </w:r>
          </w:p>
          <w:p w14:paraId="4A27FE80">
            <w:pPr>
              <w:spacing w:line="360" w:lineRule="auto"/>
              <w:ind w:firstLine="241"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投标人对根据修正原则修正后的报价不确认的</w:t>
            </w:r>
            <w:r>
              <w:rPr>
                <w:rFonts w:hint="eastAsia" w:ascii="宋体" w:hAnsi="宋体" w:cs="宋体"/>
                <w:b/>
                <w:color w:val="000000" w:themeColor="text1"/>
                <w:sz w:val="24"/>
                <w:highlight w:val="none"/>
                <w14:textFill>
                  <w14:solidFill>
                    <w14:schemeClr w14:val="tx1"/>
                  </w14:solidFill>
                </w14:textFill>
              </w:rPr>
              <w:t>。</w:t>
            </w:r>
          </w:p>
        </w:tc>
      </w:tr>
      <w:tr w14:paraId="7CD473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966C605">
            <w:pPr>
              <w:snapToGrid w:val="0"/>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1</w:t>
            </w:r>
          </w:p>
        </w:tc>
        <w:tc>
          <w:tcPr>
            <w:tcW w:w="1843" w:type="dxa"/>
            <w:tcBorders>
              <w:top w:val="single" w:color="000000" w:sz="8" w:space="0"/>
              <w:left w:val="single" w:color="000000" w:sz="2" w:space="0"/>
              <w:bottom w:val="single" w:color="000000" w:sz="8" w:space="0"/>
              <w:right w:val="single" w:color="000000" w:sz="8" w:space="0"/>
            </w:tcBorders>
            <w:vAlign w:val="center"/>
          </w:tcPr>
          <w:p w14:paraId="0041F033">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54BCBF9">
            <w:pPr>
              <w:pStyle w:val="33"/>
              <w:spacing w:line="360" w:lineRule="auto"/>
              <w:rPr>
                <w:rFonts w:hAnsi="宋体" w:cs="宋体"/>
                <w:color w:val="000000" w:themeColor="text1"/>
                <w:kern w:val="28"/>
                <w:sz w:val="24"/>
                <w:highlight w:val="none"/>
                <w14:textFill>
                  <w14:solidFill>
                    <w14:schemeClr w14:val="tx1"/>
                  </w14:solidFill>
                </w14:textFill>
              </w:rPr>
            </w:pPr>
            <w:r>
              <w:rPr>
                <w:rFonts w:hint="eastAsia" w:hAnsi="宋体" w:cs="宋体"/>
                <w:color w:val="000000" w:themeColor="text1"/>
                <w:kern w:val="28"/>
                <w:sz w:val="24"/>
                <w:szCs w:val="24"/>
                <w:highlight w:val="none"/>
                <w14:textFill>
                  <w14:solidFill>
                    <w14:schemeClr w14:val="tx1"/>
                  </w14:solidFill>
                </w14:textFill>
              </w:rPr>
              <w:t>备份投标文件送达地点：</w:t>
            </w:r>
            <w:r>
              <w:rPr>
                <w:rFonts w:hint="eastAsia" w:hAnsi="宋体" w:cs="宋体"/>
                <w:color w:val="000000" w:themeColor="text1"/>
                <w:kern w:val="28"/>
                <w:sz w:val="24"/>
                <w:szCs w:val="24"/>
                <w:highlight w:val="none"/>
                <w:u w:val="single"/>
                <w:lang w:eastAsia="zh-CN"/>
                <w14:textFill>
                  <w14:solidFill>
                    <w14:schemeClr w14:val="tx1"/>
                  </w14:solidFill>
                </w14:textFill>
              </w:rPr>
              <w:t>浙江省温州市龙湾区上江路88号凯迪中心6号楼(F座)2101室</w:t>
            </w:r>
            <w:r>
              <w:rPr>
                <w:rFonts w:hint="eastAsia" w:hAnsi="宋体" w:cs="宋体"/>
                <w:color w:val="000000" w:themeColor="text1"/>
                <w:kern w:val="28"/>
                <w:sz w:val="24"/>
                <w:szCs w:val="24"/>
                <w:highlight w:val="none"/>
                <w14:textFill>
                  <w14:solidFill>
                    <w14:schemeClr w14:val="tx1"/>
                  </w14:solidFill>
                </w14:textFill>
              </w:rPr>
              <w:t>；备份投标文件签收人员联系电话：</w:t>
            </w:r>
            <w:r>
              <w:rPr>
                <w:rFonts w:hint="eastAsia" w:hAnsi="宋体" w:cs="宋体"/>
                <w:color w:val="000000" w:themeColor="text1"/>
                <w:kern w:val="28"/>
                <w:sz w:val="24"/>
                <w:szCs w:val="24"/>
                <w:highlight w:val="none"/>
                <w:u w:val="single"/>
                <w:lang w:val="en-US" w:eastAsia="zh-CN"/>
                <w14:textFill>
                  <w14:solidFill>
                    <w14:schemeClr w14:val="tx1"/>
                  </w14:solidFill>
                </w14:textFill>
              </w:rPr>
              <w:t>蔡先生</w:t>
            </w:r>
            <w:r>
              <w:rPr>
                <w:rFonts w:hint="eastAsia" w:ascii="宋体" w:hAnsi="宋体" w:eastAsia="宋体" w:cs="宋体"/>
                <w:color w:val="000000" w:themeColor="text1"/>
                <w:kern w:val="28"/>
                <w:sz w:val="24"/>
                <w:szCs w:val="24"/>
                <w:highlight w:val="none"/>
                <w:u w:val="single"/>
                <w:lang w:val="en-US" w:eastAsia="zh-CN"/>
                <w14:textFill>
                  <w14:solidFill>
                    <w14:schemeClr w14:val="tx1"/>
                  </w14:solidFill>
                </w14:textFill>
              </w:rPr>
              <w:t>，</w:t>
            </w:r>
            <w:r>
              <w:rPr>
                <w:rFonts w:hint="eastAsia" w:hAnsi="宋体" w:cs="宋体"/>
                <w:color w:val="000000" w:themeColor="text1"/>
                <w:kern w:val="28"/>
                <w:sz w:val="24"/>
                <w:szCs w:val="24"/>
                <w:highlight w:val="none"/>
                <w:u w:val="single"/>
                <w:lang w:val="en-US" w:eastAsia="zh-CN"/>
                <w14:textFill>
                  <w14:solidFill>
                    <w14:schemeClr w14:val="tx1"/>
                  </w14:solidFill>
                </w14:textFill>
              </w:rPr>
              <w:t>0577-86170008/18868450825</w:t>
            </w:r>
            <w:r>
              <w:rPr>
                <w:rFonts w:hint="eastAsia" w:ascii="宋体" w:hAnsi="宋体" w:eastAsia="宋体" w:cs="宋体"/>
                <w:color w:val="000000" w:themeColor="text1"/>
                <w:kern w:val="28"/>
                <w:sz w:val="24"/>
                <w:szCs w:val="24"/>
                <w:highlight w:val="none"/>
                <w:u w:val="single"/>
                <w:lang w:eastAsia="zh-CN"/>
                <w14:textFill>
                  <w14:solidFill>
                    <w14:schemeClr w14:val="tx1"/>
                  </w14:solidFill>
                </w14:textFill>
              </w:rPr>
              <w:t>。</w:t>
            </w:r>
            <w:r>
              <w:rPr>
                <w:rFonts w:hint="eastAsia" w:hAnsi="宋体" w:cs="宋体"/>
                <w:b/>
                <w:color w:val="000000" w:themeColor="text1"/>
                <w:sz w:val="24"/>
                <w:szCs w:val="24"/>
                <w:highlight w:val="none"/>
                <w14:textFill>
                  <w14:solidFill>
                    <w14:schemeClr w14:val="tx1"/>
                  </w14:solidFill>
                </w14:textFill>
              </w:rPr>
              <w:t>采购人、采购机构不强制或变相强制投标人提交备份投标文件。</w:t>
            </w:r>
          </w:p>
        </w:tc>
      </w:tr>
      <w:tr w14:paraId="35482F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9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2B7A77E">
            <w:pPr>
              <w:snapToGrid w:val="0"/>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p>
        </w:tc>
        <w:tc>
          <w:tcPr>
            <w:tcW w:w="1843" w:type="dxa"/>
            <w:tcBorders>
              <w:top w:val="single" w:color="auto" w:sz="4" w:space="0"/>
              <w:left w:val="single" w:color="000000" w:sz="2" w:space="0"/>
              <w:bottom w:val="single" w:color="000000" w:sz="8" w:space="0"/>
              <w:right w:val="single" w:color="000000" w:sz="8" w:space="0"/>
            </w:tcBorders>
            <w:vAlign w:val="center"/>
          </w:tcPr>
          <w:p w14:paraId="59301B7E">
            <w:pPr>
              <w:snapToGrid w:val="0"/>
              <w:jc w:val="center"/>
              <w:rPr>
                <w:rFonts w:ascii="宋体" w:hAnsi="宋体" w:cs="宋体"/>
                <w:b/>
                <w:color w:val="000000" w:themeColor="text1"/>
                <w:sz w:val="24"/>
                <w:highlight w:val="none"/>
                <w14:textFill>
                  <w14:solidFill>
                    <w14:schemeClr w14:val="tx1"/>
                  </w14:solidFill>
                </w14:textFill>
              </w:rPr>
            </w:pPr>
            <w:r>
              <w:rPr>
                <w:rFonts w:hint="eastAsia" w:ascii="宋体" w:hAnsi="宋体" w:cs="仿宋_GB2312"/>
                <w:b/>
                <w:color w:val="000000" w:themeColor="text1"/>
                <w:sz w:val="24"/>
                <w:highlight w:val="none"/>
                <w14:textFill>
                  <w14:solidFill>
                    <w14:schemeClr w14:val="tx1"/>
                  </w14:solidFill>
                </w14:textFill>
              </w:rPr>
              <w:t>代理服务费</w:t>
            </w:r>
          </w:p>
        </w:tc>
        <w:tc>
          <w:tcPr>
            <w:tcW w:w="6095" w:type="dxa"/>
            <w:tcBorders>
              <w:top w:val="single" w:color="auto" w:sz="4" w:space="0"/>
              <w:left w:val="single" w:color="000000" w:sz="2" w:space="0"/>
              <w:bottom w:val="single" w:color="000000" w:sz="8" w:space="0"/>
              <w:right w:val="single" w:color="000000" w:sz="8" w:space="0"/>
            </w:tcBorders>
            <w:vAlign w:val="center"/>
          </w:tcPr>
          <w:p w14:paraId="5856DD70">
            <w:pPr>
              <w:pStyle w:val="33"/>
              <w:spacing w:line="360" w:lineRule="auto"/>
              <w:rPr>
                <w:rFonts w:hint="eastAsia" w:cs="Arial" w:asciiTheme="minorEastAsia" w:hAnsiTheme="minorEastAsia" w:eastAsiaTheme="minorEastAsia"/>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本项目招标代理服务费按计价格〔2002〕1980号文件（货物类）标准计取。由中标人在领取中标通知书时支付给招标代理机构。该费用在投标文件中不单列，由中标人在投标总报价中综合考虑。</w:t>
            </w:r>
          </w:p>
        </w:tc>
      </w:tr>
      <w:bookmarkEnd w:id="10"/>
    </w:tbl>
    <w:p w14:paraId="10E2B5C0">
      <w:pPr>
        <w:adjustRightInd/>
        <w:spacing w:line="360" w:lineRule="auto"/>
        <w:outlineLvl w:val="0"/>
        <w:rPr>
          <w:rFonts w:hint="eastAsia" w:ascii="宋体" w:hAnsi="宋体" w:cs="宋体"/>
          <w:b/>
          <w:color w:val="000000" w:themeColor="text1"/>
          <w:sz w:val="32"/>
          <w:szCs w:val="20"/>
          <w:highlight w:val="none"/>
          <w14:textFill>
            <w14:solidFill>
              <w14:schemeClr w14:val="tx1"/>
            </w14:solidFill>
          </w14:textFill>
        </w:rPr>
      </w:pPr>
      <w:bookmarkStart w:id="13" w:name="第三部分"/>
      <w:bookmarkStart w:id="14" w:name="_Toc164416483"/>
    </w:p>
    <w:p w14:paraId="279D04A2">
      <w:pPr>
        <w:keepNext w:val="0"/>
        <w:keepLines w:val="0"/>
        <w:pageBreakBefore/>
        <w:widowControl w:val="0"/>
        <w:kinsoku/>
        <w:wordWrap/>
        <w:overflowPunct/>
        <w:topLinePunct w:val="0"/>
        <w:autoSpaceDE/>
        <w:autoSpaceDN/>
        <w:bidi w:val="0"/>
        <w:adjustRightInd/>
        <w:snapToGrid/>
        <w:spacing w:line="360" w:lineRule="auto"/>
        <w:ind w:firstLine="3845" w:firstLineChars="1197"/>
        <w:textAlignment w:val="auto"/>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一、总则</w:t>
      </w:r>
    </w:p>
    <w:p w14:paraId="331FA8BF">
      <w:pPr>
        <w:snapToGrid w:val="0"/>
        <w:spacing w:line="360" w:lineRule="auto"/>
        <w:ind w:firstLine="361" w:firstLineChars="150"/>
        <w:jc w:val="left"/>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 适用范围</w:t>
      </w:r>
    </w:p>
    <w:p w14:paraId="325CB9ED">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14:paraId="44D9F58E">
      <w:pPr>
        <w:adjustRightInd/>
        <w:spacing w:line="360" w:lineRule="auto"/>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2.定义</w:t>
      </w:r>
    </w:p>
    <w:p w14:paraId="3BA5DD6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 “采购人”系指招标公告中载明的本项目的采购人。</w:t>
      </w:r>
    </w:p>
    <w:p w14:paraId="04FEA03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 “</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”系指招标公告中载明的本项目的</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w:t>
      </w:r>
    </w:p>
    <w:p w14:paraId="5E1434B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 “投标人”系指是指响应招标、参加投标竞争的法人、其他组织或者自然人。</w:t>
      </w:r>
    </w:p>
    <w:p w14:paraId="24F6D27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616BBCE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w:t>
      </w:r>
    </w:p>
    <w:p w14:paraId="20517DB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2.6“电子交易平台”</w:t>
      </w:r>
      <w:r>
        <w:rPr>
          <w:rFonts w:hint="eastAsia" w:ascii="宋体" w:hAnsi="宋体" w:cs="宋体"/>
          <w:color w:val="000000" w:themeColor="text1"/>
          <w:sz w:val="24"/>
          <w:highlight w:val="none"/>
          <w:lang w:val="en-US" w:eastAsia="zh-CN"/>
          <w14:textFill>
            <w14:solidFill>
              <w14:schemeClr w14:val="tx1"/>
            </w14:solidFill>
          </w14:textFill>
        </w:rPr>
        <w:t>系</w:t>
      </w:r>
      <w:r>
        <w:rPr>
          <w:rFonts w:hint="eastAsia" w:ascii="宋体" w:hAnsi="宋体" w:cs="宋体"/>
          <w:color w:val="000000" w:themeColor="text1"/>
          <w:sz w:val="24"/>
          <w:highlight w:val="none"/>
          <w14:textFill>
            <w14:solidFill>
              <w14:schemeClr w14:val="tx1"/>
            </w14:solidFill>
          </w14:textFill>
        </w:rPr>
        <w:t>指本项目采购活动所依托的乐采云平台（https://www.lecaiyun.com）。</w:t>
      </w:r>
    </w:p>
    <w:p w14:paraId="1A4A33CE">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 “▲” 系指实质性要求条款，“</w:t>
      </w:r>
      <w:sdt>
        <w:sdtPr>
          <w:rPr>
            <w:rFonts w:hint="eastAsia" w:ascii="宋体" w:hAnsi="宋体" w:cs="宋体"/>
            <w:color w:val="000000" w:themeColor="text1"/>
            <w:kern w:val="0"/>
            <w:sz w:val="24"/>
            <w:highlight w:val="none"/>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系指适用本项目的要求，“</w:t>
      </w:r>
      <w:sdt>
        <w:sdtPr>
          <w:rPr>
            <w:rFonts w:hint="eastAsia" w:ascii="宋体" w:hAnsi="宋体" w:cs="宋体"/>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系指不适用本项目的要求。</w:t>
      </w:r>
    </w:p>
    <w:p w14:paraId="0CC2DE99">
      <w:pPr>
        <w:spacing w:line="360" w:lineRule="auto"/>
        <w:ind w:firstLine="241"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采购项目需要落实的采购政策</w:t>
      </w:r>
    </w:p>
    <w:p w14:paraId="34E539F3">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 本项目原则上采购本国生产的货物、工程和服务，不允许采购进口产品。除非在采购需求中明确规定可以采购进口产品（但如果因信息不对称等原因，仍有满足需求的国内产品要求参与采购竞争的，采购人、</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不会对其加以限制，仍将按照公平竞争原则实施采购）；</w:t>
      </w:r>
      <w:r>
        <w:rPr>
          <w:rFonts w:hint="eastAsia" w:ascii="宋体" w:hAnsi="宋体" w:cs="宋体"/>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宋体" w:hAnsi="宋体" w:cs="宋体"/>
          <w:color w:val="000000" w:themeColor="text1"/>
          <w:sz w:val="24"/>
          <w:highlight w:val="none"/>
          <w14:textFill>
            <w14:solidFill>
              <w14:schemeClr w14:val="tx1"/>
            </w14:solidFill>
          </w14:textFill>
        </w:rPr>
        <w:t>。</w:t>
      </w:r>
    </w:p>
    <w:p w14:paraId="25295F49">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 支持绿色发展</w:t>
      </w:r>
    </w:p>
    <w:p w14:paraId="0CD49591">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优先采购或强制采购。投标人须按招标文件要求提供相关产品认证证书。</w:t>
      </w:r>
      <w:r>
        <w:rPr>
          <w:rFonts w:hint="eastAsia" w:ascii="宋体" w:hAnsi="宋体" w:cs="宋体"/>
          <w:b/>
          <w:color w:val="000000" w:themeColor="text1"/>
          <w:sz w:val="24"/>
          <w:highlight w:val="none"/>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14:paraId="1DDEDF0A">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bCs/>
          <w:color w:val="000000" w:themeColor="text1"/>
          <w:sz w:val="24"/>
          <w:highlight w:val="none"/>
          <w14:textFill>
            <w14:solidFill>
              <w14:schemeClr w14:val="tx1"/>
            </w14:solidFill>
          </w14:textFill>
        </w:rPr>
        <w:t>支持创新发展</w:t>
      </w:r>
    </w:p>
    <w:p w14:paraId="0B9474B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.1 采购人优先采购被认定为首台套产品和“制造精品”的自主创新产品。</w:t>
      </w:r>
    </w:p>
    <w:p w14:paraId="02E93650">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.2首台套产品被纳入《首台套产品推广应用指导目录》之日起</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年内，以及产品核心技术高于国内领先水平，并具有明晰自主知识产权的“制造精品”产品，自认定之日起2年内视同已具备相应销售业绩，参加采购活动时业绩分值为满分。</w:t>
      </w:r>
    </w:p>
    <w:p w14:paraId="51F55928">
      <w:pPr>
        <w:pStyle w:val="4"/>
        <w:adjustRightInd w:val="0"/>
        <w:ind w:left="0" w:firstLine="480" w:firstLineChars="200"/>
        <w:rPr>
          <w:color w:val="000000" w:themeColor="text1"/>
          <w:highlight w:val="none"/>
          <w14:textFill>
            <w14:solidFill>
              <w14:schemeClr w14:val="tx1"/>
            </w14:solidFill>
          </w14:textFill>
        </w:rPr>
      </w:pPr>
      <w:r>
        <w:rPr>
          <w:rFonts w:hint="eastAsia" w:ascii="宋体" w:hAnsi="宋体" w:eastAsia="宋体" w:cs="仿宋"/>
          <w:b w:val="0"/>
          <w:bCs w:val="0"/>
          <w:color w:val="000000" w:themeColor="text1"/>
          <w:sz w:val="24"/>
          <w:szCs w:val="24"/>
          <w:highlight w:val="none"/>
          <w:lang w:val="en-US"/>
          <w14:textFill>
            <w14:solidFill>
              <w14:schemeClr w14:val="tx1"/>
            </w14:solidFill>
          </w14:textFill>
        </w:rPr>
        <w:t>3.</w:t>
      </w:r>
      <w:r>
        <w:rPr>
          <w:rFonts w:hint="eastAsia" w:ascii="宋体" w:hAnsi="宋体" w:eastAsia="宋体" w:cs="仿宋"/>
          <w:b w:val="0"/>
          <w:bCs w:val="0"/>
          <w:color w:val="000000" w:themeColor="text1"/>
          <w:sz w:val="24"/>
          <w:szCs w:val="24"/>
          <w:highlight w:val="none"/>
          <w:lang w:val="en-US" w:eastAsia="zh-CN"/>
          <w14:textFill>
            <w14:solidFill>
              <w14:schemeClr w14:val="tx1"/>
            </w14:solidFill>
          </w14:textFill>
        </w:rPr>
        <w:t>3</w:t>
      </w:r>
      <w:r>
        <w:rPr>
          <w:rFonts w:hint="eastAsia" w:ascii="宋体" w:hAnsi="宋体" w:eastAsia="宋体" w:cs="仿宋"/>
          <w:b w:val="0"/>
          <w:bCs w:val="0"/>
          <w:color w:val="000000" w:themeColor="text1"/>
          <w:sz w:val="24"/>
          <w:szCs w:val="24"/>
          <w:highlight w:val="none"/>
          <w:lang w:val="en-US"/>
          <w14:textFill>
            <w14:solidFill>
              <w14:schemeClr w14:val="tx1"/>
            </w14:solidFill>
          </w14:textFill>
        </w:rPr>
        <w:t xml:space="preserve">.3 </w:t>
      </w:r>
      <w:r>
        <w:rPr>
          <w:rFonts w:hint="eastAsia" w:ascii="宋体" w:hAnsi="宋体" w:eastAsia="宋体" w:cs="仿宋"/>
          <w:b w:val="0"/>
          <w:bCs w:val="0"/>
          <w:color w:val="000000" w:themeColor="text1"/>
          <w:sz w:val="24"/>
          <w:szCs w:val="24"/>
          <w:highlight w:val="none"/>
          <w:lang w:val="en-US" w:eastAsia="zh-CN"/>
          <w14:textFill>
            <w14:solidFill>
              <w14:schemeClr w14:val="tx1"/>
            </w14:solidFill>
          </w14:textFill>
        </w:rPr>
        <w:t>采购人应当贯彻落实知识产权保护相关法律法规，</w:t>
      </w:r>
      <w:r>
        <w:rPr>
          <w:rFonts w:hint="eastAsia" w:ascii="宋体" w:hAnsi="宋体" w:eastAsia="宋体" w:cs="仿宋"/>
          <w:b w:val="0"/>
          <w:bCs w:val="0"/>
          <w:color w:val="000000" w:themeColor="text1"/>
          <w:sz w:val="24"/>
          <w:szCs w:val="24"/>
          <w:highlight w:val="none"/>
          <w:lang w:val="en-US"/>
          <w14:textFill>
            <w14:solidFill>
              <w14:schemeClr w14:val="tx1"/>
            </w14:solidFill>
          </w14:textFill>
        </w:rPr>
        <w:t>应当采购使用正版软件。</w:t>
      </w:r>
    </w:p>
    <w:p w14:paraId="2654C37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平等对待内外资企业和符合条件的破产重整企业</w:t>
      </w:r>
    </w:p>
    <w:p w14:paraId="743019BC">
      <w:pPr>
        <w:spacing w:line="360" w:lineRule="auto"/>
        <w:ind w:firstLine="480" w:firstLineChars="200"/>
        <w:rPr>
          <w:b/>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r>
        <w:rPr>
          <w:rFonts w:hint="eastAsia" w:ascii="宋体" w:hAnsi="宋体" w:cs="宋体"/>
          <w:color w:val="000000" w:themeColor="text1"/>
          <w:sz w:val="24"/>
          <w:highlight w:val="none"/>
          <w14:textFill>
            <w14:solidFill>
              <w14:schemeClr w14:val="tx1"/>
            </w14:solidFill>
          </w14:textFill>
        </w:rPr>
        <w:cr/>
      </w:r>
      <w:r>
        <w:rPr>
          <w:rFonts w:hint="eastAsia"/>
          <w:b/>
          <w:color w:val="000000" w:themeColor="text1"/>
          <w:highlight w:val="none"/>
          <w14:textFill>
            <w14:solidFill>
              <w14:schemeClr w14:val="tx1"/>
            </w14:solidFill>
          </w14:textFill>
        </w:rPr>
        <w:t>4. 询问、质疑、投诉</w:t>
      </w:r>
    </w:p>
    <w:p w14:paraId="4FA56EB5">
      <w:pPr>
        <w:autoSpaceDE w:val="0"/>
        <w:autoSpaceDN w:val="0"/>
        <w:spacing w:line="360" w:lineRule="auto"/>
        <w:ind w:firstLine="240" w:firstLineChars="1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w:t>
      </w:r>
      <w:r>
        <w:rPr>
          <w:rFonts w:hint="eastAsia" w:ascii="宋体" w:hAnsi="宋体" w:cs="宋体"/>
          <w:color w:val="000000" w:themeColor="text1"/>
          <w:kern w:val="0"/>
          <w:sz w:val="24"/>
          <w:highlight w:val="none"/>
          <w:lang w:val="en-US" w:eastAsia="zh-CN"/>
          <w14:textFill>
            <w14:solidFill>
              <w14:schemeClr w14:val="tx1"/>
            </w14:solidFill>
          </w14:textFill>
        </w:rPr>
        <w:t>1</w:t>
      </w:r>
      <w:r>
        <w:rPr>
          <w:rFonts w:hint="eastAsia" w:ascii="宋体" w:hAnsi="宋体" w:cs="宋体"/>
          <w:color w:val="000000" w:themeColor="text1"/>
          <w:kern w:val="0"/>
          <w:sz w:val="24"/>
          <w:highlight w:val="none"/>
          <w:lang w:val="zh-CN"/>
          <w14:textFill>
            <w14:solidFill>
              <w14:schemeClr w14:val="tx1"/>
            </w14:solidFill>
          </w14:textFill>
        </w:rPr>
        <w:t>供应商询问</w:t>
      </w:r>
    </w:p>
    <w:p w14:paraId="60EC5F08">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612D6DF">
      <w:pPr>
        <w:autoSpaceDE w:val="0"/>
        <w:autoSpaceDN w:val="0"/>
        <w:spacing w:line="360" w:lineRule="auto"/>
        <w:ind w:firstLine="240" w:firstLineChars="1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w:t>
      </w:r>
      <w:r>
        <w:rPr>
          <w:rFonts w:hint="eastAsia" w:ascii="宋体" w:hAnsi="宋体" w:cs="宋体"/>
          <w:color w:val="000000" w:themeColor="text1"/>
          <w:kern w:val="0"/>
          <w:sz w:val="24"/>
          <w:highlight w:val="none"/>
          <w:lang w:val="en-US" w:eastAsia="zh-CN"/>
          <w14:textFill>
            <w14:solidFill>
              <w14:schemeClr w14:val="tx1"/>
            </w14:solidFill>
          </w14:textFill>
        </w:rPr>
        <w:t>2</w:t>
      </w:r>
      <w:r>
        <w:rPr>
          <w:rFonts w:hint="eastAsia" w:ascii="宋体" w:hAnsi="宋体" w:cs="宋体"/>
          <w:color w:val="000000" w:themeColor="text1"/>
          <w:kern w:val="0"/>
          <w:sz w:val="24"/>
          <w:highlight w:val="none"/>
          <w:lang w:val="zh-CN"/>
          <w14:textFill>
            <w14:solidFill>
              <w14:schemeClr w14:val="tx1"/>
            </w14:solidFill>
          </w14:textFill>
        </w:rPr>
        <w:t>供应商质疑</w:t>
      </w:r>
    </w:p>
    <w:p w14:paraId="7AD09857">
      <w:pPr>
        <w:pStyle w:val="33"/>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w:t>
      </w:r>
      <w:r>
        <w:rPr>
          <w:rFonts w:hint="eastAsia" w:hAnsi="宋体" w:cs="宋体"/>
          <w:color w:val="000000" w:themeColor="text1"/>
          <w:kern w:val="0"/>
          <w:sz w:val="24"/>
          <w:highlight w:val="none"/>
          <w:lang w:val="en-US" w:eastAsia="zh-CN"/>
          <w14:textFill>
            <w14:solidFill>
              <w14:schemeClr w14:val="tx1"/>
            </w14:solidFill>
          </w14:textFill>
        </w:rPr>
        <w:t>2</w:t>
      </w:r>
      <w:r>
        <w:rPr>
          <w:rFonts w:hint="eastAsia" w:hAnsi="宋体"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14:paraId="685FBEC5">
      <w:pPr>
        <w:pStyle w:val="33"/>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w:t>
      </w:r>
      <w:r>
        <w:rPr>
          <w:rFonts w:hint="eastAsia" w:hAnsi="宋体" w:cs="宋体"/>
          <w:color w:val="000000" w:themeColor="text1"/>
          <w:kern w:val="0"/>
          <w:sz w:val="24"/>
          <w:highlight w:val="none"/>
          <w:lang w:val="en-US" w:eastAsia="zh-CN"/>
          <w14:textFill>
            <w14:solidFill>
              <w14:schemeClr w14:val="tx1"/>
            </w14:solidFill>
          </w14:textFill>
        </w:rPr>
        <w:t>2</w:t>
      </w:r>
      <w:r>
        <w:rPr>
          <w:rFonts w:hint="eastAsia" w:hAnsi="宋体" w:cs="宋体"/>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w:t>
      </w:r>
      <w:r>
        <w:rPr>
          <w:rFonts w:hint="eastAsia" w:hAnsi="宋体" w:cs="宋体"/>
          <w:color w:val="000000" w:themeColor="text1"/>
          <w:sz w:val="24"/>
          <w:highlight w:val="none"/>
          <w:lang w:eastAsia="zh-CN"/>
          <w14:textFill>
            <w14:solidFill>
              <w14:schemeClr w14:val="tx1"/>
            </w14:solidFill>
          </w14:textFill>
        </w:rPr>
        <w:t>采购代理机构</w:t>
      </w:r>
      <w:r>
        <w:rPr>
          <w:rFonts w:hint="eastAsia" w:hAnsi="宋体" w:cs="宋体"/>
          <w:color w:val="000000" w:themeColor="text1"/>
          <w:sz w:val="24"/>
          <w:highlight w:val="none"/>
          <w14:textFill>
            <w14:solidFill>
              <w14:schemeClr w14:val="tx1"/>
            </w14:solidFill>
          </w14:textFill>
        </w:rPr>
        <w:t>提出质疑，否则，采购人或者</w:t>
      </w:r>
      <w:r>
        <w:rPr>
          <w:rFonts w:hint="eastAsia" w:hAnsi="宋体" w:cs="宋体"/>
          <w:color w:val="000000" w:themeColor="text1"/>
          <w:sz w:val="24"/>
          <w:highlight w:val="none"/>
          <w:lang w:eastAsia="zh-CN"/>
          <w14:textFill>
            <w14:solidFill>
              <w14:schemeClr w14:val="tx1"/>
            </w14:solidFill>
          </w14:textFill>
        </w:rPr>
        <w:t>采购代理机构</w:t>
      </w:r>
      <w:r>
        <w:rPr>
          <w:rFonts w:hint="eastAsia" w:hAnsi="宋体" w:cs="宋体"/>
          <w:color w:val="000000" w:themeColor="text1"/>
          <w:sz w:val="24"/>
          <w:highlight w:val="none"/>
          <w14:textFill>
            <w14:solidFill>
              <w14:schemeClr w14:val="tx1"/>
            </w14:solidFill>
          </w14:textFill>
        </w:rPr>
        <w:t>不予受理：</w:t>
      </w:r>
    </w:p>
    <w:p w14:paraId="292C2CD5">
      <w:pPr>
        <w:spacing w:line="360" w:lineRule="auto"/>
        <w:ind w:firstLine="480" w:firstLineChars="200"/>
        <w:rPr>
          <w:rFonts w:hAnsi="宋体" w:cs="宋体"/>
          <w:snapToGrid/>
          <w:color w:val="000000" w:themeColor="text1"/>
          <w:kern w:val="2"/>
          <w:sz w:val="24"/>
          <w:highlight w:val="none"/>
          <w14:textFill>
            <w14:solidFill>
              <w14:schemeClr w14:val="tx1"/>
            </w14:solidFill>
          </w14:textFill>
        </w:rPr>
      </w:pPr>
      <w:r>
        <w:rPr>
          <w:rFonts w:hint="eastAsia" w:hAnsi="宋体" w:cs="宋体"/>
          <w:snapToGrid/>
          <w:color w:val="000000" w:themeColor="text1"/>
          <w:kern w:val="2"/>
          <w:sz w:val="24"/>
          <w:highlight w:val="none"/>
          <w14:textFill>
            <w14:solidFill>
              <w14:schemeClr w14:val="tx1"/>
            </w14:solidFill>
          </w14:textFill>
        </w:rPr>
        <w:t>4.</w:t>
      </w:r>
      <w:r>
        <w:rPr>
          <w:rFonts w:hint="eastAsia" w:hAnsi="宋体" w:cs="宋体"/>
          <w:snapToGrid/>
          <w:color w:val="000000" w:themeColor="text1"/>
          <w:kern w:val="2"/>
          <w:sz w:val="24"/>
          <w:highlight w:val="none"/>
          <w:lang w:val="en-US" w:eastAsia="zh-CN"/>
          <w14:textFill>
            <w14:solidFill>
              <w14:schemeClr w14:val="tx1"/>
            </w14:solidFill>
          </w14:textFill>
        </w:rPr>
        <w:t>2</w:t>
      </w:r>
      <w:r>
        <w:rPr>
          <w:rFonts w:hint="eastAsia" w:hAnsi="宋体" w:cs="宋体"/>
          <w:snapToGrid/>
          <w:color w:val="000000" w:themeColor="text1"/>
          <w:kern w:val="2"/>
          <w:sz w:val="24"/>
          <w:highlight w:val="none"/>
          <w14:textFill>
            <w14:solidFill>
              <w14:schemeClr w14:val="tx1"/>
            </w14:solidFill>
          </w14:textFill>
        </w:rPr>
        <w:t>.2.1对招标文件提出质疑的，质疑期限为供应商获得招标文件之日或者招标文件公告期限届满之日起计算。</w:t>
      </w:r>
    </w:p>
    <w:p w14:paraId="6B81FFC3">
      <w:pPr>
        <w:pStyle w:val="33"/>
        <w:spacing w:line="360" w:lineRule="auto"/>
        <w:ind w:left="479" w:leftChars="228"/>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w:t>
      </w:r>
      <w:r>
        <w:rPr>
          <w:rFonts w:hint="eastAsia" w:hAnsi="宋体" w:cs="宋体"/>
          <w:color w:val="000000" w:themeColor="text1"/>
          <w:sz w:val="24"/>
          <w:highlight w:val="none"/>
          <w:lang w:val="en-US" w:eastAsia="zh-CN"/>
          <w14:textFill>
            <w14:solidFill>
              <w14:schemeClr w14:val="tx1"/>
            </w14:solidFill>
          </w14:textFill>
        </w:rPr>
        <w:t>2</w:t>
      </w:r>
      <w:r>
        <w:rPr>
          <w:rFonts w:hint="eastAsia" w:hAnsi="宋体" w:cs="宋体"/>
          <w:color w:val="000000" w:themeColor="text1"/>
          <w:sz w:val="24"/>
          <w:highlight w:val="none"/>
          <w14:textFill>
            <w14:solidFill>
              <w14:schemeClr w14:val="tx1"/>
            </w14:solidFill>
          </w14:textFill>
        </w:rPr>
        <w:t>.2.2对采购过程提出质疑的，质疑期限为各采购程序环节结束之日起计算。4.</w:t>
      </w:r>
      <w:r>
        <w:rPr>
          <w:rFonts w:hint="eastAsia" w:hAnsi="宋体" w:cs="宋体"/>
          <w:color w:val="000000" w:themeColor="text1"/>
          <w:sz w:val="24"/>
          <w:highlight w:val="none"/>
          <w:lang w:val="en-US" w:eastAsia="zh-CN"/>
          <w14:textFill>
            <w14:solidFill>
              <w14:schemeClr w14:val="tx1"/>
            </w14:solidFill>
          </w14:textFill>
        </w:rPr>
        <w:t>2</w:t>
      </w:r>
      <w:r>
        <w:rPr>
          <w:rFonts w:hint="eastAsia" w:hAnsi="宋体" w:cs="宋体"/>
          <w:color w:val="000000" w:themeColor="text1"/>
          <w:sz w:val="24"/>
          <w:highlight w:val="none"/>
          <w14:textFill>
            <w14:solidFill>
              <w14:schemeClr w14:val="tx1"/>
            </w14:solidFill>
          </w14:textFill>
        </w:rPr>
        <w:t>.2.3对采购结果提出质疑的，质疑期限自采购结果公告期限届满之日起计算。</w:t>
      </w:r>
    </w:p>
    <w:p w14:paraId="199B6791">
      <w:pPr>
        <w:pStyle w:val="33"/>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w:t>
      </w:r>
      <w:r>
        <w:rPr>
          <w:rFonts w:hint="eastAsia" w:hAnsi="宋体" w:cs="宋体"/>
          <w:color w:val="000000" w:themeColor="text1"/>
          <w:kern w:val="0"/>
          <w:sz w:val="24"/>
          <w:highlight w:val="none"/>
          <w:lang w:val="en-US" w:eastAsia="zh-CN"/>
          <w14:textFill>
            <w14:solidFill>
              <w14:schemeClr w14:val="tx1"/>
            </w14:solidFill>
          </w14:textFill>
        </w:rPr>
        <w:t>2</w:t>
      </w:r>
      <w:r>
        <w:rPr>
          <w:rFonts w:hint="eastAsia" w:hAnsi="宋体" w:cs="宋体"/>
          <w:color w:val="000000" w:themeColor="text1"/>
          <w:kern w:val="0"/>
          <w:sz w:val="24"/>
          <w:highlight w:val="none"/>
          <w:lang w:val="zh-CN"/>
          <w14:textFill>
            <w14:solidFill>
              <w14:schemeClr w14:val="tx1"/>
            </w14:solidFill>
          </w14:textFill>
        </w:rPr>
        <w:t>.3</w:t>
      </w:r>
      <w:r>
        <w:rPr>
          <w:rFonts w:hint="eastAsia" w:hAnsi="宋体" w:cs="宋体"/>
          <w:color w:val="000000" w:themeColor="text1"/>
          <w:sz w:val="24"/>
          <w:highlight w:val="none"/>
          <w14:textFill>
            <w14:solidFill>
              <w14:schemeClr w14:val="tx1"/>
            </w14:solidFill>
          </w14:textFill>
        </w:rPr>
        <w:t>供应商提出质疑应当提交质疑函和必要的证明材料。质疑函应当包括下列内容：</w:t>
      </w:r>
    </w:p>
    <w:p w14:paraId="72DEED7E">
      <w:pPr>
        <w:pStyle w:val="33"/>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w:t>
      </w:r>
      <w:r>
        <w:rPr>
          <w:rFonts w:hint="eastAsia" w:hAnsi="宋体" w:cs="宋体"/>
          <w:color w:val="000000" w:themeColor="text1"/>
          <w:kern w:val="0"/>
          <w:sz w:val="24"/>
          <w:highlight w:val="none"/>
          <w:lang w:val="en-US" w:eastAsia="zh-CN"/>
          <w14:textFill>
            <w14:solidFill>
              <w14:schemeClr w14:val="tx1"/>
            </w14:solidFill>
          </w14:textFill>
        </w:rPr>
        <w:t>2</w:t>
      </w:r>
      <w:r>
        <w:rPr>
          <w:rFonts w:hint="eastAsia" w:hAnsi="宋体" w:cs="宋体"/>
          <w:color w:val="000000" w:themeColor="text1"/>
          <w:kern w:val="0"/>
          <w:sz w:val="24"/>
          <w:highlight w:val="none"/>
          <w:lang w:val="zh-CN"/>
          <w14:textFill>
            <w14:solidFill>
              <w14:schemeClr w14:val="tx1"/>
            </w14:solidFill>
          </w14:textFill>
        </w:rPr>
        <w:t>.3.1供应商的姓名或者名称、地址、邮编、联系人及联系电话；</w:t>
      </w:r>
    </w:p>
    <w:p w14:paraId="4AFD48A9">
      <w:pPr>
        <w:pStyle w:val="33"/>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w:t>
      </w:r>
      <w:r>
        <w:rPr>
          <w:rFonts w:hint="eastAsia" w:hAnsi="宋体" w:cs="宋体"/>
          <w:color w:val="000000" w:themeColor="text1"/>
          <w:kern w:val="0"/>
          <w:sz w:val="24"/>
          <w:highlight w:val="none"/>
          <w:lang w:val="en-US" w:eastAsia="zh-CN"/>
          <w14:textFill>
            <w14:solidFill>
              <w14:schemeClr w14:val="tx1"/>
            </w14:solidFill>
          </w14:textFill>
        </w:rPr>
        <w:t>2</w:t>
      </w:r>
      <w:r>
        <w:rPr>
          <w:rFonts w:hint="eastAsia" w:hAnsi="宋体" w:cs="宋体"/>
          <w:color w:val="000000" w:themeColor="text1"/>
          <w:kern w:val="0"/>
          <w:sz w:val="24"/>
          <w:highlight w:val="none"/>
          <w:lang w:val="zh-CN"/>
          <w14:textFill>
            <w14:solidFill>
              <w14:schemeClr w14:val="tx1"/>
            </w14:solidFill>
          </w14:textFill>
        </w:rPr>
        <w:t>.3.2质疑项目的名称、编号；</w:t>
      </w:r>
    </w:p>
    <w:p w14:paraId="00B3784F">
      <w:pPr>
        <w:pStyle w:val="33"/>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w:t>
      </w:r>
      <w:r>
        <w:rPr>
          <w:rFonts w:hint="eastAsia" w:hAnsi="宋体" w:cs="宋体"/>
          <w:color w:val="000000" w:themeColor="text1"/>
          <w:kern w:val="0"/>
          <w:sz w:val="24"/>
          <w:highlight w:val="none"/>
          <w:lang w:val="en-US" w:eastAsia="zh-CN"/>
          <w14:textFill>
            <w14:solidFill>
              <w14:schemeClr w14:val="tx1"/>
            </w14:solidFill>
          </w14:textFill>
        </w:rPr>
        <w:t>2</w:t>
      </w:r>
      <w:r>
        <w:rPr>
          <w:rFonts w:hint="eastAsia" w:hAnsi="宋体" w:cs="宋体"/>
          <w:color w:val="000000" w:themeColor="text1"/>
          <w:kern w:val="0"/>
          <w:sz w:val="24"/>
          <w:highlight w:val="none"/>
          <w:lang w:val="zh-CN"/>
          <w14:textFill>
            <w14:solidFill>
              <w14:schemeClr w14:val="tx1"/>
            </w14:solidFill>
          </w14:textFill>
        </w:rPr>
        <w:t>.3.3具体、明确的质疑事项和与质疑事项相关的请求；</w:t>
      </w:r>
    </w:p>
    <w:p w14:paraId="25C4E335">
      <w:pPr>
        <w:pStyle w:val="33"/>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w:t>
      </w:r>
      <w:r>
        <w:rPr>
          <w:rFonts w:hint="eastAsia" w:hAnsi="宋体" w:cs="宋体"/>
          <w:color w:val="000000" w:themeColor="text1"/>
          <w:kern w:val="0"/>
          <w:sz w:val="24"/>
          <w:highlight w:val="none"/>
          <w:lang w:val="en-US" w:eastAsia="zh-CN"/>
          <w14:textFill>
            <w14:solidFill>
              <w14:schemeClr w14:val="tx1"/>
            </w14:solidFill>
          </w14:textFill>
        </w:rPr>
        <w:t>2</w:t>
      </w:r>
      <w:r>
        <w:rPr>
          <w:rFonts w:hint="eastAsia" w:hAnsi="宋体" w:cs="宋体"/>
          <w:color w:val="000000" w:themeColor="text1"/>
          <w:kern w:val="0"/>
          <w:sz w:val="24"/>
          <w:highlight w:val="none"/>
          <w:lang w:val="zh-CN"/>
          <w14:textFill>
            <w14:solidFill>
              <w14:schemeClr w14:val="tx1"/>
            </w14:solidFill>
          </w14:textFill>
        </w:rPr>
        <w:t>.3.4事实依据；</w:t>
      </w:r>
    </w:p>
    <w:p w14:paraId="03CB5AEA">
      <w:pPr>
        <w:pStyle w:val="33"/>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w:t>
      </w:r>
      <w:r>
        <w:rPr>
          <w:rFonts w:hint="eastAsia" w:hAnsi="宋体" w:cs="宋体"/>
          <w:color w:val="000000" w:themeColor="text1"/>
          <w:kern w:val="0"/>
          <w:sz w:val="24"/>
          <w:highlight w:val="none"/>
          <w:lang w:val="en-US" w:eastAsia="zh-CN"/>
          <w14:textFill>
            <w14:solidFill>
              <w14:schemeClr w14:val="tx1"/>
            </w14:solidFill>
          </w14:textFill>
        </w:rPr>
        <w:t>2</w:t>
      </w:r>
      <w:r>
        <w:rPr>
          <w:rFonts w:hint="eastAsia" w:hAnsi="宋体" w:cs="宋体"/>
          <w:color w:val="000000" w:themeColor="text1"/>
          <w:kern w:val="0"/>
          <w:sz w:val="24"/>
          <w:highlight w:val="none"/>
          <w:lang w:val="zh-CN"/>
          <w14:textFill>
            <w14:solidFill>
              <w14:schemeClr w14:val="tx1"/>
            </w14:solidFill>
          </w14:textFill>
        </w:rPr>
        <w:t>.3.5必要的法律依据；</w:t>
      </w:r>
    </w:p>
    <w:p w14:paraId="19E27E6D">
      <w:pPr>
        <w:pStyle w:val="33"/>
        <w:spacing w:line="360" w:lineRule="auto"/>
        <w:ind w:firstLine="960" w:firstLineChars="4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w:t>
      </w:r>
      <w:r>
        <w:rPr>
          <w:rFonts w:hint="eastAsia" w:hAnsi="宋体" w:cs="宋体"/>
          <w:color w:val="000000" w:themeColor="text1"/>
          <w:kern w:val="0"/>
          <w:sz w:val="24"/>
          <w:highlight w:val="none"/>
          <w:lang w:val="en-US" w:eastAsia="zh-CN"/>
          <w14:textFill>
            <w14:solidFill>
              <w14:schemeClr w14:val="tx1"/>
            </w14:solidFill>
          </w14:textFill>
        </w:rPr>
        <w:t>2</w:t>
      </w:r>
      <w:r>
        <w:rPr>
          <w:rFonts w:hint="eastAsia" w:hAnsi="宋体" w:cs="宋体"/>
          <w:color w:val="000000" w:themeColor="text1"/>
          <w:kern w:val="0"/>
          <w:sz w:val="24"/>
          <w:highlight w:val="none"/>
          <w:lang w:val="zh-CN"/>
          <w14:textFill>
            <w14:solidFill>
              <w14:schemeClr w14:val="tx1"/>
            </w14:solidFill>
          </w14:textFill>
        </w:rPr>
        <w:t>.3.6提出质疑的日期。</w:t>
      </w:r>
    </w:p>
    <w:p w14:paraId="03185108">
      <w:pPr>
        <w:pStyle w:val="890"/>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7E68FC0E">
      <w:pPr>
        <w:pStyle w:val="890"/>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质疑函范本及制作说明详见附件</w:t>
      </w: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w:t>
      </w:r>
    </w:p>
    <w:p w14:paraId="7CD1BA2E">
      <w:pPr>
        <w:pStyle w:val="890"/>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.4对同一采购程序环节的质疑，供应商须在法定质疑期内一次性提出。</w:t>
      </w:r>
    </w:p>
    <w:p w14:paraId="1CF7BBCC">
      <w:pPr>
        <w:pStyle w:val="890"/>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4.</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.5采购人或者采购代理机构应当在收到供应商的书面质疑后七个工作日内作出答复，并以书面形式通知质疑供应商和其他与质疑处理结果有利害关系的采购当事人，但答复的内容不得涉及商业秘密。</w:t>
      </w:r>
    </w:p>
    <w:p w14:paraId="6C378FF8">
      <w:pPr>
        <w:pStyle w:val="890"/>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4.</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.6询问或者质疑事项可能影响采购结果的，采购人应当暂停签订合同，已经签订合同的，应当中止履行合同。</w:t>
      </w:r>
    </w:p>
    <w:p w14:paraId="0D061A4D">
      <w:pPr>
        <w:pStyle w:val="890"/>
        <w:shd w:val="clear" w:color="auto" w:fill="FFFFFF"/>
        <w:snapToGrid w:val="0"/>
        <w:spacing w:after="240" w:afterAutospacing="0" w:line="360" w:lineRule="auto"/>
        <w:ind w:firstLine="480" w:firstLineChars="200"/>
        <w:contextualSpacing/>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4.</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lang w:val="zh-CN"/>
          <w14:textFill>
            <w14:solidFill>
              <w14:schemeClr w14:val="tx1"/>
            </w14:solidFill>
          </w14:textFill>
        </w:rPr>
        <w:t>供应商投诉</w:t>
      </w:r>
    </w:p>
    <w:p w14:paraId="0488E09B">
      <w:pPr>
        <w:pStyle w:val="890"/>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.1质疑供应商对采购人、</w:t>
      </w:r>
      <w:r>
        <w:rPr>
          <w:rFonts w:hint="eastAsia"/>
          <w:color w:val="000000" w:themeColor="text1"/>
          <w:highlight w:val="none"/>
          <w:lang w:eastAsia="zh-CN"/>
          <w14:textFill>
            <w14:solidFill>
              <w14:schemeClr w14:val="tx1"/>
            </w14:solidFill>
          </w14:textFill>
        </w:rPr>
        <w:t>采购代理机构</w:t>
      </w:r>
      <w:r>
        <w:rPr>
          <w:rFonts w:hint="eastAsia"/>
          <w:color w:val="000000" w:themeColor="text1"/>
          <w:highlight w:val="none"/>
          <w14:textFill>
            <w14:solidFill>
              <w14:schemeClr w14:val="tx1"/>
            </w14:solidFill>
          </w14:textFill>
        </w:rPr>
        <w:t>的答复不满意或者采购人、</w:t>
      </w:r>
      <w:r>
        <w:rPr>
          <w:rFonts w:hint="eastAsia"/>
          <w:color w:val="000000" w:themeColor="text1"/>
          <w:highlight w:val="none"/>
          <w:lang w:eastAsia="zh-CN"/>
          <w14:textFill>
            <w14:solidFill>
              <w14:schemeClr w14:val="tx1"/>
            </w14:solidFill>
          </w14:textFill>
        </w:rPr>
        <w:t>采购代理机构</w:t>
      </w:r>
      <w:r>
        <w:rPr>
          <w:rFonts w:hint="eastAsia"/>
          <w:color w:val="000000" w:themeColor="text1"/>
          <w:highlight w:val="none"/>
          <w14:textFill>
            <w14:solidFill>
              <w14:schemeClr w14:val="tx1"/>
            </w14:solidFill>
          </w14:textFill>
        </w:rPr>
        <w:t>未在规定的时间内作出答复的，可以在答复期满后十五个工作日内向采购监督管理部门提出投诉。</w:t>
      </w:r>
    </w:p>
    <w:p w14:paraId="4D8381EE">
      <w:pPr>
        <w:pStyle w:val="890"/>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w:t>
      </w:r>
      <w:r>
        <w:rPr>
          <w:rFonts w:hint="eastAsia"/>
          <w:color w:val="000000" w:themeColor="text1"/>
          <w:highlight w:val="none"/>
          <w:lang w:val="zh-CN"/>
          <w14:textFill>
            <w14:solidFill>
              <w14:schemeClr w14:val="tx1"/>
            </w14:solidFill>
          </w14:textFill>
        </w:rPr>
        <w:t>2</w:t>
      </w:r>
      <w:r>
        <w:rPr>
          <w:rFonts w:hint="eastAsia"/>
          <w:color w:val="000000" w:themeColor="text1"/>
          <w:highlight w:val="none"/>
          <w14:textFill>
            <w14:solidFill>
              <w14:schemeClr w14:val="tx1"/>
            </w14:solidFill>
          </w14:textFill>
        </w:rPr>
        <w:t>供应商投诉的事项不得超出已质疑事项的范围，基于质疑答复内容提出的投诉事项除外。</w:t>
      </w:r>
    </w:p>
    <w:p w14:paraId="3FA68777">
      <w:pPr>
        <w:pStyle w:val="890"/>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.3供应商投诉应当有明确的请求和必要的证明材料。</w:t>
      </w:r>
    </w:p>
    <w:p w14:paraId="2582F648">
      <w:pPr>
        <w:pStyle w:val="890"/>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.4 以联合体形式参加采购活动的，其投诉应当由组成联合体的所有供应商共同提出。</w:t>
      </w:r>
    </w:p>
    <w:p w14:paraId="3996D7B3">
      <w:pPr>
        <w:pStyle w:val="890"/>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投诉书范本及制作说明详见附件</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w:t>
      </w:r>
    </w:p>
    <w:p w14:paraId="6A1FA2D9">
      <w:pPr>
        <w:pStyle w:val="132"/>
        <w:snapToGrid w:val="0"/>
        <w:spacing w:before="0"/>
        <w:ind w:firstLine="360"/>
        <w:rPr>
          <w:rFonts w:ascii="宋体" w:hAnsi="宋体" w:cs="宋体"/>
          <w:color w:val="000000" w:themeColor="text1"/>
          <w:sz w:val="18"/>
          <w:szCs w:val="18"/>
          <w:highlight w:val="none"/>
          <w14:textFill>
            <w14:solidFill>
              <w14:schemeClr w14:val="tx1"/>
            </w14:solidFill>
          </w14:textFill>
        </w:rPr>
      </w:pPr>
    </w:p>
    <w:p w14:paraId="0EB807B8">
      <w:pPr>
        <w:adjustRightInd/>
        <w:spacing w:line="360" w:lineRule="auto"/>
        <w:jc w:val="center"/>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 xml:space="preserve">      二、招标文件的构成、澄清、修改</w:t>
      </w:r>
    </w:p>
    <w:p w14:paraId="2C58F3C4">
      <w:pPr>
        <w:pStyle w:val="33"/>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5．招标文件的构成</w:t>
      </w:r>
    </w:p>
    <w:p w14:paraId="649F111D">
      <w:pPr>
        <w:pStyle w:val="33"/>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 招标文件包括下列文件及附件：</w:t>
      </w:r>
    </w:p>
    <w:p w14:paraId="30387E07">
      <w:pPr>
        <w:pStyle w:val="33"/>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5.1.1招标公告；</w:t>
      </w:r>
    </w:p>
    <w:p w14:paraId="5CA0A63A">
      <w:pPr>
        <w:pStyle w:val="33"/>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5.1.2投标人须知；</w:t>
      </w:r>
    </w:p>
    <w:p w14:paraId="0E7F04AC">
      <w:pPr>
        <w:pStyle w:val="33"/>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5.1.3采购需求；</w:t>
      </w:r>
    </w:p>
    <w:p w14:paraId="7C59AFBF">
      <w:pPr>
        <w:pStyle w:val="33"/>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5.1.4评标办法；</w:t>
      </w:r>
    </w:p>
    <w:p w14:paraId="0F2DABE0">
      <w:pPr>
        <w:pStyle w:val="33"/>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5.1.5拟签订的合同文本；</w:t>
      </w:r>
    </w:p>
    <w:p w14:paraId="6BED4881">
      <w:pPr>
        <w:pStyle w:val="33"/>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5.1.6</w:t>
      </w:r>
      <w:r>
        <w:rPr>
          <w:rFonts w:hint="eastAsia" w:hAnsi="宋体" w:cs="宋体"/>
          <w:color w:val="000000" w:themeColor="text1"/>
          <w:sz w:val="24"/>
          <w:szCs w:val="24"/>
          <w:highlight w:val="none"/>
          <w14:textFill>
            <w14:solidFill>
              <w14:schemeClr w14:val="tx1"/>
            </w14:solidFill>
          </w14:textFill>
        </w:rPr>
        <w:t>应提交的有关格式范例。</w:t>
      </w:r>
    </w:p>
    <w:p w14:paraId="2136482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5.2与本项目有关的</w:t>
      </w:r>
      <w:r>
        <w:rPr>
          <w:rFonts w:hint="eastAsia" w:ascii="宋体" w:hAnsi="宋体" w:cs="宋体"/>
          <w:bCs/>
          <w:color w:val="000000" w:themeColor="text1"/>
          <w:sz w:val="24"/>
          <w:highlight w:val="none"/>
          <w14:textFill>
            <w14:solidFill>
              <w14:schemeClr w14:val="tx1"/>
            </w14:solidFill>
          </w14:textFill>
        </w:rPr>
        <w:t>澄清或者修改的内容为招标文件的组成部分</w:t>
      </w:r>
      <w:r>
        <w:rPr>
          <w:rFonts w:hint="eastAsia" w:ascii="宋体" w:hAnsi="宋体" w:cs="宋体"/>
          <w:color w:val="000000" w:themeColor="text1"/>
          <w:sz w:val="24"/>
          <w:highlight w:val="none"/>
          <w14:textFill>
            <w14:solidFill>
              <w14:schemeClr w14:val="tx1"/>
            </w14:solidFill>
          </w14:textFill>
        </w:rPr>
        <w:t>。</w:t>
      </w:r>
    </w:p>
    <w:p w14:paraId="16408942">
      <w:pPr>
        <w:pStyle w:val="33"/>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6. 招标文件的澄清、修改</w:t>
      </w:r>
    </w:p>
    <w:p w14:paraId="5085BABA">
      <w:pPr>
        <w:pStyle w:val="132"/>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6.1已获取招标文件的潜在投标人，若有问题需要澄清，应于投标截止时间前，以书面形式向</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提出。</w:t>
      </w:r>
    </w:p>
    <w:p w14:paraId="387F5669">
      <w:pPr>
        <w:pStyle w:val="132"/>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6.2 </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2041709">
      <w:pPr>
        <w:pStyle w:val="24"/>
        <w:rPr>
          <w:rFonts w:hAnsi="宋体" w:cs="宋体"/>
          <w:color w:val="000000" w:themeColor="text1"/>
          <w:sz w:val="18"/>
          <w:szCs w:val="18"/>
          <w:highlight w:val="none"/>
          <w:lang w:val="en-US"/>
          <w14:textFill>
            <w14:solidFill>
              <w14:schemeClr w14:val="tx1"/>
            </w14:solidFill>
          </w14:textFill>
        </w:rPr>
      </w:pPr>
      <w:r>
        <w:rPr>
          <w:rFonts w:hint="eastAsia" w:hAnsi="宋体" w:cs="宋体"/>
          <w:color w:val="000000" w:themeColor="text1"/>
          <w:szCs w:val="24"/>
          <w:highlight w:val="none"/>
          <w:lang w:val="en-US"/>
          <w14:textFill>
            <w14:solidFill>
              <w14:schemeClr w14:val="tx1"/>
            </w14:solidFill>
          </w14:textFill>
        </w:rPr>
        <w:t xml:space="preserve">    </w:t>
      </w:r>
    </w:p>
    <w:p w14:paraId="0F3E7A23">
      <w:pPr>
        <w:adjustRightInd/>
        <w:spacing w:line="360" w:lineRule="auto"/>
        <w:jc w:val="center"/>
        <w:outlineLvl w:val="0"/>
        <w:rPr>
          <w:rFonts w:ascii="宋体" w:hAnsi="宋体" w:cs="宋体"/>
          <w:b/>
          <w:color w:val="000000" w:themeColor="text1"/>
          <w:sz w:val="30"/>
          <w:szCs w:val="20"/>
          <w:highlight w:val="none"/>
          <w14:textFill>
            <w14:solidFill>
              <w14:schemeClr w14:val="tx1"/>
            </w14:solidFill>
          </w14:textFill>
        </w:rPr>
      </w:pPr>
      <w:r>
        <w:rPr>
          <w:rFonts w:hint="eastAsia" w:ascii="宋体" w:hAnsi="宋体" w:cs="宋体"/>
          <w:b/>
          <w:color w:val="000000" w:themeColor="text1"/>
          <w:sz w:val="30"/>
          <w:szCs w:val="20"/>
          <w:highlight w:val="none"/>
          <w14:textFill>
            <w14:solidFill>
              <w14:schemeClr w14:val="tx1"/>
            </w14:solidFill>
          </w14:textFill>
        </w:rPr>
        <w:t>三、投标</w:t>
      </w:r>
    </w:p>
    <w:p w14:paraId="6EC6AF10">
      <w:pPr>
        <w:pStyle w:val="33"/>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7. 招标文件的获取</w:t>
      </w:r>
    </w:p>
    <w:p w14:paraId="0D620D95">
      <w:pPr>
        <w:spacing w:line="360" w:lineRule="auto"/>
        <w:ind w:firstLine="480" w:firstLineChars="200"/>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详见招标公告中获取招标文件的时间期限、地点、方式及招标文件售价。</w:t>
      </w:r>
    </w:p>
    <w:p w14:paraId="55221B7F">
      <w:pPr>
        <w:pStyle w:val="33"/>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8.开标前答疑会或现场考察</w:t>
      </w:r>
    </w:p>
    <w:p w14:paraId="0B9AE3CC">
      <w:pPr>
        <w:pStyle w:val="33"/>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591A8C56">
      <w:pPr>
        <w:pStyle w:val="33"/>
        <w:spacing w:line="360" w:lineRule="auto"/>
        <w:rPr>
          <w:rFonts w:hAnsi="宋体" w:cs="宋体"/>
          <w:b/>
          <w:color w:val="000000" w:themeColor="text1"/>
          <w:szCs w:val="24"/>
          <w:highlight w:val="none"/>
          <w14:textFill>
            <w14:solidFill>
              <w14:schemeClr w14:val="tx1"/>
            </w14:solidFill>
          </w14:textFill>
        </w:rPr>
      </w:pPr>
      <w:r>
        <w:rPr>
          <w:rFonts w:hint="eastAsia" w:hAnsi="宋体" w:cs="宋体"/>
          <w:b/>
          <w:color w:val="000000" w:themeColor="text1"/>
          <w:kern w:val="28"/>
          <w:sz w:val="24"/>
          <w:szCs w:val="24"/>
          <w:highlight w:val="none"/>
          <w14:textFill>
            <w14:solidFill>
              <w14:schemeClr w14:val="tx1"/>
            </w14:solidFill>
          </w14:textFill>
        </w:rPr>
        <w:t>9.投标保证金</w:t>
      </w:r>
    </w:p>
    <w:p w14:paraId="291D8102">
      <w:pPr>
        <w:spacing w:line="360" w:lineRule="auto"/>
        <w:ind w:firstLine="470" w:firstLineChars="196"/>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本项目不需缴纳投标保证金。</w:t>
      </w:r>
    </w:p>
    <w:p w14:paraId="3326EC9D">
      <w:pPr>
        <w:pStyle w:val="33"/>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10. 投标文件的语言</w:t>
      </w:r>
    </w:p>
    <w:p w14:paraId="1FABEE77">
      <w:pPr>
        <w:autoSpaceDE w:val="0"/>
        <w:autoSpaceDN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投标文件及投标人与采购有关的来往通知、函件和文件均应使用中文。</w:t>
      </w:r>
    </w:p>
    <w:p w14:paraId="15EB7159">
      <w:pPr>
        <w:pStyle w:val="33"/>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11. 投标文件的组成</w:t>
      </w:r>
    </w:p>
    <w:p w14:paraId="3F7D490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hint="eastAsia" w:ascii="宋体" w:hAnsi="宋体" w:cs="宋体"/>
          <w:b/>
          <w:color w:val="000000" w:themeColor="text1"/>
          <w:sz w:val="24"/>
          <w:highlight w:val="none"/>
          <w14:textFill>
            <w14:solidFill>
              <w14:schemeClr w14:val="tx1"/>
            </w14:solidFill>
          </w14:textFill>
        </w:rPr>
        <w:t>资格文件</w:t>
      </w:r>
      <w:r>
        <w:rPr>
          <w:rFonts w:hint="eastAsia" w:ascii="宋体" w:hAnsi="宋体" w:cs="宋体"/>
          <w:color w:val="000000" w:themeColor="text1"/>
          <w:sz w:val="24"/>
          <w:highlight w:val="none"/>
          <w14:textFill>
            <w14:solidFill>
              <w14:schemeClr w14:val="tx1"/>
            </w14:solidFill>
          </w14:textFill>
        </w:rPr>
        <w:t>：</w:t>
      </w:r>
    </w:p>
    <w:p w14:paraId="7F73B224">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w:t>
      </w:r>
      <w:r>
        <w:rPr>
          <w:rFonts w:hint="eastAsia" w:ascii="宋体" w:hAnsi="宋体" w:cs="宋体"/>
          <w:color w:val="000000" w:themeColor="text1"/>
          <w:sz w:val="24"/>
          <w:highlight w:val="none"/>
          <w:lang w:eastAsia="zh-CN"/>
          <w14:textFill>
            <w14:solidFill>
              <w14:schemeClr w14:val="tx1"/>
            </w14:solidFill>
          </w14:textFill>
        </w:rPr>
        <w:t>符合参加国有企业采购活动应当具备的一般条件的承诺函</w:t>
      </w:r>
      <w:r>
        <w:rPr>
          <w:rFonts w:hint="eastAsia" w:ascii="宋体" w:hAnsi="宋体" w:cs="宋体"/>
          <w:color w:val="000000" w:themeColor="text1"/>
          <w:sz w:val="24"/>
          <w:highlight w:val="none"/>
          <w14:textFill>
            <w14:solidFill>
              <w14:schemeClr w14:val="tx1"/>
            </w14:solidFill>
          </w14:textFill>
        </w:rPr>
        <w:t>；</w:t>
      </w:r>
    </w:p>
    <w:p w14:paraId="3A23C23E">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本项目的特定资格要求</w:t>
      </w:r>
      <w:r>
        <w:rPr>
          <w:rFonts w:hint="eastAsia" w:ascii="宋体" w:hAnsi="宋体" w:cs="宋体"/>
          <w:snapToGrid w:val="0"/>
          <w:color w:val="000000" w:themeColor="text1"/>
          <w:kern w:val="28"/>
          <w:sz w:val="24"/>
          <w:szCs w:val="20"/>
          <w:highlight w:val="none"/>
          <w14:textFill>
            <w14:solidFill>
              <w14:schemeClr w14:val="tx1"/>
            </w14:solidFill>
          </w14:textFill>
        </w:rPr>
        <w:t>（</w:t>
      </w:r>
      <w:r>
        <w:rPr>
          <w:rFonts w:hint="eastAsia" w:ascii="宋体" w:hAnsi="宋体" w:cs="宋体"/>
          <w:snapToGrid w:val="0"/>
          <w:color w:val="000000" w:themeColor="text1"/>
          <w:kern w:val="28"/>
          <w:sz w:val="24"/>
          <w:szCs w:val="20"/>
          <w:highlight w:val="none"/>
          <w:lang w:eastAsia="zh-CN"/>
          <w14:textFill>
            <w14:solidFill>
              <w14:schemeClr w14:val="tx1"/>
            </w14:solidFill>
          </w14:textFill>
        </w:rPr>
        <w:t>本项目未要求</w:t>
      </w:r>
      <w:r>
        <w:rPr>
          <w:rFonts w:hint="eastAsia" w:ascii="宋体" w:hAnsi="宋体" w:cs="宋体"/>
          <w:snapToGrid w:val="0"/>
          <w:color w:val="000000" w:themeColor="text1"/>
          <w:kern w:val="28"/>
          <w:sz w:val="24"/>
          <w:szCs w:val="20"/>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p>
    <w:p w14:paraId="47238DF0">
      <w:pPr>
        <w:snapToGrid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14:paraId="26C902EC">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11.2.1投标函；</w:t>
      </w:r>
      <w:r>
        <w:rPr>
          <w:rFonts w:hint="eastAsia" w:ascii="宋体" w:hAnsi="宋体" w:cs="宋体"/>
          <w:color w:val="000000" w:themeColor="text1"/>
          <w:sz w:val="24"/>
          <w:highlight w:val="none"/>
          <w:lang w:val="zh-CN"/>
          <w14:textFill>
            <w14:solidFill>
              <w14:schemeClr w14:val="tx1"/>
            </w14:solidFill>
          </w14:textFill>
        </w:rPr>
        <w:t xml:space="preserve"> </w:t>
      </w:r>
    </w:p>
    <w:p w14:paraId="7B7FDDC4">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11.2.2授权委托书或法定代表人（单位负责人、自然人本人）身份证明；</w:t>
      </w:r>
    </w:p>
    <w:p w14:paraId="348E423D">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snapToGrid w:val="0"/>
          <w:color w:val="000000" w:themeColor="text1"/>
          <w:kern w:val="28"/>
          <w:sz w:val="24"/>
          <w:szCs w:val="20"/>
          <w:highlight w:val="none"/>
          <w14:textFill>
            <w14:solidFill>
              <w14:schemeClr w14:val="tx1"/>
            </w14:solidFill>
          </w14:textFill>
        </w:rPr>
        <w:t>（</w:t>
      </w:r>
      <w:r>
        <w:rPr>
          <w:rFonts w:hint="eastAsia" w:ascii="宋体" w:hAnsi="宋体" w:cs="宋体"/>
          <w:snapToGrid w:val="0"/>
          <w:color w:val="000000" w:themeColor="text1"/>
          <w:kern w:val="28"/>
          <w:sz w:val="24"/>
          <w:szCs w:val="20"/>
          <w:highlight w:val="none"/>
          <w:lang w:eastAsia="zh-CN"/>
          <w14:textFill>
            <w14:solidFill>
              <w14:schemeClr w14:val="tx1"/>
            </w14:solidFill>
          </w14:textFill>
        </w:rPr>
        <w:t>本项目不允许分包</w:t>
      </w:r>
      <w:r>
        <w:rPr>
          <w:rFonts w:hint="eastAsia" w:ascii="宋体" w:hAnsi="宋体" w:cs="宋体"/>
          <w:snapToGrid w:val="0"/>
          <w:color w:val="000000" w:themeColor="text1"/>
          <w:kern w:val="28"/>
          <w:sz w:val="24"/>
          <w:szCs w:val="20"/>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p>
    <w:p w14:paraId="60F5E582">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p>
    <w:p w14:paraId="7070A7DF">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p>
    <w:p w14:paraId="42A14391">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p>
    <w:p w14:paraId="27C8E0CB">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p>
    <w:p w14:paraId="3AADE8E5">
      <w:pPr>
        <w:snapToGrid w:val="0"/>
        <w:spacing w:line="360" w:lineRule="auto"/>
        <w:ind w:firstLine="960" w:firstLineChars="4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采购供应商廉洁自律承诺书；</w:t>
      </w:r>
    </w:p>
    <w:p w14:paraId="0FB496FC">
      <w:pPr>
        <w:snapToGrid w:val="0"/>
        <w:spacing w:line="360" w:lineRule="auto"/>
        <w:ind w:firstLine="960" w:firstLineChars="4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9随机标准附件、备品备件、零配件、专用工具清单</w:t>
      </w:r>
      <w:r>
        <w:rPr>
          <w:rFonts w:hint="eastAsia" w:ascii="宋体" w:hAnsi="宋体" w:cs="宋体"/>
          <w:color w:val="000000" w:themeColor="text1"/>
          <w:sz w:val="24"/>
          <w:highlight w:val="none"/>
          <w:lang w:val="zh-CN"/>
          <w14:textFill>
            <w14:solidFill>
              <w14:schemeClr w14:val="tx1"/>
            </w14:solidFill>
          </w14:textFill>
        </w:rPr>
        <w:t>；</w:t>
      </w:r>
    </w:p>
    <w:p w14:paraId="64D0F819">
      <w:pPr>
        <w:snapToGrid w:val="0"/>
        <w:spacing w:line="360" w:lineRule="auto"/>
        <w:ind w:firstLine="960" w:firstLineChars="4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10选配件、专用耗材、售后服务优惠表</w:t>
      </w:r>
      <w:r>
        <w:rPr>
          <w:rFonts w:hint="eastAsia" w:ascii="宋体" w:hAnsi="宋体" w:cs="宋体"/>
          <w:color w:val="000000" w:themeColor="text1"/>
          <w:sz w:val="24"/>
          <w:highlight w:val="none"/>
          <w:lang w:val="zh-CN"/>
          <w14:textFill>
            <w14:solidFill>
              <w14:schemeClr w14:val="tx1"/>
            </w14:solidFill>
          </w14:textFill>
        </w:rPr>
        <w:t>；</w:t>
      </w:r>
    </w:p>
    <w:p w14:paraId="722BC276">
      <w:pPr>
        <w:snapToGrid w:val="0"/>
        <w:spacing w:line="360" w:lineRule="auto"/>
        <w:ind w:firstLine="960" w:firstLineChars="4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11质量保证及售后服务承诺书</w:t>
      </w:r>
      <w:r>
        <w:rPr>
          <w:rFonts w:hint="eastAsia" w:ascii="宋体" w:hAnsi="宋体" w:cs="宋体"/>
          <w:color w:val="000000" w:themeColor="text1"/>
          <w:sz w:val="24"/>
          <w:highlight w:val="none"/>
          <w:lang w:val="zh-CN"/>
          <w14:textFill>
            <w14:solidFill>
              <w14:schemeClr w14:val="tx1"/>
            </w14:solidFill>
          </w14:textFill>
        </w:rPr>
        <w:t>；</w:t>
      </w:r>
    </w:p>
    <w:p w14:paraId="7180FD38">
      <w:pPr>
        <w:snapToGrid w:val="0"/>
        <w:spacing w:line="360" w:lineRule="auto"/>
        <w:ind w:firstLine="960" w:firstLineChars="4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12消耗品、易耗品、备品备件购买价格清单</w:t>
      </w:r>
      <w:r>
        <w:rPr>
          <w:rFonts w:hint="eastAsia" w:ascii="宋体" w:hAnsi="宋体" w:cs="宋体"/>
          <w:color w:val="000000" w:themeColor="text1"/>
          <w:sz w:val="24"/>
          <w:highlight w:val="none"/>
          <w:lang w:val="zh-CN"/>
          <w14:textFill>
            <w14:solidFill>
              <w14:schemeClr w14:val="tx1"/>
            </w14:solidFill>
          </w14:textFill>
        </w:rPr>
        <w:t>；</w:t>
      </w:r>
    </w:p>
    <w:p w14:paraId="4775C662">
      <w:pPr>
        <w:snapToGrid w:val="0"/>
        <w:spacing w:line="360" w:lineRule="auto"/>
        <w:ind w:firstLine="480" w:firstLineChars="200"/>
        <w:rPr>
          <w:rFonts w:ascii="宋体" w:hAnsi="宋体" w:cs="宋体"/>
          <w:color w:val="000000" w:themeColor="text1"/>
          <w:sz w:val="24"/>
          <w:highlight w:val="none"/>
          <w:u w:val="singl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11.</w:t>
      </w:r>
      <w:r>
        <w:rPr>
          <w:rFonts w:hint="eastAsia" w:ascii="宋体" w:hAnsi="宋体" w:cs="宋体"/>
          <w:color w:val="000000" w:themeColor="text1"/>
          <w:kern w:val="0"/>
          <w:sz w:val="24"/>
          <w:highlight w:val="none"/>
          <w14:textFill>
            <w14:solidFill>
              <w14:schemeClr w14:val="tx1"/>
            </w14:solidFill>
          </w14:textFill>
        </w:rPr>
        <w:t>3</w:t>
      </w:r>
      <w:r>
        <w:rPr>
          <w:rFonts w:hint="eastAsia" w:ascii="宋体" w:hAnsi="宋体" w:cs="宋体"/>
          <w:b/>
          <w:color w:val="000000" w:themeColor="text1"/>
          <w:sz w:val="24"/>
          <w:highlight w:val="none"/>
          <w14:textFill>
            <w14:solidFill>
              <w14:schemeClr w14:val="tx1"/>
            </w14:solidFill>
          </w14:textFill>
        </w:rPr>
        <w:t>报价文件：</w:t>
      </w:r>
      <w:r>
        <w:rPr>
          <w:rFonts w:hint="eastAsia" w:ascii="宋体" w:hAnsi="宋体" w:cs="宋体"/>
          <w:color w:val="000000" w:themeColor="text1"/>
          <w:sz w:val="24"/>
          <w:highlight w:val="none"/>
          <w14:textFill>
            <w14:solidFill>
              <w14:schemeClr w14:val="tx1"/>
            </w14:solidFill>
          </w14:textFill>
        </w:rPr>
        <w:t xml:space="preserve"> </w:t>
      </w:r>
    </w:p>
    <w:p w14:paraId="750B4D29">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11.3.1开标一览表（报价表）；</w:t>
      </w:r>
    </w:p>
    <w:p w14:paraId="0A6E3707">
      <w:pPr>
        <w:pStyle w:val="81"/>
        <w:adjustRightInd w:val="0"/>
        <w:spacing w:line="360" w:lineRule="auto"/>
        <w:ind w:firstLine="960" w:firstLineChars="400"/>
        <w:rPr>
          <w:color w:val="000000" w:themeColor="text1"/>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11.3.</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p>
    <w:p w14:paraId="2E648905">
      <w:pPr>
        <w:spacing w:line="360" w:lineRule="auto"/>
        <w:ind w:firstLine="723" w:firstLineChars="3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14:paraId="0BF39B01">
      <w:pPr>
        <w:spacing w:line="360" w:lineRule="auto"/>
        <w:ind w:firstLine="723" w:firstLineChars="3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投标人提供虚假材料投标的，投标无效。</w:t>
      </w:r>
    </w:p>
    <w:p w14:paraId="6BB49301">
      <w:pPr>
        <w:spacing w:line="360" w:lineRule="auto"/>
        <w:ind w:firstLine="720" w:firstLineChars="300"/>
        <w:rPr>
          <w:color w:val="000000" w:themeColor="text1"/>
          <w:highlight w:val="none"/>
          <w14:textFill>
            <w14:solidFill>
              <w14:schemeClr w14:val="tx1"/>
            </w14:solidFill>
          </w14:textFill>
        </w:rPr>
      </w:pPr>
      <w:r>
        <w:rPr>
          <w:rFonts w:hint="eastAsia"/>
          <w:color w:val="000000" w:themeColor="text1"/>
          <w:sz w:val="24"/>
          <w:szCs w:val="24"/>
          <w:highlight w:val="none"/>
          <w:shd w:val="clear" w:color="auto" w:fill="FFFFFF"/>
          <w:lang w:val="en-US" w:eastAsia="zh-CN"/>
          <w14:textFill>
            <w14:solidFill>
              <w14:schemeClr w14:val="tx1"/>
            </w14:solidFill>
          </w14:textFill>
        </w:rPr>
        <w:t>投标人应对投标文件中材料的真实性、合法性负责。</w:t>
      </w:r>
    </w:p>
    <w:p w14:paraId="7CB46E52">
      <w:pPr>
        <w:pStyle w:val="132"/>
        <w:snapToGrid w:val="0"/>
        <w:spacing w:before="0"/>
        <w:ind w:firstLine="0" w:firstLineChars="0"/>
        <w:outlineLvl w:val="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12</w:t>
      </w:r>
      <w:r>
        <w:rPr>
          <w:rFonts w:hint="eastAsia" w:ascii="宋体" w:hAnsi="宋体" w:cs="宋体"/>
          <w:b/>
          <w:color w:val="000000" w:themeColor="text1"/>
          <w:kern w:val="0"/>
          <w:szCs w:val="24"/>
          <w:highlight w:val="none"/>
          <w:lang w:val="zh-CN"/>
          <w14:textFill>
            <w14:solidFill>
              <w14:schemeClr w14:val="tx1"/>
            </w14:solidFill>
          </w14:textFill>
        </w:rPr>
        <w:t xml:space="preserve">. </w:t>
      </w:r>
      <w:r>
        <w:rPr>
          <w:rFonts w:hint="eastAsia" w:ascii="宋体" w:hAnsi="宋体" w:cs="宋体"/>
          <w:b/>
          <w:color w:val="000000" w:themeColor="text1"/>
          <w:szCs w:val="24"/>
          <w:highlight w:val="none"/>
          <w14:textFill>
            <w14:solidFill>
              <w14:schemeClr w14:val="tx1"/>
            </w14:solidFill>
          </w14:textFill>
        </w:rPr>
        <w:t>投标文件的编制</w:t>
      </w:r>
    </w:p>
    <w:p w14:paraId="4F6C49CB">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6126B3F">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12.2投标人进行电子投标应安装客户端软件—“乐采云电子投标客户端”，并按照招标文件和电子交易平台的要求编制并加密投标文件。投标人未按规定加密的投标文件，电子交易平台将拒收并提示。</w:t>
      </w:r>
    </w:p>
    <w:p w14:paraId="60702A79">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12.3使用“乐采云电子投标客户端”需要提前申领CA数字证书，申领流程请自行前往</w:t>
      </w:r>
      <w:r>
        <w:rPr>
          <w:rFonts w:hint="eastAsia" w:ascii="宋体" w:hAnsi="宋体" w:cs="宋体"/>
          <w:color w:val="000000" w:themeColor="text1"/>
          <w:sz w:val="24"/>
          <w:highlight w:val="none"/>
          <w14:textFill>
            <w14:solidFill>
              <w14:schemeClr w14:val="tx1"/>
            </w14:solidFill>
          </w14:textFill>
        </w:rPr>
        <w:t>“乐采云平台-</w:t>
      </w:r>
      <w:r>
        <w:rPr>
          <w:rFonts w:hint="eastAsia" w:ascii="宋体" w:hAnsi="宋体" w:cs="宋体"/>
          <w:color w:val="000000" w:themeColor="text1"/>
          <w:sz w:val="24"/>
          <w:highlight w:val="none"/>
          <w:lang w:eastAsia="zh-CN"/>
          <w14:textFill>
            <w14:solidFill>
              <w14:schemeClr w14:val="tx1"/>
            </w14:solidFill>
          </w14:textFill>
        </w:rPr>
        <w:t>服务中心</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帮助中心</w:t>
      </w:r>
      <w:r>
        <w:rPr>
          <w:rFonts w:hint="eastAsia" w:ascii="宋体" w:hAnsi="宋体" w:cs="宋体"/>
          <w:color w:val="000000" w:themeColor="text1"/>
          <w:sz w:val="24"/>
          <w:highlight w:val="none"/>
          <w14:textFill>
            <w14:solidFill>
              <w14:schemeClr w14:val="tx1"/>
            </w14:solidFill>
          </w14:textFill>
        </w:rPr>
        <w:t>-注册与系统管理</w:t>
      </w:r>
      <w:r>
        <w:rPr>
          <w:rFonts w:hint="eastAsia" w:ascii="宋体" w:hAnsi="宋体" w:cs="宋体"/>
          <w:color w:val="000000" w:themeColor="text1"/>
          <w:sz w:val="24"/>
          <w:highlight w:val="none"/>
          <w:lang w:val="en-US" w:eastAsia="zh-CN"/>
          <w14:textFill>
            <w14:solidFill>
              <w14:schemeClr w14:val="tx1"/>
            </w14:solidFill>
          </w14:textFill>
        </w:rPr>
        <w:t>-CA管理</w:t>
      </w:r>
      <w:r>
        <w:rPr>
          <w:rFonts w:hint="eastAsia" w:ascii="宋体" w:hAnsi="宋体" w:cs="宋体"/>
          <w:color w:val="000000" w:themeColor="text1"/>
          <w:kern w:val="0"/>
          <w:sz w:val="24"/>
          <w:highlight w:val="none"/>
          <w:lang w:val="zh-CN"/>
          <w14:textFill>
            <w14:solidFill>
              <w14:schemeClr w14:val="tx1"/>
            </w14:solidFill>
          </w14:textFill>
        </w:rPr>
        <w:t>”进行查阅。</w:t>
      </w:r>
    </w:p>
    <w:p w14:paraId="7A54A430">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13.投标文件的签署、盖章</w:t>
      </w:r>
    </w:p>
    <w:p w14:paraId="69C165B7">
      <w:pPr>
        <w:pStyle w:val="132"/>
        <w:snapToGrid w:val="0"/>
        <w:spacing w:before="0"/>
        <w:ind w:firstLine="480"/>
        <w:rPr>
          <w:rFonts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13.1投标文件按照招标文件第六部分格式要</w:t>
      </w:r>
      <w:r>
        <w:rPr>
          <w:rFonts w:hint="eastAsia" w:ascii="宋体" w:hAnsi="宋体" w:cs="宋体"/>
          <w:color w:val="000000" w:themeColor="text1"/>
          <w:highlight w:val="none"/>
          <w14:textFill>
            <w14:solidFill>
              <w14:schemeClr w14:val="tx1"/>
            </w14:solidFill>
          </w14:textFill>
        </w:rPr>
        <w:t>求进行签署、盖章。</w:t>
      </w:r>
      <w:r>
        <w:rPr>
          <w:rFonts w:hint="eastAsia" w:ascii="宋体" w:hAnsi="宋体" w:cs="宋体"/>
          <w:b/>
          <w:color w:val="000000" w:themeColor="text1"/>
          <w:highlight w:val="none"/>
          <w14:textFill>
            <w14:solidFill>
              <w14:schemeClr w14:val="tx1"/>
            </w14:solidFill>
          </w14:textFill>
        </w:rPr>
        <w:t>▲投标人的投标文件未按照招标文件要求签署、盖章的，其投标无效</w:t>
      </w:r>
      <w:r>
        <w:rPr>
          <w:rFonts w:hint="eastAsia" w:ascii="宋体" w:hAnsi="宋体" w:cs="宋体"/>
          <w:color w:val="000000" w:themeColor="text1"/>
          <w:szCs w:val="24"/>
          <w:highlight w:val="none"/>
          <w14:textFill>
            <w14:solidFill>
              <w14:schemeClr w14:val="tx1"/>
            </w14:solidFill>
          </w14:textFill>
        </w:rPr>
        <w:t>。</w:t>
      </w:r>
    </w:p>
    <w:p w14:paraId="7FDEECE3">
      <w:pPr>
        <w:pStyle w:val="132"/>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13.2为确保网上操作合法、有效和安全，投标人应当在投标截止时间前完成在“乐采云平台”的身份认证，确保在电子投标过程中能够对相关数据电文进行加密和使用电子签名。</w:t>
      </w:r>
    </w:p>
    <w:p w14:paraId="5C78EB3D">
      <w:pPr>
        <w:pStyle w:val="132"/>
        <w:snapToGrid w:val="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13.3招标文件对投标文件签署、盖章的要求适用于电子签名。</w:t>
      </w:r>
    </w:p>
    <w:p w14:paraId="51ADDBF2">
      <w:pPr>
        <w:pStyle w:val="132"/>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14. 投标文件的提交、补充、修改、撤回</w:t>
      </w:r>
    </w:p>
    <w:p w14:paraId="58C7454E">
      <w:pPr>
        <w:pStyle w:val="132"/>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38BC771">
      <w:pPr>
        <w:pStyle w:val="132"/>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15CCA91E">
      <w:pPr>
        <w:pStyle w:val="132"/>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14.3采购人、</w:t>
      </w:r>
      <w:r>
        <w:rPr>
          <w:rFonts w:hint="eastAsia" w:ascii="宋体" w:hAnsi="宋体" w:cs="宋体"/>
          <w:color w:val="000000" w:themeColor="text1"/>
          <w:szCs w:val="24"/>
          <w:highlight w:val="none"/>
          <w:lang w:eastAsia="zh-CN"/>
          <w14:textFill>
            <w14:solidFill>
              <w14:schemeClr w14:val="tx1"/>
            </w14:solidFill>
          </w14:textFill>
        </w:rPr>
        <w:t>采购代理机构</w:t>
      </w:r>
      <w:r>
        <w:rPr>
          <w:rFonts w:hint="eastAsia" w:ascii="宋体" w:hAnsi="宋体" w:cs="宋体"/>
          <w:color w:val="000000" w:themeColor="text1"/>
          <w:szCs w:val="24"/>
          <w:highlight w:val="none"/>
          <w14:textFill>
            <w14:solidFill>
              <w14:schemeClr w14:val="tx1"/>
            </w14:solidFill>
          </w14:textFill>
        </w:rPr>
        <w:t>可以视情况延长投标文件提交的截止时间。在上述情况下，</w:t>
      </w:r>
      <w:r>
        <w:rPr>
          <w:rFonts w:hint="eastAsia" w:ascii="宋体" w:hAnsi="宋体" w:cs="宋体"/>
          <w:color w:val="000000" w:themeColor="text1"/>
          <w:szCs w:val="24"/>
          <w:highlight w:val="none"/>
          <w:lang w:eastAsia="zh-CN"/>
          <w14:textFill>
            <w14:solidFill>
              <w14:schemeClr w14:val="tx1"/>
            </w14:solidFill>
          </w14:textFill>
        </w:rPr>
        <w:t>采购代理机构</w:t>
      </w:r>
      <w:r>
        <w:rPr>
          <w:rFonts w:hint="eastAsia" w:ascii="宋体" w:hAnsi="宋体" w:cs="宋体"/>
          <w:color w:val="000000" w:themeColor="text1"/>
          <w:szCs w:val="24"/>
          <w:highlight w:val="none"/>
          <w14:textFill>
            <w14:solidFill>
              <w14:schemeClr w14:val="tx1"/>
            </w14:solidFill>
          </w14:textFill>
        </w:rPr>
        <w:t>与投标人以前在投标截止期方面的全部权利、责任和义务，将适用于延长至新的投标截止期。</w:t>
      </w:r>
    </w:p>
    <w:p w14:paraId="4C9E11C3">
      <w:pPr>
        <w:pStyle w:val="33"/>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15.备份投标文件</w:t>
      </w:r>
    </w:p>
    <w:p w14:paraId="5C7A26B5">
      <w:pPr>
        <w:pStyle w:val="33"/>
        <w:spacing w:line="360" w:lineRule="auto"/>
        <w:ind w:firstLine="360" w:firstLineChars="15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hAnsi="宋体" w:cs="宋体"/>
          <w:b/>
          <w:color w:val="000000" w:themeColor="text1"/>
          <w:sz w:val="24"/>
          <w:szCs w:val="24"/>
          <w:highlight w:val="none"/>
          <w14:textFill>
            <w14:solidFill>
              <w14:schemeClr w14:val="tx1"/>
            </w14:solidFill>
          </w14:textFill>
        </w:rPr>
        <w:t>但采购人、</w:t>
      </w:r>
      <w:r>
        <w:rPr>
          <w:rFonts w:hint="eastAsia" w:hAnsi="宋体" w:cs="宋体"/>
          <w:b/>
          <w:color w:val="000000" w:themeColor="text1"/>
          <w:sz w:val="24"/>
          <w:szCs w:val="24"/>
          <w:highlight w:val="none"/>
          <w:lang w:eastAsia="zh-CN"/>
          <w14:textFill>
            <w14:solidFill>
              <w14:schemeClr w14:val="tx1"/>
            </w14:solidFill>
          </w14:textFill>
        </w:rPr>
        <w:t>采购代理机构</w:t>
      </w:r>
      <w:r>
        <w:rPr>
          <w:rFonts w:hint="eastAsia" w:hAnsi="宋体" w:cs="宋体"/>
          <w:b/>
          <w:color w:val="000000" w:themeColor="text1"/>
          <w:sz w:val="24"/>
          <w:szCs w:val="24"/>
          <w:highlight w:val="none"/>
          <w14:textFill>
            <w14:solidFill>
              <w14:schemeClr w14:val="tx1"/>
            </w14:solidFill>
          </w14:textFill>
        </w:rPr>
        <w:t>不强制或变相强制投标人提交备份投标文件。</w:t>
      </w:r>
    </w:p>
    <w:p w14:paraId="357B9DBA">
      <w:pPr>
        <w:pStyle w:val="33"/>
        <w:spacing w:line="360" w:lineRule="auto"/>
        <w:ind w:firstLine="480" w:firstLineChars="20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15.2备份投标文件须在“乐采云电子投标客户端”制作生成，并储存在</w:t>
      </w:r>
      <w:r>
        <w:rPr>
          <w:rFonts w:hint="eastAsia" w:hAnsi="宋体" w:cs="宋体"/>
          <w:color w:val="000000" w:themeColor="text1"/>
          <w:sz w:val="24"/>
          <w:highlight w:val="none"/>
          <w14:textFill>
            <w14:solidFill>
              <w14:schemeClr w14:val="tx1"/>
            </w14:solidFill>
          </w14:textFill>
        </w:rPr>
        <w:t>DVD光盘</w:t>
      </w:r>
      <w:r>
        <w:rPr>
          <w:rFonts w:hint="eastAsia" w:hAnsi="宋体" w:cs="宋体"/>
          <w:color w:val="000000" w:themeColor="text1"/>
          <w:sz w:val="24"/>
          <w:highlight w:val="none"/>
          <w:lang w:val="en-US" w:eastAsia="zh-CN"/>
          <w14:textFill>
            <w14:solidFill>
              <w14:schemeClr w14:val="tx1"/>
            </w14:solidFill>
          </w14:textFill>
        </w:rPr>
        <w:t>等存储介质</w:t>
      </w:r>
      <w:r>
        <w:rPr>
          <w:rFonts w:hint="eastAsia" w:hAnsi="宋体" w:cs="宋体"/>
          <w:color w:val="000000" w:themeColor="text1"/>
          <w:sz w:val="24"/>
          <w:szCs w:val="24"/>
          <w:highlight w:val="none"/>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000000" w:themeColor="text1"/>
          <w:sz w:val="24"/>
          <w:highlight w:val="none"/>
          <w14:textFill>
            <w14:solidFill>
              <w14:schemeClr w14:val="tx1"/>
            </w14:solidFill>
          </w14:textFill>
        </w:rPr>
        <w:t>不符合上述制作、</w:t>
      </w:r>
      <w:r>
        <w:rPr>
          <w:rFonts w:hint="eastAsia" w:hAnsi="宋体" w:cs="宋体"/>
          <w:b/>
          <w:color w:val="000000" w:themeColor="text1"/>
          <w:sz w:val="24"/>
          <w:szCs w:val="24"/>
          <w:highlight w:val="none"/>
          <w14:textFill>
            <w14:solidFill>
              <w14:schemeClr w14:val="tx1"/>
            </w14:solidFill>
          </w14:textFill>
        </w:rPr>
        <w:t>存储、密封规定的备份投标文件将被视为无效或者被拒绝接收。</w:t>
      </w:r>
    </w:p>
    <w:p w14:paraId="52C550EB">
      <w:pPr>
        <w:pStyle w:val="33"/>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w:t>
      </w:r>
      <w:r>
        <w:rPr>
          <w:rFonts w:hint="eastAsia" w:hAnsi="宋体" w:cs="宋体"/>
          <w:color w:val="000000" w:themeColor="text1"/>
          <w:sz w:val="24"/>
          <w:szCs w:val="24"/>
          <w:highlight w:val="none"/>
          <w:lang w:eastAsia="zh-CN"/>
          <w14:textFill>
            <w14:solidFill>
              <w14:schemeClr w14:val="tx1"/>
            </w14:solidFill>
          </w14:textFill>
        </w:rPr>
        <w:t>采购代理机构</w:t>
      </w:r>
      <w:r>
        <w:rPr>
          <w:rFonts w:hint="eastAsia" w:hAnsi="宋体" w:cs="宋体"/>
          <w:color w:val="000000" w:themeColor="text1"/>
          <w:sz w:val="24"/>
          <w:szCs w:val="24"/>
          <w:highlight w:val="none"/>
          <w14:textFill>
            <w14:solidFill>
              <w14:schemeClr w14:val="tx1"/>
            </w14:solidFill>
          </w14:textFill>
        </w:rPr>
        <w:t>，</w:t>
      </w:r>
      <w:r>
        <w:rPr>
          <w:rFonts w:hint="eastAsia" w:hAnsi="宋体" w:cs="宋体"/>
          <w:color w:val="000000" w:themeColor="text1"/>
          <w:sz w:val="24"/>
          <w:szCs w:val="24"/>
          <w:highlight w:val="none"/>
          <w:lang w:eastAsia="zh-CN"/>
          <w14:textFill>
            <w14:solidFill>
              <w14:schemeClr w14:val="tx1"/>
            </w14:solidFill>
          </w14:textFill>
        </w:rPr>
        <w:t>采购代理机构</w:t>
      </w:r>
      <w:r>
        <w:rPr>
          <w:rFonts w:hint="eastAsia" w:hAnsi="宋体" w:cs="宋体"/>
          <w:color w:val="000000" w:themeColor="text1"/>
          <w:sz w:val="24"/>
          <w:szCs w:val="24"/>
          <w:highlight w:val="none"/>
          <w14:textFill>
            <w14:solidFill>
              <w14:schemeClr w14:val="tx1"/>
            </w14:solidFill>
          </w14:textFill>
        </w:rPr>
        <w:t>将拒绝接受逾期送达的备份投标文件。</w:t>
      </w:r>
    </w:p>
    <w:p w14:paraId="376FFEF0">
      <w:pPr>
        <w:pStyle w:val="33"/>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000000" w:themeColor="text1"/>
          <w:sz w:val="24"/>
          <w:szCs w:val="24"/>
          <w:highlight w:val="none"/>
          <w14:textFill>
            <w14:solidFill>
              <w14:schemeClr w14:val="tx1"/>
            </w14:solidFill>
          </w14:textFill>
        </w:rPr>
        <w:t>招标文件第二部分投标人须知前附表规定的备份投标文件送达地点；</w:t>
      </w:r>
      <w:r>
        <w:rPr>
          <w:rFonts w:hint="eastAsia" w:hAnsi="宋体" w:cs="宋体"/>
          <w:color w:val="000000" w:themeColor="text1"/>
          <w:sz w:val="24"/>
          <w:szCs w:val="24"/>
          <w:highlight w:val="none"/>
          <w14:textFill>
            <w14:solidFill>
              <w14:schemeClr w14:val="tx1"/>
            </w14:solidFill>
          </w14:textFill>
        </w:rPr>
        <w:t>送达时间以签收人签收时间为准。</w:t>
      </w:r>
      <w:r>
        <w:rPr>
          <w:rFonts w:hint="eastAsia" w:hAnsi="宋体" w:cs="宋体"/>
          <w:color w:val="000000" w:themeColor="text1"/>
          <w:sz w:val="24"/>
          <w:szCs w:val="24"/>
          <w:highlight w:val="none"/>
          <w:lang w:eastAsia="zh-CN"/>
          <w14:textFill>
            <w14:solidFill>
              <w14:schemeClr w14:val="tx1"/>
            </w14:solidFill>
          </w14:textFill>
        </w:rPr>
        <w:t>采购代理机构</w:t>
      </w:r>
      <w:r>
        <w:rPr>
          <w:rFonts w:hint="eastAsia" w:hAnsi="宋体" w:cs="宋体"/>
          <w:color w:val="000000" w:themeColor="text1"/>
          <w:sz w:val="24"/>
          <w:szCs w:val="24"/>
          <w:highlight w:val="none"/>
          <w14:textFill>
            <w14:solidFill>
              <w14:schemeClr w14:val="tx1"/>
            </w14:solidFill>
          </w14:textFill>
        </w:rPr>
        <w:t>将拒绝接受逾期送达的备份投标文件。邮寄过程中，电子备份投标文件发生泄露、遗失、损坏或延期送达等情况的，由投标人自行负责。</w:t>
      </w:r>
    </w:p>
    <w:p w14:paraId="47FF39A4">
      <w:pPr>
        <w:pStyle w:val="33"/>
        <w:spacing w:line="360" w:lineRule="auto"/>
        <w:ind w:firstLine="479" w:firstLineChars="199"/>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15.5投标人仅提交备份投标文件，未在电子交易平台传输递交投标文件的，投标无效。</w:t>
      </w:r>
    </w:p>
    <w:p w14:paraId="4DBDF012">
      <w:pPr>
        <w:pStyle w:val="132"/>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16.投标文件的无效处理</w:t>
      </w:r>
    </w:p>
    <w:p w14:paraId="22B3C3DA">
      <w:pPr>
        <w:pStyle w:val="25"/>
        <w:spacing w:line="360" w:lineRule="auto"/>
        <w:ind w:firstLine="360" w:firstLineChars="150"/>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有招标文件第四部分</w:t>
      </w:r>
      <w:r>
        <w:rPr>
          <w:rFonts w:cs="宋体"/>
          <w:color w:val="000000" w:themeColor="text1"/>
          <w:highlight w:val="none"/>
          <w14:textFill>
            <w14:solidFill>
              <w14:schemeClr w14:val="tx1"/>
            </w14:solidFill>
          </w14:textFill>
        </w:rPr>
        <w:t>4.2规定</w:t>
      </w:r>
      <w:r>
        <w:rPr>
          <w:rFonts w:hint="eastAsia" w:cs="宋体"/>
          <w:color w:val="000000" w:themeColor="text1"/>
          <w:szCs w:val="21"/>
          <w:highlight w:val="none"/>
          <w14:textFill>
            <w14:solidFill>
              <w14:schemeClr w14:val="tx1"/>
            </w14:solidFill>
          </w14:textFill>
        </w:rPr>
        <w:t>的情形之一的，投标无效：</w:t>
      </w:r>
    </w:p>
    <w:p w14:paraId="1AD30FE9">
      <w:pPr>
        <w:pStyle w:val="132"/>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17.投标有效期</w:t>
      </w:r>
    </w:p>
    <w:p w14:paraId="407FB56A">
      <w:pPr>
        <w:spacing w:line="360" w:lineRule="auto"/>
        <w:ind w:firstLine="480" w:firstLineChars="200"/>
        <w:rPr>
          <w:rFonts w:ascii="宋体" w:hAnsi="宋体" w:cs="宋体"/>
          <w:b/>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17.1投标有效期为从提交投标文件的截止之日起90天。▲</w:t>
      </w:r>
      <w:r>
        <w:rPr>
          <w:rFonts w:hint="eastAsia" w:ascii="宋体" w:hAnsi="宋体" w:cs="宋体"/>
          <w:b/>
          <w:color w:val="000000" w:themeColor="text1"/>
          <w:sz w:val="24"/>
          <w:szCs w:val="20"/>
          <w:highlight w:val="none"/>
          <w14:textFill>
            <w14:solidFill>
              <w14:schemeClr w14:val="tx1"/>
            </w14:solidFill>
          </w14:textFill>
        </w:rPr>
        <w:t>投标人的投标文件中承</w:t>
      </w:r>
      <w:r>
        <w:rPr>
          <w:rFonts w:hint="eastAsia" w:ascii="宋体" w:hAnsi="宋体" w:cs="宋体"/>
          <w:b/>
          <w:color w:val="000000" w:themeColor="text1"/>
          <w:sz w:val="24"/>
          <w:szCs w:val="21"/>
          <w:highlight w:val="none"/>
          <w14:textFill>
            <w14:solidFill>
              <w14:schemeClr w14:val="tx1"/>
            </w14:solidFill>
          </w14:textFill>
        </w:rPr>
        <w:t>诺的投标有效期少于招标文件中载明的投标有效期的，投标无效。</w:t>
      </w:r>
    </w:p>
    <w:p w14:paraId="5653AB15">
      <w:pPr>
        <w:pStyle w:val="132"/>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17.2投标文件合格投递后，自投标截止日期起，在投标有效期内有效。</w:t>
      </w:r>
    </w:p>
    <w:p w14:paraId="5C77D1FB">
      <w:pPr>
        <w:pStyle w:val="132"/>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17.3在原定投标有效期满之前，如果出现特殊情况，</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可以以书面形式通知投标人延长投标有效期。投标人同意延长的，不得要求或被允许修改其投标文件，投标人拒绝延长的，其投标无效。</w:t>
      </w:r>
    </w:p>
    <w:p w14:paraId="4451F2D2">
      <w:pPr>
        <w:pStyle w:val="132"/>
        <w:spacing w:before="0"/>
        <w:ind w:firstLine="643"/>
        <w:rPr>
          <w:rFonts w:ascii="宋体" w:hAnsi="宋体" w:cs="宋体"/>
          <w:b/>
          <w:color w:val="000000" w:themeColor="text1"/>
          <w:sz w:val="32"/>
          <w:highlight w:val="none"/>
          <w14:textFill>
            <w14:solidFill>
              <w14:schemeClr w14:val="tx1"/>
            </w14:solidFill>
          </w14:textFill>
        </w:rPr>
      </w:pPr>
    </w:p>
    <w:p w14:paraId="3E9A87EA">
      <w:pPr>
        <w:pStyle w:val="132"/>
        <w:spacing w:before="0"/>
        <w:ind w:firstLine="1928" w:firstLineChars="600"/>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四、开标、资格审查与信用信息查询</w:t>
      </w:r>
    </w:p>
    <w:p w14:paraId="605F37BB">
      <w:pPr>
        <w:pStyle w:val="558"/>
        <w:spacing w:before="0" w:line="360" w:lineRule="auto"/>
        <w:ind w:left="0" w:firstLine="241" w:firstLineChars="1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18.开标</w:t>
      </w:r>
      <w:r>
        <w:rPr>
          <w:rFonts w:hint="eastAsia" w:ascii="宋体" w:hAnsi="宋体" w:cs="宋体"/>
          <w:color w:val="000000" w:themeColor="text1"/>
          <w:sz w:val="24"/>
          <w:highlight w:val="none"/>
          <w14:textFill>
            <w14:solidFill>
              <w14:schemeClr w14:val="tx1"/>
            </w14:solidFill>
          </w14:textFill>
        </w:rPr>
        <w:t xml:space="preserve"> </w:t>
      </w:r>
    </w:p>
    <w:p w14:paraId="674D7D57">
      <w:pPr>
        <w:pStyle w:val="558"/>
        <w:spacing w:before="0" w:line="360" w:lineRule="auto"/>
        <w:ind w:left="0"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按照招标文件规定的时间通过电子交易平台组织开标，所有投标人均应当准时在线参加。投标人不足3家的，不得开标。</w:t>
      </w:r>
    </w:p>
    <w:p w14:paraId="715C8B8C">
      <w:pPr>
        <w:pStyle w:val="558"/>
        <w:spacing w:before="0" w:line="360" w:lineRule="auto"/>
        <w:ind w:left="0" w:firstLine="240" w:firstLineChars="1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18.2开标时，电子交易平台按开标时间自动提取所有投标文件。</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依托电子交易平台发起开始解密指令，投标人按照平台提示和招标文件的规定在半小时内完成在线解密。</w:t>
      </w:r>
    </w:p>
    <w:p w14:paraId="4F0F6332">
      <w:pPr>
        <w:pStyle w:val="558"/>
        <w:spacing w:before="0" w:line="360" w:lineRule="auto"/>
        <w:ind w:left="0" w:firstLine="240" w:firstLineChars="100"/>
        <w:contextualSpacing/>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18.3</w:t>
      </w:r>
      <w:r>
        <w:rPr>
          <w:rFonts w:hint="eastAsia" w:ascii="宋体" w:hAnsi="宋体" w:cs="宋体"/>
          <w:b/>
          <w:color w:val="000000" w:themeColor="text1"/>
          <w:sz w:val="24"/>
          <w:highlight w:val="none"/>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14:paraId="5A4D7121">
      <w:pPr>
        <w:widowControl/>
        <w:spacing w:before="100" w:beforeAutospacing="1" w:after="240" w:line="360" w:lineRule="auto"/>
        <w:jc w:val="left"/>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szCs w:val="20"/>
          <w:highlight w:val="none"/>
          <w14:textFill>
            <w14:solidFill>
              <w14:schemeClr w14:val="tx1"/>
            </w14:solidFill>
          </w14:textFill>
        </w:rPr>
        <w:t>　19、资格审查</w:t>
      </w:r>
    </w:p>
    <w:p w14:paraId="6B7D9A6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19.</w:t>
      </w:r>
      <w:r>
        <w:rPr>
          <w:rFonts w:hint="eastAsia" w:ascii="宋体" w:hAnsi="宋体" w:cs="宋体"/>
          <w:color w:val="000000" w:themeColor="text1"/>
          <w:kern w:val="0"/>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采购人或</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依据法律法规和招标文件的规定，对投标人的资格进行审查。</w:t>
      </w:r>
    </w:p>
    <w:p w14:paraId="71E35227">
      <w:pPr>
        <w:pStyle w:val="132"/>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kern w:val="0"/>
          <w:szCs w:val="24"/>
          <w:highlight w:val="none"/>
          <w:lang w:val="en-US" w:eastAsia="zh-CN"/>
          <w14:textFill>
            <w14:solidFill>
              <w14:schemeClr w14:val="tx1"/>
            </w14:solidFill>
          </w14:textFill>
        </w:rPr>
        <w:t>2</w:t>
      </w:r>
      <w:r>
        <w:rPr>
          <w:rFonts w:hint="eastAsia" w:ascii="宋体" w:hAnsi="宋体" w:cs="宋体"/>
          <w:color w:val="000000" w:themeColor="text1"/>
          <w:kern w:val="0"/>
          <w:szCs w:val="24"/>
          <w:highlight w:val="none"/>
          <w14:textFill>
            <w14:solidFill>
              <w14:schemeClr w14:val="tx1"/>
            </w14:solidFill>
          </w14:textFill>
        </w:rPr>
        <w:t>投标人未按照招标文件要求提供与</w:t>
      </w:r>
      <w:r>
        <w:rPr>
          <w:rFonts w:hint="eastAsia" w:ascii="宋体" w:hAnsi="宋体" w:cs="宋体"/>
          <w:color w:val="000000" w:themeColor="text1"/>
          <w:highlight w:val="none"/>
          <w14:textFill>
            <w14:solidFill>
              <w14:schemeClr w14:val="tx1"/>
            </w14:solidFill>
          </w14:textFill>
        </w:rPr>
        <w:t>资格条件相应的</w:t>
      </w:r>
      <w:r>
        <w:rPr>
          <w:rFonts w:hint="eastAsia" w:ascii="宋体" w:hAnsi="宋体" w:cs="宋体"/>
          <w:color w:val="000000" w:themeColor="text1"/>
          <w:kern w:val="0"/>
          <w:szCs w:val="24"/>
          <w:highlight w:val="none"/>
          <w14:textFill>
            <w14:solidFill>
              <w14:schemeClr w14:val="tx1"/>
            </w14:solidFill>
          </w14:textFill>
        </w:rPr>
        <w:t>有效资格证明材料的，视为</w:t>
      </w:r>
      <w:r>
        <w:rPr>
          <w:rFonts w:hint="eastAsia" w:ascii="宋体" w:hAnsi="宋体" w:cs="宋体"/>
          <w:color w:val="000000" w:themeColor="text1"/>
          <w:highlight w:val="none"/>
          <w14:textFill>
            <w14:solidFill>
              <w14:schemeClr w14:val="tx1"/>
            </w14:solidFill>
          </w14:textFill>
        </w:rPr>
        <w:t>投标人不具备招标文件中规定的资格要求，其投标无效。</w:t>
      </w:r>
    </w:p>
    <w:p w14:paraId="3A5BABA7">
      <w:pPr>
        <w:pStyle w:val="132"/>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对未通过资格审查的投标人，采购人或</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告知其未通过的原因。</w:t>
      </w:r>
    </w:p>
    <w:p w14:paraId="42D2B81A">
      <w:pPr>
        <w:pStyle w:val="132"/>
        <w:adjustRightInd w:val="0"/>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合格投标人不足3家的，不再评标。</w:t>
      </w:r>
    </w:p>
    <w:p w14:paraId="5FBC98BB">
      <w:pPr>
        <w:pStyle w:val="132"/>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采购活动。</w:t>
      </w:r>
    </w:p>
    <w:p w14:paraId="6F9A36FF">
      <w:pPr>
        <w:pStyle w:val="132"/>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20、信用信息查询</w:t>
      </w:r>
    </w:p>
    <w:p w14:paraId="192CD0FB">
      <w:pPr>
        <w:pStyle w:val="132"/>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20.1信用信息查询渠道及截止时间：</w:t>
      </w:r>
      <w:r>
        <w:rPr>
          <w:rFonts w:hint="eastAsia" w:ascii="宋体" w:hAnsi="宋体" w:cs="宋体"/>
          <w:color w:val="000000" w:themeColor="text1"/>
          <w:kern w:val="0"/>
          <w:szCs w:val="24"/>
          <w:highlight w:val="none"/>
          <w:lang w:eastAsia="zh-CN"/>
          <w14:textFill>
            <w14:solidFill>
              <w14:schemeClr w14:val="tx1"/>
            </w14:solidFill>
          </w14:textFill>
        </w:rPr>
        <w:t>采购代理机构</w:t>
      </w:r>
      <w:r>
        <w:rPr>
          <w:rFonts w:hint="eastAsia" w:ascii="宋体" w:hAnsi="宋体" w:cs="宋体"/>
          <w:color w:val="000000" w:themeColor="text1"/>
          <w:kern w:val="0"/>
          <w:szCs w:val="24"/>
          <w:highlight w:val="none"/>
          <w14:textFill>
            <w14:solidFill>
              <w14:schemeClr w14:val="tx1"/>
            </w14:solidFill>
          </w14:textFill>
        </w:rPr>
        <w:t>将在资格审查时通过“信用中国”网站(www.creditchina.gov.cn)、中国政府采购网(www.ccgp.gov.cn)渠道查询投标人接受资格审查时的信用记录。</w:t>
      </w:r>
    </w:p>
    <w:p w14:paraId="127EAFCC">
      <w:pPr>
        <w:pStyle w:val="132"/>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p>
    <w:p w14:paraId="7DE702C4">
      <w:pPr>
        <w:pStyle w:val="132"/>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20.3信用信息的使用规则：经查询列入失信被执行人名单、重大税收违法案件当事人名单、政府采购严重违法失信行为记录名单的投标人将被拒绝参与采购活动。</w:t>
      </w:r>
    </w:p>
    <w:p w14:paraId="373D6BD6">
      <w:pPr>
        <w:pStyle w:val="132"/>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ascii="宋体" w:hAnsi="宋体" w:cs="宋体"/>
          <w:color w:val="000000" w:themeColor="text1"/>
          <w:highlight w:val="none"/>
          <w14:textFill>
            <w14:solidFill>
              <w14:schemeClr w14:val="tx1"/>
            </w14:solidFill>
          </w14:textFill>
        </w:rPr>
        <w:t>。</w:t>
      </w:r>
    </w:p>
    <w:p w14:paraId="6FE584E4">
      <w:pPr>
        <w:pStyle w:val="132"/>
        <w:spacing w:before="0"/>
        <w:ind w:firstLine="0" w:firstLineChars="0"/>
        <w:rPr>
          <w:rFonts w:ascii="宋体" w:hAnsi="宋体" w:cs="宋体"/>
          <w:color w:val="000000" w:themeColor="text1"/>
          <w:kern w:val="0"/>
          <w:szCs w:val="24"/>
          <w:highlight w:val="none"/>
          <w14:textFill>
            <w14:solidFill>
              <w14:schemeClr w14:val="tx1"/>
            </w14:solidFill>
          </w14:textFill>
        </w:rPr>
      </w:pPr>
    </w:p>
    <w:p w14:paraId="18B27AB0">
      <w:pPr>
        <w:snapToGrid w:val="0"/>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五、评标</w:t>
      </w:r>
    </w:p>
    <w:p w14:paraId="254494E0">
      <w:pPr>
        <w:spacing w:line="360" w:lineRule="auto"/>
        <w:rPr>
          <w:rFonts w:ascii="宋体" w:hAnsi="宋体" w:cs="宋体"/>
          <w:b/>
          <w:color w:val="000000" w:themeColor="text1"/>
          <w:sz w:val="24"/>
          <w:highlight w:val="none"/>
          <w14:textFill>
            <w14:solidFill>
              <w14:schemeClr w14:val="tx1"/>
            </w14:solidFill>
          </w14:textFill>
        </w:rPr>
      </w:pPr>
      <w:bookmarkStart w:id="15" w:name="_Toc91899903"/>
      <w:r>
        <w:rPr>
          <w:rFonts w:hint="eastAsia" w:ascii="宋体" w:hAnsi="宋体" w:cs="宋体"/>
          <w:b/>
          <w:color w:val="000000" w:themeColor="text1"/>
          <w:sz w:val="24"/>
          <w:highlight w:val="none"/>
          <w14:textFill>
            <w14:solidFill>
              <w14:schemeClr w14:val="tx1"/>
            </w14:solidFill>
          </w14:textFill>
        </w:rPr>
        <w:t>21.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000000" w:themeColor="text1"/>
          <w:sz w:val="24"/>
          <w:highlight w:val="none"/>
          <w14:textFill>
            <w14:solidFill>
              <w14:schemeClr w14:val="tx1"/>
            </w14:solidFill>
          </w14:textFill>
        </w:rPr>
        <w:t>详见招标文件第四部分评标办法。</w:t>
      </w:r>
    </w:p>
    <w:p w14:paraId="361EFD22">
      <w:pPr>
        <w:spacing w:line="360" w:lineRule="auto"/>
        <w:rPr>
          <w:rFonts w:ascii="宋体" w:hAnsi="宋体" w:cs="宋体"/>
          <w:b/>
          <w:color w:val="000000" w:themeColor="text1"/>
          <w:sz w:val="24"/>
          <w:highlight w:val="none"/>
          <w14:textFill>
            <w14:solidFill>
              <w14:schemeClr w14:val="tx1"/>
            </w14:solidFill>
          </w14:textFill>
        </w:rPr>
      </w:pPr>
    </w:p>
    <w:p w14:paraId="5892DEE6">
      <w:pPr>
        <w:snapToGrid w:val="0"/>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六、定 标</w:t>
      </w:r>
    </w:p>
    <w:p w14:paraId="0854EFB5">
      <w:pPr>
        <w:pStyle w:val="25"/>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22. 确定中标供应商</w:t>
      </w:r>
    </w:p>
    <w:p w14:paraId="50409EF4">
      <w:pPr>
        <w:pStyle w:val="132"/>
        <w:snapToGrid w:val="0"/>
        <w:spacing w:before="0"/>
        <w:ind w:firstLine="480"/>
        <w:rPr>
          <w:rFonts w:ascii="宋体" w:hAnsi="宋体" w:cs="宋体"/>
          <w:b/>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采购效率，</w:t>
      </w:r>
      <w:r>
        <w:rPr>
          <w:rFonts w:hint="eastAsia" w:ascii="宋体" w:hAnsi="宋体" w:cs="宋体"/>
          <w:color w:val="000000" w:themeColor="text1"/>
          <w:szCs w:val="24"/>
          <w:highlight w:val="none"/>
          <w:lang w:val="en-US" w:eastAsia="zh-CN"/>
          <w14:textFill>
            <w14:solidFill>
              <w14:schemeClr w14:val="tx1"/>
            </w14:solidFill>
          </w14:textFill>
        </w:rPr>
        <w:t>鼓励</w:t>
      </w:r>
      <w:r>
        <w:rPr>
          <w:rFonts w:hint="eastAsia" w:ascii="宋体" w:hAnsi="宋体" w:cs="宋体"/>
          <w:color w:val="000000" w:themeColor="text1"/>
          <w:szCs w:val="24"/>
          <w:highlight w:val="none"/>
          <w14:textFill>
            <w14:solidFill>
              <w14:schemeClr w14:val="tx1"/>
            </w14:solidFill>
          </w14:textFill>
        </w:rPr>
        <w:t>在收到评审报告当天</w:t>
      </w:r>
      <w:r>
        <w:rPr>
          <w:rFonts w:hint="eastAsia" w:ascii="宋体" w:hAnsi="宋体" w:cs="宋体"/>
          <w:color w:val="000000" w:themeColor="text1"/>
          <w:szCs w:val="24"/>
          <w:highlight w:val="none"/>
          <w:lang w:val="en-US" w:eastAsia="zh-CN"/>
          <w14:textFill>
            <w14:solidFill>
              <w14:schemeClr w14:val="tx1"/>
            </w14:solidFill>
          </w14:textFill>
        </w:rPr>
        <w:t>在线</w:t>
      </w:r>
      <w:r>
        <w:rPr>
          <w:rFonts w:hint="eastAsia" w:ascii="宋体" w:hAnsi="宋体" w:cs="宋体"/>
          <w:color w:val="000000" w:themeColor="text1"/>
          <w:szCs w:val="24"/>
          <w:highlight w:val="none"/>
          <w14:textFill>
            <w14:solidFill>
              <w14:schemeClr w14:val="tx1"/>
            </w14:solidFill>
          </w14:textFill>
        </w:rPr>
        <w:t>确定中标或者成交供应商。中标、成交通知书和中标、成交结果公告应当在规定时间内同时发出。</w:t>
      </w:r>
    </w:p>
    <w:p w14:paraId="1CF15C41">
      <w:pPr>
        <w:pStyle w:val="132"/>
        <w:snapToGrid w:val="0"/>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23. 中标通知与中标结果公告</w:t>
      </w:r>
    </w:p>
    <w:p w14:paraId="26CC5476">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23.1自中标人确定之日起2个工作日内，</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通过电子交易平台向中标人发出中标通知书，同时编制发布采购结果公告。</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也可以以纸质形式进行中标通知。</w:t>
      </w:r>
    </w:p>
    <w:p w14:paraId="3EE68B33">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23.2中标结果公告内容包括采购人及其委托的</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的名称、地址、联系方式，项目名称和项目编号，中标人名称、地址和中标金额，主要中标标的的名称、规格型号、数量、单价、服务要求，中标公告期限以及评审专家名单。</w:t>
      </w:r>
    </w:p>
    <w:p w14:paraId="67579D65">
      <w:pPr>
        <w:widowControl/>
        <w:shd w:val="clear" w:color="auto" w:fill="FFFFFF"/>
        <w:spacing w:line="360" w:lineRule="auto"/>
        <w:ind w:firstLine="48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23.3公告期限为1个工作日。</w:t>
      </w:r>
    </w:p>
    <w:p w14:paraId="72A8D253">
      <w:pPr>
        <w:pStyle w:val="132"/>
        <w:adjustRightInd w:val="0"/>
        <w:snapToGrid w:val="0"/>
        <w:spacing w:before="0"/>
        <w:ind w:firstLine="482" w:firstLineChars="200"/>
        <w:rPr>
          <w:rStyle w:val="79"/>
          <w:color w:val="000000" w:themeColor="text1"/>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w:t>
      </w:r>
      <w:r>
        <w:rPr>
          <w:rFonts w:hint="eastAsia" w:ascii="宋体" w:hAnsi="宋体" w:cs="宋体"/>
          <w:b/>
          <w:color w:val="000000" w:themeColor="text1"/>
          <w:szCs w:val="24"/>
          <w:highlight w:val="none"/>
          <w:lang w:eastAsia="zh-CN"/>
          <w14:textFill>
            <w14:solidFill>
              <w14:schemeClr w14:val="tx1"/>
            </w14:solidFill>
          </w14:textFill>
        </w:rPr>
        <w:t>3</w:t>
      </w:r>
      <w:r>
        <w:rPr>
          <w:rFonts w:hint="eastAsia" w:ascii="宋体" w:hAnsi="宋体" w:cs="宋体"/>
          <w:b/>
          <w:color w:val="000000" w:themeColor="text1"/>
          <w:szCs w:val="24"/>
          <w:highlight w:val="none"/>
          <w:lang w:val="en-US" w:eastAsia="zh-CN"/>
          <w14:textFill>
            <w14:solidFill>
              <w14:schemeClr w14:val="tx1"/>
            </w14:solidFill>
          </w14:textFill>
        </w:rPr>
        <w:t xml:space="preserve">.4 </w:t>
      </w:r>
      <w:r>
        <w:rPr>
          <w:rFonts w:hint="eastAsia" w:ascii="宋体" w:hAnsi="宋体" w:cs="宋体"/>
          <w:b w:val="0"/>
          <w:bCs/>
          <w:color w:val="000000" w:themeColor="text1"/>
          <w:szCs w:val="24"/>
          <w:highlight w:val="none"/>
          <w14:textFill>
            <w14:solidFill>
              <w14:schemeClr w14:val="tx1"/>
            </w14:solidFill>
          </w14:textFill>
        </w:rPr>
        <w:t>由于</w:t>
      </w:r>
      <w:r>
        <w:rPr>
          <w:rFonts w:hint="eastAsia" w:ascii="宋体" w:hAnsi="宋体" w:cs="宋体"/>
          <w:bCs/>
          <w:color w:val="000000" w:themeColor="text1"/>
          <w:szCs w:val="24"/>
          <w:highlight w:val="none"/>
          <w14:textFill>
            <w14:solidFill>
              <w14:schemeClr w14:val="tx1"/>
            </w14:solidFill>
          </w14:textFill>
        </w:rPr>
        <w:t>中标、成交供应商原因导致重新采购的，应当承担支付代理费和专家评审费等费用在内的赔偿责任。</w:t>
      </w:r>
    </w:p>
    <w:p w14:paraId="4D16F062">
      <w:pPr>
        <w:pStyle w:val="81"/>
        <w:rPr>
          <w:color w:val="000000" w:themeColor="text1"/>
          <w:highlight w:val="none"/>
          <w14:textFill>
            <w14:solidFill>
              <w14:schemeClr w14:val="tx1"/>
            </w14:solidFill>
          </w14:textFill>
        </w:rPr>
      </w:pPr>
    </w:p>
    <w:p w14:paraId="34C86917">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p>
    <w:p w14:paraId="2604DFA9">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七、合同授予</w:t>
      </w:r>
    </w:p>
    <w:p w14:paraId="3D2F05FB">
      <w:pPr>
        <w:pStyle w:val="25"/>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 xml:space="preserve">24. </w:t>
      </w:r>
      <w:r>
        <w:rPr>
          <w:rFonts w:hint="eastAsia" w:cs="宋体"/>
          <w:color w:val="000000" w:themeColor="text1"/>
          <w:highlight w:val="none"/>
          <w14:textFill>
            <w14:solidFill>
              <w14:schemeClr w14:val="tx1"/>
            </w14:solidFill>
          </w14:textFill>
        </w:rPr>
        <w:t>合同主要条款详见第五部分拟签订的合同文本。</w:t>
      </w:r>
    </w:p>
    <w:p w14:paraId="1A996806">
      <w:pPr>
        <w:pStyle w:val="25"/>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25. 合同的签订</w:t>
      </w:r>
    </w:p>
    <w:p w14:paraId="3467F8D9">
      <w:pPr>
        <w:widowControl/>
        <w:shd w:val="clear" w:color="auto" w:fill="FFFFFF"/>
        <w:spacing w:line="360" w:lineRule="auto"/>
        <w:ind w:firstLine="48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25.1</w:t>
      </w:r>
      <w:r>
        <w:rPr>
          <w:rFonts w:hint="eastAsia" w:ascii="宋体" w:hAnsi="宋体" w:cs="宋体"/>
          <w:color w:val="000000" w:themeColor="text1"/>
          <w:kern w:val="0"/>
          <w:sz w:val="24"/>
          <w:highlight w:val="none"/>
          <w14:textFill>
            <w14:solidFill>
              <w14:schemeClr w14:val="tx1"/>
            </w14:solidFill>
          </w14:textFill>
        </w:rPr>
        <w:t xml:space="preserve"> 采购人与中标人应当通过电子交易平台在中标通知书发出之日起三十日内，按照招标文件确定的事项签订采购合同。</w:t>
      </w:r>
    </w:p>
    <w:p w14:paraId="08345996">
      <w:pPr>
        <w:pStyle w:val="132"/>
        <w:snapToGrid w:val="0"/>
        <w:spacing w:before="0"/>
        <w:ind w:firstLine="48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00DABFB9">
      <w:pPr>
        <w:pStyle w:val="132"/>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14:paraId="27B3FEA5">
      <w:pPr>
        <w:pStyle w:val="132"/>
        <w:snapToGrid w:val="0"/>
        <w:spacing w:before="0"/>
        <w:ind w:firstLine="480"/>
        <w:rPr>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25.4中标供应商拒绝与采购人签订合同的，采购人可以按照评审报告推荐的中标或者成交候选人名单排序，确定下一候选人为中标供应商，也可以重新开展采购活动。</w:t>
      </w:r>
    </w:p>
    <w:p w14:paraId="4BCF9B4E">
      <w:pPr>
        <w:snapToGrid w:val="0"/>
        <w:spacing w:line="360" w:lineRule="auto"/>
        <w:ind w:firstLine="3357" w:firstLineChars="1045"/>
        <w:rPr>
          <w:rFonts w:ascii="宋体" w:hAnsi="宋体" w:cs="宋体"/>
          <w:b/>
          <w:color w:val="000000" w:themeColor="text1"/>
          <w:sz w:val="32"/>
          <w:highlight w:val="none"/>
          <w14:textFill>
            <w14:solidFill>
              <w14:schemeClr w14:val="tx1"/>
            </w14:solidFill>
          </w14:textFill>
        </w:rPr>
      </w:pPr>
    </w:p>
    <w:p w14:paraId="3333831D">
      <w:pPr>
        <w:snapToGrid w:val="0"/>
        <w:spacing w:line="360" w:lineRule="auto"/>
        <w:ind w:firstLine="3357" w:firstLineChars="1045"/>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八、电子交易活动的中止</w:t>
      </w:r>
    </w:p>
    <w:p w14:paraId="716E6593">
      <w:pPr>
        <w:pStyle w:val="132"/>
        <w:snapToGrid w:val="0"/>
        <w:spacing w:before="0"/>
        <w:ind w:firstLine="0" w:firstLineChars="0"/>
        <w:rPr>
          <w:rFonts w:ascii="宋体" w:hAnsi="宋体" w:cs="宋体"/>
          <w:color w:val="000000" w:themeColor="text1"/>
          <w:highlight w:val="none"/>
          <w14:textFill>
            <w14:solidFill>
              <w14:schemeClr w14:val="tx1"/>
            </w14:solidFill>
          </w14:textFill>
        </w:rPr>
      </w:pPr>
      <w:r>
        <w:rPr>
          <w:rFonts w:ascii="宋体" w:hAnsi="宋体" w:cs="宋体"/>
          <w:b/>
          <w:bCs/>
          <w:color w:val="000000" w:themeColor="text1"/>
          <w:kern w:val="2"/>
          <w:sz w:val="24"/>
          <w:szCs w:val="20"/>
          <w:highlight w:val="none"/>
          <w14:textFill>
            <w14:solidFill>
              <w14:schemeClr w14:val="tx1"/>
            </w14:solidFill>
          </w14:textFill>
        </w:rPr>
        <w:t>2</w:t>
      </w:r>
      <w:r>
        <w:rPr>
          <w:rFonts w:ascii="宋体" w:hAnsi="宋体" w:cs="宋体"/>
          <w:b/>
          <w:bCs/>
          <w:color w:val="000000" w:themeColor="text1"/>
          <w:kern w:val="2"/>
          <w:sz w:val="24"/>
          <w:szCs w:val="24"/>
          <w:highlight w:val="none"/>
          <w14:textFill>
            <w14:solidFill>
              <w14:schemeClr w14:val="tx1"/>
            </w14:solidFill>
          </w14:textFill>
        </w:rPr>
        <w:t>8</w:t>
      </w:r>
      <w:r>
        <w:rPr>
          <w:rFonts w:hint="eastAsia" w:ascii="宋体" w:hAnsi="宋体" w:cs="宋体"/>
          <w:b/>
          <w:color w:val="000000" w:themeColor="text1"/>
          <w:szCs w:val="24"/>
          <w:highlight w:val="none"/>
          <w14:textFill>
            <w14:solidFill>
              <w14:schemeClr w14:val="tx1"/>
            </w14:solidFill>
          </w14:textFill>
        </w:rPr>
        <w:t>. 电子交易活动的中止。</w:t>
      </w:r>
      <w:r>
        <w:rPr>
          <w:rFonts w:hint="eastAsia" w:ascii="宋体" w:hAnsi="宋体" w:cs="宋体"/>
          <w:color w:val="000000" w:themeColor="text1"/>
          <w:highlight w:val="none"/>
          <w14:textFill>
            <w14:solidFill>
              <w14:schemeClr w14:val="tx1"/>
            </w14:solidFill>
          </w14:textFill>
        </w:rPr>
        <w:t>采购过程中出现以下情形，导致电子交易平台无法正常运行，或者无法保证电子交易的公平、公正和安全时，</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可中止电子交易活动：</w:t>
      </w:r>
    </w:p>
    <w:p w14:paraId="1E8DA6DE">
      <w:pPr>
        <w:pStyle w:val="132"/>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28.1电子交易平台发生故障而无法登录访问的； </w:t>
      </w:r>
    </w:p>
    <w:p w14:paraId="0D44313F">
      <w:pPr>
        <w:pStyle w:val="132"/>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28.2电子交易平台应用或数据库出现错误，不能进行正常操作的；</w:t>
      </w:r>
    </w:p>
    <w:p w14:paraId="0784F518">
      <w:pPr>
        <w:pStyle w:val="132"/>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28.3电子交易平台发现严重安全漏洞，有潜在泄密危险的；</w:t>
      </w:r>
    </w:p>
    <w:p w14:paraId="6F59419C">
      <w:pPr>
        <w:pStyle w:val="132"/>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28.4病毒发作导致不能进行正常操作的； </w:t>
      </w:r>
    </w:p>
    <w:p w14:paraId="46A21A72">
      <w:pPr>
        <w:pStyle w:val="132"/>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28.5其他无法保证电子交易的公平、公正和安全的情况。</w:t>
      </w:r>
    </w:p>
    <w:p w14:paraId="5FAF07F7">
      <w:pPr>
        <w:pStyle w:val="132"/>
        <w:snapToGrid w:val="0"/>
        <w:spacing w:before="0"/>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D72E229">
      <w:pPr>
        <w:tabs>
          <w:tab w:val="left" w:pos="0"/>
        </w:tabs>
        <w:spacing w:line="360" w:lineRule="auto"/>
        <w:ind w:firstLine="480"/>
        <w:rPr>
          <w:rFonts w:ascii="宋体" w:hAnsi="宋体" w:cs="宋体"/>
          <w:color w:val="000000" w:themeColor="text1"/>
          <w:sz w:val="24"/>
          <w:highlight w:val="none"/>
          <w14:textFill>
            <w14:solidFill>
              <w14:schemeClr w14:val="tx1"/>
            </w14:solidFill>
          </w14:textFill>
        </w:rPr>
      </w:pPr>
    </w:p>
    <w:p w14:paraId="1499E45D">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九、验收</w:t>
      </w:r>
    </w:p>
    <w:p w14:paraId="0855FF70">
      <w:pPr>
        <w:pStyle w:val="25"/>
        <w:spacing w:line="360" w:lineRule="auto"/>
        <w:ind w:firstLine="0" w:firstLineChars="0"/>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30.验收</w:t>
      </w:r>
    </w:p>
    <w:p w14:paraId="4FF5B492">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30.1采购人应当根据采购项目的具体情况，自行组织项目验收或者委托采购代理机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A8EDB87">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14:paraId="6BA46648">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B561A7E">
      <w:pPr>
        <w:tabs>
          <w:tab w:val="left" w:pos="0"/>
        </w:tabs>
        <w:spacing w:line="360" w:lineRule="auto"/>
        <w:ind w:firstLine="480"/>
        <w:rPr>
          <w:rFonts w:hint="eastAsia" w:ascii="宋体" w:hAnsi="宋体" w:cs="宋体"/>
          <w:color w:val="000000" w:themeColor="text1"/>
          <w:kern w:val="0"/>
          <w:sz w:val="24"/>
          <w:highlight w:val="none"/>
          <w:lang w:val="en-US"/>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5"/>
    </w:p>
    <w:p w14:paraId="670DF0C0">
      <w:pPr>
        <w:tabs>
          <w:tab w:val="left" w:pos="0"/>
        </w:tabs>
        <w:spacing w:line="360" w:lineRule="auto"/>
        <w:ind w:firstLine="480"/>
        <w:rPr>
          <w:rFonts w:hint="eastAsia" w:ascii="宋体" w:hAnsi="宋体" w:cs="宋体"/>
          <w:color w:val="000000" w:themeColor="text1"/>
          <w:kern w:val="0"/>
          <w:sz w:val="24"/>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p>
    <w:bookmarkEnd w:id="13"/>
    <w:bookmarkEnd w:id="14"/>
    <w:p w14:paraId="08227DCE">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bookmarkStart w:id="16" w:name="第四部分"/>
      <w:r>
        <w:rPr>
          <w:rFonts w:hint="eastAsia" w:ascii="宋体" w:hAnsi="宋体" w:cs="宋体"/>
          <w:b/>
          <w:color w:val="000000" w:themeColor="text1"/>
          <w:sz w:val="36"/>
          <w:szCs w:val="36"/>
          <w:highlight w:val="none"/>
          <w14:textFill>
            <w14:solidFill>
              <w14:schemeClr w14:val="tx1"/>
            </w14:solidFill>
          </w14:textFill>
        </w:rPr>
        <w:t>第三部分   采购需求</w:t>
      </w:r>
    </w:p>
    <w:p w14:paraId="16CEC82C">
      <w:pPr>
        <w:spacing w:line="440" w:lineRule="exact"/>
        <w:ind w:firstLine="480" w:firstLineChars="200"/>
        <w:rPr>
          <w:rFonts w:ascii="宋体" w:hAnsi="宋体"/>
          <w:color w:val="000000" w:themeColor="text1"/>
          <w:sz w:val="24"/>
          <w:highlight w:val="none"/>
          <w14:textFill>
            <w14:solidFill>
              <w14:schemeClr w14:val="tx1"/>
            </w14:solidFill>
          </w14:textFill>
        </w:rPr>
      </w:pPr>
    </w:p>
    <w:p w14:paraId="691AC94C">
      <w:pPr>
        <w:pStyle w:val="4"/>
        <w:numPr>
          <w:ilvl w:val="0"/>
          <w:numId w:val="1"/>
        </w:num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招标一览表</w:t>
      </w:r>
    </w:p>
    <w:tbl>
      <w:tblPr>
        <w:tblStyle w:val="63"/>
        <w:tblpPr w:leftFromText="180" w:rightFromText="180" w:vertAnchor="text" w:horzAnchor="margin" w:tblpXSpec="center" w:tblpY="63"/>
        <w:tblOverlap w:val="never"/>
        <w:tblW w:w="9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5"/>
        <w:gridCol w:w="2613"/>
        <w:gridCol w:w="868"/>
        <w:gridCol w:w="2062"/>
        <w:gridCol w:w="1778"/>
        <w:gridCol w:w="1665"/>
      </w:tblGrid>
      <w:tr w14:paraId="3D676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3" w:hRule="atLeast"/>
          <w:jc w:val="center"/>
        </w:trPr>
        <w:tc>
          <w:tcPr>
            <w:tcW w:w="775" w:type="dxa"/>
            <w:noWrap/>
            <w:tcMar>
              <w:top w:w="15" w:type="dxa"/>
              <w:left w:w="15" w:type="dxa"/>
              <w:bottom w:w="0" w:type="dxa"/>
              <w:right w:w="15" w:type="dxa"/>
            </w:tcMar>
            <w:vAlign w:val="center"/>
          </w:tcPr>
          <w:p w14:paraId="056C1029">
            <w:pPr>
              <w:tabs>
                <w:tab w:val="left" w:pos="0"/>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2613" w:type="dxa"/>
            <w:noWrap/>
            <w:tcMar>
              <w:top w:w="15" w:type="dxa"/>
              <w:left w:w="15" w:type="dxa"/>
              <w:bottom w:w="0" w:type="dxa"/>
              <w:right w:w="15" w:type="dxa"/>
            </w:tcMar>
            <w:vAlign w:val="center"/>
          </w:tcPr>
          <w:p w14:paraId="798793DC">
            <w:pPr>
              <w:tabs>
                <w:tab w:val="left" w:pos="0"/>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名称</w:t>
            </w:r>
          </w:p>
        </w:tc>
        <w:tc>
          <w:tcPr>
            <w:tcW w:w="868" w:type="dxa"/>
            <w:noWrap/>
            <w:tcMar>
              <w:top w:w="15" w:type="dxa"/>
              <w:left w:w="15" w:type="dxa"/>
              <w:bottom w:w="0" w:type="dxa"/>
              <w:right w:w="15" w:type="dxa"/>
            </w:tcMar>
            <w:vAlign w:val="center"/>
          </w:tcPr>
          <w:p w14:paraId="2F5AF6A3">
            <w:pPr>
              <w:tabs>
                <w:tab w:val="left" w:pos="0"/>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数量</w:t>
            </w:r>
          </w:p>
        </w:tc>
        <w:tc>
          <w:tcPr>
            <w:tcW w:w="2062" w:type="dxa"/>
            <w:noWrap/>
            <w:tcMar>
              <w:top w:w="15" w:type="dxa"/>
              <w:left w:w="15" w:type="dxa"/>
              <w:bottom w:w="0" w:type="dxa"/>
              <w:right w:w="15" w:type="dxa"/>
            </w:tcMar>
            <w:vAlign w:val="center"/>
          </w:tcPr>
          <w:p w14:paraId="3EF35AEA">
            <w:pPr>
              <w:tabs>
                <w:tab w:val="left" w:pos="0"/>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预算（元）</w:t>
            </w:r>
          </w:p>
        </w:tc>
        <w:tc>
          <w:tcPr>
            <w:tcW w:w="1778" w:type="dxa"/>
            <w:noWrap/>
            <w:vAlign w:val="center"/>
          </w:tcPr>
          <w:p w14:paraId="6D5F01E0">
            <w:pPr>
              <w:tabs>
                <w:tab w:val="left" w:pos="0"/>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简要规格描述或基本情况介绍</w:t>
            </w:r>
          </w:p>
        </w:tc>
        <w:tc>
          <w:tcPr>
            <w:tcW w:w="1665" w:type="dxa"/>
            <w:noWrap/>
            <w:vAlign w:val="center"/>
          </w:tcPr>
          <w:p w14:paraId="7DA69AF2">
            <w:pPr>
              <w:tabs>
                <w:tab w:val="left" w:pos="0"/>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最高限价（元）</w:t>
            </w:r>
          </w:p>
        </w:tc>
      </w:tr>
      <w:tr w14:paraId="38E4C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0" w:hRule="atLeast"/>
          <w:jc w:val="center"/>
        </w:trPr>
        <w:tc>
          <w:tcPr>
            <w:tcW w:w="4256" w:type="dxa"/>
            <w:gridSpan w:val="3"/>
            <w:noWrap/>
            <w:tcMar>
              <w:top w:w="15" w:type="dxa"/>
              <w:left w:w="15" w:type="dxa"/>
              <w:bottom w:w="0" w:type="dxa"/>
              <w:right w:w="15" w:type="dxa"/>
            </w:tcMar>
            <w:vAlign w:val="center"/>
          </w:tcPr>
          <w:p w14:paraId="6E53999D">
            <w:pPr>
              <w:tabs>
                <w:tab w:val="left" w:pos="0"/>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（温州市龙湾区第一人民医院）</w:t>
            </w:r>
          </w:p>
        </w:tc>
        <w:tc>
          <w:tcPr>
            <w:tcW w:w="2062" w:type="dxa"/>
            <w:vMerge w:val="restart"/>
            <w:noWrap/>
            <w:tcMar>
              <w:top w:w="15" w:type="dxa"/>
              <w:left w:w="15" w:type="dxa"/>
              <w:bottom w:w="0" w:type="dxa"/>
              <w:right w:w="15" w:type="dxa"/>
            </w:tcMar>
            <w:vAlign w:val="center"/>
          </w:tcPr>
          <w:p w14:paraId="4C2639A7">
            <w:pP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3100000</w:t>
            </w:r>
          </w:p>
        </w:tc>
        <w:tc>
          <w:tcPr>
            <w:tcW w:w="1778" w:type="dxa"/>
            <w:vMerge w:val="restart"/>
            <w:noWrap/>
            <w:vAlign w:val="center"/>
          </w:tcPr>
          <w:p w14:paraId="624FC32D">
            <w:pPr>
              <w:tabs>
                <w:tab w:val="left" w:pos="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详见采购需求</w:t>
            </w:r>
          </w:p>
        </w:tc>
        <w:tc>
          <w:tcPr>
            <w:tcW w:w="1665" w:type="dxa"/>
            <w:vMerge w:val="restart"/>
            <w:noWrap/>
            <w:vAlign w:val="center"/>
          </w:tcPr>
          <w:p w14:paraId="34D8E01D">
            <w:pP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3000000</w:t>
            </w:r>
          </w:p>
        </w:tc>
      </w:tr>
      <w:tr w14:paraId="6DBE2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7" w:hRule="atLeast"/>
          <w:jc w:val="center"/>
        </w:trPr>
        <w:tc>
          <w:tcPr>
            <w:tcW w:w="775" w:type="dxa"/>
            <w:noWrap/>
            <w:tcMar>
              <w:top w:w="15" w:type="dxa"/>
              <w:left w:w="15" w:type="dxa"/>
              <w:bottom w:w="0" w:type="dxa"/>
              <w:right w:w="15" w:type="dxa"/>
            </w:tcMar>
            <w:vAlign w:val="center"/>
          </w:tcPr>
          <w:p w14:paraId="5A23B956">
            <w:pPr>
              <w:tabs>
                <w:tab w:val="left" w:pos="0"/>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2613" w:type="dxa"/>
            <w:noWrap/>
            <w:tcMar>
              <w:top w:w="15" w:type="dxa"/>
              <w:left w:w="15" w:type="dxa"/>
              <w:bottom w:w="0" w:type="dxa"/>
              <w:right w:w="15" w:type="dxa"/>
            </w:tcMar>
            <w:vAlign w:val="center"/>
          </w:tcPr>
          <w:p w14:paraId="13CF6828">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多功能监护床</w:t>
            </w:r>
          </w:p>
        </w:tc>
        <w:tc>
          <w:tcPr>
            <w:tcW w:w="868" w:type="dxa"/>
            <w:noWrap/>
            <w:tcMar>
              <w:top w:w="15" w:type="dxa"/>
              <w:left w:w="15" w:type="dxa"/>
              <w:bottom w:w="0" w:type="dxa"/>
              <w:right w:w="15" w:type="dxa"/>
            </w:tcMar>
            <w:vAlign w:val="center"/>
          </w:tcPr>
          <w:p w14:paraId="07593BF4">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1张</w:t>
            </w:r>
          </w:p>
        </w:tc>
        <w:tc>
          <w:tcPr>
            <w:tcW w:w="2062" w:type="dxa"/>
            <w:vMerge w:val="continue"/>
            <w:noWrap/>
            <w:tcMar>
              <w:top w:w="15" w:type="dxa"/>
              <w:left w:w="15" w:type="dxa"/>
              <w:bottom w:w="0" w:type="dxa"/>
              <w:right w:w="15" w:type="dxa"/>
            </w:tcMar>
            <w:vAlign w:val="center"/>
          </w:tcPr>
          <w:p w14:paraId="712F3F0D">
            <w:pP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1778" w:type="dxa"/>
            <w:vMerge w:val="continue"/>
            <w:noWrap/>
            <w:vAlign w:val="center"/>
          </w:tcPr>
          <w:p w14:paraId="6A0DDAC8">
            <w:pPr>
              <w:tabs>
                <w:tab w:val="left" w:pos="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65" w:type="dxa"/>
            <w:vMerge w:val="continue"/>
            <w:noWrap/>
            <w:vAlign w:val="center"/>
          </w:tcPr>
          <w:p w14:paraId="0F001C5E">
            <w:pP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r>
      <w:tr w14:paraId="686D3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7" w:hRule="atLeast"/>
          <w:jc w:val="center"/>
        </w:trPr>
        <w:tc>
          <w:tcPr>
            <w:tcW w:w="775" w:type="dxa"/>
            <w:noWrap/>
            <w:tcMar>
              <w:top w:w="15" w:type="dxa"/>
              <w:left w:w="15" w:type="dxa"/>
              <w:bottom w:w="0" w:type="dxa"/>
              <w:right w:w="15" w:type="dxa"/>
            </w:tcMar>
            <w:vAlign w:val="center"/>
          </w:tcPr>
          <w:p w14:paraId="71B306B1">
            <w:pPr>
              <w:tabs>
                <w:tab w:val="left" w:pos="0"/>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2613" w:type="dxa"/>
            <w:noWrap/>
            <w:tcMar>
              <w:top w:w="15" w:type="dxa"/>
              <w:left w:w="15" w:type="dxa"/>
              <w:bottom w:w="0" w:type="dxa"/>
              <w:right w:w="15" w:type="dxa"/>
            </w:tcMar>
            <w:vAlign w:val="center"/>
          </w:tcPr>
          <w:p w14:paraId="67C2079D">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监护床</w:t>
            </w:r>
          </w:p>
        </w:tc>
        <w:tc>
          <w:tcPr>
            <w:tcW w:w="868" w:type="dxa"/>
            <w:noWrap/>
            <w:tcMar>
              <w:top w:w="15" w:type="dxa"/>
              <w:left w:w="15" w:type="dxa"/>
              <w:bottom w:w="0" w:type="dxa"/>
              <w:right w:w="15" w:type="dxa"/>
            </w:tcMar>
            <w:vAlign w:val="center"/>
          </w:tcPr>
          <w:p w14:paraId="754D09B8">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17张</w:t>
            </w:r>
          </w:p>
        </w:tc>
        <w:tc>
          <w:tcPr>
            <w:tcW w:w="2062" w:type="dxa"/>
            <w:vMerge w:val="continue"/>
            <w:noWrap/>
            <w:tcMar>
              <w:top w:w="15" w:type="dxa"/>
              <w:left w:w="15" w:type="dxa"/>
              <w:bottom w:w="0" w:type="dxa"/>
              <w:right w:w="15" w:type="dxa"/>
            </w:tcMar>
            <w:vAlign w:val="center"/>
          </w:tcPr>
          <w:p w14:paraId="1C20310C">
            <w:pP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1778" w:type="dxa"/>
            <w:vMerge w:val="continue"/>
            <w:noWrap/>
            <w:vAlign w:val="center"/>
          </w:tcPr>
          <w:p w14:paraId="0E34BB92">
            <w:pPr>
              <w:tabs>
                <w:tab w:val="left" w:pos="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65" w:type="dxa"/>
            <w:vMerge w:val="continue"/>
            <w:noWrap/>
            <w:vAlign w:val="center"/>
          </w:tcPr>
          <w:p w14:paraId="528F4ECA">
            <w:pP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r>
      <w:tr w14:paraId="6E3B6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7" w:hRule="atLeast"/>
          <w:jc w:val="center"/>
        </w:trPr>
        <w:tc>
          <w:tcPr>
            <w:tcW w:w="775" w:type="dxa"/>
            <w:noWrap/>
            <w:tcMar>
              <w:top w:w="15" w:type="dxa"/>
              <w:left w:w="15" w:type="dxa"/>
              <w:bottom w:w="0" w:type="dxa"/>
              <w:right w:w="15" w:type="dxa"/>
            </w:tcMar>
            <w:vAlign w:val="center"/>
          </w:tcPr>
          <w:p w14:paraId="11E12369">
            <w:pPr>
              <w:tabs>
                <w:tab w:val="left" w:pos="0"/>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2613" w:type="dxa"/>
            <w:noWrap/>
            <w:tcMar>
              <w:top w:w="15" w:type="dxa"/>
              <w:left w:w="15" w:type="dxa"/>
              <w:bottom w:w="0" w:type="dxa"/>
              <w:right w:w="15" w:type="dxa"/>
            </w:tcMar>
            <w:vAlign w:val="center"/>
          </w:tcPr>
          <w:p w14:paraId="0A3AE17E">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急诊观察床</w:t>
            </w:r>
          </w:p>
        </w:tc>
        <w:tc>
          <w:tcPr>
            <w:tcW w:w="868" w:type="dxa"/>
            <w:noWrap/>
            <w:tcMar>
              <w:top w:w="15" w:type="dxa"/>
              <w:left w:w="15" w:type="dxa"/>
              <w:bottom w:w="0" w:type="dxa"/>
              <w:right w:w="15" w:type="dxa"/>
            </w:tcMar>
            <w:vAlign w:val="center"/>
          </w:tcPr>
          <w:p w14:paraId="64E78DE8">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10张</w:t>
            </w:r>
          </w:p>
        </w:tc>
        <w:tc>
          <w:tcPr>
            <w:tcW w:w="2062" w:type="dxa"/>
            <w:vMerge w:val="continue"/>
            <w:noWrap/>
            <w:tcMar>
              <w:top w:w="15" w:type="dxa"/>
              <w:left w:w="15" w:type="dxa"/>
              <w:bottom w:w="0" w:type="dxa"/>
              <w:right w:w="15" w:type="dxa"/>
            </w:tcMar>
            <w:vAlign w:val="center"/>
          </w:tcPr>
          <w:p w14:paraId="5BB627D0">
            <w:pP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1778" w:type="dxa"/>
            <w:vMerge w:val="continue"/>
            <w:noWrap/>
            <w:vAlign w:val="center"/>
          </w:tcPr>
          <w:p w14:paraId="5595309F">
            <w:pPr>
              <w:tabs>
                <w:tab w:val="left" w:pos="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65" w:type="dxa"/>
            <w:vMerge w:val="continue"/>
            <w:noWrap/>
            <w:vAlign w:val="center"/>
          </w:tcPr>
          <w:p w14:paraId="07C71958">
            <w:pP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r>
      <w:tr w14:paraId="5D890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7" w:hRule="atLeast"/>
          <w:jc w:val="center"/>
        </w:trPr>
        <w:tc>
          <w:tcPr>
            <w:tcW w:w="775" w:type="dxa"/>
            <w:noWrap/>
            <w:tcMar>
              <w:top w:w="15" w:type="dxa"/>
              <w:left w:w="15" w:type="dxa"/>
              <w:bottom w:w="0" w:type="dxa"/>
              <w:right w:w="15" w:type="dxa"/>
            </w:tcMar>
            <w:vAlign w:val="center"/>
          </w:tcPr>
          <w:p w14:paraId="484E0FDD">
            <w:pPr>
              <w:tabs>
                <w:tab w:val="left" w:pos="0"/>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2613" w:type="dxa"/>
            <w:noWrap/>
            <w:tcMar>
              <w:top w:w="15" w:type="dxa"/>
              <w:left w:w="15" w:type="dxa"/>
              <w:bottom w:w="0" w:type="dxa"/>
              <w:right w:w="15" w:type="dxa"/>
            </w:tcMar>
            <w:vAlign w:val="center"/>
          </w:tcPr>
          <w:p w14:paraId="2E5DE499">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妇科检查床（可升降）</w:t>
            </w:r>
          </w:p>
        </w:tc>
        <w:tc>
          <w:tcPr>
            <w:tcW w:w="868" w:type="dxa"/>
            <w:noWrap/>
            <w:tcMar>
              <w:top w:w="15" w:type="dxa"/>
              <w:left w:w="15" w:type="dxa"/>
              <w:bottom w:w="0" w:type="dxa"/>
              <w:right w:w="15" w:type="dxa"/>
            </w:tcMar>
            <w:vAlign w:val="center"/>
          </w:tcPr>
          <w:p w14:paraId="0A453211">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3张</w:t>
            </w:r>
          </w:p>
        </w:tc>
        <w:tc>
          <w:tcPr>
            <w:tcW w:w="2062" w:type="dxa"/>
            <w:vMerge w:val="continue"/>
            <w:noWrap/>
            <w:tcMar>
              <w:top w:w="15" w:type="dxa"/>
              <w:left w:w="15" w:type="dxa"/>
              <w:bottom w:w="0" w:type="dxa"/>
              <w:right w:w="15" w:type="dxa"/>
            </w:tcMar>
            <w:vAlign w:val="center"/>
          </w:tcPr>
          <w:p w14:paraId="7623D8B0">
            <w:pP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1778" w:type="dxa"/>
            <w:vMerge w:val="continue"/>
            <w:noWrap/>
            <w:vAlign w:val="center"/>
          </w:tcPr>
          <w:p w14:paraId="7226ECB9">
            <w:pPr>
              <w:tabs>
                <w:tab w:val="left" w:pos="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65" w:type="dxa"/>
            <w:vMerge w:val="continue"/>
            <w:noWrap/>
            <w:vAlign w:val="center"/>
          </w:tcPr>
          <w:p w14:paraId="3C9C3FF1">
            <w:pP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r>
      <w:tr w14:paraId="3BADC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7" w:hRule="atLeast"/>
          <w:jc w:val="center"/>
        </w:trPr>
        <w:tc>
          <w:tcPr>
            <w:tcW w:w="775" w:type="dxa"/>
            <w:noWrap/>
            <w:tcMar>
              <w:top w:w="15" w:type="dxa"/>
              <w:left w:w="15" w:type="dxa"/>
              <w:bottom w:w="0" w:type="dxa"/>
              <w:right w:w="15" w:type="dxa"/>
            </w:tcMar>
            <w:vAlign w:val="center"/>
          </w:tcPr>
          <w:p w14:paraId="534CB9F5">
            <w:pPr>
              <w:tabs>
                <w:tab w:val="left" w:pos="0"/>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2613" w:type="dxa"/>
            <w:noWrap/>
            <w:tcMar>
              <w:top w:w="15" w:type="dxa"/>
              <w:left w:w="15" w:type="dxa"/>
              <w:bottom w:w="0" w:type="dxa"/>
              <w:right w:w="15" w:type="dxa"/>
            </w:tcMar>
            <w:vAlign w:val="center"/>
          </w:tcPr>
          <w:p w14:paraId="2137CF25">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妇科检查床（固定）</w:t>
            </w:r>
          </w:p>
        </w:tc>
        <w:tc>
          <w:tcPr>
            <w:tcW w:w="868" w:type="dxa"/>
            <w:noWrap/>
            <w:tcMar>
              <w:top w:w="15" w:type="dxa"/>
              <w:left w:w="15" w:type="dxa"/>
              <w:bottom w:w="0" w:type="dxa"/>
              <w:right w:w="15" w:type="dxa"/>
            </w:tcMar>
            <w:vAlign w:val="center"/>
          </w:tcPr>
          <w:p w14:paraId="4D903065">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5张</w:t>
            </w:r>
          </w:p>
        </w:tc>
        <w:tc>
          <w:tcPr>
            <w:tcW w:w="2062" w:type="dxa"/>
            <w:vMerge w:val="continue"/>
            <w:noWrap/>
            <w:tcMar>
              <w:top w:w="15" w:type="dxa"/>
              <w:left w:w="15" w:type="dxa"/>
              <w:bottom w:w="0" w:type="dxa"/>
              <w:right w:w="15" w:type="dxa"/>
            </w:tcMar>
            <w:vAlign w:val="center"/>
          </w:tcPr>
          <w:p w14:paraId="7573073F">
            <w:pP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1778" w:type="dxa"/>
            <w:vMerge w:val="continue"/>
            <w:noWrap/>
            <w:vAlign w:val="center"/>
          </w:tcPr>
          <w:p w14:paraId="76C57EB4">
            <w:pPr>
              <w:tabs>
                <w:tab w:val="left" w:pos="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65" w:type="dxa"/>
            <w:vMerge w:val="continue"/>
            <w:noWrap/>
            <w:vAlign w:val="center"/>
          </w:tcPr>
          <w:p w14:paraId="4085C16F">
            <w:pP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r>
      <w:tr w14:paraId="58DB2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7" w:hRule="atLeast"/>
          <w:jc w:val="center"/>
        </w:trPr>
        <w:tc>
          <w:tcPr>
            <w:tcW w:w="775" w:type="dxa"/>
            <w:noWrap/>
            <w:tcMar>
              <w:top w:w="15" w:type="dxa"/>
              <w:left w:w="15" w:type="dxa"/>
              <w:bottom w:w="0" w:type="dxa"/>
              <w:right w:w="15" w:type="dxa"/>
            </w:tcMar>
            <w:vAlign w:val="center"/>
          </w:tcPr>
          <w:p w14:paraId="4C3C12CD">
            <w:pPr>
              <w:tabs>
                <w:tab w:val="left" w:pos="0"/>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c>
          <w:tcPr>
            <w:tcW w:w="2613" w:type="dxa"/>
            <w:noWrap/>
            <w:tcMar>
              <w:top w:w="15" w:type="dxa"/>
              <w:left w:w="15" w:type="dxa"/>
              <w:bottom w:w="0" w:type="dxa"/>
              <w:right w:w="15" w:type="dxa"/>
            </w:tcMar>
            <w:vAlign w:val="center"/>
          </w:tcPr>
          <w:p w14:paraId="3874B366">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新生儿病床</w:t>
            </w:r>
          </w:p>
        </w:tc>
        <w:tc>
          <w:tcPr>
            <w:tcW w:w="868" w:type="dxa"/>
            <w:noWrap/>
            <w:tcMar>
              <w:top w:w="15" w:type="dxa"/>
              <w:left w:w="15" w:type="dxa"/>
              <w:bottom w:w="0" w:type="dxa"/>
              <w:right w:w="15" w:type="dxa"/>
            </w:tcMar>
            <w:vAlign w:val="center"/>
          </w:tcPr>
          <w:p w14:paraId="3B4E59EC">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25张</w:t>
            </w:r>
          </w:p>
        </w:tc>
        <w:tc>
          <w:tcPr>
            <w:tcW w:w="2062" w:type="dxa"/>
            <w:vMerge w:val="continue"/>
            <w:noWrap/>
            <w:tcMar>
              <w:top w:w="15" w:type="dxa"/>
              <w:left w:w="15" w:type="dxa"/>
              <w:bottom w:w="0" w:type="dxa"/>
              <w:right w:w="15" w:type="dxa"/>
            </w:tcMar>
            <w:vAlign w:val="center"/>
          </w:tcPr>
          <w:p w14:paraId="2899EABC">
            <w:pP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1778" w:type="dxa"/>
            <w:vMerge w:val="continue"/>
            <w:noWrap/>
            <w:vAlign w:val="center"/>
          </w:tcPr>
          <w:p w14:paraId="177A171A">
            <w:pPr>
              <w:tabs>
                <w:tab w:val="left" w:pos="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65" w:type="dxa"/>
            <w:vMerge w:val="continue"/>
            <w:noWrap/>
            <w:vAlign w:val="center"/>
          </w:tcPr>
          <w:p w14:paraId="236676D2">
            <w:pP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r>
      <w:tr w14:paraId="0643C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7" w:hRule="atLeast"/>
          <w:jc w:val="center"/>
        </w:trPr>
        <w:tc>
          <w:tcPr>
            <w:tcW w:w="775" w:type="dxa"/>
            <w:noWrap/>
            <w:tcMar>
              <w:top w:w="15" w:type="dxa"/>
              <w:left w:w="15" w:type="dxa"/>
              <w:bottom w:w="0" w:type="dxa"/>
              <w:right w:w="15" w:type="dxa"/>
            </w:tcMar>
            <w:vAlign w:val="center"/>
          </w:tcPr>
          <w:p w14:paraId="65AE50E0">
            <w:pPr>
              <w:tabs>
                <w:tab w:val="left" w:pos="0"/>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p>
        </w:tc>
        <w:tc>
          <w:tcPr>
            <w:tcW w:w="2613" w:type="dxa"/>
            <w:noWrap/>
            <w:tcMar>
              <w:top w:w="15" w:type="dxa"/>
              <w:left w:w="15" w:type="dxa"/>
              <w:bottom w:w="0" w:type="dxa"/>
              <w:right w:w="15" w:type="dxa"/>
            </w:tcMar>
            <w:vAlign w:val="center"/>
          </w:tcPr>
          <w:p w14:paraId="31273B26">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诊断床</w:t>
            </w:r>
          </w:p>
        </w:tc>
        <w:tc>
          <w:tcPr>
            <w:tcW w:w="868" w:type="dxa"/>
            <w:noWrap/>
            <w:tcMar>
              <w:top w:w="15" w:type="dxa"/>
              <w:left w:w="15" w:type="dxa"/>
              <w:bottom w:w="0" w:type="dxa"/>
              <w:right w:w="15" w:type="dxa"/>
            </w:tcMar>
            <w:vAlign w:val="center"/>
          </w:tcPr>
          <w:p w14:paraId="6A65CAB1">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1张</w:t>
            </w:r>
          </w:p>
        </w:tc>
        <w:tc>
          <w:tcPr>
            <w:tcW w:w="2062" w:type="dxa"/>
            <w:vMerge w:val="continue"/>
            <w:noWrap/>
            <w:tcMar>
              <w:top w:w="15" w:type="dxa"/>
              <w:left w:w="15" w:type="dxa"/>
              <w:bottom w:w="0" w:type="dxa"/>
              <w:right w:w="15" w:type="dxa"/>
            </w:tcMar>
            <w:vAlign w:val="center"/>
          </w:tcPr>
          <w:p w14:paraId="2C192CBC">
            <w:pP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1778" w:type="dxa"/>
            <w:vMerge w:val="continue"/>
            <w:noWrap/>
            <w:vAlign w:val="center"/>
          </w:tcPr>
          <w:p w14:paraId="71377194">
            <w:pPr>
              <w:tabs>
                <w:tab w:val="left" w:pos="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65" w:type="dxa"/>
            <w:vMerge w:val="continue"/>
            <w:noWrap/>
            <w:vAlign w:val="center"/>
          </w:tcPr>
          <w:p w14:paraId="16E7FEA2">
            <w:pP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r>
      <w:tr w14:paraId="1A5FC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7" w:hRule="atLeast"/>
          <w:jc w:val="center"/>
        </w:trPr>
        <w:tc>
          <w:tcPr>
            <w:tcW w:w="775" w:type="dxa"/>
            <w:noWrap/>
            <w:tcMar>
              <w:top w:w="15" w:type="dxa"/>
              <w:left w:w="15" w:type="dxa"/>
              <w:bottom w:w="0" w:type="dxa"/>
              <w:right w:w="15" w:type="dxa"/>
            </w:tcMar>
            <w:vAlign w:val="center"/>
          </w:tcPr>
          <w:p w14:paraId="34915891">
            <w:pPr>
              <w:tabs>
                <w:tab w:val="left" w:pos="0"/>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p>
        </w:tc>
        <w:tc>
          <w:tcPr>
            <w:tcW w:w="2613" w:type="dxa"/>
            <w:noWrap/>
            <w:tcMar>
              <w:top w:w="15" w:type="dxa"/>
              <w:left w:w="15" w:type="dxa"/>
              <w:bottom w:w="0" w:type="dxa"/>
              <w:right w:w="15" w:type="dxa"/>
            </w:tcMar>
            <w:vAlign w:val="center"/>
          </w:tcPr>
          <w:p w14:paraId="1937AE3B">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普通电动床</w:t>
            </w:r>
          </w:p>
        </w:tc>
        <w:tc>
          <w:tcPr>
            <w:tcW w:w="868" w:type="dxa"/>
            <w:noWrap/>
            <w:tcMar>
              <w:top w:w="15" w:type="dxa"/>
              <w:left w:w="15" w:type="dxa"/>
              <w:bottom w:w="0" w:type="dxa"/>
              <w:right w:w="15" w:type="dxa"/>
            </w:tcMar>
            <w:vAlign w:val="center"/>
          </w:tcPr>
          <w:p w14:paraId="4D474CC3">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407张</w:t>
            </w:r>
          </w:p>
        </w:tc>
        <w:tc>
          <w:tcPr>
            <w:tcW w:w="2062" w:type="dxa"/>
            <w:vMerge w:val="continue"/>
            <w:noWrap/>
            <w:tcMar>
              <w:top w:w="15" w:type="dxa"/>
              <w:left w:w="15" w:type="dxa"/>
              <w:bottom w:w="0" w:type="dxa"/>
              <w:right w:w="15" w:type="dxa"/>
            </w:tcMar>
            <w:vAlign w:val="center"/>
          </w:tcPr>
          <w:p w14:paraId="61AA829C">
            <w:pP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1778" w:type="dxa"/>
            <w:vMerge w:val="continue"/>
            <w:noWrap/>
            <w:vAlign w:val="center"/>
          </w:tcPr>
          <w:p w14:paraId="5423C1BB">
            <w:pPr>
              <w:tabs>
                <w:tab w:val="left" w:pos="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65" w:type="dxa"/>
            <w:vMerge w:val="continue"/>
            <w:noWrap/>
            <w:vAlign w:val="center"/>
          </w:tcPr>
          <w:p w14:paraId="327486E9">
            <w:pP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r>
      <w:tr w14:paraId="4D853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7" w:hRule="atLeast"/>
          <w:jc w:val="center"/>
        </w:trPr>
        <w:tc>
          <w:tcPr>
            <w:tcW w:w="775" w:type="dxa"/>
            <w:noWrap/>
            <w:tcMar>
              <w:top w:w="15" w:type="dxa"/>
              <w:left w:w="15" w:type="dxa"/>
              <w:bottom w:w="0" w:type="dxa"/>
              <w:right w:w="15" w:type="dxa"/>
            </w:tcMar>
            <w:vAlign w:val="center"/>
          </w:tcPr>
          <w:p w14:paraId="1120C6C6">
            <w:pPr>
              <w:tabs>
                <w:tab w:val="left" w:pos="0"/>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w:t>
            </w:r>
          </w:p>
        </w:tc>
        <w:tc>
          <w:tcPr>
            <w:tcW w:w="2613" w:type="dxa"/>
            <w:noWrap/>
            <w:tcMar>
              <w:top w:w="15" w:type="dxa"/>
              <w:left w:w="15" w:type="dxa"/>
              <w:bottom w:w="0" w:type="dxa"/>
              <w:right w:w="15" w:type="dxa"/>
            </w:tcMar>
            <w:vAlign w:val="center"/>
          </w:tcPr>
          <w:p w14:paraId="4D58B8F5">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电动血透床</w:t>
            </w:r>
          </w:p>
        </w:tc>
        <w:tc>
          <w:tcPr>
            <w:tcW w:w="868" w:type="dxa"/>
            <w:noWrap/>
            <w:tcMar>
              <w:top w:w="15" w:type="dxa"/>
              <w:left w:w="15" w:type="dxa"/>
              <w:bottom w:w="0" w:type="dxa"/>
              <w:right w:w="15" w:type="dxa"/>
            </w:tcMar>
            <w:vAlign w:val="center"/>
          </w:tcPr>
          <w:p w14:paraId="599331A4">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65张</w:t>
            </w:r>
          </w:p>
        </w:tc>
        <w:tc>
          <w:tcPr>
            <w:tcW w:w="2062" w:type="dxa"/>
            <w:vMerge w:val="continue"/>
            <w:noWrap/>
            <w:tcMar>
              <w:top w:w="15" w:type="dxa"/>
              <w:left w:w="15" w:type="dxa"/>
              <w:bottom w:w="0" w:type="dxa"/>
              <w:right w:w="15" w:type="dxa"/>
            </w:tcMar>
            <w:vAlign w:val="center"/>
          </w:tcPr>
          <w:p w14:paraId="08F8096F">
            <w:pP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1778" w:type="dxa"/>
            <w:vMerge w:val="continue"/>
            <w:noWrap/>
            <w:vAlign w:val="center"/>
          </w:tcPr>
          <w:p w14:paraId="683AC0ED">
            <w:pPr>
              <w:tabs>
                <w:tab w:val="left" w:pos="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65" w:type="dxa"/>
            <w:vMerge w:val="continue"/>
            <w:noWrap/>
            <w:vAlign w:val="center"/>
          </w:tcPr>
          <w:p w14:paraId="0AA91B20">
            <w:pP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r>
      <w:tr w14:paraId="187EC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7" w:hRule="atLeast"/>
          <w:jc w:val="center"/>
        </w:trPr>
        <w:tc>
          <w:tcPr>
            <w:tcW w:w="775" w:type="dxa"/>
            <w:noWrap/>
            <w:tcMar>
              <w:top w:w="15" w:type="dxa"/>
              <w:left w:w="15" w:type="dxa"/>
              <w:bottom w:w="0" w:type="dxa"/>
              <w:right w:w="15" w:type="dxa"/>
            </w:tcMar>
            <w:vAlign w:val="center"/>
          </w:tcPr>
          <w:p w14:paraId="16781230">
            <w:pPr>
              <w:tabs>
                <w:tab w:val="left" w:pos="0"/>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w:t>
            </w:r>
          </w:p>
        </w:tc>
        <w:tc>
          <w:tcPr>
            <w:tcW w:w="2613" w:type="dxa"/>
            <w:noWrap/>
            <w:tcMar>
              <w:top w:w="15" w:type="dxa"/>
              <w:left w:w="15" w:type="dxa"/>
              <w:bottom w:w="0" w:type="dxa"/>
              <w:right w:w="15" w:type="dxa"/>
            </w:tcMar>
            <w:vAlign w:val="center"/>
          </w:tcPr>
          <w:p w14:paraId="306AADF5">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多功能翻身床</w:t>
            </w:r>
          </w:p>
        </w:tc>
        <w:tc>
          <w:tcPr>
            <w:tcW w:w="868" w:type="dxa"/>
            <w:noWrap/>
            <w:tcMar>
              <w:top w:w="15" w:type="dxa"/>
              <w:left w:w="15" w:type="dxa"/>
              <w:bottom w:w="0" w:type="dxa"/>
              <w:right w:w="15" w:type="dxa"/>
            </w:tcMar>
            <w:vAlign w:val="center"/>
          </w:tcPr>
          <w:p w14:paraId="091659E7">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4张</w:t>
            </w:r>
          </w:p>
        </w:tc>
        <w:tc>
          <w:tcPr>
            <w:tcW w:w="2062" w:type="dxa"/>
            <w:vMerge w:val="continue"/>
            <w:noWrap/>
            <w:tcMar>
              <w:top w:w="15" w:type="dxa"/>
              <w:left w:w="15" w:type="dxa"/>
              <w:bottom w:w="0" w:type="dxa"/>
              <w:right w:w="15" w:type="dxa"/>
            </w:tcMar>
            <w:vAlign w:val="center"/>
          </w:tcPr>
          <w:p w14:paraId="344D9183">
            <w:pP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1778" w:type="dxa"/>
            <w:vMerge w:val="continue"/>
            <w:noWrap/>
            <w:vAlign w:val="center"/>
          </w:tcPr>
          <w:p w14:paraId="6FCC66A7">
            <w:pPr>
              <w:tabs>
                <w:tab w:val="left" w:pos="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65" w:type="dxa"/>
            <w:vMerge w:val="continue"/>
            <w:noWrap/>
            <w:vAlign w:val="center"/>
          </w:tcPr>
          <w:p w14:paraId="27EDA6E9">
            <w:pP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r>
      <w:tr w14:paraId="3BD08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7" w:hRule="atLeast"/>
          <w:jc w:val="center"/>
        </w:trPr>
        <w:tc>
          <w:tcPr>
            <w:tcW w:w="775" w:type="dxa"/>
            <w:noWrap/>
            <w:tcMar>
              <w:top w:w="15" w:type="dxa"/>
              <w:left w:w="15" w:type="dxa"/>
              <w:bottom w:w="0" w:type="dxa"/>
              <w:right w:w="15" w:type="dxa"/>
            </w:tcMar>
            <w:vAlign w:val="center"/>
          </w:tcPr>
          <w:p w14:paraId="163849E7">
            <w:pPr>
              <w:tabs>
                <w:tab w:val="left" w:pos="0"/>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w:t>
            </w:r>
          </w:p>
        </w:tc>
        <w:tc>
          <w:tcPr>
            <w:tcW w:w="2613" w:type="dxa"/>
            <w:noWrap/>
            <w:tcMar>
              <w:top w:w="15" w:type="dxa"/>
              <w:left w:w="15" w:type="dxa"/>
              <w:bottom w:w="0" w:type="dxa"/>
              <w:right w:w="15" w:type="dxa"/>
            </w:tcMar>
            <w:vAlign w:val="center"/>
          </w:tcPr>
          <w:p w14:paraId="64B14430">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牵引架</w:t>
            </w:r>
          </w:p>
        </w:tc>
        <w:tc>
          <w:tcPr>
            <w:tcW w:w="868" w:type="dxa"/>
            <w:noWrap/>
            <w:tcMar>
              <w:top w:w="15" w:type="dxa"/>
              <w:left w:w="15" w:type="dxa"/>
              <w:bottom w:w="0" w:type="dxa"/>
              <w:right w:w="15" w:type="dxa"/>
            </w:tcMar>
            <w:vAlign w:val="center"/>
          </w:tcPr>
          <w:p w14:paraId="47D89FD8">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2个</w:t>
            </w:r>
          </w:p>
        </w:tc>
        <w:tc>
          <w:tcPr>
            <w:tcW w:w="2062" w:type="dxa"/>
            <w:vMerge w:val="continue"/>
            <w:noWrap/>
            <w:tcMar>
              <w:top w:w="15" w:type="dxa"/>
              <w:left w:w="15" w:type="dxa"/>
              <w:bottom w:w="0" w:type="dxa"/>
              <w:right w:w="15" w:type="dxa"/>
            </w:tcMar>
            <w:vAlign w:val="center"/>
          </w:tcPr>
          <w:p w14:paraId="5DC42C17">
            <w:pP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1778" w:type="dxa"/>
            <w:vMerge w:val="continue"/>
            <w:noWrap/>
            <w:vAlign w:val="center"/>
          </w:tcPr>
          <w:p w14:paraId="6674DDA0">
            <w:pPr>
              <w:tabs>
                <w:tab w:val="left" w:pos="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65" w:type="dxa"/>
            <w:vMerge w:val="continue"/>
            <w:noWrap/>
            <w:vAlign w:val="center"/>
          </w:tcPr>
          <w:p w14:paraId="1A238379">
            <w:pP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r>
      <w:tr w14:paraId="0C961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7" w:hRule="atLeast"/>
          <w:jc w:val="center"/>
        </w:trPr>
        <w:tc>
          <w:tcPr>
            <w:tcW w:w="775" w:type="dxa"/>
            <w:noWrap/>
            <w:tcMar>
              <w:top w:w="15" w:type="dxa"/>
              <w:left w:w="15" w:type="dxa"/>
              <w:bottom w:w="0" w:type="dxa"/>
              <w:right w:w="15" w:type="dxa"/>
            </w:tcMar>
            <w:vAlign w:val="center"/>
          </w:tcPr>
          <w:p w14:paraId="1A961814">
            <w:pPr>
              <w:tabs>
                <w:tab w:val="left" w:pos="0"/>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w:t>
            </w:r>
          </w:p>
        </w:tc>
        <w:tc>
          <w:tcPr>
            <w:tcW w:w="2613" w:type="dxa"/>
            <w:noWrap/>
            <w:tcMar>
              <w:top w:w="15" w:type="dxa"/>
              <w:left w:w="15" w:type="dxa"/>
              <w:bottom w:w="0" w:type="dxa"/>
              <w:right w:w="15" w:type="dxa"/>
            </w:tcMar>
            <w:vAlign w:val="center"/>
          </w:tcPr>
          <w:p w14:paraId="1AF51FA6">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转运床</w:t>
            </w:r>
          </w:p>
        </w:tc>
        <w:tc>
          <w:tcPr>
            <w:tcW w:w="868" w:type="dxa"/>
            <w:noWrap/>
            <w:tcMar>
              <w:top w:w="15" w:type="dxa"/>
              <w:left w:w="15" w:type="dxa"/>
              <w:bottom w:w="0" w:type="dxa"/>
              <w:right w:w="15" w:type="dxa"/>
            </w:tcMar>
            <w:vAlign w:val="center"/>
          </w:tcPr>
          <w:p w14:paraId="4040CEA2">
            <w:pPr>
              <w:widowControl/>
              <w:jc w:val="center"/>
              <w:textAlignment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6</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张</w:t>
            </w:r>
          </w:p>
        </w:tc>
        <w:tc>
          <w:tcPr>
            <w:tcW w:w="2062" w:type="dxa"/>
            <w:vMerge w:val="continue"/>
            <w:noWrap/>
            <w:tcMar>
              <w:top w:w="15" w:type="dxa"/>
              <w:left w:w="15" w:type="dxa"/>
              <w:bottom w:w="0" w:type="dxa"/>
              <w:right w:w="15" w:type="dxa"/>
            </w:tcMar>
            <w:vAlign w:val="center"/>
          </w:tcPr>
          <w:p w14:paraId="2CD87508">
            <w:pP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1778" w:type="dxa"/>
            <w:vMerge w:val="continue"/>
            <w:noWrap/>
            <w:vAlign w:val="center"/>
          </w:tcPr>
          <w:p w14:paraId="0F8CC1C6">
            <w:pPr>
              <w:tabs>
                <w:tab w:val="left" w:pos="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65" w:type="dxa"/>
            <w:vMerge w:val="continue"/>
            <w:noWrap/>
            <w:vAlign w:val="center"/>
          </w:tcPr>
          <w:p w14:paraId="31B670C4">
            <w:pP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r>
      <w:tr w14:paraId="60F0D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7" w:hRule="atLeast"/>
          <w:jc w:val="center"/>
        </w:trPr>
        <w:tc>
          <w:tcPr>
            <w:tcW w:w="775" w:type="dxa"/>
            <w:noWrap/>
            <w:tcMar>
              <w:top w:w="15" w:type="dxa"/>
              <w:left w:w="15" w:type="dxa"/>
              <w:bottom w:w="0" w:type="dxa"/>
              <w:right w:w="15" w:type="dxa"/>
            </w:tcMar>
            <w:vAlign w:val="center"/>
          </w:tcPr>
          <w:p w14:paraId="06155D95">
            <w:pPr>
              <w:tabs>
                <w:tab w:val="left" w:pos="0"/>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w:t>
            </w:r>
          </w:p>
        </w:tc>
        <w:tc>
          <w:tcPr>
            <w:tcW w:w="2613" w:type="dxa"/>
            <w:noWrap/>
            <w:tcMar>
              <w:top w:w="15" w:type="dxa"/>
              <w:left w:w="15" w:type="dxa"/>
              <w:bottom w:w="0" w:type="dxa"/>
              <w:right w:w="15" w:type="dxa"/>
            </w:tcMar>
            <w:vAlign w:val="center"/>
          </w:tcPr>
          <w:p w14:paraId="532A2544">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手术推车</w:t>
            </w:r>
          </w:p>
        </w:tc>
        <w:tc>
          <w:tcPr>
            <w:tcW w:w="868" w:type="dxa"/>
            <w:noWrap/>
            <w:tcMar>
              <w:top w:w="15" w:type="dxa"/>
              <w:left w:w="15" w:type="dxa"/>
              <w:bottom w:w="0" w:type="dxa"/>
              <w:right w:w="15" w:type="dxa"/>
            </w:tcMar>
            <w:vAlign w:val="center"/>
          </w:tcPr>
          <w:p w14:paraId="1C5AF526">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5辆</w:t>
            </w:r>
          </w:p>
        </w:tc>
        <w:tc>
          <w:tcPr>
            <w:tcW w:w="2062" w:type="dxa"/>
            <w:vMerge w:val="continue"/>
            <w:noWrap/>
            <w:tcMar>
              <w:top w:w="15" w:type="dxa"/>
              <w:left w:w="15" w:type="dxa"/>
              <w:bottom w:w="0" w:type="dxa"/>
              <w:right w:w="15" w:type="dxa"/>
            </w:tcMar>
            <w:vAlign w:val="center"/>
          </w:tcPr>
          <w:p w14:paraId="571879F2">
            <w:pP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1778" w:type="dxa"/>
            <w:vMerge w:val="continue"/>
            <w:noWrap/>
            <w:vAlign w:val="center"/>
          </w:tcPr>
          <w:p w14:paraId="53D87C39">
            <w:pPr>
              <w:tabs>
                <w:tab w:val="left" w:pos="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65" w:type="dxa"/>
            <w:vMerge w:val="continue"/>
            <w:noWrap/>
            <w:vAlign w:val="center"/>
          </w:tcPr>
          <w:p w14:paraId="0070DFFE">
            <w:pP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r>
      <w:tr w14:paraId="234E4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7" w:hRule="atLeast"/>
          <w:jc w:val="center"/>
        </w:trPr>
        <w:tc>
          <w:tcPr>
            <w:tcW w:w="775" w:type="dxa"/>
            <w:noWrap/>
            <w:tcMar>
              <w:top w:w="15" w:type="dxa"/>
              <w:left w:w="15" w:type="dxa"/>
              <w:bottom w:w="0" w:type="dxa"/>
              <w:right w:w="15" w:type="dxa"/>
            </w:tcMar>
            <w:vAlign w:val="center"/>
          </w:tcPr>
          <w:p w14:paraId="05BAB419">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14</w:t>
            </w:r>
          </w:p>
        </w:tc>
        <w:tc>
          <w:tcPr>
            <w:tcW w:w="2613" w:type="dxa"/>
            <w:noWrap/>
            <w:tcMar>
              <w:top w:w="15" w:type="dxa"/>
              <w:left w:w="15" w:type="dxa"/>
              <w:bottom w:w="0" w:type="dxa"/>
              <w:right w:w="15" w:type="dxa"/>
            </w:tcMar>
            <w:vAlign w:val="center"/>
          </w:tcPr>
          <w:p w14:paraId="47BB7B77">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被服推车</w:t>
            </w:r>
          </w:p>
        </w:tc>
        <w:tc>
          <w:tcPr>
            <w:tcW w:w="868" w:type="dxa"/>
            <w:noWrap/>
            <w:tcMar>
              <w:top w:w="15" w:type="dxa"/>
              <w:left w:w="15" w:type="dxa"/>
              <w:bottom w:w="0" w:type="dxa"/>
              <w:right w:w="15" w:type="dxa"/>
            </w:tcMar>
            <w:vAlign w:val="center"/>
          </w:tcPr>
          <w:p w14:paraId="4D099021">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12辆</w:t>
            </w:r>
          </w:p>
        </w:tc>
        <w:tc>
          <w:tcPr>
            <w:tcW w:w="2062" w:type="dxa"/>
            <w:vMerge w:val="continue"/>
            <w:noWrap/>
            <w:tcMar>
              <w:top w:w="15" w:type="dxa"/>
              <w:left w:w="15" w:type="dxa"/>
              <w:bottom w:w="0" w:type="dxa"/>
              <w:right w:w="15" w:type="dxa"/>
            </w:tcMar>
            <w:vAlign w:val="center"/>
          </w:tcPr>
          <w:p w14:paraId="4C7D44E8">
            <w:pP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1778" w:type="dxa"/>
            <w:vMerge w:val="continue"/>
            <w:noWrap/>
            <w:vAlign w:val="center"/>
          </w:tcPr>
          <w:p w14:paraId="53723584">
            <w:pPr>
              <w:tabs>
                <w:tab w:val="left" w:pos="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65" w:type="dxa"/>
            <w:vMerge w:val="continue"/>
            <w:noWrap/>
            <w:vAlign w:val="center"/>
          </w:tcPr>
          <w:p w14:paraId="58472640">
            <w:pP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r>
      <w:tr w14:paraId="4EFB3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7" w:hRule="atLeast"/>
          <w:jc w:val="center"/>
        </w:trPr>
        <w:tc>
          <w:tcPr>
            <w:tcW w:w="775" w:type="dxa"/>
            <w:noWrap/>
            <w:tcMar>
              <w:top w:w="15" w:type="dxa"/>
              <w:left w:w="15" w:type="dxa"/>
              <w:bottom w:w="0" w:type="dxa"/>
              <w:right w:w="15" w:type="dxa"/>
            </w:tcMar>
            <w:vAlign w:val="center"/>
          </w:tcPr>
          <w:p w14:paraId="1BE80842">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15</w:t>
            </w:r>
          </w:p>
        </w:tc>
        <w:tc>
          <w:tcPr>
            <w:tcW w:w="2613" w:type="dxa"/>
            <w:noWrap/>
            <w:tcMar>
              <w:top w:w="15" w:type="dxa"/>
              <w:left w:w="15" w:type="dxa"/>
              <w:bottom w:w="0" w:type="dxa"/>
              <w:right w:w="15" w:type="dxa"/>
            </w:tcMar>
            <w:vAlign w:val="center"/>
          </w:tcPr>
          <w:p w14:paraId="59A20FD8">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不锈钢治疗车（窄）</w:t>
            </w:r>
          </w:p>
        </w:tc>
        <w:tc>
          <w:tcPr>
            <w:tcW w:w="868" w:type="dxa"/>
            <w:noWrap/>
            <w:tcMar>
              <w:top w:w="15" w:type="dxa"/>
              <w:left w:w="15" w:type="dxa"/>
              <w:bottom w:w="0" w:type="dxa"/>
              <w:right w:w="15" w:type="dxa"/>
            </w:tcMar>
            <w:vAlign w:val="center"/>
          </w:tcPr>
          <w:p w14:paraId="6DF1F35C">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辆</w:t>
            </w:r>
          </w:p>
        </w:tc>
        <w:tc>
          <w:tcPr>
            <w:tcW w:w="2062" w:type="dxa"/>
            <w:vMerge w:val="continue"/>
            <w:noWrap/>
            <w:tcMar>
              <w:top w:w="15" w:type="dxa"/>
              <w:left w:w="15" w:type="dxa"/>
              <w:bottom w:w="0" w:type="dxa"/>
              <w:right w:w="15" w:type="dxa"/>
            </w:tcMar>
            <w:vAlign w:val="center"/>
          </w:tcPr>
          <w:p w14:paraId="3A1FF6E3">
            <w:pP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1778" w:type="dxa"/>
            <w:vMerge w:val="continue"/>
            <w:noWrap/>
            <w:vAlign w:val="center"/>
          </w:tcPr>
          <w:p w14:paraId="05E9E6F4">
            <w:pPr>
              <w:tabs>
                <w:tab w:val="left" w:pos="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65" w:type="dxa"/>
            <w:vMerge w:val="continue"/>
            <w:noWrap/>
            <w:vAlign w:val="center"/>
          </w:tcPr>
          <w:p w14:paraId="070636A9">
            <w:pP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r>
      <w:tr w14:paraId="1E3E7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7" w:hRule="atLeast"/>
          <w:jc w:val="center"/>
        </w:trPr>
        <w:tc>
          <w:tcPr>
            <w:tcW w:w="775" w:type="dxa"/>
            <w:noWrap/>
            <w:tcMar>
              <w:top w:w="15" w:type="dxa"/>
              <w:left w:w="15" w:type="dxa"/>
              <w:bottom w:w="0" w:type="dxa"/>
              <w:right w:w="15" w:type="dxa"/>
            </w:tcMar>
            <w:vAlign w:val="center"/>
          </w:tcPr>
          <w:p w14:paraId="3E5B07A1">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16</w:t>
            </w:r>
          </w:p>
        </w:tc>
        <w:tc>
          <w:tcPr>
            <w:tcW w:w="2613" w:type="dxa"/>
            <w:noWrap/>
            <w:tcMar>
              <w:top w:w="15" w:type="dxa"/>
              <w:left w:w="15" w:type="dxa"/>
              <w:bottom w:w="0" w:type="dxa"/>
              <w:right w:w="15" w:type="dxa"/>
            </w:tcMar>
            <w:vAlign w:val="center"/>
          </w:tcPr>
          <w:p w14:paraId="16B43CAE">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不锈钢治疗车（宽）</w:t>
            </w:r>
          </w:p>
        </w:tc>
        <w:tc>
          <w:tcPr>
            <w:tcW w:w="868" w:type="dxa"/>
            <w:noWrap/>
            <w:tcMar>
              <w:top w:w="15" w:type="dxa"/>
              <w:left w:w="15" w:type="dxa"/>
              <w:bottom w:w="0" w:type="dxa"/>
              <w:right w:w="15" w:type="dxa"/>
            </w:tcMar>
            <w:vAlign w:val="center"/>
          </w:tcPr>
          <w:p w14:paraId="11F00E19">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1辆</w:t>
            </w:r>
          </w:p>
        </w:tc>
        <w:tc>
          <w:tcPr>
            <w:tcW w:w="2062" w:type="dxa"/>
            <w:vMerge w:val="continue"/>
            <w:noWrap/>
            <w:tcMar>
              <w:top w:w="15" w:type="dxa"/>
              <w:left w:w="15" w:type="dxa"/>
              <w:bottom w:w="0" w:type="dxa"/>
              <w:right w:w="15" w:type="dxa"/>
            </w:tcMar>
            <w:vAlign w:val="center"/>
          </w:tcPr>
          <w:p w14:paraId="1A5EB1B6">
            <w:pP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1778" w:type="dxa"/>
            <w:vMerge w:val="continue"/>
            <w:noWrap/>
            <w:vAlign w:val="center"/>
          </w:tcPr>
          <w:p w14:paraId="60211A35">
            <w:pPr>
              <w:tabs>
                <w:tab w:val="left" w:pos="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65" w:type="dxa"/>
            <w:vMerge w:val="continue"/>
            <w:noWrap/>
            <w:vAlign w:val="center"/>
          </w:tcPr>
          <w:p w14:paraId="7181875D">
            <w:pP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r>
      <w:tr w14:paraId="2C49D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7" w:hRule="atLeast"/>
          <w:jc w:val="center"/>
        </w:trPr>
        <w:tc>
          <w:tcPr>
            <w:tcW w:w="775" w:type="dxa"/>
            <w:noWrap/>
            <w:tcMar>
              <w:top w:w="15" w:type="dxa"/>
              <w:left w:w="15" w:type="dxa"/>
              <w:bottom w:w="0" w:type="dxa"/>
              <w:right w:w="15" w:type="dxa"/>
            </w:tcMar>
            <w:vAlign w:val="center"/>
          </w:tcPr>
          <w:p w14:paraId="7228513F">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17</w:t>
            </w:r>
          </w:p>
        </w:tc>
        <w:tc>
          <w:tcPr>
            <w:tcW w:w="2613" w:type="dxa"/>
            <w:noWrap/>
            <w:tcMar>
              <w:top w:w="15" w:type="dxa"/>
              <w:left w:w="15" w:type="dxa"/>
              <w:bottom w:w="0" w:type="dxa"/>
              <w:right w:w="15" w:type="dxa"/>
            </w:tcMar>
            <w:vAlign w:val="center"/>
          </w:tcPr>
          <w:p w14:paraId="6FDCDBA5">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多功能治疗车</w:t>
            </w:r>
          </w:p>
        </w:tc>
        <w:tc>
          <w:tcPr>
            <w:tcW w:w="868" w:type="dxa"/>
            <w:noWrap/>
            <w:tcMar>
              <w:top w:w="15" w:type="dxa"/>
              <w:left w:w="15" w:type="dxa"/>
              <w:bottom w:w="0" w:type="dxa"/>
              <w:right w:w="15" w:type="dxa"/>
            </w:tcMar>
            <w:vAlign w:val="center"/>
          </w:tcPr>
          <w:p w14:paraId="39354802">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13辆</w:t>
            </w:r>
          </w:p>
        </w:tc>
        <w:tc>
          <w:tcPr>
            <w:tcW w:w="2062" w:type="dxa"/>
            <w:vMerge w:val="continue"/>
            <w:noWrap/>
            <w:tcMar>
              <w:top w:w="15" w:type="dxa"/>
              <w:left w:w="15" w:type="dxa"/>
              <w:bottom w:w="0" w:type="dxa"/>
              <w:right w:w="15" w:type="dxa"/>
            </w:tcMar>
            <w:vAlign w:val="center"/>
          </w:tcPr>
          <w:p w14:paraId="5BAEDA90">
            <w:pP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1778" w:type="dxa"/>
            <w:vMerge w:val="continue"/>
            <w:noWrap/>
            <w:vAlign w:val="center"/>
          </w:tcPr>
          <w:p w14:paraId="42922B6D">
            <w:pPr>
              <w:tabs>
                <w:tab w:val="left" w:pos="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65" w:type="dxa"/>
            <w:vMerge w:val="continue"/>
            <w:noWrap/>
            <w:vAlign w:val="center"/>
          </w:tcPr>
          <w:p w14:paraId="21D7262E">
            <w:pP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r>
      <w:tr w14:paraId="58AC4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7" w:hRule="atLeast"/>
          <w:jc w:val="center"/>
        </w:trPr>
        <w:tc>
          <w:tcPr>
            <w:tcW w:w="775" w:type="dxa"/>
            <w:noWrap/>
            <w:tcMar>
              <w:top w:w="15" w:type="dxa"/>
              <w:left w:w="15" w:type="dxa"/>
              <w:bottom w:w="0" w:type="dxa"/>
              <w:right w:w="15" w:type="dxa"/>
            </w:tcMar>
            <w:vAlign w:val="center"/>
          </w:tcPr>
          <w:p w14:paraId="0B3A5263">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18</w:t>
            </w:r>
          </w:p>
        </w:tc>
        <w:tc>
          <w:tcPr>
            <w:tcW w:w="2613" w:type="dxa"/>
            <w:noWrap/>
            <w:tcMar>
              <w:top w:w="15" w:type="dxa"/>
              <w:left w:w="15" w:type="dxa"/>
              <w:bottom w:w="0" w:type="dxa"/>
              <w:right w:w="15" w:type="dxa"/>
            </w:tcMar>
            <w:vAlign w:val="center"/>
          </w:tcPr>
          <w:p w14:paraId="5A3C26B4">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麻醉车</w:t>
            </w:r>
          </w:p>
        </w:tc>
        <w:tc>
          <w:tcPr>
            <w:tcW w:w="868" w:type="dxa"/>
            <w:noWrap/>
            <w:tcMar>
              <w:top w:w="15" w:type="dxa"/>
              <w:left w:w="15" w:type="dxa"/>
              <w:bottom w:w="0" w:type="dxa"/>
              <w:right w:w="15" w:type="dxa"/>
            </w:tcMar>
            <w:vAlign w:val="center"/>
          </w:tcPr>
          <w:p w14:paraId="2331AEC2">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13辆</w:t>
            </w:r>
          </w:p>
        </w:tc>
        <w:tc>
          <w:tcPr>
            <w:tcW w:w="2062" w:type="dxa"/>
            <w:vMerge w:val="continue"/>
            <w:noWrap/>
            <w:tcMar>
              <w:top w:w="15" w:type="dxa"/>
              <w:left w:w="15" w:type="dxa"/>
              <w:bottom w:w="0" w:type="dxa"/>
              <w:right w:w="15" w:type="dxa"/>
            </w:tcMar>
            <w:vAlign w:val="center"/>
          </w:tcPr>
          <w:p w14:paraId="1DB7AB95">
            <w:pP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1778" w:type="dxa"/>
            <w:vMerge w:val="continue"/>
            <w:noWrap/>
            <w:vAlign w:val="center"/>
          </w:tcPr>
          <w:p w14:paraId="1C6DE344">
            <w:pPr>
              <w:tabs>
                <w:tab w:val="left" w:pos="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65" w:type="dxa"/>
            <w:vMerge w:val="continue"/>
            <w:noWrap/>
            <w:vAlign w:val="center"/>
          </w:tcPr>
          <w:p w14:paraId="50551FA0">
            <w:pP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r>
      <w:tr w14:paraId="0796F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7" w:hRule="atLeast"/>
          <w:jc w:val="center"/>
        </w:trPr>
        <w:tc>
          <w:tcPr>
            <w:tcW w:w="775" w:type="dxa"/>
            <w:noWrap/>
            <w:tcMar>
              <w:top w:w="15" w:type="dxa"/>
              <w:left w:w="15" w:type="dxa"/>
              <w:bottom w:w="0" w:type="dxa"/>
              <w:right w:w="15" w:type="dxa"/>
            </w:tcMar>
            <w:vAlign w:val="center"/>
          </w:tcPr>
          <w:p w14:paraId="02A2CA2D">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19</w:t>
            </w:r>
          </w:p>
        </w:tc>
        <w:tc>
          <w:tcPr>
            <w:tcW w:w="2613" w:type="dxa"/>
            <w:noWrap/>
            <w:tcMar>
              <w:top w:w="15" w:type="dxa"/>
              <w:left w:w="15" w:type="dxa"/>
              <w:bottom w:w="0" w:type="dxa"/>
              <w:right w:w="15" w:type="dxa"/>
            </w:tcMar>
            <w:vAlign w:val="center"/>
          </w:tcPr>
          <w:p w14:paraId="678C0C12">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手术治疗车</w:t>
            </w:r>
          </w:p>
        </w:tc>
        <w:tc>
          <w:tcPr>
            <w:tcW w:w="868" w:type="dxa"/>
            <w:noWrap/>
            <w:tcMar>
              <w:top w:w="15" w:type="dxa"/>
              <w:left w:w="15" w:type="dxa"/>
              <w:bottom w:w="0" w:type="dxa"/>
              <w:right w:w="15" w:type="dxa"/>
            </w:tcMar>
            <w:vAlign w:val="center"/>
          </w:tcPr>
          <w:p w14:paraId="5E8C70FD">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1辆</w:t>
            </w:r>
          </w:p>
        </w:tc>
        <w:tc>
          <w:tcPr>
            <w:tcW w:w="2062" w:type="dxa"/>
            <w:vMerge w:val="continue"/>
            <w:noWrap/>
            <w:tcMar>
              <w:top w:w="15" w:type="dxa"/>
              <w:left w:w="15" w:type="dxa"/>
              <w:bottom w:w="0" w:type="dxa"/>
              <w:right w:w="15" w:type="dxa"/>
            </w:tcMar>
            <w:vAlign w:val="center"/>
          </w:tcPr>
          <w:p w14:paraId="6258A4C6">
            <w:pP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1778" w:type="dxa"/>
            <w:vMerge w:val="continue"/>
            <w:noWrap/>
            <w:vAlign w:val="center"/>
          </w:tcPr>
          <w:p w14:paraId="5FD3C060">
            <w:pPr>
              <w:tabs>
                <w:tab w:val="left" w:pos="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65" w:type="dxa"/>
            <w:vMerge w:val="continue"/>
            <w:noWrap/>
            <w:vAlign w:val="center"/>
          </w:tcPr>
          <w:p w14:paraId="67695D04">
            <w:pP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r>
      <w:tr w14:paraId="496F2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7" w:hRule="atLeast"/>
          <w:jc w:val="center"/>
        </w:trPr>
        <w:tc>
          <w:tcPr>
            <w:tcW w:w="775" w:type="dxa"/>
            <w:noWrap/>
            <w:tcMar>
              <w:top w:w="15" w:type="dxa"/>
              <w:left w:w="15" w:type="dxa"/>
              <w:bottom w:w="0" w:type="dxa"/>
              <w:right w:w="15" w:type="dxa"/>
            </w:tcMar>
            <w:vAlign w:val="center"/>
          </w:tcPr>
          <w:p w14:paraId="4F35A000">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20</w:t>
            </w:r>
          </w:p>
        </w:tc>
        <w:tc>
          <w:tcPr>
            <w:tcW w:w="2613" w:type="dxa"/>
            <w:noWrap/>
            <w:tcMar>
              <w:top w:w="15" w:type="dxa"/>
              <w:left w:w="15" w:type="dxa"/>
              <w:bottom w:w="0" w:type="dxa"/>
              <w:right w:w="15" w:type="dxa"/>
            </w:tcMar>
            <w:vAlign w:val="center"/>
          </w:tcPr>
          <w:p w14:paraId="21114623">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牙科推车</w:t>
            </w:r>
          </w:p>
        </w:tc>
        <w:tc>
          <w:tcPr>
            <w:tcW w:w="868" w:type="dxa"/>
            <w:noWrap/>
            <w:tcMar>
              <w:top w:w="15" w:type="dxa"/>
              <w:left w:w="15" w:type="dxa"/>
              <w:bottom w:w="0" w:type="dxa"/>
              <w:right w:w="15" w:type="dxa"/>
            </w:tcMar>
            <w:vAlign w:val="center"/>
          </w:tcPr>
          <w:p w14:paraId="0F9FF89F">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8辆</w:t>
            </w:r>
          </w:p>
        </w:tc>
        <w:tc>
          <w:tcPr>
            <w:tcW w:w="2062" w:type="dxa"/>
            <w:vMerge w:val="continue"/>
            <w:noWrap/>
            <w:tcMar>
              <w:top w:w="15" w:type="dxa"/>
              <w:left w:w="15" w:type="dxa"/>
              <w:bottom w:w="0" w:type="dxa"/>
              <w:right w:w="15" w:type="dxa"/>
            </w:tcMar>
            <w:vAlign w:val="center"/>
          </w:tcPr>
          <w:p w14:paraId="4416DC88">
            <w:pP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1778" w:type="dxa"/>
            <w:vMerge w:val="continue"/>
            <w:noWrap/>
            <w:vAlign w:val="center"/>
          </w:tcPr>
          <w:p w14:paraId="7CE18CC6">
            <w:pPr>
              <w:tabs>
                <w:tab w:val="left" w:pos="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65" w:type="dxa"/>
            <w:vMerge w:val="continue"/>
            <w:noWrap/>
            <w:vAlign w:val="center"/>
          </w:tcPr>
          <w:p w14:paraId="5EDB7CA8">
            <w:pP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r>
      <w:tr w14:paraId="79BFE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7" w:hRule="atLeast"/>
          <w:jc w:val="center"/>
        </w:trPr>
        <w:tc>
          <w:tcPr>
            <w:tcW w:w="775" w:type="dxa"/>
            <w:noWrap/>
            <w:tcMar>
              <w:top w:w="15" w:type="dxa"/>
              <w:left w:w="15" w:type="dxa"/>
              <w:bottom w:w="0" w:type="dxa"/>
              <w:right w:w="15" w:type="dxa"/>
            </w:tcMar>
            <w:vAlign w:val="center"/>
          </w:tcPr>
          <w:p w14:paraId="6C2E7C2C">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21</w:t>
            </w:r>
          </w:p>
        </w:tc>
        <w:tc>
          <w:tcPr>
            <w:tcW w:w="2613" w:type="dxa"/>
            <w:noWrap/>
            <w:tcMar>
              <w:top w:w="15" w:type="dxa"/>
              <w:left w:w="15" w:type="dxa"/>
              <w:bottom w:w="0" w:type="dxa"/>
              <w:right w:w="15" w:type="dxa"/>
            </w:tcMar>
            <w:vAlign w:val="center"/>
          </w:tcPr>
          <w:p w14:paraId="5645E09D">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移动查房车（不带电脑）</w:t>
            </w:r>
          </w:p>
        </w:tc>
        <w:tc>
          <w:tcPr>
            <w:tcW w:w="868" w:type="dxa"/>
            <w:noWrap/>
            <w:tcMar>
              <w:top w:w="15" w:type="dxa"/>
              <w:left w:w="15" w:type="dxa"/>
              <w:bottom w:w="0" w:type="dxa"/>
              <w:right w:w="15" w:type="dxa"/>
            </w:tcMar>
            <w:vAlign w:val="center"/>
          </w:tcPr>
          <w:p w14:paraId="3496BB5D">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10辆</w:t>
            </w:r>
          </w:p>
        </w:tc>
        <w:tc>
          <w:tcPr>
            <w:tcW w:w="2062" w:type="dxa"/>
            <w:vMerge w:val="continue"/>
            <w:noWrap/>
            <w:tcMar>
              <w:top w:w="15" w:type="dxa"/>
              <w:left w:w="15" w:type="dxa"/>
              <w:bottom w:w="0" w:type="dxa"/>
              <w:right w:w="15" w:type="dxa"/>
            </w:tcMar>
            <w:vAlign w:val="center"/>
          </w:tcPr>
          <w:p w14:paraId="0697AAB8">
            <w:pP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1778" w:type="dxa"/>
            <w:vMerge w:val="continue"/>
            <w:noWrap/>
            <w:vAlign w:val="center"/>
          </w:tcPr>
          <w:p w14:paraId="649E8E98">
            <w:pPr>
              <w:tabs>
                <w:tab w:val="left" w:pos="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65" w:type="dxa"/>
            <w:vMerge w:val="continue"/>
            <w:noWrap/>
            <w:vAlign w:val="center"/>
          </w:tcPr>
          <w:p w14:paraId="2E30FEC4">
            <w:pP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r>
      <w:tr w14:paraId="5D3BB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7" w:hRule="atLeast"/>
          <w:jc w:val="center"/>
        </w:trPr>
        <w:tc>
          <w:tcPr>
            <w:tcW w:w="775" w:type="dxa"/>
            <w:noWrap/>
            <w:tcMar>
              <w:top w:w="15" w:type="dxa"/>
              <w:left w:w="15" w:type="dxa"/>
              <w:bottom w:w="0" w:type="dxa"/>
              <w:right w:w="15" w:type="dxa"/>
            </w:tcMar>
            <w:vAlign w:val="center"/>
          </w:tcPr>
          <w:p w14:paraId="08FBEACD">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22</w:t>
            </w:r>
          </w:p>
        </w:tc>
        <w:tc>
          <w:tcPr>
            <w:tcW w:w="2613" w:type="dxa"/>
            <w:noWrap/>
            <w:tcMar>
              <w:top w:w="15" w:type="dxa"/>
              <w:left w:w="15" w:type="dxa"/>
              <w:bottom w:w="0" w:type="dxa"/>
              <w:right w:w="15" w:type="dxa"/>
            </w:tcMar>
            <w:vAlign w:val="center"/>
          </w:tcPr>
          <w:p w14:paraId="735162F7">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治疗车（三层抽屉）</w:t>
            </w:r>
          </w:p>
        </w:tc>
        <w:tc>
          <w:tcPr>
            <w:tcW w:w="868" w:type="dxa"/>
            <w:noWrap/>
            <w:tcMar>
              <w:top w:w="15" w:type="dxa"/>
              <w:left w:w="15" w:type="dxa"/>
              <w:bottom w:w="0" w:type="dxa"/>
              <w:right w:w="15" w:type="dxa"/>
            </w:tcMar>
            <w:vAlign w:val="center"/>
          </w:tcPr>
          <w:p w14:paraId="25DB35E5">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32辆</w:t>
            </w:r>
          </w:p>
        </w:tc>
        <w:tc>
          <w:tcPr>
            <w:tcW w:w="2062" w:type="dxa"/>
            <w:vMerge w:val="continue"/>
            <w:noWrap/>
            <w:tcMar>
              <w:top w:w="15" w:type="dxa"/>
              <w:left w:w="15" w:type="dxa"/>
              <w:bottom w:w="0" w:type="dxa"/>
              <w:right w:w="15" w:type="dxa"/>
            </w:tcMar>
            <w:vAlign w:val="center"/>
          </w:tcPr>
          <w:p w14:paraId="57C181FE">
            <w:pP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1778" w:type="dxa"/>
            <w:vMerge w:val="continue"/>
            <w:noWrap/>
            <w:vAlign w:val="center"/>
          </w:tcPr>
          <w:p w14:paraId="05271226">
            <w:pPr>
              <w:tabs>
                <w:tab w:val="left" w:pos="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65" w:type="dxa"/>
            <w:vMerge w:val="continue"/>
            <w:noWrap/>
            <w:vAlign w:val="center"/>
          </w:tcPr>
          <w:p w14:paraId="6A4296E9">
            <w:pP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r>
      <w:tr w14:paraId="7357B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7" w:hRule="atLeast"/>
          <w:jc w:val="center"/>
        </w:trPr>
        <w:tc>
          <w:tcPr>
            <w:tcW w:w="775" w:type="dxa"/>
            <w:noWrap/>
            <w:tcMar>
              <w:top w:w="15" w:type="dxa"/>
              <w:left w:w="15" w:type="dxa"/>
              <w:bottom w:w="0" w:type="dxa"/>
              <w:right w:w="15" w:type="dxa"/>
            </w:tcMar>
            <w:vAlign w:val="center"/>
          </w:tcPr>
          <w:p w14:paraId="6BF9B468">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23</w:t>
            </w:r>
          </w:p>
        </w:tc>
        <w:tc>
          <w:tcPr>
            <w:tcW w:w="2613" w:type="dxa"/>
            <w:noWrap/>
            <w:tcMar>
              <w:top w:w="15" w:type="dxa"/>
              <w:left w:w="15" w:type="dxa"/>
              <w:bottom w:w="0" w:type="dxa"/>
              <w:right w:w="15" w:type="dxa"/>
            </w:tcMar>
            <w:vAlign w:val="center"/>
          </w:tcPr>
          <w:p w14:paraId="478392B7">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发药车</w:t>
            </w:r>
          </w:p>
        </w:tc>
        <w:tc>
          <w:tcPr>
            <w:tcW w:w="868" w:type="dxa"/>
            <w:noWrap/>
            <w:tcMar>
              <w:top w:w="15" w:type="dxa"/>
              <w:left w:w="15" w:type="dxa"/>
              <w:bottom w:w="0" w:type="dxa"/>
              <w:right w:w="15" w:type="dxa"/>
            </w:tcMar>
            <w:vAlign w:val="center"/>
          </w:tcPr>
          <w:p w14:paraId="629C3A6B">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8辆</w:t>
            </w:r>
          </w:p>
        </w:tc>
        <w:tc>
          <w:tcPr>
            <w:tcW w:w="2062" w:type="dxa"/>
            <w:vMerge w:val="continue"/>
            <w:noWrap/>
            <w:tcMar>
              <w:top w:w="15" w:type="dxa"/>
              <w:left w:w="15" w:type="dxa"/>
              <w:bottom w:w="0" w:type="dxa"/>
              <w:right w:w="15" w:type="dxa"/>
            </w:tcMar>
            <w:vAlign w:val="center"/>
          </w:tcPr>
          <w:p w14:paraId="58810781">
            <w:pP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1778" w:type="dxa"/>
            <w:vMerge w:val="continue"/>
            <w:noWrap/>
            <w:vAlign w:val="center"/>
          </w:tcPr>
          <w:p w14:paraId="2B8D9000">
            <w:pPr>
              <w:tabs>
                <w:tab w:val="left" w:pos="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65" w:type="dxa"/>
            <w:vMerge w:val="continue"/>
            <w:noWrap/>
            <w:vAlign w:val="center"/>
          </w:tcPr>
          <w:p w14:paraId="56ED96FF">
            <w:pP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r>
      <w:tr w14:paraId="007CF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7" w:hRule="atLeast"/>
          <w:jc w:val="center"/>
        </w:trPr>
        <w:tc>
          <w:tcPr>
            <w:tcW w:w="775" w:type="dxa"/>
            <w:noWrap/>
            <w:tcMar>
              <w:top w:w="15" w:type="dxa"/>
              <w:left w:w="15" w:type="dxa"/>
              <w:bottom w:w="0" w:type="dxa"/>
              <w:right w:w="15" w:type="dxa"/>
            </w:tcMar>
            <w:vAlign w:val="center"/>
          </w:tcPr>
          <w:p w14:paraId="6B1D5CB2">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24</w:t>
            </w:r>
          </w:p>
        </w:tc>
        <w:tc>
          <w:tcPr>
            <w:tcW w:w="2613" w:type="dxa"/>
            <w:noWrap/>
            <w:tcMar>
              <w:top w:w="15" w:type="dxa"/>
              <w:left w:w="15" w:type="dxa"/>
              <w:bottom w:w="0" w:type="dxa"/>
              <w:right w:w="15" w:type="dxa"/>
            </w:tcMar>
            <w:vAlign w:val="center"/>
          </w:tcPr>
          <w:p w14:paraId="3AA0E782">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污物车</w:t>
            </w:r>
          </w:p>
        </w:tc>
        <w:tc>
          <w:tcPr>
            <w:tcW w:w="868" w:type="dxa"/>
            <w:noWrap/>
            <w:tcMar>
              <w:top w:w="15" w:type="dxa"/>
              <w:left w:w="15" w:type="dxa"/>
              <w:bottom w:w="0" w:type="dxa"/>
              <w:right w:w="15" w:type="dxa"/>
            </w:tcMar>
            <w:vAlign w:val="center"/>
          </w:tcPr>
          <w:p w14:paraId="021BFC27">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4辆</w:t>
            </w:r>
          </w:p>
        </w:tc>
        <w:tc>
          <w:tcPr>
            <w:tcW w:w="2062" w:type="dxa"/>
            <w:vMerge w:val="continue"/>
            <w:noWrap/>
            <w:tcMar>
              <w:top w:w="15" w:type="dxa"/>
              <w:left w:w="15" w:type="dxa"/>
              <w:bottom w:w="0" w:type="dxa"/>
              <w:right w:w="15" w:type="dxa"/>
            </w:tcMar>
            <w:vAlign w:val="center"/>
          </w:tcPr>
          <w:p w14:paraId="583D4F27">
            <w:pP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1778" w:type="dxa"/>
            <w:vMerge w:val="continue"/>
            <w:noWrap/>
            <w:vAlign w:val="center"/>
          </w:tcPr>
          <w:p w14:paraId="51308D9E">
            <w:pPr>
              <w:tabs>
                <w:tab w:val="left" w:pos="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65" w:type="dxa"/>
            <w:vMerge w:val="continue"/>
            <w:noWrap/>
            <w:vAlign w:val="center"/>
          </w:tcPr>
          <w:p w14:paraId="4699F1E4">
            <w:pP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r>
      <w:tr w14:paraId="66EAF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7" w:hRule="atLeast"/>
          <w:jc w:val="center"/>
        </w:trPr>
        <w:tc>
          <w:tcPr>
            <w:tcW w:w="775" w:type="dxa"/>
            <w:noWrap/>
            <w:tcMar>
              <w:top w:w="15" w:type="dxa"/>
              <w:left w:w="15" w:type="dxa"/>
              <w:bottom w:w="0" w:type="dxa"/>
              <w:right w:w="15" w:type="dxa"/>
            </w:tcMar>
            <w:vAlign w:val="center"/>
          </w:tcPr>
          <w:p w14:paraId="07AC6876">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25</w:t>
            </w:r>
          </w:p>
        </w:tc>
        <w:tc>
          <w:tcPr>
            <w:tcW w:w="2613" w:type="dxa"/>
            <w:noWrap/>
            <w:tcMar>
              <w:top w:w="15" w:type="dxa"/>
              <w:left w:w="15" w:type="dxa"/>
              <w:bottom w:w="0" w:type="dxa"/>
              <w:right w:w="15" w:type="dxa"/>
            </w:tcMar>
            <w:vAlign w:val="center"/>
          </w:tcPr>
          <w:p w14:paraId="674268BC">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不锈钢治疗车</w:t>
            </w:r>
          </w:p>
        </w:tc>
        <w:tc>
          <w:tcPr>
            <w:tcW w:w="868" w:type="dxa"/>
            <w:noWrap/>
            <w:tcMar>
              <w:top w:w="15" w:type="dxa"/>
              <w:left w:w="15" w:type="dxa"/>
              <w:bottom w:w="0" w:type="dxa"/>
              <w:right w:w="15" w:type="dxa"/>
            </w:tcMar>
            <w:vAlign w:val="center"/>
          </w:tcPr>
          <w:p w14:paraId="2111AEAD">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25辆</w:t>
            </w:r>
          </w:p>
        </w:tc>
        <w:tc>
          <w:tcPr>
            <w:tcW w:w="2062" w:type="dxa"/>
            <w:vMerge w:val="continue"/>
            <w:noWrap/>
            <w:tcMar>
              <w:top w:w="15" w:type="dxa"/>
              <w:left w:w="15" w:type="dxa"/>
              <w:bottom w:w="0" w:type="dxa"/>
              <w:right w:w="15" w:type="dxa"/>
            </w:tcMar>
            <w:vAlign w:val="center"/>
          </w:tcPr>
          <w:p w14:paraId="27FC636A">
            <w:pP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1778" w:type="dxa"/>
            <w:vMerge w:val="continue"/>
            <w:noWrap/>
            <w:vAlign w:val="center"/>
          </w:tcPr>
          <w:p w14:paraId="6C0F55B2">
            <w:pPr>
              <w:tabs>
                <w:tab w:val="left" w:pos="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65" w:type="dxa"/>
            <w:vMerge w:val="continue"/>
            <w:noWrap/>
            <w:vAlign w:val="center"/>
          </w:tcPr>
          <w:p w14:paraId="00D4FF9D">
            <w:pP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r>
      <w:tr w14:paraId="18CE6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7" w:hRule="atLeast"/>
          <w:jc w:val="center"/>
        </w:trPr>
        <w:tc>
          <w:tcPr>
            <w:tcW w:w="775" w:type="dxa"/>
            <w:noWrap/>
            <w:tcMar>
              <w:top w:w="15" w:type="dxa"/>
              <w:left w:w="15" w:type="dxa"/>
              <w:bottom w:w="0" w:type="dxa"/>
              <w:right w:w="15" w:type="dxa"/>
            </w:tcMar>
            <w:vAlign w:val="center"/>
          </w:tcPr>
          <w:p w14:paraId="50234AE7">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26</w:t>
            </w:r>
          </w:p>
        </w:tc>
        <w:tc>
          <w:tcPr>
            <w:tcW w:w="2613" w:type="dxa"/>
            <w:noWrap/>
            <w:tcMar>
              <w:top w:w="15" w:type="dxa"/>
              <w:left w:w="15" w:type="dxa"/>
              <w:bottom w:w="0" w:type="dxa"/>
              <w:right w:w="15" w:type="dxa"/>
            </w:tcMar>
            <w:vAlign w:val="center"/>
          </w:tcPr>
          <w:p w14:paraId="4224A1A0">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冲洗车</w:t>
            </w:r>
          </w:p>
        </w:tc>
        <w:tc>
          <w:tcPr>
            <w:tcW w:w="868" w:type="dxa"/>
            <w:noWrap/>
            <w:tcMar>
              <w:top w:w="15" w:type="dxa"/>
              <w:left w:w="15" w:type="dxa"/>
              <w:bottom w:w="0" w:type="dxa"/>
              <w:right w:w="15" w:type="dxa"/>
            </w:tcMar>
            <w:vAlign w:val="center"/>
          </w:tcPr>
          <w:p w14:paraId="645C0998">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1辆</w:t>
            </w:r>
          </w:p>
        </w:tc>
        <w:tc>
          <w:tcPr>
            <w:tcW w:w="2062" w:type="dxa"/>
            <w:vMerge w:val="continue"/>
            <w:noWrap/>
            <w:tcMar>
              <w:top w:w="15" w:type="dxa"/>
              <w:left w:w="15" w:type="dxa"/>
              <w:bottom w:w="0" w:type="dxa"/>
              <w:right w:w="15" w:type="dxa"/>
            </w:tcMar>
            <w:vAlign w:val="center"/>
          </w:tcPr>
          <w:p w14:paraId="1EC98B5E">
            <w:pP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1778" w:type="dxa"/>
            <w:vMerge w:val="continue"/>
            <w:noWrap/>
            <w:vAlign w:val="center"/>
          </w:tcPr>
          <w:p w14:paraId="71BC46ED">
            <w:pPr>
              <w:tabs>
                <w:tab w:val="left" w:pos="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65" w:type="dxa"/>
            <w:vMerge w:val="continue"/>
            <w:noWrap/>
            <w:vAlign w:val="center"/>
          </w:tcPr>
          <w:p w14:paraId="3C33ABE4">
            <w:pP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r>
      <w:tr w14:paraId="1910E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7" w:hRule="atLeast"/>
          <w:jc w:val="center"/>
        </w:trPr>
        <w:tc>
          <w:tcPr>
            <w:tcW w:w="775" w:type="dxa"/>
            <w:noWrap/>
            <w:tcMar>
              <w:top w:w="15" w:type="dxa"/>
              <w:left w:w="15" w:type="dxa"/>
              <w:bottom w:w="0" w:type="dxa"/>
              <w:right w:w="15" w:type="dxa"/>
            </w:tcMar>
            <w:vAlign w:val="center"/>
          </w:tcPr>
          <w:p w14:paraId="6A7F0C2F">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27</w:t>
            </w:r>
          </w:p>
        </w:tc>
        <w:tc>
          <w:tcPr>
            <w:tcW w:w="2613" w:type="dxa"/>
            <w:noWrap/>
            <w:tcMar>
              <w:top w:w="15" w:type="dxa"/>
              <w:left w:w="15" w:type="dxa"/>
              <w:bottom w:w="0" w:type="dxa"/>
              <w:right w:w="15" w:type="dxa"/>
            </w:tcMar>
            <w:vAlign w:val="center"/>
          </w:tcPr>
          <w:p w14:paraId="7DAF76F5">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移动护理车（不带电脑）</w:t>
            </w:r>
          </w:p>
        </w:tc>
        <w:tc>
          <w:tcPr>
            <w:tcW w:w="868" w:type="dxa"/>
            <w:noWrap/>
            <w:tcMar>
              <w:top w:w="15" w:type="dxa"/>
              <w:left w:w="15" w:type="dxa"/>
              <w:bottom w:w="0" w:type="dxa"/>
              <w:right w:w="15" w:type="dxa"/>
            </w:tcMar>
            <w:vAlign w:val="center"/>
          </w:tcPr>
          <w:p w14:paraId="26E46841">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4辆</w:t>
            </w:r>
          </w:p>
        </w:tc>
        <w:tc>
          <w:tcPr>
            <w:tcW w:w="2062" w:type="dxa"/>
            <w:vMerge w:val="continue"/>
            <w:noWrap/>
            <w:tcMar>
              <w:top w:w="15" w:type="dxa"/>
              <w:left w:w="15" w:type="dxa"/>
              <w:bottom w:w="0" w:type="dxa"/>
              <w:right w:w="15" w:type="dxa"/>
            </w:tcMar>
            <w:vAlign w:val="center"/>
          </w:tcPr>
          <w:p w14:paraId="4D3AE2D0">
            <w:pP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1778" w:type="dxa"/>
            <w:vMerge w:val="continue"/>
            <w:noWrap/>
            <w:vAlign w:val="center"/>
          </w:tcPr>
          <w:p w14:paraId="5D5058B7">
            <w:pPr>
              <w:tabs>
                <w:tab w:val="left" w:pos="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65" w:type="dxa"/>
            <w:vMerge w:val="continue"/>
            <w:noWrap/>
            <w:vAlign w:val="center"/>
          </w:tcPr>
          <w:p w14:paraId="5F1A4240">
            <w:pP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r>
      <w:tr w14:paraId="54995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2" w:hRule="atLeast"/>
          <w:jc w:val="center"/>
        </w:trPr>
        <w:tc>
          <w:tcPr>
            <w:tcW w:w="4256" w:type="dxa"/>
            <w:gridSpan w:val="3"/>
            <w:noWrap/>
            <w:tcMar>
              <w:top w:w="15" w:type="dxa"/>
              <w:left w:w="15" w:type="dxa"/>
              <w:bottom w:w="0" w:type="dxa"/>
              <w:right w:w="15" w:type="dxa"/>
            </w:tcMar>
            <w:vAlign w:val="center"/>
          </w:tcPr>
          <w:p w14:paraId="76445E01">
            <w:pPr>
              <w:tabs>
                <w:tab w:val="left" w:pos="0"/>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（永兴街道社区卫生服务中心）</w:t>
            </w:r>
          </w:p>
        </w:tc>
        <w:tc>
          <w:tcPr>
            <w:tcW w:w="2062" w:type="dxa"/>
            <w:vMerge w:val="continue"/>
            <w:noWrap/>
            <w:tcMar>
              <w:top w:w="15" w:type="dxa"/>
              <w:left w:w="15" w:type="dxa"/>
              <w:bottom w:w="0" w:type="dxa"/>
              <w:right w:w="15" w:type="dxa"/>
            </w:tcMar>
            <w:vAlign w:val="center"/>
          </w:tcPr>
          <w:p w14:paraId="57D9A921">
            <w:pP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1778" w:type="dxa"/>
            <w:vMerge w:val="continue"/>
            <w:noWrap/>
            <w:vAlign w:val="center"/>
          </w:tcPr>
          <w:p w14:paraId="4C5B3263">
            <w:pPr>
              <w:tabs>
                <w:tab w:val="left" w:pos="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65" w:type="dxa"/>
            <w:vMerge w:val="continue"/>
            <w:noWrap/>
            <w:vAlign w:val="center"/>
          </w:tcPr>
          <w:p w14:paraId="5CF9CC14">
            <w:pP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r>
      <w:tr w14:paraId="3A384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2" w:hRule="atLeast"/>
          <w:jc w:val="center"/>
        </w:trPr>
        <w:tc>
          <w:tcPr>
            <w:tcW w:w="775" w:type="dxa"/>
            <w:noWrap/>
            <w:tcMar>
              <w:top w:w="15" w:type="dxa"/>
              <w:left w:w="15" w:type="dxa"/>
              <w:bottom w:w="0" w:type="dxa"/>
              <w:right w:w="15" w:type="dxa"/>
            </w:tcMar>
            <w:vAlign w:val="center"/>
          </w:tcPr>
          <w:p w14:paraId="7FC1483A">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2613" w:type="dxa"/>
            <w:noWrap/>
            <w:tcMar>
              <w:top w:w="15" w:type="dxa"/>
              <w:left w:w="15" w:type="dxa"/>
              <w:bottom w:w="0" w:type="dxa"/>
              <w:right w:w="15" w:type="dxa"/>
            </w:tcMar>
            <w:vAlign w:val="center"/>
          </w:tcPr>
          <w:p w14:paraId="6897DABD">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妇科检查床</w:t>
            </w:r>
            <w:r>
              <w:rPr>
                <w:rFonts w:hint="eastAsia" w:ascii="宋体" w:hAnsi="宋体" w:eastAsia="宋体" w:cs="宋体"/>
                <w:color w:val="000000" w:themeColor="text1"/>
                <w:sz w:val="24"/>
                <w:szCs w:val="24"/>
                <w:highlight w:val="none"/>
                <w14:textFill>
                  <w14:solidFill>
                    <w14:schemeClr w14:val="tx1"/>
                  </w14:solidFill>
                </w14:textFill>
              </w:rPr>
              <w:t>（固定）</w:t>
            </w:r>
          </w:p>
        </w:tc>
        <w:tc>
          <w:tcPr>
            <w:tcW w:w="868" w:type="dxa"/>
            <w:noWrap/>
            <w:tcMar>
              <w:top w:w="15" w:type="dxa"/>
              <w:left w:w="15" w:type="dxa"/>
              <w:bottom w:w="0" w:type="dxa"/>
              <w:right w:w="15" w:type="dxa"/>
            </w:tcMar>
            <w:vAlign w:val="center"/>
          </w:tcPr>
          <w:p w14:paraId="02D53EE6">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1张</w:t>
            </w:r>
          </w:p>
        </w:tc>
        <w:tc>
          <w:tcPr>
            <w:tcW w:w="2062" w:type="dxa"/>
            <w:vMerge w:val="continue"/>
            <w:noWrap/>
            <w:tcMar>
              <w:top w:w="15" w:type="dxa"/>
              <w:left w:w="15" w:type="dxa"/>
              <w:bottom w:w="0" w:type="dxa"/>
              <w:right w:w="15" w:type="dxa"/>
            </w:tcMar>
            <w:vAlign w:val="center"/>
          </w:tcPr>
          <w:p w14:paraId="519ED0A9">
            <w:pP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1778" w:type="dxa"/>
            <w:vMerge w:val="continue"/>
            <w:noWrap/>
            <w:vAlign w:val="center"/>
          </w:tcPr>
          <w:p w14:paraId="4406DD02">
            <w:pPr>
              <w:tabs>
                <w:tab w:val="left" w:pos="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65" w:type="dxa"/>
            <w:vMerge w:val="continue"/>
            <w:noWrap/>
            <w:vAlign w:val="center"/>
          </w:tcPr>
          <w:p w14:paraId="2159DA6C">
            <w:pP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r>
      <w:tr w14:paraId="3468B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2" w:hRule="atLeast"/>
          <w:jc w:val="center"/>
        </w:trPr>
        <w:tc>
          <w:tcPr>
            <w:tcW w:w="775" w:type="dxa"/>
            <w:noWrap/>
            <w:tcMar>
              <w:top w:w="15" w:type="dxa"/>
              <w:left w:w="15" w:type="dxa"/>
              <w:bottom w:w="0" w:type="dxa"/>
              <w:right w:w="15" w:type="dxa"/>
            </w:tcMar>
            <w:vAlign w:val="center"/>
          </w:tcPr>
          <w:p w14:paraId="0CF89FBB">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2613" w:type="dxa"/>
            <w:noWrap/>
            <w:tcMar>
              <w:top w:w="15" w:type="dxa"/>
              <w:left w:w="15" w:type="dxa"/>
              <w:bottom w:w="0" w:type="dxa"/>
              <w:right w:w="15" w:type="dxa"/>
            </w:tcMar>
            <w:vAlign w:val="center"/>
          </w:tcPr>
          <w:p w14:paraId="16CCD17F">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普通电动床</w:t>
            </w:r>
          </w:p>
        </w:tc>
        <w:tc>
          <w:tcPr>
            <w:tcW w:w="868" w:type="dxa"/>
            <w:noWrap/>
            <w:tcMar>
              <w:top w:w="15" w:type="dxa"/>
              <w:left w:w="15" w:type="dxa"/>
              <w:bottom w:w="0" w:type="dxa"/>
              <w:right w:w="15" w:type="dxa"/>
            </w:tcMar>
            <w:vAlign w:val="center"/>
          </w:tcPr>
          <w:p w14:paraId="0E7D92A9">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50张</w:t>
            </w:r>
          </w:p>
        </w:tc>
        <w:tc>
          <w:tcPr>
            <w:tcW w:w="2062" w:type="dxa"/>
            <w:vMerge w:val="continue"/>
            <w:noWrap/>
            <w:tcMar>
              <w:top w:w="15" w:type="dxa"/>
              <w:left w:w="15" w:type="dxa"/>
              <w:bottom w:w="0" w:type="dxa"/>
              <w:right w:w="15" w:type="dxa"/>
            </w:tcMar>
            <w:vAlign w:val="center"/>
          </w:tcPr>
          <w:p w14:paraId="56135FFD">
            <w:pP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1778" w:type="dxa"/>
            <w:vMerge w:val="continue"/>
            <w:noWrap/>
            <w:vAlign w:val="center"/>
          </w:tcPr>
          <w:p w14:paraId="34036E6F">
            <w:pPr>
              <w:tabs>
                <w:tab w:val="left" w:pos="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65" w:type="dxa"/>
            <w:vMerge w:val="continue"/>
            <w:noWrap/>
            <w:vAlign w:val="center"/>
          </w:tcPr>
          <w:p w14:paraId="11B1834B">
            <w:pP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r>
      <w:tr w14:paraId="6182E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2" w:hRule="atLeast"/>
          <w:jc w:val="center"/>
        </w:trPr>
        <w:tc>
          <w:tcPr>
            <w:tcW w:w="775" w:type="dxa"/>
            <w:noWrap/>
            <w:tcMar>
              <w:top w:w="15" w:type="dxa"/>
              <w:left w:w="15" w:type="dxa"/>
              <w:bottom w:w="0" w:type="dxa"/>
              <w:right w:w="15" w:type="dxa"/>
            </w:tcMar>
            <w:vAlign w:val="center"/>
          </w:tcPr>
          <w:p w14:paraId="0EEA1DD8">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c>
          <w:tcPr>
            <w:tcW w:w="2613" w:type="dxa"/>
            <w:noWrap/>
            <w:tcMar>
              <w:top w:w="15" w:type="dxa"/>
              <w:left w:w="15" w:type="dxa"/>
              <w:bottom w:w="0" w:type="dxa"/>
              <w:right w:w="15" w:type="dxa"/>
            </w:tcMar>
            <w:vAlign w:val="center"/>
          </w:tcPr>
          <w:p w14:paraId="7D5C49F7">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Style w:val="332"/>
                <w:rFonts w:hint="eastAsia" w:ascii="宋体" w:hAnsi="宋体" w:eastAsia="宋体" w:cs="宋体"/>
                <w:color w:val="000000" w:themeColor="text1"/>
                <w:sz w:val="24"/>
                <w:szCs w:val="24"/>
                <w:highlight w:val="none"/>
                <w14:textFill>
                  <w14:solidFill>
                    <w14:schemeClr w14:val="tx1"/>
                  </w14:solidFill>
                </w14:textFill>
              </w:rPr>
              <w:t>治疗车</w:t>
            </w:r>
            <w:r>
              <w:rPr>
                <w:rFonts w:hint="eastAsia" w:ascii="宋体" w:hAnsi="宋体" w:eastAsia="宋体" w:cs="宋体"/>
                <w:color w:val="000000" w:themeColor="text1"/>
                <w:kern w:val="0"/>
                <w:sz w:val="24"/>
                <w:szCs w:val="24"/>
                <w:highlight w:val="none"/>
                <w14:textFill>
                  <w14:solidFill>
                    <w14:schemeClr w14:val="tx1"/>
                  </w14:solidFill>
                </w14:textFill>
              </w:rPr>
              <w:t>（三层抽屉）</w:t>
            </w:r>
          </w:p>
        </w:tc>
        <w:tc>
          <w:tcPr>
            <w:tcW w:w="868" w:type="dxa"/>
            <w:noWrap/>
            <w:tcMar>
              <w:top w:w="15" w:type="dxa"/>
              <w:left w:w="15" w:type="dxa"/>
              <w:bottom w:w="0" w:type="dxa"/>
              <w:right w:w="15" w:type="dxa"/>
            </w:tcMar>
            <w:vAlign w:val="center"/>
          </w:tcPr>
          <w:p w14:paraId="2E86076A">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2辆</w:t>
            </w:r>
          </w:p>
        </w:tc>
        <w:tc>
          <w:tcPr>
            <w:tcW w:w="2062" w:type="dxa"/>
            <w:vMerge w:val="continue"/>
            <w:noWrap/>
            <w:tcMar>
              <w:top w:w="15" w:type="dxa"/>
              <w:left w:w="15" w:type="dxa"/>
              <w:bottom w:w="0" w:type="dxa"/>
              <w:right w:w="15" w:type="dxa"/>
            </w:tcMar>
            <w:vAlign w:val="center"/>
          </w:tcPr>
          <w:p w14:paraId="378B2797">
            <w:pP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1778" w:type="dxa"/>
            <w:vMerge w:val="continue"/>
            <w:noWrap/>
            <w:vAlign w:val="center"/>
          </w:tcPr>
          <w:p w14:paraId="08DF1124">
            <w:pPr>
              <w:tabs>
                <w:tab w:val="left" w:pos="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65" w:type="dxa"/>
            <w:vMerge w:val="continue"/>
            <w:noWrap/>
            <w:vAlign w:val="center"/>
          </w:tcPr>
          <w:p w14:paraId="45164841">
            <w:pP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r>
      <w:tr w14:paraId="14425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2" w:hRule="atLeast"/>
          <w:jc w:val="center"/>
        </w:trPr>
        <w:tc>
          <w:tcPr>
            <w:tcW w:w="775" w:type="dxa"/>
            <w:noWrap/>
            <w:tcMar>
              <w:top w:w="15" w:type="dxa"/>
              <w:left w:w="15" w:type="dxa"/>
              <w:bottom w:w="0" w:type="dxa"/>
              <w:right w:w="15" w:type="dxa"/>
            </w:tcMar>
            <w:vAlign w:val="center"/>
          </w:tcPr>
          <w:p w14:paraId="0EEC0951">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w:t>
            </w:r>
          </w:p>
        </w:tc>
        <w:tc>
          <w:tcPr>
            <w:tcW w:w="2613" w:type="dxa"/>
            <w:noWrap/>
            <w:tcMar>
              <w:top w:w="15" w:type="dxa"/>
              <w:left w:w="15" w:type="dxa"/>
              <w:bottom w:w="0" w:type="dxa"/>
              <w:right w:w="15" w:type="dxa"/>
            </w:tcMar>
            <w:vAlign w:val="center"/>
          </w:tcPr>
          <w:p w14:paraId="083BE492">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病历夹推车</w:t>
            </w:r>
          </w:p>
        </w:tc>
        <w:tc>
          <w:tcPr>
            <w:tcW w:w="868" w:type="dxa"/>
            <w:noWrap/>
            <w:tcMar>
              <w:top w:w="15" w:type="dxa"/>
              <w:left w:w="15" w:type="dxa"/>
              <w:bottom w:w="0" w:type="dxa"/>
              <w:right w:w="15" w:type="dxa"/>
            </w:tcMar>
            <w:vAlign w:val="center"/>
          </w:tcPr>
          <w:p w14:paraId="04E25BEC">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2辆</w:t>
            </w:r>
          </w:p>
        </w:tc>
        <w:tc>
          <w:tcPr>
            <w:tcW w:w="2062" w:type="dxa"/>
            <w:vMerge w:val="continue"/>
            <w:noWrap/>
            <w:tcMar>
              <w:top w:w="15" w:type="dxa"/>
              <w:left w:w="15" w:type="dxa"/>
              <w:bottom w:w="0" w:type="dxa"/>
              <w:right w:w="15" w:type="dxa"/>
            </w:tcMar>
            <w:vAlign w:val="center"/>
          </w:tcPr>
          <w:p w14:paraId="04FB73F9">
            <w:pP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1778" w:type="dxa"/>
            <w:vMerge w:val="continue"/>
            <w:noWrap/>
            <w:vAlign w:val="center"/>
          </w:tcPr>
          <w:p w14:paraId="59F20C3A">
            <w:pPr>
              <w:tabs>
                <w:tab w:val="left" w:pos="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65" w:type="dxa"/>
            <w:vMerge w:val="continue"/>
            <w:noWrap/>
            <w:vAlign w:val="center"/>
          </w:tcPr>
          <w:p w14:paraId="3370723D">
            <w:pP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r>
      <w:tr w14:paraId="492D0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2" w:hRule="atLeast"/>
          <w:jc w:val="center"/>
        </w:trPr>
        <w:tc>
          <w:tcPr>
            <w:tcW w:w="775" w:type="dxa"/>
            <w:noWrap/>
            <w:tcMar>
              <w:top w:w="15" w:type="dxa"/>
              <w:left w:w="15" w:type="dxa"/>
              <w:bottom w:w="0" w:type="dxa"/>
              <w:right w:w="15" w:type="dxa"/>
            </w:tcMar>
            <w:vAlign w:val="center"/>
          </w:tcPr>
          <w:p w14:paraId="611BDE37">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w:t>
            </w:r>
          </w:p>
        </w:tc>
        <w:tc>
          <w:tcPr>
            <w:tcW w:w="2613" w:type="dxa"/>
            <w:noWrap/>
            <w:tcMar>
              <w:top w:w="15" w:type="dxa"/>
              <w:left w:w="15" w:type="dxa"/>
              <w:bottom w:w="0" w:type="dxa"/>
              <w:right w:w="15" w:type="dxa"/>
            </w:tcMar>
            <w:vAlign w:val="center"/>
          </w:tcPr>
          <w:p w14:paraId="75F6EB43">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Style w:val="332"/>
                <w:rFonts w:hint="eastAsia" w:ascii="宋体" w:hAnsi="宋体" w:eastAsia="宋体" w:cs="宋体"/>
                <w:color w:val="000000" w:themeColor="text1"/>
                <w:sz w:val="24"/>
                <w:szCs w:val="24"/>
                <w:highlight w:val="none"/>
                <w14:textFill>
                  <w14:solidFill>
                    <w14:schemeClr w14:val="tx1"/>
                  </w14:solidFill>
                </w14:textFill>
              </w:rPr>
              <w:t>冲洗车</w:t>
            </w:r>
          </w:p>
        </w:tc>
        <w:tc>
          <w:tcPr>
            <w:tcW w:w="868" w:type="dxa"/>
            <w:noWrap/>
            <w:tcMar>
              <w:top w:w="15" w:type="dxa"/>
              <w:left w:w="15" w:type="dxa"/>
              <w:bottom w:w="0" w:type="dxa"/>
              <w:right w:w="15" w:type="dxa"/>
            </w:tcMar>
            <w:vAlign w:val="center"/>
          </w:tcPr>
          <w:p w14:paraId="2D1D9A33">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4辆</w:t>
            </w:r>
          </w:p>
        </w:tc>
        <w:tc>
          <w:tcPr>
            <w:tcW w:w="2062" w:type="dxa"/>
            <w:vMerge w:val="continue"/>
            <w:noWrap/>
            <w:tcMar>
              <w:top w:w="15" w:type="dxa"/>
              <w:left w:w="15" w:type="dxa"/>
              <w:bottom w:w="0" w:type="dxa"/>
              <w:right w:w="15" w:type="dxa"/>
            </w:tcMar>
            <w:vAlign w:val="center"/>
          </w:tcPr>
          <w:p w14:paraId="397978BA">
            <w:pP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1778" w:type="dxa"/>
            <w:vMerge w:val="continue"/>
            <w:noWrap/>
            <w:vAlign w:val="center"/>
          </w:tcPr>
          <w:p w14:paraId="6EA7C8DA">
            <w:pPr>
              <w:tabs>
                <w:tab w:val="left" w:pos="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65" w:type="dxa"/>
            <w:vMerge w:val="continue"/>
            <w:noWrap/>
            <w:vAlign w:val="center"/>
          </w:tcPr>
          <w:p w14:paraId="4CAC6CEE">
            <w:pP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r>
      <w:tr w14:paraId="28165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2" w:hRule="atLeast"/>
          <w:jc w:val="center"/>
        </w:trPr>
        <w:tc>
          <w:tcPr>
            <w:tcW w:w="775" w:type="dxa"/>
            <w:noWrap/>
            <w:tcMar>
              <w:top w:w="15" w:type="dxa"/>
              <w:left w:w="15" w:type="dxa"/>
              <w:bottom w:w="0" w:type="dxa"/>
              <w:right w:w="15" w:type="dxa"/>
            </w:tcMar>
            <w:vAlign w:val="center"/>
          </w:tcPr>
          <w:p w14:paraId="4B612562">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6</w:t>
            </w:r>
          </w:p>
        </w:tc>
        <w:tc>
          <w:tcPr>
            <w:tcW w:w="2613" w:type="dxa"/>
            <w:noWrap/>
            <w:tcMar>
              <w:top w:w="15" w:type="dxa"/>
              <w:left w:w="15" w:type="dxa"/>
              <w:bottom w:w="0" w:type="dxa"/>
              <w:right w:w="15" w:type="dxa"/>
            </w:tcMar>
            <w:vAlign w:val="center"/>
          </w:tcPr>
          <w:p w14:paraId="0C981578">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发药车</w:t>
            </w:r>
          </w:p>
        </w:tc>
        <w:tc>
          <w:tcPr>
            <w:tcW w:w="868" w:type="dxa"/>
            <w:noWrap/>
            <w:tcMar>
              <w:top w:w="15" w:type="dxa"/>
              <w:left w:w="15" w:type="dxa"/>
              <w:bottom w:w="0" w:type="dxa"/>
              <w:right w:w="15" w:type="dxa"/>
            </w:tcMar>
            <w:vAlign w:val="center"/>
          </w:tcPr>
          <w:p w14:paraId="70C5D351">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1辆</w:t>
            </w:r>
          </w:p>
        </w:tc>
        <w:tc>
          <w:tcPr>
            <w:tcW w:w="2062" w:type="dxa"/>
            <w:vMerge w:val="continue"/>
            <w:noWrap/>
            <w:tcMar>
              <w:top w:w="15" w:type="dxa"/>
              <w:left w:w="15" w:type="dxa"/>
              <w:bottom w:w="0" w:type="dxa"/>
              <w:right w:w="15" w:type="dxa"/>
            </w:tcMar>
            <w:vAlign w:val="center"/>
          </w:tcPr>
          <w:p w14:paraId="34B72826">
            <w:pP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1778" w:type="dxa"/>
            <w:vMerge w:val="continue"/>
            <w:noWrap/>
            <w:vAlign w:val="center"/>
          </w:tcPr>
          <w:p w14:paraId="7500FDFB">
            <w:pPr>
              <w:tabs>
                <w:tab w:val="left" w:pos="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65" w:type="dxa"/>
            <w:vMerge w:val="continue"/>
            <w:noWrap/>
            <w:vAlign w:val="center"/>
          </w:tcPr>
          <w:p w14:paraId="7A5EEB25">
            <w:pP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r>
      <w:tr w14:paraId="3FC1A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2" w:hRule="atLeast"/>
          <w:jc w:val="center"/>
        </w:trPr>
        <w:tc>
          <w:tcPr>
            <w:tcW w:w="775" w:type="dxa"/>
            <w:noWrap/>
            <w:tcMar>
              <w:top w:w="15" w:type="dxa"/>
              <w:left w:w="15" w:type="dxa"/>
              <w:bottom w:w="0" w:type="dxa"/>
              <w:right w:w="15" w:type="dxa"/>
            </w:tcMar>
            <w:vAlign w:val="center"/>
          </w:tcPr>
          <w:p w14:paraId="3B37EC0B">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7</w:t>
            </w:r>
          </w:p>
        </w:tc>
        <w:tc>
          <w:tcPr>
            <w:tcW w:w="2613" w:type="dxa"/>
            <w:noWrap/>
            <w:tcMar>
              <w:top w:w="15" w:type="dxa"/>
              <w:left w:w="15" w:type="dxa"/>
              <w:bottom w:w="0" w:type="dxa"/>
              <w:right w:w="15" w:type="dxa"/>
            </w:tcMar>
            <w:vAlign w:val="center"/>
          </w:tcPr>
          <w:p w14:paraId="18930775">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被服推车</w:t>
            </w:r>
          </w:p>
        </w:tc>
        <w:tc>
          <w:tcPr>
            <w:tcW w:w="868" w:type="dxa"/>
            <w:noWrap/>
            <w:tcMar>
              <w:top w:w="15" w:type="dxa"/>
              <w:left w:w="15" w:type="dxa"/>
              <w:bottom w:w="0" w:type="dxa"/>
              <w:right w:w="15" w:type="dxa"/>
            </w:tcMar>
            <w:vAlign w:val="center"/>
          </w:tcPr>
          <w:p w14:paraId="6A8DD0E5">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2辆</w:t>
            </w:r>
          </w:p>
        </w:tc>
        <w:tc>
          <w:tcPr>
            <w:tcW w:w="2062" w:type="dxa"/>
            <w:vMerge w:val="continue"/>
            <w:noWrap/>
            <w:tcMar>
              <w:top w:w="15" w:type="dxa"/>
              <w:left w:w="15" w:type="dxa"/>
              <w:bottom w:w="0" w:type="dxa"/>
              <w:right w:w="15" w:type="dxa"/>
            </w:tcMar>
            <w:vAlign w:val="center"/>
          </w:tcPr>
          <w:p w14:paraId="66C8B931">
            <w:pP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1778" w:type="dxa"/>
            <w:vMerge w:val="continue"/>
            <w:noWrap/>
            <w:vAlign w:val="center"/>
          </w:tcPr>
          <w:p w14:paraId="5D01A349">
            <w:pPr>
              <w:tabs>
                <w:tab w:val="left" w:pos="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65" w:type="dxa"/>
            <w:vMerge w:val="continue"/>
            <w:noWrap/>
            <w:vAlign w:val="center"/>
          </w:tcPr>
          <w:p w14:paraId="0A4F7E5D">
            <w:pP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r>
      <w:tr w14:paraId="34225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2" w:hRule="atLeast"/>
          <w:jc w:val="center"/>
        </w:trPr>
        <w:tc>
          <w:tcPr>
            <w:tcW w:w="775" w:type="dxa"/>
            <w:noWrap/>
            <w:tcMar>
              <w:top w:w="15" w:type="dxa"/>
              <w:left w:w="15" w:type="dxa"/>
              <w:bottom w:w="0" w:type="dxa"/>
              <w:right w:w="15" w:type="dxa"/>
            </w:tcMar>
            <w:vAlign w:val="center"/>
          </w:tcPr>
          <w:p w14:paraId="73CC0F0D">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8</w:t>
            </w:r>
          </w:p>
        </w:tc>
        <w:tc>
          <w:tcPr>
            <w:tcW w:w="2613" w:type="dxa"/>
            <w:noWrap/>
            <w:tcMar>
              <w:top w:w="15" w:type="dxa"/>
              <w:left w:w="15" w:type="dxa"/>
              <w:bottom w:w="0" w:type="dxa"/>
              <w:right w:w="15" w:type="dxa"/>
            </w:tcMar>
            <w:vAlign w:val="center"/>
          </w:tcPr>
          <w:p w14:paraId="6DD3734F">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麻醉车</w:t>
            </w:r>
          </w:p>
        </w:tc>
        <w:tc>
          <w:tcPr>
            <w:tcW w:w="868" w:type="dxa"/>
            <w:noWrap/>
            <w:tcMar>
              <w:top w:w="15" w:type="dxa"/>
              <w:left w:w="15" w:type="dxa"/>
              <w:bottom w:w="0" w:type="dxa"/>
              <w:right w:w="15" w:type="dxa"/>
            </w:tcMar>
            <w:vAlign w:val="center"/>
          </w:tcPr>
          <w:p w14:paraId="0129E7B8">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1辆</w:t>
            </w:r>
          </w:p>
        </w:tc>
        <w:tc>
          <w:tcPr>
            <w:tcW w:w="2062" w:type="dxa"/>
            <w:vMerge w:val="continue"/>
            <w:noWrap/>
            <w:tcMar>
              <w:top w:w="15" w:type="dxa"/>
              <w:left w:w="15" w:type="dxa"/>
              <w:bottom w:w="0" w:type="dxa"/>
              <w:right w:w="15" w:type="dxa"/>
            </w:tcMar>
            <w:vAlign w:val="center"/>
          </w:tcPr>
          <w:p w14:paraId="7EBCD233">
            <w:pP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1778" w:type="dxa"/>
            <w:vMerge w:val="continue"/>
            <w:noWrap/>
            <w:vAlign w:val="center"/>
          </w:tcPr>
          <w:p w14:paraId="4E54C2C9">
            <w:pPr>
              <w:tabs>
                <w:tab w:val="left" w:pos="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65" w:type="dxa"/>
            <w:vMerge w:val="continue"/>
            <w:noWrap/>
            <w:vAlign w:val="center"/>
          </w:tcPr>
          <w:p w14:paraId="19015A78">
            <w:pP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r>
      <w:tr w14:paraId="5BD3F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2" w:hRule="atLeast"/>
          <w:jc w:val="center"/>
        </w:trPr>
        <w:tc>
          <w:tcPr>
            <w:tcW w:w="775" w:type="dxa"/>
            <w:noWrap/>
            <w:tcMar>
              <w:top w:w="15" w:type="dxa"/>
              <w:left w:w="15" w:type="dxa"/>
              <w:bottom w:w="0" w:type="dxa"/>
              <w:right w:w="15" w:type="dxa"/>
            </w:tcMar>
            <w:vAlign w:val="center"/>
          </w:tcPr>
          <w:p w14:paraId="43EF8A89">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9</w:t>
            </w:r>
          </w:p>
        </w:tc>
        <w:tc>
          <w:tcPr>
            <w:tcW w:w="2613" w:type="dxa"/>
            <w:noWrap/>
            <w:tcMar>
              <w:top w:w="15" w:type="dxa"/>
              <w:left w:w="15" w:type="dxa"/>
              <w:bottom w:w="0" w:type="dxa"/>
              <w:right w:w="15" w:type="dxa"/>
            </w:tcMar>
            <w:vAlign w:val="center"/>
          </w:tcPr>
          <w:p w14:paraId="0A2C6B5C">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牙科推车</w:t>
            </w:r>
          </w:p>
        </w:tc>
        <w:tc>
          <w:tcPr>
            <w:tcW w:w="868" w:type="dxa"/>
            <w:noWrap/>
            <w:tcMar>
              <w:top w:w="15" w:type="dxa"/>
              <w:left w:w="15" w:type="dxa"/>
              <w:bottom w:w="0" w:type="dxa"/>
              <w:right w:w="15" w:type="dxa"/>
            </w:tcMar>
            <w:vAlign w:val="center"/>
          </w:tcPr>
          <w:p w14:paraId="31AE91E2">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2辆</w:t>
            </w:r>
          </w:p>
        </w:tc>
        <w:tc>
          <w:tcPr>
            <w:tcW w:w="2062" w:type="dxa"/>
            <w:vMerge w:val="continue"/>
            <w:noWrap/>
            <w:tcMar>
              <w:top w:w="15" w:type="dxa"/>
              <w:left w:w="15" w:type="dxa"/>
              <w:bottom w:w="0" w:type="dxa"/>
              <w:right w:w="15" w:type="dxa"/>
            </w:tcMar>
            <w:vAlign w:val="center"/>
          </w:tcPr>
          <w:p w14:paraId="6988F2C2">
            <w:pP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1778" w:type="dxa"/>
            <w:vMerge w:val="continue"/>
            <w:noWrap/>
            <w:vAlign w:val="center"/>
          </w:tcPr>
          <w:p w14:paraId="5E6A55C4">
            <w:pPr>
              <w:tabs>
                <w:tab w:val="left" w:pos="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65" w:type="dxa"/>
            <w:vMerge w:val="continue"/>
            <w:noWrap/>
            <w:vAlign w:val="center"/>
          </w:tcPr>
          <w:p w14:paraId="2B0F7862">
            <w:pP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r>
      <w:tr w14:paraId="5157E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2" w:hRule="atLeast"/>
          <w:jc w:val="center"/>
        </w:trPr>
        <w:tc>
          <w:tcPr>
            <w:tcW w:w="775" w:type="dxa"/>
            <w:noWrap/>
            <w:tcMar>
              <w:top w:w="15" w:type="dxa"/>
              <w:left w:w="15" w:type="dxa"/>
              <w:bottom w:w="0" w:type="dxa"/>
              <w:right w:w="15" w:type="dxa"/>
            </w:tcMar>
            <w:vAlign w:val="center"/>
          </w:tcPr>
          <w:p w14:paraId="51067EC9">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10</w:t>
            </w:r>
          </w:p>
        </w:tc>
        <w:tc>
          <w:tcPr>
            <w:tcW w:w="2613" w:type="dxa"/>
            <w:noWrap/>
            <w:tcMar>
              <w:top w:w="15" w:type="dxa"/>
              <w:left w:w="15" w:type="dxa"/>
              <w:bottom w:w="0" w:type="dxa"/>
              <w:right w:w="15" w:type="dxa"/>
            </w:tcMar>
            <w:vAlign w:val="center"/>
          </w:tcPr>
          <w:p w14:paraId="0F2085AB">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屏风</w:t>
            </w:r>
          </w:p>
        </w:tc>
        <w:tc>
          <w:tcPr>
            <w:tcW w:w="868" w:type="dxa"/>
            <w:noWrap/>
            <w:tcMar>
              <w:top w:w="15" w:type="dxa"/>
              <w:left w:w="15" w:type="dxa"/>
              <w:bottom w:w="0" w:type="dxa"/>
              <w:right w:w="15" w:type="dxa"/>
            </w:tcMar>
            <w:vAlign w:val="center"/>
          </w:tcPr>
          <w:p w14:paraId="7383C54F">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2个</w:t>
            </w:r>
          </w:p>
        </w:tc>
        <w:tc>
          <w:tcPr>
            <w:tcW w:w="2062" w:type="dxa"/>
            <w:vMerge w:val="continue"/>
            <w:noWrap/>
            <w:tcMar>
              <w:top w:w="15" w:type="dxa"/>
              <w:left w:w="15" w:type="dxa"/>
              <w:bottom w:w="0" w:type="dxa"/>
              <w:right w:w="15" w:type="dxa"/>
            </w:tcMar>
            <w:vAlign w:val="center"/>
          </w:tcPr>
          <w:p w14:paraId="40B79005">
            <w:pP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1778" w:type="dxa"/>
            <w:vMerge w:val="continue"/>
            <w:noWrap/>
            <w:vAlign w:val="center"/>
          </w:tcPr>
          <w:p w14:paraId="42A8BB56">
            <w:pPr>
              <w:tabs>
                <w:tab w:val="left" w:pos="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65" w:type="dxa"/>
            <w:vMerge w:val="continue"/>
            <w:noWrap/>
            <w:vAlign w:val="center"/>
          </w:tcPr>
          <w:p w14:paraId="12B2AD9A">
            <w:pP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r>
      <w:tr w14:paraId="2FA59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2" w:hRule="atLeast"/>
          <w:jc w:val="center"/>
        </w:trPr>
        <w:tc>
          <w:tcPr>
            <w:tcW w:w="775" w:type="dxa"/>
            <w:noWrap/>
            <w:tcMar>
              <w:top w:w="15" w:type="dxa"/>
              <w:left w:w="15" w:type="dxa"/>
              <w:bottom w:w="0" w:type="dxa"/>
              <w:right w:w="15" w:type="dxa"/>
            </w:tcMar>
            <w:vAlign w:val="center"/>
          </w:tcPr>
          <w:p w14:paraId="5BE65C09">
            <w:pPr>
              <w:widowControl/>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11</w:t>
            </w:r>
          </w:p>
        </w:tc>
        <w:tc>
          <w:tcPr>
            <w:tcW w:w="2613" w:type="dxa"/>
            <w:noWrap/>
            <w:tcMar>
              <w:top w:w="15" w:type="dxa"/>
              <w:left w:w="15" w:type="dxa"/>
              <w:bottom w:w="0" w:type="dxa"/>
              <w:right w:w="15" w:type="dxa"/>
            </w:tcMar>
            <w:vAlign w:val="center"/>
          </w:tcPr>
          <w:p w14:paraId="234849DC">
            <w:pPr>
              <w:widowControl/>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移动查房车（不带电脑）</w:t>
            </w:r>
          </w:p>
        </w:tc>
        <w:tc>
          <w:tcPr>
            <w:tcW w:w="868" w:type="dxa"/>
            <w:noWrap/>
            <w:tcMar>
              <w:top w:w="15" w:type="dxa"/>
              <w:left w:w="15" w:type="dxa"/>
              <w:bottom w:w="0" w:type="dxa"/>
              <w:right w:w="15" w:type="dxa"/>
            </w:tcMar>
            <w:vAlign w:val="center"/>
          </w:tcPr>
          <w:p w14:paraId="0833CA31">
            <w:pPr>
              <w:widowControl/>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2辆</w:t>
            </w:r>
          </w:p>
        </w:tc>
        <w:tc>
          <w:tcPr>
            <w:tcW w:w="2062" w:type="dxa"/>
            <w:vMerge w:val="continue"/>
            <w:noWrap/>
            <w:tcMar>
              <w:top w:w="15" w:type="dxa"/>
              <w:left w:w="15" w:type="dxa"/>
              <w:bottom w:w="0" w:type="dxa"/>
              <w:right w:w="15" w:type="dxa"/>
            </w:tcMar>
            <w:vAlign w:val="center"/>
          </w:tcPr>
          <w:p w14:paraId="5D9D7789">
            <w:pP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1778" w:type="dxa"/>
            <w:vMerge w:val="continue"/>
            <w:noWrap/>
            <w:vAlign w:val="center"/>
          </w:tcPr>
          <w:p w14:paraId="213BE7B5">
            <w:pPr>
              <w:tabs>
                <w:tab w:val="left" w:pos="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65" w:type="dxa"/>
            <w:vMerge w:val="continue"/>
            <w:noWrap/>
            <w:vAlign w:val="center"/>
          </w:tcPr>
          <w:p w14:paraId="7FAC75A2">
            <w:pP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33049C28">
      <w:pPr>
        <w:rPr>
          <w:rFonts w:hint="eastAsia" w:ascii="宋体" w:hAnsi="宋体" w:eastAsia="宋体" w:cs="宋体"/>
          <w:b/>
          <w:color w:val="000000" w:themeColor="text1"/>
          <w:sz w:val="22"/>
          <w:szCs w:val="22"/>
          <w:highlight w:val="none"/>
          <w14:textFill>
            <w14:solidFill>
              <w14:schemeClr w14:val="tx1"/>
            </w14:solidFill>
          </w14:textFill>
        </w:rPr>
      </w:pPr>
    </w:p>
    <w:p w14:paraId="02DA0904">
      <w:pPr>
        <w:pStyle w:val="4"/>
        <w:numPr>
          <w:ilvl w:val="0"/>
          <w:numId w:val="1"/>
        </w:num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采购需求</w:t>
      </w:r>
    </w:p>
    <w:p w14:paraId="65069406">
      <w:pPr>
        <w:pStyle w:val="4"/>
        <w:numPr>
          <w:ilvl w:val="0"/>
          <w:numId w:val="2"/>
        </w:numPr>
        <w:ind w:leftChars="0"/>
        <w:jc w:val="both"/>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技术参数要求</w:t>
      </w:r>
    </w:p>
    <w:tbl>
      <w:tblPr>
        <w:tblStyle w:val="63"/>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9014"/>
      </w:tblGrid>
      <w:tr w14:paraId="5B6F9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noWrap/>
            <w:vAlign w:val="center"/>
          </w:tcPr>
          <w:p w14:paraId="38AF33D6">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9014" w:type="dxa"/>
            <w:noWrap/>
            <w:vAlign w:val="center"/>
          </w:tcPr>
          <w:p w14:paraId="38DB4B8D">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技术参数</w:t>
            </w:r>
          </w:p>
        </w:tc>
      </w:tr>
      <w:tr w14:paraId="4C985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noWrap/>
            <w:vAlign w:val="center"/>
          </w:tcPr>
          <w:p w14:paraId="2CF721B1">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014" w:type="dxa"/>
            <w:noWrap/>
            <w:vAlign w:val="center"/>
          </w:tcPr>
          <w:p w14:paraId="161256E2">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（温州市龙湾区第一人民医院）</w:t>
            </w:r>
          </w:p>
        </w:tc>
      </w:tr>
      <w:tr w14:paraId="6F13A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noWrap/>
            <w:vAlign w:val="center"/>
          </w:tcPr>
          <w:p w14:paraId="27837996">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w:t>
            </w:r>
          </w:p>
        </w:tc>
        <w:tc>
          <w:tcPr>
            <w:tcW w:w="9014" w:type="dxa"/>
            <w:noWrap/>
            <w:vAlign w:val="center"/>
          </w:tcPr>
          <w:p w14:paraId="4BFC1B1D">
            <w:pPr>
              <w:widowControl/>
              <w:jc w:val="left"/>
              <w:textAlignment w:val="center"/>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多功能监护床  1张</w:t>
            </w:r>
          </w:p>
        </w:tc>
      </w:tr>
      <w:tr w14:paraId="52A72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1" w:type="dxa"/>
            <w:noWrap/>
            <w:vAlign w:val="center"/>
          </w:tcPr>
          <w:p w14:paraId="7A5F7ACD">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9014" w:type="dxa"/>
            <w:noWrap/>
            <w:vAlign w:val="center"/>
          </w:tcPr>
          <w:p w14:paraId="47D4DA65">
            <w:pPr>
              <w:pStyle w:val="485"/>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color w:val="000000" w:themeColor="text1"/>
                <w:sz w:val="24"/>
                <w:szCs w:val="24"/>
                <w:highlight w:val="none"/>
                <w:lang w:eastAsia="zh-CN"/>
                <w14:textFill>
                  <w14:solidFill>
                    <w14:schemeClr w14:val="tx1"/>
                  </w14:solidFill>
                </w14:textFill>
              </w:rPr>
              <w:t>规格尺寸：规格（允许偏离±</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0mm）：床体尺寸(最外缘)：长度范围2100～2200mm. 整体宽度（护栏拉起/放下最宽的部位）≦950mm床面尺寸：床板长≥1920mm，宽度范围800～900mm</w:t>
            </w:r>
          </w:p>
          <w:p w14:paraId="419AF987">
            <w:pPr>
              <w:pStyle w:val="485"/>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二、功能介绍：</w:t>
            </w:r>
          </w:p>
          <w:p w14:paraId="2FCDAA6D">
            <w:pPr>
              <w:pStyle w:val="485"/>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通过电动推杆及控制系统实现各种体位；背部升降0-70°±3°，腿部升降0-40 °±3° ，背膝同升降，整床升降</w:t>
            </w:r>
            <w:r>
              <w:rPr>
                <w:rFonts w:hint="eastAsia" w:ascii="宋体" w:hAnsi="宋体" w:eastAsia="宋体" w:cs="宋体"/>
                <w:color w:val="000000" w:themeColor="text1"/>
                <w:sz w:val="24"/>
                <w:szCs w:val="24"/>
                <w:highlight w:val="none"/>
                <w:lang w:val="en-US" w:eastAsia="zh-CN"/>
                <w14:textFill>
                  <w14:solidFill>
                    <w14:schemeClr w14:val="tx1"/>
                  </w14:solidFill>
                </w14:textFill>
              </w:rPr>
              <w:t>500</w:t>
            </w:r>
            <w:r>
              <w:rPr>
                <w:rFonts w:hint="eastAsia" w:ascii="宋体" w:hAnsi="宋体" w:eastAsia="宋体" w:cs="宋体"/>
                <w:color w:val="000000" w:themeColor="text1"/>
                <w:sz w:val="24"/>
                <w:szCs w:val="24"/>
                <w:highlight w:val="none"/>
                <w:lang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lang w:eastAsia="zh-CN"/>
                <w14:textFill>
                  <w14:solidFill>
                    <w14:schemeClr w14:val="tx1"/>
                  </w14:solidFill>
                </w14:textFill>
              </w:rPr>
              <w:t>0mm±10mm（床面到地面），前后倾斜0-12°±1°、左右侧翻0-45°±3°、电动/手动CPR、升降角度显示等。</w:t>
            </w:r>
          </w:p>
          <w:p w14:paraId="1BE6D611">
            <w:pPr>
              <w:pStyle w:val="485"/>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(1）背部升降0-70°±3°。</w:t>
            </w:r>
          </w:p>
          <w:p w14:paraId="26E6F0F4">
            <w:pPr>
              <w:pStyle w:val="485"/>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(2）腿部升降0-40°±3°。</w:t>
            </w:r>
          </w:p>
          <w:p w14:paraId="28B8EE39">
            <w:pPr>
              <w:pStyle w:val="485"/>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(3）整体升降</w:t>
            </w:r>
            <w:r>
              <w:rPr>
                <w:rFonts w:hint="eastAsia" w:ascii="宋体" w:hAnsi="宋体" w:eastAsia="宋体" w:cs="宋体"/>
                <w:color w:val="000000" w:themeColor="text1"/>
                <w:sz w:val="24"/>
                <w:szCs w:val="24"/>
                <w:highlight w:val="none"/>
                <w:lang w:val="en-US" w:eastAsia="zh-CN"/>
                <w14:textFill>
                  <w14:solidFill>
                    <w14:schemeClr w14:val="tx1"/>
                  </w14:solidFill>
                </w14:textFill>
              </w:rPr>
              <w:t>500</w:t>
            </w:r>
            <w:r>
              <w:rPr>
                <w:rFonts w:hint="eastAsia" w:ascii="宋体" w:hAnsi="宋体" w:eastAsia="宋体" w:cs="宋体"/>
                <w:color w:val="000000" w:themeColor="text1"/>
                <w:sz w:val="24"/>
                <w:szCs w:val="24"/>
                <w:highlight w:val="none"/>
                <w:lang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lang w:eastAsia="zh-CN"/>
                <w14:textFill>
                  <w14:solidFill>
                    <w14:schemeClr w14:val="tx1"/>
                  </w14:solidFill>
                </w14:textFill>
              </w:rPr>
              <w:t>0mm</w:t>
            </w:r>
            <w:r>
              <w:rPr>
                <w:rFonts w:hint="eastAsia" w:ascii="宋体" w:hAnsi="宋体" w:eastAsia="宋体" w:cs="宋体"/>
                <w:color w:val="000000" w:themeColor="text1"/>
                <w:sz w:val="24"/>
                <w:szCs w:val="24"/>
                <w:highlight w:val="none"/>
                <w:lang w:val="en-US" w:eastAsia="zh-CN"/>
                <w14:textFill>
                  <w14:solidFill>
                    <w14:schemeClr w14:val="tx1"/>
                  </w14:solidFill>
                </w14:textFill>
              </w:rPr>
              <w:t>±10mm</w:t>
            </w:r>
            <w:r>
              <w:rPr>
                <w:rFonts w:hint="eastAsia" w:ascii="宋体" w:hAnsi="宋体" w:eastAsia="宋体" w:cs="宋体"/>
                <w:color w:val="000000" w:themeColor="text1"/>
                <w:sz w:val="24"/>
                <w:szCs w:val="24"/>
                <w:highlight w:val="none"/>
                <w:lang w:eastAsia="zh-CN"/>
                <w14:textFill>
                  <w14:solidFill>
                    <w14:schemeClr w14:val="tx1"/>
                  </w14:solidFill>
                </w14:textFill>
              </w:rPr>
              <w:t>自由升降，减轻上下床和护理强度。</w:t>
            </w:r>
          </w:p>
          <w:p w14:paraId="0DAB605C">
            <w:pPr>
              <w:pStyle w:val="485"/>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(4）床体倾斜: 前倾角度0-12°±1°，头高脚低体位；后倾角度0-12°±1°，垂头仰卧位（特伦德伦伯格氏卧位）。</w:t>
            </w:r>
          </w:p>
          <w:p w14:paraId="5B88BA1B">
            <w:pPr>
              <w:pStyle w:val="485"/>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(5） 床面侧翻：左侧倾斜0-45°±3°，右侧倾斜0-45°±3°。</w:t>
            </w:r>
          </w:p>
          <w:p w14:paraId="7F0549C5">
            <w:pPr>
              <w:pStyle w:val="485"/>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(6） 采用中控双面脚轮，直径为125mm（5寸），通过中控加宽踏板（≥310mm）操作四轮刹车万向功能，单个脚轮安全动作载荷125kg以上。</w:t>
            </w:r>
          </w:p>
          <w:p w14:paraId="57314389">
            <w:pPr>
              <w:pStyle w:val="485"/>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电动</w:t>
            </w:r>
            <w:r>
              <w:rPr>
                <w:rFonts w:hint="eastAsia" w:ascii="宋体" w:hAnsi="宋体" w:eastAsia="宋体" w:cs="宋体"/>
                <w:color w:val="000000" w:themeColor="text1"/>
                <w:sz w:val="24"/>
                <w:szCs w:val="24"/>
                <w:highlight w:val="none"/>
                <w:lang w:eastAsia="zh-CN"/>
                <w14:textFill>
                  <w14:solidFill>
                    <w14:schemeClr w14:val="tx1"/>
                  </w14:solidFill>
                </w14:textFill>
              </w:rPr>
              <w:t>CPR复位功能，通过手控器按键使床体各姿态将复位到初始状态。</w:t>
            </w:r>
          </w:p>
          <w:p w14:paraId="31D37477">
            <w:pPr>
              <w:pStyle w:val="485"/>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lang w:eastAsia="zh-CN"/>
                <w14:textFill>
                  <w14:solidFill>
                    <w14:schemeClr w14:val="tx1"/>
                  </w14:solidFill>
                </w14:textFill>
              </w:rPr>
              <w:t>）具有手动CPR功能，可在断电和通电的状态下，快速手动放平背部床板。</w:t>
            </w:r>
          </w:p>
          <w:p w14:paraId="20E37671">
            <w:pPr>
              <w:pStyle w:val="485"/>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三、材料规格与结构：</w:t>
            </w:r>
          </w:p>
          <w:p w14:paraId="68EFC794">
            <w:pPr>
              <w:pStyle w:val="485"/>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 床头尾板：床头尾板尺寸：940*565*110mm</w:t>
            </w:r>
            <w:r>
              <w:rPr>
                <w:rFonts w:hint="eastAsia" w:ascii="宋体" w:hAnsi="宋体" w:eastAsia="宋体" w:cs="宋体"/>
                <w:color w:val="000000" w:themeColor="text1"/>
                <w:sz w:val="24"/>
                <w:szCs w:val="24"/>
                <w:highlight w:val="none"/>
                <w:lang w:val="en-US" w:eastAsia="zh-CN"/>
                <w14:textFill>
                  <w14:solidFill>
                    <w14:schemeClr w14:val="tx1"/>
                  </w14:solidFill>
                </w14:textFill>
              </w:rPr>
              <w:t>±10mm</w:t>
            </w:r>
            <w:r>
              <w:rPr>
                <w:rFonts w:hint="eastAsia" w:ascii="宋体" w:hAnsi="宋体" w:eastAsia="宋体" w:cs="宋体"/>
                <w:color w:val="000000" w:themeColor="text1"/>
                <w:sz w:val="24"/>
                <w:szCs w:val="24"/>
                <w:highlight w:val="none"/>
                <w:lang w:eastAsia="zh-CN"/>
                <w14:textFill>
                  <w14:solidFill>
                    <w14:schemeClr w14:val="tx1"/>
                  </w14:solidFill>
                </w14:textFill>
              </w:rPr>
              <w:t>，单锁固定床体设计，能快速拆卸，使用方便；床头尾板采用抗菌、环保HDPE材质吹塑成型，表面平顺易清洁，抗冲击性，耐热性，耐低温性，耐化学药品及电气性能优良。</w:t>
            </w:r>
          </w:p>
          <w:p w14:paraId="07C7044B">
            <w:pPr>
              <w:pStyle w:val="485"/>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 防撞轮：床体四周设有防撞轮，材质塑胶，防撞轮均突出在床体之外，可有效防止病床在运行使用过程中与电梯、门框等平面障碍物直接碰撞，平稳过渡。</w:t>
            </w:r>
          </w:p>
          <w:p w14:paraId="5C82C7B8">
            <w:pPr>
              <w:pStyle w:val="485"/>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（3）床面板：外形尺寸1950X900mm，厚度</w:t>
            </w:r>
            <w:r>
              <w:rPr>
                <w:rFonts w:hint="eastAsia" w:ascii="宋体" w:hAnsi="宋体" w:eastAsia="宋体" w:cs="宋体"/>
                <w:color w:val="000000" w:themeColor="text1"/>
                <w:sz w:val="24"/>
                <w:szCs w:val="24"/>
                <w:highlight w:val="none"/>
                <w:lang w:val="en-US" w:eastAsia="zh-CN"/>
                <w14:textFill>
                  <w14:solidFill>
                    <w14:schemeClr w14:val="tx1"/>
                  </w14:solidFill>
                </w14:textFill>
              </w:rPr>
              <w:t>≥8mm</w:t>
            </w:r>
            <w:r>
              <w:rPr>
                <w:rFonts w:hint="eastAsia" w:ascii="宋体" w:hAnsi="宋体" w:eastAsia="宋体" w:cs="宋体"/>
                <w:color w:val="000000" w:themeColor="text1"/>
                <w:sz w:val="24"/>
                <w:szCs w:val="24"/>
                <w:highlight w:val="none"/>
                <w:lang w:eastAsia="zh-CN"/>
                <w14:textFill>
                  <w14:solidFill>
                    <w14:schemeClr w14:val="tx1"/>
                  </w14:solidFill>
                </w14:textFill>
              </w:rPr>
              <w:t>，两侧有十处绑带槽，</w:t>
            </w:r>
            <w:r>
              <w:rPr>
                <w:rFonts w:hint="eastAsia" w:ascii="宋体" w:hAnsi="宋体" w:eastAsia="宋体" w:cs="宋体"/>
                <w:color w:val="000000" w:themeColor="text1"/>
                <w:sz w:val="24"/>
                <w:szCs w:val="24"/>
                <w:highlight w:val="none"/>
                <w:lang w:val="en-US" w:eastAsia="zh-CN"/>
                <w14:textFill>
                  <w14:solidFill>
                    <w14:schemeClr w14:val="tx1"/>
                  </w14:solidFill>
                </w14:textFill>
              </w:rPr>
              <w:t>并带有可拆卸式≥4个床垫止滑器</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1D70D8E8">
            <w:pPr>
              <w:pStyle w:val="485"/>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（4） 护栏： 分段式护栏，外形尺寸：头侧1000X380mm，脚侧700X380mm；护栏距离床面高度400mm，长短护栏间距≤ 60mm；采用抗菌、环保HDPE材质吹塑成型。护栏采用最新安全设计背部护栏两侧均设置体位控制器，按键触手可及，提高了护士及患者操控的便捷性。</w:t>
            </w:r>
          </w:p>
          <w:p w14:paraId="127BFDFD">
            <w:pPr>
              <w:pStyle w:val="485"/>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（5） 电控系统：电机数量≥6个，采用直流高功率电动推杆实现床体各姿态升降，确保整床的稳定性；产品防护等级IPX</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eastAsia="zh-CN"/>
                <w14:textFill>
                  <w14:solidFill>
                    <w14:schemeClr w14:val="tx1"/>
                  </w14:solidFill>
                </w14:textFill>
              </w:rPr>
              <w:t>，符合ICE60601-1-2标准要求，安全方便，运行低噪音。</w:t>
            </w:r>
          </w:p>
          <w:p w14:paraId="44CEEBFC">
            <w:pPr>
              <w:pStyle w:val="485"/>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（6）病床金属表面处理: 采用国内外先进流水线工艺，达到内外防锈的效果。</w:t>
            </w:r>
          </w:p>
          <w:p w14:paraId="0D7D7703">
            <w:pPr>
              <w:pStyle w:val="485"/>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四、其他配置要求：</w:t>
            </w:r>
          </w:p>
          <w:p w14:paraId="0B52356A">
            <w:pPr>
              <w:pStyle w:val="485"/>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、配置称重功能，称重系统采用内外框架式结构，强度高、稳定性好，称重变差小。量称范围大，抗过载能力高，稳定性好。整体称重精度为±0.1kg。</w:t>
            </w:r>
          </w:p>
          <w:p w14:paraId="528A6C6E">
            <w:pPr>
              <w:pStyle w:val="485"/>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、带有夜灯功能。</w:t>
            </w:r>
          </w:p>
          <w:p w14:paraId="59D45CF9">
            <w:pPr>
              <w:pStyle w:val="485"/>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、头端和尾端的护栏外侧均具有角度指示器，指示背板和膝部倾斜角度；屏幕实时显示背部床板倾斜角度、膝部倾斜角度以及整床升降高度。</w:t>
            </w:r>
          </w:p>
          <w:p w14:paraId="4900D369">
            <w:pPr>
              <w:pStyle w:val="485"/>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eastAsia="zh-CN"/>
                <w14:textFill>
                  <w14:solidFill>
                    <w14:schemeClr w14:val="tx1"/>
                  </w14:solidFill>
                </w14:textFill>
              </w:rPr>
              <w:t>、床尾板配病历卡插座，床尾带有液晶显示屏，具有蓄电池电量显示指示灯。</w:t>
            </w:r>
          </w:p>
          <w:p w14:paraId="5C8F61E0">
            <w:pPr>
              <w:pStyle w:val="485"/>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、床面：抗倍特床板，全身可投 X 射线；背板配拍片暗盒，实现在病床对患者上身进行 X 射线拍摄。</w:t>
            </w:r>
          </w:p>
          <w:p w14:paraId="6AEF269A">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、床底头尾配置一只杂物架，规格与床配套，方便放置物品。</w:t>
            </w:r>
          </w:p>
          <w:p w14:paraId="5D655D83">
            <w:pPr>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7、配置床头柜、床垫、移动餐桌和陪护椅。</w:t>
            </w:r>
          </w:p>
        </w:tc>
      </w:tr>
      <w:tr w14:paraId="69846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noWrap/>
            <w:vAlign w:val="center"/>
          </w:tcPr>
          <w:p w14:paraId="27E21D2F">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9014" w:type="dxa"/>
            <w:noWrap/>
            <w:vAlign w:val="center"/>
          </w:tcPr>
          <w:p w14:paraId="31DE6436">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配套：床头柜</w:t>
            </w:r>
          </w:p>
          <w:p w14:paraId="2E1DFB0C">
            <w:pPr>
              <w:spacing w:line="276"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规格：（允许偏离±</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 xml:space="preserve">0mm）：440*460*800mm。                                                                                           </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、整体采用ABS成型，组合式设计，轻巧、坚固、耐用；</w:t>
            </w:r>
          </w:p>
          <w:p w14:paraId="2E40F79B">
            <w:pPr>
              <w:spacing w:line="276"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、配置一块抽板，作为延伸台面使用；配置抽屉一只；配置一个柜门；配置可伸缩式毛巾架；可内置热水壶。</w:t>
            </w:r>
          </w:p>
          <w:p w14:paraId="4A50D172">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、颜色可为选。</w:t>
            </w:r>
          </w:p>
          <w:p w14:paraId="2BF1CE3C">
            <w:pPr>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5、带脚轮，使床头柜摆放固定和活动时更方便。</w:t>
            </w:r>
          </w:p>
        </w:tc>
      </w:tr>
      <w:tr w14:paraId="3A13F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noWrap/>
            <w:vAlign w:val="center"/>
          </w:tcPr>
          <w:p w14:paraId="72F7A642">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9014" w:type="dxa"/>
            <w:noWrap/>
            <w:vAlign w:val="center"/>
          </w:tcPr>
          <w:p w14:paraId="21D00DEB">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配套：床垫</w:t>
            </w:r>
          </w:p>
          <w:p w14:paraId="691F6502">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床垫规格：特制防褥疮床垫，与病床相适 ，防水防滑透气抗菌材料，采用双层防水布制作，具有防蛀、防腐、耐水性、无气味。床垫的甲醛释放量≤0.038mg/m²h</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需提供相关证明材料</w:t>
            </w:r>
            <w:r>
              <w:rPr>
                <w:rFonts w:hint="eastAsia" w:ascii="宋体" w:hAnsi="宋体" w:eastAsia="宋体" w:cs="宋体"/>
                <w:color w:val="auto"/>
                <w:sz w:val="24"/>
                <w:szCs w:val="24"/>
                <w:highlight w:val="none"/>
                <w:lang w:eastAsia="zh-CN"/>
              </w:rPr>
              <w:t>）</w:t>
            </w:r>
            <w:r>
              <w:rPr>
                <w:rFonts w:hint="eastAsia" w:ascii="宋体" w:hAnsi="宋体" w:eastAsia="宋体" w:cs="宋体"/>
                <w:color w:val="000000" w:themeColor="text1"/>
                <w:sz w:val="24"/>
                <w:szCs w:val="24"/>
                <w:highlight w:val="none"/>
                <w14:textFill>
                  <w14:solidFill>
                    <w14:schemeClr w14:val="tx1"/>
                  </w14:solidFill>
                </w14:textFill>
              </w:rPr>
              <w:t>。</w:t>
            </w:r>
          </w:p>
        </w:tc>
      </w:tr>
      <w:tr w14:paraId="284E6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noWrap/>
            <w:vAlign w:val="center"/>
          </w:tcPr>
          <w:p w14:paraId="7A20E2F5">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9014" w:type="dxa"/>
            <w:noWrap/>
            <w:vAlign w:val="center"/>
          </w:tcPr>
          <w:p w14:paraId="502F1D82">
            <w:pP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配套：</w:t>
            </w:r>
            <w:r>
              <w:rPr>
                <w:rFonts w:hint="eastAsia" w:ascii="宋体" w:hAnsi="宋体" w:eastAsia="宋体" w:cs="宋体"/>
                <w:color w:val="000000" w:themeColor="text1"/>
                <w:sz w:val="24"/>
                <w:szCs w:val="24"/>
                <w:highlight w:val="none"/>
                <w:lang w:val="en-US" w:eastAsia="zh-CN"/>
                <w14:textFill>
                  <w14:solidFill>
                    <w14:schemeClr w14:val="tx1"/>
                  </w14:solidFill>
                </w14:textFill>
              </w:rPr>
              <w:t>移动餐桌</w:t>
            </w:r>
          </w:p>
          <w:p w14:paraId="1B97AA7D">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规格：规格（允许偏离±</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0mm）：895*455*（935-645）</w:t>
            </w:r>
          </w:p>
          <w:p w14:paraId="0E53618E">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、餐桌底架采用60*30*2mm钢管焊接而成。表面除锈，高档环保静电喷塑，抗老化，不生锈，并配有环保工程塑料底罩，四个静音万象脚轮。</w:t>
            </w:r>
          </w:p>
          <w:p w14:paraId="730C0E93">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、立柱采用优质高精度碳钢材质，表面喷塑处理工艺，并配有塑料外罩，外观更加美观，持久耐用。</w:t>
            </w:r>
          </w:p>
          <w:p w14:paraId="617B156F">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、气动升降装置，自由调节高度。</w:t>
            </w:r>
          </w:p>
          <w:p w14:paraId="127B57E3">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桌面采用环保ABS材料制作，易清洗，防水防潮；颜色可选。</w:t>
            </w:r>
          </w:p>
        </w:tc>
      </w:tr>
      <w:tr w14:paraId="5CDB5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noWrap/>
            <w:vAlign w:val="center"/>
          </w:tcPr>
          <w:p w14:paraId="49AB6772">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9014" w:type="dxa"/>
            <w:noWrap/>
            <w:vAlign w:val="center"/>
          </w:tcPr>
          <w:p w14:paraId="407B9164">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配套：陪护椅</w:t>
            </w:r>
          </w:p>
          <w:p w14:paraId="0302EE3E">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配置</w:t>
            </w:r>
            <w:r>
              <w:rPr>
                <w:rFonts w:hint="eastAsia" w:ascii="宋体" w:hAnsi="宋体" w:eastAsia="宋体" w:cs="宋体"/>
                <w:color w:val="000000" w:themeColor="text1"/>
                <w:sz w:val="24"/>
                <w:szCs w:val="24"/>
                <w:highlight w:val="none"/>
                <w14:textFill>
                  <w14:solidFill>
                    <w14:schemeClr w14:val="tx1"/>
                  </w14:solidFill>
                </w14:textFill>
              </w:rPr>
              <w:t>2张陪护椅</w:t>
            </w:r>
          </w:p>
          <w:p w14:paraId="40986400">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、规格（允许偏离±</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0mm）：1860*600*450mm（平放）800*600*950mm(拉起）</w:t>
            </w:r>
          </w:p>
          <w:p w14:paraId="1074620C">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、框架：主体材料采用￠38*1.5mm、￠30*1.5mm、￠25*1.5mm优质碳钢制作。</w:t>
            </w:r>
          </w:p>
          <w:p w14:paraId="04057AC2">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、椅面：椅垫表面为优质科技布，内层采用十二夹板，高密度海绵厚度≥50mm。</w:t>
            </w:r>
          </w:p>
          <w:p w14:paraId="43F43E0B">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、打开时为一张睡床，收起时为一张沙发椅子。</w:t>
            </w:r>
          </w:p>
          <w:p w14:paraId="370FD300">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、椅面拉伸部分：底部设有优质脚轮4个，方便拉出，拉出时轻松灵活，无噪音。</w:t>
            </w:r>
          </w:p>
          <w:p w14:paraId="22B3CC36">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、椅脚：椅腿下方装有塑胶脚套，防止与地面摩擦产生噪音和损伤地面。</w:t>
            </w:r>
          </w:p>
          <w:p w14:paraId="18FCAE3B">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、左右扶手：由￠38*1.5mm圆管组成弯曲焊接而成，表面喷涂工艺，外表平整光滑，上面放置ABS扶手套。整体美观又耐用。</w:t>
            </w:r>
          </w:p>
          <w:p w14:paraId="68ACD13E">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、颜色可按医院定，宽度按病房空间定。</w:t>
            </w:r>
          </w:p>
        </w:tc>
      </w:tr>
      <w:tr w14:paraId="5F774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noWrap/>
            <w:vAlign w:val="center"/>
          </w:tcPr>
          <w:p w14:paraId="420B255E">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w:t>
            </w:r>
          </w:p>
        </w:tc>
        <w:tc>
          <w:tcPr>
            <w:tcW w:w="9014" w:type="dxa"/>
            <w:noWrap/>
            <w:vAlign w:val="center"/>
          </w:tcPr>
          <w:p w14:paraId="01D83068">
            <w:pPr>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监护床  17张</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需提供样品</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r>
      <w:tr w14:paraId="31C1D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noWrap/>
            <w:vAlign w:val="center"/>
          </w:tcPr>
          <w:p w14:paraId="100EA40A">
            <w:pPr>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9014" w:type="dxa"/>
            <w:noWrap/>
            <w:vAlign w:val="center"/>
          </w:tcPr>
          <w:p w14:paraId="3B3A0C9A">
            <w:pPr>
              <w:pStyle w:val="48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一、规格尺寸：规格尺寸（允许偏离±</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0mm）：2120*1050*(470～750)mm；床板内长度：1900mm，床板宽度：900mm。</w:t>
            </w:r>
          </w:p>
          <w:p w14:paraId="27C9F776">
            <w:pPr>
              <w:pStyle w:val="48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二、功能介绍</w:t>
            </w:r>
          </w:p>
          <w:p w14:paraId="000B5DA5">
            <w:pPr>
              <w:pStyle w:val="48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通过电动推杆及控制系统可实现体位：背部升降0-70 °±3° ，腿部升降0-40 °±3° ，背膝同升降，整床升降450-730mm（床面到地面），整床前后倾斜0-12 °±1°,腹部自延位减压、电动/手动CPR、升降角度显示。</w:t>
            </w:r>
          </w:p>
          <w:p w14:paraId="0E17C46D">
            <w:pPr>
              <w:pStyle w:val="48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( 1) ★背部升降0-70°±3°，带升起后退减压功能，后退范围0-100mm；背板具有30°自动停止功能并有蜂鸣声提醒，操作背板上升（下降）、当背板与水平面的夹角为30°时，背板自动停止；松开按键、再次按下按键，背板将继续上升（下降）（提供功能及参数测试省级及以上第三方检测机构完整检测报告）</w:t>
            </w:r>
          </w:p>
          <w:p w14:paraId="4D3D632F">
            <w:pPr>
              <w:pStyle w:val="48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(2）腿部升降0-40°±3°</w:t>
            </w:r>
          </w:p>
          <w:p w14:paraId="1A4DBBDC">
            <w:pPr>
              <w:pStyle w:val="48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(3）小腿板高度多档位调节。</w:t>
            </w:r>
          </w:p>
          <w:p w14:paraId="01DBE792">
            <w:pPr>
              <w:pStyle w:val="48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(4）床体倾斜: 前倾角度0-12°±1°，头高脚低体位；后倾角度0-12°±1°，垂头仰卧位。</w:t>
            </w:r>
          </w:p>
          <w:p w14:paraId="60C9DB66">
            <w:pPr>
              <w:pStyle w:val="485"/>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(5）CPR快速释放功能，可紧急情况使用，床体两侧均设有手动CPR拉手，操作简便</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39B271E8">
            <w:pPr>
              <w:pStyle w:val="48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(6）采用中控双面脚轮，直径为125mm（5寸），通过中控加宽塑料踏板（≥310*120mm）操作四轮刹车和直行导向功能，单个脚轮安全动作载荷125kg以上</w:t>
            </w:r>
          </w:p>
          <w:p w14:paraId="424CB6A5">
            <w:pPr>
              <w:pStyle w:val="48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（7）脚轮刹车后，用200N的拉力拉电动病床的床头，脚轮不应转动（提供功能及参数测试省级及以上第三方检测机构完整检测报告），稳定性高。</w:t>
            </w:r>
          </w:p>
          <w:p w14:paraId="65FAA290">
            <w:pPr>
              <w:pStyle w:val="48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( 8）一键复位功能，一键式操作，按下复位按键、床体各姿态将复位到初始状态，按任意键停止当前。</w:t>
            </w:r>
          </w:p>
          <w:p w14:paraId="19E7C163">
            <w:pPr>
              <w:pStyle w:val="48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(9）心脏椅位功能，一键式操作，按下心脏椅位功能按键、床体开始动作直至达到心脏椅位状态，按任意键停止当前</w:t>
            </w:r>
          </w:p>
          <w:p w14:paraId="0E27350B">
            <w:pPr>
              <w:pStyle w:val="48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(10）离床位功能，一键式操作，按下离床位功能按键、床体开始动作直至达到离床位状态，按任意键停止当前。</w:t>
            </w:r>
          </w:p>
          <w:p w14:paraId="5BEFB90E">
            <w:pPr>
              <w:pStyle w:val="48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(11）姿态定制功能，一键式操作，护士或患者可根据所需床体任何姿态，进行个性化定制（提供功能及参数测试省级及以上第三方检测机构完整检测报告）。</w:t>
            </w:r>
          </w:p>
          <w:p w14:paraId="022306E1">
            <w:pPr>
              <w:pStyle w:val="48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(12）护士控制台，可以在护士控制台上操作床体功能，液晶输出显示各个姿态的角度状态，方便于观察、控制床体和患者信息。</w:t>
            </w:r>
          </w:p>
          <w:p w14:paraId="3A13F84D">
            <w:pPr>
              <w:pStyle w:val="48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（13）★整床承重力好，可以承受4000N的均布载荷不发生功能性损失（提供功能及参数测试省级及以上第三方检测机构完整检测报告）。</w:t>
            </w:r>
          </w:p>
          <w:p w14:paraId="04042781">
            <w:pPr>
              <w:pStyle w:val="48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三、材料规格与结构：</w:t>
            </w:r>
          </w:p>
          <w:p w14:paraId="239BEE46">
            <w:pPr>
              <w:pStyle w:val="48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 床头尾板：床头尾板尺寸：940*565*110mm，单锁固定床体设计（提供参数测试省级及以上第三方检测机构完整检测报告），标识明显使用方便，并带有原厂模印LOGO（提供实物彩图佐证）；床头尾板采用抗菌、环保HDPE材质吹塑成型，表面平顺易清洁，抗冲击性，耐热性，耐低温性，耐化学药品及电气性能优良。</w:t>
            </w:r>
          </w:p>
          <w:p w14:paraId="6A87D0B7">
            <w:pPr>
              <w:pStyle w:val="48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 防撞轮：床体四周设有防撞轮，材质塑胶，防撞轮均突出在床体之外，可有效防止病床在运行使用过程中与电梯、门框等平面障碍物直接碰撞，平稳过渡。</w:t>
            </w:r>
          </w:p>
          <w:p w14:paraId="5E3B7863">
            <w:pPr>
              <w:pStyle w:val="48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 ★床面板：外形尺寸1950X900mm，厚度为</w:t>
            </w:r>
            <w:r>
              <w:rPr>
                <w:rFonts w:hint="eastAsia" w:ascii="宋体" w:hAnsi="宋体" w:eastAsia="宋体" w:cs="宋体"/>
                <w:color w:val="000000" w:themeColor="text1"/>
                <w:sz w:val="24"/>
                <w:szCs w:val="24"/>
                <w:highlight w:val="none"/>
                <w:lang w:val="en-US" w:eastAsia="zh-CN"/>
                <w14:textFill>
                  <w14:solidFill>
                    <w14:schemeClr w14:val="tx1"/>
                  </w14:solidFill>
                </w14:textFill>
              </w:rPr>
              <w:t>≥8m</w:t>
            </w:r>
            <w:r>
              <w:rPr>
                <w:rFonts w:hint="eastAsia" w:ascii="宋体" w:hAnsi="宋体" w:eastAsia="宋体" w:cs="宋体"/>
                <w:color w:val="000000" w:themeColor="text1"/>
                <w:sz w:val="24"/>
                <w:szCs w:val="24"/>
                <w:highlight w:val="none"/>
                <w14:textFill>
                  <w14:solidFill>
                    <w14:schemeClr w14:val="tx1"/>
                  </w14:solidFill>
                </w14:textFill>
              </w:rPr>
              <w:t>m，床面为三折四组，两侧交错式结构（提供参数测试省级及以上第三方检测机构完整检测报告），设置有</w:t>
            </w: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处绑带槽</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并带有≥4个可拆卸式床垫止滑器</w:t>
            </w:r>
            <w:r>
              <w:rPr>
                <w:rFonts w:hint="eastAsia" w:ascii="宋体" w:hAnsi="宋体" w:eastAsia="宋体" w:cs="宋体"/>
                <w:color w:val="000000" w:themeColor="text1"/>
                <w:sz w:val="24"/>
                <w:szCs w:val="24"/>
                <w:highlight w:val="none"/>
                <w14:textFill>
                  <w14:solidFill>
                    <w14:schemeClr w14:val="tx1"/>
                  </w14:solidFill>
                </w14:textFill>
              </w:rPr>
              <w:t>。</w:t>
            </w:r>
          </w:p>
          <w:p w14:paraId="691531B7">
            <w:pPr>
              <w:pStyle w:val="48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 护栏： 分段式护栏，外形尺寸：头侧1000X380mm，脚侧700X380mm；护栏距离床面高度≥410mm，长短护栏间距≤ 60mm；采用抗菌、环保HDPE材质吹塑成型。四片分段式护栏外侧均配有滚珠式角度指示器，便于医护人员方便快捷直观帮患者置于舒适位置</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FA8D6BE">
            <w:pPr>
              <w:pStyle w:val="48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 电控系统：电机数量≥4个，采用直流高功率电动推杆实现床体各姿态升降，确保整床的稳定性；产品防护等级IPX</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，符合ICE60601-1-2标准要求，安全方便，运行低噪音</w:t>
            </w:r>
          </w:p>
          <w:p w14:paraId="20F8FAB8">
            <w:pPr>
              <w:pStyle w:val="48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（6）病床金属表面处理: 采用国内外先进流水线工艺，达到内外防锈的效果。</w:t>
            </w:r>
          </w:p>
          <w:p w14:paraId="33014E40">
            <w:pPr>
              <w:pStyle w:val="485"/>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四、其他配置：</w:t>
            </w:r>
          </w:p>
          <w:p w14:paraId="335D1F0D">
            <w:pPr>
              <w:pStyle w:val="485"/>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、配置称重功能，称重系统采用内外框架式结构，强度高、稳定性好，称重变差小。量称范围大，抗过载能力高，稳定性好。整床称重测量范围0-230kg，整体称重精度为±0.1kg。</w:t>
            </w:r>
          </w:p>
          <w:p w14:paraId="7F5A8250">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、床底头尾配置一只杂物架，规格与床配套，方便放置物品。</w:t>
            </w:r>
          </w:p>
          <w:p w14:paraId="2891B51F">
            <w:pPr>
              <w:pStyle w:val="485"/>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、床面：抗倍特床板，全身可投 X 射线；背板配拍片暗盒，实现在病床对患者上身进行 X 射线拍摄。</w:t>
            </w:r>
          </w:p>
          <w:p w14:paraId="617B2D02">
            <w:pPr>
              <w:pStyle w:val="485"/>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4、配置床头柜、床垫和移动餐桌。</w:t>
            </w:r>
          </w:p>
        </w:tc>
      </w:tr>
      <w:tr w14:paraId="1F751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noWrap/>
            <w:vAlign w:val="center"/>
          </w:tcPr>
          <w:p w14:paraId="78206D38">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9014" w:type="dxa"/>
            <w:noWrap/>
            <w:vAlign w:val="center"/>
          </w:tcPr>
          <w:p w14:paraId="73F3B1D0">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配套：床头柜</w:t>
            </w:r>
          </w:p>
          <w:p w14:paraId="55A22F34">
            <w:pPr>
              <w:spacing w:line="276"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规格：（允许偏离±</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 xml:space="preserve">0mm）：440*460*800mm。                                                                                           </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、整体采用ABS成型，组合式设计，轻巧、坚固、耐用；</w:t>
            </w:r>
          </w:p>
          <w:p w14:paraId="5348BF69">
            <w:pPr>
              <w:spacing w:line="276"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、配置一块抽板，作为延伸台面使用；配置抽屉一只；配置一个柜门；配置可伸缩式毛巾架；可内置热水壶。</w:t>
            </w:r>
          </w:p>
          <w:p w14:paraId="2861F2FB">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、颜色可为选。</w:t>
            </w:r>
          </w:p>
          <w:p w14:paraId="06509A9E">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5、带脚轮，使床头柜摆放固定和活动时更方便。</w:t>
            </w:r>
          </w:p>
        </w:tc>
      </w:tr>
      <w:tr w14:paraId="1003D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noWrap/>
            <w:vAlign w:val="center"/>
          </w:tcPr>
          <w:p w14:paraId="7947F7E2">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9014" w:type="dxa"/>
            <w:noWrap/>
            <w:vAlign w:val="center"/>
          </w:tcPr>
          <w:p w14:paraId="2F7F5E1E">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配套：床垫</w:t>
            </w:r>
          </w:p>
          <w:p w14:paraId="5A47C242">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床垫规格：特制防褥疮床垫，与病床相适 ，防水防滑透气抗菌材料，采用双层防水布制作，具有防蛀、防腐、耐水性、无气味。床垫的甲醛释放量≤0.038mg/m²h</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需提供相关证明材料</w:t>
            </w:r>
            <w:r>
              <w:rPr>
                <w:rFonts w:hint="eastAsia" w:ascii="宋体" w:hAnsi="宋体" w:eastAsia="宋体" w:cs="宋体"/>
                <w:color w:val="auto"/>
                <w:sz w:val="24"/>
                <w:szCs w:val="24"/>
                <w:highlight w:val="none"/>
                <w:lang w:eastAsia="zh-CN"/>
              </w:rPr>
              <w:t>）</w:t>
            </w:r>
            <w:r>
              <w:rPr>
                <w:rFonts w:hint="eastAsia" w:ascii="宋体" w:hAnsi="宋体" w:eastAsia="宋体" w:cs="宋体"/>
                <w:color w:val="000000" w:themeColor="text1"/>
                <w:sz w:val="24"/>
                <w:szCs w:val="24"/>
                <w:highlight w:val="none"/>
                <w14:textFill>
                  <w14:solidFill>
                    <w14:schemeClr w14:val="tx1"/>
                  </w14:solidFill>
                </w14:textFill>
              </w:rPr>
              <w:t>。</w:t>
            </w:r>
          </w:p>
        </w:tc>
      </w:tr>
      <w:tr w14:paraId="11961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noWrap/>
            <w:vAlign w:val="center"/>
          </w:tcPr>
          <w:p w14:paraId="40073BF8">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9014" w:type="dxa"/>
            <w:noWrap/>
            <w:vAlign w:val="center"/>
          </w:tcPr>
          <w:p w14:paraId="3DED667E">
            <w:pP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配套：</w:t>
            </w:r>
            <w:r>
              <w:rPr>
                <w:rFonts w:hint="eastAsia" w:ascii="宋体" w:hAnsi="宋体" w:eastAsia="宋体" w:cs="宋体"/>
                <w:color w:val="000000" w:themeColor="text1"/>
                <w:sz w:val="24"/>
                <w:szCs w:val="24"/>
                <w:highlight w:val="none"/>
                <w:lang w:val="en-US" w:eastAsia="zh-CN"/>
                <w14:textFill>
                  <w14:solidFill>
                    <w14:schemeClr w14:val="tx1"/>
                  </w14:solidFill>
                </w14:textFill>
              </w:rPr>
              <w:t>移动餐桌</w:t>
            </w:r>
          </w:p>
          <w:p w14:paraId="6C6B37DB">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规格：规格（允许偏离±</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0mm）：895*455*（935-645）</w:t>
            </w:r>
          </w:p>
          <w:p w14:paraId="5E8D0674">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、餐桌底架采用60*30*2mm钢管焊接而成。表面除锈，高档环保静电喷塑，抗老化，不生锈，并配有环保工程塑料底罩，四个静音万象脚轮。</w:t>
            </w:r>
          </w:p>
          <w:p w14:paraId="5BA42B18">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、立柱采用优质高精度碳钢材质，表面喷塑处理工艺，并配有塑料外罩，外观更加美观，持久耐用。</w:t>
            </w:r>
          </w:p>
          <w:p w14:paraId="1C70D3BE">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、气动升降装置，自由调节高度。</w:t>
            </w:r>
          </w:p>
          <w:p w14:paraId="5ADCBD99">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桌面采用环保ABS材料制作，易清洗，防水防潮；颜色可选。</w:t>
            </w:r>
          </w:p>
        </w:tc>
      </w:tr>
      <w:tr w14:paraId="243F2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noWrap/>
            <w:vAlign w:val="center"/>
          </w:tcPr>
          <w:p w14:paraId="6392AFA3">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w:t>
            </w:r>
          </w:p>
        </w:tc>
        <w:tc>
          <w:tcPr>
            <w:tcW w:w="9014" w:type="dxa"/>
            <w:noWrap/>
            <w:vAlign w:val="center"/>
          </w:tcPr>
          <w:p w14:paraId="6B9525E6">
            <w:pPr>
              <w:widowControl/>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急诊观察床 10张</w:t>
            </w:r>
          </w:p>
        </w:tc>
      </w:tr>
      <w:tr w14:paraId="29763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noWrap/>
            <w:vAlign w:val="center"/>
          </w:tcPr>
          <w:p w14:paraId="4A530395">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9014" w:type="dxa"/>
            <w:noWrap/>
            <w:vAlign w:val="center"/>
          </w:tcPr>
          <w:p w14:paraId="35617AC0">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1、床体规格（允许偏离±</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0mm）：整床尺寸:2180mm×960mm×500mm（±30mm）；床面尺寸：≥1900*830mm。床体安全载重≥240kg。</w:t>
            </w:r>
          </w:p>
          <w:p w14:paraId="4E863C63">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2、功能：通过手持控制器操作实现各种体位，背板角度：≥70±5°、腿板角度：≥40±5°。</w:t>
            </w:r>
          </w:p>
          <w:p w14:paraId="61CF7319">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3、床框与床板</w:t>
            </w:r>
          </w:p>
          <w:p w14:paraId="43C5FD79">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3.1、床框采用主梁</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40X60X1.5mm和副梁</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25X40X1.5mm的矩形优质碳素结构钢材激光切割成型，主梁副梁组合焊接而成，床体纵向四梁结构（提供实物彩图佐证）稳固运行无噪音，坚固扎实，使背部和腿部的升降角度在任意幅度使用过程中稳定（背部和腿部在升降≥</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0000次后主梁的变形量≤3mm，提供功能及参数测试省级及以上第三方检测机构完整检测报告）。</w:t>
            </w:r>
          </w:p>
          <w:p w14:paraId="3ED4E00A">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3.2、床面板需采用≥1.0mm厚冷轧钢板，一次性模压成型和背面焊接加强管的组合方式，四块床板带模压凹槽和透气孔，模压凹槽深度≥4.0mm，保证床面运行的平稳（床面板运行≥</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0000次后连接处固定螺栓磨损程度≤0.5mm，提供功能及参数测试省级及以上第三方检测机构完整检测报告）。</w:t>
            </w:r>
          </w:p>
          <w:p w14:paraId="6D853D6E">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4、电控系统：强劲动力，性能稳定，平缓静音，防水等级≥IPX4。</w:t>
            </w:r>
          </w:p>
          <w:p w14:paraId="53E07880">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5、床头床尾板</w:t>
            </w:r>
          </w:p>
          <w:p w14:paraId="1F79352E">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5.1、床头尾板规格≥940×510mm，其中颜色搭配装饰部分采用转印技术附着于工程塑料上，采用嵌入式子母扣安装方式（提供实物剖析彩图佐证）；</w:t>
            </w:r>
          </w:p>
          <w:p w14:paraId="2BD37313">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5.2、床头尾板采用双锁扣固定装置，锁扣开关固定于床梁上并有明显颜色区分，固定时牢固，解锁时方便，开关规格不小于95*25mm（提供实物彩图佐证）；</w:t>
            </w:r>
          </w:p>
          <w:p w14:paraId="5F318910">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、床头尾板需由全新PP(聚丙烯）原料吹塑成型技术制作而成；床头尾板固定时应在受</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KG拉力情况下不产生损坏（提供参数测试省级及以上第三方检测机构完整检测报告），可正常使用。</w:t>
            </w:r>
          </w:p>
          <w:p w14:paraId="761B45FC">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6、护栏</w:t>
            </w:r>
          </w:p>
          <w:p w14:paraId="7E446D83">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6.1、护栏采用6档折叠式铝合金护栏，高强度耐腐蚀。整体护栏总长度:≥1450mm,整体高度≥410mm；护栏的横向拉力强度可承受≥75KG拉力情况下不产生损坏（提供参数测试省级及以上第三方检测机构完整检测报告），可正常使用</w:t>
            </w:r>
          </w:p>
          <w:p w14:paraId="34C7B738">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6.2、</w:t>
            </w:r>
            <w:r>
              <w:rPr>
                <w:rFonts w:hint="eastAsia" w:ascii="宋体" w:hAnsi="宋体" w:eastAsia="宋体" w:cs="宋体"/>
                <w:color w:val="000000" w:themeColor="text1"/>
                <w:sz w:val="24"/>
                <w:szCs w:val="24"/>
                <w:highlight w:val="none"/>
                <w:lang w:eastAsia="zh-CN"/>
                <w14:textFill>
                  <w14:solidFill>
                    <w14:schemeClr w14:val="tx1"/>
                  </w14:solidFill>
                </w14:textFill>
              </w:rPr>
              <w:t>护栏</w:t>
            </w:r>
            <w:r>
              <w:rPr>
                <w:rFonts w:hint="eastAsia" w:ascii="宋体" w:hAnsi="宋体" w:eastAsia="宋体" w:cs="宋体"/>
                <w:color w:val="000000" w:themeColor="text1"/>
                <w:sz w:val="24"/>
                <w:szCs w:val="24"/>
                <w:highlight w:val="none"/>
                <w14:textFill>
                  <w14:solidFill>
                    <w14:schemeClr w14:val="tx1"/>
                  </w14:solidFill>
                </w14:textFill>
              </w:rPr>
              <w:t>开关</w:t>
            </w:r>
            <w:r>
              <w:rPr>
                <w:rFonts w:hint="eastAsia" w:ascii="宋体" w:hAnsi="宋体" w:eastAsia="宋体" w:cs="宋体"/>
                <w:color w:val="000000" w:themeColor="text1"/>
                <w:sz w:val="24"/>
                <w:szCs w:val="24"/>
                <w:highlight w:val="none"/>
                <w:lang w:eastAsia="zh-CN"/>
                <w14:textFill>
                  <w14:solidFill>
                    <w14:schemeClr w14:val="tx1"/>
                  </w14:solidFill>
                </w14:textFill>
              </w:rPr>
              <w:t>、开关</w:t>
            </w:r>
            <w:r>
              <w:rPr>
                <w:rFonts w:hint="eastAsia" w:ascii="宋体" w:hAnsi="宋体" w:eastAsia="宋体" w:cs="宋体"/>
                <w:color w:val="000000" w:themeColor="text1"/>
                <w:sz w:val="24"/>
                <w:szCs w:val="24"/>
                <w:highlight w:val="none"/>
                <w14:textFill>
                  <w14:solidFill>
                    <w14:schemeClr w14:val="tx1"/>
                  </w14:solidFill>
                </w14:textFill>
              </w:rPr>
              <w:t>支架及开关锁销均采用金属铝合金材质一次性压铸成型（提供</w:t>
            </w:r>
            <w:r>
              <w:rPr>
                <w:rFonts w:hint="eastAsia" w:ascii="宋体" w:hAnsi="宋体" w:eastAsia="宋体" w:cs="宋体"/>
                <w:color w:val="000000" w:themeColor="text1"/>
                <w:sz w:val="24"/>
                <w:szCs w:val="24"/>
                <w:highlight w:val="none"/>
                <w:lang w:eastAsia="zh-CN"/>
                <w14:textFill>
                  <w14:solidFill>
                    <w14:schemeClr w14:val="tx1"/>
                  </w14:solidFill>
                </w14:textFill>
              </w:rPr>
              <w:t>护栏</w:t>
            </w:r>
            <w:r>
              <w:rPr>
                <w:rFonts w:hint="eastAsia" w:ascii="宋体" w:hAnsi="宋体" w:eastAsia="宋体" w:cs="宋体"/>
                <w:color w:val="000000" w:themeColor="text1"/>
                <w:sz w:val="24"/>
                <w:szCs w:val="24"/>
                <w:highlight w:val="none"/>
                <w14:textFill>
                  <w14:solidFill>
                    <w14:schemeClr w14:val="tx1"/>
                  </w14:solidFill>
                </w14:textFill>
              </w:rPr>
              <w:t>开关</w:t>
            </w:r>
            <w:r>
              <w:rPr>
                <w:rFonts w:hint="eastAsia" w:ascii="宋体" w:hAnsi="宋体" w:eastAsia="宋体" w:cs="宋体"/>
                <w:color w:val="000000" w:themeColor="text1"/>
                <w:sz w:val="24"/>
                <w:szCs w:val="24"/>
                <w:highlight w:val="none"/>
                <w:lang w:eastAsia="zh-CN"/>
                <w14:textFill>
                  <w14:solidFill>
                    <w14:schemeClr w14:val="tx1"/>
                  </w14:solidFill>
                </w14:textFill>
              </w:rPr>
              <w:t>、开关</w:t>
            </w:r>
            <w:r>
              <w:rPr>
                <w:rFonts w:hint="eastAsia" w:ascii="宋体" w:hAnsi="宋体" w:eastAsia="宋体" w:cs="宋体"/>
                <w:color w:val="000000" w:themeColor="text1"/>
                <w:sz w:val="24"/>
                <w:szCs w:val="24"/>
                <w:highlight w:val="none"/>
                <w14:textFill>
                  <w14:solidFill>
                    <w14:schemeClr w14:val="tx1"/>
                  </w14:solidFill>
                </w14:textFill>
              </w:rPr>
              <w:t>支架及开关锁销铝合金材质</w:t>
            </w:r>
            <w:r>
              <w:rPr>
                <w:rFonts w:hint="eastAsia" w:ascii="宋体" w:hAnsi="宋体" w:eastAsia="宋体" w:cs="宋体"/>
                <w:color w:val="000000" w:themeColor="text1"/>
                <w:sz w:val="24"/>
                <w:szCs w:val="24"/>
                <w:highlight w:val="none"/>
                <w:lang w:eastAsia="zh-CN"/>
                <w14:textFill>
                  <w14:solidFill>
                    <w14:schemeClr w14:val="tx1"/>
                  </w14:solidFill>
                </w14:textFill>
              </w:rPr>
              <w:t>证明和</w:t>
            </w:r>
            <w:r>
              <w:rPr>
                <w:rFonts w:hint="eastAsia" w:ascii="宋体" w:hAnsi="宋体" w:eastAsia="宋体" w:cs="宋体"/>
                <w:color w:val="000000" w:themeColor="text1"/>
                <w:sz w:val="24"/>
                <w:szCs w:val="24"/>
                <w:highlight w:val="none"/>
                <w14:textFill>
                  <w14:solidFill>
                    <w14:schemeClr w14:val="tx1"/>
                  </w14:solidFill>
                </w14:textFill>
              </w:rPr>
              <w:t>硬度测试省级及以上第三方检测机构完整检测报告），操作轻巧、舒适；开关处带有生产厂家模印LOGO（提供实物彩图佐证）。</w:t>
            </w:r>
          </w:p>
          <w:p w14:paraId="64B4B71D">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6.3、护栏开关锁销加粗设计，不小于10*10mm（提供参数测试省级及以上第三方检测机构完整检测报告），锁定牢固。</w:t>
            </w:r>
          </w:p>
          <w:p w14:paraId="0887CDCC">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脚轮为五寸双面中控轮，Ф28mm插杆式固定设计；主架采用三片组合式金属钢架材质（耐候性和承载能力强），刹车齿盘金属结构，轮体表面采用TPE耐磨材质，牢固耐用；内置全封闭自润滑轴承，防水、防异物卷入，静音耐磨；中控刹车装置位于床体腿部底座中央，带警示色操作示意，一脚制动，四轮刹车。</w:t>
            </w:r>
          </w:p>
          <w:p w14:paraId="4970366B">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8、病床焊接工艺：病床的各种金属部件均由焊接机器人焊接，杜绝虚焊、焊穿等现象的出现，确保病床安全可靠，牢固结实。</w:t>
            </w:r>
          </w:p>
          <w:p w14:paraId="7734AC22">
            <w:pPr>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9、病床金属表面处理: 采用国内外先进流水线工艺，达到内外防锈的效果</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39DFFD70">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10、餐桌板</w:t>
            </w:r>
          </w:p>
          <w:p w14:paraId="09BC6ED9">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10.1、规格：≥800X310mm。</w:t>
            </w:r>
          </w:p>
          <w:p w14:paraId="27E594D3">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10.2、款式：采用一体式阻尼缓冲结构餐桌板。</w:t>
            </w:r>
          </w:p>
          <w:p w14:paraId="5E2F241E">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11、其他配置</w:t>
            </w:r>
          </w:p>
          <w:p w14:paraId="35609BB7">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11.1、床体四周配置不小于4个输液架插座。</w:t>
            </w:r>
          </w:p>
          <w:p w14:paraId="4B175393">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11.2、床体两侧配置不小于4处引流挂钩。</w:t>
            </w:r>
          </w:p>
          <w:p w14:paraId="0B3EF668">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11.3、底座配置杂物架一个。</w:t>
            </w:r>
          </w:p>
          <w:p w14:paraId="5A5A3451">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11.4、</w:t>
            </w:r>
            <w:r>
              <w:rPr>
                <w:rFonts w:hint="eastAsia" w:ascii="宋体" w:hAnsi="宋体" w:eastAsia="宋体" w:cs="宋体"/>
                <w:color w:val="000000" w:themeColor="text1"/>
                <w:sz w:val="24"/>
                <w:szCs w:val="24"/>
                <w:highlight w:val="none"/>
                <w14:textFill>
                  <w14:solidFill>
                    <w14:schemeClr w14:val="tx1"/>
                  </w14:solidFill>
                </w14:textFill>
              </w:rPr>
              <w:t>床体四角配防撞</w:t>
            </w:r>
            <w:r>
              <w:rPr>
                <w:rFonts w:hint="eastAsia" w:ascii="宋体" w:hAnsi="宋体" w:eastAsia="宋体" w:cs="宋体"/>
                <w:color w:val="000000" w:themeColor="text1"/>
                <w:sz w:val="24"/>
                <w:szCs w:val="24"/>
                <w:highlight w:val="none"/>
                <w:lang w:val="en-US" w:eastAsia="zh-CN"/>
                <w14:textFill>
                  <w14:solidFill>
                    <w14:schemeClr w14:val="tx1"/>
                  </w14:solidFill>
                </w14:textFill>
              </w:rPr>
              <w:t>软</w:t>
            </w:r>
            <w:r>
              <w:rPr>
                <w:rFonts w:hint="eastAsia" w:ascii="宋体" w:hAnsi="宋体" w:eastAsia="宋体" w:cs="宋体"/>
                <w:color w:val="000000" w:themeColor="text1"/>
                <w:sz w:val="24"/>
                <w:szCs w:val="24"/>
                <w:highlight w:val="none"/>
                <w14:textFill>
                  <w14:solidFill>
                    <w14:schemeClr w14:val="tx1"/>
                  </w14:solidFill>
                </w14:textFill>
              </w:rPr>
              <w:t>胶</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防止在移动病床时损坏墙体或家具。</w:t>
            </w:r>
          </w:p>
          <w:p w14:paraId="22F5268C">
            <w:pPr>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color w:val="000000" w:themeColor="text1"/>
                <w:sz w:val="24"/>
                <w:szCs w:val="24"/>
                <w:highlight w:val="none"/>
                <w14:textFill>
                  <w14:solidFill>
                    <w14:schemeClr w14:val="tx1"/>
                  </w14:solidFill>
                </w14:textFill>
              </w:rPr>
              <w:t>、配置：床垫1张，床头柜1只，陪护椅1张</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7DFD1D51">
            <w:pPr>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11.6、配置急停开关一个，在发生紧急情况的时候，可以通过快速按下来停止所有姿态动作来达到保护的措施。</w:t>
            </w:r>
          </w:p>
        </w:tc>
      </w:tr>
      <w:tr w14:paraId="5E924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noWrap/>
            <w:vAlign w:val="center"/>
          </w:tcPr>
          <w:p w14:paraId="32C43C2D">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9014" w:type="dxa"/>
            <w:noWrap/>
            <w:vAlign w:val="center"/>
          </w:tcPr>
          <w:p w14:paraId="6C167B70">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配套：床垫</w:t>
            </w:r>
          </w:p>
          <w:p w14:paraId="26477D51">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床垫规格：与病床相适 ，床垫厚度：≥80mm，高密度海绵厚度≥50mm，椰棕厚度≥30mm，三折设计，防水防滑透气抗菌材料，采用双层防水布制作，具有防蛀、防腐、耐水性、无气味。床垫的甲醛释放量≤0.038mg/m²h</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需提供相关证明材料</w:t>
            </w:r>
            <w:r>
              <w:rPr>
                <w:rFonts w:hint="eastAsia" w:ascii="宋体" w:hAnsi="宋体" w:eastAsia="宋体" w:cs="宋体"/>
                <w:color w:val="auto"/>
                <w:sz w:val="24"/>
                <w:szCs w:val="24"/>
                <w:highlight w:val="none"/>
                <w:lang w:eastAsia="zh-CN"/>
              </w:rPr>
              <w:t>）</w:t>
            </w:r>
            <w:r>
              <w:rPr>
                <w:rFonts w:hint="eastAsia" w:ascii="宋体" w:hAnsi="宋体" w:eastAsia="宋体" w:cs="宋体"/>
                <w:color w:val="000000" w:themeColor="text1"/>
                <w:sz w:val="24"/>
                <w:szCs w:val="24"/>
                <w:highlight w:val="none"/>
                <w14:textFill>
                  <w14:solidFill>
                    <w14:schemeClr w14:val="tx1"/>
                  </w14:solidFill>
                </w14:textFill>
              </w:rPr>
              <w:t>。</w:t>
            </w:r>
          </w:p>
        </w:tc>
      </w:tr>
      <w:tr w14:paraId="4A2DE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noWrap/>
            <w:vAlign w:val="center"/>
          </w:tcPr>
          <w:p w14:paraId="37A70FF4">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9014" w:type="dxa"/>
            <w:noWrap/>
            <w:vAlign w:val="center"/>
          </w:tcPr>
          <w:p w14:paraId="6BA11024">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配套：床头柜</w:t>
            </w:r>
          </w:p>
          <w:p w14:paraId="023FD368">
            <w:pPr>
              <w:spacing w:line="276"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规格：（允许偏离±</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 xml:space="preserve">0mm）：440*460*800mm。                                                                                           </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、整体采用ABS成型，组合式设计，轻巧、坚固、耐用；</w:t>
            </w:r>
          </w:p>
          <w:p w14:paraId="4D322BAC">
            <w:pPr>
              <w:spacing w:line="276"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、配置一块抽板，作为延伸台面使用；配置抽屉一只；配置一个柜门；配置可伸缩式毛巾架；可内置热水壶。</w:t>
            </w:r>
          </w:p>
          <w:p w14:paraId="45AC9893">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、颜色可为选。</w:t>
            </w:r>
          </w:p>
          <w:p w14:paraId="62B00053">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5、带脚轮，使床头柜摆放固定和活动时更方便。</w:t>
            </w:r>
          </w:p>
        </w:tc>
      </w:tr>
      <w:tr w14:paraId="7C3D3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noWrap/>
            <w:vAlign w:val="center"/>
          </w:tcPr>
          <w:p w14:paraId="2A6E5188">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9014" w:type="dxa"/>
            <w:noWrap/>
            <w:vAlign w:val="center"/>
          </w:tcPr>
          <w:p w14:paraId="384E70DF">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配套：陪护椅</w:t>
            </w:r>
          </w:p>
          <w:p w14:paraId="5658D320">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1、规格（允许偏离±</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0mm）：1860*600*450mm（平放）800*600*950mm(拉起）</w:t>
            </w:r>
          </w:p>
          <w:p w14:paraId="772AF3EE">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2、框架：主体材料采用￠38*1.5mm、￠30*1.5mm、￠25*1.5mm优质碳钢制作。</w:t>
            </w:r>
          </w:p>
          <w:p w14:paraId="1B4E2671">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3、椅面：椅垫表面为优质科技布，内层采用十二夹板，</w:t>
            </w:r>
            <w:r>
              <w:rPr>
                <w:rFonts w:hint="eastAsia" w:ascii="宋体" w:hAnsi="宋体" w:eastAsia="宋体" w:cs="宋体"/>
                <w:color w:val="auto"/>
                <w:sz w:val="24"/>
                <w:szCs w:val="24"/>
                <w:highlight w:val="none"/>
              </w:rPr>
              <w:t>高密度海绵厚度≥50mm</w:t>
            </w:r>
            <w:r>
              <w:rPr>
                <w:rFonts w:hint="eastAsia" w:ascii="宋体" w:hAnsi="宋体" w:eastAsia="宋体" w:cs="宋体"/>
                <w:color w:val="000000" w:themeColor="text1"/>
                <w:sz w:val="24"/>
                <w:szCs w:val="24"/>
                <w:highlight w:val="none"/>
                <w14:textFill>
                  <w14:solidFill>
                    <w14:schemeClr w14:val="tx1"/>
                  </w14:solidFill>
                </w14:textFill>
              </w:rPr>
              <w:t>。</w:t>
            </w:r>
          </w:p>
          <w:p w14:paraId="0F7470B7">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4、打开时为一张睡床，收起时为一张沙发椅子。</w:t>
            </w:r>
          </w:p>
          <w:p w14:paraId="03F81882">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5、椅面拉伸部分：底部设有优质脚轮4个，方便拉出，拉出时轻松灵活，无噪音。</w:t>
            </w:r>
          </w:p>
          <w:p w14:paraId="411B23DA">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6、椅脚：椅腿下方装有塑胶脚套，防止与地面摩擦产生噪音和损伤地面。</w:t>
            </w:r>
          </w:p>
          <w:p w14:paraId="682966BF">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7、左右扶手：由￠38*1.5mm圆管组成弯曲焊接而成，表面喷涂工艺，外表平整光滑，上面放置ABS扶手套。整体美观又耐用。</w:t>
            </w:r>
          </w:p>
          <w:p w14:paraId="6B90ED8E">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8、颜色可按医院定，宽度按病房空间定。</w:t>
            </w:r>
          </w:p>
        </w:tc>
      </w:tr>
      <w:tr w14:paraId="6490A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noWrap/>
            <w:vAlign w:val="center"/>
          </w:tcPr>
          <w:p w14:paraId="5B080A41">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w:t>
            </w:r>
          </w:p>
        </w:tc>
        <w:tc>
          <w:tcPr>
            <w:tcW w:w="9014" w:type="dxa"/>
            <w:noWrap/>
            <w:vAlign w:val="center"/>
          </w:tcPr>
          <w:p w14:paraId="10658F18">
            <w:pPr>
              <w:pStyle w:val="259"/>
              <w:ind w:firstLine="0" w:firstLineChars="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妇科检查床（可升降）3张</w:t>
            </w:r>
          </w:p>
        </w:tc>
      </w:tr>
      <w:tr w14:paraId="378DA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noWrap/>
            <w:vAlign w:val="center"/>
          </w:tcPr>
          <w:p w14:paraId="22A04190">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9014" w:type="dxa"/>
            <w:noWrap/>
            <w:vAlign w:val="center"/>
          </w:tcPr>
          <w:p w14:paraId="5BBDBA53">
            <w:pPr>
              <w:widowControl/>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1、规格尺寸：床面尺寸1320 mm X 550 mm；辅助台尺寸480 mm X 480 mm（允许偏离±</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0mm）</w:t>
            </w:r>
          </w:p>
          <w:p w14:paraId="76696B3F">
            <w:pPr>
              <w:widowControl/>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2、高度调节范围：床面升降高度600 mm ~ 850 mm±20mm</w:t>
            </w:r>
          </w:p>
          <w:p w14:paraId="11FF018A">
            <w:pPr>
              <w:widowControl/>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3、背部角度调节：背部升降角度0°~ 50°±2°</w:t>
            </w:r>
          </w:p>
          <w:p w14:paraId="324B8582">
            <w:pPr>
              <w:widowControl/>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4、臀部角度调节：臀部升降角度0°~ 20°±2°</w:t>
            </w:r>
          </w:p>
          <w:p w14:paraId="2BB58CE2">
            <w:pPr>
              <w:widowControl/>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5、安全工作载荷：≥200kg</w:t>
            </w:r>
          </w:p>
          <w:p w14:paraId="7072070B">
            <w:pPr>
              <w:widowControl/>
              <w:jc w:val="left"/>
              <w:textAlignment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6、电动系统：24V低压直流电动装置,≥IP54防水防尘，≤55dB（A）低噪音、安全可靠</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3F483CB6">
            <w:pPr>
              <w:widowControl/>
              <w:jc w:val="left"/>
              <w:textAlignment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7、电气安全：符合EMC电磁兼容要求，对周边设备无电磁干扰</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0F2087D2">
            <w:pPr>
              <w:widowControl/>
              <w:jc w:val="left"/>
              <w:textAlignment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8、绝缘保护：II类B型绝缘保护，耐4KV高压，具有热熔断保护装置</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74B1BCD5">
            <w:pPr>
              <w:widowControl/>
              <w:jc w:val="left"/>
              <w:textAlignment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9、操作系统：配备线控制器和脚踏控制器双操作系统</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9D57E7E">
            <w:pPr>
              <w:widowControl/>
              <w:jc w:val="left"/>
              <w:textAlignment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10、电动推杆：配备电动推杆3支，24V安全电压驱动，推力≥6000N</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5B3DAC1C">
            <w:pPr>
              <w:widowControl/>
              <w:jc w:val="left"/>
              <w:textAlignment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11、辅助台：抽屉式辅助台，并可于隐藏床体内不占空间</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7445856">
            <w:pPr>
              <w:widowControl/>
              <w:jc w:val="left"/>
              <w:textAlignment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12、床面材质：床面模具发泡一次成型，无缝设计，设有导流层，可防止液体渗入</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29DAB27E">
            <w:pPr>
              <w:widowControl/>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★13、床框材质：特种高强度铝合金型材中箱，模具一次拉铸，弧面无棱角，美观、永久耐腐蚀</w:t>
            </w:r>
          </w:p>
          <w:p w14:paraId="1CB11AEC">
            <w:pPr>
              <w:widowControl/>
              <w:jc w:val="left"/>
              <w:textAlignment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14、底盘和脚轮：亚克力底盘罩，10mm冷轧钢板激光切割底盘，底部设有脚轮和双支点定位制动，不锈钢刹车踏板，刹车方便可靠</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562CCF90">
            <w:pPr>
              <w:widowControl/>
              <w:jc w:val="left"/>
              <w:textAlignment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15、托腿架：EVA模具发泡一次成型托腿架，贴合腿部曲线，柔软舒适</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61CFDD8">
            <w:pPr>
              <w:widowControl/>
              <w:jc w:val="left"/>
              <w:textAlignment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16、手臂支架：模具发泡一次成型手臂支架，可调节高度和展开角度</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7F7959B7">
            <w:pPr>
              <w:widowControl/>
              <w:jc w:val="left"/>
              <w:textAlignment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17、锁匙器：齿形不锈钢锁匙器，可满足全方位角度调节</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1D62155">
            <w:pPr>
              <w:widowControl/>
              <w:jc w:val="left"/>
              <w:textAlignment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18、侧轨：座板及背板两侧不锈钢304标准8*30mm侧方导轨，可拓展附件</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707721FE">
            <w:pPr>
              <w:widowControl/>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19、设备附件：手臂支架1付，手控器1个，脚踏控制器1个，EVA模具发泡托腿架1付，高强度铝型材握柄1付，配备亚克力漏斗1个，不锈钢污物桶1个，可换洗床罩2张，不锈钢伸缩输液架1根。</w:t>
            </w:r>
          </w:p>
        </w:tc>
      </w:tr>
      <w:tr w14:paraId="5311F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noWrap/>
            <w:vAlign w:val="center"/>
          </w:tcPr>
          <w:p w14:paraId="0EEE13AF">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五</w:t>
            </w:r>
          </w:p>
        </w:tc>
        <w:tc>
          <w:tcPr>
            <w:tcW w:w="9014" w:type="dxa"/>
            <w:noWrap/>
            <w:vAlign w:val="center"/>
          </w:tcPr>
          <w:p w14:paraId="340248F5">
            <w:pPr>
              <w:widowControl/>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妇科检查床（固定）  5张</w:t>
            </w:r>
          </w:p>
        </w:tc>
      </w:tr>
      <w:tr w14:paraId="49FB3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noWrap/>
            <w:vAlign w:val="center"/>
          </w:tcPr>
          <w:p w14:paraId="2DD26111">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9014" w:type="dxa"/>
            <w:noWrap/>
            <w:vAlign w:val="center"/>
          </w:tcPr>
          <w:p w14:paraId="3D495523">
            <w:pPr>
              <w:pStyle w:val="48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1、床面尺寸1300 mm X 550mm X 800 mm（允许偏离±</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0mm）</w:t>
            </w:r>
          </w:p>
          <w:p w14:paraId="1FA31CC6">
            <w:pPr>
              <w:pStyle w:val="48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2、背部升降角度为-10°~60°(液压控制可调)；</w:t>
            </w:r>
          </w:p>
          <w:p w14:paraId="79AC2498">
            <w:pPr>
              <w:pStyle w:val="48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3、优质304不锈钢基座，美观易清理；</w:t>
            </w:r>
          </w:p>
          <w:p w14:paraId="64ED8512">
            <w:pPr>
              <w:pStyle w:val="48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4、底部设有脚轮和一点定位制动，刹车方便可靠；</w:t>
            </w:r>
          </w:p>
          <w:p w14:paraId="2F5C4C93">
            <w:pPr>
              <w:pStyle w:val="48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5、配套EVA模具发泡成型托腿架；</w:t>
            </w:r>
          </w:p>
          <w:p w14:paraId="5D1A261E">
            <w:pPr>
              <w:pStyle w:val="48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6、高强度铝型材握柄；</w:t>
            </w:r>
          </w:p>
          <w:p w14:paraId="6B0313E3">
            <w:pPr>
              <w:pStyle w:val="48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7、配套防滑踏脚凳，方便病患上下；</w:t>
            </w:r>
          </w:p>
          <w:p w14:paraId="326CB65E">
            <w:pPr>
              <w:pStyle w:val="48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8、床面模具发泡一次成型，无缝设计，带导流层防止液体渗入；</w:t>
            </w:r>
          </w:p>
          <w:p w14:paraId="6FB4B24B">
            <w:pPr>
              <w:pStyle w:val="48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9、配备亚克力冲洗漏斗和不锈钢污物桶；</w:t>
            </w:r>
          </w:p>
          <w:p w14:paraId="761956C7">
            <w:pPr>
              <w:pStyle w:val="48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10、安全工作载荷：250 KG；</w:t>
            </w:r>
          </w:p>
          <w:p w14:paraId="2B0F3706">
            <w:pPr>
              <w:pStyle w:val="485"/>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11、选配LED软管光斑可调妇科检查灯。</w:t>
            </w:r>
          </w:p>
        </w:tc>
      </w:tr>
      <w:tr w14:paraId="16FF2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noWrap/>
            <w:vAlign w:val="center"/>
          </w:tcPr>
          <w:p w14:paraId="15AA6BCA">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六</w:t>
            </w:r>
          </w:p>
        </w:tc>
        <w:tc>
          <w:tcPr>
            <w:tcW w:w="9014" w:type="dxa"/>
            <w:noWrap/>
            <w:vAlign w:val="center"/>
          </w:tcPr>
          <w:p w14:paraId="490924BD">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新生儿病床   25张</w:t>
            </w:r>
          </w:p>
        </w:tc>
      </w:tr>
      <w:tr w14:paraId="36AAC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noWrap/>
            <w:vAlign w:val="center"/>
          </w:tcPr>
          <w:p w14:paraId="24BDCEAD">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9014" w:type="dxa"/>
            <w:noWrap/>
            <w:vAlign w:val="center"/>
          </w:tcPr>
          <w:p w14:paraId="1E52978E">
            <w:pPr>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规格：规格（允许偏离±</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0mm）：全长850mm，宽530mm，全高920mm</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7FA8AC05">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、功能：通过气杆系统可将婴儿盆进行前倾动作，前倾斜0-10°±3°。</w:t>
            </w:r>
          </w:p>
          <w:p w14:paraId="5FDE7F62">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、婴儿盆采用优质透明PP一次成型制作，底部设置有多个透气孔，两侧扶手处PU材质，抓握手感舒适。</w:t>
            </w:r>
          </w:p>
          <w:p w14:paraId="229C6A38">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、整体材质为优质碳素型材焊接和组装而成，表面无菌塑粉静电喷塑。</w:t>
            </w:r>
          </w:p>
          <w:p w14:paraId="6DD8C2FE">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、脚轮支座为弯管结构，直径为32mm,整体无棱角，储物超大空间。</w:t>
            </w:r>
          </w:p>
          <w:p w14:paraId="1794623C">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 底下配有托盘：采用优质钢材折弯焊接而成，表面经过浸塑处理提升美观性和手感，可取下，方便护理使用。</w:t>
            </w:r>
          </w:p>
          <w:p w14:paraId="16648A24">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、脚轮：采用优质φ100mm的对角刹车脚轮，树脂双面轮稳定性、安全性更好。</w:t>
            </w:r>
          </w:p>
          <w:p w14:paraId="4C842EFE">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、配置蚊帐，可拆卸。</w:t>
            </w:r>
          </w:p>
        </w:tc>
      </w:tr>
      <w:tr w14:paraId="75F68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noWrap/>
            <w:vAlign w:val="center"/>
          </w:tcPr>
          <w:p w14:paraId="37D9CDE0">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七</w:t>
            </w:r>
          </w:p>
        </w:tc>
        <w:tc>
          <w:tcPr>
            <w:tcW w:w="9014" w:type="dxa"/>
            <w:noWrap/>
            <w:vAlign w:val="center"/>
          </w:tcPr>
          <w:p w14:paraId="1701E9E5">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诊断床  1张</w:t>
            </w:r>
          </w:p>
        </w:tc>
      </w:tr>
      <w:tr w14:paraId="0F132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noWrap/>
            <w:vAlign w:val="center"/>
          </w:tcPr>
          <w:p w14:paraId="0441AD45">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9014" w:type="dxa"/>
            <w:noWrap/>
            <w:vAlign w:val="center"/>
          </w:tcPr>
          <w:p w14:paraId="370462C4">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1、规格（允许偏离±</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0mm）：1930*650*520-920mm。</w:t>
            </w:r>
          </w:p>
          <w:p w14:paraId="5DC0D1BC">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2、车体钢体喷塑，床板为PP树脂材料注塑成型，两段式床面板。</w:t>
            </w:r>
          </w:p>
          <w:p w14:paraId="27FC7CBE">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3、两片式PP护栏，护栏采用PP工程塑料注塑成型，PP树脂护栏上有方便引流管通过的凹槽，床两边有挂钩。 </w:t>
            </w:r>
          </w:p>
          <w:p w14:paraId="2FDE54ED">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4、后背采用气杆控制升降,可作为“心脏复苏位”快速释放把手使用；床板位置调节：背板0-75度。 </w:t>
            </w:r>
          </w:p>
          <w:p w14:paraId="4ABC8E6B">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5、万向轮：Φ15cm中控静音脚轮，中控刹车，易于制动，稳定；</w:t>
            </w:r>
          </w:p>
          <w:p w14:paraId="35E61048">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6、平车头尾带有对角输液架插孔，并配有 1 根输液架，方便患者输液； </w:t>
            </w:r>
          </w:p>
          <w:p w14:paraId="394667C6">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7、四角设计有孔状，可做把手使用方便护理急救人员操作。</w:t>
            </w:r>
          </w:p>
          <w:p w14:paraId="335C03DD">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8、平车带有氧气瓶托架，可放置 5L 氧气瓶，以便急救使用。 </w:t>
            </w:r>
          </w:p>
          <w:p w14:paraId="001A8D07">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9、带有厚度3CM牛津布车垫，床套四周有拉链，可将床罩拆卸清洗。</w:t>
            </w:r>
          </w:p>
        </w:tc>
      </w:tr>
      <w:tr w14:paraId="01E2F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noWrap/>
            <w:vAlign w:val="center"/>
          </w:tcPr>
          <w:p w14:paraId="7C161FBF">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八</w:t>
            </w:r>
          </w:p>
        </w:tc>
        <w:tc>
          <w:tcPr>
            <w:tcW w:w="9014" w:type="dxa"/>
            <w:noWrap/>
            <w:vAlign w:val="center"/>
          </w:tcPr>
          <w:p w14:paraId="4E0C69DE">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普通电动床  407张（需提供样品）</w:t>
            </w:r>
          </w:p>
        </w:tc>
      </w:tr>
      <w:tr w14:paraId="5E8A7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noWrap/>
            <w:vAlign w:val="center"/>
          </w:tcPr>
          <w:p w14:paraId="5CDD3FF9">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9014" w:type="dxa"/>
            <w:noWrap/>
            <w:vAlign w:val="center"/>
          </w:tcPr>
          <w:p w14:paraId="5A8E1095">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1、床体规格（允许偏离±</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0mm）：整床尺寸:2180mm×960mm×500mm（±30mm）；床面尺寸：≥1900*830mm。床体安全载重≥240kg。</w:t>
            </w:r>
          </w:p>
          <w:p w14:paraId="29DE57EF">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2、功能：通过手持控制器操作实现各种体位，背板角度：≥70±5°、腿板角度：≥40±5°。</w:t>
            </w:r>
          </w:p>
          <w:p w14:paraId="6E586E60">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3、床框与床板</w:t>
            </w:r>
          </w:p>
          <w:p w14:paraId="43DFD73B">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★3.1、床框采用主梁</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40X60X1.5mm和副梁</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25X40X1.5mm的矩形优质碳素结构钢材激光切割成型，主梁副梁组合焊接而成，床体纵向四梁结构（提供实物彩图佐证）稳固运行无噪音，坚固扎实，使背部和腿部的升降角度在任意幅度使用过程中稳定（背部和腿部在升降≥</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0000次后主梁的变形量≤3mm，提供功能及参数测试省级及以上第三方检测机构完整检测报告）。</w:t>
            </w:r>
          </w:p>
          <w:p w14:paraId="5520BDD0">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★3.2、床面板需采用≥1.0mm厚冷轧钢板，一次性模压成型和背面焊接加强管的组合方式，四块床板带模压凹槽和透气孔，模压凹槽深度≥4.0mm，保证床面运行的平稳（床面板运行≥</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0000次后连接处固定螺栓磨损程度≤0.5mm，提供功能及参数测试省级及以上第三方检测机构完整检测报告）。</w:t>
            </w:r>
          </w:p>
          <w:p w14:paraId="2E631341">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4、电控系统：强劲动力，性能稳定，平缓静音，防水等级≥IPX4。</w:t>
            </w:r>
          </w:p>
          <w:p w14:paraId="40E33773">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5、床头床尾板</w:t>
            </w:r>
          </w:p>
          <w:p w14:paraId="647CA5C6">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5.1、床头尾板规格≥940×510mm，其中颜色搭配装饰部分采用转印技术附着于工程塑料上，采用嵌入式子母扣安装方式（提供实物剖析彩图佐证）；</w:t>
            </w:r>
          </w:p>
          <w:p w14:paraId="06DAC359">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★5.2、床头尾板采用双锁扣固定装置，锁扣开关固定于床梁上并有明显颜色区分，固定时牢固，解锁时方便，开关规格不小于95*25mm（提供实物彩图佐证）；</w:t>
            </w:r>
          </w:p>
          <w:p w14:paraId="7F793096">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、床头尾板需由全新PP(聚丙烯）原料吹塑成型技术制作而成；床头尾板固定时应在受</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KG拉力情况下不产生损坏（提供参数测试省级及以上第三方检测机构完整检测报告），可正常使用。</w:t>
            </w:r>
          </w:p>
          <w:p w14:paraId="3CAA44E9">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6、护栏</w:t>
            </w:r>
          </w:p>
          <w:p w14:paraId="2A87BD9F">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6.1、护栏采用6档折叠式铝合金护栏，高强度耐腐蚀。整体护栏总长度:≥1450mm,整体高度≥410mm；护栏的横向拉力强度可承受≥75KG拉力情况下不产生损坏（提供参数测试省级及以上第三方检测机构完整检测报告），可正常使用</w:t>
            </w:r>
          </w:p>
          <w:p w14:paraId="1B0AB758">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★6.2、</w:t>
            </w:r>
            <w:r>
              <w:rPr>
                <w:rFonts w:hint="eastAsia" w:ascii="宋体" w:hAnsi="宋体" w:eastAsia="宋体" w:cs="宋体"/>
                <w:color w:val="000000" w:themeColor="text1"/>
                <w:sz w:val="24"/>
                <w:szCs w:val="24"/>
                <w:highlight w:val="none"/>
                <w:lang w:eastAsia="zh-CN"/>
                <w14:textFill>
                  <w14:solidFill>
                    <w14:schemeClr w14:val="tx1"/>
                  </w14:solidFill>
                </w14:textFill>
              </w:rPr>
              <w:t>护栏</w:t>
            </w:r>
            <w:r>
              <w:rPr>
                <w:rFonts w:hint="eastAsia" w:ascii="宋体" w:hAnsi="宋体" w:eastAsia="宋体" w:cs="宋体"/>
                <w:color w:val="000000" w:themeColor="text1"/>
                <w:sz w:val="24"/>
                <w:szCs w:val="24"/>
                <w:highlight w:val="none"/>
                <w14:textFill>
                  <w14:solidFill>
                    <w14:schemeClr w14:val="tx1"/>
                  </w14:solidFill>
                </w14:textFill>
              </w:rPr>
              <w:t>开关</w:t>
            </w:r>
            <w:r>
              <w:rPr>
                <w:rFonts w:hint="eastAsia" w:ascii="宋体" w:hAnsi="宋体" w:eastAsia="宋体" w:cs="宋体"/>
                <w:color w:val="000000" w:themeColor="text1"/>
                <w:sz w:val="24"/>
                <w:szCs w:val="24"/>
                <w:highlight w:val="none"/>
                <w:lang w:eastAsia="zh-CN"/>
                <w14:textFill>
                  <w14:solidFill>
                    <w14:schemeClr w14:val="tx1"/>
                  </w14:solidFill>
                </w14:textFill>
              </w:rPr>
              <w:t>、开关</w:t>
            </w:r>
            <w:r>
              <w:rPr>
                <w:rFonts w:hint="eastAsia" w:ascii="宋体" w:hAnsi="宋体" w:eastAsia="宋体" w:cs="宋体"/>
                <w:color w:val="000000" w:themeColor="text1"/>
                <w:sz w:val="24"/>
                <w:szCs w:val="24"/>
                <w:highlight w:val="none"/>
                <w14:textFill>
                  <w14:solidFill>
                    <w14:schemeClr w14:val="tx1"/>
                  </w14:solidFill>
                </w14:textFill>
              </w:rPr>
              <w:t>支架及开关锁销均采用金属铝合金材质一次性压铸成型（提供</w:t>
            </w:r>
            <w:r>
              <w:rPr>
                <w:rFonts w:hint="eastAsia" w:ascii="宋体" w:hAnsi="宋体" w:eastAsia="宋体" w:cs="宋体"/>
                <w:color w:val="000000" w:themeColor="text1"/>
                <w:sz w:val="24"/>
                <w:szCs w:val="24"/>
                <w:highlight w:val="none"/>
                <w:lang w:eastAsia="zh-CN"/>
                <w14:textFill>
                  <w14:solidFill>
                    <w14:schemeClr w14:val="tx1"/>
                  </w14:solidFill>
                </w14:textFill>
              </w:rPr>
              <w:t>护栏</w:t>
            </w:r>
            <w:r>
              <w:rPr>
                <w:rFonts w:hint="eastAsia" w:ascii="宋体" w:hAnsi="宋体" w:eastAsia="宋体" w:cs="宋体"/>
                <w:color w:val="000000" w:themeColor="text1"/>
                <w:sz w:val="24"/>
                <w:szCs w:val="24"/>
                <w:highlight w:val="none"/>
                <w14:textFill>
                  <w14:solidFill>
                    <w14:schemeClr w14:val="tx1"/>
                  </w14:solidFill>
                </w14:textFill>
              </w:rPr>
              <w:t>开关</w:t>
            </w:r>
            <w:r>
              <w:rPr>
                <w:rFonts w:hint="eastAsia" w:ascii="宋体" w:hAnsi="宋体" w:eastAsia="宋体" w:cs="宋体"/>
                <w:color w:val="000000" w:themeColor="text1"/>
                <w:sz w:val="24"/>
                <w:szCs w:val="24"/>
                <w:highlight w:val="none"/>
                <w:lang w:eastAsia="zh-CN"/>
                <w14:textFill>
                  <w14:solidFill>
                    <w14:schemeClr w14:val="tx1"/>
                  </w14:solidFill>
                </w14:textFill>
              </w:rPr>
              <w:t>、开关</w:t>
            </w:r>
            <w:r>
              <w:rPr>
                <w:rFonts w:hint="eastAsia" w:ascii="宋体" w:hAnsi="宋体" w:eastAsia="宋体" w:cs="宋体"/>
                <w:color w:val="000000" w:themeColor="text1"/>
                <w:sz w:val="24"/>
                <w:szCs w:val="24"/>
                <w:highlight w:val="none"/>
                <w14:textFill>
                  <w14:solidFill>
                    <w14:schemeClr w14:val="tx1"/>
                  </w14:solidFill>
                </w14:textFill>
              </w:rPr>
              <w:t>支架及开关锁销铝合金材质</w:t>
            </w:r>
            <w:r>
              <w:rPr>
                <w:rFonts w:hint="eastAsia" w:ascii="宋体" w:hAnsi="宋体" w:eastAsia="宋体" w:cs="宋体"/>
                <w:color w:val="000000" w:themeColor="text1"/>
                <w:sz w:val="24"/>
                <w:szCs w:val="24"/>
                <w:highlight w:val="none"/>
                <w:lang w:eastAsia="zh-CN"/>
                <w14:textFill>
                  <w14:solidFill>
                    <w14:schemeClr w14:val="tx1"/>
                  </w14:solidFill>
                </w14:textFill>
              </w:rPr>
              <w:t>证明和</w:t>
            </w:r>
            <w:r>
              <w:rPr>
                <w:rFonts w:hint="eastAsia" w:ascii="宋体" w:hAnsi="宋体" w:eastAsia="宋体" w:cs="宋体"/>
                <w:color w:val="000000" w:themeColor="text1"/>
                <w:sz w:val="24"/>
                <w:szCs w:val="24"/>
                <w:highlight w:val="none"/>
                <w14:textFill>
                  <w14:solidFill>
                    <w14:schemeClr w14:val="tx1"/>
                  </w14:solidFill>
                </w14:textFill>
              </w:rPr>
              <w:t>硬度测试省级及以上第三方检测机构完整检测报告），操作轻巧、舒适；开关处带有生产厂家模印LOGO（提供实物彩图佐证）。</w:t>
            </w:r>
          </w:p>
          <w:p w14:paraId="02F31A55">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6.3、护栏开关锁销加粗设计，不小于10*10mm（提供参数测试省级及以上第三方检测机构完整检测报告），锁定牢固。</w:t>
            </w:r>
          </w:p>
          <w:p w14:paraId="704209FD">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脚轮为五寸双面中控轮，Ф28mm插杆式固定设计；主架采用三片组合式金属钢架材质（耐候性和承载能力强），刹车齿盘金属结构，轮体表面采用TPE耐磨材质，牢固耐用；内置全封闭自润滑轴承，防水、防异物卷入，静音耐磨；中控刹车装置位于床体腿部底座中央，带警示色操作示意，一脚制动，四轮刹车。</w:t>
            </w:r>
          </w:p>
          <w:p w14:paraId="1D71EEED">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8、病床焊接工艺：病床的各种金属部件均由焊接机器人焊接，杜绝虚焊、焊穿等现象的出现，确保病床安全可靠，牢固结实。</w:t>
            </w:r>
          </w:p>
          <w:p w14:paraId="70BB8B6D">
            <w:pPr>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9、病床金属表面处理: 采用国内外先进流水线工艺，达到内外防锈的效果</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A2F0126">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10、餐桌板</w:t>
            </w:r>
          </w:p>
          <w:p w14:paraId="5F7B92B6">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10.1、规格：≥800X310mm。</w:t>
            </w:r>
          </w:p>
          <w:p w14:paraId="415E685D">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10.2、款式：采用一体式阻尼缓冲结构餐桌板。</w:t>
            </w:r>
          </w:p>
          <w:p w14:paraId="06A3D9B7">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11、其他配置</w:t>
            </w:r>
          </w:p>
          <w:p w14:paraId="60FDCEA2">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11.1、床体四周配置不小于4个输液架插座。</w:t>
            </w:r>
          </w:p>
          <w:p w14:paraId="0C4FA9D3">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11.2、床体两侧配置不小于4处引流挂钩。</w:t>
            </w:r>
          </w:p>
          <w:p w14:paraId="5E46FA59">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11.3、底座配置杂物架一个。</w:t>
            </w:r>
          </w:p>
          <w:p w14:paraId="6D366D39">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11.4、</w:t>
            </w:r>
            <w:r>
              <w:rPr>
                <w:rFonts w:hint="eastAsia" w:ascii="宋体" w:hAnsi="宋体" w:eastAsia="宋体" w:cs="宋体"/>
                <w:color w:val="000000" w:themeColor="text1"/>
                <w:sz w:val="24"/>
                <w:szCs w:val="24"/>
                <w:highlight w:val="none"/>
                <w14:textFill>
                  <w14:solidFill>
                    <w14:schemeClr w14:val="tx1"/>
                  </w14:solidFill>
                </w14:textFill>
              </w:rPr>
              <w:t>床体四角配防撞</w:t>
            </w:r>
            <w:r>
              <w:rPr>
                <w:rFonts w:hint="eastAsia" w:ascii="宋体" w:hAnsi="宋体" w:eastAsia="宋体" w:cs="宋体"/>
                <w:color w:val="000000" w:themeColor="text1"/>
                <w:sz w:val="24"/>
                <w:szCs w:val="24"/>
                <w:highlight w:val="none"/>
                <w:lang w:val="en-US" w:eastAsia="zh-CN"/>
                <w14:textFill>
                  <w14:solidFill>
                    <w14:schemeClr w14:val="tx1"/>
                  </w14:solidFill>
                </w14:textFill>
              </w:rPr>
              <w:t>软</w:t>
            </w:r>
            <w:r>
              <w:rPr>
                <w:rFonts w:hint="eastAsia" w:ascii="宋体" w:hAnsi="宋体" w:eastAsia="宋体" w:cs="宋体"/>
                <w:color w:val="000000" w:themeColor="text1"/>
                <w:sz w:val="24"/>
                <w:szCs w:val="24"/>
                <w:highlight w:val="none"/>
                <w14:textFill>
                  <w14:solidFill>
                    <w14:schemeClr w14:val="tx1"/>
                  </w14:solidFill>
                </w14:textFill>
              </w:rPr>
              <w:t>胶</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防止在移动病床时损坏墙体或家具。</w:t>
            </w:r>
          </w:p>
          <w:p w14:paraId="4CCC92ED">
            <w:pPr>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color w:val="000000" w:themeColor="text1"/>
                <w:sz w:val="24"/>
                <w:szCs w:val="24"/>
                <w:highlight w:val="none"/>
                <w14:textFill>
                  <w14:solidFill>
                    <w14:schemeClr w14:val="tx1"/>
                  </w14:solidFill>
                </w14:textFill>
              </w:rPr>
              <w:t>、配置：床垫1张，床头柜1只，陪护椅1张</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26167B32">
            <w:pPr>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11.6、配置急停开关一个，在发生紧急情况的时候，可以通过快速按下来停止所有姿态动作来达到保护的措施。</w:t>
            </w:r>
          </w:p>
        </w:tc>
      </w:tr>
      <w:tr w14:paraId="21026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noWrap/>
            <w:vAlign w:val="center"/>
          </w:tcPr>
          <w:p w14:paraId="06B46E38">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9014" w:type="dxa"/>
            <w:noWrap/>
            <w:vAlign w:val="center"/>
          </w:tcPr>
          <w:p w14:paraId="19F3ECE3">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配套：陪护椅</w:t>
            </w:r>
          </w:p>
          <w:p w14:paraId="56D8FAC2">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1、规格（允许偏离±</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0mm）：1860*600*450mm（平放）800*600*950mm(拉起）</w:t>
            </w:r>
          </w:p>
          <w:p w14:paraId="274D0E7C">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2、框架：主体材料采用￠38*1.5mm、￠30*1.5mm、￠25*1.5mm优质碳钢制作。</w:t>
            </w:r>
          </w:p>
          <w:p w14:paraId="4DE89CD4">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3、椅面：椅垫表面为优质科技布，内层采用十二夹板，</w:t>
            </w:r>
            <w:r>
              <w:rPr>
                <w:rFonts w:hint="eastAsia" w:ascii="宋体" w:hAnsi="宋体" w:eastAsia="宋体" w:cs="宋体"/>
                <w:color w:val="auto"/>
                <w:sz w:val="24"/>
                <w:szCs w:val="24"/>
                <w:highlight w:val="none"/>
              </w:rPr>
              <w:t>高密度海绵厚度≥50mm</w:t>
            </w:r>
            <w:r>
              <w:rPr>
                <w:rFonts w:hint="eastAsia" w:ascii="宋体" w:hAnsi="宋体" w:eastAsia="宋体" w:cs="宋体"/>
                <w:color w:val="000000" w:themeColor="text1"/>
                <w:sz w:val="24"/>
                <w:szCs w:val="24"/>
                <w:highlight w:val="none"/>
                <w14:textFill>
                  <w14:solidFill>
                    <w14:schemeClr w14:val="tx1"/>
                  </w14:solidFill>
                </w14:textFill>
              </w:rPr>
              <w:t>。</w:t>
            </w:r>
          </w:p>
          <w:p w14:paraId="40FA04B5">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4、打开时为一张睡床，收起时为一张沙发椅子。</w:t>
            </w:r>
          </w:p>
          <w:p w14:paraId="041DD556">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5、椅面拉伸部分：底部设有优质脚轮4个，方便拉出，拉出时轻松灵活，无噪音。</w:t>
            </w:r>
          </w:p>
          <w:p w14:paraId="27A3FB73">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6、椅脚：椅腿下方装有塑胶脚套，防止与地面摩擦产生噪音和损伤地面。</w:t>
            </w:r>
          </w:p>
          <w:p w14:paraId="5338E6D7">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7、左右扶手：由￠38*1.5mm圆管组成弯曲焊接而成，表面喷涂工艺，外表平整光滑，上面放置ABS扶手套。整体美观又耐用。</w:t>
            </w:r>
          </w:p>
          <w:p w14:paraId="0DD64609">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8、颜色可按医院定，宽度按病房空间定。</w:t>
            </w:r>
          </w:p>
        </w:tc>
      </w:tr>
      <w:tr w14:paraId="7427D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noWrap/>
            <w:vAlign w:val="center"/>
          </w:tcPr>
          <w:p w14:paraId="371D1ED7">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9014" w:type="dxa"/>
            <w:noWrap/>
            <w:vAlign w:val="center"/>
          </w:tcPr>
          <w:p w14:paraId="75105862">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配套：床头柜</w:t>
            </w:r>
          </w:p>
          <w:p w14:paraId="672336B0">
            <w:pPr>
              <w:spacing w:line="276"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规格：（允许偏离±</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 xml:space="preserve">0mm）：440*460*800mm。                                                                                           </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、整体采用ABS成型，组合式设计，轻巧、坚固、耐用；</w:t>
            </w:r>
          </w:p>
          <w:p w14:paraId="1673235B">
            <w:pPr>
              <w:spacing w:line="276"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、配置一块抽板，作为延伸台面使用；配置抽屉一只；配置一个柜门；配置可伸缩式毛巾架；可内置热水壶。</w:t>
            </w:r>
          </w:p>
          <w:p w14:paraId="1BC66A4C">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、颜色可为选。</w:t>
            </w:r>
          </w:p>
          <w:p w14:paraId="15BC49BF">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5、带脚轮，使床头柜摆放固定和活动时更方便。</w:t>
            </w:r>
          </w:p>
        </w:tc>
      </w:tr>
      <w:tr w14:paraId="1539A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noWrap/>
            <w:vAlign w:val="center"/>
          </w:tcPr>
          <w:p w14:paraId="3BBFF383">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9014" w:type="dxa"/>
            <w:noWrap/>
            <w:vAlign w:val="center"/>
          </w:tcPr>
          <w:p w14:paraId="2636C910">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配套：床垫</w:t>
            </w:r>
          </w:p>
          <w:p w14:paraId="4FCE69A1">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床垫规格：与病床相适 ，床垫厚度：≥80mm，高密度海绵厚度≥50mm，椰棕厚度≥30mm，三折设计，防水防滑透气抗菌材料，采用双层防水布制作，具有防蛀、防腐、耐水性、无气味。床垫的甲醛释放量≤0.038mg/m²h</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需提供相关证明材料</w:t>
            </w:r>
            <w:r>
              <w:rPr>
                <w:rFonts w:hint="eastAsia" w:ascii="宋体" w:hAnsi="宋体" w:eastAsia="宋体" w:cs="宋体"/>
                <w:color w:val="auto"/>
                <w:sz w:val="24"/>
                <w:szCs w:val="24"/>
                <w:highlight w:val="none"/>
                <w:lang w:eastAsia="zh-CN"/>
              </w:rPr>
              <w:t>）</w:t>
            </w:r>
            <w:r>
              <w:rPr>
                <w:rFonts w:hint="eastAsia" w:ascii="宋体" w:hAnsi="宋体" w:eastAsia="宋体" w:cs="宋体"/>
                <w:color w:val="000000" w:themeColor="text1"/>
                <w:sz w:val="24"/>
                <w:szCs w:val="24"/>
                <w:highlight w:val="none"/>
                <w14:textFill>
                  <w14:solidFill>
                    <w14:schemeClr w14:val="tx1"/>
                  </w14:solidFill>
                </w14:textFill>
              </w:rPr>
              <w:t>。</w:t>
            </w:r>
          </w:p>
        </w:tc>
      </w:tr>
      <w:tr w14:paraId="26F18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noWrap/>
            <w:vAlign w:val="center"/>
          </w:tcPr>
          <w:p w14:paraId="55F73E01">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九</w:t>
            </w:r>
          </w:p>
        </w:tc>
        <w:tc>
          <w:tcPr>
            <w:tcW w:w="9014" w:type="dxa"/>
            <w:noWrap/>
            <w:vAlign w:val="center"/>
          </w:tcPr>
          <w:p w14:paraId="38FA6393">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电动血透床65张</w:t>
            </w:r>
          </w:p>
        </w:tc>
      </w:tr>
      <w:tr w14:paraId="599AC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noWrap/>
            <w:vAlign w:val="center"/>
          </w:tcPr>
          <w:p w14:paraId="17CA8B34">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9014" w:type="dxa"/>
            <w:noWrap/>
            <w:vAlign w:val="center"/>
          </w:tcPr>
          <w:p w14:paraId="392CD369">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1、整床尺寸（允许偏离±</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0mm）: 2100*800*500mm。床面尺寸（允许偏离±</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0mm）：≥1900*750mm（床头70cm；床尾70cm；中间50cm）。病床调节范围：背部升降0-70°（±5°），腿部升降 0-70°（±5°）。</w:t>
            </w:r>
          </w:p>
          <w:p w14:paraId="0932C3FF">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2、床板：采用厚度≥ 1.</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mm 优质冷轧钢板冲孔工艺一次冲压成型，床面为二折三组设计，高透气性、防滑、耐压、保证床板的完整性。床面各段使用</w:t>
            </w:r>
            <w:r>
              <w:rPr>
                <w:rFonts w:hint="eastAsia" w:ascii="宋体" w:hAnsi="宋体" w:eastAsia="宋体" w:cs="宋体"/>
                <w:color w:val="000000" w:themeColor="text1"/>
                <w:sz w:val="24"/>
                <w:szCs w:val="24"/>
                <w:highlight w:val="none"/>
                <w:lang w:val="en-US" w:eastAsia="zh-CN"/>
                <w14:textFill>
                  <w14:solidFill>
                    <w14:schemeClr w14:val="tx1"/>
                  </w14:solidFill>
                </w14:textFill>
              </w:rPr>
              <w:t>钢制</w:t>
            </w:r>
            <w:r>
              <w:rPr>
                <w:rFonts w:hint="eastAsia" w:ascii="宋体" w:hAnsi="宋体" w:eastAsia="宋体" w:cs="宋体"/>
                <w:color w:val="000000" w:themeColor="text1"/>
                <w:sz w:val="24"/>
                <w:szCs w:val="24"/>
                <w:highlight w:val="none"/>
                <w14:textFill>
                  <w14:solidFill>
                    <w14:schemeClr w14:val="tx1"/>
                  </w14:solidFill>
                </w14:textFill>
              </w:rPr>
              <w:t>接轴连接，并用螺栓紧固，避免摩擦易损坏，经酸洗、磷化后喷塑处理，附着力达一级标准，涂层光滑均匀，色泽一致。</w:t>
            </w:r>
          </w:p>
          <w:p w14:paraId="74E3F683">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、电控系统：强劲动力，性能稳定，平缓静音，防水等级≥IPX4。</w:t>
            </w:r>
          </w:p>
          <w:p w14:paraId="008B9C79">
            <w:pPr>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、床头床尾板</w:t>
            </w:r>
            <w:r>
              <w:rPr>
                <w:rFonts w:hint="eastAsia" w:ascii="宋体" w:hAnsi="宋体" w:eastAsia="宋体" w:cs="宋体"/>
                <w:color w:val="000000" w:themeColor="text1"/>
                <w:sz w:val="24"/>
                <w:szCs w:val="24"/>
                <w:highlight w:val="none"/>
                <w:lang w:eastAsia="zh-CN"/>
                <w14:textFill>
                  <w14:solidFill>
                    <w14:schemeClr w14:val="tx1"/>
                  </w14:solidFill>
                </w14:textFill>
              </w:rPr>
              <w:t>：床头尾板采用多种材质有</w:t>
            </w:r>
            <w:r>
              <w:rPr>
                <w:rFonts w:hint="eastAsia" w:ascii="宋体" w:hAnsi="宋体" w:eastAsia="宋体" w:cs="宋体"/>
                <w:color w:val="000000" w:themeColor="text1"/>
                <w:sz w:val="24"/>
                <w:szCs w:val="24"/>
                <w:highlight w:val="none"/>
                <w:lang w:val="en-US" w:eastAsia="zh-CN"/>
                <w14:textFill>
                  <w14:solidFill>
                    <w14:schemeClr w14:val="tx1"/>
                  </w14:solidFill>
                </w14:textFill>
              </w:rPr>
              <w:t>不锈钢</w:t>
            </w:r>
            <w:r>
              <w:rPr>
                <w:rFonts w:hint="eastAsia" w:ascii="宋体" w:hAnsi="宋体" w:eastAsia="宋体" w:cs="宋体"/>
                <w:color w:val="000000" w:themeColor="text1"/>
                <w:sz w:val="24"/>
                <w:szCs w:val="24"/>
                <w:highlight w:val="none"/>
                <w:lang w:eastAsia="zh-CN"/>
                <w14:textFill>
                  <w14:solidFill>
                    <w14:schemeClr w14:val="tx1"/>
                  </w14:solidFill>
                </w14:textFill>
              </w:rPr>
              <w:t>、木、工程塑料</w:t>
            </w:r>
            <w:r>
              <w:rPr>
                <w:rFonts w:hint="eastAsia" w:ascii="宋体" w:hAnsi="宋体" w:eastAsia="宋体" w:cs="宋体"/>
                <w:color w:val="000000" w:themeColor="text1"/>
                <w:sz w:val="24"/>
                <w:szCs w:val="24"/>
                <w:highlight w:val="none"/>
                <w:lang w:val="en-US" w:eastAsia="zh-CN"/>
                <w14:textFill>
                  <w14:solidFill>
                    <w14:schemeClr w14:val="tx1"/>
                  </w14:solidFill>
                </w14:textFill>
              </w:rPr>
              <w:t>组合</w:t>
            </w:r>
            <w:r>
              <w:rPr>
                <w:rFonts w:hint="eastAsia" w:ascii="宋体" w:hAnsi="宋体" w:eastAsia="宋体" w:cs="宋体"/>
                <w:color w:val="000000" w:themeColor="text1"/>
                <w:sz w:val="24"/>
                <w:szCs w:val="24"/>
                <w:highlight w:val="none"/>
                <w:lang w:eastAsia="zh-CN"/>
                <w14:textFill>
                  <w14:solidFill>
                    <w14:schemeClr w14:val="tx1"/>
                  </w14:solidFill>
                </w14:textFill>
              </w:rPr>
              <w:t>制作而成，两侧配有防撞护角。能有效防止病床在移动时损坏家具或墙体。</w:t>
            </w:r>
          </w:p>
          <w:p w14:paraId="3923FEAC">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、护栏</w:t>
            </w:r>
          </w:p>
          <w:p w14:paraId="43C4A744">
            <w:pPr>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.1、护栏采用6档折叠式铝合金护栏，高强度耐腐蚀。整体护栏总长度:≥1450mm,整体高度≥410mm；护栏的横向拉力强度可承受≥75KG拉力情况下不产生损坏，可正常使用</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246A6719">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.2、开关支架及开关锁销均采用金属铝合金材质一次性压铸成型，操作轻巧、舒适；开关处带有生产厂家模印LOGO（提供实物彩图佐证）。</w:t>
            </w:r>
          </w:p>
          <w:p w14:paraId="7B42DE79">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.3、护栏开关锁销加粗设计，不小于10*10mm。</w:t>
            </w:r>
          </w:p>
          <w:p w14:paraId="0262A4A1">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脚轮为五寸双面中控轮，Ф28mm插杆式固定设计；主架采用三片组合式金属钢架材质（耐候性和承载能力强），刹车齿盘金属结构，轮体表面采用TPE耐磨材质，牢固耐用；内置全封闭自润滑轴承，防水、防异物卷入，静音耐磨；中控刹车装置位于床体腿部底座中央，带警示色操作示意，一脚制动，四轮刹车。</w:t>
            </w:r>
          </w:p>
          <w:p w14:paraId="785BD959">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、病床焊接工艺：病床的各种金属部件均由焊接机器人焊接，杜绝虚焊、焊穿等现象的出现，确保病床安全可靠，牢固结实。</w:t>
            </w:r>
          </w:p>
          <w:p w14:paraId="306FB329">
            <w:pPr>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、病床金属表面处理: 采用国内外先进流水线工艺，达到内外防锈的效果</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7A7F3023">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、其他配置</w:t>
            </w:r>
          </w:p>
          <w:p w14:paraId="6A6ACADD">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.1、床体四周配置不小于4个输液架插座。</w:t>
            </w:r>
          </w:p>
          <w:p w14:paraId="2408C5EB">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.2、床体两侧配置不小于4处引流挂钩。</w:t>
            </w:r>
          </w:p>
          <w:p w14:paraId="6B052C09">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.3、底座配置杂物架一个。</w:t>
            </w:r>
          </w:p>
          <w:p w14:paraId="577DA192">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9.4、</w:t>
            </w:r>
            <w:r>
              <w:rPr>
                <w:rFonts w:hint="eastAsia" w:ascii="宋体" w:hAnsi="宋体" w:eastAsia="宋体" w:cs="宋体"/>
                <w:color w:val="000000" w:themeColor="text1"/>
                <w:sz w:val="24"/>
                <w:szCs w:val="24"/>
                <w:highlight w:val="none"/>
                <w14:textFill>
                  <w14:solidFill>
                    <w14:schemeClr w14:val="tx1"/>
                  </w14:solidFill>
                </w14:textFill>
              </w:rPr>
              <w:t>床体四角配防撞</w:t>
            </w:r>
            <w:r>
              <w:rPr>
                <w:rFonts w:hint="eastAsia" w:ascii="宋体" w:hAnsi="宋体" w:eastAsia="宋体" w:cs="宋体"/>
                <w:color w:val="000000" w:themeColor="text1"/>
                <w:sz w:val="24"/>
                <w:szCs w:val="24"/>
                <w:highlight w:val="none"/>
                <w:lang w:val="en-US" w:eastAsia="zh-CN"/>
                <w14:textFill>
                  <w14:solidFill>
                    <w14:schemeClr w14:val="tx1"/>
                  </w14:solidFill>
                </w14:textFill>
              </w:rPr>
              <w:t>软</w:t>
            </w:r>
            <w:r>
              <w:rPr>
                <w:rFonts w:hint="eastAsia" w:ascii="宋体" w:hAnsi="宋体" w:eastAsia="宋体" w:cs="宋体"/>
                <w:color w:val="000000" w:themeColor="text1"/>
                <w:sz w:val="24"/>
                <w:szCs w:val="24"/>
                <w:highlight w:val="none"/>
                <w14:textFill>
                  <w14:solidFill>
                    <w14:schemeClr w14:val="tx1"/>
                  </w14:solidFill>
                </w14:textFill>
              </w:rPr>
              <w:t>胶</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防止在移动病床时损坏墙体或家具。</w:t>
            </w:r>
          </w:p>
          <w:p w14:paraId="03B1131C">
            <w:pPr>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9.5</w:t>
            </w:r>
            <w:r>
              <w:rPr>
                <w:rFonts w:hint="eastAsia" w:ascii="宋体" w:hAnsi="宋体" w:eastAsia="宋体" w:cs="宋体"/>
                <w:color w:val="000000" w:themeColor="text1"/>
                <w:sz w:val="24"/>
                <w:szCs w:val="24"/>
                <w:highlight w:val="none"/>
                <w14:textFill>
                  <w14:solidFill>
                    <w14:schemeClr w14:val="tx1"/>
                  </w14:solidFill>
                </w14:textFill>
              </w:rPr>
              <w:t>、配置：床垫1张</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267D5A55">
            <w:pPr>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9.6、配置急停开关一个，在发生紧急情况的时候，可以通过快速按下来停止所有姿态动作来达到保护的措施。</w:t>
            </w:r>
          </w:p>
        </w:tc>
      </w:tr>
      <w:tr w14:paraId="18B30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noWrap/>
            <w:vAlign w:val="center"/>
          </w:tcPr>
          <w:p w14:paraId="4AF995E9">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9014" w:type="dxa"/>
            <w:noWrap/>
            <w:vAlign w:val="center"/>
          </w:tcPr>
          <w:p w14:paraId="0584971A">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配套：床垫</w:t>
            </w:r>
          </w:p>
          <w:p w14:paraId="4C0180C9">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床垫规格：与病床相适 ，床垫厚度：≥80mm，</w:t>
            </w:r>
            <w:r>
              <w:rPr>
                <w:rFonts w:hint="eastAsia" w:ascii="宋体" w:hAnsi="宋体" w:eastAsia="宋体" w:cs="宋体"/>
                <w:color w:val="auto"/>
                <w:sz w:val="24"/>
                <w:szCs w:val="24"/>
                <w:highlight w:val="none"/>
              </w:rPr>
              <w:t>高密度海绵厚度≥50mm</w:t>
            </w:r>
            <w:r>
              <w:rPr>
                <w:rFonts w:hint="eastAsia" w:ascii="宋体" w:hAnsi="宋体" w:eastAsia="宋体" w:cs="宋体"/>
                <w:color w:val="000000" w:themeColor="text1"/>
                <w:sz w:val="24"/>
                <w:szCs w:val="24"/>
                <w:highlight w:val="none"/>
                <w14:textFill>
                  <w14:solidFill>
                    <w14:schemeClr w14:val="tx1"/>
                  </w14:solidFill>
                </w14:textFill>
              </w:rPr>
              <w:t>，椰棕厚度≥30mm，三折设计，防水防滑透气抗菌材料，采用双层防水布制作，具有防蛀、防腐、耐水性、无气味。床垫的甲醛释放量≤0.038mg/m²h</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需提供相关证明材料</w:t>
            </w:r>
            <w:r>
              <w:rPr>
                <w:rFonts w:hint="eastAsia" w:ascii="宋体" w:hAnsi="宋体" w:eastAsia="宋体" w:cs="宋体"/>
                <w:color w:val="auto"/>
                <w:sz w:val="24"/>
                <w:szCs w:val="24"/>
                <w:highlight w:val="none"/>
                <w:lang w:eastAsia="zh-CN"/>
              </w:rPr>
              <w:t>）</w:t>
            </w:r>
            <w:r>
              <w:rPr>
                <w:rFonts w:hint="eastAsia" w:ascii="宋体" w:hAnsi="宋体" w:eastAsia="宋体" w:cs="宋体"/>
                <w:color w:val="000000" w:themeColor="text1"/>
                <w:sz w:val="24"/>
                <w:szCs w:val="24"/>
                <w:highlight w:val="none"/>
                <w14:textFill>
                  <w14:solidFill>
                    <w14:schemeClr w14:val="tx1"/>
                  </w14:solidFill>
                </w14:textFill>
              </w:rPr>
              <w:t>。</w:t>
            </w:r>
          </w:p>
        </w:tc>
      </w:tr>
      <w:tr w14:paraId="67C1F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noWrap/>
            <w:vAlign w:val="center"/>
          </w:tcPr>
          <w:p w14:paraId="6237B7AB">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十</w:t>
            </w:r>
          </w:p>
        </w:tc>
        <w:tc>
          <w:tcPr>
            <w:tcW w:w="9014" w:type="dxa"/>
            <w:noWrap/>
            <w:vAlign w:val="center"/>
          </w:tcPr>
          <w:p w14:paraId="1A1DF254">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多功能翻身床  4张</w:t>
            </w:r>
          </w:p>
        </w:tc>
      </w:tr>
      <w:tr w14:paraId="7D963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noWrap/>
            <w:vAlign w:val="center"/>
          </w:tcPr>
          <w:p w14:paraId="28AE8E21">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9014" w:type="dxa"/>
            <w:noWrap/>
            <w:vAlign w:val="center"/>
          </w:tcPr>
          <w:p w14:paraId="73E2D85E">
            <w:pPr>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一、规格尺寸：规格（允许偏离±</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0mm）：床体尺寸(最外缘)：长度范围2100～2200mm. 整体宽度（护栏拉起/放下最宽的部位）≦950mm床面尺寸：床板长≥1920mm，宽度范围800～900mm</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723C8658">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二、功能介绍：</w:t>
            </w:r>
          </w:p>
          <w:p w14:paraId="5D114DD7">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通过电动推杆及控制系统实现各种体位；背部 升降0-70°±3°，腿部升降0-40 °±3° ，</w:t>
            </w:r>
            <w:r>
              <w:rPr>
                <w:rFonts w:hint="eastAsia" w:ascii="宋体" w:hAnsi="宋体" w:eastAsia="宋体" w:cs="宋体"/>
                <w:color w:val="000000" w:themeColor="text1"/>
                <w:sz w:val="24"/>
                <w:szCs w:val="24"/>
                <w:highlight w:val="none"/>
                <w:lang w:val="en-US" w:eastAsia="zh-CN"/>
                <w14:textFill>
                  <w14:solidFill>
                    <w14:schemeClr w14:val="tx1"/>
                  </w14:solidFill>
                </w14:textFill>
              </w:rPr>
              <w:t>整床升降500-780mm，</w:t>
            </w:r>
            <w:r>
              <w:rPr>
                <w:rFonts w:hint="eastAsia" w:ascii="宋体" w:hAnsi="宋体" w:eastAsia="宋体" w:cs="宋体"/>
                <w:color w:val="000000" w:themeColor="text1"/>
                <w:sz w:val="24"/>
                <w:szCs w:val="24"/>
                <w:highlight w:val="none"/>
                <w14:textFill>
                  <w14:solidFill>
                    <w14:schemeClr w14:val="tx1"/>
                  </w14:solidFill>
                </w14:textFill>
              </w:rPr>
              <w:t>背膝同升降，左右侧翻0-45°±3°、升降角度显示等。</w:t>
            </w:r>
          </w:p>
          <w:p w14:paraId="285EECEF">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(1）背部升降0-70°±3°。</w:t>
            </w:r>
          </w:p>
          <w:p w14:paraId="21F746E5">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(2）腿部升降0-40°±3°。</w:t>
            </w:r>
          </w:p>
          <w:p w14:paraId="20EDFCE1">
            <w:pPr>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（3）整床升降高度调节500-780mm±10mm。</w:t>
            </w:r>
          </w:p>
          <w:p w14:paraId="645AEA58">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）床面侧翻：左侧倾斜0-45°±3°，右侧倾斜0-45°±3°。</w:t>
            </w:r>
          </w:p>
          <w:p w14:paraId="47AC433A">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）采用中控双面脚轮，直径为125mm（5寸），通过中控加宽踏板（≥310mm）操作四轮刹车万向功能，单个脚轮安全动作载荷125kg以上。</w:t>
            </w:r>
          </w:p>
          <w:p w14:paraId="41C684AB">
            <w:pPr>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）CPR复位功能，通过手控器按键使床体各姿态将复位到初始状态。</w:t>
            </w:r>
            <w:r>
              <w:rPr>
                <w:rFonts w:hint="eastAsia" w:ascii="宋体" w:hAnsi="宋体" w:eastAsia="宋体" w:cs="宋体"/>
                <w:color w:val="000000" w:themeColor="text1"/>
                <w:sz w:val="24"/>
                <w:szCs w:val="24"/>
                <w:highlight w:val="none"/>
                <w:lang w:val="en-US" w:eastAsia="zh-CN"/>
                <w14:textFill>
                  <w14:solidFill>
                    <w14:schemeClr w14:val="tx1"/>
                  </w14:solidFill>
                </w14:textFill>
              </w:rPr>
              <w:t>同时背部面板可通过机械式操作在断电情况下快速放平。</w:t>
            </w:r>
          </w:p>
          <w:p w14:paraId="73249C61">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三、材料规格与结构：</w:t>
            </w:r>
          </w:p>
          <w:p w14:paraId="72499B29">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床头尾板：床头尾板尺寸：940*565*110mm，单锁固定床体设计，能快速拆卸，使用方便；床头尾板采用抗菌、环保HDPE材质吹塑成型，表面平顺易清洁，抗冲击性，耐热性，耐低温性，耐化学药品及电气性能优良。</w:t>
            </w:r>
          </w:p>
          <w:p w14:paraId="6FAB5C44">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（2）防撞轮：床体四周设有防撞轮，材质塑胶，防撞轮均突出在床体之外，可有效防止病床在运行使用过程中与电梯、门框等平面障碍物直接碰撞，平稳过渡。</w:t>
            </w:r>
          </w:p>
          <w:p w14:paraId="14F1CA13">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（3）床面板：外形尺寸1950X900mm，面板采用食品级复合型塑料成型、厚度</w:t>
            </w:r>
            <w:r>
              <w:rPr>
                <w:rFonts w:hint="eastAsia" w:ascii="宋体" w:hAnsi="宋体" w:eastAsia="宋体" w:cs="宋体"/>
                <w:color w:val="000000" w:themeColor="text1"/>
                <w:sz w:val="24"/>
                <w:szCs w:val="24"/>
                <w:highlight w:val="none"/>
                <w:lang w:val="en-US" w:eastAsia="zh-CN"/>
                <w14:textFill>
                  <w14:solidFill>
                    <w14:schemeClr w14:val="tx1"/>
                  </w14:solidFill>
                </w14:textFill>
              </w:rPr>
              <w:t>≥8m</w:t>
            </w:r>
            <w:r>
              <w:rPr>
                <w:rFonts w:hint="eastAsia" w:ascii="宋体" w:hAnsi="宋体" w:eastAsia="宋体" w:cs="宋体"/>
                <w:color w:val="000000" w:themeColor="text1"/>
                <w:sz w:val="24"/>
                <w:szCs w:val="24"/>
                <w:highlight w:val="none"/>
                <w14:textFill>
                  <w14:solidFill>
                    <w14:schemeClr w14:val="tx1"/>
                  </w14:solidFill>
                </w14:textFill>
              </w:rPr>
              <w:t>m，两侧有十处绑带槽。</w:t>
            </w:r>
          </w:p>
          <w:p w14:paraId="4F62AC0E">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 护栏：分段式护栏，外形尺寸：头侧1000X380mm，脚侧700X380mm；护栏距离床面高度400mm，长短护栏间距≤ 60mm；采用抗菌、环保HDPE材质吹塑成型。四片分段式护栏外侧均配有滚珠式角度指示器</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07163489">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（5）电控系统：采用直流高功率电动推杆实现床体各姿态升降，确保整床的稳定性；产品防护等级IPX</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，符合ICE60601-1-2标准要求，安全方便，运行低噪音。</w:t>
            </w:r>
          </w:p>
          <w:p w14:paraId="20FB9A98">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（6）病床金属表面处理: 采用国内外先进流水线工艺，达到内外防锈的效果。</w:t>
            </w:r>
          </w:p>
          <w:p w14:paraId="57CE1B3C">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四</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其他</w:t>
            </w:r>
            <w:r>
              <w:rPr>
                <w:rFonts w:hint="eastAsia" w:ascii="宋体" w:hAnsi="宋体" w:eastAsia="宋体" w:cs="宋体"/>
                <w:color w:val="000000" w:themeColor="text1"/>
                <w:sz w:val="24"/>
                <w:szCs w:val="24"/>
                <w:highlight w:val="none"/>
                <w14:textFill>
                  <w14:solidFill>
                    <w14:schemeClr w14:val="tx1"/>
                  </w14:solidFill>
                </w14:textFill>
              </w:rPr>
              <w:t>配置：床垫1张，床头柜1只，陪护椅1张，移动餐桌1张</w:t>
            </w:r>
          </w:p>
        </w:tc>
      </w:tr>
      <w:tr w14:paraId="77E11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noWrap/>
            <w:vAlign w:val="center"/>
          </w:tcPr>
          <w:p w14:paraId="3021FB87">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9014" w:type="dxa"/>
            <w:noWrap/>
            <w:vAlign w:val="center"/>
          </w:tcPr>
          <w:p w14:paraId="104CCF9F">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配套：床头柜</w:t>
            </w:r>
          </w:p>
          <w:p w14:paraId="0AF00ABC">
            <w:pPr>
              <w:spacing w:line="276"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规格：（允许偏离±</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 xml:space="preserve">0mm）：440*460*800mm。                                                                                           </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、整体采用ABS成型，组合式设计，轻巧、坚固、耐用；</w:t>
            </w:r>
          </w:p>
          <w:p w14:paraId="0C119E79">
            <w:pPr>
              <w:spacing w:line="276"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、配置一块抽板，作为延伸台面使用；配置抽屉一只；配置一个柜门；配置可伸缩式毛巾架；可内置热水壶。</w:t>
            </w:r>
          </w:p>
          <w:p w14:paraId="3CBAF53E">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、颜色可为选。</w:t>
            </w:r>
          </w:p>
          <w:p w14:paraId="72EDBAAD">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5、带脚轮，使床头柜摆放固定和活动时更方便。</w:t>
            </w:r>
          </w:p>
        </w:tc>
      </w:tr>
      <w:tr w14:paraId="193DE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noWrap/>
            <w:vAlign w:val="center"/>
          </w:tcPr>
          <w:p w14:paraId="6D022651">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9014" w:type="dxa"/>
            <w:noWrap/>
            <w:vAlign w:val="center"/>
          </w:tcPr>
          <w:p w14:paraId="1FD62BB0">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配套：床垫</w:t>
            </w:r>
          </w:p>
          <w:p w14:paraId="64F3C758">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床垫规格：特制防褥疮床垫，与病床相适 ，防水防滑透气抗菌材料，采用双层防水布制作，具有防蛀、防腐、耐水性、无气味。床垫的甲醛释放量≤0.038mg/m²h</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需提供相关证明材料</w:t>
            </w:r>
            <w:r>
              <w:rPr>
                <w:rFonts w:hint="eastAsia" w:ascii="宋体" w:hAnsi="宋体" w:eastAsia="宋体" w:cs="宋体"/>
                <w:color w:val="auto"/>
                <w:sz w:val="24"/>
                <w:szCs w:val="24"/>
                <w:highlight w:val="none"/>
                <w:lang w:eastAsia="zh-CN"/>
              </w:rPr>
              <w:t>）</w:t>
            </w:r>
            <w:r>
              <w:rPr>
                <w:rFonts w:hint="eastAsia" w:ascii="宋体" w:hAnsi="宋体" w:eastAsia="宋体" w:cs="宋体"/>
                <w:color w:val="000000" w:themeColor="text1"/>
                <w:sz w:val="24"/>
                <w:szCs w:val="24"/>
                <w:highlight w:val="none"/>
                <w14:textFill>
                  <w14:solidFill>
                    <w14:schemeClr w14:val="tx1"/>
                  </w14:solidFill>
                </w14:textFill>
              </w:rPr>
              <w:t>。</w:t>
            </w:r>
          </w:p>
        </w:tc>
      </w:tr>
      <w:tr w14:paraId="2F807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61" w:type="dxa"/>
            <w:noWrap/>
            <w:vAlign w:val="center"/>
          </w:tcPr>
          <w:p w14:paraId="1C2605E3">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9014" w:type="dxa"/>
            <w:noWrap/>
            <w:vAlign w:val="center"/>
          </w:tcPr>
          <w:p w14:paraId="67B1FA51">
            <w:pP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配套：</w:t>
            </w:r>
            <w:r>
              <w:rPr>
                <w:rFonts w:hint="eastAsia" w:ascii="宋体" w:hAnsi="宋体" w:eastAsia="宋体" w:cs="宋体"/>
                <w:color w:val="000000" w:themeColor="text1"/>
                <w:sz w:val="24"/>
                <w:szCs w:val="24"/>
                <w:highlight w:val="none"/>
                <w:lang w:val="en-US" w:eastAsia="zh-CN"/>
                <w14:textFill>
                  <w14:solidFill>
                    <w14:schemeClr w14:val="tx1"/>
                  </w14:solidFill>
                </w14:textFill>
              </w:rPr>
              <w:t>移动餐桌</w:t>
            </w:r>
          </w:p>
          <w:p w14:paraId="0EC3287E">
            <w:pP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规格：规格（允许偏离±</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0mm）：895*455*（935-645）</w:t>
            </w:r>
            <w:r>
              <w:rPr>
                <w:rFonts w:hint="eastAsia" w:ascii="宋体" w:hAnsi="宋体" w:eastAsia="宋体" w:cs="宋体"/>
                <w:color w:val="000000" w:themeColor="text1"/>
                <w:sz w:val="24"/>
                <w:szCs w:val="24"/>
                <w:highlight w:val="none"/>
                <w:lang w:val="en-US" w:eastAsia="zh-CN"/>
                <w14:textFill>
                  <w14:solidFill>
                    <w14:schemeClr w14:val="tx1"/>
                  </w14:solidFill>
                </w14:textFill>
              </w:rPr>
              <w:t>mm</w:t>
            </w:r>
          </w:p>
          <w:p w14:paraId="5BACA436">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、餐桌底架采用60*30*2mm钢管焊接而成。表面除锈，高档环保静电喷塑，抗老化，不生锈，并配有环保工程塑料底罩，四个静音万象脚轮。</w:t>
            </w:r>
          </w:p>
          <w:p w14:paraId="6FE6CE31">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、立柱采用优质高精度碳钢材质，表面喷塑处理工艺，并配有塑料外罩，外观更加美观，持久耐用。</w:t>
            </w:r>
          </w:p>
          <w:p w14:paraId="16CB61BE">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、气动升降装置，自由调节高度。</w:t>
            </w:r>
          </w:p>
          <w:p w14:paraId="640F6C97">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桌面采用环保ABS材料制作，易清洗，防水防潮；颜色可选。</w:t>
            </w:r>
          </w:p>
        </w:tc>
      </w:tr>
      <w:tr w14:paraId="7F25C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61" w:type="dxa"/>
            <w:noWrap/>
            <w:vAlign w:val="center"/>
          </w:tcPr>
          <w:p w14:paraId="1DBA9D07">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9014" w:type="dxa"/>
            <w:noWrap/>
            <w:vAlign w:val="center"/>
          </w:tcPr>
          <w:p w14:paraId="5AED5311">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配套：陪护椅</w:t>
            </w:r>
          </w:p>
          <w:p w14:paraId="4981115A">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1、规格（允许偏离±</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0mm）：1860*600*450mm（平放）800*600*950mm(拉起）</w:t>
            </w:r>
          </w:p>
          <w:p w14:paraId="08B3D993">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2、框架：主体材料采用￠38*1.5mm、￠30*1.5mm、￠25*1.5mm优质碳钢制作。</w:t>
            </w:r>
          </w:p>
          <w:p w14:paraId="6F5A2810">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3、椅面：椅垫表面为优质科技布，内层采用十二夹板，</w:t>
            </w:r>
            <w:r>
              <w:rPr>
                <w:rFonts w:hint="eastAsia" w:ascii="宋体" w:hAnsi="宋体" w:eastAsia="宋体" w:cs="宋体"/>
                <w:color w:val="auto"/>
                <w:sz w:val="24"/>
                <w:szCs w:val="24"/>
                <w:highlight w:val="none"/>
              </w:rPr>
              <w:t>高密度海绵厚度≥50mm</w:t>
            </w:r>
            <w:r>
              <w:rPr>
                <w:rFonts w:hint="eastAsia" w:ascii="宋体" w:hAnsi="宋体" w:eastAsia="宋体" w:cs="宋体"/>
                <w:color w:val="000000" w:themeColor="text1"/>
                <w:sz w:val="24"/>
                <w:szCs w:val="24"/>
                <w:highlight w:val="none"/>
                <w14:textFill>
                  <w14:solidFill>
                    <w14:schemeClr w14:val="tx1"/>
                  </w14:solidFill>
                </w14:textFill>
              </w:rPr>
              <w:t>。</w:t>
            </w:r>
          </w:p>
          <w:p w14:paraId="32DDB586">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4、打开时为一张睡床，收起时为一张沙发椅子。</w:t>
            </w:r>
          </w:p>
          <w:p w14:paraId="1EAC2329">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5、椅面拉伸部分：底部设有优质脚轮4个，方便拉出，拉出时轻松灵活，无噪音。</w:t>
            </w:r>
          </w:p>
          <w:p w14:paraId="33A631E5">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6、椅脚：椅腿下方装有塑胶脚套，防止与地面摩擦产生噪音和损伤地面。</w:t>
            </w:r>
          </w:p>
          <w:p w14:paraId="4AB19401">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7、左右扶手：由￠38*1.5mm圆管组成弯曲焊接而成，表面喷涂工艺，外表平整光滑，上面放置ABS扶手套。整体美观又耐用。</w:t>
            </w:r>
          </w:p>
          <w:p w14:paraId="0E3375E6">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8、颜色可按医院定，宽度按病房空间定。</w:t>
            </w:r>
          </w:p>
        </w:tc>
      </w:tr>
      <w:tr w14:paraId="4166E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61" w:type="dxa"/>
            <w:noWrap/>
            <w:vAlign w:val="center"/>
          </w:tcPr>
          <w:p w14:paraId="50EB0727">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十一</w:t>
            </w:r>
          </w:p>
        </w:tc>
        <w:tc>
          <w:tcPr>
            <w:tcW w:w="9014" w:type="dxa"/>
            <w:noWrap/>
            <w:vAlign w:val="center"/>
          </w:tcPr>
          <w:p w14:paraId="278CEE92">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牵引架2个</w:t>
            </w:r>
          </w:p>
        </w:tc>
      </w:tr>
      <w:tr w14:paraId="12BE9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61" w:type="dxa"/>
            <w:noWrap/>
            <w:vAlign w:val="center"/>
          </w:tcPr>
          <w:p w14:paraId="51F7E20C">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9014" w:type="dxa"/>
            <w:noWrap/>
            <w:vAlign w:val="center"/>
          </w:tcPr>
          <w:p w14:paraId="6B0B80A3">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1、1.5mm不锈钢型材支架，灵活方便。</w:t>
            </w:r>
          </w:p>
          <w:p w14:paraId="0CB2E3C1">
            <w:pPr>
              <w:pStyle w:val="485"/>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2、配锻炼拉环及可调节牵引滑轮；</w:t>
            </w:r>
          </w:p>
        </w:tc>
      </w:tr>
      <w:tr w14:paraId="6F536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61" w:type="dxa"/>
            <w:noWrap/>
            <w:vAlign w:val="center"/>
          </w:tcPr>
          <w:p w14:paraId="372ED2AC">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十二</w:t>
            </w:r>
          </w:p>
        </w:tc>
        <w:tc>
          <w:tcPr>
            <w:tcW w:w="9014" w:type="dxa"/>
            <w:noWrap/>
            <w:vAlign w:val="center"/>
          </w:tcPr>
          <w:p w14:paraId="63613354">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转运床 6张</w:t>
            </w:r>
          </w:p>
        </w:tc>
      </w:tr>
      <w:tr w14:paraId="440D3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61" w:type="dxa"/>
            <w:noWrap/>
            <w:vAlign w:val="center"/>
          </w:tcPr>
          <w:p w14:paraId="3BD138E2">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9014" w:type="dxa"/>
            <w:noWrap/>
            <w:vAlign w:val="center"/>
          </w:tcPr>
          <w:p w14:paraId="06AF80B0">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规格：全长2150mm， 全宽800mm（允许偏离±</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0mm）</w:t>
            </w:r>
          </w:p>
          <w:p w14:paraId="03CB4E57">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、床板长1915mm，床板宽640mm，高低升降600 ~ 930mm，背部升降0 ~ 90°（±5°）</w:t>
            </w:r>
          </w:p>
          <w:p w14:paraId="4F31D962">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、膝部升降0 ~ 40°，倾斜调节-18°~ 18°。</w:t>
            </w:r>
          </w:p>
          <w:p w14:paraId="71E3C8E3">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、安全工作载荷：220KG。</w:t>
            </w:r>
          </w:p>
          <w:p w14:paraId="7921FD99">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、背部升降系统：采用静音双气弹簧控制，承重强稳定性好。</w:t>
            </w:r>
          </w:p>
          <w:p w14:paraId="7D64EE2F">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、高低升降系统：采用液压缸控制，质量更稳定。液压缸外侧有ABS注塑而成的5个圆形油缸保护套筒，整体颜色搭配协调，不易积灰，便于清洁。</w:t>
            </w:r>
          </w:p>
          <w:p w14:paraId="0923D0CD">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、床板：采用≥6mm抗倍特材质，强度更高，不变形。</w:t>
            </w:r>
          </w:p>
          <w:p w14:paraId="7FD6FB0E">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、框架：采用优质钢材弯管焊接加工而成。</w:t>
            </w:r>
          </w:p>
          <w:p w14:paraId="15F34855">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、护栏板：PP树脂成型两侧四片式分体护栏板，高度≥315mm，护栏最薄处≥20mm，头侧段长≥500mm，脚侧段长≥700mm,两侧均有角度刻度显示功能。</w:t>
            </w:r>
          </w:p>
          <w:p w14:paraId="7D336ABA">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、4片护栏均可独立实现水平固定，增加床体宽度，让输液者的手臂有舒适的放置处；并且在水平位置时可以进行锁定，护栏的稳定性以及整体承重更好，承重≥15kg.</w:t>
            </w:r>
          </w:p>
          <w:p w14:paraId="36AFC44E">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、护栏共设有≥4处双重安全锁，4片护栏均可分开独立操作或锁定，同一侧两片护栏之间间隙≤1mm,同时也可实现组合式拓展功能，起到更好的保护或转移病人的作用。</w:t>
            </w:r>
          </w:p>
          <w:p w14:paraId="4096B516">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、脚轮：采用中控锁四个直径≥200mm的脚轮，采用中控脚轮，中控刹车系统，中控中心第五轮，可切换刹车、万向与定向状态，床体前、后、左、右均有三挡联动控制踏板，操作方便。</w:t>
            </w:r>
          </w:p>
          <w:p w14:paraId="4648C5AF">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、床体下有一体式托盘，可放置≥10L氧气瓶更加符合急救使用需求，并且有≥380*300mm置物槽设计放置杂物，底盘预留有可安装氧气瓶的绑带，托盘能承重≥10Kg。</w:t>
            </w:r>
          </w:p>
          <w:p w14:paraId="6855F60E">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、配有输液杆，可收藏于床体侧下方两侧输液架收藏架。</w:t>
            </w:r>
          </w:p>
          <w:p w14:paraId="1469FFA8">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、床垫：采用面料表面防水处理，易于清洗，装有拉链，外部面料可水洗，8公分的海绵躺卧舒适。</w:t>
            </w:r>
          </w:p>
          <w:p w14:paraId="7DA775F6">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、床体四周设有防撞轮与防撞块，外观造型美观，防止在推行过程中发生碰撞可以起到防护作用。</w:t>
            </w:r>
          </w:p>
          <w:p w14:paraId="3BC21480">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、推行把手：床头设有P型推行把手，表面进行发泡处理，握感舒适，在不用时可以折叠放下，便于医护人员进行急救措施。床尾设有U型把手，表面经过浸塑处理，提升握感与美观度。可一人进行转运操作。</w:t>
            </w:r>
          </w:p>
        </w:tc>
      </w:tr>
      <w:tr w14:paraId="78CF5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61" w:type="dxa"/>
            <w:noWrap/>
            <w:vAlign w:val="center"/>
          </w:tcPr>
          <w:p w14:paraId="5D0E06FB">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十三</w:t>
            </w:r>
          </w:p>
        </w:tc>
        <w:tc>
          <w:tcPr>
            <w:tcW w:w="9014" w:type="dxa"/>
            <w:noWrap/>
            <w:vAlign w:val="center"/>
          </w:tcPr>
          <w:p w14:paraId="1FC16142">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手术推车5辆</w:t>
            </w:r>
          </w:p>
        </w:tc>
      </w:tr>
      <w:tr w14:paraId="0D7C0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61" w:type="dxa"/>
            <w:noWrap/>
            <w:vAlign w:val="center"/>
          </w:tcPr>
          <w:p w14:paraId="2B4FA103">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9014" w:type="dxa"/>
            <w:noWrap/>
            <w:vAlign w:val="center"/>
          </w:tcPr>
          <w:p w14:paraId="10A6D84D">
            <w:pPr>
              <w:pStyle w:val="48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1、规格（允许偏离±</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0mm）：1930*650*520-920mm。背部升降0—70°。</w:t>
            </w:r>
          </w:p>
          <w:p w14:paraId="32F51852">
            <w:pPr>
              <w:pStyle w:val="48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2、安全工作载荷170KG。</w:t>
            </w:r>
          </w:p>
          <w:p w14:paraId="31A6907E">
            <w:pPr>
              <w:pStyle w:val="48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3、背部升降系统：背部升降采用静音气弹簧控制。</w:t>
            </w:r>
          </w:p>
          <w:p w14:paraId="70CA0E7E">
            <w:pPr>
              <w:pStyle w:val="48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4、高低调节：金属材质摇杆系统，过载保护功能，不易折断。</w:t>
            </w:r>
          </w:p>
          <w:p w14:paraId="42F80902">
            <w:pPr>
              <w:pStyle w:val="48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5、床板：PP树脂成型制品。</w:t>
            </w:r>
          </w:p>
          <w:p w14:paraId="652C7DEA">
            <w:pPr>
              <w:pStyle w:val="48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6、框架：采用优质钢架焊接而成</w:t>
            </w:r>
          </w:p>
          <w:p w14:paraId="2B989E6E">
            <w:pPr>
              <w:pStyle w:val="48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7、护栏板： PP树脂成型两侧护栏板，高度315mm，患者更安全，也可以水平固定，增加床体宽度，让输液者的手臂有舒适的放置处；并具有双安全锁进行锁定，防止误操作，提高了操作的安全性。</w:t>
            </w:r>
          </w:p>
          <w:p w14:paraId="3C8C48FF">
            <w:pPr>
              <w:pStyle w:val="48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8、护栏板上设有角度显示，方便护理时知道背部升起的角度；两侧护栏板中间有凹槽，防止导管滑落，方便输液引流。</w:t>
            </w:r>
          </w:p>
          <w:p w14:paraId="4DA264D0">
            <w:pPr>
              <w:pStyle w:val="48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脚轮：中控锁双面防缠绕功能脚轮，防止头发等杂物进入脚轮内部而造成推行故障，内部钢支架，双轴承筒状结构，载重量大，防撞防侧立效果强，四个直径150mm的脚轮，推车四角都有脚轮控制系统，一脚制动，四轮同时固定。</w:t>
            </w:r>
          </w:p>
          <w:p w14:paraId="5E9EE707">
            <w:pPr>
              <w:pStyle w:val="48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10、中控刹车连动杆采用一体化圆管成型，保证更高的强度。</w:t>
            </w:r>
          </w:p>
          <w:p w14:paraId="1B436A4D">
            <w:pPr>
              <w:pStyle w:val="48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独立的中心第五轮系统：推车的两侧都安装有控制踏杆，中心第五轮收起时即自由行进；未使用时，即不在直行状态（踏杆离地高度110mm），第五轮离地≥3cm，使用时向上抬起，可克服运送过程中的惯性作用力，有效地控制前进方向，使运送过程更加安全。第五轮有弹簧减震机构，可以更好地通过颠簸路面。</w:t>
            </w:r>
          </w:p>
          <w:p w14:paraId="2D9AC0DB">
            <w:pPr>
              <w:pStyle w:val="48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12、床体下有二段式托盘，托盘分为大小、深浅不同的两部分，设有6个漏水孔，使用方便，托盘能承重10Kg。</w:t>
            </w:r>
          </w:p>
          <w:p w14:paraId="137E7BED">
            <w:pPr>
              <w:pStyle w:val="48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13、输液架收藏架，固定收藏输液架，收藏架内有塑料套管防止输液架与收藏管碰撞。</w:t>
            </w:r>
          </w:p>
          <w:p w14:paraId="60264336">
            <w:pPr>
              <w:pStyle w:val="48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14、氧气瓶搁架，可横向放置最大7升的氧气瓶并且配有两个固定旋钮可以固定氧气瓶架。</w:t>
            </w:r>
          </w:p>
          <w:p w14:paraId="7D85EB8B">
            <w:pPr>
              <w:pStyle w:val="48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15、转运床垫：面料表面防水处理，易于清洗，四角装有拉链，外部面料可水洗；防静电3段式构造，只需一人操作即可以平行对接和转运病人。</w:t>
            </w:r>
          </w:p>
          <w:p w14:paraId="100922FF">
            <w:pPr>
              <w:pStyle w:val="48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16、床侧边有两个不锈钢的挂件，每个上面有三个加大挂钩承重好。</w:t>
            </w:r>
          </w:p>
          <w:p w14:paraId="7465BBB1">
            <w:pPr>
              <w:pStyle w:val="485"/>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eastAsia="zh-CN"/>
                <w14:textFill>
                  <w14:solidFill>
                    <w14:schemeClr w14:val="tx1"/>
                  </w14:solidFill>
                </w14:textFill>
              </w:rPr>
              <w:t>、床两侧配有约束带，用于固定病人。</w:t>
            </w:r>
          </w:p>
        </w:tc>
      </w:tr>
      <w:tr w14:paraId="11734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61" w:type="dxa"/>
            <w:noWrap/>
            <w:vAlign w:val="center"/>
          </w:tcPr>
          <w:p w14:paraId="794A7391">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十四</w:t>
            </w:r>
          </w:p>
        </w:tc>
        <w:tc>
          <w:tcPr>
            <w:tcW w:w="9014" w:type="dxa"/>
            <w:noWrap/>
            <w:vAlign w:val="center"/>
          </w:tcPr>
          <w:p w14:paraId="6663313D">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被服推车  12辆</w:t>
            </w:r>
          </w:p>
        </w:tc>
      </w:tr>
      <w:tr w14:paraId="34C2F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61" w:type="dxa"/>
            <w:noWrap/>
            <w:vAlign w:val="center"/>
          </w:tcPr>
          <w:p w14:paraId="06485BD8">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9014" w:type="dxa"/>
            <w:noWrap/>
            <w:vAlign w:val="center"/>
          </w:tcPr>
          <w:p w14:paraId="233B7D5F">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规格：（允许偏离±</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0mm）：约800*500*850mm</w:t>
            </w:r>
          </w:p>
          <w:p w14:paraId="7224F624">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、车架采用φ25*1.2mm厚304不锈钢圆管制作。</w:t>
            </w:r>
          </w:p>
          <w:p w14:paraId="6DFC3411">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、下装四只4寸静音万向轮，带刹车。</w:t>
            </w:r>
          </w:p>
          <w:p w14:paraId="56816E08">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、防水布袋2只，可拆卸，方便更换清洗，颜色区分根据医院要求。</w:t>
            </w:r>
          </w:p>
        </w:tc>
      </w:tr>
      <w:tr w14:paraId="681EE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61" w:type="dxa"/>
            <w:noWrap/>
            <w:vAlign w:val="center"/>
          </w:tcPr>
          <w:p w14:paraId="2EE809AA">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十五</w:t>
            </w:r>
          </w:p>
        </w:tc>
        <w:tc>
          <w:tcPr>
            <w:tcW w:w="9014" w:type="dxa"/>
            <w:noWrap/>
            <w:vAlign w:val="center"/>
          </w:tcPr>
          <w:p w14:paraId="377008D7">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不锈钢治疗车（窄）  1辆</w:t>
            </w:r>
          </w:p>
        </w:tc>
      </w:tr>
      <w:tr w14:paraId="7CDBF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61" w:type="dxa"/>
            <w:noWrap/>
            <w:vAlign w:val="center"/>
          </w:tcPr>
          <w:p w14:paraId="509470B6">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9014" w:type="dxa"/>
            <w:noWrap/>
            <w:vAlign w:val="center"/>
          </w:tcPr>
          <w:p w14:paraId="661BEE44">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规格（允许偏离±</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0mm）： 480*350*87</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 xml:space="preserve">mm </w:t>
            </w:r>
          </w:p>
          <w:p w14:paraId="655102C0">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、材质：主体采用304不锈钢材质，板材厚度≥1.0mm，管材厚度≥1.2mm。</w:t>
            </w:r>
          </w:p>
          <w:p w14:paraId="6A30617E">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、结构:圆弧设计，双层台面，带一个抽屉。</w:t>
            </w:r>
          </w:p>
          <w:p w14:paraId="07C849DE">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、抽屉滑道选用优质三节轨道。</w:t>
            </w:r>
          </w:p>
          <w:p w14:paraId="3BDA7138">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、脚轮采用3寸聚氨酯塑包静音脚轮，防卷发；对角刹车。</w:t>
            </w:r>
          </w:p>
          <w:p w14:paraId="03AE6206">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、血透室适用</w:t>
            </w:r>
          </w:p>
        </w:tc>
      </w:tr>
      <w:tr w14:paraId="24E59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61" w:type="dxa"/>
            <w:noWrap/>
            <w:vAlign w:val="center"/>
          </w:tcPr>
          <w:p w14:paraId="560784C0">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十六</w:t>
            </w:r>
          </w:p>
        </w:tc>
        <w:tc>
          <w:tcPr>
            <w:tcW w:w="9014" w:type="dxa"/>
            <w:noWrap/>
            <w:vAlign w:val="center"/>
          </w:tcPr>
          <w:p w14:paraId="2CF79ABB">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不锈钢治疗车（宽）  1辆</w:t>
            </w:r>
          </w:p>
        </w:tc>
      </w:tr>
      <w:tr w14:paraId="55C6D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61" w:type="dxa"/>
            <w:noWrap/>
            <w:vAlign w:val="center"/>
          </w:tcPr>
          <w:p w14:paraId="7CFD823D">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9014" w:type="dxa"/>
            <w:noWrap/>
            <w:vAlign w:val="center"/>
          </w:tcPr>
          <w:p w14:paraId="4F86E9CB">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规格（允许偏离±</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0mm）：610*450* 870mm</w:t>
            </w:r>
          </w:p>
          <w:p w14:paraId="255EA412">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、材质：主体采用304不锈钢材质，板材厚度≥1.0mm，管材厚度≥1.2mm。</w:t>
            </w:r>
          </w:p>
          <w:p w14:paraId="33D9946D">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、结构:圆弧设计，双层台面，带一个抽屉。</w:t>
            </w:r>
          </w:p>
          <w:p w14:paraId="1AD0655A">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、抽屉滑道选用优质三节轨道。</w:t>
            </w:r>
          </w:p>
          <w:p w14:paraId="7FAB0F3A">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、脚轮采用3寸聚氨酯塑包静音脚轮，防卷发；对角刹车。</w:t>
            </w:r>
          </w:p>
          <w:p w14:paraId="783BE4B0">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、血透室适用。</w:t>
            </w:r>
          </w:p>
        </w:tc>
      </w:tr>
      <w:tr w14:paraId="784D5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61" w:type="dxa"/>
            <w:noWrap/>
            <w:vAlign w:val="center"/>
          </w:tcPr>
          <w:p w14:paraId="54D8E858">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十七</w:t>
            </w:r>
          </w:p>
        </w:tc>
        <w:tc>
          <w:tcPr>
            <w:tcW w:w="9014" w:type="dxa"/>
            <w:noWrap/>
            <w:vAlign w:val="center"/>
          </w:tcPr>
          <w:p w14:paraId="46EC57D1">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多功能治疗车  13辆</w:t>
            </w:r>
          </w:p>
        </w:tc>
      </w:tr>
      <w:tr w14:paraId="23B76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61" w:type="dxa"/>
            <w:noWrap/>
            <w:vAlign w:val="center"/>
          </w:tcPr>
          <w:p w14:paraId="09102834">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9014" w:type="dxa"/>
            <w:noWrap/>
            <w:vAlign w:val="center"/>
          </w:tcPr>
          <w:p w14:paraId="3230D2A6">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1、规格尺寸（允许偏离±</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0mm）： 700*480*950mm</w:t>
            </w:r>
          </w:p>
          <w:p w14:paraId="41862B8F">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2、材质：优质碳钢喷塑、SUS304不锈钢、轻型合金材料。</w:t>
            </w:r>
          </w:p>
          <w:p w14:paraId="7E23C3B2">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3、操作台面固定，台面三面不间断围栏，正面抽拉三抽屉。高度20cm*1个，12cm*2个；下层镂空≥30cm放置大收纳盒；抽屉内部放置可移动隔板或盒子隔断。</w:t>
            </w:r>
          </w:p>
          <w:p w14:paraId="464164FF">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4、侧面配置污物医疗垃圾桶、利器盒、免洗手液放置支架，污物桶可脚踩开启。</w:t>
            </w:r>
          </w:p>
          <w:p w14:paraId="13FDD283">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、万向轮：Φ100聚胺脂双轴承静音脚轮，防卷发。</w:t>
            </w:r>
          </w:p>
          <w:p w14:paraId="6A519396">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、四周有塑胶防撞圈。</w:t>
            </w:r>
          </w:p>
          <w:p w14:paraId="1DE9AC48">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、抽屉导轨为优质静音伸缩导轨。</w:t>
            </w:r>
          </w:p>
          <w:p w14:paraId="53ACBAB3">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 xml:space="preserve">、主材规格：板材厚度≥1.0 </w:t>
            </w:r>
          </w:p>
          <w:p w14:paraId="5FB09BC4">
            <w:pPr>
              <w:pStyle w:val="485"/>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shd w:val="clear" w:color="auto" w:fill="FFFFFF"/>
                <w:lang w:eastAsia="zh-CN"/>
                <w14:textFill>
                  <w14:solidFill>
                    <w14:schemeClr w14:val="tx1"/>
                  </w14:solidFill>
                </w14:textFill>
              </w:rPr>
              <w:t>配置</w:t>
            </w:r>
            <w:r>
              <w:rPr>
                <w:rFonts w:hint="eastAsia" w:ascii="宋体" w:hAnsi="宋体" w:eastAsia="宋体" w:cs="宋体"/>
                <w:color w:val="000000" w:themeColor="text1"/>
                <w:sz w:val="24"/>
                <w:szCs w:val="24"/>
                <w:highlight w:val="none"/>
                <w:lang w:eastAsia="zh-CN"/>
                <w14:textFill>
                  <w14:solidFill>
                    <w14:schemeClr w14:val="tx1"/>
                  </w14:solidFill>
                </w14:textFill>
              </w:rPr>
              <w:t>机械数字密码锁。</w:t>
            </w:r>
          </w:p>
        </w:tc>
      </w:tr>
      <w:tr w14:paraId="64D18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61" w:type="dxa"/>
            <w:noWrap/>
            <w:vAlign w:val="center"/>
          </w:tcPr>
          <w:p w14:paraId="1C66D604">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十八</w:t>
            </w:r>
          </w:p>
        </w:tc>
        <w:tc>
          <w:tcPr>
            <w:tcW w:w="9014" w:type="dxa"/>
            <w:noWrap/>
            <w:vAlign w:val="center"/>
          </w:tcPr>
          <w:p w14:paraId="69E77A92">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麻醉车  13辆</w:t>
            </w:r>
          </w:p>
        </w:tc>
      </w:tr>
      <w:tr w14:paraId="755B8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61" w:type="dxa"/>
            <w:noWrap/>
            <w:vAlign w:val="center"/>
          </w:tcPr>
          <w:p w14:paraId="46444607">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9014" w:type="dxa"/>
            <w:noWrap/>
            <w:vAlign w:val="center"/>
          </w:tcPr>
          <w:p w14:paraId="51709238">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1、规格（允许偏离±</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0mm）：675*425*1350mm</w:t>
            </w:r>
          </w:p>
          <w:p w14:paraId="2EA5AFBC">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2、配置：四只抽屉，抽屉内置药盒（可根据临床要求定制）。车体上部设有10只可翻转式塑料盒，左侧配</w:t>
            </w:r>
            <w:r>
              <w:rPr>
                <w:rFonts w:hint="eastAsia" w:ascii="宋体" w:hAnsi="宋体" w:eastAsia="宋体" w:cs="宋体"/>
                <w:color w:val="000000" w:themeColor="text1"/>
                <w:sz w:val="24"/>
                <w:szCs w:val="24"/>
                <w:highlight w:val="none"/>
                <w:lang w:val="en-US" w:eastAsia="zh-CN"/>
                <w14:textFill>
                  <w14:solidFill>
                    <w14:schemeClr w14:val="tx1"/>
                  </w14:solidFill>
                </w14:textFill>
              </w:rPr>
              <w:t>抽拉式</w:t>
            </w:r>
            <w:r>
              <w:rPr>
                <w:rFonts w:hint="eastAsia" w:ascii="宋体" w:hAnsi="宋体" w:eastAsia="宋体" w:cs="宋体"/>
                <w:color w:val="000000" w:themeColor="text1"/>
                <w:sz w:val="24"/>
                <w:szCs w:val="24"/>
                <w:highlight w:val="none"/>
                <w14:textFill>
                  <w14:solidFill>
                    <w14:schemeClr w14:val="tx1"/>
                  </w14:solidFill>
                </w14:textFill>
              </w:rPr>
              <w:t>书写台，一只挂篮，两只污物桶。</w:t>
            </w:r>
          </w:p>
          <w:p w14:paraId="57D938CE">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3、材质：采用优质碳钢喷塑+轻型合金铝材料。</w:t>
            </w:r>
          </w:p>
          <w:p w14:paraId="2F31CD93">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4、万向轮：100</w:t>
            </w:r>
            <w:r>
              <w:rPr>
                <w:rFonts w:hint="eastAsia" w:ascii="宋体" w:hAnsi="宋体" w:eastAsia="宋体" w:cs="宋体"/>
                <w:color w:val="000000" w:themeColor="text1"/>
                <w:sz w:val="24"/>
                <w:szCs w:val="24"/>
                <w:highlight w:val="none"/>
                <w:lang w:val="en-US" w:eastAsia="zh-CN"/>
                <w14:textFill>
                  <w14:solidFill>
                    <w14:schemeClr w14:val="tx1"/>
                  </w14:solidFill>
                </w14:textFill>
              </w:rPr>
              <w:t>mm</w:t>
            </w:r>
            <w:r>
              <w:rPr>
                <w:rFonts w:hint="eastAsia" w:ascii="宋体" w:hAnsi="宋体" w:eastAsia="宋体" w:cs="宋体"/>
                <w:color w:val="000000" w:themeColor="text1"/>
                <w:sz w:val="24"/>
                <w:szCs w:val="24"/>
                <w:highlight w:val="none"/>
                <w14:textFill>
                  <w14:solidFill>
                    <w14:schemeClr w14:val="tx1"/>
                  </w14:solidFill>
                </w14:textFill>
              </w:rPr>
              <w:t>双轴承静音脚轮，防卷发，两只带刹车。</w:t>
            </w:r>
          </w:p>
          <w:p w14:paraId="617A339E">
            <w:pPr>
              <w:pStyle w:val="485"/>
              <w:rPr>
                <w:rFonts w:hint="eastAsia" w:ascii="宋体" w:hAnsi="宋体" w:eastAsia="宋体" w:cs="宋体"/>
                <w:color w:val="000000" w:themeColor="text1"/>
                <w:sz w:val="24"/>
                <w:szCs w:val="24"/>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5、台面</w:t>
            </w:r>
            <w:r>
              <w:rPr>
                <w:rFonts w:hint="eastAsia" w:ascii="宋体" w:hAnsi="宋体" w:eastAsia="宋体" w:cs="宋体"/>
                <w:color w:val="000000" w:themeColor="text1"/>
                <w:sz w:val="24"/>
                <w:szCs w:val="24"/>
                <w:highlight w:val="none"/>
                <w:shd w:val="clear" w:color="auto" w:fill="FFFFFF"/>
                <w:lang w:eastAsia="zh-CN"/>
                <w14:textFill>
                  <w14:solidFill>
                    <w14:schemeClr w14:val="tx1"/>
                  </w14:solidFill>
                </w14:textFill>
              </w:rPr>
              <w:t>凹陷，</w:t>
            </w:r>
            <w:r>
              <w:rPr>
                <w:rFonts w:hint="eastAsia" w:ascii="宋体" w:hAnsi="宋体" w:eastAsia="宋体" w:cs="宋体"/>
                <w:color w:val="000000" w:themeColor="text1"/>
                <w:sz w:val="24"/>
                <w:szCs w:val="24"/>
                <w:highlight w:val="none"/>
                <w:lang w:eastAsia="zh-CN"/>
                <w14:textFill>
                  <w14:solidFill>
                    <w14:schemeClr w14:val="tx1"/>
                  </w14:solidFill>
                </w14:textFill>
              </w:rPr>
              <w:t>三面一体化护栏，物</w:t>
            </w:r>
            <w:r>
              <w:rPr>
                <w:rFonts w:hint="eastAsia" w:ascii="宋体" w:hAnsi="宋体" w:eastAsia="宋体" w:cs="宋体"/>
                <w:color w:val="000000" w:themeColor="text1"/>
                <w:sz w:val="24"/>
                <w:szCs w:val="24"/>
                <w:highlight w:val="none"/>
                <w:shd w:val="clear" w:color="auto" w:fill="FFFFFF"/>
                <w:lang w:eastAsia="zh-CN"/>
                <w14:textFill>
                  <w14:solidFill>
                    <w14:schemeClr w14:val="tx1"/>
                  </w14:solidFill>
                </w14:textFill>
              </w:rPr>
              <w:t>品不易滑落。</w:t>
            </w:r>
          </w:p>
          <w:p w14:paraId="34F11509">
            <w:pPr>
              <w:pStyle w:val="485"/>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lang w:eastAsia="zh-CN"/>
                <w14:textFill>
                  <w14:solidFill>
                    <w14:schemeClr w14:val="tx1"/>
                  </w14:solidFill>
                </w14:textFill>
              </w:rPr>
              <w:t>6、配置</w:t>
            </w:r>
            <w:r>
              <w:rPr>
                <w:rFonts w:hint="eastAsia" w:ascii="宋体" w:hAnsi="宋体" w:eastAsia="宋体" w:cs="宋体"/>
                <w:color w:val="000000" w:themeColor="text1"/>
                <w:sz w:val="24"/>
                <w:szCs w:val="24"/>
                <w:highlight w:val="none"/>
                <w:lang w:eastAsia="zh-CN"/>
                <w14:textFill>
                  <w14:solidFill>
                    <w14:schemeClr w14:val="tx1"/>
                  </w14:solidFill>
                </w14:textFill>
              </w:rPr>
              <w:t>机械数字密码锁。</w:t>
            </w:r>
          </w:p>
        </w:tc>
      </w:tr>
      <w:tr w14:paraId="5CC25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61" w:type="dxa"/>
            <w:noWrap/>
            <w:vAlign w:val="center"/>
          </w:tcPr>
          <w:p w14:paraId="5D2F0C1E">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十九</w:t>
            </w:r>
          </w:p>
        </w:tc>
        <w:tc>
          <w:tcPr>
            <w:tcW w:w="9014" w:type="dxa"/>
            <w:noWrap/>
            <w:vAlign w:val="center"/>
          </w:tcPr>
          <w:p w14:paraId="4F24B35E">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手术治疗车  1辆</w:t>
            </w:r>
          </w:p>
        </w:tc>
      </w:tr>
      <w:tr w14:paraId="7D93E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61" w:type="dxa"/>
            <w:noWrap/>
            <w:vAlign w:val="center"/>
          </w:tcPr>
          <w:p w14:paraId="34A16292">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9014" w:type="dxa"/>
            <w:noWrap/>
            <w:vAlign w:val="center"/>
          </w:tcPr>
          <w:p w14:paraId="4A4D33C4">
            <w:pPr>
              <w:pStyle w:val="48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规格尺寸（允许偏离±</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 xml:space="preserve">0mm）：610*450*850mm </w:t>
            </w:r>
          </w:p>
          <w:p w14:paraId="05DE7BBC">
            <w:pPr>
              <w:pStyle w:val="48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、材质：主体采用304不锈钢材质，板材厚度≥1.0mm，管材厚度≥1.2mm。</w:t>
            </w:r>
          </w:p>
          <w:p w14:paraId="520DA34F">
            <w:pPr>
              <w:pStyle w:val="48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、结构:</w:t>
            </w:r>
            <w:r>
              <w:rPr>
                <w:rFonts w:hint="eastAsia" w:ascii="宋体" w:hAnsi="宋体" w:eastAsia="宋体" w:cs="宋体"/>
                <w:color w:val="000000" w:themeColor="text1"/>
                <w:sz w:val="24"/>
                <w:szCs w:val="24"/>
                <w:highlight w:val="none"/>
                <w:lang w:eastAsia="zh-CN"/>
                <w14:textFill>
                  <w14:solidFill>
                    <w14:schemeClr w14:val="tx1"/>
                  </w14:solidFill>
                </w14:textFill>
              </w:rPr>
              <w:t>圆弧设计，双层台面，带一个抽屉。</w:t>
            </w:r>
          </w:p>
          <w:p w14:paraId="19224F9B">
            <w:pPr>
              <w:pStyle w:val="48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、抽屉滑道选用优质三节轨道。</w:t>
            </w:r>
          </w:p>
          <w:p w14:paraId="30B9D129">
            <w:pPr>
              <w:pStyle w:val="48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、脚轮采用3寸聚氨酯塑包静音脚轮，防卷发；</w:t>
            </w:r>
            <w:r>
              <w:rPr>
                <w:rFonts w:hint="eastAsia" w:ascii="宋体" w:hAnsi="宋体" w:eastAsia="宋体" w:cs="宋体"/>
                <w:color w:val="000000" w:themeColor="text1"/>
                <w:sz w:val="24"/>
                <w:szCs w:val="24"/>
                <w:highlight w:val="none"/>
                <w:lang w:val="en-US" w:eastAsia="zh-CN"/>
                <w14:textFill>
                  <w14:solidFill>
                    <w14:schemeClr w14:val="tx1"/>
                  </w14:solidFill>
                </w14:textFill>
              </w:rPr>
              <w:t>两只带</w:t>
            </w:r>
            <w:r>
              <w:rPr>
                <w:rFonts w:hint="eastAsia" w:ascii="宋体" w:hAnsi="宋体" w:eastAsia="宋体" w:cs="宋体"/>
                <w:color w:val="000000" w:themeColor="text1"/>
                <w:sz w:val="24"/>
                <w:szCs w:val="24"/>
                <w:highlight w:val="none"/>
                <w14:textFill>
                  <w14:solidFill>
                    <w14:schemeClr w14:val="tx1"/>
                  </w14:solidFill>
                </w14:textFill>
              </w:rPr>
              <w:t>刹车。</w:t>
            </w:r>
          </w:p>
          <w:p w14:paraId="23B4A96B">
            <w:pPr>
              <w:pStyle w:val="485"/>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、急诊适用</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r>
      <w:tr w14:paraId="41D54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61" w:type="dxa"/>
            <w:noWrap/>
            <w:vAlign w:val="center"/>
          </w:tcPr>
          <w:p w14:paraId="14A820C6">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二十</w:t>
            </w:r>
          </w:p>
        </w:tc>
        <w:tc>
          <w:tcPr>
            <w:tcW w:w="9014" w:type="dxa"/>
            <w:noWrap/>
            <w:vAlign w:val="center"/>
          </w:tcPr>
          <w:p w14:paraId="263F1A82">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牙科推车  8辆</w:t>
            </w:r>
          </w:p>
        </w:tc>
      </w:tr>
      <w:tr w14:paraId="6E5B7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61" w:type="dxa"/>
            <w:noWrap/>
            <w:vAlign w:val="center"/>
          </w:tcPr>
          <w:p w14:paraId="6F31AEE7">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9014" w:type="dxa"/>
            <w:noWrap/>
            <w:vAlign w:val="center"/>
          </w:tcPr>
          <w:p w14:paraId="618C0A71">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1、规格（允许偏离±</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 xml:space="preserve">0mm）：500*500*850mm </w:t>
            </w:r>
          </w:p>
          <w:p w14:paraId="6A7609E7">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2、材质：国标SUS304不锈钢材料。</w:t>
            </w:r>
          </w:p>
          <w:p w14:paraId="13DC276E">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3、万向轮：Φ100聚胺脂双轴承静音脚轮，防卷发。两只带刹车。</w:t>
            </w:r>
          </w:p>
          <w:p w14:paraId="253D4E86">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4、抽屉导轨为优质静音伸缩导轨。带缓冲、自吸功能。</w:t>
            </w:r>
          </w:p>
          <w:p w14:paraId="331CA08E">
            <w:pPr>
              <w:pStyle w:val="485"/>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5、大理石台面。</w:t>
            </w:r>
          </w:p>
          <w:p w14:paraId="058907C0">
            <w:pPr>
              <w:pStyle w:val="485"/>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6、正面设有五层抽屉，抽屉根据医院要求设置隔条。</w:t>
            </w:r>
          </w:p>
          <w:p w14:paraId="299DEB1F">
            <w:pPr>
              <w:pStyle w:val="485"/>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7、</w:t>
            </w:r>
            <w:r>
              <w:rPr>
                <w:rFonts w:hint="eastAsia" w:ascii="宋体" w:hAnsi="宋体" w:eastAsia="宋体" w:cs="宋体"/>
                <w:color w:val="000000" w:themeColor="text1"/>
                <w:sz w:val="24"/>
                <w:szCs w:val="24"/>
                <w:highlight w:val="none"/>
                <w:shd w:val="clear" w:color="auto" w:fill="FFFFFF"/>
                <w:lang w:eastAsia="zh-CN"/>
                <w14:textFill>
                  <w14:solidFill>
                    <w14:schemeClr w14:val="tx1"/>
                  </w14:solidFill>
                </w14:textFill>
              </w:rPr>
              <w:t>配置</w:t>
            </w:r>
            <w:r>
              <w:rPr>
                <w:rFonts w:hint="eastAsia" w:ascii="宋体" w:hAnsi="宋体" w:eastAsia="宋体" w:cs="宋体"/>
                <w:color w:val="000000" w:themeColor="text1"/>
                <w:sz w:val="24"/>
                <w:szCs w:val="24"/>
                <w:highlight w:val="none"/>
                <w:lang w:eastAsia="zh-CN"/>
                <w14:textFill>
                  <w14:solidFill>
                    <w14:schemeClr w14:val="tx1"/>
                  </w14:solidFill>
                </w14:textFill>
              </w:rPr>
              <w:t>机械数字密码锁。</w:t>
            </w:r>
          </w:p>
        </w:tc>
      </w:tr>
      <w:tr w14:paraId="5A4AB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61" w:type="dxa"/>
            <w:noWrap/>
            <w:vAlign w:val="center"/>
          </w:tcPr>
          <w:p w14:paraId="57FA141F">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二十一</w:t>
            </w:r>
          </w:p>
        </w:tc>
        <w:tc>
          <w:tcPr>
            <w:tcW w:w="9014" w:type="dxa"/>
            <w:noWrap/>
            <w:vAlign w:val="center"/>
          </w:tcPr>
          <w:p w14:paraId="3CBA69D8">
            <w:pPr>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移动查房车（不带电脑）  10辆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需提供样品</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r>
      <w:tr w14:paraId="7D938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61" w:type="dxa"/>
            <w:noWrap/>
            <w:vAlign w:val="center"/>
          </w:tcPr>
          <w:p w14:paraId="3DF648DB">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9014" w:type="dxa"/>
            <w:noWrap/>
            <w:vAlign w:val="center"/>
          </w:tcPr>
          <w:p w14:paraId="5CA5A885">
            <w:pPr>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1、规格：</w:t>
            </w:r>
            <w:r>
              <w:rPr>
                <w:rFonts w:hint="eastAsia" w:ascii="宋体" w:hAnsi="宋体" w:eastAsia="宋体" w:cs="宋体"/>
                <w:color w:val="000000" w:themeColor="text1"/>
                <w:sz w:val="24"/>
                <w:szCs w:val="24"/>
                <w:highlight w:val="none"/>
                <w14:textFill>
                  <w14:solidFill>
                    <w14:schemeClr w14:val="tx1"/>
                  </w14:solidFill>
                </w14:textFill>
              </w:rPr>
              <w:t>尺寸（允许偏离±</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0mm）:540*490-710/980mm</w:t>
            </w:r>
          </w:p>
          <w:p w14:paraId="09046DE6">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工作台面尺寸</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宽480*长460mm</w:t>
            </w:r>
          </w:p>
          <w:p w14:paraId="6F35F07C">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主要材质</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台面为ABS工程塑料,立柱为铝合金型材，底盘及拉手均为金属铸铝（提供设备材质ROHS论证）</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067326AF">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副台尺寸</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360*220mm</w:t>
            </w:r>
          </w:p>
          <w:p w14:paraId="5A8C2928">
            <w:pPr>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整机材质</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铝合金、不锈钢等优质防锈金属材料，面板采用亚光、医用级的ABS抑菌材料</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5CFA5A20">
            <w:pPr>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导轨</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带阻尼静音导轨</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0CBDFAFC">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把手</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下沉式一体成型全铝把手，前后可推拉，封闭环形。（提供实物照片）                   </w:t>
            </w:r>
          </w:p>
          <w:p w14:paraId="45E962B2">
            <w:pPr>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键鼠位</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隐藏式键盘位，在拉手上面，不受阻挡，专用鼠标挂架</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0A9686F5">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桌面设计</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一体无缝成形，具备物体防滑落挡条。（提供实物照片）                             </w:t>
            </w:r>
          </w:p>
          <w:p w14:paraId="559D71E3">
            <w:pPr>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升降</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脚踏气动或电动</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5E30DDC">
            <w:pPr>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w:t>
            </w:r>
            <w:r>
              <w:rPr>
                <w:rFonts w:hint="eastAsia" w:ascii="宋体" w:hAnsi="宋体" w:eastAsia="宋体" w:cs="宋体"/>
                <w:color w:val="000000" w:themeColor="text1"/>
                <w:sz w:val="24"/>
                <w:szCs w:val="24"/>
                <w:highlight w:val="none"/>
                <w14:textFill>
                  <w14:solidFill>
                    <w14:schemeClr w14:val="tx1"/>
                  </w14:solidFill>
                </w14:textFill>
              </w:rPr>
              <w:t>升降行程</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台面升降行程300mm</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23C5F625">
            <w:pPr>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sz w:val="24"/>
                <w:szCs w:val="24"/>
                <w:highlight w:val="none"/>
                <w14:textFill>
                  <w14:solidFill>
                    <w14:schemeClr w14:val="tx1"/>
                  </w14:solidFill>
                </w14:textFill>
              </w:rPr>
              <w:t>支架调整角度</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左右旋转180度，屏幕仰角可30度调整，显示高度调节150MM</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5BB7E4AC">
            <w:pPr>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13、脚轮尺寸：4寸医疗级静音脚轮。</w:t>
            </w:r>
          </w:p>
          <w:p w14:paraId="20D28912">
            <w:pPr>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14、脚轮特性：符合医疗安规感染管控，非粘毛屑万向轮，克服各类地板。</w:t>
            </w:r>
          </w:p>
          <w:p w14:paraId="48E3CCC7">
            <w:pPr>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15、脚轮数量：2个万向轮带刹车、2个万向不带刹车。</w:t>
            </w:r>
          </w:p>
          <w:p w14:paraId="21AAA821">
            <w:pPr>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16、储物抽屉：可按需增加1-2层收纳储物抽屉。</w:t>
            </w:r>
          </w:p>
        </w:tc>
      </w:tr>
      <w:tr w14:paraId="54562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61" w:type="dxa"/>
            <w:noWrap/>
            <w:vAlign w:val="center"/>
          </w:tcPr>
          <w:p w14:paraId="156D25E2">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二十二</w:t>
            </w:r>
          </w:p>
        </w:tc>
        <w:tc>
          <w:tcPr>
            <w:tcW w:w="9014" w:type="dxa"/>
            <w:noWrap/>
            <w:vAlign w:val="center"/>
          </w:tcPr>
          <w:p w14:paraId="3E8E3B3B">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治疗车（三层抽屉）32辆</w:t>
            </w:r>
          </w:p>
        </w:tc>
      </w:tr>
      <w:tr w14:paraId="5F7D4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61" w:type="dxa"/>
            <w:noWrap/>
            <w:vAlign w:val="center"/>
          </w:tcPr>
          <w:p w14:paraId="6ADDC522">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9014" w:type="dxa"/>
            <w:noWrap/>
            <w:vAlign w:val="center"/>
          </w:tcPr>
          <w:p w14:paraId="4CC1ABA0">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1、规格（允许偏离±</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0mm）：600*450*850mm</w:t>
            </w:r>
          </w:p>
          <w:p w14:paraId="76900F9C">
            <w:pPr>
              <w:widowControl/>
              <w:jc w:val="left"/>
              <w:textAlignment w:val="top"/>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2、高光模具成型台面，一体式防撞圆角设计，整体光洁无磨砂；台面厚度≥30mm，台面下沉设计，下沉高度约10MM，三面不间断围栏高度≥65mm。</w:t>
            </w:r>
          </w:p>
          <w:p w14:paraId="752EDD5B">
            <w:pPr>
              <w:widowControl/>
              <w:jc w:val="left"/>
              <w:textAlignment w:val="top"/>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铝合金型材立柱，表面氧化高光原色闪银，无喷涂，立柱带有多功能轨道，轨道内装有可调节高度的功能横杆，实现多种配件在两侧可自由调整高度和位置，配件使用更贴近操作者的身高及使用习惯，也可根据院感要求在车体两侧互换；</w:t>
            </w:r>
          </w:p>
          <w:p w14:paraId="109D7831">
            <w:pPr>
              <w:widowControl/>
              <w:jc w:val="left"/>
              <w:textAlignment w:val="top"/>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、车体侧板背板及抽屉底板均选用铝塑复合板拼装，</w:t>
            </w:r>
            <w:r>
              <w:rPr>
                <w:rFonts w:hint="eastAsia" w:ascii="宋体" w:hAnsi="宋体" w:eastAsia="宋体" w:cs="宋体"/>
                <w:sz w:val="24"/>
                <w:szCs w:val="24"/>
                <w:highlight w:val="none"/>
                <w:lang w:val="en-US" w:eastAsia="zh-CN"/>
              </w:rPr>
              <w:t>铝塑复合板厚度</w:t>
            </w:r>
            <w:r>
              <w:rPr>
                <w:rFonts w:hint="eastAsia" w:ascii="宋体" w:hAnsi="宋体" w:eastAsia="宋体" w:cs="宋体"/>
                <w:color w:val="auto"/>
                <w:sz w:val="24"/>
                <w:szCs w:val="24"/>
                <w:highlight w:val="none"/>
              </w:rPr>
              <w:t>≥</w:t>
            </w:r>
            <w:r>
              <w:rPr>
                <w:rFonts w:hint="eastAsia" w:ascii="宋体" w:hAnsi="宋体" w:eastAsia="宋体" w:cs="宋体"/>
                <w:sz w:val="24"/>
                <w:szCs w:val="24"/>
                <w:highlight w:val="none"/>
                <w:lang w:val="en-US" w:eastAsia="zh-CN"/>
              </w:rPr>
              <w:t>4mm</w:t>
            </w:r>
            <w:r>
              <w:rPr>
                <w:rFonts w:hint="eastAsia" w:ascii="宋体" w:hAnsi="宋体" w:eastAsia="宋体" w:cs="宋体"/>
                <w:color w:val="000000" w:themeColor="text1"/>
                <w:sz w:val="24"/>
                <w:szCs w:val="24"/>
                <w:highlight w:val="none"/>
                <w14:textFill>
                  <w14:solidFill>
                    <w14:schemeClr w14:val="tx1"/>
                  </w14:solidFill>
                </w14:textFill>
              </w:rPr>
              <w:t>。</w:t>
            </w:r>
          </w:p>
          <w:p w14:paraId="1A4AC213">
            <w:pPr>
              <w:widowControl/>
              <w:jc w:val="left"/>
              <w:textAlignment w:val="top"/>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、抽面采用内外对扣封闭式设计，侧边无明显突兀好打理，且无缝贴合立柱，拉手采用弧形铝合金材料，表面光洁度好，易打理，不藏污，长度约280MM。</w:t>
            </w:r>
          </w:p>
          <w:p w14:paraId="26A6A92F">
            <w:pPr>
              <w:widowControl/>
              <w:jc w:val="left"/>
              <w:textAlignment w:val="top"/>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、抽屉内斗为小圆角中空铝型材，通过加强塑料件连接组装无焊接，整个抽屉内部无焊接打磨喷涂；</w:t>
            </w:r>
          </w:p>
          <w:p w14:paraId="1A9027F4">
            <w:pPr>
              <w:widowControl/>
              <w:jc w:val="left"/>
              <w:textAlignment w:val="top"/>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、抽屉选用三节静音阻尼滑轨，抽拉顺畅安静，带阻尼回缩功能；抽屉内置可任意调节的透明PC滑动隔板，可前后左右调节方格大小，方便药品器械分类存放；</w:t>
            </w:r>
          </w:p>
          <w:p w14:paraId="2B59D6B1">
            <w:pPr>
              <w:widowControl/>
              <w:jc w:val="left"/>
              <w:textAlignment w:val="top"/>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、配有可调节式锐器盒架，可灵活固定1-5L锐器盒，304不锈钢物品筐上口双层边加粗圆钢，手感舒适。</w:t>
            </w:r>
          </w:p>
          <w:p w14:paraId="0B639BF3">
            <w:pPr>
              <w:widowControl/>
              <w:jc w:val="left"/>
              <w:textAlignment w:val="top"/>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、一黄一灰垃圾桶，脚踩式翻盖。；</w:t>
            </w:r>
          </w:p>
          <w:p w14:paraId="443E65FB">
            <w:pPr>
              <w:pStyle w:val="485"/>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lang w:eastAsia="zh-CN"/>
                <w14:textFill>
                  <w14:solidFill>
                    <w14:schemeClr w14:val="tx1"/>
                  </w14:solidFill>
                </w14:textFill>
              </w:rPr>
              <w:t>、正面三抽屉，每层高度≥120mm。</w:t>
            </w:r>
          </w:p>
          <w:p w14:paraId="632BDC5D">
            <w:pPr>
              <w:pStyle w:val="485"/>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、脚轮采用3寸聚氨酯塑包静音脚轮，防卷发；两只带刹车。</w:t>
            </w:r>
          </w:p>
          <w:p w14:paraId="0E1AE93C">
            <w:pPr>
              <w:pStyle w:val="485"/>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lang w:eastAsia="zh-CN"/>
                <w14:textFill>
                  <w14:solidFill>
                    <w14:schemeClr w14:val="tx1"/>
                  </w14:solidFill>
                </w14:textFill>
              </w:rPr>
              <w:t>1</w:t>
            </w:r>
            <w:r>
              <w:rPr>
                <w:rFonts w:hint="eastAsia" w:ascii="宋体" w:hAnsi="宋体" w:eastAsia="宋体" w:cs="宋体"/>
                <w:color w:val="000000" w:themeColor="text1"/>
                <w:sz w:val="24"/>
                <w:szCs w:val="24"/>
                <w:highlight w:val="none"/>
                <w:shd w:val="clear" w:color="auto" w:fill="FFFFFF"/>
                <w:lang w:val="en-US" w:eastAsia="zh-CN"/>
                <w14:textFill>
                  <w14:solidFill>
                    <w14:schemeClr w14:val="tx1"/>
                  </w14:solidFill>
                </w14:textFill>
              </w:rPr>
              <w:t>2</w:t>
            </w:r>
            <w:r>
              <w:rPr>
                <w:rFonts w:hint="eastAsia" w:ascii="宋体" w:hAnsi="宋体" w:eastAsia="宋体" w:cs="宋体"/>
                <w:color w:val="000000" w:themeColor="text1"/>
                <w:sz w:val="24"/>
                <w:szCs w:val="24"/>
                <w:highlight w:val="none"/>
                <w:shd w:val="clear" w:color="auto" w:fill="FFFFFF"/>
                <w:lang w:eastAsia="zh-CN"/>
                <w14:textFill>
                  <w14:solidFill>
                    <w14:schemeClr w14:val="tx1"/>
                  </w14:solidFill>
                </w14:textFill>
              </w:rPr>
              <w:t>、配置</w:t>
            </w:r>
            <w:r>
              <w:rPr>
                <w:rFonts w:hint="eastAsia" w:ascii="宋体" w:hAnsi="宋体" w:eastAsia="宋体" w:cs="宋体"/>
                <w:color w:val="000000" w:themeColor="text1"/>
                <w:sz w:val="24"/>
                <w:szCs w:val="24"/>
                <w:highlight w:val="none"/>
                <w:lang w:eastAsia="zh-CN"/>
                <w14:textFill>
                  <w14:solidFill>
                    <w14:schemeClr w14:val="tx1"/>
                  </w14:solidFill>
                </w14:textFill>
              </w:rPr>
              <w:t>机械数字密码锁。</w:t>
            </w:r>
          </w:p>
        </w:tc>
      </w:tr>
      <w:tr w14:paraId="3E365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61" w:type="dxa"/>
            <w:noWrap/>
            <w:vAlign w:val="center"/>
          </w:tcPr>
          <w:p w14:paraId="49DB0486">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二十三</w:t>
            </w:r>
          </w:p>
        </w:tc>
        <w:tc>
          <w:tcPr>
            <w:tcW w:w="9014" w:type="dxa"/>
            <w:noWrap/>
            <w:vAlign w:val="center"/>
          </w:tcPr>
          <w:p w14:paraId="008270E1">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发药车   8辆</w:t>
            </w:r>
          </w:p>
        </w:tc>
      </w:tr>
      <w:tr w14:paraId="4A114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61" w:type="dxa"/>
            <w:noWrap/>
            <w:vAlign w:val="center"/>
          </w:tcPr>
          <w:p w14:paraId="39E28597">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9014" w:type="dxa"/>
            <w:noWrap/>
            <w:vAlign w:val="center"/>
          </w:tcPr>
          <w:p w14:paraId="34C4B75D">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1、规格（允许偏离±</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0mm）： 500*500*850mm</w:t>
            </w:r>
          </w:p>
          <w:p w14:paraId="21D8846C">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2、高光模具成型台面，一体式防撞圆角设计，整体光洁，不褪色；台面厚度≥30mm，台面下沉设计，下沉高度约10MM，三面不间断围栏高度≥65mm。</w:t>
            </w:r>
          </w:p>
          <w:p w14:paraId="0DDE6282">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主体采用冷轧钢板喷塑，铝合金型材立柱，表面氧化高光原色闪银，无喷涂，立柱带有多功能轨道，轨道内装有可调节高度的功能横杆，实现多种配件在两侧可自由调整高度和位置，配件使用更贴近操作者的身高及使用习惯，也可根据院感要求在车体两侧互换；</w:t>
            </w:r>
          </w:p>
          <w:p w14:paraId="7CBC3279">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、车体侧板背板及抽屉底板均选用铝塑复合板拼装，</w:t>
            </w:r>
            <w:r>
              <w:rPr>
                <w:rFonts w:hint="eastAsia" w:ascii="宋体" w:hAnsi="宋体" w:eastAsia="宋体" w:cs="宋体"/>
                <w:sz w:val="24"/>
                <w:szCs w:val="24"/>
                <w:highlight w:val="none"/>
                <w:lang w:val="en-US" w:eastAsia="zh-CN"/>
              </w:rPr>
              <w:t>铝塑复合板厚度</w:t>
            </w:r>
            <w:r>
              <w:rPr>
                <w:rFonts w:hint="eastAsia" w:ascii="宋体" w:hAnsi="宋体" w:eastAsia="宋体" w:cs="宋体"/>
                <w:color w:val="auto"/>
                <w:sz w:val="24"/>
                <w:szCs w:val="24"/>
                <w:highlight w:val="none"/>
              </w:rPr>
              <w:t>≥</w:t>
            </w:r>
            <w:r>
              <w:rPr>
                <w:rFonts w:hint="eastAsia" w:ascii="宋体" w:hAnsi="宋体" w:eastAsia="宋体" w:cs="宋体"/>
                <w:sz w:val="24"/>
                <w:szCs w:val="24"/>
                <w:highlight w:val="none"/>
                <w:lang w:val="en-US" w:eastAsia="zh-CN"/>
              </w:rPr>
              <w:t>4mm</w:t>
            </w:r>
            <w:r>
              <w:rPr>
                <w:rFonts w:hint="eastAsia" w:ascii="宋体" w:hAnsi="宋体" w:eastAsia="宋体" w:cs="宋体"/>
                <w:color w:val="000000" w:themeColor="text1"/>
                <w:sz w:val="24"/>
                <w:szCs w:val="24"/>
                <w:highlight w:val="none"/>
                <w14:textFill>
                  <w14:solidFill>
                    <w14:schemeClr w14:val="tx1"/>
                  </w14:solidFill>
                </w14:textFill>
              </w:rPr>
              <w:t>。</w:t>
            </w:r>
          </w:p>
          <w:p w14:paraId="2D2E1A0D">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、抽面采用内外对扣封闭式设计，侧边无明显突兀好打理，且无缝贴合立柱，拉手采用弧形铝合金材料，表面光洁度好，易打理，不藏污，长度约280MM。</w:t>
            </w:r>
          </w:p>
          <w:p w14:paraId="4FABA655">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、抽屉内斗为小圆角中空铝型材，通过加强塑料件连接组装无焊接，整个抽屉内部无焊接打磨喷涂；</w:t>
            </w:r>
          </w:p>
          <w:p w14:paraId="6969CAAB">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 xml:space="preserve">、正面4层抽屉，最上层≥250mm，剩下三层层高≥120mm。抽屉选用三节静音阻尼滑轨，抽拉顺畅安静，带阻尼回缩功能；下三层抽屉每层内置50人份药盘，药盘高度≥80mm，易取出。  </w:t>
            </w:r>
          </w:p>
          <w:p w14:paraId="224C6F37">
            <w:pPr>
              <w:pStyle w:val="485"/>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lang w:eastAsia="zh-CN"/>
                <w14:textFill>
                  <w14:solidFill>
                    <w14:schemeClr w14:val="tx1"/>
                  </w14:solidFill>
                </w14:textFill>
              </w:rPr>
              <w:t>、脚轮采用3寸聚氨酯塑包静音脚轮，防卷发；两只带刹车。</w:t>
            </w:r>
          </w:p>
          <w:p w14:paraId="1343E9E1">
            <w:pPr>
              <w:pStyle w:val="485"/>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shd w:val="clear" w:color="auto" w:fill="FFFFFF"/>
                <w:lang w:eastAsia="zh-CN"/>
                <w14:textFill>
                  <w14:solidFill>
                    <w14:schemeClr w14:val="tx1"/>
                  </w14:solidFill>
                </w14:textFill>
              </w:rPr>
              <w:t>配置</w:t>
            </w:r>
            <w:r>
              <w:rPr>
                <w:rFonts w:hint="eastAsia" w:ascii="宋体" w:hAnsi="宋体" w:eastAsia="宋体" w:cs="宋体"/>
                <w:color w:val="000000" w:themeColor="text1"/>
                <w:sz w:val="24"/>
                <w:szCs w:val="24"/>
                <w:highlight w:val="none"/>
                <w:lang w:eastAsia="zh-CN"/>
                <w14:textFill>
                  <w14:solidFill>
                    <w14:schemeClr w14:val="tx1"/>
                  </w14:solidFill>
                </w14:textFill>
              </w:rPr>
              <w:t>机械数字密码锁。</w:t>
            </w:r>
          </w:p>
        </w:tc>
      </w:tr>
      <w:tr w14:paraId="16F33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61" w:type="dxa"/>
            <w:noWrap/>
            <w:vAlign w:val="center"/>
          </w:tcPr>
          <w:p w14:paraId="5CD3E654">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二十四</w:t>
            </w:r>
          </w:p>
        </w:tc>
        <w:tc>
          <w:tcPr>
            <w:tcW w:w="9014" w:type="dxa"/>
            <w:noWrap/>
            <w:vAlign w:val="center"/>
          </w:tcPr>
          <w:p w14:paraId="5289E1D6">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污物车   4辆</w:t>
            </w:r>
          </w:p>
        </w:tc>
      </w:tr>
      <w:tr w14:paraId="4A548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61" w:type="dxa"/>
            <w:noWrap/>
            <w:vAlign w:val="center"/>
          </w:tcPr>
          <w:p w14:paraId="7EBAE888">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9014" w:type="dxa"/>
            <w:noWrap/>
            <w:vAlign w:val="center"/>
          </w:tcPr>
          <w:p w14:paraId="2E32C762">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规格（允许偏离±</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 xml:space="preserve">0mm）：950*450*950mm    </w:t>
            </w:r>
          </w:p>
          <w:p w14:paraId="1438594F">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、车架采用φ25*1.2mm厚度不锈钢圆管制作。</w:t>
            </w:r>
          </w:p>
          <w:p w14:paraId="0BCE1555">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、下装四只3寸静音万向轮，带刹车</w:t>
            </w:r>
          </w:p>
          <w:p w14:paraId="4B5DCD6A">
            <w:pPr>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、防水布污物袋2只、带盖，可拆卸，方便更换清洗，颜色区分根据医院要求</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r>
      <w:tr w14:paraId="37B41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61" w:type="dxa"/>
            <w:noWrap/>
            <w:vAlign w:val="center"/>
          </w:tcPr>
          <w:p w14:paraId="5F3424DB">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二十五</w:t>
            </w:r>
          </w:p>
        </w:tc>
        <w:tc>
          <w:tcPr>
            <w:tcW w:w="9014" w:type="dxa"/>
            <w:noWrap/>
            <w:vAlign w:val="center"/>
          </w:tcPr>
          <w:p w14:paraId="0D5288F4">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不锈钢治疗车   25辆</w:t>
            </w:r>
          </w:p>
        </w:tc>
      </w:tr>
      <w:tr w14:paraId="38640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61" w:type="dxa"/>
            <w:noWrap/>
            <w:vAlign w:val="center"/>
          </w:tcPr>
          <w:p w14:paraId="191FE871">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9014" w:type="dxa"/>
            <w:noWrap/>
            <w:vAlign w:val="center"/>
          </w:tcPr>
          <w:p w14:paraId="79BC4E32">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规格（允许偏离±</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 xml:space="preserve">0mm）：600*450*870mm    </w:t>
            </w:r>
          </w:p>
          <w:p w14:paraId="53D2BEE3">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、材质：主体采用304不锈钢材质，板材厚度≥1.0mm，管材厚度≥1.2mm。</w:t>
            </w:r>
          </w:p>
          <w:p w14:paraId="044664B9">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、结构:圆弧设计，双层台面，带一个抽屉。</w:t>
            </w:r>
          </w:p>
          <w:p w14:paraId="55553131">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、抽屉滑道选用优质三节轨道。</w:t>
            </w:r>
          </w:p>
          <w:p w14:paraId="440B8621">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、脚轮采用3寸聚氨酯塑包静音脚轮，防卷发；对角刹车。</w:t>
            </w:r>
          </w:p>
          <w:p w14:paraId="099DA529">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、血透室适用。</w:t>
            </w:r>
          </w:p>
        </w:tc>
      </w:tr>
      <w:tr w14:paraId="0896F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61" w:type="dxa"/>
            <w:noWrap/>
            <w:vAlign w:val="center"/>
          </w:tcPr>
          <w:p w14:paraId="6633B2AF">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二十六</w:t>
            </w:r>
          </w:p>
        </w:tc>
        <w:tc>
          <w:tcPr>
            <w:tcW w:w="9014" w:type="dxa"/>
            <w:noWrap/>
            <w:vAlign w:val="center"/>
          </w:tcPr>
          <w:p w14:paraId="7AE643E9">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冲洗车   1辆</w:t>
            </w:r>
          </w:p>
        </w:tc>
      </w:tr>
      <w:tr w14:paraId="6BDB2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61" w:type="dxa"/>
            <w:noWrap/>
            <w:vAlign w:val="center"/>
          </w:tcPr>
          <w:p w14:paraId="5A1E4A53">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9014" w:type="dxa"/>
            <w:noWrap/>
            <w:vAlign w:val="center"/>
          </w:tcPr>
          <w:p w14:paraId="4417DE66">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规格尺寸（允许偏离±</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0mm）：500*500*750mm（不含扶手）</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5CF2556E">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、整车全采用优质304不锈钢制作；</w:t>
            </w:r>
          </w:p>
          <w:p w14:paraId="52EAA7CF">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、双向侧滑式开盖方式、使用方便、并可放置物品；</w:t>
            </w:r>
          </w:p>
          <w:p w14:paraId="150494A8">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、配置下层台面、四周带围栏</w:t>
            </w:r>
          </w:p>
          <w:p w14:paraId="3BAC1274">
            <w:pPr>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、3寸防尘万向轮、对角刹车</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r>
      <w:tr w14:paraId="61F65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61" w:type="dxa"/>
            <w:noWrap/>
            <w:vAlign w:val="center"/>
          </w:tcPr>
          <w:p w14:paraId="16D50262">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二十七</w:t>
            </w:r>
          </w:p>
        </w:tc>
        <w:tc>
          <w:tcPr>
            <w:tcW w:w="9014" w:type="dxa"/>
            <w:noWrap/>
            <w:vAlign w:val="center"/>
          </w:tcPr>
          <w:p w14:paraId="2699E40B">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移动护理车（不带电脑）  4辆</w:t>
            </w:r>
          </w:p>
        </w:tc>
      </w:tr>
      <w:tr w14:paraId="1AF07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61" w:type="dxa"/>
            <w:noWrap/>
            <w:vAlign w:val="center"/>
          </w:tcPr>
          <w:p w14:paraId="5EB21618">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9014" w:type="dxa"/>
            <w:noWrap/>
            <w:vAlign w:val="center"/>
          </w:tcPr>
          <w:p w14:paraId="794E84C0">
            <w:pPr>
              <w:pStyle w:val="48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主体规格（允许偏离±</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0mm）：650*480*970MM</w:t>
            </w:r>
          </w:p>
          <w:p w14:paraId="584F240C">
            <w:pPr>
              <w:pStyle w:val="48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、材质：主体采用冷轧钢板喷塑，选用铝合金材料为立柱，板材厚度≥1.0mm，整体除锈水洗磷化等表面处理，静电喷塑；颜色可选；</w:t>
            </w:r>
          </w:p>
          <w:p w14:paraId="20EF70FA">
            <w:pPr>
              <w:pStyle w:val="48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、结构：圆弧设计，正面设有4+1抽屉（含键盘抽）；</w:t>
            </w:r>
          </w:p>
          <w:p w14:paraId="699E6FB7">
            <w:pPr>
              <w:pStyle w:val="48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、抽屉滑道选用三节轨道。</w:t>
            </w:r>
          </w:p>
          <w:p w14:paraId="76408583">
            <w:pPr>
              <w:pStyle w:val="48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、脚轮采用4寸聚氨酯塑包静音脚轮，防卷发；对角刹车</w:t>
            </w:r>
          </w:p>
          <w:p w14:paraId="2BE1189F">
            <w:pPr>
              <w:pStyle w:val="48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、车体四周设有防撞角；</w:t>
            </w:r>
          </w:p>
          <w:p w14:paraId="557C7D1A">
            <w:pPr>
              <w:pStyle w:val="48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、配置脚踩垃圾桶1个、翻盖垃圾桶2个、储物盒2个、凳子1个、药盒12个。</w:t>
            </w:r>
          </w:p>
          <w:p w14:paraId="4F971BA5">
            <w:pPr>
              <w:pStyle w:val="485"/>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shd w:val="clear" w:color="auto" w:fill="FFFFFF"/>
                <w:lang w:eastAsia="zh-CN"/>
                <w14:textFill>
                  <w14:solidFill>
                    <w14:schemeClr w14:val="tx1"/>
                  </w14:solidFill>
                </w14:textFill>
              </w:rPr>
              <w:t>配置</w:t>
            </w:r>
            <w:r>
              <w:rPr>
                <w:rFonts w:hint="eastAsia" w:ascii="宋体" w:hAnsi="宋体" w:eastAsia="宋体" w:cs="宋体"/>
                <w:color w:val="000000" w:themeColor="text1"/>
                <w:sz w:val="24"/>
                <w:szCs w:val="24"/>
                <w:highlight w:val="none"/>
                <w:lang w:eastAsia="zh-CN"/>
                <w14:textFill>
                  <w14:solidFill>
                    <w14:schemeClr w14:val="tx1"/>
                  </w14:solidFill>
                </w14:textFill>
              </w:rPr>
              <w:t>电子密码锁。</w:t>
            </w:r>
          </w:p>
        </w:tc>
      </w:tr>
      <w:tr w14:paraId="46C2A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61" w:type="dxa"/>
            <w:noWrap/>
            <w:vAlign w:val="center"/>
          </w:tcPr>
          <w:p w14:paraId="333985B8">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014" w:type="dxa"/>
            <w:noWrap/>
            <w:vAlign w:val="center"/>
          </w:tcPr>
          <w:p w14:paraId="7FBA2CF8">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（永兴街道社区卫生服务中心）</w:t>
            </w:r>
          </w:p>
        </w:tc>
      </w:tr>
      <w:tr w14:paraId="49F26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61" w:type="dxa"/>
            <w:noWrap/>
            <w:vAlign w:val="center"/>
          </w:tcPr>
          <w:p w14:paraId="144FA241">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w:t>
            </w:r>
          </w:p>
        </w:tc>
        <w:tc>
          <w:tcPr>
            <w:tcW w:w="9014" w:type="dxa"/>
            <w:noWrap/>
            <w:vAlign w:val="center"/>
          </w:tcPr>
          <w:p w14:paraId="262B4301">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妇科检查床（固定）  1张</w:t>
            </w:r>
          </w:p>
        </w:tc>
      </w:tr>
      <w:tr w14:paraId="0AE38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61" w:type="dxa"/>
            <w:noWrap/>
            <w:vAlign w:val="center"/>
          </w:tcPr>
          <w:p w14:paraId="6BF274C8">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9014" w:type="dxa"/>
            <w:noWrap/>
            <w:vAlign w:val="center"/>
          </w:tcPr>
          <w:p w14:paraId="4A6504C5">
            <w:pPr>
              <w:pStyle w:val="48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1、床面尺寸1300 mm X 550mm X 800 mm（允许偏离±</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0mm）</w:t>
            </w:r>
          </w:p>
          <w:p w14:paraId="208181E2">
            <w:pPr>
              <w:pStyle w:val="48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2、背部升降角度为-10°~60°(液压控制可调)；</w:t>
            </w:r>
          </w:p>
          <w:p w14:paraId="38F41584">
            <w:pPr>
              <w:pStyle w:val="48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3、优质304不锈钢基座，美观易清理；</w:t>
            </w:r>
          </w:p>
          <w:p w14:paraId="68D91AD0">
            <w:pPr>
              <w:pStyle w:val="48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4、底部设有脚轮和一点定位制动，刹车方便可靠；</w:t>
            </w:r>
          </w:p>
          <w:p w14:paraId="18F1FF83">
            <w:pPr>
              <w:pStyle w:val="48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5、配套EVA模具发泡成型托腿架；</w:t>
            </w:r>
          </w:p>
          <w:p w14:paraId="42FB627C">
            <w:pPr>
              <w:pStyle w:val="48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6、高强度铝型材握柄；</w:t>
            </w:r>
          </w:p>
          <w:p w14:paraId="72F3D1D3">
            <w:pPr>
              <w:pStyle w:val="48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7、配套防滑踏脚凳，方便病患上下；</w:t>
            </w:r>
          </w:p>
          <w:p w14:paraId="0DFE4935">
            <w:pPr>
              <w:pStyle w:val="48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8、床面模具发泡一次成型，无缝设计，带导流层防止液体渗入；</w:t>
            </w:r>
          </w:p>
          <w:p w14:paraId="0442C165">
            <w:pPr>
              <w:pStyle w:val="48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9、配备亚克力冲洗漏斗和不锈钢污物桶；</w:t>
            </w:r>
          </w:p>
          <w:p w14:paraId="053B8F16">
            <w:pPr>
              <w:pStyle w:val="48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10、安全工作载荷：250 KG；</w:t>
            </w:r>
          </w:p>
          <w:p w14:paraId="756DA5F0">
            <w:pPr>
              <w:pStyle w:val="485"/>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11、选配LED软管光斑可调妇科检查灯。</w:t>
            </w:r>
          </w:p>
        </w:tc>
      </w:tr>
      <w:tr w14:paraId="04E80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61" w:type="dxa"/>
            <w:noWrap/>
            <w:vAlign w:val="center"/>
          </w:tcPr>
          <w:p w14:paraId="7C23D0F7">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w:t>
            </w:r>
          </w:p>
        </w:tc>
        <w:tc>
          <w:tcPr>
            <w:tcW w:w="9014" w:type="dxa"/>
            <w:noWrap/>
            <w:vAlign w:val="center"/>
          </w:tcPr>
          <w:p w14:paraId="22FC52F7">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普通电动床  50张</w:t>
            </w:r>
          </w:p>
        </w:tc>
      </w:tr>
      <w:tr w14:paraId="5332D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61" w:type="dxa"/>
            <w:noWrap/>
            <w:vAlign w:val="center"/>
          </w:tcPr>
          <w:p w14:paraId="56BE41AE">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9014" w:type="dxa"/>
            <w:noWrap/>
            <w:vAlign w:val="center"/>
          </w:tcPr>
          <w:p w14:paraId="679983CE">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1、整床尺寸（允许偏离±</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0mm）:2180mm×960mm×500mm；床面尺寸（允许偏离±</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0mm）：≥1900*830mm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床体安全载重≥240kg。</w:t>
            </w:r>
          </w:p>
          <w:p w14:paraId="50A0C381">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2、功能：通过手持控制器操作实现各种体位，背板角度：≥70±5°、腿板角度：≥40±5°。</w:t>
            </w:r>
          </w:p>
          <w:p w14:paraId="25000BA2">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3、床框与床板</w:t>
            </w:r>
          </w:p>
          <w:p w14:paraId="6E64044D">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★3.1、床框采用主梁</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40X60X1.5mm和副梁</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25X40X1.5mm的矩形优质碳素结构钢材激光切割成型，主梁副梁组合焊接而成，床体纵向四梁结构（提供实物彩图佐证）稳固运行无噪音，坚固扎实，使背部和腿部的升降角度在任意幅度使用过程中稳定（背部和腿部在升降≥</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0000次后主梁的变形量≤3mm，提供功能及参数测试省级及以上第三方检测机构完整检测报告）。</w:t>
            </w:r>
          </w:p>
          <w:p w14:paraId="3D3555D5">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★3.2、床面板需采用≥1.0mm厚冷轧钢板，一次性模压成型和背面焊接加强管的组合方式，四块床板带模压凹槽和透气孔，模压凹槽深度≥4.0mm，保证床面运行的平稳（床面板运行≥</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0000次后连接处固定螺栓磨损程度≤0.5mm，提供功能及参数测试省级及以上第三方检测机构完整检测报告）。</w:t>
            </w:r>
          </w:p>
          <w:p w14:paraId="45898444">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4、电控系统：强劲动力，性能稳定，平缓静音，防水等级≥IPX4。</w:t>
            </w:r>
          </w:p>
          <w:p w14:paraId="1A4EA76B">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5、床头床尾板</w:t>
            </w:r>
          </w:p>
          <w:p w14:paraId="51482AC0">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5.1、床头尾板规格≥940×510mm，其中颜色搭配装饰部分采用转印技术附着于工程塑料上，采用嵌入式子母扣安装方式（提供实物剖析彩图佐证）；</w:t>
            </w:r>
          </w:p>
          <w:p w14:paraId="4160A33B">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★5.2、床头尾板采用双锁扣固定装置，锁扣开关固定于床梁上并有明显颜色区分，固定时牢固，解锁时方便，开关规格不小于95*25mm（提供实物彩图佐证）；</w:t>
            </w:r>
          </w:p>
          <w:p w14:paraId="11C57976">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、床头尾板需由全新PP(聚丙烯）原料吹塑成型技术制作而成；床头尾板固定时应在受</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KG拉力情况下不产生损坏（提供参数测试省级及以上第三方检测机构完整检测报告），可正常使用。</w:t>
            </w:r>
          </w:p>
          <w:p w14:paraId="7AAE94A6">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6、护栏</w:t>
            </w:r>
          </w:p>
          <w:p w14:paraId="2EA01B49">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6.1、护栏采用6档折叠式铝合金护栏，高强度耐腐蚀。整体护栏总长度:≥1450mm,整体高度≥410mm；护栏的横向拉力强度可承受≥75KG拉力情况下不产生损坏（提供参数测试省级及以上第三方检测机构完整检测报告），可正常使用</w:t>
            </w:r>
          </w:p>
          <w:p w14:paraId="6BB10E1E">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★6.2、</w:t>
            </w:r>
            <w:r>
              <w:rPr>
                <w:rFonts w:hint="eastAsia" w:ascii="宋体" w:hAnsi="宋体" w:eastAsia="宋体" w:cs="宋体"/>
                <w:color w:val="000000" w:themeColor="text1"/>
                <w:sz w:val="24"/>
                <w:szCs w:val="24"/>
                <w:highlight w:val="none"/>
                <w:lang w:eastAsia="zh-CN"/>
                <w14:textFill>
                  <w14:solidFill>
                    <w14:schemeClr w14:val="tx1"/>
                  </w14:solidFill>
                </w14:textFill>
              </w:rPr>
              <w:t>护栏</w:t>
            </w:r>
            <w:r>
              <w:rPr>
                <w:rFonts w:hint="eastAsia" w:ascii="宋体" w:hAnsi="宋体" w:eastAsia="宋体" w:cs="宋体"/>
                <w:color w:val="000000" w:themeColor="text1"/>
                <w:sz w:val="24"/>
                <w:szCs w:val="24"/>
                <w:highlight w:val="none"/>
                <w14:textFill>
                  <w14:solidFill>
                    <w14:schemeClr w14:val="tx1"/>
                  </w14:solidFill>
                </w14:textFill>
              </w:rPr>
              <w:t>开关</w:t>
            </w:r>
            <w:r>
              <w:rPr>
                <w:rFonts w:hint="eastAsia" w:ascii="宋体" w:hAnsi="宋体" w:eastAsia="宋体" w:cs="宋体"/>
                <w:color w:val="000000" w:themeColor="text1"/>
                <w:sz w:val="24"/>
                <w:szCs w:val="24"/>
                <w:highlight w:val="none"/>
                <w:lang w:eastAsia="zh-CN"/>
                <w14:textFill>
                  <w14:solidFill>
                    <w14:schemeClr w14:val="tx1"/>
                  </w14:solidFill>
                </w14:textFill>
              </w:rPr>
              <w:t>、开关</w:t>
            </w:r>
            <w:r>
              <w:rPr>
                <w:rFonts w:hint="eastAsia" w:ascii="宋体" w:hAnsi="宋体" w:eastAsia="宋体" w:cs="宋体"/>
                <w:color w:val="000000" w:themeColor="text1"/>
                <w:sz w:val="24"/>
                <w:szCs w:val="24"/>
                <w:highlight w:val="none"/>
                <w14:textFill>
                  <w14:solidFill>
                    <w14:schemeClr w14:val="tx1"/>
                  </w14:solidFill>
                </w14:textFill>
              </w:rPr>
              <w:t>支架及开关锁销均采用金属铝合金材质一次性压铸成型（提供</w:t>
            </w:r>
            <w:r>
              <w:rPr>
                <w:rFonts w:hint="eastAsia" w:ascii="宋体" w:hAnsi="宋体" w:eastAsia="宋体" w:cs="宋体"/>
                <w:color w:val="000000" w:themeColor="text1"/>
                <w:sz w:val="24"/>
                <w:szCs w:val="24"/>
                <w:highlight w:val="none"/>
                <w:lang w:eastAsia="zh-CN"/>
                <w14:textFill>
                  <w14:solidFill>
                    <w14:schemeClr w14:val="tx1"/>
                  </w14:solidFill>
                </w14:textFill>
              </w:rPr>
              <w:t>护栏</w:t>
            </w:r>
            <w:r>
              <w:rPr>
                <w:rFonts w:hint="eastAsia" w:ascii="宋体" w:hAnsi="宋体" w:eastAsia="宋体" w:cs="宋体"/>
                <w:color w:val="000000" w:themeColor="text1"/>
                <w:sz w:val="24"/>
                <w:szCs w:val="24"/>
                <w:highlight w:val="none"/>
                <w14:textFill>
                  <w14:solidFill>
                    <w14:schemeClr w14:val="tx1"/>
                  </w14:solidFill>
                </w14:textFill>
              </w:rPr>
              <w:t>开关</w:t>
            </w:r>
            <w:r>
              <w:rPr>
                <w:rFonts w:hint="eastAsia" w:ascii="宋体" w:hAnsi="宋体" w:eastAsia="宋体" w:cs="宋体"/>
                <w:color w:val="000000" w:themeColor="text1"/>
                <w:sz w:val="24"/>
                <w:szCs w:val="24"/>
                <w:highlight w:val="none"/>
                <w:lang w:eastAsia="zh-CN"/>
                <w14:textFill>
                  <w14:solidFill>
                    <w14:schemeClr w14:val="tx1"/>
                  </w14:solidFill>
                </w14:textFill>
              </w:rPr>
              <w:t>、开关</w:t>
            </w:r>
            <w:r>
              <w:rPr>
                <w:rFonts w:hint="eastAsia" w:ascii="宋体" w:hAnsi="宋体" w:eastAsia="宋体" w:cs="宋体"/>
                <w:color w:val="000000" w:themeColor="text1"/>
                <w:sz w:val="24"/>
                <w:szCs w:val="24"/>
                <w:highlight w:val="none"/>
                <w14:textFill>
                  <w14:solidFill>
                    <w14:schemeClr w14:val="tx1"/>
                  </w14:solidFill>
                </w14:textFill>
              </w:rPr>
              <w:t>支架及开关锁销铝合金材质</w:t>
            </w:r>
            <w:r>
              <w:rPr>
                <w:rFonts w:hint="eastAsia" w:ascii="宋体" w:hAnsi="宋体" w:eastAsia="宋体" w:cs="宋体"/>
                <w:color w:val="000000" w:themeColor="text1"/>
                <w:sz w:val="24"/>
                <w:szCs w:val="24"/>
                <w:highlight w:val="none"/>
                <w:lang w:eastAsia="zh-CN"/>
                <w14:textFill>
                  <w14:solidFill>
                    <w14:schemeClr w14:val="tx1"/>
                  </w14:solidFill>
                </w14:textFill>
              </w:rPr>
              <w:t>证明和</w:t>
            </w:r>
            <w:r>
              <w:rPr>
                <w:rFonts w:hint="eastAsia" w:ascii="宋体" w:hAnsi="宋体" w:eastAsia="宋体" w:cs="宋体"/>
                <w:color w:val="000000" w:themeColor="text1"/>
                <w:sz w:val="24"/>
                <w:szCs w:val="24"/>
                <w:highlight w:val="none"/>
                <w14:textFill>
                  <w14:solidFill>
                    <w14:schemeClr w14:val="tx1"/>
                  </w14:solidFill>
                </w14:textFill>
              </w:rPr>
              <w:t>硬度测试省级及以上第三方检测机构完整检测报告），操作轻巧、舒适；开关处带有生产厂家模印LOGO（提供实物彩图佐证）。</w:t>
            </w:r>
          </w:p>
          <w:p w14:paraId="53334BF0">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6.3、护栏开关锁销加粗设计，不小于10*10mm（提供参数测试省级及以上第三方检测机构完整检测报告），锁定牢固。</w:t>
            </w:r>
          </w:p>
          <w:p w14:paraId="7BAAA939">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脚轮为五寸双面中控轮，Ф28mm插杆式固定设计；主架采用三片组合式金属钢架材质（耐候性和承载能力强），刹车齿盘金属结构，轮体表面采用TPE耐磨材质，牢固耐用；内置全封闭自润滑轴承，防水、防异物卷入，静音耐磨；中控刹车装置位于床体腿部底座中央，带警示色操作示意，一脚制动，四轮刹车。</w:t>
            </w:r>
          </w:p>
          <w:p w14:paraId="25C709D0">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8、病床焊接工艺：病床的各种金属部件均由焊接机器人焊接，杜绝虚焊、焊穿等现象的出现，确保病床安全可靠，牢固结实。</w:t>
            </w:r>
          </w:p>
          <w:p w14:paraId="3AA91D45">
            <w:pPr>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9、病床金属表面处理: 采用国内外先进流水线工艺，达到内外防锈的效果</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3EDB0255">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10、餐桌板</w:t>
            </w:r>
          </w:p>
          <w:p w14:paraId="03EFF727">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10.1、规格：≥800X310mm。</w:t>
            </w:r>
          </w:p>
          <w:p w14:paraId="03081E2F">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10.2、款式：采用一体式阻尼缓冲结构餐桌板。</w:t>
            </w:r>
          </w:p>
          <w:p w14:paraId="369DB4D8">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11、其他配置</w:t>
            </w:r>
          </w:p>
          <w:p w14:paraId="70706100">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11.1、床体四周配置不小于4个输液架插座。</w:t>
            </w:r>
          </w:p>
          <w:p w14:paraId="4EA05CD6">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11.2、床体两侧配置不小于4处引流挂钩。</w:t>
            </w:r>
          </w:p>
          <w:p w14:paraId="5B6A62FE">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11.3、底座配置杂物架一个。</w:t>
            </w:r>
          </w:p>
          <w:p w14:paraId="258A9688">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11.4、</w:t>
            </w:r>
            <w:r>
              <w:rPr>
                <w:rFonts w:hint="eastAsia" w:ascii="宋体" w:hAnsi="宋体" w:eastAsia="宋体" w:cs="宋体"/>
                <w:color w:val="000000" w:themeColor="text1"/>
                <w:sz w:val="24"/>
                <w:szCs w:val="24"/>
                <w:highlight w:val="none"/>
                <w14:textFill>
                  <w14:solidFill>
                    <w14:schemeClr w14:val="tx1"/>
                  </w14:solidFill>
                </w14:textFill>
              </w:rPr>
              <w:t>床体四角配防撞</w:t>
            </w:r>
            <w:r>
              <w:rPr>
                <w:rFonts w:hint="eastAsia" w:ascii="宋体" w:hAnsi="宋体" w:eastAsia="宋体" w:cs="宋体"/>
                <w:color w:val="000000" w:themeColor="text1"/>
                <w:sz w:val="24"/>
                <w:szCs w:val="24"/>
                <w:highlight w:val="none"/>
                <w:lang w:val="en-US" w:eastAsia="zh-CN"/>
                <w14:textFill>
                  <w14:solidFill>
                    <w14:schemeClr w14:val="tx1"/>
                  </w14:solidFill>
                </w14:textFill>
              </w:rPr>
              <w:t>软</w:t>
            </w:r>
            <w:r>
              <w:rPr>
                <w:rFonts w:hint="eastAsia" w:ascii="宋体" w:hAnsi="宋体" w:eastAsia="宋体" w:cs="宋体"/>
                <w:color w:val="000000" w:themeColor="text1"/>
                <w:sz w:val="24"/>
                <w:szCs w:val="24"/>
                <w:highlight w:val="none"/>
                <w14:textFill>
                  <w14:solidFill>
                    <w14:schemeClr w14:val="tx1"/>
                  </w14:solidFill>
                </w14:textFill>
              </w:rPr>
              <w:t>胶</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防止在移动病床时损坏墙体或家具。</w:t>
            </w:r>
          </w:p>
          <w:p w14:paraId="0BFE6334">
            <w:pPr>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color w:val="000000" w:themeColor="text1"/>
                <w:sz w:val="24"/>
                <w:szCs w:val="24"/>
                <w:highlight w:val="none"/>
                <w14:textFill>
                  <w14:solidFill>
                    <w14:schemeClr w14:val="tx1"/>
                  </w14:solidFill>
                </w14:textFill>
              </w:rPr>
              <w:t>、配置：床垫1张，床头柜1只，陪护椅1张</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03CFCAC8">
            <w:pPr>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11.6、配置急停开关一个，在发生紧急情况的时候，可以通过快速按下来停止所有姿态动作来达到保护的措施。</w:t>
            </w:r>
          </w:p>
        </w:tc>
      </w:tr>
      <w:tr w14:paraId="35DB6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61" w:type="dxa"/>
            <w:noWrap/>
            <w:vAlign w:val="center"/>
          </w:tcPr>
          <w:p w14:paraId="2E212974">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9014" w:type="dxa"/>
            <w:noWrap/>
            <w:vAlign w:val="center"/>
          </w:tcPr>
          <w:p w14:paraId="4ACB2516">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配套：陪护椅</w:t>
            </w:r>
          </w:p>
          <w:p w14:paraId="7A74558A">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1、规格（允许偏离±</w:t>
            </w:r>
            <w:r>
              <w:rPr>
                <w:rFonts w:hint="eastAsia" w:ascii="宋体" w:hAnsi="宋体" w:eastAsia="宋体" w:cs="宋体"/>
                <w:color w:val="000000" w:themeColor="text1"/>
                <w:sz w:val="24"/>
                <w:szCs w:val="24"/>
                <w:highlight w:val="none"/>
                <w:lang w:val="en-US" w:eastAsia="zh-CN"/>
                <w14:textFill>
                  <w14:solidFill>
                    <w14:schemeClr w14:val="tx1"/>
                  </w14:solidFill>
                </w14:textFill>
              </w:rPr>
              <w:t>50</w:t>
            </w:r>
            <w:r>
              <w:rPr>
                <w:rFonts w:hint="eastAsia" w:ascii="宋体" w:hAnsi="宋体" w:eastAsia="宋体" w:cs="宋体"/>
                <w:color w:val="000000" w:themeColor="text1"/>
                <w:sz w:val="24"/>
                <w:szCs w:val="24"/>
                <w:highlight w:val="none"/>
                <w14:textFill>
                  <w14:solidFill>
                    <w14:schemeClr w14:val="tx1"/>
                  </w14:solidFill>
                </w14:textFill>
              </w:rPr>
              <w:t>mm）：1860*600*450mm（平放）800*600*950mm(拉起）</w:t>
            </w:r>
          </w:p>
          <w:p w14:paraId="5B48DF8B">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2、框架：主体材料采用￠38*1.5mm、￠30*1.5mm、￠25*1.5mm优质碳钢制作。</w:t>
            </w:r>
          </w:p>
          <w:p w14:paraId="38385083">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3、椅面：椅垫表面为优质科技布，内层采用十二夹板，</w:t>
            </w:r>
            <w:r>
              <w:rPr>
                <w:rFonts w:hint="eastAsia" w:ascii="宋体" w:hAnsi="宋体" w:eastAsia="宋体" w:cs="宋体"/>
                <w:color w:val="auto"/>
                <w:sz w:val="24"/>
                <w:szCs w:val="24"/>
                <w:highlight w:val="none"/>
              </w:rPr>
              <w:t>高密度海绵厚度≥50mm</w:t>
            </w:r>
            <w:r>
              <w:rPr>
                <w:rFonts w:hint="eastAsia" w:ascii="宋体" w:hAnsi="宋体" w:eastAsia="宋体" w:cs="宋体"/>
                <w:color w:val="000000" w:themeColor="text1"/>
                <w:sz w:val="24"/>
                <w:szCs w:val="24"/>
                <w:highlight w:val="none"/>
                <w14:textFill>
                  <w14:solidFill>
                    <w14:schemeClr w14:val="tx1"/>
                  </w14:solidFill>
                </w14:textFill>
              </w:rPr>
              <w:t>。</w:t>
            </w:r>
          </w:p>
          <w:p w14:paraId="1BD0203E">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4、打开时为一张睡床，收起时为一张沙发椅子。</w:t>
            </w:r>
          </w:p>
          <w:p w14:paraId="075B36A3">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5、椅面拉伸部分：底部设有优质脚轮4个，方便拉出，拉出时轻松灵活，无噪音。</w:t>
            </w:r>
          </w:p>
          <w:p w14:paraId="01BA3573">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6、椅脚：椅腿下方装有塑胶脚套，防止与地面摩擦产生噪音和损伤地面。</w:t>
            </w:r>
          </w:p>
          <w:p w14:paraId="21B22280">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7、左右扶手：由￠38*1.5mm圆管组成弯曲焊接而成，表面喷涂工艺，外表平整光滑，上面放置ABS扶手套。整体美观又耐用。</w:t>
            </w:r>
          </w:p>
          <w:p w14:paraId="7F2F44A5">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8、颜色可按医院定，宽度按病房空间定。</w:t>
            </w:r>
          </w:p>
        </w:tc>
      </w:tr>
      <w:tr w14:paraId="61D2F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61" w:type="dxa"/>
            <w:noWrap/>
            <w:vAlign w:val="center"/>
          </w:tcPr>
          <w:p w14:paraId="105C2BF9">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9014" w:type="dxa"/>
            <w:noWrap/>
            <w:vAlign w:val="center"/>
          </w:tcPr>
          <w:p w14:paraId="6730A701">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配套：床头柜</w:t>
            </w:r>
          </w:p>
          <w:p w14:paraId="3BD4241D">
            <w:pPr>
              <w:spacing w:line="276"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规格：（允许偏离±</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 xml:space="preserve">0mm）：440*460*800mm。                                                                                           </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、整体采用ABS成型，组合式设计，轻巧、坚固、耐用；</w:t>
            </w:r>
          </w:p>
          <w:p w14:paraId="3CC6C19A">
            <w:pPr>
              <w:spacing w:line="276"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、配置一块抽板，作为延伸台面使用；配置抽屉一只；配置一个柜门；配置可伸缩式毛巾架；可内置热水壶。</w:t>
            </w:r>
          </w:p>
          <w:p w14:paraId="4D941FD0">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、颜色可为选。</w:t>
            </w:r>
          </w:p>
          <w:p w14:paraId="2E899621">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5、带脚轮，使床头柜摆放固定和活动时更方便。</w:t>
            </w:r>
          </w:p>
        </w:tc>
      </w:tr>
      <w:tr w14:paraId="61B33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61" w:type="dxa"/>
            <w:noWrap/>
            <w:vAlign w:val="center"/>
          </w:tcPr>
          <w:p w14:paraId="6E8018D9">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9014" w:type="dxa"/>
            <w:noWrap/>
            <w:vAlign w:val="center"/>
          </w:tcPr>
          <w:p w14:paraId="0CE346D4">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配套：床垫</w:t>
            </w:r>
          </w:p>
          <w:p w14:paraId="22B659C7">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床垫规格：与病床相适 ，床垫厚度：≥80mm，高密度海绵厚度≥50mm，椰棕厚度≥30mm，三折设计，防水防滑透气抗菌材料，采用双层防水布制作，具有防蛀、防腐、耐水性、无气味。床垫的甲醛释放量≤0.038mg/m²h</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需提供相关证明材料</w:t>
            </w:r>
            <w:r>
              <w:rPr>
                <w:rFonts w:hint="eastAsia" w:ascii="宋体" w:hAnsi="宋体" w:eastAsia="宋体" w:cs="宋体"/>
                <w:color w:val="auto"/>
                <w:sz w:val="24"/>
                <w:szCs w:val="24"/>
                <w:highlight w:val="none"/>
                <w:lang w:eastAsia="zh-CN"/>
              </w:rPr>
              <w:t>）</w:t>
            </w:r>
            <w:r>
              <w:rPr>
                <w:rFonts w:hint="eastAsia" w:ascii="宋体" w:hAnsi="宋体" w:eastAsia="宋体" w:cs="宋体"/>
                <w:color w:val="000000" w:themeColor="text1"/>
                <w:sz w:val="24"/>
                <w:szCs w:val="24"/>
                <w:highlight w:val="none"/>
                <w14:textFill>
                  <w14:solidFill>
                    <w14:schemeClr w14:val="tx1"/>
                  </w14:solidFill>
                </w14:textFill>
              </w:rPr>
              <w:t>。</w:t>
            </w:r>
          </w:p>
        </w:tc>
      </w:tr>
      <w:tr w14:paraId="76044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61" w:type="dxa"/>
            <w:noWrap/>
            <w:vAlign w:val="center"/>
          </w:tcPr>
          <w:p w14:paraId="6573FFB6">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w:t>
            </w:r>
          </w:p>
        </w:tc>
        <w:tc>
          <w:tcPr>
            <w:tcW w:w="9014" w:type="dxa"/>
            <w:noWrap/>
            <w:vAlign w:val="center"/>
          </w:tcPr>
          <w:p w14:paraId="5538EAB0">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治疗车</w:t>
            </w:r>
            <w:r>
              <w:rPr>
                <w:rFonts w:hint="eastAsia" w:ascii="宋体" w:hAnsi="宋体" w:eastAsia="宋体" w:cs="宋体"/>
                <w:color w:val="000000" w:themeColor="text1"/>
                <w:kern w:val="0"/>
                <w:sz w:val="24"/>
                <w:szCs w:val="24"/>
                <w:highlight w:val="none"/>
                <w14:textFill>
                  <w14:solidFill>
                    <w14:schemeClr w14:val="tx1"/>
                  </w14:solidFill>
                </w14:textFill>
              </w:rPr>
              <w:t>（三层抽屉）</w:t>
            </w:r>
            <w:r>
              <w:rPr>
                <w:rFonts w:hint="eastAsia" w:ascii="宋体" w:hAnsi="宋体" w:eastAsia="宋体" w:cs="宋体"/>
                <w:color w:val="000000" w:themeColor="text1"/>
                <w:sz w:val="24"/>
                <w:szCs w:val="24"/>
                <w:highlight w:val="none"/>
                <w14:textFill>
                  <w14:solidFill>
                    <w14:schemeClr w14:val="tx1"/>
                  </w14:solidFill>
                </w14:textFill>
              </w:rPr>
              <w:t xml:space="preserve">   2辆</w:t>
            </w:r>
          </w:p>
        </w:tc>
      </w:tr>
      <w:tr w14:paraId="02494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61" w:type="dxa"/>
            <w:noWrap/>
            <w:vAlign w:val="center"/>
          </w:tcPr>
          <w:p w14:paraId="78EF3A5A">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9014" w:type="dxa"/>
            <w:noWrap/>
            <w:vAlign w:val="center"/>
          </w:tcPr>
          <w:p w14:paraId="415B4B87">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1、规格（允许偏离±</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0mm）： 600*450*850mm</w:t>
            </w:r>
          </w:p>
          <w:p w14:paraId="2A4A13B1">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2、高光模具成型台面，一体式防撞圆角设计，整体光洁无磨砂；台面厚度≥30mm，台面下沉设计，下沉高度约10MM，三面不锈钢围栏高度≥65mm。</w:t>
            </w:r>
          </w:p>
          <w:p w14:paraId="7A4FFFFB">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铝合金型材立柱，表面氧化高光原色闪银，无喷涂，立柱带有多功能轨道，轨道内装有可调节高度的功能横杆，实现多种配件在两侧可自由调整高度和位置，配件使用更贴近操作者的身高及使用习惯，也可根据院感要求在车体两侧互换；</w:t>
            </w:r>
          </w:p>
          <w:p w14:paraId="06803095">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、车体侧板背板及抽屉底板均选用铝塑复合板拼装，</w:t>
            </w:r>
            <w:r>
              <w:rPr>
                <w:rFonts w:hint="eastAsia" w:ascii="宋体" w:hAnsi="宋体" w:eastAsia="宋体" w:cs="宋体"/>
                <w:sz w:val="24"/>
                <w:szCs w:val="24"/>
                <w:highlight w:val="none"/>
                <w:lang w:val="en-US" w:eastAsia="zh-CN"/>
              </w:rPr>
              <w:t>铝塑复合板厚度</w:t>
            </w:r>
            <w:r>
              <w:rPr>
                <w:rFonts w:hint="eastAsia" w:ascii="宋体" w:hAnsi="宋体" w:eastAsia="宋体" w:cs="宋体"/>
                <w:color w:val="auto"/>
                <w:sz w:val="24"/>
                <w:szCs w:val="24"/>
                <w:highlight w:val="none"/>
              </w:rPr>
              <w:t>≥</w:t>
            </w:r>
            <w:r>
              <w:rPr>
                <w:rFonts w:hint="eastAsia" w:ascii="宋体" w:hAnsi="宋体" w:eastAsia="宋体" w:cs="宋体"/>
                <w:sz w:val="24"/>
                <w:szCs w:val="24"/>
                <w:highlight w:val="none"/>
                <w:lang w:val="en-US" w:eastAsia="zh-CN"/>
              </w:rPr>
              <w:t>4mm</w:t>
            </w:r>
            <w:r>
              <w:rPr>
                <w:rFonts w:hint="eastAsia" w:ascii="宋体" w:hAnsi="宋体" w:eastAsia="宋体" w:cs="宋体"/>
                <w:color w:val="000000" w:themeColor="text1"/>
                <w:sz w:val="24"/>
                <w:szCs w:val="24"/>
                <w:highlight w:val="none"/>
                <w14:textFill>
                  <w14:solidFill>
                    <w14:schemeClr w14:val="tx1"/>
                  </w14:solidFill>
                </w14:textFill>
              </w:rPr>
              <w:t>。</w:t>
            </w:r>
          </w:p>
          <w:p w14:paraId="5605FFFE">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、抽面采用内外对扣封闭式设计，侧边无明显突兀好打理，且无缝贴合立柱，拉手采用弧形铝合金材料，表面光洁度好，易打理，不藏污，长度约280MM。</w:t>
            </w:r>
          </w:p>
          <w:p w14:paraId="3B031757">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、抽屉内斗为小圆角中空铝型材，通过加强塑料件连接组装无焊接，整个抽屉内部无焊接打磨喷涂；</w:t>
            </w:r>
          </w:p>
          <w:p w14:paraId="6862939D">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、抽屉选用三节静音阻尼滑轨，抽拉顺畅安静，带阻尼回缩功能；抽屉内置可任意调节的透明PC滑动隔板，可前后左右调节方格大小，方便药品器械分类存放；</w:t>
            </w:r>
          </w:p>
          <w:p w14:paraId="6740AEAA">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、配有可调节式锐器盒架，可灵活固定1-5L锐器盒，304不锈钢物品筐上口双层边加粗圆钢，手感舒适。</w:t>
            </w:r>
          </w:p>
          <w:p w14:paraId="19760F06">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、一黄一灰垃圾桶，脚踩式翻盖。</w:t>
            </w:r>
          </w:p>
          <w:p w14:paraId="63DDC16A">
            <w:pPr>
              <w:pStyle w:val="485"/>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lang w:eastAsia="zh-CN"/>
                <w14:textFill>
                  <w14:solidFill>
                    <w14:schemeClr w14:val="tx1"/>
                  </w14:solidFill>
                </w14:textFill>
              </w:rPr>
              <w:t>、正面三抽屉，每层高度≥120mm。</w:t>
            </w:r>
          </w:p>
          <w:p w14:paraId="3F0D985C">
            <w:pPr>
              <w:pStyle w:val="485"/>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、脚轮采用3寸聚氨酯塑包静音脚轮，防卷发；两只带刹车。</w:t>
            </w:r>
          </w:p>
          <w:p w14:paraId="2A44B57E">
            <w:pPr>
              <w:pStyle w:val="485"/>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lang w:eastAsia="zh-CN"/>
                <w14:textFill>
                  <w14:solidFill>
                    <w14:schemeClr w14:val="tx1"/>
                  </w14:solidFill>
                </w14:textFill>
              </w:rPr>
              <w:t>1</w:t>
            </w:r>
            <w:r>
              <w:rPr>
                <w:rFonts w:hint="eastAsia" w:ascii="宋体" w:hAnsi="宋体" w:eastAsia="宋体" w:cs="宋体"/>
                <w:color w:val="000000" w:themeColor="text1"/>
                <w:sz w:val="24"/>
                <w:szCs w:val="24"/>
                <w:highlight w:val="none"/>
                <w:shd w:val="clear" w:color="auto" w:fill="FFFFFF"/>
                <w:lang w:val="en-US" w:eastAsia="zh-CN"/>
                <w14:textFill>
                  <w14:solidFill>
                    <w14:schemeClr w14:val="tx1"/>
                  </w14:solidFill>
                </w14:textFill>
              </w:rPr>
              <w:t>2</w:t>
            </w:r>
            <w:r>
              <w:rPr>
                <w:rFonts w:hint="eastAsia" w:ascii="宋体" w:hAnsi="宋体" w:eastAsia="宋体" w:cs="宋体"/>
                <w:color w:val="000000" w:themeColor="text1"/>
                <w:sz w:val="24"/>
                <w:szCs w:val="24"/>
                <w:highlight w:val="none"/>
                <w:shd w:val="clear" w:color="auto" w:fill="FFFFFF"/>
                <w:lang w:eastAsia="zh-CN"/>
                <w14:textFill>
                  <w14:solidFill>
                    <w14:schemeClr w14:val="tx1"/>
                  </w14:solidFill>
                </w14:textFill>
              </w:rPr>
              <w:t>、配置</w:t>
            </w:r>
            <w:r>
              <w:rPr>
                <w:rFonts w:hint="eastAsia" w:ascii="宋体" w:hAnsi="宋体" w:eastAsia="宋体" w:cs="宋体"/>
                <w:color w:val="000000" w:themeColor="text1"/>
                <w:sz w:val="24"/>
                <w:szCs w:val="24"/>
                <w:highlight w:val="none"/>
                <w:lang w:eastAsia="zh-CN"/>
                <w14:textFill>
                  <w14:solidFill>
                    <w14:schemeClr w14:val="tx1"/>
                  </w14:solidFill>
                </w14:textFill>
              </w:rPr>
              <w:t>机械数字密码锁。</w:t>
            </w:r>
          </w:p>
        </w:tc>
      </w:tr>
      <w:tr w14:paraId="1BC9C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61" w:type="dxa"/>
            <w:noWrap/>
            <w:vAlign w:val="center"/>
          </w:tcPr>
          <w:p w14:paraId="1E9FFF98">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w:t>
            </w:r>
          </w:p>
        </w:tc>
        <w:tc>
          <w:tcPr>
            <w:tcW w:w="9014" w:type="dxa"/>
            <w:noWrap/>
            <w:vAlign w:val="center"/>
          </w:tcPr>
          <w:p w14:paraId="0E77B71A">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病历夹推车  2辆</w:t>
            </w:r>
          </w:p>
        </w:tc>
      </w:tr>
      <w:tr w14:paraId="78043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61" w:type="dxa"/>
            <w:noWrap/>
            <w:vAlign w:val="center"/>
          </w:tcPr>
          <w:p w14:paraId="6EF12491">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9014" w:type="dxa"/>
            <w:noWrap/>
            <w:vAlign w:val="center"/>
          </w:tcPr>
          <w:p w14:paraId="5C88BB36">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1、车体尺寸（允许偏离±</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0mm）：390*390*1000mm   25格</w:t>
            </w:r>
          </w:p>
          <w:p w14:paraId="3D4B1D92">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2、材质：铝合金立柱+冷板静电喷塑、厚度≥1.0mm</w:t>
            </w:r>
          </w:p>
          <w:p w14:paraId="6DAD59D5">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3、万向轮：3寸双轴承静音脚轮，防卷发、静电、生锈等。</w:t>
            </w:r>
          </w:p>
          <w:p w14:paraId="42FC2B70">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4、车体四周安装有强力塑胶防撞包角。</w:t>
            </w:r>
          </w:p>
        </w:tc>
      </w:tr>
      <w:tr w14:paraId="0283E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61" w:type="dxa"/>
            <w:noWrap/>
            <w:vAlign w:val="center"/>
          </w:tcPr>
          <w:p w14:paraId="55012623">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w:t>
            </w:r>
          </w:p>
        </w:tc>
        <w:tc>
          <w:tcPr>
            <w:tcW w:w="9014" w:type="dxa"/>
            <w:noWrap/>
            <w:vAlign w:val="center"/>
          </w:tcPr>
          <w:p w14:paraId="667638AC">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冲洗车   4辆</w:t>
            </w:r>
          </w:p>
        </w:tc>
      </w:tr>
      <w:tr w14:paraId="7E964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61" w:type="dxa"/>
            <w:noWrap/>
            <w:vAlign w:val="center"/>
          </w:tcPr>
          <w:p w14:paraId="1099C971">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9014" w:type="dxa"/>
            <w:noWrap/>
            <w:vAlign w:val="center"/>
          </w:tcPr>
          <w:p w14:paraId="171A1E6F">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规格尺寸（允许偏离±</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 xml:space="preserve">0mm）：500*500*750mm（不含扶手）。  </w:t>
            </w:r>
          </w:p>
          <w:p w14:paraId="76AEB13A">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、整车全采用优质304不锈钢制作；</w:t>
            </w:r>
          </w:p>
          <w:p w14:paraId="78D23A29">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、双向侧滑式开盖方式、使用方便、并可放置物品；</w:t>
            </w:r>
          </w:p>
          <w:p w14:paraId="0AB6A210">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、配置下层台面、四周带围栏</w:t>
            </w:r>
          </w:p>
          <w:p w14:paraId="79B6D76E">
            <w:pPr>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、3寸防尘万向轮、对角刹车</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r>
      <w:tr w14:paraId="3A795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61" w:type="dxa"/>
            <w:noWrap/>
            <w:vAlign w:val="center"/>
          </w:tcPr>
          <w:p w14:paraId="4A6ADB13">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六</w:t>
            </w:r>
          </w:p>
        </w:tc>
        <w:tc>
          <w:tcPr>
            <w:tcW w:w="9014" w:type="dxa"/>
            <w:noWrap/>
            <w:vAlign w:val="center"/>
          </w:tcPr>
          <w:p w14:paraId="46B67CC5">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发药车   1辆</w:t>
            </w:r>
          </w:p>
        </w:tc>
      </w:tr>
      <w:tr w14:paraId="67AFB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61" w:type="dxa"/>
            <w:noWrap/>
            <w:vAlign w:val="center"/>
          </w:tcPr>
          <w:p w14:paraId="0218E297">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9014" w:type="dxa"/>
            <w:noWrap/>
            <w:vAlign w:val="center"/>
          </w:tcPr>
          <w:p w14:paraId="6B1F1573">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1、规格（允许偏离±</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0mm）： 500*500*850mm</w:t>
            </w:r>
          </w:p>
          <w:p w14:paraId="1EBE33DF">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2、高光模具成型台面，一体式防撞圆角设计，整体光洁，不褪色；台面厚度≥30mm，台面下沉设计，下沉高度约10MM，三面不间断围栏高度≥65mm。</w:t>
            </w:r>
          </w:p>
          <w:p w14:paraId="3392BACF">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主体采用冷轧钢板喷塑，铝合金型材立柱，表面氧化高光原色闪银，无喷涂，立柱带有多功能轨道，轨道内装有可调节高度的功能横杆，实现多种配件在两侧可自由调整高度和位置，配件使用更贴近操作者的身高及使用习惯，也可根据院感要求在车体两侧互换；</w:t>
            </w:r>
          </w:p>
          <w:p w14:paraId="2F41C78A">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、车体侧板背板及抽屉底板均选用铝塑复合板拼装，</w:t>
            </w:r>
            <w:r>
              <w:rPr>
                <w:rFonts w:hint="eastAsia" w:ascii="宋体" w:hAnsi="宋体" w:eastAsia="宋体" w:cs="宋体"/>
                <w:sz w:val="24"/>
                <w:szCs w:val="24"/>
                <w:highlight w:val="none"/>
                <w:lang w:val="en-US" w:eastAsia="zh-CN"/>
              </w:rPr>
              <w:t>铝塑复合板厚度</w:t>
            </w:r>
            <w:r>
              <w:rPr>
                <w:rFonts w:hint="eastAsia" w:ascii="宋体" w:hAnsi="宋体" w:eastAsia="宋体" w:cs="宋体"/>
                <w:color w:val="auto"/>
                <w:sz w:val="24"/>
                <w:szCs w:val="24"/>
                <w:highlight w:val="none"/>
              </w:rPr>
              <w:t>≥</w:t>
            </w:r>
            <w:r>
              <w:rPr>
                <w:rFonts w:hint="eastAsia" w:ascii="宋体" w:hAnsi="宋体" w:eastAsia="宋体" w:cs="宋体"/>
                <w:sz w:val="24"/>
                <w:szCs w:val="24"/>
                <w:highlight w:val="none"/>
                <w:lang w:val="en-US" w:eastAsia="zh-CN"/>
              </w:rPr>
              <w:t>4mm</w:t>
            </w:r>
            <w:r>
              <w:rPr>
                <w:rFonts w:hint="eastAsia" w:ascii="宋体" w:hAnsi="宋体" w:eastAsia="宋体" w:cs="宋体"/>
                <w:color w:val="000000" w:themeColor="text1"/>
                <w:sz w:val="24"/>
                <w:szCs w:val="24"/>
                <w:highlight w:val="none"/>
                <w14:textFill>
                  <w14:solidFill>
                    <w14:schemeClr w14:val="tx1"/>
                  </w14:solidFill>
                </w14:textFill>
              </w:rPr>
              <w:t>。</w:t>
            </w:r>
          </w:p>
          <w:p w14:paraId="706AA641">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、抽面采用内外对扣封闭式设计，侧边无明显突兀好打理，且无缝贴合立柱，拉手采用弧形铝合金材料，表面光洁度好，易打理，不藏污，长度约280MM。</w:t>
            </w:r>
          </w:p>
          <w:p w14:paraId="622143F7">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、抽屉内斗为小圆角中空铝型材，通过加强塑料件连接组装无焊接，整个抽屉内部无焊接打磨喷涂；</w:t>
            </w:r>
          </w:p>
          <w:p w14:paraId="77270BA6">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、正面4层抽屉，最上层≥250mm，剩下三层层高≥120mm。抽屉选用三节静音阻尼滑轨，抽拉顺畅安静，带阻尼回缩功能；下三层抽屉每层内置50人份药盘，药盘高度≥80mm，易取出。</w:t>
            </w:r>
          </w:p>
          <w:p w14:paraId="7757399F">
            <w:pPr>
              <w:pStyle w:val="485"/>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lang w:eastAsia="zh-CN"/>
                <w14:textFill>
                  <w14:solidFill>
                    <w14:schemeClr w14:val="tx1"/>
                  </w14:solidFill>
                </w14:textFill>
              </w:rPr>
              <w:t>、脚轮采用3寸聚氨酯塑包静音脚轮，防卷发；两只带刹车。</w:t>
            </w:r>
          </w:p>
          <w:p w14:paraId="4AD0837F">
            <w:pPr>
              <w:pStyle w:val="485"/>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shd w:val="clear" w:color="auto" w:fill="FFFFFF"/>
                <w:lang w:eastAsia="zh-CN"/>
                <w14:textFill>
                  <w14:solidFill>
                    <w14:schemeClr w14:val="tx1"/>
                  </w14:solidFill>
                </w14:textFill>
              </w:rPr>
              <w:t>配置</w:t>
            </w:r>
            <w:r>
              <w:rPr>
                <w:rFonts w:hint="eastAsia" w:ascii="宋体" w:hAnsi="宋体" w:eastAsia="宋体" w:cs="宋体"/>
                <w:color w:val="000000" w:themeColor="text1"/>
                <w:sz w:val="24"/>
                <w:szCs w:val="24"/>
                <w:highlight w:val="none"/>
                <w:lang w:eastAsia="zh-CN"/>
                <w14:textFill>
                  <w14:solidFill>
                    <w14:schemeClr w14:val="tx1"/>
                  </w14:solidFill>
                </w14:textFill>
              </w:rPr>
              <w:t>机械数字密码锁。</w:t>
            </w:r>
          </w:p>
        </w:tc>
      </w:tr>
      <w:tr w14:paraId="2C342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61" w:type="dxa"/>
            <w:noWrap/>
            <w:vAlign w:val="center"/>
          </w:tcPr>
          <w:p w14:paraId="5281401C">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七</w:t>
            </w:r>
          </w:p>
        </w:tc>
        <w:tc>
          <w:tcPr>
            <w:tcW w:w="9014" w:type="dxa"/>
            <w:noWrap/>
            <w:vAlign w:val="center"/>
          </w:tcPr>
          <w:p w14:paraId="09F52FCB">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被服推车</w:t>
            </w:r>
            <w:r>
              <w:rPr>
                <w:rFonts w:hint="eastAsia" w:ascii="宋体" w:hAnsi="宋体" w:eastAsia="宋体" w:cs="宋体"/>
                <w:color w:val="000000" w:themeColor="text1"/>
                <w:sz w:val="24"/>
                <w:szCs w:val="24"/>
                <w:highlight w:val="none"/>
                <w14:textFill>
                  <w14:solidFill>
                    <w14:schemeClr w14:val="tx1"/>
                  </w14:solidFill>
                </w14:textFill>
              </w:rPr>
              <w:t xml:space="preserve">  2辆</w:t>
            </w:r>
          </w:p>
        </w:tc>
      </w:tr>
      <w:tr w14:paraId="2A0EC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61" w:type="dxa"/>
            <w:noWrap/>
            <w:vAlign w:val="center"/>
          </w:tcPr>
          <w:p w14:paraId="3B6CF741">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9014" w:type="dxa"/>
            <w:noWrap/>
            <w:vAlign w:val="center"/>
          </w:tcPr>
          <w:p w14:paraId="1A23C4D5">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规格尺寸（允许偏离±</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0mm）：约800*500*850mm</w:t>
            </w:r>
          </w:p>
          <w:p w14:paraId="5649D706">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、车架采用φ25*1.2mm厚304不锈钢圆管制作。</w:t>
            </w:r>
          </w:p>
          <w:p w14:paraId="6B131A6B">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、下装四只4寸静音万向轮，带刹车。</w:t>
            </w:r>
          </w:p>
          <w:p w14:paraId="1A572649">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、防水布袋2只，可拆卸，方便更换清洗，颜色区分根据医院要求。</w:t>
            </w:r>
          </w:p>
        </w:tc>
      </w:tr>
      <w:tr w14:paraId="75BC8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61" w:type="dxa"/>
            <w:noWrap/>
            <w:vAlign w:val="center"/>
          </w:tcPr>
          <w:p w14:paraId="4BEE960F">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八</w:t>
            </w:r>
          </w:p>
        </w:tc>
        <w:tc>
          <w:tcPr>
            <w:tcW w:w="9014" w:type="dxa"/>
            <w:noWrap/>
            <w:vAlign w:val="center"/>
          </w:tcPr>
          <w:p w14:paraId="5E5F6A7C">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麻醉车  1辆</w:t>
            </w:r>
          </w:p>
        </w:tc>
      </w:tr>
      <w:tr w14:paraId="4D012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61" w:type="dxa"/>
            <w:noWrap/>
            <w:vAlign w:val="center"/>
          </w:tcPr>
          <w:p w14:paraId="71AADF5F">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9014" w:type="dxa"/>
            <w:noWrap/>
            <w:vAlign w:val="center"/>
          </w:tcPr>
          <w:p w14:paraId="7EC8B3A4">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1、规格（允许偏离±</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0mm）：675*425*1350mm</w:t>
            </w:r>
          </w:p>
          <w:p w14:paraId="079F559E">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2、配置：四只抽屉，抽屉内置药盒（可根据临床要求定制）。车体上部设有10只可翻转式塑料盒，左侧配</w:t>
            </w:r>
            <w:r>
              <w:rPr>
                <w:rFonts w:hint="eastAsia" w:ascii="宋体" w:hAnsi="宋体" w:eastAsia="宋体" w:cs="宋体"/>
                <w:color w:val="000000" w:themeColor="text1"/>
                <w:sz w:val="24"/>
                <w:szCs w:val="24"/>
                <w:highlight w:val="none"/>
                <w:lang w:val="en-US" w:eastAsia="zh-CN"/>
                <w14:textFill>
                  <w14:solidFill>
                    <w14:schemeClr w14:val="tx1"/>
                  </w14:solidFill>
                </w14:textFill>
              </w:rPr>
              <w:t>抽拉式</w:t>
            </w:r>
            <w:r>
              <w:rPr>
                <w:rFonts w:hint="eastAsia" w:ascii="宋体" w:hAnsi="宋体" w:eastAsia="宋体" w:cs="宋体"/>
                <w:color w:val="000000" w:themeColor="text1"/>
                <w:sz w:val="24"/>
                <w:szCs w:val="24"/>
                <w:highlight w:val="none"/>
                <w14:textFill>
                  <w14:solidFill>
                    <w14:schemeClr w14:val="tx1"/>
                  </w14:solidFill>
                </w14:textFill>
              </w:rPr>
              <w:t>书写台，一只挂篮，两只污物桶。</w:t>
            </w:r>
          </w:p>
          <w:p w14:paraId="6D95AA4D">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3、材质：采用优质碳钢喷塑+轻型合金铝材料。</w:t>
            </w:r>
          </w:p>
          <w:p w14:paraId="52426F9B">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4、万向轮：100</w:t>
            </w:r>
            <w:r>
              <w:rPr>
                <w:rFonts w:hint="eastAsia" w:ascii="宋体" w:hAnsi="宋体" w:eastAsia="宋体" w:cs="宋体"/>
                <w:color w:val="000000" w:themeColor="text1"/>
                <w:sz w:val="24"/>
                <w:szCs w:val="24"/>
                <w:highlight w:val="none"/>
                <w:lang w:val="en-US" w:eastAsia="zh-CN"/>
                <w14:textFill>
                  <w14:solidFill>
                    <w14:schemeClr w14:val="tx1"/>
                  </w14:solidFill>
                </w14:textFill>
              </w:rPr>
              <w:t>mm</w:t>
            </w:r>
            <w:r>
              <w:rPr>
                <w:rFonts w:hint="eastAsia" w:ascii="宋体" w:hAnsi="宋体" w:eastAsia="宋体" w:cs="宋体"/>
                <w:color w:val="000000" w:themeColor="text1"/>
                <w:sz w:val="24"/>
                <w:szCs w:val="24"/>
                <w:highlight w:val="none"/>
                <w14:textFill>
                  <w14:solidFill>
                    <w14:schemeClr w14:val="tx1"/>
                  </w14:solidFill>
                </w14:textFill>
              </w:rPr>
              <w:t>双轴承静音脚轮，防卷发，两只带刹车。</w:t>
            </w:r>
          </w:p>
          <w:p w14:paraId="6DF1A4F7">
            <w:pPr>
              <w:pStyle w:val="485"/>
              <w:rPr>
                <w:rFonts w:hint="eastAsia" w:ascii="宋体" w:hAnsi="宋体" w:eastAsia="宋体" w:cs="宋体"/>
                <w:color w:val="000000" w:themeColor="text1"/>
                <w:sz w:val="24"/>
                <w:szCs w:val="24"/>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5、台面</w:t>
            </w:r>
            <w:r>
              <w:rPr>
                <w:rFonts w:hint="eastAsia" w:ascii="宋体" w:hAnsi="宋体" w:eastAsia="宋体" w:cs="宋体"/>
                <w:color w:val="000000" w:themeColor="text1"/>
                <w:sz w:val="24"/>
                <w:szCs w:val="24"/>
                <w:highlight w:val="none"/>
                <w:shd w:val="clear" w:color="auto" w:fill="FFFFFF"/>
                <w:lang w:eastAsia="zh-CN"/>
                <w14:textFill>
                  <w14:solidFill>
                    <w14:schemeClr w14:val="tx1"/>
                  </w14:solidFill>
                </w14:textFill>
              </w:rPr>
              <w:t>凹陷，</w:t>
            </w:r>
            <w:r>
              <w:rPr>
                <w:rFonts w:hint="eastAsia" w:ascii="宋体" w:hAnsi="宋体" w:eastAsia="宋体" w:cs="宋体"/>
                <w:color w:val="000000" w:themeColor="text1"/>
                <w:sz w:val="24"/>
                <w:szCs w:val="24"/>
                <w:highlight w:val="none"/>
                <w:lang w:eastAsia="zh-CN"/>
                <w14:textFill>
                  <w14:solidFill>
                    <w14:schemeClr w14:val="tx1"/>
                  </w14:solidFill>
                </w14:textFill>
              </w:rPr>
              <w:t>三面一体化护栏，物</w:t>
            </w:r>
            <w:r>
              <w:rPr>
                <w:rFonts w:hint="eastAsia" w:ascii="宋体" w:hAnsi="宋体" w:eastAsia="宋体" w:cs="宋体"/>
                <w:color w:val="000000" w:themeColor="text1"/>
                <w:sz w:val="24"/>
                <w:szCs w:val="24"/>
                <w:highlight w:val="none"/>
                <w:shd w:val="clear" w:color="auto" w:fill="FFFFFF"/>
                <w:lang w:eastAsia="zh-CN"/>
                <w14:textFill>
                  <w14:solidFill>
                    <w14:schemeClr w14:val="tx1"/>
                  </w14:solidFill>
                </w14:textFill>
              </w:rPr>
              <w:t>品不易滑落。</w:t>
            </w:r>
          </w:p>
          <w:p w14:paraId="1628C644">
            <w:pPr>
              <w:pStyle w:val="485"/>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lang w:eastAsia="zh-CN"/>
                <w14:textFill>
                  <w14:solidFill>
                    <w14:schemeClr w14:val="tx1"/>
                  </w14:solidFill>
                </w14:textFill>
              </w:rPr>
              <w:t>6、配置</w:t>
            </w:r>
            <w:r>
              <w:rPr>
                <w:rFonts w:hint="eastAsia" w:ascii="宋体" w:hAnsi="宋体" w:eastAsia="宋体" w:cs="宋体"/>
                <w:color w:val="000000" w:themeColor="text1"/>
                <w:sz w:val="24"/>
                <w:szCs w:val="24"/>
                <w:highlight w:val="none"/>
                <w:lang w:eastAsia="zh-CN"/>
                <w14:textFill>
                  <w14:solidFill>
                    <w14:schemeClr w14:val="tx1"/>
                  </w14:solidFill>
                </w14:textFill>
              </w:rPr>
              <w:t>机械数字密码锁。</w:t>
            </w:r>
          </w:p>
        </w:tc>
      </w:tr>
      <w:tr w14:paraId="4E492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61" w:type="dxa"/>
            <w:noWrap/>
            <w:vAlign w:val="center"/>
          </w:tcPr>
          <w:p w14:paraId="2B120259">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九</w:t>
            </w:r>
          </w:p>
        </w:tc>
        <w:tc>
          <w:tcPr>
            <w:tcW w:w="9014" w:type="dxa"/>
            <w:noWrap/>
            <w:vAlign w:val="center"/>
          </w:tcPr>
          <w:p w14:paraId="6E9624CB">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牙科推车  2辆</w:t>
            </w:r>
          </w:p>
        </w:tc>
      </w:tr>
      <w:tr w14:paraId="77ADF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61" w:type="dxa"/>
            <w:noWrap/>
            <w:vAlign w:val="center"/>
          </w:tcPr>
          <w:p w14:paraId="4C89A500">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9014" w:type="dxa"/>
            <w:noWrap/>
            <w:vAlign w:val="center"/>
          </w:tcPr>
          <w:p w14:paraId="4D95E3CE">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1、规格（允许偏离±</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0mm）：500*500* 850mm</w:t>
            </w:r>
          </w:p>
          <w:p w14:paraId="0D6329ED">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2、材质：国标SUS304不锈钢材料。</w:t>
            </w:r>
          </w:p>
          <w:p w14:paraId="6B9BE97E">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3、万向轮：Φ100聚胺脂双轴承静音脚轮，防卷发。两只带刹车。</w:t>
            </w:r>
          </w:p>
          <w:p w14:paraId="6DFF12CB">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4、抽屉导轨为优质静音伸缩导轨。带缓冲、自吸功能。</w:t>
            </w:r>
          </w:p>
          <w:p w14:paraId="319A5108">
            <w:pPr>
              <w:pStyle w:val="485"/>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5、大理石台面。</w:t>
            </w:r>
          </w:p>
          <w:p w14:paraId="34F170F3">
            <w:pPr>
              <w:pStyle w:val="485"/>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6、正面设有五层抽屉，抽屉根据医院要求设置隔条。</w:t>
            </w:r>
          </w:p>
          <w:p w14:paraId="21A9769A">
            <w:pPr>
              <w:pStyle w:val="485"/>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7、</w:t>
            </w:r>
            <w:r>
              <w:rPr>
                <w:rFonts w:hint="eastAsia" w:ascii="宋体" w:hAnsi="宋体" w:eastAsia="宋体" w:cs="宋体"/>
                <w:color w:val="000000" w:themeColor="text1"/>
                <w:sz w:val="24"/>
                <w:szCs w:val="24"/>
                <w:highlight w:val="none"/>
                <w:shd w:val="clear" w:color="auto" w:fill="FFFFFF"/>
                <w:lang w:eastAsia="zh-CN"/>
                <w14:textFill>
                  <w14:solidFill>
                    <w14:schemeClr w14:val="tx1"/>
                  </w14:solidFill>
                </w14:textFill>
              </w:rPr>
              <w:t>配置</w:t>
            </w:r>
            <w:r>
              <w:rPr>
                <w:rFonts w:hint="eastAsia" w:ascii="宋体" w:hAnsi="宋体" w:eastAsia="宋体" w:cs="宋体"/>
                <w:color w:val="000000" w:themeColor="text1"/>
                <w:sz w:val="24"/>
                <w:szCs w:val="24"/>
                <w:highlight w:val="none"/>
                <w:lang w:eastAsia="zh-CN"/>
                <w14:textFill>
                  <w14:solidFill>
                    <w14:schemeClr w14:val="tx1"/>
                  </w14:solidFill>
                </w14:textFill>
              </w:rPr>
              <w:t>机械数字密码锁。</w:t>
            </w:r>
          </w:p>
        </w:tc>
      </w:tr>
      <w:tr w14:paraId="2D823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61" w:type="dxa"/>
            <w:noWrap/>
            <w:vAlign w:val="center"/>
          </w:tcPr>
          <w:p w14:paraId="336770D8">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十</w:t>
            </w:r>
          </w:p>
        </w:tc>
        <w:tc>
          <w:tcPr>
            <w:tcW w:w="9014" w:type="dxa"/>
            <w:noWrap/>
            <w:vAlign w:val="center"/>
          </w:tcPr>
          <w:p w14:paraId="04AC3CD1">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屏风   2组</w:t>
            </w:r>
          </w:p>
        </w:tc>
      </w:tr>
      <w:tr w14:paraId="4EFD0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61" w:type="dxa"/>
            <w:noWrap/>
            <w:vAlign w:val="center"/>
          </w:tcPr>
          <w:p w14:paraId="4B02974C">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9014" w:type="dxa"/>
            <w:noWrap/>
            <w:vAlign w:val="center"/>
          </w:tcPr>
          <w:p w14:paraId="4D95A3D0">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规格尺寸（允许偏离±</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 xml:space="preserve">0mm）：（500mm×1800mm）×4联 </w:t>
            </w:r>
          </w:p>
          <w:p w14:paraId="44F12084">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、型材矩管为20*20*1.2mm厚度304不锈钢材质制作；</w:t>
            </w:r>
          </w:p>
          <w:p w14:paraId="6C8B95DF">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、隔帘面料为尼龙防水布料；</w:t>
            </w:r>
          </w:p>
          <w:p w14:paraId="14B5FA52">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、底部配可锁定的多个万向轮。</w:t>
            </w:r>
          </w:p>
        </w:tc>
      </w:tr>
      <w:tr w14:paraId="6E8EB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61" w:type="dxa"/>
            <w:noWrap/>
            <w:vAlign w:val="center"/>
          </w:tcPr>
          <w:p w14:paraId="4B6291A2">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十一</w:t>
            </w:r>
          </w:p>
        </w:tc>
        <w:tc>
          <w:tcPr>
            <w:tcW w:w="9014" w:type="dxa"/>
            <w:noWrap/>
            <w:vAlign w:val="center"/>
          </w:tcPr>
          <w:p w14:paraId="7C05FCAA">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移动查房车（不带电脑）  </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辆</w:t>
            </w:r>
          </w:p>
        </w:tc>
      </w:tr>
      <w:tr w14:paraId="42E65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61" w:type="dxa"/>
            <w:noWrap/>
            <w:vAlign w:val="center"/>
          </w:tcPr>
          <w:p w14:paraId="62D8EBCA">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9014" w:type="dxa"/>
            <w:noWrap/>
            <w:vAlign w:val="center"/>
          </w:tcPr>
          <w:p w14:paraId="732F23FF">
            <w:pPr>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1、规格：</w:t>
            </w:r>
            <w:r>
              <w:rPr>
                <w:rFonts w:hint="eastAsia" w:ascii="宋体" w:hAnsi="宋体" w:eastAsia="宋体" w:cs="宋体"/>
                <w:color w:val="000000" w:themeColor="text1"/>
                <w:sz w:val="24"/>
                <w:szCs w:val="24"/>
                <w:highlight w:val="none"/>
                <w14:textFill>
                  <w14:solidFill>
                    <w14:schemeClr w14:val="tx1"/>
                  </w14:solidFill>
                </w14:textFill>
              </w:rPr>
              <w:t>尺寸（允许偏离±</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0mm）:540*490-710/980mm</w:t>
            </w:r>
          </w:p>
          <w:p w14:paraId="328376A5">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工作台面尺寸</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宽480*长460mm</w:t>
            </w:r>
          </w:p>
          <w:p w14:paraId="7E3CD564">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主要材质</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台面为ABS工程塑料,立柱为铝合金型材，底盘及拉手均为金属铸铝（提供设备材质ROHS论证）</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3B47197E">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副台尺寸</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360*220mm</w:t>
            </w:r>
          </w:p>
          <w:p w14:paraId="0F10B1A3">
            <w:pPr>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整机材质</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铝合金、不锈钢等优质防锈金属材料，面板采用亚光、医用级的ABS抑菌材料</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909AA13">
            <w:pPr>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导轨</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带阻尼静音导轨</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1D2CAF8C">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把手</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下沉式一体成型全铝把手，前后可推拉，封闭环形。（提供实物照片）                   </w:t>
            </w:r>
          </w:p>
          <w:p w14:paraId="2F84E129">
            <w:pPr>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键鼠位</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隐藏式键盘位，在拉手上面，不受阻挡，专用鼠标挂架</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24CB70A0">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桌面设计</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一体无缝成形，具备物体防滑落挡条。（提供实物照片）                             </w:t>
            </w:r>
          </w:p>
          <w:p w14:paraId="449F2D6C">
            <w:pPr>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升降</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脚踏气动或电动</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27A889D1">
            <w:pPr>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w:t>
            </w:r>
            <w:r>
              <w:rPr>
                <w:rFonts w:hint="eastAsia" w:ascii="宋体" w:hAnsi="宋体" w:eastAsia="宋体" w:cs="宋体"/>
                <w:color w:val="000000" w:themeColor="text1"/>
                <w:sz w:val="24"/>
                <w:szCs w:val="24"/>
                <w:highlight w:val="none"/>
                <w14:textFill>
                  <w14:solidFill>
                    <w14:schemeClr w14:val="tx1"/>
                  </w14:solidFill>
                </w14:textFill>
              </w:rPr>
              <w:t>升降行程</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台面升降行程300mm</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3C267C9B">
            <w:pPr>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sz w:val="24"/>
                <w:szCs w:val="24"/>
                <w:highlight w:val="none"/>
                <w14:textFill>
                  <w14:solidFill>
                    <w14:schemeClr w14:val="tx1"/>
                  </w14:solidFill>
                </w14:textFill>
              </w:rPr>
              <w:t>支架调整角度</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左右旋转180度，屏幕仰角可30度调整，显示高度调节150MM</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1C7329EA">
            <w:pPr>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13、脚轮尺寸：4寸医疗级静音脚轮。</w:t>
            </w:r>
          </w:p>
          <w:p w14:paraId="4BD87A3E">
            <w:pPr>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14、脚轮特性：符合医疗安规感染管控，非粘毛屑万向轮，克服各类地板。</w:t>
            </w:r>
          </w:p>
          <w:p w14:paraId="4C32AF59">
            <w:pPr>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15、脚轮数量：2个万向轮带刹车、2个万向不带刹车。</w:t>
            </w:r>
          </w:p>
          <w:p w14:paraId="35B118CE">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16、储物抽屉：可按需增加1-2层收纳储物抽屉。</w:t>
            </w:r>
          </w:p>
        </w:tc>
      </w:tr>
    </w:tbl>
    <w:p w14:paraId="21616931">
      <w:pPr>
        <w:rPr>
          <w:color w:val="000000" w:themeColor="text1"/>
          <w:highlight w:val="none"/>
          <w14:textFill>
            <w14:solidFill>
              <w14:schemeClr w14:val="tx1"/>
            </w14:solidFill>
          </w14:textFill>
        </w:rPr>
      </w:pPr>
    </w:p>
    <w:p w14:paraId="56C93A5B">
      <w:pPr>
        <w:rPr>
          <w:rFonts w:hint="default" w:eastAsia="宋体"/>
          <w:color w:val="000000" w:themeColor="text1"/>
          <w:highlight w:val="none"/>
          <w:lang w:val="en-US" w:eastAsia="zh-CN"/>
          <w14:textFill>
            <w14:solidFill>
              <w14:schemeClr w14:val="tx1"/>
            </w14:solidFill>
          </w14:textFill>
        </w:rPr>
      </w:pPr>
    </w:p>
    <w:p w14:paraId="4E111663">
      <w:pPr>
        <w:pStyle w:val="4"/>
        <w:numPr>
          <w:ilvl w:val="0"/>
          <w:numId w:val="0"/>
        </w:numPr>
        <w:ind w:left="-198" w:left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 三、</w:t>
      </w:r>
      <w:r>
        <w:rPr>
          <w:rFonts w:hint="eastAsia" w:ascii="宋体" w:hAnsi="宋体" w:eastAsia="宋体" w:cs="宋体"/>
          <w:color w:val="000000" w:themeColor="text1"/>
          <w:sz w:val="24"/>
          <w:szCs w:val="24"/>
          <w:highlight w:val="none"/>
          <w14:textFill>
            <w14:solidFill>
              <w14:schemeClr w14:val="tx1"/>
            </w14:solidFill>
          </w14:textFill>
        </w:rPr>
        <w:t>其他商务需求</w:t>
      </w:r>
    </w:p>
    <w:tbl>
      <w:tblPr>
        <w:tblStyle w:val="63"/>
        <w:tblpPr w:leftFromText="180" w:rightFromText="180" w:vertAnchor="text" w:horzAnchor="page" w:tblpX="1371" w:tblpY="460"/>
        <w:tblOverlap w:val="never"/>
        <w:tblW w:w="9396"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00"/>
        <w:gridCol w:w="8596"/>
      </w:tblGrid>
      <w:tr w14:paraId="468BD58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00" w:type="dxa"/>
            <w:noWrap w:val="0"/>
            <w:vAlign w:val="center"/>
          </w:tcPr>
          <w:p w14:paraId="3A19E00D">
            <w:pPr>
              <w:pStyle w:val="33"/>
              <w:snapToGrid w:val="0"/>
              <w:jc w:val="center"/>
              <w:rPr>
                <w:rFonts w:hint="eastAsia" w:ascii="宋体" w:hAnsi="宋体" w:eastAsia="宋体" w:cs="宋体"/>
                <w:bCs/>
                <w:caps/>
                <w:color w:val="000000" w:themeColor="text1"/>
                <w:sz w:val="24"/>
                <w:szCs w:val="24"/>
                <w:highlight w:val="none"/>
                <w14:textFill>
                  <w14:solidFill>
                    <w14:schemeClr w14:val="tx1"/>
                  </w14:solidFill>
                </w14:textFill>
              </w:rPr>
            </w:pPr>
            <w:bookmarkStart w:id="17" w:name="_Toc6536"/>
            <w:bookmarkStart w:id="18" w:name="_Toc25631"/>
            <w:r>
              <w:rPr>
                <w:rFonts w:hint="eastAsia" w:ascii="宋体" w:hAnsi="宋体" w:eastAsia="宋体" w:cs="宋体"/>
                <w:bCs/>
                <w:caps/>
                <w:color w:val="000000" w:themeColor="text1"/>
                <w:sz w:val="24"/>
                <w:szCs w:val="24"/>
                <w:highlight w:val="none"/>
                <w14:textFill>
                  <w14:solidFill>
                    <w14:schemeClr w14:val="tx1"/>
                  </w14:solidFill>
                </w14:textFill>
              </w:rPr>
              <w:t>序号</w:t>
            </w:r>
          </w:p>
        </w:tc>
        <w:tc>
          <w:tcPr>
            <w:tcW w:w="8596" w:type="dxa"/>
            <w:noWrap w:val="0"/>
            <w:vAlign w:val="center"/>
          </w:tcPr>
          <w:p w14:paraId="3975E0E1">
            <w:pPr>
              <w:pStyle w:val="33"/>
              <w:snapToGrid w:val="0"/>
              <w:jc w:val="center"/>
              <w:rPr>
                <w:rFonts w:hint="eastAsia" w:ascii="宋体" w:hAnsi="宋体" w:eastAsia="宋体" w:cs="宋体"/>
                <w:bCs/>
                <w:caps/>
                <w:color w:val="000000" w:themeColor="text1"/>
                <w:sz w:val="24"/>
                <w:szCs w:val="24"/>
                <w:highlight w:val="none"/>
                <w14:textFill>
                  <w14:solidFill>
                    <w14:schemeClr w14:val="tx1"/>
                  </w14:solidFill>
                </w14:textFill>
              </w:rPr>
            </w:pPr>
            <w:r>
              <w:rPr>
                <w:rFonts w:hint="eastAsia" w:ascii="宋体" w:hAnsi="宋体" w:eastAsia="宋体" w:cs="宋体"/>
                <w:bCs/>
                <w:caps/>
                <w:color w:val="000000" w:themeColor="text1"/>
                <w:sz w:val="24"/>
                <w:szCs w:val="24"/>
                <w:highlight w:val="none"/>
                <w:lang w:eastAsia="zh-CN"/>
                <w14:textFill>
                  <w14:solidFill>
                    <w14:schemeClr w14:val="tx1"/>
                  </w14:solidFill>
                </w14:textFill>
              </w:rPr>
              <w:t>商务</w:t>
            </w:r>
            <w:r>
              <w:rPr>
                <w:rFonts w:hint="eastAsia" w:ascii="宋体" w:hAnsi="宋体" w:eastAsia="宋体" w:cs="宋体"/>
                <w:bCs/>
                <w:caps/>
                <w:color w:val="000000" w:themeColor="text1"/>
                <w:sz w:val="24"/>
                <w:szCs w:val="24"/>
                <w:highlight w:val="none"/>
                <w14:textFill>
                  <w14:solidFill>
                    <w14:schemeClr w14:val="tx1"/>
                  </w14:solidFill>
                </w14:textFill>
              </w:rPr>
              <w:t>要求</w:t>
            </w:r>
          </w:p>
        </w:tc>
      </w:tr>
      <w:tr w14:paraId="7DE50E6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00" w:type="dxa"/>
            <w:noWrap w:val="0"/>
            <w:vAlign w:val="center"/>
          </w:tcPr>
          <w:p w14:paraId="05293172">
            <w:pPr>
              <w:pStyle w:val="33"/>
              <w:snapToGrid w:val="0"/>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一</w:t>
            </w:r>
          </w:p>
        </w:tc>
        <w:tc>
          <w:tcPr>
            <w:tcW w:w="8596" w:type="dxa"/>
            <w:noWrap w:val="0"/>
            <w:vAlign w:val="center"/>
          </w:tcPr>
          <w:p w14:paraId="2A81527E">
            <w:pPr>
              <w:keepNext w:val="0"/>
              <w:keepLines w:val="0"/>
              <w:widowControl/>
              <w:suppressLineNumbers w:val="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合同总金额</w:t>
            </w:r>
          </w:p>
        </w:tc>
      </w:tr>
      <w:tr w14:paraId="51DF0DF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00" w:type="dxa"/>
            <w:noWrap w:val="0"/>
            <w:vAlign w:val="center"/>
          </w:tcPr>
          <w:p w14:paraId="4311B5BD">
            <w:pPr>
              <w:pStyle w:val="33"/>
              <w:snapToGrid w:val="0"/>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p>
        </w:tc>
        <w:tc>
          <w:tcPr>
            <w:tcW w:w="8596" w:type="dxa"/>
            <w:noWrap w:val="0"/>
            <w:vAlign w:val="center"/>
          </w:tcPr>
          <w:p w14:paraId="598D485E">
            <w:pPr>
              <w:keepNext w:val="0"/>
              <w:keepLines w:val="0"/>
              <w:widowControl/>
              <w:suppressLineNumbers w:val="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乙方负责设备的运输、保险、进口环节税（如适用）、报关提货、伴随服务（货物完成进口手续所涉及的所有相关服务，如适用）、仓储、卸货（吊装、搬运等）、安装、调试等项费用，费用包含在投标总价中。</w:t>
            </w:r>
          </w:p>
        </w:tc>
      </w:tr>
      <w:tr w14:paraId="0ED4ACB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00" w:type="dxa"/>
            <w:noWrap w:val="0"/>
            <w:vAlign w:val="center"/>
          </w:tcPr>
          <w:p w14:paraId="24D0A777">
            <w:pPr>
              <w:pStyle w:val="33"/>
              <w:snapToGrid w:val="0"/>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二</w:t>
            </w:r>
          </w:p>
        </w:tc>
        <w:tc>
          <w:tcPr>
            <w:tcW w:w="8596" w:type="dxa"/>
            <w:noWrap w:val="0"/>
            <w:vAlign w:val="center"/>
          </w:tcPr>
          <w:p w14:paraId="5A8B345D">
            <w:pPr>
              <w:keepNext w:val="0"/>
              <w:keepLines w:val="0"/>
              <w:widowControl/>
              <w:suppressLineNumbers w:val="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保修期及售后服务</w:t>
            </w:r>
          </w:p>
        </w:tc>
      </w:tr>
      <w:tr w14:paraId="6B472FC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05" w:hRule="atLeast"/>
        </w:trPr>
        <w:tc>
          <w:tcPr>
            <w:tcW w:w="800" w:type="dxa"/>
            <w:noWrap w:val="0"/>
            <w:vAlign w:val="center"/>
          </w:tcPr>
          <w:p w14:paraId="2406A08A">
            <w:pPr>
              <w:pStyle w:val="33"/>
              <w:snapToGrid w:val="0"/>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p>
        </w:tc>
        <w:tc>
          <w:tcPr>
            <w:tcW w:w="8596" w:type="dxa"/>
            <w:noWrap w:val="0"/>
            <w:vAlign w:val="center"/>
          </w:tcPr>
          <w:p w14:paraId="6819F2F0">
            <w:pPr>
              <w:keepNext w:val="0"/>
              <w:keepLines w:val="0"/>
              <w:widowControl/>
              <w:suppressLineNumbers w:val="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整机保修≥5年，保修期外维修不收取差旅费、工时费等服务费用，只收取配件费。</w:t>
            </w:r>
          </w:p>
        </w:tc>
      </w:tr>
      <w:tr w14:paraId="4826838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00" w:type="dxa"/>
            <w:noWrap w:val="0"/>
            <w:vAlign w:val="center"/>
          </w:tcPr>
          <w:p w14:paraId="17D5B1C8">
            <w:pPr>
              <w:pStyle w:val="33"/>
              <w:snapToGrid w:val="0"/>
              <w:jc w:val="center"/>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2</w:t>
            </w:r>
          </w:p>
        </w:tc>
        <w:tc>
          <w:tcPr>
            <w:tcW w:w="8596" w:type="dxa"/>
            <w:noWrap w:val="0"/>
            <w:vAlign w:val="center"/>
          </w:tcPr>
          <w:p w14:paraId="15C5474A">
            <w:pPr>
              <w:keepNext w:val="0"/>
              <w:keepLines w:val="0"/>
              <w:widowControl/>
              <w:suppressLineNumbers w:val="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提供质量保证及售后服务承诺书，售后服务具体条款详见附件《质量保证及售后服务承诺书》。</w:t>
            </w:r>
          </w:p>
        </w:tc>
      </w:tr>
      <w:tr w14:paraId="04EC5EA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00" w:type="dxa"/>
            <w:noWrap w:val="0"/>
            <w:vAlign w:val="center"/>
          </w:tcPr>
          <w:p w14:paraId="3FC3A79F">
            <w:pPr>
              <w:pStyle w:val="33"/>
              <w:snapToGrid w:val="0"/>
              <w:jc w:val="center"/>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三</w:t>
            </w:r>
          </w:p>
        </w:tc>
        <w:tc>
          <w:tcPr>
            <w:tcW w:w="8596" w:type="dxa"/>
            <w:noWrap w:val="0"/>
            <w:vAlign w:val="center"/>
          </w:tcPr>
          <w:p w14:paraId="120876C5">
            <w:pPr>
              <w:keepNext w:val="0"/>
              <w:keepLines w:val="0"/>
              <w:widowControl/>
              <w:suppressLineNumbers w:val="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履约保证金</w:t>
            </w:r>
          </w:p>
        </w:tc>
      </w:tr>
      <w:tr w14:paraId="5772AB6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183" w:hRule="atLeast"/>
        </w:trPr>
        <w:tc>
          <w:tcPr>
            <w:tcW w:w="800" w:type="dxa"/>
            <w:noWrap w:val="0"/>
            <w:vAlign w:val="center"/>
          </w:tcPr>
          <w:p w14:paraId="0729706B">
            <w:pPr>
              <w:pStyle w:val="33"/>
              <w:snapToGrid w:val="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c>
          <w:tcPr>
            <w:tcW w:w="8596" w:type="dxa"/>
            <w:noWrap w:val="0"/>
            <w:vAlign w:val="center"/>
          </w:tcPr>
          <w:p w14:paraId="008A9261">
            <w:pPr>
              <w:keepNext w:val="0"/>
              <w:keepLines w:val="0"/>
              <w:widowControl/>
              <w:suppressLineNumbers w:val="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1.中标供应商在合同签订后向采购人提供合同总价1%的履约保证金，中标供应商应当以支票、汇票、本票或者金融机构、担保机构出具的保函等非现金形式提交。</w:t>
            </w:r>
          </w:p>
          <w:p w14:paraId="6406AC40">
            <w:pPr>
              <w:keepNext w:val="0"/>
              <w:keepLines w:val="0"/>
              <w:widowControl/>
              <w:suppressLineNumbers w:val="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2.履约保证金自提交之日起至最终验收前有效。履约保证金在最终验收合格14天内无息退还。</w:t>
            </w:r>
          </w:p>
        </w:tc>
      </w:tr>
      <w:tr w14:paraId="4F6CAAC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8" w:hRule="atLeast"/>
        </w:trPr>
        <w:tc>
          <w:tcPr>
            <w:tcW w:w="800" w:type="dxa"/>
            <w:noWrap w:val="0"/>
            <w:vAlign w:val="center"/>
          </w:tcPr>
          <w:p w14:paraId="26C0FE9F">
            <w:pPr>
              <w:pStyle w:val="33"/>
              <w:snapToGrid w:val="0"/>
              <w:jc w:val="center"/>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四</w:t>
            </w:r>
          </w:p>
        </w:tc>
        <w:tc>
          <w:tcPr>
            <w:tcW w:w="8596" w:type="dxa"/>
            <w:noWrap w:val="0"/>
            <w:vAlign w:val="center"/>
          </w:tcPr>
          <w:p w14:paraId="0344BCC2">
            <w:pPr>
              <w:keepNext w:val="0"/>
              <w:keepLines w:val="0"/>
              <w:widowControl/>
              <w:suppressLineNumbers w:val="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付款方式</w:t>
            </w:r>
          </w:p>
        </w:tc>
      </w:tr>
      <w:tr w14:paraId="0E4454F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00" w:type="dxa"/>
            <w:noWrap w:val="0"/>
            <w:vAlign w:val="center"/>
          </w:tcPr>
          <w:p w14:paraId="1C06EB8A">
            <w:pPr>
              <w:pStyle w:val="33"/>
              <w:snapToGrid w:val="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c>
          <w:tcPr>
            <w:tcW w:w="8596" w:type="dxa"/>
            <w:noWrap w:val="0"/>
            <w:vAlign w:val="center"/>
          </w:tcPr>
          <w:p w14:paraId="07FAF967">
            <w:pPr>
              <w:keepNext w:val="0"/>
              <w:keepLines w:val="0"/>
              <w:widowControl/>
              <w:suppressLineNumbers w:val="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1.项目预付款：合同生效后7个工作日内甲方向乙方支付合同金额40%作为预付款，在支付预付款前，乙方应提供等额的预付款保函；</w:t>
            </w:r>
          </w:p>
          <w:p w14:paraId="08146DC1">
            <w:pPr>
              <w:keepNext w:val="0"/>
              <w:keepLines w:val="0"/>
              <w:widowControl/>
              <w:suppressLineNumbers w:val="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 项目进度款：货物到场后，经甲方及使用单位审核验收货物的数量、外观、质量合格后15日内支付合同总价的40%，同时退还乙方预付款保函；</w:t>
            </w:r>
          </w:p>
          <w:p w14:paraId="2CD5D94B">
            <w:pPr>
              <w:keepNext w:val="0"/>
              <w:keepLines w:val="0"/>
              <w:widowControl/>
              <w:suppressLineNumbers w:val="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3.全部设备安装、调试完成，甲方及使用单位验收合格，并结算完成后，结清全部货款。</w:t>
            </w:r>
          </w:p>
        </w:tc>
      </w:tr>
      <w:tr w14:paraId="2F745F9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00" w:type="dxa"/>
            <w:noWrap w:val="0"/>
            <w:vAlign w:val="center"/>
          </w:tcPr>
          <w:p w14:paraId="5C4FDFDA">
            <w:pPr>
              <w:pStyle w:val="33"/>
              <w:snapToGrid w:val="0"/>
              <w:jc w:val="center"/>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五</w:t>
            </w:r>
          </w:p>
        </w:tc>
        <w:tc>
          <w:tcPr>
            <w:tcW w:w="8596" w:type="dxa"/>
            <w:noWrap w:val="0"/>
            <w:vAlign w:val="center"/>
          </w:tcPr>
          <w:p w14:paraId="493C0CAA">
            <w:pPr>
              <w:keepNext w:val="0"/>
              <w:keepLines w:val="0"/>
              <w:widowControl/>
              <w:suppressLineNumbers w:val="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交货期</w:t>
            </w:r>
          </w:p>
        </w:tc>
      </w:tr>
      <w:tr w14:paraId="3CB917F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00" w:type="dxa"/>
            <w:noWrap w:val="0"/>
            <w:vAlign w:val="center"/>
          </w:tcPr>
          <w:p w14:paraId="1BA989E1">
            <w:pPr>
              <w:pStyle w:val="33"/>
              <w:snapToGrid w:val="0"/>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p>
        </w:tc>
        <w:tc>
          <w:tcPr>
            <w:tcW w:w="8596" w:type="dxa"/>
            <w:noWrap w:val="0"/>
            <w:vAlign w:val="center"/>
          </w:tcPr>
          <w:p w14:paraId="65BAEC6A">
            <w:pPr>
              <w:keepNext w:val="0"/>
              <w:keepLines w:val="0"/>
              <w:widowControl/>
              <w:suppressLineNumbers w:val="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交货期：接到甲方要求发货之日起60天内完成安装和调试。</w:t>
            </w:r>
          </w:p>
          <w:p w14:paraId="2B70AFD3">
            <w:pPr>
              <w:keepNext w:val="0"/>
              <w:keepLines w:val="0"/>
              <w:widowControl/>
              <w:suppressLineNumbers w:val="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交货地点: 温州市龙湾区第一人民医院指定位置。</w:t>
            </w:r>
          </w:p>
        </w:tc>
      </w:tr>
      <w:tr w14:paraId="67399B4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00" w:type="dxa"/>
            <w:noWrap w:val="0"/>
            <w:vAlign w:val="center"/>
          </w:tcPr>
          <w:p w14:paraId="67CD990E">
            <w:pPr>
              <w:pStyle w:val="33"/>
              <w:snapToGrid w:val="0"/>
              <w:jc w:val="center"/>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六</w:t>
            </w:r>
          </w:p>
        </w:tc>
        <w:tc>
          <w:tcPr>
            <w:tcW w:w="8596" w:type="dxa"/>
            <w:noWrap w:val="0"/>
            <w:vAlign w:val="center"/>
          </w:tcPr>
          <w:p w14:paraId="428CFEF3">
            <w:pPr>
              <w:keepNext w:val="0"/>
              <w:keepLines w:val="0"/>
              <w:widowControl/>
              <w:suppressLineNumbers w:val="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安装调试</w:t>
            </w:r>
          </w:p>
        </w:tc>
      </w:tr>
      <w:tr w14:paraId="29602EE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00" w:type="dxa"/>
            <w:noWrap w:val="0"/>
            <w:vAlign w:val="center"/>
          </w:tcPr>
          <w:p w14:paraId="5A82481C">
            <w:pPr>
              <w:pStyle w:val="33"/>
              <w:snapToGrid w:val="0"/>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p>
        </w:tc>
        <w:tc>
          <w:tcPr>
            <w:tcW w:w="8596" w:type="dxa"/>
            <w:noWrap w:val="0"/>
            <w:vAlign w:val="center"/>
          </w:tcPr>
          <w:p w14:paraId="5EDBEE3C">
            <w:pPr>
              <w:keepNext w:val="0"/>
              <w:keepLines w:val="0"/>
              <w:widowControl/>
              <w:suppressLineNumbers w:val="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安装地点：温州市龙湾区第一人民医院指定位置。</w:t>
            </w:r>
          </w:p>
        </w:tc>
      </w:tr>
      <w:tr w14:paraId="49FBA18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00" w:type="dxa"/>
            <w:noWrap w:val="0"/>
            <w:vAlign w:val="center"/>
          </w:tcPr>
          <w:p w14:paraId="7EC5BA23">
            <w:pPr>
              <w:pStyle w:val="33"/>
              <w:snapToGrid w:val="0"/>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w:t>
            </w:r>
          </w:p>
        </w:tc>
        <w:tc>
          <w:tcPr>
            <w:tcW w:w="8596" w:type="dxa"/>
            <w:noWrap w:val="0"/>
            <w:vAlign w:val="center"/>
          </w:tcPr>
          <w:p w14:paraId="6D1ED871">
            <w:pPr>
              <w:keepNext w:val="0"/>
              <w:keepLines w:val="0"/>
              <w:widowControl/>
              <w:suppressLineNumbers w:val="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在接到甲方通知后，乙方须对甲方现场进行查勘，现场勘察后10个工作日内书面提供甲方认可的运输方案及安装方案，费用含在合同总价中。</w:t>
            </w:r>
          </w:p>
        </w:tc>
      </w:tr>
      <w:tr w14:paraId="45F9AB7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00" w:type="dxa"/>
            <w:noWrap w:val="0"/>
            <w:vAlign w:val="center"/>
          </w:tcPr>
          <w:p w14:paraId="312D0040">
            <w:pPr>
              <w:pStyle w:val="33"/>
              <w:snapToGrid w:val="0"/>
              <w:ind w:firstLine="240" w:firstLineChars="100"/>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3</w:t>
            </w:r>
          </w:p>
        </w:tc>
        <w:tc>
          <w:tcPr>
            <w:tcW w:w="8596" w:type="dxa"/>
            <w:noWrap w:val="0"/>
            <w:vAlign w:val="center"/>
          </w:tcPr>
          <w:p w14:paraId="73EEEA99">
            <w:pPr>
              <w:keepNext w:val="0"/>
              <w:keepLines w:val="0"/>
              <w:widowControl/>
              <w:suppressLineNumbers w:val="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安装周期：接到甲方安装通知后，10天内完成安装和调试。</w:t>
            </w:r>
          </w:p>
        </w:tc>
      </w:tr>
      <w:tr w14:paraId="3364DF2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00" w:type="dxa"/>
            <w:noWrap w:val="0"/>
            <w:vAlign w:val="center"/>
          </w:tcPr>
          <w:p w14:paraId="22371116">
            <w:pPr>
              <w:pStyle w:val="33"/>
              <w:snapToGrid w:val="0"/>
              <w:jc w:val="center"/>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w:t>
            </w:r>
          </w:p>
        </w:tc>
        <w:tc>
          <w:tcPr>
            <w:tcW w:w="8596" w:type="dxa"/>
            <w:noWrap w:val="0"/>
            <w:vAlign w:val="center"/>
          </w:tcPr>
          <w:p w14:paraId="095BA511">
            <w:pPr>
              <w:keepNext w:val="0"/>
              <w:keepLines w:val="0"/>
              <w:widowControl/>
              <w:suppressLineNumbers w:val="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安装标准：符合我国国家有关技术规范要求和技术标准。</w:t>
            </w:r>
          </w:p>
        </w:tc>
      </w:tr>
      <w:tr w14:paraId="1E32FD9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00" w:type="dxa"/>
            <w:noWrap w:val="0"/>
            <w:vAlign w:val="center"/>
          </w:tcPr>
          <w:p w14:paraId="1B5590DB">
            <w:pPr>
              <w:pStyle w:val="33"/>
              <w:snapToGrid w:val="0"/>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5</w:t>
            </w:r>
          </w:p>
        </w:tc>
        <w:tc>
          <w:tcPr>
            <w:tcW w:w="8596" w:type="dxa"/>
            <w:noWrap w:val="0"/>
            <w:vAlign w:val="center"/>
          </w:tcPr>
          <w:p w14:paraId="333BD040">
            <w:pPr>
              <w:keepNext w:val="0"/>
              <w:keepLines w:val="0"/>
              <w:widowControl/>
              <w:suppressLineNumbers w:val="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安装过程中发生的装卸、搬运和货物保险等费用全部由乙方负责。</w:t>
            </w:r>
          </w:p>
        </w:tc>
      </w:tr>
      <w:tr w14:paraId="2246350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00" w:type="dxa"/>
            <w:noWrap w:val="0"/>
            <w:vAlign w:val="center"/>
          </w:tcPr>
          <w:p w14:paraId="48669631">
            <w:pPr>
              <w:pStyle w:val="33"/>
              <w:snapToGrid w:val="0"/>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6</w:t>
            </w:r>
          </w:p>
        </w:tc>
        <w:tc>
          <w:tcPr>
            <w:tcW w:w="8596" w:type="dxa"/>
            <w:noWrap w:val="0"/>
            <w:vAlign w:val="center"/>
          </w:tcPr>
          <w:p w14:paraId="3E706B71">
            <w:pPr>
              <w:keepNext w:val="0"/>
              <w:keepLines w:val="0"/>
              <w:widowControl/>
              <w:suppressLineNumbers w:val="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乙方负责甲方的机房设计，费用由乙方负责。</w:t>
            </w:r>
          </w:p>
        </w:tc>
      </w:tr>
      <w:tr w14:paraId="138629F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00" w:type="dxa"/>
            <w:noWrap w:val="0"/>
            <w:vAlign w:val="center"/>
          </w:tcPr>
          <w:p w14:paraId="2375E0B1">
            <w:pPr>
              <w:pStyle w:val="33"/>
              <w:snapToGrid w:val="0"/>
              <w:jc w:val="center"/>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七</w:t>
            </w:r>
          </w:p>
        </w:tc>
        <w:tc>
          <w:tcPr>
            <w:tcW w:w="8596" w:type="dxa"/>
            <w:noWrap w:val="0"/>
            <w:vAlign w:val="center"/>
          </w:tcPr>
          <w:p w14:paraId="7F4BFA66">
            <w:pPr>
              <w:keepNext w:val="0"/>
              <w:keepLines w:val="0"/>
              <w:widowControl/>
              <w:suppressLineNumbers w:val="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验收</w:t>
            </w:r>
          </w:p>
        </w:tc>
      </w:tr>
      <w:tr w14:paraId="1AD716A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00" w:type="dxa"/>
            <w:noWrap w:val="0"/>
            <w:vAlign w:val="center"/>
          </w:tcPr>
          <w:p w14:paraId="4785DB77">
            <w:pPr>
              <w:pStyle w:val="33"/>
              <w:snapToGrid w:val="0"/>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p>
        </w:tc>
        <w:tc>
          <w:tcPr>
            <w:tcW w:w="8596" w:type="dxa"/>
            <w:noWrap w:val="0"/>
            <w:vAlign w:val="center"/>
          </w:tcPr>
          <w:p w14:paraId="50576CBE">
            <w:pPr>
              <w:keepNext w:val="0"/>
              <w:keepLines w:val="0"/>
              <w:widowControl/>
              <w:suppressLineNumbers w:val="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货物验收标准</w:t>
            </w:r>
          </w:p>
        </w:tc>
      </w:tr>
      <w:tr w14:paraId="6D640C9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00" w:type="dxa"/>
            <w:noWrap w:val="0"/>
            <w:vAlign w:val="center"/>
          </w:tcPr>
          <w:p w14:paraId="38D3CF6A">
            <w:pPr>
              <w:pStyle w:val="33"/>
              <w:snapToGrid w:val="0"/>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1.1</w:t>
            </w:r>
          </w:p>
        </w:tc>
        <w:tc>
          <w:tcPr>
            <w:tcW w:w="8596" w:type="dxa"/>
            <w:noWrap w:val="0"/>
            <w:vAlign w:val="center"/>
          </w:tcPr>
          <w:p w14:paraId="684AF6D3">
            <w:pPr>
              <w:keepNext w:val="0"/>
              <w:keepLines w:val="0"/>
              <w:widowControl/>
              <w:suppressLineNumbers w:val="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乙方提供的所有货物必须是全新未使用过的货物。</w:t>
            </w:r>
          </w:p>
        </w:tc>
      </w:tr>
      <w:tr w14:paraId="7A6AFE4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00" w:type="dxa"/>
            <w:noWrap w:val="0"/>
            <w:vAlign w:val="center"/>
          </w:tcPr>
          <w:p w14:paraId="7CC9386C">
            <w:pPr>
              <w:pStyle w:val="33"/>
              <w:snapToGrid w:val="0"/>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1.2</w:t>
            </w:r>
          </w:p>
        </w:tc>
        <w:tc>
          <w:tcPr>
            <w:tcW w:w="8596" w:type="dxa"/>
            <w:noWrap w:val="0"/>
            <w:vAlign w:val="center"/>
          </w:tcPr>
          <w:p w14:paraId="74CD47FD">
            <w:pPr>
              <w:keepNext w:val="0"/>
              <w:keepLines w:val="0"/>
              <w:widowControl/>
              <w:suppressLineNumbers w:val="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货物生产日期要求：</w:t>
            </w:r>
            <w:r>
              <w:rPr>
                <w:rFonts w:hint="eastAsia" w:ascii="宋体" w:hAnsi="宋体" w:eastAsia="宋体" w:cs="宋体"/>
                <w:b w:val="0"/>
                <w:color w:val="000000" w:themeColor="text1"/>
                <w:sz w:val="24"/>
                <w:szCs w:val="24"/>
                <w:highlight w:val="none"/>
                <w:lang w:eastAsia="zh-CN"/>
                <w14:textFill>
                  <w14:solidFill>
                    <w14:schemeClr w14:val="tx1"/>
                  </w14:solidFill>
                </w14:textFill>
              </w:rPr>
              <w:t>国产货物生产日期不超过半年，</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进口货物生产日期不超过一年</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（以产品标签、标识或出厂证明资料为准）。</w:t>
            </w:r>
          </w:p>
        </w:tc>
      </w:tr>
      <w:tr w14:paraId="60ADD97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00" w:type="dxa"/>
            <w:noWrap w:val="0"/>
            <w:vAlign w:val="center"/>
          </w:tcPr>
          <w:p w14:paraId="1A8AE485">
            <w:pPr>
              <w:pStyle w:val="33"/>
              <w:snapToGrid w:val="0"/>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1.3</w:t>
            </w:r>
          </w:p>
        </w:tc>
        <w:tc>
          <w:tcPr>
            <w:tcW w:w="8596" w:type="dxa"/>
            <w:noWrap w:val="0"/>
            <w:vAlign w:val="center"/>
          </w:tcPr>
          <w:p w14:paraId="5F6E1BD5">
            <w:pPr>
              <w:keepNext w:val="0"/>
              <w:keepLines w:val="0"/>
              <w:widowControl/>
              <w:suppressLineNumbers w:val="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属强制检定计量器具的，乙方应提供经具有法定资质的检测机构出具的计量检定（合格）报告，检测费用由乙方承担。</w:t>
            </w:r>
          </w:p>
        </w:tc>
      </w:tr>
      <w:tr w14:paraId="30D568A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00" w:type="dxa"/>
            <w:noWrap w:val="0"/>
            <w:vAlign w:val="center"/>
          </w:tcPr>
          <w:p w14:paraId="447F165E">
            <w:pPr>
              <w:pStyle w:val="33"/>
              <w:snapToGrid w:val="0"/>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1.4</w:t>
            </w:r>
          </w:p>
        </w:tc>
        <w:tc>
          <w:tcPr>
            <w:tcW w:w="8596" w:type="dxa"/>
            <w:noWrap w:val="0"/>
            <w:vAlign w:val="center"/>
          </w:tcPr>
          <w:p w14:paraId="14B327FA">
            <w:pPr>
              <w:keepNext w:val="0"/>
              <w:keepLines w:val="0"/>
              <w:widowControl/>
              <w:suppressLineNumbers w:val="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属放射诊疗项目货物的，须通过相关性能检测，满足职业病危害控制效果评价的性能要求。（本条款适用于医疗设备）</w:t>
            </w:r>
          </w:p>
        </w:tc>
      </w:tr>
      <w:tr w14:paraId="69C2B5B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00" w:type="dxa"/>
            <w:noWrap w:val="0"/>
            <w:vAlign w:val="center"/>
          </w:tcPr>
          <w:p w14:paraId="24920777">
            <w:pPr>
              <w:pStyle w:val="33"/>
              <w:snapToGrid w:val="0"/>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1.5</w:t>
            </w:r>
          </w:p>
        </w:tc>
        <w:tc>
          <w:tcPr>
            <w:tcW w:w="8596" w:type="dxa"/>
            <w:noWrap w:val="0"/>
            <w:vAlign w:val="center"/>
          </w:tcPr>
          <w:p w14:paraId="20B6C310">
            <w:pPr>
              <w:keepNext w:val="0"/>
              <w:keepLines w:val="0"/>
              <w:widowControl/>
              <w:suppressLineNumbers w:val="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货物应符合国家其他相关标准、投标文件的性能指标及功能要求。</w:t>
            </w:r>
          </w:p>
        </w:tc>
      </w:tr>
      <w:tr w14:paraId="7A56A23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00" w:type="dxa"/>
            <w:noWrap w:val="0"/>
            <w:vAlign w:val="center"/>
          </w:tcPr>
          <w:p w14:paraId="350CBC5E">
            <w:pPr>
              <w:pStyle w:val="33"/>
              <w:snapToGrid w:val="0"/>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w:t>
            </w:r>
          </w:p>
        </w:tc>
        <w:tc>
          <w:tcPr>
            <w:tcW w:w="8596" w:type="dxa"/>
            <w:noWrap w:val="0"/>
            <w:vAlign w:val="center"/>
          </w:tcPr>
          <w:p w14:paraId="62A83864">
            <w:pPr>
              <w:keepNext w:val="0"/>
              <w:keepLines w:val="0"/>
              <w:widowControl/>
              <w:suppressLineNumbers w:val="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其他验收标准</w:t>
            </w:r>
          </w:p>
        </w:tc>
      </w:tr>
      <w:tr w14:paraId="5FBE1C2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00" w:type="dxa"/>
            <w:noWrap w:val="0"/>
            <w:vAlign w:val="center"/>
          </w:tcPr>
          <w:p w14:paraId="7CB3A01E">
            <w:pPr>
              <w:pStyle w:val="33"/>
              <w:snapToGrid w:val="0"/>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2.1</w:t>
            </w:r>
          </w:p>
        </w:tc>
        <w:tc>
          <w:tcPr>
            <w:tcW w:w="8596" w:type="dxa"/>
            <w:noWrap w:val="0"/>
            <w:vAlign w:val="center"/>
          </w:tcPr>
          <w:p w14:paraId="4DEF4339">
            <w:pPr>
              <w:keepNext w:val="0"/>
              <w:keepLines w:val="0"/>
              <w:widowControl/>
              <w:suppressLineNumbers w:val="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乙方完成各项培训考核，提供培训考核记录及资料。（甲方认为无需提供项培训考核的除外，但需要留存书面说明）。</w:t>
            </w:r>
          </w:p>
        </w:tc>
      </w:tr>
      <w:tr w14:paraId="42C5657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00" w:type="dxa"/>
            <w:noWrap w:val="0"/>
            <w:vAlign w:val="center"/>
          </w:tcPr>
          <w:p w14:paraId="15045ACB">
            <w:pPr>
              <w:pStyle w:val="33"/>
              <w:snapToGrid w:val="0"/>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2.2</w:t>
            </w:r>
          </w:p>
        </w:tc>
        <w:tc>
          <w:tcPr>
            <w:tcW w:w="8596" w:type="dxa"/>
            <w:noWrap w:val="0"/>
            <w:vAlign w:val="center"/>
          </w:tcPr>
          <w:p w14:paraId="26D41FBE">
            <w:pPr>
              <w:keepNext w:val="0"/>
              <w:keepLines w:val="0"/>
              <w:widowControl/>
              <w:suppressLineNumbers w:val="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乙方向甲方提交必要的合格证明文件、检测报告、技术资料、安装报告资料。如为医疗器械产品的，乙方还应提供完整的《产品技术要求》（含注册产品和备案产品）。</w:t>
            </w:r>
          </w:p>
        </w:tc>
      </w:tr>
      <w:tr w14:paraId="3003355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494" w:hRule="atLeast"/>
        </w:trPr>
        <w:tc>
          <w:tcPr>
            <w:tcW w:w="800" w:type="dxa"/>
            <w:noWrap w:val="0"/>
            <w:vAlign w:val="center"/>
          </w:tcPr>
          <w:p w14:paraId="56F88EF7">
            <w:pPr>
              <w:pStyle w:val="33"/>
              <w:snapToGrid w:val="0"/>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w:t>
            </w:r>
          </w:p>
        </w:tc>
        <w:tc>
          <w:tcPr>
            <w:tcW w:w="8596" w:type="dxa"/>
            <w:noWrap w:val="0"/>
            <w:vAlign w:val="center"/>
          </w:tcPr>
          <w:p w14:paraId="0568B1F7">
            <w:pPr>
              <w:keepNext w:val="0"/>
              <w:keepLines w:val="0"/>
              <w:widowControl/>
              <w:suppressLineNumbers w:val="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目验收：达到货物验收标准后，乙方应及时通知甲方，甲方应在10个工作日内组织验收。经采购人认可后，与设备性能指标、合同内容一起作为设备验收标准。达到货物验收标准且满足其他验收标准的，进行项目合格验收，双方共同签署验收报告并加盖公章。验收中发现设备达不到验收标准或合同规定的性能指标，供应商必须更换设备。并且赔偿由此给采购人造成的损失。</w:t>
            </w:r>
          </w:p>
        </w:tc>
      </w:tr>
      <w:tr w14:paraId="69A62F3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00" w:type="dxa"/>
            <w:noWrap w:val="0"/>
            <w:vAlign w:val="center"/>
          </w:tcPr>
          <w:p w14:paraId="7A216F38">
            <w:pPr>
              <w:pStyle w:val="33"/>
              <w:snapToGrid w:val="0"/>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4</w:t>
            </w:r>
          </w:p>
        </w:tc>
        <w:tc>
          <w:tcPr>
            <w:tcW w:w="8596" w:type="dxa"/>
            <w:noWrap w:val="0"/>
            <w:vAlign w:val="center"/>
          </w:tcPr>
          <w:p w14:paraId="7A948578">
            <w:pPr>
              <w:keepNext w:val="0"/>
              <w:keepLines w:val="0"/>
              <w:widowControl/>
              <w:suppressLineNumbers w:val="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验收过程中所发生的所有费用（含中标所有设备与院内系统连接费、检测费、耗材等）由乙方承担。</w:t>
            </w:r>
          </w:p>
        </w:tc>
      </w:tr>
      <w:tr w14:paraId="35BC9C2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00" w:type="dxa"/>
            <w:noWrap w:val="0"/>
            <w:vAlign w:val="center"/>
          </w:tcPr>
          <w:p w14:paraId="551B4CE6">
            <w:pPr>
              <w:pStyle w:val="33"/>
              <w:snapToGrid w:val="0"/>
              <w:jc w:val="center"/>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八</w:t>
            </w:r>
          </w:p>
        </w:tc>
        <w:tc>
          <w:tcPr>
            <w:tcW w:w="8596" w:type="dxa"/>
            <w:noWrap w:val="0"/>
            <w:vAlign w:val="center"/>
          </w:tcPr>
          <w:p w14:paraId="3E9D0275">
            <w:pPr>
              <w:keepNext w:val="0"/>
              <w:keepLines w:val="0"/>
              <w:widowControl/>
              <w:suppressLineNumbers w:val="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培训考核</w:t>
            </w:r>
          </w:p>
        </w:tc>
      </w:tr>
      <w:tr w14:paraId="67990A7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00" w:type="dxa"/>
            <w:noWrap w:val="0"/>
            <w:vAlign w:val="center"/>
          </w:tcPr>
          <w:p w14:paraId="0E8BCB27">
            <w:pPr>
              <w:pStyle w:val="33"/>
              <w:snapToGrid w:val="0"/>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p>
        </w:tc>
        <w:tc>
          <w:tcPr>
            <w:tcW w:w="8596" w:type="dxa"/>
            <w:noWrap w:val="0"/>
            <w:vAlign w:val="center"/>
          </w:tcPr>
          <w:p w14:paraId="235F7F53">
            <w:pPr>
              <w:keepNext w:val="0"/>
              <w:keepLines w:val="0"/>
              <w:widowControl/>
              <w:suppressLineNumbers w:val="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操作应用培训：乙方负责在医院现场提供1-5个工作日的操作和临床应用培训（甲方可根据货物复杂程度增加培训时间），确保操作人员熟练掌握货物的操作规程及临床应用，并提供操作教学视频、操作规程、培训记录。操作教学视频应涵盖货物的所有操作及应用，且通俗易懂。所有培训费用已含入总价中。</w:t>
            </w:r>
          </w:p>
        </w:tc>
      </w:tr>
      <w:tr w14:paraId="737EF09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00" w:type="dxa"/>
            <w:noWrap w:val="0"/>
            <w:vAlign w:val="center"/>
          </w:tcPr>
          <w:p w14:paraId="398051CE">
            <w:pPr>
              <w:pStyle w:val="33"/>
              <w:snapToGrid w:val="0"/>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w:t>
            </w:r>
          </w:p>
        </w:tc>
        <w:tc>
          <w:tcPr>
            <w:tcW w:w="8596" w:type="dxa"/>
            <w:noWrap w:val="0"/>
            <w:vAlign w:val="center"/>
          </w:tcPr>
          <w:p w14:paraId="63B7345D">
            <w:pPr>
              <w:keepNext w:val="0"/>
              <w:keepLines w:val="0"/>
              <w:widowControl/>
              <w:suppressLineNumbers w:val="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维修保养培训：乙方负责在医院现场提供维修人员的培训，使医院维修工程人员掌握货物参数设置、日常保养、常见故障排除等技能。乙方须提供涵盖上述内容的培训资料。所有培训费用已含入总价中。</w:t>
            </w:r>
          </w:p>
        </w:tc>
      </w:tr>
      <w:tr w14:paraId="49BCFEA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00" w:type="dxa"/>
            <w:noWrap w:val="0"/>
            <w:vAlign w:val="center"/>
          </w:tcPr>
          <w:p w14:paraId="4A816B6B">
            <w:pPr>
              <w:pStyle w:val="33"/>
              <w:snapToGrid w:val="0"/>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w:t>
            </w:r>
          </w:p>
        </w:tc>
        <w:tc>
          <w:tcPr>
            <w:tcW w:w="8596" w:type="dxa"/>
            <w:noWrap w:val="0"/>
            <w:vAlign w:val="center"/>
          </w:tcPr>
          <w:p w14:paraId="3F12DB25">
            <w:pPr>
              <w:keepNext w:val="0"/>
              <w:keepLines w:val="0"/>
              <w:widowControl/>
              <w:suppressLineNumbers w:val="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培训完成后，乙方须提供详细培训记录，培训记录应有培训内容、参加人员（签字）、培训地点、培训时间以及操作人员考核情况。</w:t>
            </w:r>
          </w:p>
        </w:tc>
      </w:tr>
      <w:tr w14:paraId="496B0DA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00" w:type="dxa"/>
            <w:noWrap w:val="0"/>
            <w:vAlign w:val="center"/>
          </w:tcPr>
          <w:p w14:paraId="19E56267">
            <w:pPr>
              <w:pStyle w:val="33"/>
              <w:snapToGrid w:val="0"/>
              <w:jc w:val="center"/>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4</w:t>
            </w:r>
          </w:p>
        </w:tc>
        <w:tc>
          <w:tcPr>
            <w:tcW w:w="8596" w:type="dxa"/>
            <w:noWrap w:val="0"/>
            <w:vAlign w:val="center"/>
          </w:tcPr>
          <w:p w14:paraId="018EF199">
            <w:pPr>
              <w:keepNext w:val="0"/>
              <w:keepLines w:val="0"/>
              <w:widowControl/>
              <w:suppressLineNumbers w:val="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操作应用技能考核：乙方提供试题及考核评估方案，对医院操作人员和维修工程人员进行技能考核。考核完成后，乙方须提供详细考核记录，考核记录应有考核内容、参加人员（签字）、考核地点、考核时间以及考核情况。</w:t>
            </w:r>
          </w:p>
        </w:tc>
      </w:tr>
      <w:tr w14:paraId="7E4291E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00" w:type="dxa"/>
            <w:noWrap w:val="0"/>
            <w:vAlign w:val="center"/>
          </w:tcPr>
          <w:p w14:paraId="38A01CBC">
            <w:pPr>
              <w:pStyle w:val="33"/>
              <w:snapToGrid w:val="0"/>
              <w:jc w:val="center"/>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5</w:t>
            </w:r>
          </w:p>
        </w:tc>
        <w:tc>
          <w:tcPr>
            <w:tcW w:w="8596" w:type="dxa"/>
            <w:noWrap w:val="0"/>
            <w:vAlign w:val="center"/>
          </w:tcPr>
          <w:p w14:paraId="166F6D58">
            <w:pPr>
              <w:keepNext w:val="0"/>
              <w:keepLines w:val="0"/>
              <w:widowControl/>
              <w:suppressLineNumbers w:val="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w:t>
            </w:r>
            <w:r>
              <w:rPr>
                <w:rFonts w:hint="eastAsia" w:ascii="宋体" w:hAnsi="宋体" w:eastAsia="宋体" w:cs="宋体"/>
                <w:color w:val="000000" w:themeColor="text1"/>
                <w:sz w:val="24"/>
                <w:szCs w:val="24"/>
                <w:highlight w:val="none"/>
                <w:lang w:val="en-US" w:eastAsia="zh-CN"/>
                <w14:textFill>
                  <w14:solidFill>
                    <w14:schemeClr w14:val="tx1"/>
                  </w14:solidFill>
                </w14:textFill>
              </w:rPr>
              <w:t>设备</w:t>
            </w:r>
            <w:r>
              <w:rPr>
                <w:rFonts w:hint="eastAsia" w:ascii="宋体" w:hAnsi="宋体" w:eastAsia="宋体" w:cs="宋体"/>
                <w:color w:val="000000" w:themeColor="text1"/>
                <w:sz w:val="24"/>
                <w:szCs w:val="24"/>
                <w:highlight w:val="none"/>
                <w14:textFill>
                  <w14:solidFill>
                    <w14:schemeClr w14:val="tx1"/>
                  </w14:solidFill>
                </w14:textFill>
              </w:rPr>
              <w:t>使用</w:t>
            </w:r>
            <w:r>
              <w:rPr>
                <w:rFonts w:hint="eastAsia" w:ascii="宋体" w:hAnsi="宋体" w:eastAsia="宋体" w:cs="宋体"/>
                <w:color w:val="000000" w:themeColor="text1"/>
                <w:sz w:val="24"/>
                <w:szCs w:val="24"/>
                <w:highlight w:val="none"/>
                <w:lang w:val="en-US" w:eastAsia="zh-CN"/>
                <w14:textFill>
                  <w14:solidFill>
                    <w14:schemeClr w14:val="tx1"/>
                  </w14:solidFill>
                </w14:textFill>
              </w:rPr>
              <w:t>期间，乙方应</w:t>
            </w:r>
            <w:r>
              <w:rPr>
                <w:rFonts w:hint="eastAsia" w:ascii="宋体" w:hAnsi="宋体" w:eastAsia="宋体" w:cs="宋体"/>
                <w:color w:val="000000" w:themeColor="text1"/>
                <w:sz w:val="24"/>
                <w:szCs w:val="24"/>
                <w:highlight w:val="none"/>
                <w14:textFill>
                  <w14:solidFill>
                    <w14:schemeClr w14:val="tx1"/>
                  </w14:solidFill>
                </w14:textFill>
              </w:rPr>
              <w:t>根据甲方的要求另行安排培训计划</w:t>
            </w:r>
            <w:r>
              <w:rPr>
                <w:rFonts w:hint="eastAsia" w:ascii="宋体" w:hAnsi="宋体" w:eastAsia="宋体" w:cs="宋体"/>
                <w:color w:val="000000" w:themeColor="text1"/>
                <w:sz w:val="24"/>
                <w:szCs w:val="24"/>
                <w:highlight w:val="none"/>
                <w:lang w:eastAsia="zh-CN"/>
                <w14:textFill>
                  <w14:solidFill>
                    <w14:schemeClr w14:val="tx1"/>
                  </w14:solidFill>
                </w14:textFill>
              </w:rPr>
              <w:t>，不收取额外培训费用</w:t>
            </w:r>
            <w:r>
              <w:rPr>
                <w:rFonts w:hint="eastAsia" w:ascii="宋体" w:hAnsi="宋体" w:eastAsia="宋体" w:cs="宋体"/>
                <w:color w:val="000000" w:themeColor="text1"/>
                <w:sz w:val="24"/>
                <w:szCs w:val="24"/>
                <w:highlight w:val="none"/>
                <w14:textFill>
                  <w14:solidFill>
                    <w14:schemeClr w14:val="tx1"/>
                  </w14:solidFill>
                </w14:textFill>
              </w:rPr>
              <w:t>。</w:t>
            </w:r>
          </w:p>
        </w:tc>
      </w:tr>
      <w:tr w14:paraId="66B7E3C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00" w:type="dxa"/>
            <w:noWrap w:val="0"/>
            <w:vAlign w:val="center"/>
          </w:tcPr>
          <w:p w14:paraId="6D1DCB3E">
            <w:pPr>
              <w:pStyle w:val="33"/>
              <w:snapToGrid w:val="0"/>
              <w:jc w:val="center"/>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九</w:t>
            </w:r>
          </w:p>
        </w:tc>
        <w:tc>
          <w:tcPr>
            <w:tcW w:w="8596" w:type="dxa"/>
            <w:noWrap w:val="0"/>
            <w:vAlign w:val="center"/>
          </w:tcPr>
          <w:p w14:paraId="7FC5A70C">
            <w:pPr>
              <w:keepNext w:val="0"/>
              <w:keepLines w:val="0"/>
              <w:widowControl/>
              <w:suppressLineNumbers w:val="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技术资料及服务</w:t>
            </w:r>
          </w:p>
        </w:tc>
      </w:tr>
      <w:tr w14:paraId="0ECBEE7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00" w:type="dxa"/>
            <w:noWrap w:val="0"/>
            <w:vAlign w:val="center"/>
          </w:tcPr>
          <w:p w14:paraId="74825FA4">
            <w:pPr>
              <w:pStyle w:val="33"/>
              <w:snapToGrid w:val="0"/>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p>
        </w:tc>
        <w:tc>
          <w:tcPr>
            <w:tcW w:w="8596" w:type="dxa"/>
            <w:noWrap w:val="0"/>
            <w:vAlign w:val="center"/>
          </w:tcPr>
          <w:p w14:paraId="7FC52FE9">
            <w:pPr>
              <w:keepNext w:val="0"/>
              <w:keepLines w:val="0"/>
              <w:widowControl/>
              <w:suppressLineNumbers w:val="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乙方提供所有软件的备份光盘、license及所有口令信息，同时提供这些软件安装、调试及相关维护所需要的所有硬件和软件工具以及上述光盘、软件、调试等说明书。不能提供上述内容的，则现场提供所有软件终生免费安装（含硬件更换后软件重新安装调试）、调试、维护服务。</w:t>
            </w:r>
          </w:p>
        </w:tc>
      </w:tr>
      <w:tr w14:paraId="148F77A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00" w:type="dxa"/>
            <w:noWrap w:val="0"/>
            <w:vAlign w:val="center"/>
          </w:tcPr>
          <w:p w14:paraId="31C285D4">
            <w:pPr>
              <w:pStyle w:val="33"/>
              <w:snapToGrid w:val="0"/>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w:t>
            </w:r>
          </w:p>
        </w:tc>
        <w:tc>
          <w:tcPr>
            <w:tcW w:w="8596" w:type="dxa"/>
            <w:noWrap w:val="0"/>
            <w:vAlign w:val="center"/>
          </w:tcPr>
          <w:p w14:paraId="50ADB706">
            <w:pPr>
              <w:keepNext w:val="0"/>
              <w:keepLines w:val="0"/>
              <w:widowControl/>
              <w:suppressLineNumbers w:val="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乙方提供货物电子版和纸质版的操作说明书、操作规程和维修手册。</w:t>
            </w:r>
          </w:p>
        </w:tc>
      </w:tr>
      <w:tr w14:paraId="6AF2C3F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00" w:type="dxa"/>
            <w:noWrap w:val="0"/>
            <w:vAlign w:val="center"/>
          </w:tcPr>
          <w:p w14:paraId="6F25E258">
            <w:pPr>
              <w:pStyle w:val="33"/>
              <w:snapToGrid w:val="0"/>
              <w:jc w:val="center"/>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3</w:t>
            </w:r>
          </w:p>
        </w:tc>
        <w:tc>
          <w:tcPr>
            <w:tcW w:w="8596" w:type="dxa"/>
            <w:noWrap w:val="0"/>
            <w:vAlign w:val="center"/>
          </w:tcPr>
          <w:p w14:paraId="512BD2A0">
            <w:pPr>
              <w:keepNext w:val="0"/>
              <w:keepLines w:val="0"/>
              <w:widowControl/>
              <w:suppressLineNumbers w:val="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乙方应提供免费软件升级服务。</w:t>
            </w:r>
          </w:p>
        </w:tc>
      </w:tr>
      <w:tr w14:paraId="1639227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00" w:type="dxa"/>
            <w:noWrap w:val="0"/>
            <w:vAlign w:val="center"/>
          </w:tcPr>
          <w:p w14:paraId="4EF8EE94">
            <w:pPr>
              <w:pStyle w:val="33"/>
              <w:snapToGrid w:val="0"/>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十</w:t>
            </w:r>
          </w:p>
        </w:tc>
        <w:tc>
          <w:tcPr>
            <w:tcW w:w="8596" w:type="dxa"/>
            <w:noWrap w:val="0"/>
            <w:vAlign w:val="center"/>
          </w:tcPr>
          <w:p w14:paraId="472E288A">
            <w:pPr>
              <w:keepNext w:val="0"/>
              <w:keepLines w:val="0"/>
              <w:widowControl/>
              <w:suppressLineNumbers w:val="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知识产权</w:t>
            </w:r>
          </w:p>
        </w:tc>
      </w:tr>
      <w:tr w14:paraId="510A35A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00" w:type="dxa"/>
            <w:noWrap w:val="0"/>
            <w:vAlign w:val="center"/>
          </w:tcPr>
          <w:p w14:paraId="35FDCE7C">
            <w:pPr>
              <w:pStyle w:val="33"/>
              <w:snapToGrid w:val="0"/>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p>
        </w:tc>
        <w:tc>
          <w:tcPr>
            <w:tcW w:w="8596" w:type="dxa"/>
            <w:noWrap w:val="0"/>
            <w:vAlign w:val="center"/>
          </w:tcPr>
          <w:p w14:paraId="690091EC">
            <w:pPr>
              <w:keepNext w:val="0"/>
              <w:keepLines w:val="0"/>
              <w:widowControl/>
              <w:suppressLineNumbers w:val="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乙方所提供的产品应具有知识产权的合法产品，且乙方保证所提供的货物或其任何一部分均不会侵犯任何第三方的知识产权。货物所含的软件甲方具有永久使用权。</w:t>
            </w:r>
          </w:p>
        </w:tc>
      </w:tr>
      <w:tr w14:paraId="3118297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00" w:type="dxa"/>
            <w:noWrap w:val="0"/>
            <w:vAlign w:val="center"/>
          </w:tcPr>
          <w:p w14:paraId="65F593E8">
            <w:pPr>
              <w:pStyle w:val="33"/>
              <w:snapToGrid w:val="0"/>
              <w:jc w:val="center"/>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十一</w:t>
            </w:r>
          </w:p>
        </w:tc>
        <w:tc>
          <w:tcPr>
            <w:tcW w:w="8596" w:type="dxa"/>
            <w:noWrap w:val="0"/>
            <w:vAlign w:val="center"/>
          </w:tcPr>
          <w:p w14:paraId="396D9C15">
            <w:pPr>
              <w:keepNext w:val="0"/>
              <w:keepLines w:val="0"/>
              <w:widowControl/>
              <w:suppressLineNumbers w:val="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报价方式</w:t>
            </w:r>
          </w:p>
        </w:tc>
      </w:tr>
      <w:tr w14:paraId="435564B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00" w:type="dxa"/>
            <w:noWrap w:val="0"/>
            <w:vAlign w:val="center"/>
          </w:tcPr>
          <w:p w14:paraId="244AD9CD">
            <w:pPr>
              <w:pStyle w:val="33"/>
              <w:snapToGrid w:val="0"/>
              <w:jc w:val="center"/>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1</w:t>
            </w:r>
          </w:p>
        </w:tc>
        <w:tc>
          <w:tcPr>
            <w:tcW w:w="8596" w:type="dxa"/>
            <w:noWrap w:val="0"/>
            <w:vAlign w:val="center"/>
          </w:tcPr>
          <w:p w14:paraId="0B2CB526">
            <w:pPr>
              <w:keepNext w:val="0"/>
              <w:keepLines w:val="0"/>
              <w:widowControl/>
              <w:suppressLineNumbers w:val="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所有投标价格为含税到用户人民币价（含货物应交纳的一切税费和伴随服务费）并进行分项报价；保修期后的维保费单独报价（不包括在投标价中），选购件单独分项报价（不包括在投标价中）。</w:t>
            </w:r>
          </w:p>
        </w:tc>
      </w:tr>
    </w:tbl>
    <w:p w14:paraId="18F453C1">
      <w:pPr>
        <w:pStyle w:val="59"/>
        <w:rPr>
          <w:rFonts w:hint="eastAsia" w:ascii="宋体" w:hAnsi="宋体"/>
          <w:color w:val="000000" w:themeColor="text1"/>
          <w:highlight w:val="none"/>
          <w14:textFill>
            <w14:solidFill>
              <w14:schemeClr w14:val="tx1"/>
            </w14:solidFill>
          </w14:textFill>
        </w:rPr>
      </w:pPr>
    </w:p>
    <w:p w14:paraId="224EDD30">
      <w:pPr>
        <w:pStyle w:val="59"/>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四、其他说明</w:t>
      </w:r>
      <w:bookmarkEnd w:id="17"/>
      <w:bookmarkEnd w:id="18"/>
    </w:p>
    <w:p w14:paraId="045B728C">
      <w:pPr>
        <w:autoSpaceDE w:val="0"/>
        <w:autoSpaceDN w:val="0"/>
        <w:adjustRightInd w:val="0"/>
        <w:spacing w:line="460" w:lineRule="atLeast"/>
        <w:ind w:firstLine="480" w:firstLineChars="200"/>
        <w:rPr>
          <w:rFonts w:hint="eastAsia" w:ascii="宋体" w:hAnsi="Times New Roman" w:eastAsia="宋体" w:cs="仿宋_GB2312"/>
          <w:b w:val="0"/>
          <w:color w:val="000000" w:themeColor="text1"/>
          <w:sz w:val="24"/>
          <w:szCs w:val="24"/>
          <w:highlight w:val="none"/>
          <w:lang w:val="zh-CN"/>
          <w14:textFill>
            <w14:solidFill>
              <w14:schemeClr w14:val="tx1"/>
            </w14:solidFill>
          </w14:textFill>
        </w:rPr>
      </w:pPr>
      <w:r>
        <w:rPr>
          <w:rFonts w:hint="eastAsia" w:ascii="宋体" w:eastAsia="宋体" w:cs="仿宋_GB2312"/>
          <w:b w:val="0"/>
          <w:color w:val="000000" w:themeColor="text1"/>
          <w:sz w:val="24"/>
          <w:szCs w:val="24"/>
          <w:highlight w:val="none"/>
          <w:lang w:val="zh-CN"/>
          <w14:textFill>
            <w14:solidFill>
              <w14:schemeClr w14:val="tx1"/>
            </w14:solidFill>
          </w14:textFill>
        </w:rPr>
        <w:t>1、投标设备若纳入中华人民共和国医疗器械监督管理的，第一类医疗器械必须具备食品药品监督管理部门颁发的医疗器械备案凭证；第二、三类医疗器械必须具备食品药品监督管理部门颁发的医疗器械注册证</w:t>
      </w:r>
      <w:r>
        <w:rPr>
          <w:rFonts w:hint="eastAsia" w:ascii="宋体" w:hAnsi="Times New Roman" w:eastAsia="宋体" w:cs="仿宋_GB2312"/>
          <w:b w:val="0"/>
          <w:color w:val="000000" w:themeColor="text1"/>
          <w:sz w:val="24"/>
          <w:szCs w:val="24"/>
          <w:highlight w:val="none"/>
          <w:lang w:val="zh-CN"/>
          <w14:textFill>
            <w14:solidFill>
              <w14:schemeClr w14:val="tx1"/>
            </w14:solidFill>
          </w14:textFill>
        </w:rPr>
        <w:t>。供应商未在投标文件偏离表中用明显字体予以声明的，均视为供应商投标设备符合本项规定，否则按验收不能通过，采购人给予退货、解除合同或经采购人同意换货处理，中标供应商自行承担由此造成的损失。</w:t>
      </w:r>
    </w:p>
    <w:p w14:paraId="145F63FD">
      <w:pPr>
        <w:autoSpaceDE w:val="0"/>
        <w:autoSpaceDN w:val="0"/>
        <w:adjustRightInd w:val="0"/>
        <w:spacing w:line="460" w:lineRule="atLeast"/>
        <w:ind w:firstLine="480" w:firstLineChars="200"/>
        <w:rPr>
          <w:rFonts w:hint="eastAsia" w:ascii="宋体" w:eastAsia="宋体" w:cs="仿宋_GB2312"/>
          <w:b w:val="0"/>
          <w:color w:val="000000" w:themeColor="text1"/>
          <w:sz w:val="24"/>
          <w:szCs w:val="24"/>
          <w:highlight w:val="none"/>
          <w:lang w:val="zh-CN"/>
          <w14:textFill>
            <w14:solidFill>
              <w14:schemeClr w14:val="tx1"/>
            </w14:solidFill>
          </w14:textFill>
        </w:rPr>
      </w:pPr>
      <w:r>
        <w:rPr>
          <w:rFonts w:hint="eastAsia" w:ascii="宋体" w:hAnsi="Times New Roman" w:eastAsia="宋体" w:cs="仿宋_GB2312"/>
          <w:b w:val="0"/>
          <w:color w:val="000000" w:themeColor="text1"/>
          <w:sz w:val="24"/>
          <w:szCs w:val="24"/>
          <w:highlight w:val="none"/>
          <w:lang w:val="zh-CN"/>
          <w14:textFill>
            <w14:solidFill>
              <w14:schemeClr w14:val="tx1"/>
            </w14:solidFill>
          </w14:textFill>
        </w:rPr>
        <w:t>2、供应商投标文件中须提供检测报告、产品合格证、产品说明等相关证明资</w:t>
      </w:r>
      <w:r>
        <w:rPr>
          <w:rFonts w:hint="eastAsia" w:ascii="宋体" w:eastAsia="宋体" w:cs="仿宋_GB2312"/>
          <w:b w:val="0"/>
          <w:color w:val="000000" w:themeColor="text1"/>
          <w:sz w:val="24"/>
          <w:szCs w:val="24"/>
          <w:highlight w:val="none"/>
          <w:lang w:val="zh-CN"/>
          <w14:textFill>
            <w14:solidFill>
              <w14:schemeClr w14:val="tx1"/>
            </w14:solidFill>
          </w14:textFill>
        </w:rPr>
        <w:t>料给予佐证。</w:t>
      </w:r>
    </w:p>
    <w:p w14:paraId="522CF5DB">
      <w:pPr>
        <w:autoSpaceDE w:val="0"/>
        <w:autoSpaceDN w:val="0"/>
        <w:adjustRightInd w:val="0"/>
        <w:spacing w:line="460" w:lineRule="atLeast"/>
        <w:ind w:firstLine="480" w:firstLineChars="200"/>
        <w:rPr>
          <w:rFonts w:hint="eastAsia" w:ascii="宋体" w:eastAsia="宋体" w:cs="仿宋_GB2312"/>
          <w:b w:val="0"/>
          <w:color w:val="000000" w:themeColor="text1"/>
          <w:sz w:val="24"/>
          <w:szCs w:val="24"/>
          <w:highlight w:val="none"/>
          <w:lang w:val="zh-CN"/>
          <w14:textFill>
            <w14:solidFill>
              <w14:schemeClr w14:val="tx1"/>
            </w14:solidFill>
          </w14:textFill>
        </w:rPr>
      </w:pPr>
      <w:r>
        <w:rPr>
          <w:rFonts w:hint="eastAsia" w:ascii="宋体" w:eastAsia="宋体" w:cs="仿宋_GB2312"/>
          <w:b w:val="0"/>
          <w:color w:val="000000" w:themeColor="text1"/>
          <w:sz w:val="24"/>
          <w:szCs w:val="24"/>
          <w:highlight w:val="none"/>
          <w:lang w:val="zh-CN"/>
          <w14:textFill>
            <w14:solidFill>
              <w14:schemeClr w14:val="tx1"/>
            </w14:solidFill>
          </w14:textFill>
        </w:rPr>
        <w:t>3、投标供应商需保证投标资料的真实性，供货时，采购人将进行如实核对，如查实投标资料有弄虚作假行为，将上报采购主管部门，废除其中标人资格并有保留追究责任的权利。</w:t>
      </w:r>
    </w:p>
    <w:p w14:paraId="0593C39B">
      <w:pPr>
        <w:autoSpaceDE w:val="0"/>
        <w:autoSpaceDN w:val="0"/>
        <w:adjustRightInd w:val="0"/>
        <w:spacing w:line="460" w:lineRule="atLeast"/>
        <w:ind w:firstLine="480" w:firstLineChars="200"/>
        <w:rPr>
          <w:rFonts w:hint="eastAsia" w:ascii="宋体" w:eastAsia="宋体" w:cs="仿宋_GB2312"/>
          <w:b w:val="0"/>
          <w:color w:val="000000" w:themeColor="text1"/>
          <w:sz w:val="24"/>
          <w:szCs w:val="24"/>
          <w:highlight w:val="none"/>
          <w:lang w:val="zh-CN"/>
          <w14:textFill>
            <w14:solidFill>
              <w14:schemeClr w14:val="tx1"/>
            </w14:solidFill>
          </w14:textFill>
        </w:rPr>
      </w:pPr>
      <w:r>
        <w:rPr>
          <w:rFonts w:hint="eastAsia" w:ascii="宋体" w:eastAsia="宋体" w:cs="仿宋_GB2312"/>
          <w:b w:val="0"/>
          <w:color w:val="000000" w:themeColor="text1"/>
          <w:sz w:val="24"/>
          <w:szCs w:val="24"/>
          <w:highlight w:val="none"/>
          <w:lang w:val="zh-CN"/>
          <w14:textFill>
            <w14:solidFill>
              <w14:schemeClr w14:val="tx1"/>
            </w14:solidFill>
          </w14:textFill>
        </w:rPr>
        <w:t>4、本项目采购人将对到货设备进行严格验收，供应商投标文件偏离表中未注明偏离，但实际到货设备达不到招标文件技术要求的，做验收不通过处理；供应商到货及安装、退货等所造成的损失自行承担，供应商须慎重投标。</w:t>
      </w:r>
    </w:p>
    <w:p w14:paraId="35FE0A24">
      <w:pPr>
        <w:autoSpaceDE w:val="0"/>
        <w:autoSpaceDN w:val="0"/>
        <w:adjustRightInd w:val="0"/>
        <w:spacing w:line="460" w:lineRule="atLeast"/>
        <w:ind w:firstLine="480" w:firstLineChars="200"/>
        <w:rPr>
          <w:rFonts w:hint="eastAsia" w:ascii="宋体" w:eastAsia="宋体" w:cs="仿宋_GB2312"/>
          <w:b w:val="0"/>
          <w:color w:val="000000" w:themeColor="text1"/>
          <w:sz w:val="24"/>
          <w:szCs w:val="24"/>
          <w:highlight w:val="none"/>
          <w:lang w:val="zh-CN"/>
          <w14:textFill>
            <w14:solidFill>
              <w14:schemeClr w14:val="tx1"/>
            </w14:solidFill>
          </w14:textFill>
        </w:rPr>
      </w:pPr>
      <w:r>
        <w:rPr>
          <w:rFonts w:hint="eastAsia" w:ascii="宋体" w:eastAsia="宋体" w:cs="仿宋_GB2312"/>
          <w:b w:val="0"/>
          <w:color w:val="000000" w:themeColor="text1"/>
          <w:sz w:val="24"/>
          <w:szCs w:val="24"/>
          <w:highlight w:val="none"/>
          <w:lang w:val="zh-CN"/>
          <w14:textFill>
            <w14:solidFill>
              <w14:schemeClr w14:val="tx1"/>
            </w14:solidFill>
          </w14:textFill>
        </w:rPr>
        <w:t>5、本次招标的货物如涉及国家规定强制认证的，供应商未在投标文件偏离表中用明显字体予以声明的，均视为供应商投标产品符合了强制认证规定（如工业产品生产许可证，3C认证等），中标供应商须在采购人对上述货物验收时提供相关证书证明资料（上述产品相关强制认证的证明文件投标时不需提供，招标文件另有要求的除外），否则按验收不能通过，采购人给予退货、解除合同或经采购人同意换货处理，中标供应商自行承担由此造成的损失。</w:t>
      </w:r>
    </w:p>
    <w:p w14:paraId="40718B23">
      <w:pPr>
        <w:pStyle w:val="59"/>
        <w:rPr>
          <w:rFonts w:hint="eastAsia" w:ascii="宋体" w:hAnsi="宋体"/>
          <w:color w:val="000000" w:themeColor="text1"/>
          <w:sz w:val="24"/>
          <w:szCs w:val="24"/>
          <w:highlight w:val="none"/>
          <w14:textFill>
            <w14:solidFill>
              <w14:schemeClr w14:val="tx1"/>
            </w14:solidFill>
          </w14:textFill>
        </w:rPr>
      </w:pPr>
      <w:bookmarkStart w:id="19" w:name="_Toc4124"/>
      <w:bookmarkStart w:id="20" w:name="_Toc8269"/>
      <w:r>
        <w:rPr>
          <w:rFonts w:hint="eastAsia" w:ascii="宋体" w:hAnsi="宋体"/>
          <w:color w:val="000000" w:themeColor="text1"/>
          <w:sz w:val="24"/>
          <w:szCs w:val="24"/>
          <w:highlight w:val="none"/>
          <w14:textFill>
            <w14:solidFill>
              <w14:schemeClr w14:val="tx1"/>
            </w14:solidFill>
          </w14:textFill>
        </w:rPr>
        <w:t>五、工作范围</w:t>
      </w:r>
      <w:bookmarkEnd w:id="19"/>
      <w:bookmarkEnd w:id="20"/>
    </w:p>
    <w:p w14:paraId="1F3C3FAE">
      <w:pPr>
        <w:autoSpaceDE w:val="0"/>
        <w:autoSpaceDN w:val="0"/>
        <w:adjustRightInd w:val="0"/>
        <w:spacing w:line="460" w:lineRule="atLeast"/>
        <w:ind w:firstLine="480" w:firstLineChars="200"/>
        <w:rPr>
          <w:rFonts w:hint="eastAsia" w:ascii="宋体" w:eastAsia="宋体" w:cs="仿宋_GB2312"/>
          <w:b w:val="0"/>
          <w:color w:val="000000" w:themeColor="text1"/>
          <w:sz w:val="24"/>
          <w:szCs w:val="24"/>
          <w:highlight w:val="none"/>
          <w:lang w:val="zh-CN"/>
          <w14:textFill>
            <w14:solidFill>
              <w14:schemeClr w14:val="tx1"/>
            </w14:solidFill>
          </w14:textFill>
        </w:rPr>
      </w:pPr>
      <w:r>
        <w:rPr>
          <w:rFonts w:hint="eastAsia" w:ascii="宋体" w:eastAsia="宋体" w:cs="仿宋_GB2312"/>
          <w:b w:val="0"/>
          <w:color w:val="000000" w:themeColor="text1"/>
          <w:sz w:val="24"/>
          <w:szCs w:val="24"/>
          <w:highlight w:val="none"/>
          <w:lang w:val="zh-CN"/>
          <w14:textFill>
            <w14:solidFill>
              <w14:schemeClr w14:val="tx1"/>
            </w14:solidFill>
          </w14:textFill>
        </w:rPr>
        <w:t>根据采购文件，各供应商须按国家有关标准及规范完成下列工作：</w:t>
      </w:r>
    </w:p>
    <w:p w14:paraId="5825F024">
      <w:pPr>
        <w:autoSpaceDE w:val="0"/>
        <w:autoSpaceDN w:val="0"/>
        <w:adjustRightInd w:val="0"/>
        <w:spacing w:line="460" w:lineRule="atLeast"/>
        <w:ind w:firstLine="480" w:firstLineChars="200"/>
        <w:rPr>
          <w:rFonts w:hint="eastAsia" w:ascii="宋体" w:eastAsia="宋体" w:cs="仿宋_GB2312"/>
          <w:b w:val="0"/>
          <w:color w:val="000000" w:themeColor="text1"/>
          <w:sz w:val="24"/>
          <w:szCs w:val="24"/>
          <w:highlight w:val="none"/>
          <w:lang w:val="zh-CN"/>
          <w14:textFill>
            <w14:solidFill>
              <w14:schemeClr w14:val="tx1"/>
            </w14:solidFill>
          </w14:textFill>
        </w:rPr>
      </w:pPr>
      <w:r>
        <w:rPr>
          <w:rFonts w:hint="eastAsia" w:ascii="宋体" w:eastAsia="宋体" w:cs="仿宋_GB2312"/>
          <w:b w:val="0"/>
          <w:color w:val="000000" w:themeColor="text1"/>
          <w:sz w:val="24"/>
          <w:szCs w:val="24"/>
          <w:highlight w:val="none"/>
          <w:lang w:val="zh-CN"/>
          <w14:textFill>
            <w14:solidFill>
              <w14:schemeClr w14:val="tx1"/>
            </w14:solidFill>
          </w14:textFill>
        </w:rPr>
        <w:t>1.提供完整成套的货物；</w:t>
      </w:r>
    </w:p>
    <w:p w14:paraId="19D2B318">
      <w:pPr>
        <w:autoSpaceDE w:val="0"/>
        <w:autoSpaceDN w:val="0"/>
        <w:adjustRightInd w:val="0"/>
        <w:spacing w:line="460" w:lineRule="atLeast"/>
        <w:ind w:firstLine="480" w:firstLineChars="200"/>
        <w:rPr>
          <w:rFonts w:hint="eastAsia" w:ascii="宋体" w:eastAsia="宋体" w:cs="仿宋_GB2312"/>
          <w:b w:val="0"/>
          <w:color w:val="000000" w:themeColor="text1"/>
          <w:sz w:val="24"/>
          <w:szCs w:val="24"/>
          <w:highlight w:val="none"/>
          <w:lang w:val="zh-CN"/>
          <w14:textFill>
            <w14:solidFill>
              <w14:schemeClr w14:val="tx1"/>
            </w14:solidFill>
          </w14:textFill>
        </w:rPr>
      </w:pPr>
      <w:r>
        <w:rPr>
          <w:rFonts w:hint="eastAsia" w:ascii="宋体" w:eastAsia="宋体" w:cs="仿宋_GB2312"/>
          <w:b w:val="0"/>
          <w:color w:val="000000" w:themeColor="text1"/>
          <w:sz w:val="24"/>
          <w:szCs w:val="24"/>
          <w:highlight w:val="none"/>
          <w:lang w:val="zh-CN"/>
          <w14:textFill>
            <w14:solidFill>
              <w14:schemeClr w14:val="tx1"/>
            </w14:solidFill>
          </w14:textFill>
        </w:rPr>
        <w:t>2.产品及相关附件的提供、运输、装卸、就位、安装、调试、检验、通过验收；</w:t>
      </w:r>
    </w:p>
    <w:p w14:paraId="5C5B0A26">
      <w:pPr>
        <w:autoSpaceDE w:val="0"/>
        <w:autoSpaceDN w:val="0"/>
        <w:adjustRightInd w:val="0"/>
        <w:spacing w:line="460" w:lineRule="atLeast"/>
        <w:ind w:firstLine="480" w:firstLineChars="200"/>
        <w:rPr>
          <w:rFonts w:hint="eastAsia" w:ascii="宋体" w:eastAsia="宋体" w:cs="仿宋_GB2312"/>
          <w:b w:val="0"/>
          <w:color w:val="000000" w:themeColor="text1"/>
          <w:sz w:val="24"/>
          <w:szCs w:val="24"/>
          <w:highlight w:val="none"/>
          <w:lang w:val="zh-CN"/>
          <w14:textFill>
            <w14:solidFill>
              <w14:schemeClr w14:val="tx1"/>
            </w14:solidFill>
          </w14:textFill>
        </w:rPr>
      </w:pPr>
      <w:r>
        <w:rPr>
          <w:rFonts w:hint="eastAsia" w:ascii="宋体" w:eastAsia="宋体" w:cs="仿宋_GB2312"/>
          <w:b w:val="0"/>
          <w:color w:val="000000" w:themeColor="text1"/>
          <w:sz w:val="24"/>
          <w:szCs w:val="24"/>
          <w:highlight w:val="none"/>
          <w:lang w:val="zh-CN"/>
          <w14:textFill>
            <w14:solidFill>
              <w14:schemeClr w14:val="tx1"/>
            </w14:solidFill>
          </w14:textFill>
        </w:rPr>
        <w:t>3.完成各项调试、检验、测试工作，并在采购人的配合下通过的验收；提供各种数据资料；直至通过验收。</w:t>
      </w:r>
    </w:p>
    <w:p w14:paraId="09178BF3">
      <w:pPr>
        <w:autoSpaceDE w:val="0"/>
        <w:autoSpaceDN w:val="0"/>
        <w:adjustRightInd w:val="0"/>
        <w:spacing w:line="460" w:lineRule="atLeast"/>
        <w:ind w:firstLine="480" w:firstLineChars="200"/>
        <w:rPr>
          <w:rFonts w:hint="eastAsia" w:ascii="宋体" w:eastAsia="宋体" w:cs="仿宋_GB2312"/>
          <w:b w:val="0"/>
          <w:color w:val="000000" w:themeColor="text1"/>
          <w:sz w:val="24"/>
          <w:szCs w:val="24"/>
          <w:highlight w:val="none"/>
          <w:lang w:val="zh-CN"/>
          <w14:textFill>
            <w14:solidFill>
              <w14:schemeClr w14:val="tx1"/>
            </w14:solidFill>
          </w14:textFill>
        </w:rPr>
      </w:pPr>
      <w:r>
        <w:rPr>
          <w:rFonts w:hint="eastAsia" w:ascii="宋体" w:eastAsia="宋体" w:cs="仿宋_GB2312"/>
          <w:b w:val="0"/>
          <w:color w:val="000000" w:themeColor="text1"/>
          <w:sz w:val="24"/>
          <w:szCs w:val="24"/>
          <w:highlight w:val="none"/>
          <w:lang w:val="zh-CN"/>
          <w14:textFill>
            <w14:solidFill>
              <w14:schemeClr w14:val="tx1"/>
            </w14:solidFill>
          </w14:textFill>
        </w:rPr>
        <w:t>4.对最终使用单位的操作人员及维修人员进行技术培训；</w:t>
      </w:r>
    </w:p>
    <w:p w14:paraId="3712D67D">
      <w:pPr>
        <w:autoSpaceDE w:val="0"/>
        <w:autoSpaceDN w:val="0"/>
        <w:adjustRightInd w:val="0"/>
        <w:spacing w:line="460" w:lineRule="atLeast"/>
        <w:ind w:firstLine="480" w:firstLineChars="200"/>
        <w:rPr>
          <w:rFonts w:hint="eastAsia" w:ascii="宋体" w:eastAsia="宋体" w:cs="仿宋_GB2312"/>
          <w:b w:val="0"/>
          <w:color w:val="000000" w:themeColor="text1"/>
          <w:sz w:val="24"/>
          <w:szCs w:val="24"/>
          <w:highlight w:val="none"/>
          <w:lang w:val="zh-CN"/>
          <w14:textFill>
            <w14:solidFill>
              <w14:schemeClr w14:val="tx1"/>
            </w14:solidFill>
          </w14:textFill>
        </w:rPr>
      </w:pPr>
      <w:r>
        <w:rPr>
          <w:rFonts w:hint="eastAsia" w:ascii="宋体" w:eastAsia="宋体" w:cs="仿宋_GB2312"/>
          <w:b w:val="0"/>
          <w:color w:val="000000" w:themeColor="text1"/>
          <w:sz w:val="24"/>
          <w:szCs w:val="24"/>
          <w:highlight w:val="none"/>
          <w:lang w:val="zh-CN"/>
          <w14:textFill>
            <w14:solidFill>
              <w14:schemeClr w14:val="tx1"/>
            </w14:solidFill>
          </w14:textFill>
        </w:rPr>
        <w:t>5.保修期内的维保及维修；</w:t>
      </w:r>
    </w:p>
    <w:p w14:paraId="7EBF17A8">
      <w:pPr>
        <w:autoSpaceDE w:val="0"/>
        <w:autoSpaceDN w:val="0"/>
        <w:adjustRightInd w:val="0"/>
        <w:spacing w:line="460" w:lineRule="atLeast"/>
        <w:ind w:firstLine="480" w:firstLineChars="200"/>
        <w:rPr>
          <w:rFonts w:hint="eastAsia" w:ascii="宋体" w:eastAsia="宋体" w:cs="仿宋_GB2312"/>
          <w:b w:val="0"/>
          <w:color w:val="000000" w:themeColor="text1"/>
          <w:sz w:val="24"/>
          <w:szCs w:val="24"/>
          <w:highlight w:val="none"/>
          <w:lang w:val="zh-CN"/>
          <w14:textFill>
            <w14:solidFill>
              <w14:schemeClr w14:val="tx1"/>
            </w14:solidFill>
          </w14:textFill>
        </w:rPr>
      </w:pPr>
      <w:r>
        <w:rPr>
          <w:rFonts w:hint="eastAsia" w:ascii="宋体" w:eastAsia="宋体" w:cs="仿宋_GB2312"/>
          <w:b w:val="0"/>
          <w:color w:val="000000" w:themeColor="text1"/>
          <w:sz w:val="24"/>
          <w:szCs w:val="24"/>
          <w:highlight w:val="none"/>
          <w:lang w:val="zh-CN"/>
          <w14:textFill>
            <w14:solidFill>
              <w14:schemeClr w14:val="tx1"/>
            </w14:solidFill>
          </w14:textFill>
        </w:rPr>
        <w:t>6.售后服务的措施及承诺。</w:t>
      </w:r>
    </w:p>
    <w:p w14:paraId="1BF75B10">
      <w:pPr>
        <w:autoSpaceDE w:val="0"/>
        <w:autoSpaceDN w:val="0"/>
        <w:adjustRightInd w:val="0"/>
        <w:spacing w:line="460" w:lineRule="atLeast"/>
        <w:ind w:firstLine="480" w:firstLineChars="200"/>
        <w:rPr>
          <w:rFonts w:hint="eastAsia" w:ascii="宋体" w:eastAsia="宋体" w:cs="仿宋_GB2312"/>
          <w:b w:val="0"/>
          <w:color w:val="000000" w:themeColor="text1"/>
          <w:sz w:val="24"/>
          <w:szCs w:val="24"/>
          <w:highlight w:val="none"/>
          <w:lang w:val="zh-CN"/>
          <w14:textFill>
            <w14:solidFill>
              <w14:schemeClr w14:val="tx1"/>
            </w14:solidFill>
          </w14:textFill>
        </w:rPr>
      </w:pPr>
      <w:r>
        <w:rPr>
          <w:rFonts w:hint="eastAsia" w:ascii="宋体" w:eastAsia="宋体" w:cs="仿宋_GB2312"/>
          <w:b w:val="0"/>
          <w:color w:val="000000" w:themeColor="text1"/>
          <w:sz w:val="24"/>
          <w:szCs w:val="24"/>
          <w:highlight w:val="none"/>
          <w:lang w:val="zh-CN"/>
          <w14:textFill>
            <w14:solidFill>
              <w14:schemeClr w14:val="tx1"/>
            </w14:solidFill>
          </w14:textFill>
        </w:rPr>
        <w:t>以上工作内容的费用均包含在报价总价中。</w:t>
      </w:r>
    </w:p>
    <w:p w14:paraId="761FF306">
      <w:pPr>
        <w:spacing w:line="360" w:lineRule="auto"/>
        <w:jc w:val="both"/>
        <w:outlineLvl w:val="0"/>
        <w:rPr>
          <w:b/>
          <w:color w:val="000000" w:themeColor="text1"/>
          <w:sz w:val="40"/>
          <w:szCs w:val="40"/>
          <w:highlight w:val="none"/>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12" w:charSpace="0"/>
        </w:sectPr>
      </w:pPr>
    </w:p>
    <w:p w14:paraId="349EC0BA">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 xml:space="preserve">第四部分   </w:t>
      </w:r>
      <w:bookmarkStart w:id="21" w:name="_Toc184313298"/>
      <w:bookmarkEnd w:id="21"/>
      <w:bookmarkStart w:id="22" w:name="_Toc184313290"/>
      <w:bookmarkEnd w:id="22"/>
      <w:bookmarkStart w:id="23" w:name="_Toc184310299"/>
      <w:bookmarkEnd w:id="23"/>
      <w:bookmarkStart w:id="24" w:name="_Toc184312106"/>
      <w:bookmarkEnd w:id="24"/>
      <w:bookmarkStart w:id="25" w:name="_Toc184313238"/>
      <w:bookmarkEnd w:id="25"/>
      <w:bookmarkStart w:id="26" w:name="_Toc184310324"/>
      <w:bookmarkEnd w:id="26"/>
      <w:bookmarkStart w:id="27" w:name="_Toc184314436"/>
      <w:bookmarkEnd w:id="27"/>
      <w:bookmarkStart w:id="28" w:name="_Toc184308075"/>
      <w:bookmarkEnd w:id="28"/>
      <w:bookmarkStart w:id="29" w:name="_Toc184313256"/>
      <w:bookmarkEnd w:id="29"/>
      <w:bookmarkStart w:id="30" w:name="_Toc184308080"/>
      <w:bookmarkEnd w:id="30"/>
      <w:bookmarkStart w:id="31" w:name="_Toc184313244"/>
      <w:bookmarkEnd w:id="31"/>
      <w:bookmarkStart w:id="32" w:name="_Toc184314429"/>
      <w:bookmarkEnd w:id="32"/>
      <w:bookmarkStart w:id="33" w:name="_Toc184310332"/>
      <w:bookmarkEnd w:id="33"/>
      <w:bookmarkStart w:id="34" w:name="_Toc184313259"/>
      <w:bookmarkEnd w:id="34"/>
      <w:bookmarkStart w:id="35" w:name="_Toc184314451"/>
      <w:bookmarkEnd w:id="35"/>
      <w:bookmarkStart w:id="36" w:name="_Toc184314449"/>
      <w:bookmarkEnd w:id="36"/>
      <w:bookmarkStart w:id="37" w:name="_Toc184314419"/>
      <w:bookmarkEnd w:id="37"/>
      <w:bookmarkStart w:id="38" w:name="_Toc184313268"/>
      <w:bookmarkEnd w:id="38"/>
      <w:bookmarkStart w:id="39" w:name="_Toc184314469"/>
      <w:bookmarkEnd w:id="39"/>
      <w:bookmarkStart w:id="40" w:name="_Toc184314482"/>
      <w:bookmarkEnd w:id="40"/>
      <w:bookmarkStart w:id="41" w:name="_Toc184308040"/>
      <w:bookmarkEnd w:id="41"/>
      <w:bookmarkStart w:id="42" w:name="_Toc184310304"/>
      <w:bookmarkEnd w:id="42"/>
      <w:bookmarkStart w:id="43" w:name="_Toc184310322"/>
      <w:bookmarkEnd w:id="43"/>
      <w:bookmarkStart w:id="44" w:name="_Toc184310334"/>
      <w:bookmarkEnd w:id="44"/>
      <w:bookmarkStart w:id="45" w:name="_Toc184312088"/>
      <w:bookmarkEnd w:id="45"/>
      <w:bookmarkStart w:id="46" w:name="_Toc184313282"/>
      <w:bookmarkEnd w:id="46"/>
      <w:bookmarkStart w:id="47" w:name="_Toc184313288"/>
      <w:bookmarkEnd w:id="47"/>
      <w:bookmarkStart w:id="48" w:name="_Toc184308073"/>
      <w:bookmarkEnd w:id="48"/>
      <w:bookmarkStart w:id="49" w:name="_Toc184314420"/>
      <w:bookmarkEnd w:id="49"/>
      <w:bookmarkStart w:id="50" w:name="_Toc184312075"/>
      <w:bookmarkEnd w:id="50"/>
      <w:bookmarkStart w:id="51" w:name="_Toc184313251"/>
      <w:bookmarkEnd w:id="51"/>
      <w:bookmarkStart w:id="52" w:name="_Toc184312086"/>
      <w:bookmarkEnd w:id="52"/>
      <w:bookmarkStart w:id="53" w:name="_Toc184310331"/>
      <w:bookmarkEnd w:id="53"/>
      <w:bookmarkStart w:id="54" w:name="_Toc184312119"/>
      <w:bookmarkEnd w:id="54"/>
      <w:bookmarkStart w:id="55" w:name="_Toc184313300"/>
      <w:bookmarkEnd w:id="55"/>
      <w:bookmarkStart w:id="56" w:name="_Toc184314413"/>
      <w:bookmarkEnd w:id="56"/>
      <w:bookmarkStart w:id="57" w:name="_Toc184312100"/>
      <w:bookmarkEnd w:id="57"/>
      <w:bookmarkStart w:id="58" w:name="_Toc184308091"/>
      <w:bookmarkEnd w:id="58"/>
      <w:bookmarkStart w:id="59" w:name="_Toc184313260"/>
      <w:bookmarkEnd w:id="59"/>
      <w:bookmarkStart w:id="60" w:name="_Toc184312129"/>
      <w:bookmarkEnd w:id="60"/>
      <w:bookmarkStart w:id="61" w:name="_Toc184313273"/>
      <w:bookmarkEnd w:id="61"/>
      <w:bookmarkStart w:id="62" w:name="_Toc184310292"/>
      <w:bookmarkEnd w:id="62"/>
      <w:bookmarkStart w:id="63" w:name="_Toc184313305"/>
      <w:bookmarkEnd w:id="63"/>
      <w:bookmarkStart w:id="64" w:name="_Toc184308071"/>
      <w:bookmarkEnd w:id="64"/>
      <w:bookmarkStart w:id="65" w:name="_Toc184308108"/>
      <w:bookmarkEnd w:id="65"/>
      <w:bookmarkStart w:id="66" w:name="_Toc184310303"/>
      <w:bookmarkEnd w:id="66"/>
      <w:bookmarkStart w:id="67" w:name="_Toc184314457"/>
      <w:bookmarkEnd w:id="67"/>
      <w:bookmarkStart w:id="68" w:name="_Toc184313292"/>
      <w:bookmarkEnd w:id="68"/>
      <w:bookmarkStart w:id="69" w:name="_Toc184312093"/>
      <w:bookmarkEnd w:id="69"/>
      <w:bookmarkStart w:id="70" w:name="_Toc184310288"/>
      <w:bookmarkEnd w:id="70"/>
      <w:bookmarkStart w:id="71" w:name="_Toc184308059"/>
      <w:bookmarkEnd w:id="71"/>
      <w:bookmarkStart w:id="72" w:name="_Toc184312114"/>
      <w:bookmarkEnd w:id="72"/>
      <w:bookmarkStart w:id="73" w:name="_Toc184308100"/>
      <w:bookmarkEnd w:id="73"/>
      <w:bookmarkStart w:id="74" w:name="_Toc184308093"/>
      <w:bookmarkEnd w:id="74"/>
      <w:bookmarkStart w:id="75" w:name="_Toc184308088"/>
      <w:bookmarkEnd w:id="75"/>
      <w:bookmarkStart w:id="76" w:name="_Toc184308087"/>
      <w:bookmarkEnd w:id="76"/>
      <w:bookmarkStart w:id="77" w:name="_Toc184312110"/>
      <w:bookmarkEnd w:id="77"/>
      <w:bookmarkStart w:id="78" w:name="_Toc184313265"/>
      <w:bookmarkEnd w:id="78"/>
      <w:bookmarkStart w:id="79" w:name="_Toc184310327"/>
      <w:bookmarkEnd w:id="79"/>
      <w:bookmarkStart w:id="80" w:name="_Toc184312105"/>
      <w:bookmarkEnd w:id="80"/>
      <w:bookmarkStart w:id="81" w:name="_Toc184313296"/>
      <w:bookmarkEnd w:id="81"/>
      <w:bookmarkStart w:id="82" w:name="_Toc184312082"/>
      <w:bookmarkEnd w:id="82"/>
      <w:bookmarkStart w:id="83" w:name="_Toc184314480"/>
      <w:bookmarkEnd w:id="83"/>
      <w:bookmarkStart w:id="84" w:name="_Toc184314421"/>
      <w:bookmarkEnd w:id="84"/>
      <w:bookmarkStart w:id="85" w:name="_Toc184308099"/>
      <w:bookmarkEnd w:id="85"/>
      <w:bookmarkStart w:id="86" w:name="_Toc184314475"/>
      <w:bookmarkEnd w:id="86"/>
      <w:bookmarkStart w:id="87" w:name="_Toc184308042"/>
      <w:bookmarkEnd w:id="87"/>
      <w:bookmarkStart w:id="88" w:name="_Toc184308038"/>
      <w:bookmarkEnd w:id="88"/>
      <w:bookmarkStart w:id="89" w:name="_Toc184312087"/>
      <w:bookmarkEnd w:id="89"/>
      <w:bookmarkStart w:id="90" w:name="_Toc184308065"/>
      <w:bookmarkEnd w:id="90"/>
      <w:bookmarkStart w:id="91" w:name="_Toc184313284"/>
      <w:bookmarkEnd w:id="91"/>
      <w:bookmarkStart w:id="92" w:name="_Toc184313272"/>
      <w:bookmarkEnd w:id="92"/>
      <w:bookmarkStart w:id="93" w:name="_Toc184312126"/>
      <w:bookmarkEnd w:id="93"/>
      <w:bookmarkStart w:id="94" w:name="_Toc184312121"/>
      <w:bookmarkEnd w:id="94"/>
      <w:bookmarkStart w:id="95" w:name="_Toc184314466"/>
      <w:bookmarkEnd w:id="95"/>
      <w:bookmarkStart w:id="96" w:name="_Toc184312095"/>
      <w:bookmarkEnd w:id="96"/>
      <w:bookmarkStart w:id="97" w:name="_Toc184310336"/>
      <w:bookmarkEnd w:id="97"/>
      <w:bookmarkStart w:id="98" w:name="_Toc184308076"/>
      <w:bookmarkEnd w:id="98"/>
      <w:bookmarkStart w:id="99" w:name="_Toc184310313"/>
      <w:bookmarkEnd w:id="99"/>
      <w:bookmarkStart w:id="100" w:name="_Toc184314454"/>
      <w:bookmarkEnd w:id="100"/>
      <w:bookmarkStart w:id="101" w:name="_Toc184314440"/>
      <w:bookmarkEnd w:id="101"/>
      <w:bookmarkStart w:id="102" w:name="_Toc184308063"/>
      <w:bookmarkEnd w:id="102"/>
      <w:bookmarkStart w:id="103" w:name="_Toc184313240"/>
      <w:bookmarkEnd w:id="103"/>
      <w:bookmarkStart w:id="104" w:name="_Toc184308082"/>
      <w:bookmarkEnd w:id="104"/>
      <w:bookmarkStart w:id="105" w:name="_Toc184310340"/>
      <w:bookmarkEnd w:id="105"/>
      <w:bookmarkStart w:id="106" w:name="_Toc184313302"/>
      <w:bookmarkEnd w:id="106"/>
      <w:bookmarkStart w:id="107" w:name="_Toc184310326"/>
      <w:bookmarkEnd w:id="107"/>
      <w:bookmarkStart w:id="108" w:name="_Toc184312069"/>
      <w:bookmarkEnd w:id="108"/>
      <w:bookmarkStart w:id="109" w:name="_Toc184312083"/>
      <w:bookmarkEnd w:id="109"/>
      <w:bookmarkStart w:id="110" w:name="_Toc184310335"/>
      <w:bookmarkEnd w:id="110"/>
      <w:bookmarkStart w:id="111" w:name="_Toc184312118"/>
      <w:bookmarkEnd w:id="111"/>
      <w:bookmarkStart w:id="112" w:name="_Toc184312089"/>
      <w:bookmarkEnd w:id="112"/>
      <w:bookmarkStart w:id="113" w:name="_Toc184314465"/>
      <w:bookmarkEnd w:id="113"/>
      <w:bookmarkStart w:id="114" w:name="_Toc184310318"/>
      <w:bookmarkEnd w:id="114"/>
      <w:bookmarkStart w:id="115" w:name="_Toc184313241"/>
      <w:bookmarkEnd w:id="115"/>
      <w:bookmarkStart w:id="116" w:name="_Toc184308101"/>
      <w:bookmarkEnd w:id="116"/>
      <w:bookmarkStart w:id="117" w:name="_Toc184313294"/>
      <w:bookmarkEnd w:id="117"/>
      <w:bookmarkStart w:id="118" w:name="_Toc184313264"/>
      <w:bookmarkEnd w:id="118"/>
      <w:bookmarkStart w:id="119" w:name="_Toc184312137"/>
      <w:bookmarkEnd w:id="119"/>
      <w:bookmarkStart w:id="120" w:name="_Toc184313276"/>
      <w:bookmarkEnd w:id="120"/>
      <w:bookmarkStart w:id="121" w:name="_Toc184310278"/>
      <w:bookmarkEnd w:id="121"/>
      <w:bookmarkStart w:id="122" w:name="_Toc184314435"/>
      <w:bookmarkEnd w:id="122"/>
      <w:bookmarkStart w:id="123" w:name="_Toc184308089"/>
      <w:bookmarkEnd w:id="123"/>
      <w:bookmarkStart w:id="124" w:name="_Toc184308058"/>
      <w:bookmarkEnd w:id="124"/>
      <w:bookmarkStart w:id="125" w:name="_Toc184312092"/>
      <w:bookmarkEnd w:id="125"/>
      <w:bookmarkStart w:id="126" w:name="_Toc184313279"/>
      <w:bookmarkEnd w:id="126"/>
      <w:bookmarkStart w:id="127" w:name="_Toc184312067"/>
      <w:bookmarkEnd w:id="127"/>
      <w:bookmarkStart w:id="128" w:name="_Toc184310273"/>
      <w:bookmarkEnd w:id="128"/>
      <w:bookmarkStart w:id="129" w:name="_Toc184313281"/>
      <w:bookmarkEnd w:id="129"/>
      <w:bookmarkStart w:id="130" w:name="_Toc184310341"/>
      <w:bookmarkEnd w:id="130"/>
      <w:bookmarkStart w:id="131" w:name="_Toc184314412"/>
      <w:bookmarkEnd w:id="131"/>
      <w:bookmarkStart w:id="132" w:name="_Toc184310316"/>
      <w:bookmarkEnd w:id="132"/>
      <w:bookmarkStart w:id="133" w:name="_Toc184308104"/>
      <w:bookmarkEnd w:id="133"/>
      <w:bookmarkStart w:id="134" w:name="_Toc184312117"/>
      <w:bookmarkEnd w:id="134"/>
      <w:bookmarkStart w:id="135" w:name="_Toc184312102"/>
      <w:bookmarkEnd w:id="135"/>
      <w:bookmarkStart w:id="136" w:name="_Toc184312122"/>
      <w:bookmarkEnd w:id="136"/>
      <w:bookmarkStart w:id="137" w:name="_Toc184313283"/>
      <w:bookmarkEnd w:id="137"/>
      <w:bookmarkStart w:id="138" w:name="_Toc184312072"/>
      <w:bookmarkEnd w:id="138"/>
      <w:bookmarkStart w:id="139" w:name="_Toc184314441"/>
      <w:bookmarkEnd w:id="139"/>
      <w:bookmarkStart w:id="140" w:name="_Toc184313271"/>
      <w:bookmarkEnd w:id="140"/>
      <w:bookmarkStart w:id="141" w:name="_Toc184312134"/>
      <w:bookmarkEnd w:id="141"/>
      <w:bookmarkStart w:id="142" w:name="_Toc184312085"/>
      <w:bookmarkEnd w:id="142"/>
      <w:bookmarkStart w:id="143" w:name="_Toc184308046"/>
      <w:bookmarkEnd w:id="143"/>
      <w:bookmarkStart w:id="144" w:name="_Toc184308107"/>
      <w:bookmarkEnd w:id="144"/>
      <w:bookmarkStart w:id="145" w:name="_Toc184313262"/>
      <w:bookmarkEnd w:id="145"/>
      <w:bookmarkStart w:id="146" w:name="_Toc184310297"/>
      <w:bookmarkEnd w:id="146"/>
      <w:bookmarkStart w:id="147" w:name="_Toc184312079"/>
      <w:bookmarkEnd w:id="147"/>
      <w:bookmarkStart w:id="148" w:name="_Toc184312139"/>
      <w:bookmarkEnd w:id="148"/>
      <w:bookmarkStart w:id="149" w:name="_Toc184314456"/>
      <w:bookmarkEnd w:id="149"/>
      <w:bookmarkStart w:id="150" w:name="_Toc184310317"/>
      <w:bookmarkEnd w:id="150"/>
      <w:bookmarkStart w:id="151" w:name="_Toc184314468"/>
      <w:bookmarkEnd w:id="151"/>
      <w:bookmarkStart w:id="152" w:name="_Toc184310289"/>
      <w:bookmarkEnd w:id="152"/>
      <w:bookmarkStart w:id="153" w:name="_Toc184314459"/>
      <w:bookmarkEnd w:id="153"/>
      <w:bookmarkStart w:id="154" w:name="_Toc184312074"/>
      <w:bookmarkEnd w:id="154"/>
      <w:bookmarkStart w:id="155" w:name="_Toc184313277"/>
      <w:bookmarkEnd w:id="155"/>
      <w:bookmarkStart w:id="156" w:name="_Toc184314443"/>
      <w:bookmarkEnd w:id="156"/>
      <w:bookmarkStart w:id="157" w:name="_Toc184313274"/>
      <w:bookmarkEnd w:id="157"/>
      <w:bookmarkStart w:id="158" w:name="_Toc184310272"/>
      <w:bookmarkEnd w:id="158"/>
      <w:bookmarkStart w:id="159" w:name="_Toc184312084"/>
      <w:bookmarkEnd w:id="159"/>
      <w:bookmarkStart w:id="160" w:name="_Toc184308048"/>
      <w:bookmarkEnd w:id="160"/>
      <w:bookmarkStart w:id="161" w:name="_Toc184308098"/>
      <w:bookmarkEnd w:id="161"/>
      <w:bookmarkStart w:id="162" w:name="_Toc184314463"/>
      <w:bookmarkEnd w:id="162"/>
      <w:bookmarkStart w:id="163" w:name="_Toc184312123"/>
      <w:bookmarkEnd w:id="163"/>
      <w:bookmarkStart w:id="164" w:name="_Toc184314416"/>
      <w:bookmarkEnd w:id="164"/>
      <w:bookmarkStart w:id="165" w:name="_Toc184313255"/>
      <w:bookmarkEnd w:id="165"/>
      <w:bookmarkStart w:id="166" w:name="_Toc184313269"/>
      <w:bookmarkEnd w:id="166"/>
      <w:bookmarkStart w:id="167" w:name="_Toc184310337"/>
      <w:bookmarkEnd w:id="167"/>
      <w:bookmarkStart w:id="168" w:name="_Toc184314430"/>
      <w:bookmarkEnd w:id="168"/>
      <w:bookmarkStart w:id="169" w:name="_Toc184310281"/>
      <w:bookmarkEnd w:id="169"/>
      <w:bookmarkStart w:id="170" w:name="_Toc184314471"/>
      <w:bookmarkEnd w:id="170"/>
      <w:bookmarkStart w:id="171" w:name="_Toc184314424"/>
      <w:bookmarkEnd w:id="171"/>
      <w:bookmarkStart w:id="172" w:name="_Toc184310305"/>
      <w:bookmarkEnd w:id="172"/>
      <w:bookmarkStart w:id="173" w:name="_Toc184312136"/>
      <w:bookmarkEnd w:id="173"/>
      <w:bookmarkStart w:id="174" w:name="_Toc184310282"/>
      <w:bookmarkEnd w:id="174"/>
      <w:bookmarkStart w:id="175" w:name="_Toc184310328"/>
      <w:bookmarkEnd w:id="175"/>
      <w:bookmarkStart w:id="176" w:name="_Toc184308083"/>
      <w:bookmarkEnd w:id="176"/>
      <w:bookmarkStart w:id="177" w:name="_Toc184313261"/>
      <w:bookmarkEnd w:id="177"/>
      <w:bookmarkStart w:id="178" w:name="_Toc184312090"/>
      <w:bookmarkEnd w:id="178"/>
      <w:bookmarkStart w:id="179" w:name="_Toc184310275"/>
      <w:bookmarkEnd w:id="179"/>
      <w:bookmarkStart w:id="180" w:name="_Toc184308084"/>
      <w:bookmarkEnd w:id="180"/>
      <w:bookmarkStart w:id="181" w:name="_Toc184313252"/>
      <w:bookmarkEnd w:id="181"/>
      <w:bookmarkStart w:id="182" w:name="_Toc184314433"/>
      <w:bookmarkEnd w:id="182"/>
      <w:bookmarkStart w:id="183" w:name="_Toc184313310"/>
      <w:bookmarkEnd w:id="183"/>
      <w:bookmarkStart w:id="184" w:name="_Toc184313243"/>
      <w:bookmarkEnd w:id="184"/>
      <w:bookmarkStart w:id="185" w:name="_Toc184313299"/>
      <w:bookmarkEnd w:id="185"/>
      <w:bookmarkStart w:id="186" w:name="_Toc184314422"/>
      <w:bookmarkEnd w:id="186"/>
      <w:bookmarkStart w:id="187" w:name="_Toc184313250"/>
      <w:bookmarkEnd w:id="187"/>
      <w:bookmarkStart w:id="188" w:name="_Toc184314473"/>
      <w:bookmarkEnd w:id="188"/>
      <w:bookmarkStart w:id="189" w:name="_Toc184310311"/>
      <w:bookmarkEnd w:id="189"/>
      <w:bookmarkStart w:id="190" w:name="_Toc184314444"/>
      <w:bookmarkEnd w:id="190"/>
      <w:bookmarkStart w:id="191" w:name="_Toc184312091"/>
      <w:bookmarkEnd w:id="191"/>
      <w:bookmarkStart w:id="192" w:name="_Toc184313245"/>
      <w:bookmarkEnd w:id="192"/>
      <w:bookmarkStart w:id="193" w:name="_Toc184308103"/>
      <w:bookmarkEnd w:id="193"/>
      <w:bookmarkStart w:id="194" w:name="_Toc184313248"/>
      <w:bookmarkEnd w:id="194"/>
      <w:bookmarkStart w:id="195" w:name="_Toc184308085"/>
      <w:bookmarkEnd w:id="195"/>
      <w:bookmarkStart w:id="196" w:name="_Toc184314476"/>
      <w:bookmarkEnd w:id="196"/>
      <w:bookmarkStart w:id="197" w:name="_Toc184313307"/>
      <w:bookmarkEnd w:id="197"/>
      <w:bookmarkStart w:id="198" w:name="_Toc184308078"/>
      <w:bookmarkEnd w:id="198"/>
      <w:bookmarkStart w:id="199" w:name="_Toc184314418"/>
      <w:bookmarkEnd w:id="199"/>
      <w:bookmarkStart w:id="200" w:name="_Toc184312111"/>
      <w:bookmarkEnd w:id="200"/>
      <w:bookmarkStart w:id="201" w:name="_Toc184310333"/>
      <w:bookmarkEnd w:id="201"/>
      <w:bookmarkStart w:id="202" w:name="_Toc184308096"/>
      <w:bookmarkEnd w:id="202"/>
      <w:bookmarkStart w:id="203" w:name="_Toc184312098"/>
      <w:bookmarkEnd w:id="203"/>
      <w:bookmarkStart w:id="204" w:name="_Toc184310293"/>
      <w:bookmarkEnd w:id="204"/>
      <w:bookmarkStart w:id="205" w:name="_Toc184310329"/>
      <w:bookmarkEnd w:id="205"/>
      <w:bookmarkStart w:id="206" w:name="_Toc184312132"/>
      <w:bookmarkEnd w:id="206"/>
      <w:bookmarkStart w:id="207" w:name="_Toc184308066"/>
      <w:bookmarkEnd w:id="207"/>
      <w:bookmarkStart w:id="208" w:name="_Toc184314458"/>
      <w:bookmarkEnd w:id="208"/>
      <w:bookmarkStart w:id="209" w:name="_Toc184312131"/>
      <w:bookmarkEnd w:id="209"/>
      <w:bookmarkStart w:id="210" w:name="_Toc184314423"/>
      <w:bookmarkEnd w:id="210"/>
      <w:bookmarkStart w:id="211" w:name="_Toc184314445"/>
      <w:bookmarkEnd w:id="211"/>
      <w:bookmarkStart w:id="212" w:name="_Toc184312103"/>
      <w:bookmarkEnd w:id="212"/>
      <w:bookmarkStart w:id="213" w:name="_Toc184314478"/>
      <w:bookmarkEnd w:id="213"/>
      <w:bookmarkStart w:id="214" w:name="_Toc184308105"/>
      <w:bookmarkEnd w:id="214"/>
      <w:bookmarkStart w:id="215" w:name="_Toc184313258"/>
      <w:bookmarkEnd w:id="215"/>
      <w:bookmarkStart w:id="216" w:name="_Toc184314461"/>
      <w:bookmarkEnd w:id="216"/>
      <w:bookmarkStart w:id="217" w:name="_Toc184312070"/>
      <w:bookmarkEnd w:id="217"/>
      <w:bookmarkStart w:id="218" w:name="_Toc184312107"/>
      <w:bookmarkEnd w:id="218"/>
      <w:bookmarkStart w:id="219" w:name="_Toc184314450"/>
      <w:bookmarkEnd w:id="219"/>
      <w:bookmarkStart w:id="220" w:name="_Toc184308074"/>
      <w:bookmarkEnd w:id="220"/>
      <w:bookmarkStart w:id="221" w:name="_Toc184310320"/>
      <w:bookmarkEnd w:id="221"/>
      <w:bookmarkStart w:id="222" w:name="_Toc184310295"/>
      <w:bookmarkEnd w:id="222"/>
      <w:bookmarkStart w:id="223" w:name="_Toc184308055"/>
      <w:bookmarkEnd w:id="223"/>
      <w:bookmarkStart w:id="224" w:name="_Toc184313286"/>
      <w:bookmarkEnd w:id="224"/>
      <w:bookmarkStart w:id="225" w:name="_Toc184312115"/>
      <w:bookmarkEnd w:id="225"/>
      <w:bookmarkStart w:id="226" w:name="_Toc184314437"/>
      <w:bookmarkEnd w:id="226"/>
      <w:bookmarkStart w:id="227" w:name="_Toc184313254"/>
      <w:bookmarkEnd w:id="227"/>
      <w:bookmarkStart w:id="228" w:name="_Toc184310290"/>
      <w:bookmarkEnd w:id="228"/>
      <w:bookmarkStart w:id="229" w:name="_Toc184314452"/>
      <w:bookmarkEnd w:id="229"/>
      <w:bookmarkStart w:id="230" w:name="_Toc184314431"/>
      <w:bookmarkEnd w:id="230"/>
      <w:bookmarkStart w:id="231" w:name="_Toc184310315"/>
      <w:bookmarkEnd w:id="231"/>
      <w:bookmarkStart w:id="232" w:name="_Toc184310300"/>
      <w:bookmarkEnd w:id="232"/>
      <w:bookmarkStart w:id="233" w:name="_Toc184308049"/>
      <w:bookmarkEnd w:id="233"/>
      <w:bookmarkStart w:id="234" w:name="_Toc184308081"/>
      <w:bookmarkEnd w:id="234"/>
      <w:bookmarkStart w:id="235" w:name="_Toc184314425"/>
      <w:bookmarkEnd w:id="235"/>
      <w:bookmarkStart w:id="236" w:name="_Toc184313253"/>
      <w:bookmarkEnd w:id="236"/>
      <w:bookmarkStart w:id="237" w:name="_Toc184310279"/>
      <w:bookmarkEnd w:id="237"/>
      <w:bookmarkStart w:id="238" w:name="_Toc184312097"/>
      <w:bookmarkEnd w:id="238"/>
      <w:bookmarkStart w:id="239" w:name="_Toc184308070"/>
      <w:bookmarkEnd w:id="239"/>
      <w:bookmarkStart w:id="240" w:name="_Toc184313287"/>
      <w:bookmarkEnd w:id="240"/>
      <w:bookmarkStart w:id="241" w:name="_Toc184310306"/>
      <w:bookmarkEnd w:id="241"/>
      <w:bookmarkStart w:id="242" w:name="_Toc184314467"/>
      <w:bookmarkEnd w:id="242"/>
      <w:bookmarkStart w:id="243" w:name="_Toc184313291"/>
      <w:bookmarkEnd w:id="243"/>
      <w:bookmarkStart w:id="244" w:name="_Toc184308095"/>
      <w:bookmarkEnd w:id="244"/>
      <w:bookmarkStart w:id="245" w:name="_Toc184312071"/>
      <w:bookmarkEnd w:id="245"/>
      <w:bookmarkStart w:id="246" w:name="_Toc184312068"/>
      <w:bookmarkEnd w:id="246"/>
      <w:bookmarkStart w:id="247" w:name="_Toc184312081"/>
      <w:bookmarkEnd w:id="247"/>
      <w:bookmarkStart w:id="248" w:name="_Toc184310294"/>
      <w:bookmarkEnd w:id="248"/>
      <w:bookmarkStart w:id="249" w:name="_Toc184312138"/>
      <w:bookmarkEnd w:id="249"/>
      <w:bookmarkStart w:id="250" w:name="_Toc184312096"/>
      <w:bookmarkEnd w:id="250"/>
      <w:bookmarkStart w:id="251" w:name="_Toc184310309"/>
      <w:bookmarkEnd w:id="251"/>
      <w:bookmarkStart w:id="252" w:name="_Toc184312073"/>
      <w:bookmarkEnd w:id="252"/>
      <w:bookmarkStart w:id="253" w:name="_Toc184314426"/>
      <w:bookmarkEnd w:id="253"/>
      <w:bookmarkStart w:id="254" w:name="_Toc184310343"/>
      <w:bookmarkEnd w:id="254"/>
      <w:bookmarkStart w:id="255" w:name="_Toc184313303"/>
      <w:bookmarkEnd w:id="255"/>
      <w:bookmarkStart w:id="256" w:name="_Toc184314470"/>
      <w:bookmarkEnd w:id="256"/>
      <w:bookmarkStart w:id="257" w:name="_Toc184314455"/>
      <w:bookmarkEnd w:id="257"/>
      <w:bookmarkStart w:id="258" w:name="_Toc184313266"/>
      <w:bookmarkEnd w:id="258"/>
      <w:bookmarkStart w:id="259" w:name="_Toc184310287"/>
      <w:bookmarkEnd w:id="259"/>
      <w:bookmarkStart w:id="260" w:name="_Toc184313249"/>
      <w:bookmarkEnd w:id="260"/>
      <w:bookmarkStart w:id="261" w:name="_Toc184314442"/>
      <w:bookmarkEnd w:id="261"/>
      <w:bookmarkStart w:id="262" w:name="_Toc184312076"/>
      <w:bookmarkEnd w:id="262"/>
      <w:bookmarkStart w:id="263" w:name="_Toc184308079"/>
      <w:bookmarkEnd w:id="263"/>
      <w:bookmarkStart w:id="264" w:name="_Toc184308051"/>
      <w:bookmarkEnd w:id="264"/>
      <w:bookmarkStart w:id="265" w:name="_Toc184312124"/>
      <w:bookmarkEnd w:id="265"/>
      <w:bookmarkStart w:id="266" w:name="_Toc184314414"/>
      <w:bookmarkEnd w:id="266"/>
      <w:bookmarkStart w:id="267" w:name="_Toc184314415"/>
      <w:bookmarkEnd w:id="267"/>
      <w:bookmarkStart w:id="268" w:name="_Toc184314447"/>
      <w:bookmarkEnd w:id="268"/>
      <w:bookmarkStart w:id="269" w:name="_Toc184314462"/>
      <w:bookmarkEnd w:id="269"/>
      <w:bookmarkStart w:id="270" w:name="_Toc184310280"/>
      <w:bookmarkEnd w:id="270"/>
      <w:bookmarkStart w:id="271" w:name="_Toc184314479"/>
      <w:bookmarkEnd w:id="271"/>
      <w:bookmarkStart w:id="272" w:name="_Toc184310310"/>
      <w:bookmarkEnd w:id="272"/>
      <w:bookmarkStart w:id="273" w:name="_Toc184308069"/>
      <w:bookmarkEnd w:id="273"/>
      <w:bookmarkStart w:id="274" w:name="_Toc184310307"/>
      <w:bookmarkEnd w:id="274"/>
      <w:bookmarkStart w:id="275" w:name="_Toc184314417"/>
      <w:bookmarkEnd w:id="275"/>
      <w:bookmarkStart w:id="276" w:name="_Toc184308041"/>
      <w:bookmarkEnd w:id="276"/>
      <w:bookmarkStart w:id="277" w:name="_Toc184314446"/>
      <w:bookmarkEnd w:id="277"/>
      <w:bookmarkStart w:id="278" w:name="_Toc184313242"/>
      <w:bookmarkEnd w:id="278"/>
      <w:bookmarkStart w:id="279" w:name="_Toc184310342"/>
      <w:bookmarkEnd w:id="279"/>
      <w:bookmarkStart w:id="280" w:name="_Toc184308097"/>
      <w:bookmarkEnd w:id="280"/>
      <w:bookmarkStart w:id="281" w:name="_Toc184310291"/>
      <w:bookmarkEnd w:id="281"/>
      <w:bookmarkStart w:id="282" w:name="_Toc184312135"/>
      <w:bookmarkEnd w:id="282"/>
      <w:bookmarkStart w:id="283" w:name="_Toc184310284"/>
      <w:bookmarkEnd w:id="283"/>
      <w:bookmarkStart w:id="284" w:name="_Toc184312101"/>
      <w:bookmarkEnd w:id="284"/>
      <w:bookmarkStart w:id="285" w:name="_Toc184310296"/>
      <w:bookmarkEnd w:id="285"/>
      <w:bookmarkStart w:id="286" w:name="_Toc184314410"/>
      <w:bookmarkEnd w:id="286"/>
      <w:bookmarkStart w:id="287" w:name="_Toc184308090"/>
      <w:bookmarkEnd w:id="287"/>
      <w:bookmarkStart w:id="288" w:name="_Toc184313285"/>
      <w:bookmarkEnd w:id="288"/>
      <w:bookmarkStart w:id="289" w:name="_Toc184310314"/>
      <w:bookmarkEnd w:id="289"/>
      <w:bookmarkStart w:id="290" w:name="_Toc184313267"/>
      <w:bookmarkEnd w:id="290"/>
      <w:bookmarkStart w:id="291" w:name="_Toc184310286"/>
      <w:bookmarkEnd w:id="291"/>
      <w:bookmarkStart w:id="292" w:name="_Toc184308044"/>
      <w:bookmarkEnd w:id="292"/>
      <w:bookmarkStart w:id="293" w:name="_Toc184310338"/>
      <w:bookmarkEnd w:id="293"/>
      <w:bookmarkStart w:id="294" w:name="_Toc184310277"/>
      <w:bookmarkEnd w:id="294"/>
      <w:bookmarkStart w:id="295" w:name="_Toc184310301"/>
      <w:bookmarkEnd w:id="295"/>
      <w:bookmarkStart w:id="296" w:name="_Toc184312128"/>
      <w:bookmarkEnd w:id="296"/>
      <w:bookmarkStart w:id="297" w:name="_Toc184314427"/>
      <w:bookmarkEnd w:id="297"/>
      <w:bookmarkStart w:id="298" w:name="_Toc184310319"/>
      <w:bookmarkEnd w:id="298"/>
      <w:bookmarkStart w:id="299" w:name="_Toc184312112"/>
      <w:bookmarkEnd w:id="299"/>
      <w:bookmarkStart w:id="300" w:name="_Toc184313295"/>
      <w:bookmarkEnd w:id="300"/>
      <w:bookmarkStart w:id="301" w:name="_Toc184308037"/>
      <w:bookmarkEnd w:id="301"/>
      <w:bookmarkStart w:id="302" w:name="_Toc184314477"/>
      <w:bookmarkEnd w:id="302"/>
      <w:bookmarkStart w:id="303" w:name="_Toc184313306"/>
      <w:bookmarkEnd w:id="303"/>
      <w:bookmarkStart w:id="304" w:name="_Toc184308054"/>
      <w:bookmarkEnd w:id="304"/>
      <w:bookmarkStart w:id="305" w:name="_Toc184312080"/>
      <w:bookmarkEnd w:id="305"/>
      <w:bookmarkStart w:id="306" w:name="_Toc184313304"/>
      <w:bookmarkEnd w:id="306"/>
      <w:bookmarkStart w:id="307" w:name="_Toc184314438"/>
      <w:bookmarkEnd w:id="307"/>
      <w:bookmarkStart w:id="308" w:name="_Toc184308053"/>
      <w:bookmarkEnd w:id="308"/>
      <w:bookmarkStart w:id="309" w:name="_Toc184310285"/>
      <w:bookmarkEnd w:id="309"/>
      <w:bookmarkStart w:id="310" w:name="_Toc184313280"/>
      <w:bookmarkEnd w:id="310"/>
      <w:bookmarkStart w:id="311" w:name="_Toc184308052"/>
      <w:bookmarkEnd w:id="311"/>
      <w:bookmarkStart w:id="312" w:name="_Toc184314428"/>
      <w:bookmarkEnd w:id="312"/>
      <w:bookmarkStart w:id="313" w:name="_Toc184313289"/>
      <w:bookmarkEnd w:id="313"/>
      <w:bookmarkStart w:id="314" w:name="_Toc184308056"/>
      <w:bookmarkEnd w:id="314"/>
      <w:bookmarkStart w:id="315" w:name="_Toc184308045"/>
      <w:bookmarkEnd w:id="315"/>
      <w:bookmarkStart w:id="316" w:name="_Toc184312104"/>
      <w:bookmarkEnd w:id="316"/>
      <w:bookmarkStart w:id="317" w:name="_Toc184310274"/>
      <w:bookmarkEnd w:id="317"/>
      <w:bookmarkStart w:id="318" w:name="_Toc184313293"/>
      <w:bookmarkEnd w:id="318"/>
      <w:bookmarkStart w:id="319" w:name="_Toc184308064"/>
      <w:bookmarkEnd w:id="319"/>
      <w:bookmarkStart w:id="320" w:name="_Toc184314434"/>
      <w:bookmarkEnd w:id="320"/>
      <w:bookmarkStart w:id="321" w:name="_Toc184308068"/>
      <w:bookmarkEnd w:id="321"/>
      <w:bookmarkStart w:id="322" w:name="_Toc184313278"/>
      <w:bookmarkEnd w:id="322"/>
      <w:bookmarkStart w:id="323" w:name="_Toc184310312"/>
      <w:bookmarkEnd w:id="323"/>
      <w:bookmarkStart w:id="324" w:name="_Toc184310339"/>
      <w:bookmarkEnd w:id="324"/>
      <w:bookmarkStart w:id="325" w:name="_Toc184310344"/>
      <w:bookmarkEnd w:id="325"/>
      <w:bookmarkStart w:id="326" w:name="_Toc184313239"/>
      <w:bookmarkEnd w:id="326"/>
      <w:bookmarkStart w:id="327" w:name="_Toc184308072"/>
      <w:bookmarkEnd w:id="327"/>
      <w:bookmarkStart w:id="328" w:name="_Toc184313309"/>
      <w:bookmarkEnd w:id="328"/>
      <w:bookmarkStart w:id="329" w:name="_Toc184314439"/>
      <w:bookmarkEnd w:id="329"/>
      <w:bookmarkStart w:id="330" w:name="_Toc184310321"/>
      <w:bookmarkEnd w:id="330"/>
      <w:bookmarkStart w:id="331" w:name="_Toc184313297"/>
      <w:bookmarkEnd w:id="331"/>
      <w:bookmarkStart w:id="332" w:name="_Toc184308106"/>
      <w:bookmarkEnd w:id="332"/>
      <w:bookmarkStart w:id="333" w:name="_Toc184308036"/>
      <w:bookmarkEnd w:id="333"/>
      <w:bookmarkStart w:id="334" w:name="_Toc184313301"/>
      <w:bookmarkEnd w:id="334"/>
      <w:bookmarkStart w:id="335" w:name="_Toc184308047"/>
      <w:bookmarkEnd w:id="335"/>
      <w:bookmarkStart w:id="336" w:name="_Toc184312130"/>
      <w:bookmarkEnd w:id="336"/>
      <w:bookmarkStart w:id="337" w:name="_Toc184313275"/>
      <w:bookmarkEnd w:id="337"/>
      <w:bookmarkStart w:id="338" w:name="_Toc184314411"/>
      <w:bookmarkEnd w:id="338"/>
      <w:bookmarkStart w:id="339" w:name="_Toc184312120"/>
      <w:bookmarkEnd w:id="339"/>
      <w:bookmarkStart w:id="340" w:name="_Toc184313270"/>
      <w:bookmarkEnd w:id="340"/>
      <w:bookmarkStart w:id="341" w:name="_Toc184308102"/>
      <w:bookmarkEnd w:id="341"/>
      <w:bookmarkStart w:id="342" w:name="_Toc184308061"/>
      <w:bookmarkEnd w:id="342"/>
      <w:bookmarkStart w:id="343" w:name="_Toc184310308"/>
      <w:bookmarkEnd w:id="343"/>
      <w:bookmarkStart w:id="344" w:name="_Toc184313263"/>
      <w:bookmarkEnd w:id="344"/>
      <w:bookmarkStart w:id="345" w:name="_Toc184312109"/>
      <w:bookmarkEnd w:id="345"/>
      <w:bookmarkStart w:id="346" w:name="_Toc184308050"/>
      <w:bookmarkEnd w:id="346"/>
      <w:bookmarkStart w:id="347" w:name="_Toc184308067"/>
      <w:bookmarkEnd w:id="347"/>
      <w:bookmarkStart w:id="348" w:name="_Toc184308043"/>
      <w:bookmarkEnd w:id="348"/>
      <w:bookmarkStart w:id="349" w:name="_Toc184308094"/>
      <w:bookmarkEnd w:id="349"/>
      <w:bookmarkStart w:id="350" w:name="_Toc184308062"/>
      <w:bookmarkEnd w:id="350"/>
      <w:bookmarkStart w:id="351" w:name="_Toc184312125"/>
      <w:bookmarkEnd w:id="351"/>
      <w:bookmarkStart w:id="352" w:name="_Toc184314432"/>
      <w:bookmarkEnd w:id="352"/>
      <w:bookmarkStart w:id="353" w:name="_Toc184313308"/>
      <w:bookmarkEnd w:id="353"/>
      <w:bookmarkStart w:id="354" w:name="_Toc184312116"/>
      <w:bookmarkEnd w:id="354"/>
      <w:bookmarkStart w:id="355" w:name="_Toc184312108"/>
      <w:bookmarkEnd w:id="355"/>
      <w:bookmarkStart w:id="356" w:name="_Toc184310302"/>
      <w:bookmarkEnd w:id="356"/>
      <w:bookmarkStart w:id="357" w:name="_Toc184312094"/>
      <w:bookmarkEnd w:id="357"/>
      <w:bookmarkStart w:id="358" w:name="_Toc184313247"/>
      <w:bookmarkEnd w:id="358"/>
      <w:bookmarkStart w:id="359" w:name="_Toc184308086"/>
      <w:bookmarkEnd w:id="359"/>
      <w:bookmarkStart w:id="360" w:name="_Toc184313257"/>
      <w:bookmarkEnd w:id="360"/>
      <w:bookmarkStart w:id="361" w:name="_Toc184312099"/>
      <w:bookmarkEnd w:id="361"/>
      <w:bookmarkStart w:id="362" w:name="_Toc184314481"/>
      <w:bookmarkEnd w:id="362"/>
      <w:bookmarkStart w:id="363" w:name="_Toc184314474"/>
      <w:bookmarkEnd w:id="363"/>
      <w:bookmarkStart w:id="364" w:name="_Toc184314472"/>
      <w:bookmarkEnd w:id="364"/>
      <w:bookmarkStart w:id="365" w:name="_Toc184314464"/>
      <w:bookmarkEnd w:id="365"/>
      <w:bookmarkStart w:id="366" w:name="_Toc184314460"/>
      <w:bookmarkEnd w:id="366"/>
      <w:bookmarkStart w:id="367" w:name="_Toc184312113"/>
      <w:bookmarkEnd w:id="367"/>
      <w:bookmarkStart w:id="368" w:name="_Toc184312133"/>
      <w:bookmarkEnd w:id="368"/>
      <w:bookmarkStart w:id="369" w:name="_Toc184308057"/>
      <w:bookmarkEnd w:id="369"/>
      <w:bookmarkStart w:id="370" w:name="_Toc184314448"/>
      <w:bookmarkEnd w:id="370"/>
      <w:bookmarkStart w:id="371" w:name="_Toc184310298"/>
      <w:bookmarkEnd w:id="371"/>
      <w:bookmarkStart w:id="372" w:name="_Toc184310276"/>
      <w:bookmarkEnd w:id="372"/>
      <w:bookmarkStart w:id="373" w:name="_Toc184308060"/>
      <w:bookmarkEnd w:id="373"/>
      <w:bookmarkStart w:id="374" w:name="_Toc184314453"/>
      <w:bookmarkEnd w:id="374"/>
      <w:bookmarkStart w:id="375" w:name="_Toc184312078"/>
      <w:bookmarkEnd w:id="375"/>
      <w:bookmarkStart w:id="376" w:name="_Toc184310325"/>
      <w:bookmarkEnd w:id="376"/>
      <w:bookmarkStart w:id="377" w:name="_Toc184313246"/>
      <w:bookmarkEnd w:id="377"/>
      <w:bookmarkStart w:id="378" w:name="_Toc184310323"/>
      <w:bookmarkEnd w:id="378"/>
      <w:bookmarkStart w:id="379" w:name="_Toc184310283"/>
      <w:bookmarkEnd w:id="379"/>
      <w:bookmarkStart w:id="380" w:name="_Toc184308092"/>
      <w:bookmarkEnd w:id="380"/>
      <w:bookmarkStart w:id="381" w:name="_Toc184312077"/>
      <w:bookmarkEnd w:id="381"/>
      <w:bookmarkStart w:id="382" w:name="_Toc184312127"/>
      <w:bookmarkEnd w:id="382"/>
      <w:bookmarkStart w:id="383" w:name="_Toc184310330"/>
      <w:bookmarkEnd w:id="383"/>
      <w:bookmarkStart w:id="384" w:name="_Toc184308039"/>
      <w:bookmarkEnd w:id="384"/>
      <w:bookmarkStart w:id="385" w:name="_Toc184308077"/>
      <w:bookmarkEnd w:id="385"/>
      <w:r>
        <w:rPr>
          <w:rFonts w:hint="eastAsia" w:ascii="宋体" w:hAnsi="宋体" w:cs="宋体"/>
          <w:b/>
          <w:color w:val="000000" w:themeColor="text1"/>
          <w:sz w:val="36"/>
          <w:szCs w:val="36"/>
          <w:highlight w:val="none"/>
          <w14:textFill>
            <w14:solidFill>
              <w14:schemeClr w14:val="tx1"/>
            </w14:solidFill>
          </w14:textFill>
        </w:rPr>
        <w:t>评标办法</w:t>
      </w:r>
    </w:p>
    <w:p w14:paraId="10A3A16E">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评标办法前附表</w:t>
      </w:r>
    </w:p>
    <w:p w14:paraId="7BBD022E">
      <w:pPr>
        <w:keepNext w:val="0"/>
        <w:keepLines w:val="0"/>
        <w:pageBreakBefore w:val="0"/>
        <w:widowControl w:val="0"/>
        <w:kinsoku/>
        <w:wordWrap/>
        <w:overflowPunct/>
        <w:topLinePunct w:val="0"/>
        <w:autoSpaceDE/>
        <w:autoSpaceDN/>
        <w:bidi w:val="0"/>
        <w:adjustRightInd/>
        <w:spacing w:line="360" w:lineRule="auto"/>
        <w:ind w:firstLine="433" w:firstLineChars="196"/>
        <w:textAlignment w:val="auto"/>
        <w:rPr>
          <w:rFonts w:hint="eastAsia" w:ascii="宋体" w:hAnsi="宋体" w:eastAsia="宋体" w:cs="宋体"/>
          <w:b/>
          <w:color w:val="000000" w:themeColor="text1"/>
          <w:kern w:val="0"/>
          <w:sz w:val="22"/>
          <w:szCs w:val="22"/>
          <w:highlight w:val="none"/>
          <w14:textFill>
            <w14:solidFill>
              <w14:schemeClr w14:val="tx1"/>
            </w14:solidFill>
          </w14:textFill>
        </w:rPr>
      </w:pPr>
      <w:r>
        <w:rPr>
          <w:rFonts w:hint="eastAsia" w:ascii="宋体" w:hAnsi="宋体" w:eastAsia="宋体" w:cs="宋体"/>
          <w:b/>
          <w:color w:val="000000" w:themeColor="text1"/>
          <w:kern w:val="0"/>
          <w:sz w:val="22"/>
          <w:szCs w:val="22"/>
          <w:highlight w:val="none"/>
          <w:lang w:val="en-US" w:eastAsia="zh-CN"/>
          <w14:textFill>
            <w14:solidFill>
              <w14:schemeClr w14:val="tx1"/>
            </w14:solidFill>
          </w14:textFill>
        </w:rPr>
        <w:t>1、</w:t>
      </w:r>
      <w:r>
        <w:rPr>
          <w:rFonts w:hint="eastAsia" w:ascii="宋体" w:hAnsi="宋体" w:eastAsia="宋体" w:cs="宋体"/>
          <w:b/>
          <w:color w:val="000000" w:themeColor="text1"/>
          <w:kern w:val="0"/>
          <w:sz w:val="22"/>
          <w:szCs w:val="22"/>
          <w:highlight w:val="none"/>
          <w14:textFill>
            <w14:solidFill>
              <w14:schemeClr w14:val="tx1"/>
            </w14:solidFill>
          </w14:textFill>
        </w:rPr>
        <w:t>商务技术文件的评定（</w:t>
      </w:r>
      <w:r>
        <w:rPr>
          <w:rFonts w:hint="eastAsia" w:ascii="宋体" w:hAnsi="宋体" w:eastAsia="宋体" w:cs="宋体"/>
          <w:b/>
          <w:color w:val="000000" w:themeColor="text1"/>
          <w:kern w:val="0"/>
          <w:sz w:val="22"/>
          <w:szCs w:val="22"/>
          <w:highlight w:val="none"/>
          <w:lang w:val="en-US" w:eastAsia="zh-CN"/>
          <w14:textFill>
            <w14:solidFill>
              <w14:schemeClr w14:val="tx1"/>
            </w14:solidFill>
          </w14:textFill>
        </w:rPr>
        <w:t>70</w:t>
      </w:r>
      <w:r>
        <w:rPr>
          <w:rFonts w:hint="eastAsia" w:ascii="宋体" w:hAnsi="宋体" w:eastAsia="宋体" w:cs="宋体"/>
          <w:b/>
          <w:color w:val="000000" w:themeColor="text1"/>
          <w:kern w:val="0"/>
          <w:sz w:val="22"/>
          <w:szCs w:val="22"/>
          <w:highlight w:val="none"/>
          <w14:textFill>
            <w14:solidFill>
              <w14:schemeClr w14:val="tx1"/>
            </w14:solidFill>
          </w14:textFill>
        </w:rPr>
        <w:t>分）</w:t>
      </w:r>
    </w:p>
    <w:tbl>
      <w:tblPr>
        <w:tblStyle w:val="63"/>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148"/>
        <w:gridCol w:w="4914"/>
        <w:gridCol w:w="700"/>
        <w:gridCol w:w="763"/>
        <w:gridCol w:w="1062"/>
      </w:tblGrid>
      <w:tr w14:paraId="2E3A8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noWrap w:val="0"/>
            <w:vAlign w:val="center"/>
          </w:tcPr>
          <w:p w14:paraId="7F71809D">
            <w:pPr>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6062" w:type="dxa"/>
            <w:gridSpan w:val="2"/>
            <w:noWrap w:val="0"/>
            <w:vAlign w:val="center"/>
          </w:tcPr>
          <w:p w14:paraId="15C70A22">
            <w:pPr>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评标标准</w:t>
            </w:r>
          </w:p>
        </w:tc>
        <w:tc>
          <w:tcPr>
            <w:tcW w:w="700" w:type="dxa"/>
            <w:noWrap w:val="0"/>
            <w:vAlign w:val="center"/>
          </w:tcPr>
          <w:p w14:paraId="2F6D5F14">
            <w:pPr>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权重</w:t>
            </w:r>
          </w:p>
        </w:tc>
        <w:tc>
          <w:tcPr>
            <w:tcW w:w="763" w:type="dxa"/>
            <w:noWrap w:val="0"/>
            <w:vAlign w:val="center"/>
          </w:tcPr>
          <w:p w14:paraId="14236136">
            <w:pPr>
              <w:snapToGrid w:val="0"/>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主观分/客观分属性</w:t>
            </w:r>
          </w:p>
        </w:tc>
        <w:tc>
          <w:tcPr>
            <w:tcW w:w="1062" w:type="dxa"/>
            <w:noWrap w:val="0"/>
            <w:vAlign w:val="center"/>
          </w:tcPr>
          <w:p w14:paraId="6F8DE371">
            <w:pPr>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投标文件中评标标准相应的商务技术资料目录*</w:t>
            </w:r>
          </w:p>
        </w:tc>
      </w:tr>
      <w:tr w14:paraId="2405D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noWrap w:val="0"/>
            <w:vAlign w:val="center"/>
          </w:tcPr>
          <w:p w14:paraId="628E37A3">
            <w:pPr>
              <w:snapToGrid w:val="0"/>
              <w:spacing w:line="264"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6062" w:type="dxa"/>
            <w:gridSpan w:val="2"/>
            <w:noWrap w:val="0"/>
            <w:vAlign w:val="center"/>
          </w:tcPr>
          <w:p w14:paraId="55DEC69C">
            <w:pPr>
              <w:snapToGrid w:val="0"/>
              <w:spacing w:line="264" w:lineRule="auto"/>
              <w:jc w:val="left"/>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满足招标货物的性能、功能、技术指标要求（3</w:t>
            </w:r>
            <w:r>
              <w:rPr>
                <w:rFonts w:hint="eastAsia" w:ascii="宋体" w:hAnsi="宋体" w:eastAsia="宋体" w:cs="宋体"/>
                <w:b/>
                <w:color w:val="000000" w:themeColor="text1"/>
                <w:sz w:val="24"/>
                <w:szCs w:val="24"/>
                <w:highlight w:val="none"/>
                <w:lang w:val="en-US" w:eastAsia="zh-CN"/>
                <w14:textFill>
                  <w14:solidFill>
                    <w14:schemeClr w14:val="tx1"/>
                  </w14:solidFill>
                </w14:textFill>
              </w:rPr>
              <w:t>5.3</w:t>
            </w:r>
            <w:r>
              <w:rPr>
                <w:rFonts w:hint="eastAsia" w:ascii="宋体" w:hAnsi="宋体" w:eastAsia="宋体" w:cs="宋体"/>
                <w:b/>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14:textFill>
                  <w14:solidFill>
                    <w14:schemeClr w14:val="tx1"/>
                  </w14:solidFill>
                </w14:textFill>
              </w:rPr>
              <w:t>，供应商对“第三部分  采购需求”各项技术参数要求进行响应，实质性技术商务参数条款以“▲”号标注，不满足者将被视为无效标。产品技术商务指标全部满足招标文件要求的得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35.3</w:t>
            </w:r>
            <w:r>
              <w:rPr>
                <w:rFonts w:hint="eastAsia" w:ascii="宋体" w:hAnsi="宋体" w:eastAsia="宋体" w:cs="宋体"/>
                <w:color w:val="000000" w:themeColor="text1"/>
                <w:sz w:val="24"/>
                <w:szCs w:val="24"/>
                <w:highlight w:val="none"/>
                <w14:textFill>
                  <w14:solidFill>
                    <w14:schemeClr w14:val="tx1"/>
                  </w14:solidFill>
                </w14:textFill>
              </w:rPr>
              <w:t>分。标注“★”为重要技术商务参数，不满足招标文件要求的，每一项扣减</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分；其它的为一般技术商务参数，不满足招标文件要求的，每一项扣减</w:t>
            </w:r>
            <w:r>
              <w:rPr>
                <w:rFonts w:hint="eastAsia" w:ascii="宋体" w:hAnsi="宋体" w:eastAsia="宋体" w:cs="宋体"/>
                <w:color w:val="000000" w:themeColor="text1"/>
                <w:sz w:val="24"/>
                <w:szCs w:val="24"/>
                <w:highlight w:val="none"/>
                <w:lang w:val="en-US" w:eastAsia="zh-CN"/>
                <w14:textFill>
                  <w14:solidFill>
                    <w14:schemeClr w14:val="tx1"/>
                  </w14:solidFill>
                </w14:textFill>
              </w:rPr>
              <w:t>0.05</w:t>
            </w:r>
            <w:r>
              <w:rPr>
                <w:rFonts w:hint="eastAsia" w:ascii="宋体" w:hAnsi="宋体" w:eastAsia="宋体" w:cs="宋体"/>
                <w:color w:val="000000" w:themeColor="text1"/>
                <w:sz w:val="24"/>
                <w:szCs w:val="24"/>
                <w:highlight w:val="none"/>
                <w14:textFill>
                  <w14:solidFill>
                    <w14:schemeClr w14:val="tx1"/>
                  </w14:solidFill>
                </w14:textFill>
              </w:rPr>
              <w:t>分。本项最高得</w:t>
            </w:r>
            <w:r>
              <w:rPr>
                <w:rFonts w:hint="eastAsia" w:ascii="宋体" w:hAnsi="宋体" w:eastAsia="宋体" w:cs="宋体"/>
                <w:color w:val="000000" w:themeColor="text1"/>
                <w:sz w:val="24"/>
                <w:szCs w:val="24"/>
                <w:highlight w:val="none"/>
                <w:lang w:val="en-US" w:eastAsia="zh-CN"/>
                <w14:textFill>
                  <w14:solidFill>
                    <w14:schemeClr w14:val="tx1"/>
                  </w14:solidFill>
                </w14:textFill>
              </w:rPr>
              <w:t>35.3</w:t>
            </w:r>
            <w:r>
              <w:rPr>
                <w:rFonts w:hint="eastAsia" w:ascii="宋体" w:hAnsi="宋体" w:eastAsia="宋体" w:cs="宋体"/>
                <w:color w:val="000000" w:themeColor="text1"/>
                <w:sz w:val="24"/>
                <w:szCs w:val="24"/>
                <w:highlight w:val="none"/>
                <w14:textFill>
                  <w14:solidFill>
                    <w14:schemeClr w14:val="tx1"/>
                  </w14:solidFill>
                </w14:textFill>
              </w:rPr>
              <w:t>分；最低得0分。</w:t>
            </w:r>
          </w:p>
          <w:p w14:paraId="52530A01">
            <w:pPr>
              <w:snapToGrid w:val="0"/>
              <w:spacing w:line="264" w:lineRule="auto"/>
              <w:jc w:val="left"/>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注：相同产品技术规格指标，不重复扣分</w:t>
            </w:r>
            <w:r>
              <w:rPr>
                <w:rFonts w:hint="eastAsia" w:ascii="宋体" w:hAnsi="宋体" w:eastAsia="宋体" w:cs="宋体"/>
                <w:bCs/>
                <w:snapToGrid/>
                <w:color w:val="000000" w:themeColor="text1"/>
                <w:kern w:val="2"/>
                <w:sz w:val="24"/>
                <w:szCs w:val="24"/>
                <w:highlight w:val="none"/>
                <w:lang w:val="en-US" w:eastAsia="zh-CN" w:bidi="ar-SA"/>
                <w14:textFill>
                  <w14:solidFill>
                    <w14:schemeClr w14:val="tx1"/>
                  </w14:solidFill>
                </w14:textFill>
              </w:rPr>
              <w:t>。</w:t>
            </w:r>
          </w:p>
        </w:tc>
        <w:tc>
          <w:tcPr>
            <w:tcW w:w="700" w:type="dxa"/>
            <w:noWrap w:val="0"/>
            <w:vAlign w:val="center"/>
          </w:tcPr>
          <w:p w14:paraId="359921CF">
            <w:pPr>
              <w:snapToGrid w:val="0"/>
              <w:jc w:val="center"/>
              <w:outlineLvl w:val="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5.3</w:t>
            </w:r>
          </w:p>
        </w:tc>
        <w:tc>
          <w:tcPr>
            <w:tcW w:w="763" w:type="dxa"/>
            <w:noWrap w:val="0"/>
            <w:vAlign w:val="center"/>
          </w:tcPr>
          <w:p w14:paraId="59007075">
            <w:pPr>
              <w:snapToGrid w:val="0"/>
              <w:spacing w:line="264"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客观</w:t>
            </w:r>
          </w:p>
        </w:tc>
        <w:tc>
          <w:tcPr>
            <w:tcW w:w="1062" w:type="dxa"/>
            <w:noWrap w:val="0"/>
            <w:vAlign w:val="top"/>
          </w:tcPr>
          <w:p w14:paraId="29BB4607">
            <w:pPr>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C7D4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noWrap w:val="0"/>
            <w:vAlign w:val="center"/>
          </w:tcPr>
          <w:p w14:paraId="1702098A">
            <w:pPr>
              <w:snapToGrid w:val="0"/>
              <w:spacing w:line="264"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6062" w:type="dxa"/>
            <w:gridSpan w:val="2"/>
            <w:noWrap w:val="0"/>
            <w:vAlign w:val="center"/>
          </w:tcPr>
          <w:p w14:paraId="233F305E">
            <w:pPr>
              <w:snapToGrid w:val="0"/>
              <w:spacing w:line="264"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安装、调试的方案和措施（</w:t>
            </w:r>
            <w:r>
              <w:rPr>
                <w:rFonts w:hint="eastAsia" w:ascii="宋体" w:hAnsi="宋体" w:eastAsia="宋体" w:cs="宋体"/>
                <w:b/>
                <w:color w:val="000000" w:themeColor="text1"/>
                <w:sz w:val="24"/>
                <w:szCs w:val="24"/>
                <w:highlight w:val="none"/>
                <w:lang w:val="en-US" w:eastAsia="zh-CN"/>
                <w14:textFill>
                  <w14:solidFill>
                    <w14:schemeClr w14:val="tx1"/>
                  </w14:solidFill>
                </w14:textFill>
              </w:rPr>
              <w:t>2.7</w:t>
            </w:r>
            <w:r>
              <w:rPr>
                <w:rFonts w:hint="eastAsia" w:ascii="宋体" w:hAnsi="宋体" w:eastAsia="宋体" w:cs="宋体"/>
                <w:b/>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14:textFill>
                  <w14:solidFill>
                    <w14:schemeClr w14:val="tx1"/>
                  </w14:solidFill>
                </w14:textFill>
              </w:rPr>
              <w:t>，评定投标文件所承诺的安装、调试方法或方案，根据方案和措施科学性、有效性评审打分。方案和措施科学明确且有效，得</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2.7</w:t>
            </w:r>
            <w:r>
              <w:rPr>
                <w:rFonts w:hint="eastAsia" w:ascii="宋体" w:hAnsi="宋体" w:eastAsia="宋体" w:cs="宋体"/>
                <w:color w:val="000000" w:themeColor="text1"/>
                <w:sz w:val="24"/>
                <w:szCs w:val="24"/>
                <w:highlight w:val="none"/>
                <w14:textFill>
                  <w14:solidFill>
                    <w14:schemeClr w14:val="tx1"/>
                  </w14:solidFill>
                </w14:textFill>
              </w:rPr>
              <w:t>分；方案措施欠妥的，得</w:t>
            </w:r>
            <w:r>
              <w:rPr>
                <w:rFonts w:hint="eastAsia" w:ascii="宋体" w:hAnsi="宋体" w:eastAsia="宋体" w:cs="宋体"/>
                <w:color w:val="000000" w:themeColor="text1"/>
                <w:sz w:val="24"/>
                <w:szCs w:val="24"/>
                <w:highlight w:val="none"/>
                <w:u w:val="single"/>
                <w14:textFill>
                  <w14:solidFill>
                    <w14:schemeClr w14:val="tx1"/>
                  </w14:solidFill>
                </w14:textFill>
              </w:rPr>
              <w:t>1</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分；方案措施存在明显缺陷的，得</w:t>
            </w:r>
            <w:r>
              <w:rPr>
                <w:rFonts w:hint="eastAsia" w:ascii="宋体" w:hAnsi="宋体" w:eastAsia="宋体" w:cs="宋体"/>
                <w:color w:val="000000" w:themeColor="text1"/>
                <w:sz w:val="24"/>
                <w:szCs w:val="24"/>
                <w:highlight w:val="none"/>
                <w:u w:val="single"/>
                <w14:textFill>
                  <w14:solidFill>
                    <w14:schemeClr w14:val="tx1"/>
                  </w14:solidFill>
                </w14:textFill>
              </w:rPr>
              <w:t>0.</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分；无方案无措施的不得分。</w:t>
            </w:r>
          </w:p>
        </w:tc>
        <w:tc>
          <w:tcPr>
            <w:tcW w:w="700" w:type="dxa"/>
            <w:noWrap w:val="0"/>
            <w:vAlign w:val="center"/>
          </w:tcPr>
          <w:p w14:paraId="36355321">
            <w:pPr>
              <w:snapToGrid w:val="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2.7</w:t>
            </w:r>
          </w:p>
        </w:tc>
        <w:tc>
          <w:tcPr>
            <w:tcW w:w="763" w:type="dxa"/>
            <w:noWrap w:val="0"/>
            <w:vAlign w:val="center"/>
          </w:tcPr>
          <w:p w14:paraId="351DE055">
            <w:pPr>
              <w:snapToGrid w:val="0"/>
              <w:spacing w:line="26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主观</w:t>
            </w:r>
          </w:p>
        </w:tc>
        <w:tc>
          <w:tcPr>
            <w:tcW w:w="1062" w:type="dxa"/>
            <w:noWrap w:val="0"/>
            <w:vAlign w:val="top"/>
          </w:tcPr>
          <w:p w14:paraId="42DC2168">
            <w:pPr>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EBF1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noWrap w:val="0"/>
            <w:vAlign w:val="center"/>
          </w:tcPr>
          <w:p w14:paraId="1C17AEF6">
            <w:pPr>
              <w:snapToGrid w:val="0"/>
              <w:spacing w:line="26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6062" w:type="dxa"/>
            <w:gridSpan w:val="2"/>
            <w:noWrap w:val="0"/>
            <w:vAlign w:val="center"/>
          </w:tcPr>
          <w:p w14:paraId="756AD0D3">
            <w:pPr>
              <w:snapToGrid w:val="0"/>
              <w:spacing w:line="264"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技术培训的方案和措施（</w:t>
            </w:r>
            <w:r>
              <w:rPr>
                <w:rFonts w:hint="eastAsia" w:ascii="宋体" w:hAnsi="宋体" w:eastAsia="宋体" w:cs="宋体"/>
                <w:b/>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14:textFill>
                  <w14:solidFill>
                    <w14:schemeClr w14:val="tx1"/>
                  </w14:solidFill>
                </w14:textFill>
              </w:rPr>
              <w:t>，综合评定各投标文件所承诺的技术培训的方案、内容和措施评审打分。技术培训的方案、内容和措施明确且有效的，得</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分；方案措施欠妥的，得</w:t>
            </w:r>
            <w:r>
              <w:rPr>
                <w:rFonts w:hint="eastAsia" w:ascii="宋体" w:hAnsi="宋体" w:eastAsia="宋体" w:cs="宋体"/>
                <w:color w:val="000000" w:themeColor="text1"/>
                <w:sz w:val="24"/>
                <w:szCs w:val="24"/>
                <w:highlight w:val="none"/>
                <w:u w:val="single"/>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分，方案措施存在明显缺陷的，得</w:t>
            </w:r>
            <w:r>
              <w:rPr>
                <w:rFonts w:hint="eastAsia" w:ascii="宋体" w:hAnsi="宋体" w:eastAsia="宋体" w:cs="宋体"/>
                <w:color w:val="000000" w:themeColor="text1"/>
                <w:sz w:val="24"/>
                <w:szCs w:val="24"/>
                <w:highlight w:val="none"/>
                <w:u w:val="single"/>
                <w14:textFill>
                  <w14:solidFill>
                    <w14:schemeClr w14:val="tx1"/>
                  </w14:solidFill>
                </w14:textFill>
              </w:rPr>
              <w:t>0.5</w:t>
            </w:r>
            <w:r>
              <w:rPr>
                <w:rFonts w:hint="eastAsia" w:ascii="宋体" w:hAnsi="宋体" w:eastAsia="宋体" w:cs="宋体"/>
                <w:color w:val="000000" w:themeColor="text1"/>
                <w:sz w:val="24"/>
                <w:szCs w:val="24"/>
                <w:highlight w:val="none"/>
                <w14:textFill>
                  <w14:solidFill>
                    <w14:schemeClr w14:val="tx1"/>
                  </w14:solidFill>
                </w14:textFill>
              </w:rPr>
              <w:t>分，无方案无措施的不得分。</w:t>
            </w:r>
          </w:p>
        </w:tc>
        <w:tc>
          <w:tcPr>
            <w:tcW w:w="700" w:type="dxa"/>
            <w:noWrap w:val="0"/>
            <w:vAlign w:val="center"/>
          </w:tcPr>
          <w:p w14:paraId="11B098DB">
            <w:pPr>
              <w:snapToGrid w:val="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763" w:type="dxa"/>
            <w:noWrap w:val="0"/>
            <w:vAlign w:val="center"/>
          </w:tcPr>
          <w:p w14:paraId="024EDF30">
            <w:pPr>
              <w:snapToGrid w:val="0"/>
              <w:spacing w:line="26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主观</w:t>
            </w:r>
          </w:p>
        </w:tc>
        <w:tc>
          <w:tcPr>
            <w:tcW w:w="1062" w:type="dxa"/>
            <w:noWrap w:val="0"/>
            <w:vAlign w:val="top"/>
          </w:tcPr>
          <w:p w14:paraId="7C2DC713">
            <w:pPr>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81EF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noWrap w:val="0"/>
            <w:vAlign w:val="center"/>
          </w:tcPr>
          <w:p w14:paraId="6092AC87">
            <w:pPr>
              <w:snapToGrid w:val="0"/>
              <w:spacing w:line="26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6062" w:type="dxa"/>
            <w:gridSpan w:val="2"/>
            <w:noWrap w:val="0"/>
            <w:vAlign w:val="center"/>
          </w:tcPr>
          <w:p w14:paraId="1281AAA4">
            <w:pPr>
              <w:snapToGrid w:val="0"/>
              <w:spacing w:line="264"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投标货物的技术性能（</w:t>
            </w:r>
            <w:r>
              <w:rPr>
                <w:rFonts w:hint="eastAsia" w:ascii="宋体" w:hAnsi="宋体" w:eastAsia="宋体" w:cs="宋体"/>
                <w:b/>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14:textFill>
                  <w14:solidFill>
                    <w14:schemeClr w14:val="tx1"/>
                  </w14:solidFill>
                </w14:textFill>
              </w:rPr>
              <w:t>根据所投货物技术性能先进程度、在临床使用效果评分。技术性能先进充分满足临床要求且优化的得</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分，技术性能基本满足临床要求的得</w:t>
            </w:r>
            <w:r>
              <w:rPr>
                <w:rFonts w:hint="eastAsia" w:ascii="宋体" w:hAnsi="宋体" w:eastAsia="宋体" w:cs="宋体"/>
                <w:color w:val="000000" w:themeColor="text1"/>
                <w:sz w:val="24"/>
                <w:szCs w:val="24"/>
                <w:highlight w:val="none"/>
                <w:u w:val="single"/>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分；技术性能不能完全满足临床要求的得</w:t>
            </w:r>
            <w:r>
              <w:rPr>
                <w:rFonts w:hint="eastAsia" w:ascii="宋体" w:hAnsi="宋体" w:eastAsia="宋体" w:cs="宋体"/>
                <w:color w:val="000000" w:themeColor="text1"/>
                <w:sz w:val="24"/>
                <w:szCs w:val="24"/>
                <w:highlight w:val="none"/>
                <w:u w:val="single"/>
                <w14:textFill>
                  <w14:solidFill>
                    <w14:schemeClr w14:val="tx1"/>
                  </w14:solidFill>
                </w14:textFill>
              </w:rPr>
              <w:t>0.5</w:t>
            </w:r>
            <w:r>
              <w:rPr>
                <w:rFonts w:hint="eastAsia" w:ascii="宋体" w:hAnsi="宋体" w:eastAsia="宋体" w:cs="宋体"/>
                <w:color w:val="000000" w:themeColor="text1"/>
                <w:sz w:val="24"/>
                <w:szCs w:val="24"/>
                <w:highlight w:val="none"/>
                <w14:textFill>
                  <w14:solidFill>
                    <w14:schemeClr w14:val="tx1"/>
                  </w14:solidFill>
                </w14:textFill>
              </w:rPr>
              <w:t>分；存在较大的缺陷、技术性能与临床要求差距较大的得0分。</w:t>
            </w:r>
          </w:p>
        </w:tc>
        <w:tc>
          <w:tcPr>
            <w:tcW w:w="700" w:type="dxa"/>
            <w:noWrap w:val="0"/>
            <w:vAlign w:val="center"/>
          </w:tcPr>
          <w:p w14:paraId="10186566">
            <w:pPr>
              <w:snapToGrid w:val="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763" w:type="dxa"/>
            <w:noWrap w:val="0"/>
            <w:vAlign w:val="center"/>
          </w:tcPr>
          <w:p w14:paraId="2C06E3E0">
            <w:pPr>
              <w:snapToGrid w:val="0"/>
              <w:spacing w:line="26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主观</w:t>
            </w:r>
          </w:p>
        </w:tc>
        <w:tc>
          <w:tcPr>
            <w:tcW w:w="1062" w:type="dxa"/>
            <w:noWrap w:val="0"/>
            <w:vAlign w:val="top"/>
          </w:tcPr>
          <w:p w14:paraId="50B86514">
            <w:pPr>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20A9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noWrap w:val="0"/>
            <w:vAlign w:val="center"/>
          </w:tcPr>
          <w:p w14:paraId="4180919E">
            <w:pPr>
              <w:snapToGrid w:val="0"/>
              <w:spacing w:line="26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6062" w:type="dxa"/>
            <w:gridSpan w:val="2"/>
            <w:noWrap w:val="0"/>
            <w:vAlign w:val="center"/>
          </w:tcPr>
          <w:p w14:paraId="68FE6BAA">
            <w:pPr>
              <w:snapToGrid w:val="0"/>
              <w:spacing w:before="120" w:beforeLines="50" w:after="120" w:afterLines="50" w:line="264"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售后服务承诺（</w:t>
            </w:r>
            <w:r>
              <w:rPr>
                <w:rFonts w:hint="eastAsia" w:ascii="宋体" w:hAnsi="宋体" w:eastAsia="宋体" w:cs="宋体"/>
                <w:b/>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14:textFill>
                  <w14:solidFill>
                    <w14:schemeClr w14:val="tx1"/>
                  </w14:solidFill>
                </w14:textFill>
              </w:rPr>
              <w:t>，根据投标文件承诺给予招标人的各种售后服务条件，综合服务内容评审打分。售后服务方案全面周到的，得</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分，售后服务方案较全面周到的，得</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分，售后服务方案存在明显缺陷的，得</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0.5</w:t>
            </w:r>
            <w:r>
              <w:rPr>
                <w:rFonts w:hint="eastAsia" w:ascii="宋体" w:hAnsi="宋体" w:eastAsia="宋体" w:cs="宋体"/>
                <w:color w:val="000000" w:themeColor="text1"/>
                <w:sz w:val="24"/>
                <w:szCs w:val="24"/>
                <w:highlight w:val="none"/>
                <w14:textFill>
                  <w14:solidFill>
                    <w14:schemeClr w14:val="tx1"/>
                  </w14:solidFill>
                </w14:textFill>
              </w:rPr>
              <w:t>分，无售后服务承诺的不得分。</w:t>
            </w:r>
          </w:p>
        </w:tc>
        <w:tc>
          <w:tcPr>
            <w:tcW w:w="700" w:type="dxa"/>
            <w:noWrap w:val="0"/>
            <w:vAlign w:val="center"/>
          </w:tcPr>
          <w:p w14:paraId="50611EC0">
            <w:pPr>
              <w:snapToGrid w:val="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763" w:type="dxa"/>
            <w:noWrap w:val="0"/>
            <w:vAlign w:val="center"/>
          </w:tcPr>
          <w:p w14:paraId="10FFE928">
            <w:pPr>
              <w:snapToGrid w:val="0"/>
              <w:spacing w:line="26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主观</w:t>
            </w:r>
          </w:p>
        </w:tc>
        <w:tc>
          <w:tcPr>
            <w:tcW w:w="1062" w:type="dxa"/>
            <w:noWrap w:val="0"/>
            <w:vAlign w:val="top"/>
          </w:tcPr>
          <w:p w14:paraId="14AF8381">
            <w:pPr>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002B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noWrap w:val="0"/>
            <w:vAlign w:val="center"/>
          </w:tcPr>
          <w:p w14:paraId="7E8E8BBA">
            <w:pPr>
              <w:snapToGrid w:val="0"/>
              <w:spacing w:line="26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c>
          <w:tcPr>
            <w:tcW w:w="6062" w:type="dxa"/>
            <w:gridSpan w:val="2"/>
            <w:noWrap w:val="0"/>
            <w:vAlign w:val="center"/>
          </w:tcPr>
          <w:p w14:paraId="537D190F">
            <w:pPr>
              <w:snapToGrid w:val="0"/>
              <w:spacing w:before="120" w:beforeLines="50" w:after="120" w:afterLines="50" w:line="264"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维修成本（</w:t>
            </w:r>
            <w:r>
              <w:rPr>
                <w:rFonts w:hint="eastAsia" w:ascii="宋体" w:hAnsi="宋体" w:eastAsia="宋体" w:cs="宋体"/>
                <w:b/>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GB"/>
                <w14:textFill>
                  <w14:solidFill>
                    <w14:schemeClr w14:val="tx1"/>
                  </w14:solidFill>
                </w14:textFill>
              </w:rPr>
              <w:t>维修成本（</w:t>
            </w:r>
            <w:r>
              <w:rPr>
                <w:rFonts w:hint="eastAsia" w:ascii="宋体" w:hAnsi="宋体" w:eastAsia="宋体" w:cs="宋体"/>
                <w:color w:val="000000" w:themeColor="text1"/>
                <w:sz w:val="24"/>
                <w:szCs w:val="24"/>
                <w:highlight w:val="none"/>
                <w14:textFill>
                  <w14:solidFill>
                    <w14:schemeClr w14:val="tx1"/>
                  </w14:solidFill>
                </w14:textFill>
              </w:rPr>
              <w:t>包括保修价格、设备配件价格，维修服务费等维修价格。</w:t>
            </w:r>
          </w:p>
          <w:p w14:paraId="036890F1">
            <w:pPr>
              <w:snapToGrid w:val="0"/>
              <w:spacing w:before="120" w:beforeLines="50" w:after="120" w:afterLines="50" w:line="264"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报价合理维修成本低得</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分；报价和维修成本一般得1分，维修成本报价不合理得0.5分，无维修报价得0分。</w:t>
            </w:r>
          </w:p>
        </w:tc>
        <w:tc>
          <w:tcPr>
            <w:tcW w:w="700" w:type="dxa"/>
            <w:noWrap w:val="0"/>
            <w:vAlign w:val="center"/>
          </w:tcPr>
          <w:p w14:paraId="45A8EEB6">
            <w:pPr>
              <w:snapToGrid w:val="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763" w:type="dxa"/>
            <w:noWrap w:val="0"/>
            <w:vAlign w:val="center"/>
          </w:tcPr>
          <w:p w14:paraId="713F338F">
            <w:pPr>
              <w:snapToGrid w:val="0"/>
              <w:spacing w:line="26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主观</w:t>
            </w:r>
          </w:p>
        </w:tc>
        <w:tc>
          <w:tcPr>
            <w:tcW w:w="1062" w:type="dxa"/>
            <w:noWrap w:val="0"/>
            <w:vAlign w:val="top"/>
          </w:tcPr>
          <w:p w14:paraId="473B8F72">
            <w:pPr>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AFB9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noWrap w:val="0"/>
            <w:vAlign w:val="center"/>
          </w:tcPr>
          <w:p w14:paraId="6B78060B">
            <w:pPr>
              <w:snapToGrid w:val="0"/>
              <w:spacing w:line="26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p>
        </w:tc>
        <w:tc>
          <w:tcPr>
            <w:tcW w:w="6062" w:type="dxa"/>
            <w:gridSpan w:val="2"/>
            <w:noWrap w:val="0"/>
            <w:vAlign w:val="center"/>
          </w:tcPr>
          <w:p w14:paraId="2B42FDCE">
            <w:pPr>
              <w:snapToGrid w:val="0"/>
              <w:spacing w:before="120" w:beforeLines="50" w:after="120" w:afterLines="50" w:line="264"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售后服务机构技术服务人员情况（</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14:textFill>
                  <w14:solidFill>
                    <w14:schemeClr w14:val="tx1"/>
                  </w14:solidFill>
                </w14:textFill>
              </w:rPr>
              <w:t>，提供姓名、工作经验、资质证书情况，人员配备充足售后服务经验丰富得</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分，人员配备和售后服务一般得</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分，人员配备不足售后服务经验差</w:t>
            </w:r>
            <w:r>
              <w:rPr>
                <w:rFonts w:hint="eastAsia" w:ascii="宋体" w:hAnsi="宋体" w:eastAsia="宋体" w:cs="宋体"/>
                <w:color w:val="000000" w:themeColor="text1"/>
                <w:sz w:val="24"/>
                <w:szCs w:val="24"/>
                <w:highlight w:val="none"/>
                <w:lang w:val="en-US" w:eastAsia="zh-CN"/>
                <w14:textFill>
                  <w14:solidFill>
                    <w14:schemeClr w14:val="tx1"/>
                  </w14:solidFill>
                </w14:textFill>
              </w:rPr>
              <w:t>0.5</w:t>
            </w:r>
            <w:r>
              <w:rPr>
                <w:rFonts w:hint="eastAsia" w:ascii="宋体" w:hAnsi="宋体" w:eastAsia="宋体" w:cs="宋体"/>
                <w:color w:val="000000" w:themeColor="text1"/>
                <w:sz w:val="24"/>
                <w:szCs w:val="24"/>
                <w:highlight w:val="none"/>
                <w14:textFill>
                  <w14:solidFill>
                    <w14:schemeClr w14:val="tx1"/>
                  </w14:solidFill>
                </w14:textFill>
              </w:rPr>
              <w:t>分，无人员配备得0分。</w:t>
            </w:r>
          </w:p>
        </w:tc>
        <w:tc>
          <w:tcPr>
            <w:tcW w:w="700" w:type="dxa"/>
            <w:noWrap w:val="0"/>
            <w:vAlign w:val="center"/>
          </w:tcPr>
          <w:p w14:paraId="47EC2F91">
            <w:pPr>
              <w:snapToGrid w:val="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763" w:type="dxa"/>
            <w:noWrap w:val="0"/>
            <w:vAlign w:val="center"/>
          </w:tcPr>
          <w:p w14:paraId="5F1EDC6D">
            <w:pPr>
              <w:snapToGrid w:val="0"/>
              <w:spacing w:line="26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主观</w:t>
            </w:r>
          </w:p>
        </w:tc>
        <w:tc>
          <w:tcPr>
            <w:tcW w:w="1062" w:type="dxa"/>
            <w:noWrap w:val="0"/>
            <w:vAlign w:val="top"/>
          </w:tcPr>
          <w:p w14:paraId="4E7A4FB5">
            <w:pPr>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C0C7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noWrap w:val="0"/>
            <w:vAlign w:val="center"/>
          </w:tcPr>
          <w:p w14:paraId="1ADD2A67">
            <w:pPr>
              <w:snapToGrid w:val="0"/>
              <w:spacing w:line="26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p>
        </w:tc>
        <w:tc>
          <w:tcPr>
            <w:tcW w:w="6062" w:type="dxa"/>
            <w:gridSpan w:val="2"/>
            <w:noWrap w:val="0"/>
            <w:vAlign w:val="center"/>
          </w:tcPr>
          <w:p w14:paraId="1017C84D">
            <w:pPr>
              <w:snapToGrid w:val="0"/>
              <w:spacing w:line="264"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业绩（3分）</w:t>
            </w:r>
            <w:r>
              <w:rPr>
                <w:rFonts w:hint="eastAsia" w:ascii="宋体" w:hAnsi="宋体" w:eastAsia="宋体" w:cs="宋体"/>
                <w:color w:val="000000" w:themeColor="text1"/>
                <w:sz w:val="24"/>
                <w:szCs w:val="24"/>
                <w:highlight w:val="none"/>
                <w14:textFill>
                  <w14:solidFill>
                    <w14:schemeClr w14:val="tx1"/>
                  </w14:solidFill>
                </w14:textFill>
              </w:rPr>
              <w:t>，提供自 2021年 1 月 1 日以来（时间以合同签订时间为准），投标人承担过类似病床项目业绩的，每个业绩得</w:t>
            </w:r>
            <w:r>
              <w:rPr>
                <w:rFonts w:hint="eastAsia" w:ascii="宋体" w:hAnsi="宋体" w:eastAsia="宋体" w:cs="宋体"/>
                <w:color w:val="000000" w:themeColor="text1"/>
                <w:sz w:val="24"/>
                <w:szCs w:val="24"/>
                <w:highlight w:val="none"/>
                <w:lang w:val="en-US" w:eastAsia="zh-CN"/>
                <w14:textFill>
                  <w14:solidFill>
                    <w14:schemeClr w14:val="tx1"/>
                  </w14:solidFill>
                </w14:textFill>
              </w:rPr>
              <w:t>0.5</w:t>
            </w:r>
            <w:r>
              <w:rPr>
                <w:rFonts w:hint="eastAsia" w:ascii="宋体" w:hAnsi="宋体" w:eastAsia="宋体" w:cs="宋体"/>
                <w:color w:val="000000" w:themeColor="text1"/>
                <w:sz w:val="24"/>
                <w:szCs w:val="24"/>
                <w:highlight w:val="none"/>
                <w14:textFill>
                  <w14:solidFill>
                    <w14:schemeClr w14:val="tx1"/>
                  </w14:solidFill>
                </w14:textFill>
              </w:rPr>
              <w:t>分，本项满分3分。提供完整的合同复印件，复印件能清楚的辨析设备型号和价格，未提供不得分。</w:t>
            </w:r>
          </w:p>
          <w:p w14:paraId="04F18803">
            <w:pPr>
              <w:snapToGrid w:val="0"/>
              <w:spacing w:line="264"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(对省级以上主管部门认定的首台套产品，自纳入《省推广应用指导目录》起三年内参加政府采购活动，视同已具备相应销售业绩，业绩分为满分，提供相关的证明)</w:t>
            </w:r>
          </w:p>
        </w:tc>
        <w:tc>
          <w:tcPr>
            <w:tcW w:w="700" w:type="dxa"/>
            <w:noWrap w:val="0"/>
            <w:vAlign w:val="center"/>
          </w:tcPr>
          <w:p w14:paraId="2E0D2936">
            <w:pPr>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763" w:type="dxa"/>
            <w:noWrap w:val="0"/>
            <w:vAlign w:val="center"/>
          </w:tcPr>
          <w:p w14:paraId="5A4B859B">
            <w:pPr>
              <w:snapToGrid w:val="0"/>
              <w:spacing w:line="26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客观</w:t>
            </w:r>
          </w:p>
        </w:tc>
        <w:tc>
          <w:tcPr>
            <w:tcW w:w="1062" w:type="dxa"/>
            <w:noWrap w:val="0"/>
            <w:vAlign w:val="top"/>
          </w:tcPr>
          <w:p w14:paraId="44BBC69D">
            <w:pPr>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64F6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noWrap w:val="0"/>
            <w:vAlign w:val="center"/>
          </w:tcPr>
          <w:p w14:paraId="010D1031">
            <w:pPr>
              <w:snapToGrid w:val="0"/>
              <w:spacing w:line="264"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p>
        </w:tc>
        <w:tc>
          <w:tcPr>
            <w:tcW w:w="6062" w:type="dxa"/>
            <w:gridSpan w:val="2"/>
            <w:noWrap w:val="0"/>
            <w:vAlign w:val="center"/>
          </w:tcPr>
          <w:p w14:paraId="6CD5271A">
            <w:pPr>
              <w:snapToGrid w:val="0"/>
              <w:spacing w:line="264"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认证证书（3分），</w:t>
            </w:r>
            <w:r>
              <w:rPr>
                <w:rFonts w:hint="eastAsia" w:ascii="宋体" w:hAnsi="宋体" w:eastAsia="宋体" w:cs="宋体"/>
                <w:color w:val="000000" w:themeColor="text1"/>
                <w:sz w:val="24"/>
                <w:szCs w:val="24"/>
                <w:highlight w:val="none"/>
                <w14:textFill>
                  <w14:solidFill>
                    <w14:schemeClr w14:val="tx1"/>
                  </w14:solidFill>
                </w14:textFill>
              </w:rPr>
              <w:t>投标人具有有效的环境管理体系认证证书、 质量管理体系认证证书、职业健康安全管理体系认证证书，每提供1个证书得1分，最高得3分。未提供不得分。</w:t>
            </w:r>
          </w:p>
          <w:p w14:paraId="5271C2D9">
            <w:pPr>
              <w:snapToGrid w:val="0"/>
              <w:spacing w:line="264"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评审依据：提供证书扫描件以及全国认证认可信息公共服务平查询截图予以佐证。</w:t>
            </w:r>
          </w:p>
        </w:tc>
        <w:tc>
          <w:tcPr>
            <w:tcW w:w="700" w:type="dxa"/>
            <w:noWrap w:val="0"/>
            <w:vAlign w:val="center"/>
          </w:tcPr>
          <w:p w14:paraId="16DA26FF">
            <w:pPr>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763" w:type="dxa"/>
            <w:noWrap w:val="0"/>
            <w:vAlign w:val="center"/>
          </w:tcPr>
          <w:p w14:paraId="038E078A">
            <w:pPr>
              <w:snapToGrid w:val="0"/>
              <w:spacing w:line="26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客观</w:t>
            </w:r>
          </w:p>
        </w:tc>
        <w:tc>
          <w:tcPr>
            <w:tcW w:w="1062" w:type="dxa"/>
            <w:noWrap w:val="0"/>
            <w:vAlign w:val="top"/>
          </w:tcPr>
          <w:p w14:paraId="7ED441A9">
            <w:pPr>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9DD3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713" w:type="dxa"/>
            <w:vMerge w:val="restart"/>
            <w:noWrap w:val="0"/>
            <w:vAlign w:val="center"/>
          </w:tcPr>
          <w:p w14:paraId="7F309967">
            <w:pPr>
              <w:snapToGrid w:val="0"/>
              <w:spacing w:line="264"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p>
        </w:tc>
        <w:tc>
          <w:tcPr>
            <w:tcW w:w="1148" w:type="dxa"/>
            <w:vMerge w:val="restart"/>
            <w:noWrap w:val="0"/>
            <w:vAlign w:val="center"/>
          </w:tcPr>
          <w:p w14:paraId="4B9B33FF">
            <w:pPr>
              <w:snapToGrid w:val="0"/>
              <w:spacing w:line="264" w:lineRule="auto"/>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投标样品（</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b/>
                <w:bCs/>
                <w:color w:val="000000" w:themeColor="text1"/>
                <w:sz w:val="24"/>
                <w:szCs w:val="24"/>
                <w:highlight w:val="none"/>
                <w14:textFill>
                  <w14:solidFill>
                    <w14:schemeClr w14:val="tx1"/>
                  </w14:solidFill>
                </w14:textFill>
              </w:rPr>
              <w:t>分）</w:t>
            </w:r>
          </w:p>
        </w:tc>
        <w:tc>
          <w:tcPr>
            <w:tcW w:w="4914" w:type="dxa"/>
            <w:noWrap w:val="0"/>
            <w:vAlign w:val="center"/>
          </w:tcPr>
          <w:p w14:paraId="32D5D2F9">
            <w:pPr>
              <w:numPr>
                <w:ilvl w:val="0"/>
                <w:numId w:val="3"/>
              </w:numPr>
              <w:snapToGrid w:val="0"/>
              <w:spacing w:line="264" w:lineRule="auto"/>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序号2监护床一张</w:t>
            </w: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bCs/>
                <w:color w:val="000000" w:themeColor="text1"/>
                <w:sz w:val="24"/>
                <w:szCs w:val="24"/>
                <w:highlight w:val="none"/>
                <w14:textFill>
                  <w14:solidFill>
                    <w14:schemeClr w14:val="tx1"/>
                  </w14:solidFill>
                </w14:textFill>
              </w:rPr>
              <w:t>分）</w:t>
            </w:r>
          </w:p>
          <w:p w14:paraId="62DD726A">
            <w:pPr>
              <w:snapToGrid w:val="0"/>
              <w:spacing w:line="264"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根据提供样品的工艺、质量、性能综合评价。</w:t>
            </w:r>
          </w:p>
          <w:p w14:paraId="77AA6F38">
            <w:pPr>
              <w:snapToGrid w:val="0"/>
              <w:spacing w:line="264"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样品工艺、质量、性能符合且优于采购文件需求的得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分，基本符合采购文件需求的得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分，部分符合采购文件需求的得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w:t>
            </w:r>
          </w:p>
          <w:p w14:paraId="2DABC77C">
            <w:pPr>
              <w:snapToGrid w:val="0"/>
              <w:spacing w:line="264" w:lineRule="auto"/>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备注：未提供的不得分。</w:t>
            </w:r>
          </w:p>
        </w:tc>
        <w:tc>
          <w:tcPr>
            <w:tcW w:w="700" w:type="dxa"/>
            <w:vMerge w:val="restart"/>
            <w:noWrap w:val="0"/>
            <w:vAlign w:val="center"/>
          </w:tcPr>
          <w:p w14:paraId="5E3212A1">
            <w:pPr>
              <w:snapToGrid w:val="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763" w:type="dxa"/>
            <w:vMerge w:val="restart"/>
            <w:noWrap w:val="0"/>
            <w:vAlign w:val="center"/>
          </w:tcPr>
          <w:p w14:paraId="29453DD8">
            <w:pPr>
              <w:snapToGrid w:val="0"/>
              <w:spacing w:line="26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主观</w:t>
            </w:r>
          </w:p>
        </w:tc>
        <w:tc>
          <w:tcPr>
            <w:tcW w:w="1062" w:type="dxa"/>
            <w:vMerge w:val="restart"/>
            <w:noWrap w:val="0"/>
            <w:vAlign w:val="top"/>
          </w:tcPr>
          <w:p w14:paraId="6E8BA9AC">
            <w:pPr>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3B6E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13" w:type="dxa"/>
            <w:vMerge w:val="continue"/>
            <w:noWrap w:val="0"/>
            <w:vAlign w:val="center"/>
          </w:tcPr>
          <w:p w14:paraId="3E58C6AC">
            <w:pPr>
              <w:snapToGrid w:val="0"/>
              <w:spacing w:line="264"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48" w:type="dxa"/>
            <w:vMerge w:val="continue"/>
            <w:noWrap w:val="0"/>
            <w:vAlign w:val="center"/>
          </w:tcPr>
          <w:p w14:paraId="79726E16">
            <w:pPr>
              <w:snapToGrid w:val="0"/>
              <w:spacing w:line="264" w:lineRule="auto"/>
              <w:jc w:val="left"/>
              <w:rPr>
                <w:rFonts w:hint="eastAsia" w:ascii="宋体" w:hAnsi="宋体" w:eastAsia="宋体" w:cs="宋体"/>
                <w:b/>
                <w:bCs/>
                <w:color w:val="000000" w:themeColor="text1"/>
                <w:sz w:val="24"/>
                <w:szCs w:val="24"/>
                <w:highlight w:val="none"/>
                <w14:textFill>
                  <w14:solidFill>
                    <w14:schemeClr w14:val="tx1"/>
                  </w14:solidFill>
                </w14:textFill>
              </w:rPr>
            </w:pPr>
          </w:p>
        </w:tc>
        <w:tc>
          <w:tcPr>
            <w:tcW w:w="4914" w:type="dxa"/>
            <w:noWrap w:val="0"/>
            <w:vAlign w:val="center"/>
          </w:tcPr>
          <w:p w14:paraId="518CD07A">
            <w:pPr>
              <w:numPr>
                <w:ilvl w:val="0"/>
                <w:numId w:val="3"/>
              </w:numPr>
              <w:snapToGrid w:val="0"/>
              <w:spacing w:line="264" w:lineRule="auto"/>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序号8普通电动床一张</w:t>
            </w: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bCs/>
                <w:color w:val="000000" w:themeColor="text1"/>
                <w:sz w:val="24"/>
                <w:szCs w:val="24"/>
                <w:highlight w:val="none"/>
                <w14:textFill>
                  <w14:solidFill>
                    <w14:schemeClr w14:val="tx1"/>
                  </w14:solidFill>
                </w14:textFill>
              </w:rPr>
              <w:t>分）</w:t>
            </w:r>
          </w:p>
          <w:p w14:paraId="1BA54B3F">
            <w:pPr>
              <w:snapToGrid w:val="0"/>
              <w:spacing w:line="264"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根据提供样品的工艺、质量、性能综合评价。</w:t>
            </w:r>
          </w:p>
          <w:p w14:paraId="2A912A44">
            <w:pPr>
              <w:snapToGrid w:val="0"/>
              <w:spacing w:line="264"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样品工艺、质量、性能符合且优于采购文件需求的得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分，基本符合采购文件需求的得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分，部分符合采购文件需求的得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w:t>
            </w:r>
          </w:p>
          <w:p w14:paraId="19F361F2">
            <w:pPr>
              <w:snapToGrid w:val="0"/>
              <w:spacing w:line="264" w:lineRule="auto"/>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备注：未提供的不得分。</w:t>
            </w:r>
          </w:p>
        </w:tc>
        <w:tc>
          <w:tcPr>
            <w:tcW w:w="700" w:type="dxa"/>
            <w:vMerge w:val="continue"/>
            <w:noWrap w:val="0"/>
            <w:vAlign w:val="center"/>
          </w:tcPr>
          <w:p w14:paraId="319A24D7">
            <w:pPr>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63" w:type="dxa"/>
            <w:vMerge w:val="continue"/>
            <w:noWrap w:val="0"/>
            <w:vAlign w:val="center"/>
          </w:tcPr>
          <w:p w14:paraId="6D8C1C8E">
            <w:pPr>
              <w:snapToGrid w:val="0"/>
              <w:spacing w:line="264"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62" w:type="dxa"/>
            <w:vMerge w:val="continue"/>
            <w:noWrap w:val="0"/>
            <w:vAlign w:val="top"/>
          </w:tcPr>
          <w:p w14:paraId="1FB4C337">
            <w:pPr>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09A7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13" w:type="dxa"/>
            <w:vMerge w:val="continue"/>
            <w:noWrap w:val="0"/>
            <w:vAlign w:val="center"/>
          </w:tcPr>
          <w:p w14:paraId="6B27CD87">
            <w:pPr>
              <w:snapToGrid w:val="0"/>
              <w:spacing w:line="264"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48" w:type="dxa"/>
            <w:vMerge w:val="continue"/>
            <w:noWrap w:val="0"/>
            <w:vAlign w:val="center"/>
          </w:tcPr>
          <w:p w14:paraId="19048831">
            <w:pPr>
              <w:snapToGrid w:val="0"/>
              <w:spacing w:line="264" w:lineRule="auto"/>
              <w:jc w:val="left"/>
              <w:rPr>
                <w:rFonts w:hint="eastAsia" w:ascii="宋体" w:hAnsi="宋体" w:eastAsia="宋体" w:cs="宋体"/>
                <w:b/>
                <w:bCs/>
                <w:color w:val="000000" w:themeColor="text1"/>
                <w:sz w:val="24"/>
                <w:szCs w:val="24"/>
                <w:highlight w:val="none"/>
                <w14:textFill>
                  <w14:solidFill>
                    <w14:schemeClr w14:val="tx1"/>
                  </w14:solidFill>
                </w14:textFill>
              </w:rPr>
            </w:pPr>
          </w:p>
        </w:tc>
        <w:tc>
          <w:tcPr>
            <w:tcW w:w="4914" w:type="dxa"/>
            <w:noWrap w:val="0"/>
            <w:vAlign w:val="center"/>
          </w:tcPr>
          <w:p w14:paraId="6059AE5C">
            <w:pPr>
              <w:numPr>
                <w:ilvl w:val="0"/>
                <w:numId w:val="3"/>
              </w:numPr>
              <w:snapToGrid w:val="0"/>
              <w:spacing w:line="264" w:lineRule="auto"/>
              <w:ind w:left="0" w:leftChars="0" w:firstLine="0" w:firstLineChars="0"/>
              <w:jc w:val="left"/>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序号21移动查房车（不带电脑）一辆（5分）</w:t>
            </w:r>
          </w:p>
          <w:p w14:paraId="60F29185">
            <w:pPr>
              <w:snapToGrid w:val="0"/>
              <w:spacing w:line="264"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根据提供样品的工艺、质量、性能综合评价。</w:t>
            </w:r>
          </w:p>
          <w:p w14:paraId="3B021DBC">
            <w:pPr>
              <w:snapToGrid w:val="0"/>
              <w:spacing w:line="264"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样品工艺、质量、性能符合且优于采购文件需求的得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分，基本符合采购文件需求的得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分，部分符合采购文件需求的得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w:t>
            </w:r>
          </w:p>
          <w:p w14:paraId="35A4C3A4">
            <w:pPr>
              <w:numPr>
                <w:ilvl w:val="0"/>
                <w:numId w:val="0"/>
              </w:numPr>
              <w:snapToGrid w:val="0"/>
              <w:spacing w:line="264" w:lineRule="auto"/>
              <w:ind w:leftChars="0"/>
              <w:jc w:val="left"/>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备注：未提供的不得分。</w:t>
            </w:r>
          </w:p>
        </w:tc>
        <w:tc>
          <w:tcPr>
            <w:tcW w:w="700" w:type="dxa"/>
            <w:vMerge w:val="continue"/>
            <w:noWrap w:val="0"/>
            <w:vAlign w:val="center"/>
          </w:tcPr>
          <w:p w14:paraId="7C401397">
            <w:pPr>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63" w:type="dxa"/>
            <w:vMerge w:val="continue"/>
            <w:noWrap w:val="0"/>
            <w:vAlign w:val="center"/>
          </w:tcPr>
          <w:p w14:paraId="5CCB92DA">
            <w:pPr>
              <w:snapToGrid w:val="0"/>
              <w:spacing w:line="264"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62" w:type="dxa"/>
            <w:vMerge w:val="continue"/>
            <w:noWrap w:val="0"/>
            <w:vAlign w:val="top"/>
          </w:tcPr>
          <w:p w14:paraId="4CE3D19C">
            <w:pPr>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C12F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noWrap w:val="0"/>
            <w:vAlign w:val="center"/>
          </w:tcPr>
          <w:p w14:paraId="10CAC4FF">
            <w:pPr>
              <w:snapToGrid w:val="0"/>
              <w:spacing w:line="264"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c>
          <w:tcPr>
            <w:tcW w:w="6062" w:type="dxa"/>
            <w:gridSpan w:val="2"/>
            <w:noWrap w:val="0"/>
            <w:vAlign w:val="center"/>
          </w:tcPr>
          <w:p w14:paraId="4F3087D7">
            <w:pPr>
              <w:snapToGrid w:val="0"/>
              <w:spacing w:line="264"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政策分（1分）</w:t>
            </w:r>
            <w:r>
              <w:rPr>
                <w:rFonts w:hint="eastAsia" w:ascii="宋体" w:hAnsi="宋体" w:eastAsia="宋体" w:cs="宋体"/>
                <w:bCs/>
                <w:color w:val="000000" w:themeColor="text1"/>
                <w:sz w:val="24"/>
                <w:szCs w:val="24"/>
                <w:highlight w:val="none"/>
                <w14:textFill>
                  <w14:solidFill>
                    <w14:schemeClr w14:val="tx1"/>
                  </w14:solidFill>
                </w14:textFill>
              </w:rPr>
              <w:t>，</w:t>
            </w:r>
          </w:p>
          <w:p w14:paraId="4C1869C5">
            <w:pPr>
              <w:snapToGrid w:val="0"/>
              <w:spacing w:line="264" w:lineRule="auto"/>
              <w:ind w:right="-21" w:rightChars="-1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1）投标产品列入财政部、发展改革委、生态环境部等部门发布的节能产品品目清单且提供国家确定的认证机构出具的、处于有效期之内的节能产品认证证书的，得0.5分。</w:t>
            </w:r>
            <w:r>
              <w:rPr>
                <w:rFonts w:hint="eastAsia" w:ascii="宋体" w:hAnsi="宋体" w:eastAsia="宋体" w:cs="宋体"/>
                <w:color w:val="000000" w:themeColor="text1"/>
                <w:kern w:val="0"/>
                <w:sz w:val="24"/>
                <w:szCs w:val="24"/>
                <w:highlight w:val="none"/>
                <w14:textFill>
                  <w14:solidFill>
                    <w14:schemeClr w14:val="tx1"/>
                  </w14:solidFill>
                </w14:textFill>
              </w:rPr>
              <w:t>（提供扫描件或复印件）</w:t>
            </w:r>
          </w:p>
          <w:p w14:paraId="47F472F7">
            <w:pPr>
              <w:snapToGrid w:val="0"/>
              <w:spacing w:line="264" w:lineRule="auto"/>
              <w:jc w:val="lef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2）投标产品列入财政部、发展改革委、生态环境部等部门发布的环境标志产品品目清单且提供国家确定的认证机构出具的、处于有效期之内的环境标志产品认证证书的，得0.5分。</w:t>
            </w:r>
            <w:r>
              <w:rPr>
                <w:rFonts w:hint="eastAsia" w:ascii="宋体" w:hAnsi="宋体" w:eastAsia="宋体" w:cs="宋体"/>
                <w:color w:val="000000" w:themeColor="text1"/>
                <w:kern w:val="0"/>
                <w:sz w:val="24"/>
                <w:szCs w:val="24"/>
                <w:highlight w:val="none"/>
                <w14:textFill>
                  <w14:solidFill>
                    <w14:schemeClr w14:val="tx1"/>
                  </w14:solidFill>
                </w14:textFill>
              </w:rPr>
              <w:t>（提供扫描件或复印件）</w:t>
            </w:r>
          </w:p>
        </w:tc>
        <w:tc>
          <w:tcPr>
            <w:tcW w:w="700" w:type="dxa"/>
            <w:noWrap w:val="0"/>
            <w:vAlign w:val="center"/>
          </w:tcPr>
          <w:p w14:paraId="6ED3D4AD">
            <w:pPr>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763" w:type="dxa"/>
            <w:noWrap w:val="0"/>
            <w:vAlign w:val="center"/>
          </w:tcPr>
          <w:p w14:paraId="00063DCC">
            <w:pPr>
              <w:snapToGrid w:val="0"/>
              <w:spacing w:line="26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客观</w:t>
            </w:r>
          </w:p>
        </w:tc>
        <w:tc>
          <w:tcPr>
            <w:tcW w:w="1062" w:type="dxa"/>
            <w:noWrap w:val="0"/>
            <w:vAlign w:val="top"/>
          </w:tcPr>
          <w:p w14:paraId="5BFEF7BC">
            <w:pPr>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48B4B08D">
      <w:pPr>
        <w:adjustRightInd/>
        <w:spacing w:line="360" w:lineRule="auto"/>
        <w:ind w:firstLine="470" w:firstLineChars="196"/>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*备注：供应商编制响应文件（商务技术文件部分）时，建议按此目录（序号和内容）提供评审标准相应的商务技术资料。 </w:t>
      </w:r>
    </w:p>
    <w:p w14:paraId="0F51897F">
      <w:pPr>
        <w:pStyle w:val="516"/>
        <w:numPr>
          <w:ilvl w:val="0"/>
          <w:numId w:val="4"/>
        </w:numPr>
        <w:ind w:left="0" w:leftChars="0" w:firstLine="482" w:firstLineChars="200"/>
        <w:rPr>
          <w:rFonts w:hint="eastAsia" w:ascii="宋体" w:hAnsi="宋体" w:eastAsia="宋体" w:cs="宋体"/>
          <w:b/>
          <w:color w:val="000000" w:themeColor="text1"/>
          <w:spacing w:val="0"/>
          <w:kern w:val="0"/>
          <w:sz w:val="24"/>
          <w:szCs w:val="24"/>
          <w:highlight w:val="none"/>
          <w:lang w:val="en-US" w:eastAsia="zh-CN" w:bidi="ar-SA"/>
          <w14:textFill>
            <w14:solidFill>
              <w14:schemeClr w14:val="tx1"/>
            </w14:solidFill>
          </w14:textFill>
        </w:rPr>
      </w:pPr>
      <w:r>
        <w:rPr>
          <w:rFonts w:hint="eastAsia" w:ascii="宋体" w:hAnsi="宋体" w:eastAsia="宋体" w:cs="宋体"/>
          <w:b/>
          <w:color w:val="000000" w:themeColor="text1"/>
          <w:spacing w:val="0"/>
          <w:kern w:val="0"/>
          <w:sz w:val="24"/>
          <w:szCs w:val="24"/>
          <w:highlight w:val="none"/>
          <w:lang w:val="en-US" w:eastAsia="zh-CN" w:bidi="ar-SA"/>
          <w14:textFill>
            <w14:solidFill>
              <w14:schemeClr w14:val="tx1"/>
            </w14:solidFill>
          </w14:textFill>
        </w:rPr>
        <w:t>投标报价评分（30分）</w:t>
      </w:r>
    </w:p>
    <w:tbl>
      <w:tblPr>
        <w:tblStyle w:val="63"/>
        <w:tblW w:w="97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246"/>
        <w:gridCol w:w="5849"/>
        <w:gridCol w:w="1076"/>
        <w:gridCol w:w="840"/>
      </w:tblGrid>
      <w:tr w14:paraId="4C178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17" w:type="dxa"/>
            <w:vMerge w:val="restart"/>
            <w:noWrap w:val="0"/>
            <w:vAlign w:val="center"/>
          </w:tcPr>
          <w:p w14:paraId="05A7AA59">
            <w:pPr>
              <w:spacing w:line="400" w:lineRule="exact"/>
              <w:jc w:val="center"/>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1</w:t>
            </w:r>
          </w:p>
        </w:tc>
        <w:tc>
          <w:tcPr>
            <w:tcW w:w="1246" w:type="dxa"/>
            <w:vMerge w:val="restart"/>
            <w:noWrap w:val="0"/>
            <w:vAlign w:val="center"/>
          </w:tcPr>
          <w:p w14:paraId="71017113">
            <w:pPr>
              <w:spacing w:line="400" w:lineRule="exac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价格评审</w:t>
            </w:r>
          </w:p>
        </w:tc>
        <w:tc>
          <w:tcPr>
            <w:tcW w:w="5849" w:type="dxa"/>
            <w:noWrap w:val="0"/>
            <w:vAlign w:val="center"/>
          </w:tcPr>
          <w:p w14:paraId="134C7415">
            <w:pPr>
              <w:spacing w:line="400" w:lineRule="exact"/>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评定项目</w:t>
            </w:r>
          </w:p>
        </w:tc>
        <w:tc>
          <w:tcPr>
            <w:tcW w:w="1076" w:type="dxa"/>
            <w:noWrap w:val="0"/>
            <w:vAlign w:val="center"/>
          </w:tcPr>
          <w:p w14:paraId="21AA3373">
            <w:pPr>
              <w:spacing w:line="400" w:lineRule="exact"/>
              <w:jc w:val="center"/>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分值</w:t>
            </w:r>
          </w:p>
        </w:tc>
        <w:tc>
          <w:tcPr>
            <w:tcW w:w="840" w:type="dxa"/>
            <w:noWrap w:val="0"/>
            <w:vAlign w:val="center"/>
          </w:tcPr>
          <w:p w14:paraId="7710D0BF">
            <w:pPr>
              <w:spacing w:line="400" w:lineRule="exact"/>
              <w:jc w:val="center"/>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备注</w:t>
            </w:r>
          </w:p>
        </w:tc>
      </w:tr>
      <w:tr w14:paraId="201D0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17" w:type="dxa"/>
            <w:vMerge w:val="continue"/>
            <w:noWrap w:val="0"/>
            <w:vAlign w:val="center"/>
          </w:tcPr>
          <w:p w14:paraId="057F9E71">
            <w:pPr>
              <w:spacing w:line="400" w:lineRule="exact"/>
              <w:jc w:val="center"/>
              <w:rPr>
                <w:rFonts w:hint="eastAsia" w:ascii="宋体" w:hAnsi="宋体" w:eastAsia="宋体" w:cs="宋体"/>
                <w:bCs/>
                <w:color w:val="000000" w:themeColor="text1"/>
                <w:sz w:val="24"/>
                <w:szCs w:val="24"/>
                <w:highlight w:val="none"/>
                <w:lang w:val="en-US" w:eastAsia="zh-CN"/>
                <w14:textFill>
                  <w14:solidFill>
                    <w14:schemeClr w14:val="tx1"/>
                  </w14:solidFill>
                </w14:textFill>
              </w:rPr>
            </w:pPr>
          </w:p>
        </w:tc>
        <w:tc>
          <w:tcPr>
            <w:tcW w:w="1246" w:type="dxa"/>
            <w:vMerge w:val="continue"/>
            <w:noWrap w:val="0"/>
            <w:vAlign w:val="center"/>
          </w:tcPr>
          <w:p w14:paraId="0147DD3E">
            <w:pPr>
              <w:spacing w:line="400" w:lineRule="exact"/>
              <w:rPr>
                <w:rFonts w:hint="eastAsia" w:ascii="宋体" w:hAnsi="宋体" w:eastAsia="宋体" w:cs="宋体"/>
                <w:bCs/>
                <w:color w:val="000000" w:themeColor="text1"/>
                <w:sz w:val="24"/>
                <w:szCs w:val="24"/>
                <w:highlight w:val="none"/>
                <w14:textFill>
                  <w14:solidFill>
                    <w14:schemeClr w14:val="tx1"/>
                  </w14:solidFill>
                </w14:textFill>
              </w:rPr>
            </w:pPr>
          </w:p>
        </w:tc>
        <w:tc>
          <w:tcPr>
            <w:tcW w:w="5849" w:type="dxa"/>
            <w:noWrap w:val="0"/>
            <w:vAlign w:val="center"/>
          </w:tcPr>
          <w:p w14:paraId="070F2EC2">
            <w:pPr>
              <w:tabs>
                <w:tab w:val="left" w:pos="0"/>
              </w:tabs>
              <w:spacing w:line="400" w:lineRule="exact"/>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有效投标报价的最低价作为评标基准价，其最低报价为满分；按［投标报价得分=（评标基准价/投标报价）*</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bCs/>
                <w:color w:val="000000" w:themeColor="text1"/>
                <w:sz w:val="24"/>
                <w:szCs w:val="24"/>
                <w:highlight w:val="none"/>
                <w:lang w:val="zh-CN"/>
                <w14:textFill>
                  <w14:solidFill>
                    <w14:schemeClr w14:val="tx1"/>
                  </w14:solidFill>
                </w14:textFill>
              </w:rPr>
              <w:t>］的计算公式计算。</w:t>
            </w:r>
          </w:p>
          <w:p w14:paraId="10A0332C">
            <w:pPr>
              <w:tabs>
                <w:tab w:val="left" w:pos="0"/>
              </w:tabs>
              <w:spacing w:line="400" w:lineRule="exact"/>
              <w:rPr>
                <w:rFonts w:hint="eastAsia" w:ascii="宋体" w:hAnsi="宋体" w:eastAsia="宋体" w:cs="宋体"/>
                <w:b/>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评标过程中，不得去掉报价中的最高报价和最低报价。</w:t>
            </w:r>
          </w:p>
        </w:tc>
        <w:tc>
          <w:tcPr>
            <w:tcW w:w="1076" w:type="dxa"/>
            <w:noWrap w:val="0"/>
            <w:vAlign w:val="center"/>
          </w:tcPr>
          <w:p w14:paraId="6E3EB9F6">
            <w:pPr>
              <w:spacing w:line="400" w:lineRule="exact"/>
              <w:jc w:val="center"/>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30分</w:t>
            </w:r>
          </w:p>
        </w:tc>
        <w:tc>
          <w:tcPr>
            <w:tcW w:w="840" w:type="dxa"/>
            <w:noWrap w:val="0"/>
            <w:vAlign w:val="center"/>
          </w:tcPr>
          <w:p w14:paraId="040B9251">
            <w:pPr>
              <w:spacing w:line="400" w:lineRule="exact"/>
              <w:jc w:val="center"/>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w:t>
            </w:r>
          </w:p>
        </w:tc>
      </w:tr>
    </w:tbl>
    <w:p w14:paraId="4C23F039">
      <w:pPr>
        <w:pageBreakBefore/>
        <w:snapToGrid w:val="0"/>
        <w:spacing w:line="360" w:lineRule="auto"/>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一、评标方法</w:t>
      </w:r>
    </w:p>
    <w:p w14:paraId="62D99AF3">
      <w:pPr>
        <w:adjustRightInd/>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1.本项目采用综合评分法。</w:t>
      </w:r>
      <w:r>
        <w:rPr>
          <w:rFonts w:hint="eastAsia" w:ascii="宋体" w:hAnsi="宋体" w:cs="宋体"/>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14:paraId="1992B891">
      <w:pPr>
        <w:adjustRightInd/>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二、评标标准</w:t>
      </w:r>
    </w:p>
    <w:p w14:paraId="71D6CFA7">
      <w:pPr>
        <w:spacing w:line="360" w:lineRule="auto"/>
        <w:ind w:firstLine="472" w:firstLineChars="196"/>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评标标准：</w:t>
      </w:r>
      <w:r>
        <w:rPr>
          <w:rFonts w:hint="eastAsia" w:ascii="宋体" w:hAnsi="宋体" w:cs="宋体"/>
          <w:color w:val="000000" w:themeColor="text1"/>
          <w:kern w:val="0"/>
          <w:sz w:val="24"/>
          <w:highlight w:val="none"/>
          <w14:textFill>
            <w14:solidFill>
              <w14:schemeClr w14:val="tx1"/>
            </w14:solidFill>
          </w14:textFill>
        </w:rPr>
        <w:t>见评标办法前附表。</w:t>
      </w:r>
    </w:p>
    <w:p w14:paraId="3175EDDB">
      <w:pPr>
        <w:spacing w:line="360" w:lineRule="auto"/>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三、评标程序</w:t>
      </w:r>
    </w:p>
    <w:p w14:paraId="50658C05">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3.1符合性审查。</w:t>
      </w:r>
      <w:r>
        <w:rPr>
          <w:rFonts w:hint="eastAsia" w:ascii="宋体" w:hAnsi="宋体" w:cs="宋体"/>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37CE066A">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3.2 比较与评价。</w:t>
      </w:r>
      <w:r>
        <w:rPr>
          <w:rFonts w:hint="eastAsia" w:ascii="宋体" w:hAnsi="宋体" w:cs="宋体"/>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14:paraId="0000F714">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3.3汇总商务技术得分。</w:t>
      </w:r>
      <w:r>
        <w:rPr>
          <w:rFonts w:hint="eastAsia" w:ascii="宋体" w:hAnsi="宋体" w:cs="宋体"/>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14:paraId="5128E8FE">
      <w:pPr>
        <w:spacing w:line="360" w:lineRule="auto"/>
        <w:ind w:firstLine="472" w:firstLineChars="196"/>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3.4报价评审。</w:t>
      </w:r>
    </w:p>
    <w:p w14:paraId="09AAE1DC">
      <w:pPr>
        <w:pStyle w:val="132"/>
        <w:spacing w:before="0"/>
        <w:ind w:firstLine="508" w:firstLineChars="212"/>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3.4.1投标文件报价出现前后不一致的，按照下列规定修正：</w:t>
      </w:r>
    </w:p>
    <w:p w14:paraId="2C1BCB9A">
      <w:pPr>
        <w:pStyle w:val="132"/>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14:paraId="3CDBD124">
      <w:pPr>
        <w:pStyle w:val="132"/>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3.4.1.2大写金额和小写金额不一致的，以大写金额为准;</w:t>
      </w:r>
    </w:p>
    <w:p w14:paraId="0CA86B04">
      <w:pPr>
        <w:pStyle w:val="132"/>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14:paraId="63BCBAB6">
      <w:pPr>
        <w:pStyle w:val="132"/>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3.4.1.4总价金额与按单价汇总金额不一致的，以单价金额计算结果为准。</w:t>
      </w:r>
    </w:p>
    <w:p w14:paraId="12F1A5E9">
      <w:pPr>
        <w:pStyle w:val="132"/>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3.4.1.5同时出现两种以上不一致的，按照3.4.1规定的顺序修正。修正后的报价应当采用书面形式，并加盖公章，或者由法定代表人或其授权的代表签字。投标人的</w:t>
      </w:r>
      <w:r>
        <w:rPr>
          <w:rFonts w:hint="eastAsia" w:ascii="宋体" w:hAnsi="宋体" w:cs="宋体"/>
          <w:color w:val="000000" w:themeColor="text1"/>
          <w:kern w:val="0"/>
          <w:szCs w:val="24"/>
          <w:highlight w:val="none"/>
          <w:lang w:eastAsia="zh-CN"/>
          <w14:textFill>
            <w14:solidFill>
              <w14:schemeClr w14:val="tx1"/>
            </w14:solidFill>
          </w14:textFill>
        </w:rPr>
        <w:t>修</w:t>
      </w:r>
      <w:r>
        <w:rPr>
          <w:rFonts w:hint="eastAsia" w:ascii="宋体" w:hAnsi="宋体" w:cs="宋体"/>
          <w:color w:val="000000" w:themeColor="text1"/>
          <w:kern w:val="0"/>
          <w:szCs w:val="24"/>
          <w:highlight w:val="none"/>
          <w14:textFill>
            <w14:solidFill>
              <w14:schemeClr w14:val="tx1"/>
            </w14:solidFill>
          </w14:textFill>
        </w:rPr>
        <w:t>正不得超出投标文件的范围或者改变投标文件的实质性内容。</w:t>
      </w:r>
    </w:p>
    <w:p w14:paraId="28D181FF">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3.4.2投标文件出现不是唯一的、有选择性投标报价的，投标无效。</w:t>
      </w:r>
    </w:p>
    <w:p w14:paraId="27114F31">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3.4.3投标报价超过招标文件中规定的预算金额或者最高限价的，投标无效。</w:t>
      </w:r>
    </w:p>
    <w:p w14:paraId="26FF223B">
      <w:pPr>
        <w:pStyle w:val="132"/>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E9BC53C">
      <w:pPr>
        <w:spacing w:line="360" w:lineRule="auto"/>
        <w:ind w:firstLine="482"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3.5排序与推荐。</w:t>
      </w:r>
      <w:r>
        <w:rPr>
          <w:rFonts w:hint="eastAsia" w:ascii="宋体" w:hAnsi="宋体" w:cs="宋体"/>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70A29DB">
      <w:pPr>
        <w:spacing w:line="360" w:lineRule="auto"/>
        <w:ind w:firstLine="480"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CC38B49">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3.6编写评标报告。</w:t>
      </w:r>
      <w:r>
        <w:rPr>
          <w:rFonts w:hint="eastAsia" w:ascii="宋体" w:hAnsi="宋体" w:cs="宋体"/>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73C0D1D">
      <w:pPr>
        <w:widowControl/>
        <w:shd w:val="clear" w:color="auto" w:fill="FFFFFF"/>
        <w:adjustRightInd/>
        <w:spacing w:after="225" w:line="315" w:lineRule="atLeast"/>
        <w:jc w:val="left"/>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四、评标中的其他事项</w:t>
      </w:r>
    </w:p>
    <w:p w14:paraId="7752EF69">
      <w:pPr>
        <w:pStyle w:val="132"/>
        <w:spacing w:before="0"/>
        <w:ind w:firstLine="472" w:firstLineChars="196"/>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b/>
          <w:color w:val="000000" w:themeColor="text1"/>
          <w:kern w:val="0"/>
          <w:szCs w:val="24"/>
          <w:highlight w:val="none"/>
          <w14:textFill>
            <w14:solidFill>
              <w14:schemeClr w14:val="tx1"/>
            </w14:solidFill>
          </w14:textFill>
        </w:rPr>
        <w:t>4.1投标人澄清、说明或者补正。</w:t>
      </w:r>
      <w:r>
        <w:rPr>
          <w:rFonts w:hint="eastAsia" w:ascii="宋体" w:hAnsi="宋体" w:cs="宋体"/>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11E221B">
      <w:pPr>
        <w:pStyle w:val="25"/>
        <w:spacing w:line="360" w:lineRule="auto"/>
        <w:ind w:left="954" w:leftChars="226" w:hanging="479" w:firstLineChars="0"/>
        <w:rPr>
          <w:rFonts w:cs="宋体"/>
          <w:color w:val="000000" w:themeColor="text1"/>
          <w:szCs w:val="2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4.2投标无效。</w:t>
      </w:r>
      <w:r>
        <w:rPr>
          <w:rFonts w:hint="eastAsia" w:cs="宋体"/>
          <w:color w:val="000000" w:themeColor="text1"/>
          <w:szCs w:val="21"/>
          <w:highlight w:val="none"/>
          <w14:textFill>
            <w14:solidFill>
              <w14:schemeClr w14:val="tx1"/>
            </w14:solidFill>
          </w14:textFill>
        </w:rPr>
        <w:t>有下列情形之一的，投标无效：</w:t>
      </w:r>
    </w:p>
    <w:p w14:paraId="0D761AF0">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14:paraId="283F8F1F">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4.2.2投标文件未按照招标文件要求签署、盖章的；</w:t>
      </w:r>
    </w:p>
    <w:p w14:paraId="5914761E">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14:paraId="59CCFB22">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4.2.4投标文件含有采购人不能接受的附加条件的；</w:t>
      </w:r>
    </w:p>
    <w:p w14:paraId="09E7AFA2">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4.2.5投标文件中承诺的投标有效期少于招标文件中载明的投标有效期的；</w:t>
      </w:r>
    </w:p>
    <w:p w14:paraId="65A728BF">
      <w:pPr>
        <w:snapToGrid w:val="0"/>
        <w:spacing w:line="360" w:lineRule="auto"/>
        <w:ind w:firstLine="120" w:firstLineChars="5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4.2.6投标文件出现不是唯一的、有选择性投标报价的;</w:t>
      </w:r>
    </w:p>
    <w:p w14:paraId="061BB1C0">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4.2.7投标报价超过招标文件中规定的预算金额或者最高限价的;</w:t>
      </w:r>
    </w:p>
    <w:p w14:paraId="3FFD9990">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14:paraId="16377657">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4.2.9投标人对根据修正原则修正后的报价不确认的；</w:t>
      </w:r>
    </w:p>
    <w:p w14:paraId="07185859">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4.2.10投标人提供虚假材料投标的；</w:t>
      </w:r>
    </w:p>
    <w:p w14:paraId="67F42243">
      <w:pPr>
        <w:spacing w:line="360" w:lineRule="auto"/>
        <w:ind w:firstLine="240" w:firstLineChars="1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4.2.11投标人有恶意串通、妨碍其他投标人的竞争行为、损害采购人或者其他投标人的合法权益情形的；</w:t>
      </w:r>
    </w:p>
    <w:p w14:paraId="1BA08A7A">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4.2.12投标人仅提交备份投标文件，未在电子交易平台传输递交投标文件的，投标无效；</w:t>
      </w:r>
    </w:p>
    <w:p w14:paraId="5424BE3F">
      <w:pPr>
        <w:pStyle w:val="4"/>
        <w:ind w:left="862" w:leftChars="205"/>
        <w:rPr>
          <w:rFonts w:ascii="宋体" w:hAnsi="宋体" w:eastAsia="宋体" w:cs="宋体"/>
          <w:b w:val="0"/>
          <w:bCs w:val="0"/>
          <w:color w:val="000000" w:themeColor="text1"/>
          <w:kern w:val="0"/>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4.2.13 投标文件不满足招标文件的其它实质性要求的；</w:t>
      </w:r>
    </w:p>
    <w:p w14:paraId="0B76EEED">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4.2.14法律、法规、规章（适用本市的）及省级以上规范性文件（适用本市的）规定的其他无效情形。</w:t>
      </w:r>
    </w:p>
    <w:p w14:paraId="7A64270E">
      <w:pPr>
        <w:pStyle w:val="25"/>
        <w:snapToGrid w:val="0"/>
        <w:spacing w:line="360" w:lineRule="auto"/>
        <w:ind w:firstLine="472" w:firstLineChars="196"/>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5.废标。</w:t>
      </w:r>
      <w:r>
        <w:rPr>
          <w:rFonts w:hint="eastAsia" w:cs="宋体"/>
          <w:color w:val="000000" w:themeColor="text1"/>
          <w:highlight w:val="none"/>
          <w14:textFill>
            <w14:solidFill>
              <w14:schemeClr w14:val="tx1"/>
            </w14:solidFill>
          </w14:textFill>
        </w:rPr>
        <w:t>在采购中，出现下列情形之一的，应予废标：</w:t>
      </w:r>
    </w:p>
    <w:p w14:paraId="2D1867E5">
      <w:pPr>
        <w:pStyle w:val="25"/>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5.1符合专业条件的供应商或者对招标文件作实质响应的供应商不足3家的；</w:t>
      </w:r>
    </w:p>
    <w:p w14:paraId="296A93D3">
      <w:pPr>
        <w:pStyle w:val="25"/>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5.2出现影响采购公正的违法、违规行为的；</w:t>
      </w:r>
    </w:p>
    <w:p w14:paraId="3ADB4D5D">
      <w:pPr>
        <w:pStyle w:val="25"/>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5.3投标人的报价均超过了采购预算，采购人不能支付的；</w:t>
      </w:r>
    </w:p>
    <w:p w14:paraId="2E359D32">
      <w:pPr>
        <w:pStyle w:val="25"/>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5.4因重大变故，采购任务取消的。</w:t>
      </w:r>
    </w:p>
    <w:p w14:paraId="4CAD07EC">
      <w:pPr>
        <w:pStyle w:val="25"/>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废标后，</w:t>
      </w:r>
      <w:r>
        <w:rPr>
          <w:rFonts w:hint="eastAsia" w:cs="宋体"/>
          <w:color w:val="000000" w:themeColor="text1"/>
          <w:highlight w:val="none"/>
          <w:lang w:eastAsia="zh-CN"/>
          <w14:textFill>
            <w14:solidFill>
              <w14:schemeClr w14:val="tx1"/>
            </w14:solidFill>
          </w14:textFill>
        </w:rPr>
        <w:t>采购代理机构</w:t>
      </w:r>
      <w:r>
        <w:rPr>
          <w:rFonts w:hint="eastAsia" w:cs="宋体"/>
          <w:color w:val="000000" w:themeColor="text1"/>
          <w:highlight w:val="none"/>
          <w14:textFill>
            <w14:solidFill>
              <w14:schemeClr w14:val="tx1"/>
            </w14:solidFill>
          </w14:textFill>
        </w:rPr>
        <w:t>应当将废标理由通知所有投标人。</w:t>
      </w:r>
    </w:p>
    <w:p w14:paraId="50CBD89E">
      <w:pPr>
        <w:pStyle w:val="25"/>
        <w:snapToGrid w:val="0"/>
        <w:spacing w:line="360" w:lineRule="auto"/>
        <w:ind w:firstLine="590" w:firstLineChars="245"/>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6.修改招标文件，重新组织采购活动。</w:t>
      </w:r>
      <w:r>
        <w:rPr>
          <w:rFonts w:hint="eastAsia" w:cs="宋体"/>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w:t>
      </w:r>
      <w:r>
        <w:rPr>
          <w:rFonts w:hint="eastAsia" w:cs="宋体"/>
          <w:color w:val="000000" w:themeColor="text1"/>
          <w:highlight w:val="none"/>
          <w:lang w:eastAsia="zh-CN"/>
          <w14:textFill>
            <w14:solidFill>
              <w14:schemeClr w14:val="tx1"/>
            </w14:solidFill>
          </w14:textFill>
        </w:rPr>
        <w:t>采购代理机构</w:t>
      </w:r>
      <w:r>
        <w:rPr>
          <w:rFonts w:hint="eastAsia" w:cs="宋体"/>
          <w:color w:val="000000" w:themeColor="text1"/>
          <w:highlight w:val="none"/>
          <w14:textFill>
            <w14:solidFill>
              <w14:schemeClr w14:val="tx1"/>
            </w14:solidFill>
          </w14:textFill>
        </w:rPr>
        <w:t>沟通并作书面记录。采购人、</w:t>
      </w:r>
      <w:r>
        <w:rPr>
          <w:rFonts w:hint="eastAsia" w:cs="宋体"/>
          <w:color w:val="000000" w:themeColor="text1"/>
          <w:highlight w:val="none"/>
          <w:lang w:eastAsia="zh-CN"/>
          <w14:textFill>
            <w14:solidFill>
              <w14:schemeClr w14:val="tx1"/>
            </w14:solidFill>
          </w14:textFill>
        </w:rPr>
        <w:t>采购代理机构</w:t>
      </w:r>
      <w:r>
        <w:rPr>
          <w:rFonts w:hint="eastAsia" w:cs="宋体"/>
          <w:color w:val="000000" w:themeColor="text1"/>
          <w:highlight w:val="none"/>
          <w14:textFill>
            <w14:solidFill>
              <w14:schemeClr w14:val="tx1"/>
            </w14:solidFill>
          </w14:textFill>
        </w:rPr>
        <w:t>确认后，将修改招标文件，重新组织采购活动。</w:t>
      </w:r>
    </w:p>
    <w:p w14:paraId="49580C42">
      <w:pPr>
        <w:pStyle w:val="25"/>
        <w:snapToGrid w:val="0"/>
        <w:spacing w:line="360" w:lineRule="auto"/>
        <w:ind w:firstLine="482"/>
        <w:rPr>
          <w:rFonts w:cs="宋体"/>
          <w:color w:val="000000" w:themeColor="text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7.重新开展采购。</w:t>
      </w:r>
      <w:r>
        <w:rPr>
          <w:rFonts w:hint="eastAsia" w:cs="宋体"/>
          <w:color w:val="000000" w:themeColor="text1"/>
          <w:highlight w:val="none"/>
          <w14:textFill>
            <w14:solidFill>
              <w14:schemeClr w14:val="tx1"/>
            </w14:solidFill>
          </w14:textFill>
        </w:rPr>
        <w:t>有出现</w:t>
      </w:r>
      <w:r>
        <w:rPr>
          <w:rFonts w:hint="eastAsia" w:cs="宋体"/>
          <w:color w:val="000000" w:themeColor="text1"/>
          <w:highlight w:val="none"/>
          <w:lang w:eastAsia="zh-CN"/>
          <w14:textFill>
            <w14:solidFill>
              <w14:schemeClr w14:val="tx1"/>
            </w14:solidFill>
          </w14:textFill>
        </w:rPr>
        <w:t>以下</w:t>
      </w:r>
      <w:r>
        <w:rPr>
          <w:rFonts w:hint="eastAsia" w:cs="宋体"/>
          <w:color w:val="000000" w:themeColor="text1"/>
          <w:highlight w:val="none"/>
          <w14:textFill>
            <w14:solidFill>
              <w14:schemeClr w14:val="tx1"/>
            </w14:solidFill>
          </w14:textFill>
        </w:rPr>
        <w:t>情形之一的</w:t>
      </w:r>
      <w:r>
        <w:rPr>
          <w:rFonts w:hint="eastAsia" w:cs="宋体"/>
          <w:color w:val="000000" w:themeColor="text1"/>
          <w:highlight w:val="none"/>
          <w:lang w:eastAsia="zh-CN"/>
          <w14:textFill>
            <w14:solidFill>
              <w14:schemeClr w14:val="tx1"/>
            </w14:solidFill>
          </w14:textFill>
        </w:rPr>
        <w:t>：（</w:t>
      </w:r>
      <w:r>
        <w:rPr>
          <w:rFonts w:hint="eastAsia" w:cs="宋体"/>
          <w:color w:val="000000" w:themeColor="text1"/>
          <w:highlight w:val="none"/>
          <w:lang w:val="en-US" w:eastAsia="zh-CN"/>
          <w14:textFill>
            <w14:solidFill>
              <w14:schemeClr w14:val="tx1"/>
            </w14:solidFill>
          </w14:textFill>
        </w:rPr>
        <w:t>1）</w:t>
      </w:r>
      <w:r>
        <w:rPr>
          <w:rFonts w:hint="eastAsia" w:cs="宋体"/>
          <w:color w:val="000000" w:themeColor="text1"/>
          <w:highlight w:val="none"/>
          <w:lang w:eastAsia="zh-CN"/>
          <w14:textFill>
            <w14:solidFill>
              <w14:schemeClr w14:val="tx1"/>
            </w14:solidFill>
          </w14:textFill>
        </w:rPr>
        <w:t>应当采用公开招标方式而擅自采用其他方式采购的；（</w:t>
      </w:r>
      <w:r>
        <w:rPr>
          <w:rFonts w:hint="eastAsia" w:cs="宋体"/>
          <w:color w:val="000000" w:themeColor="text1"/>
          <w:highlight w:val="none"/>
          <w:lang w:val="en-US" w:eastAsia="zh-CN"/>
          <w14:textFill>
            <w14:solidFill>
              <w14:schemeClr w14:val="tx1"/>
            </w14:solidFill>
          </w14:textFill>
        </w:rPr>
        <w:t>2）</w:t>
      </w:r>
      <w:r>
        <w:rPr>
          <w:rFonts w:hint="eastAsia" w:cs="宋体"/>
          <w:color w:val="000000" w:themeColor="text1"/>
          <w:highlight w:val="none"/>
          <w:lang w:eastAsia="zh-CN"/>
          <w14:textFill>
            <w14:solidFill>
              <w14:schemeClr w14:val="tx1"/>
            </w14:solidFill>
          </w14:textFill>
        </w:rPr>
        <w:t>擅自提高采购标准的；（</w:t>
      </w:r>
      <w:r>
        <w:rPr>
          <w:rFonts w:hint="eastAsia" w:cs="宋体"/>
          <w:color w:val="000000" w:themeColor="text1"/>
          <w:highlight w:val="none"/>
          <w:lang w:val="en-US" w:eastAsia="zh-CN"/>
          <w14:textFill>
            <w14:solidFill>
              <w14:schemeClr w14:val="tx1"/>
            </w14:solidFill>
          </w14:textFill>
        </w:rPr>
        <w:t>3）</w:t>
      </w:r>
      <w:r>
        <w:rPr>
          <w:rFonts w:hint="eastAsia" w:cs="宋体"/>
          <w:color w:val="000000" w:themeColor="text1"/>
          <w:highlight w:val="none"/>
          <w:lang w:eastAsia="zh-CN"/>
          <w14:textFill>
            <w14:solidFill>
              <w14:schemeClr w14:val="tx1"/>
            </w14:solidFill>
          </w14:textFill>
        </w:rPr>
        <w:t>以不合理的条件对供应商实行差别待遇或者歧视待遇的；（</w:t>
      </w:r>
      <w:r>
        <w:rPr>
          <w:rFonts w:hint="eastAsia" w:cs="宋体"/>
          <w:color w:val="000000" w:themeColor="text1"/>
          <w:highlight w:val="none"/>
          <w:lang w:val="en-US" w:eastAsia="zh-CN"/>
          <w14:textFill>
            <w14:solidFill>
              <w14:schemeClr w14:val="tx1"/>
            </w14:solidFill>
          </w14:textFill>
        </w:rPr>
        <w:t>4）</w:t>
      </w:r>
      <w:r>
        <w:rPr>
          <w:rFonts w:hint="eastAsia" w:cs="宋体"/>
          <w:color w:val="000000" w:themeColor="text1"/>
          <w:highlight w:val="none"/>
          <w:lang w:eastAsia="zh-CN"/>
          <w14:textFill>
            <w14:solidFill>
              <w14:schemeClr w14:val="tx1"/>
            </w14:solidFill>
          </w14:textFill>
        </w:rPr>
        <w:t>在招标采购过程中与投标人进行协商谈判的；（</w:t>
      </w:r>
      <w:r>
        <w:rPr>
          <w:rFonts w:hint="eastAsia" w:cs="宋体"/>
          <w:color w:val="000000" w:themeColor="text1"/>
          <w:highlight w:val="none"/>
          <w:lang w:val="en-US" w:eastAsia="zh-CN"/>
          <w14:textFill>
            <w14:solidFill>
              <w14:schemeClr w14:val="tx1"/>
            </w14:solidFill>
          </w14:textFill>
        </w:rPr>
        <w:t>5）</w:t>
      </w:r>
      <w:r>
        <w:rPr>
          <w:rFonts w:hint="eastAsia" w:cs="宋体"/>
          <w:color w:val="000000" w:themeColor="text1"/>
          <w:highlight w:val="none"/>
          <w:lang w:eastAsia="zh-CN"/>
          <w14:textFill>
            <w14:solidFill>
              <w14:schemeClr w14:val="tx1"/>
            </w14:solidFill>
          </w14:textFill>
        </w:rPr>
        <w:t>中标、成交通知书发出后不与中标、成交供应商签订采购合同的；（</w:t>
      </w:r>
      <w:r>
        <w:rPr>
          <w:rFonts w:hint="eastAsia" w:cs="宋体"/>
          <w:color w:val="000000" w:themeColor="text1"/>
          <w:highlight w:val="none"/>
          <w:lang w:val="en-US" w:eastAsia="zh-CN"/>
          <w14:textFill>
            <w14:solidFill>
              <w14:schemeClr w14:val="tx1"/>
            </w14:solidFill>
          </w14:textFill>
        </w:rPr>
        <w:t>6）</w:t>
      </w:r>
      <w:r>
        <w:rPr>
          <w:rFonts w:hint="eastAsia" w:cs="宋体"/>
          <w:color w:val="000000" w:themeColor="text1"/>
          <w:highlight w:val="none"/>
          <w:lang w:eastAsia="zh-CN"/>
          <w14:textFill>
            <w14:solidFill>
              <w14:schemeClr w14:val="tx1"/>
            </w14:solidFill>
          </w14:textFill>
        </w:rPr>
        <w:t>拒绝有关部门依法实施监督检查的；（</w:t>
      </w:r>
      <w:r>
        <w:rPr>
          <w:rFonts w:hint="eastAsia" w:cs="宋体"/>
          <w:color w:val="000000" w:themeColor="text1"/>
          <w:highlight w:val="none"/>
          <w:lang w:val="en-US" w:eastAsia="zh-CN"/>
          <w14:textFill>
            <w14:solidFill>
              <w14:schemeClr w14:val="tx1"/>
            </w14:solidFill>
          </w14:textFill>
        </w:rPr>
        <w:t>7）</w:t>
      </w:r>
      <w:r>
        <w:rPr>
          <w:rFonts w:hint="eastAsia" w:cs="宋体"/>
          <w:color w:val="000000" w:themeColor="text1"/>
          <w:highlight w:val="none"/>
          <w:lang w:eastAsia="zh-CN"/>
          <w14:textFill>
            <w14:solidFill>
              <w14:schemeClr w14:val="tx1"/>
            </w14:solidFill>
          </w14:textFill>
        </w:rPr>
        <w:t>与供应商或者采购代理机构恶意串通的；（</w:t>
      </w:r>
      <w:r>
        <w:rPr>
          <w:rFonts w:hint="eastAsia" w:cs="宋体"/>
          <w:color w:val="000000" w:themeColor="text1"/>
          <w:highlight w:val="none"/>
          <w:lang w:val="en-US" w:eastAsia="zh-CN"/>
          <w14:textFill>
            <w14:solidFill>
              <w14:schemeClr w14:val="tx1"/>
            </w14:solidFill>
          </w14:textFill>
        </w:rPr>
        <w:t>8）</w:t>
      </w:r>
      <w:r>
        <w:rPr>
          <w:rFonts w:hint="eastAsia" w:cs="宋体"/>
          <w:color w:val="000000" w:themeColor="text1"/>
          <w:highlight w:val="none"/>
          <w:lang w:eastAsia="zh-CN"/>
          <w14:textFill>
            <w14:solidFill>
              <w14:schemeClr w14:val="tx1"/>
            </w14:solidFill>
          </w14:textFill>
        </w:rPr>
        <w:t>在采购过程中接受贿赂或者获取其他不正当利益的；（</w:t>
      </w:r>
      <w:r>
        <w:rPr>
          <w:rFonts w:hint="eastAsia" w:cs="宋体"/>
          <w:color w:val="000000" w:themeColor="text1"/>
          <w:highlight w:val="none"/>
          <w:lang w:val="en-US" w:eastAsia="zh-CN"/>
          <w14:textFill>
            <w14:solidFill>
              <w14:schemeClr w14:val="tx1"/>
            </w14:solidFill>
          </w14:textFill>
        </w:rPr>
        <w:t>9）</w:t>
      </w:r>
      <w:r>
        <w:rPr>
          <w:rFonts w:hint="eastAsia" w:cs="宋体"/>
          <w:color w:val="000000" w:themeColor="text1"/>
          <w:highlight w:val="none"/>
          <w:lang w:eastAsia="zh-CN"/>
          <w14:textFill>
            <w14:solidFill>
              <w14:schemeClr w14:val="tx1"/>
            </w14:solidFill>
          </w14:textFill>
        </w:rPr>
        <w:t>在有关部门依法实施的监督检查中提供虚假情况的；（</w:t>
      </w:r>
      <w:r>
        <w:rPr>
          <w:rFonts w:hint="eastAsia" w:cs="宋体"/>
          <w:color w:val="000000" w:themeColor="text1"/>
          <w:highlight w:val="none"/>
          <w:lang w:val="en-US" w:eastAsia="zh-CN"/>
          <w14:textFill>
            <w14:solidFill>
              <w14:schemeClr w14:val="tx1"/>
            </w14:solidFill>
          </w14:textFill>
        </w:rPr>
        <w:t>10）</w:t>
      </w:r>
      <w:r>
        <w:rPr>
          <w:rFonts w:hint="eastAsia" w:cs="宋体"/>
          <w:color w:val="000000" w:themeColor="text1"/>
          <w:highlight w:val="none"/>
          <w:lang w:eastAsia="zh-CN"/>
          <w14:textFill>
            <w14:solidFill>
              <w14:schemeClr w14:val="tx1"/>
            </w14:solidFill>
          </w14:textFill>
        </w:rPr>
        <w:t>开标前泄露标底的</w:t>
      </w:r>
      <w:r>
        <w:rPr>
          <w:rFonts w:hint="eastAsia" w:cs="宋体"/>
          <w:color w:val="000000" w:themeColor="text1"/>
          <w:highlight w:val="none"/>
          <w14:textFill>
            <w14:solidFill>
              <w14:schemeClr w14:val="tx1"/>
            </w14:solidFill>
          </w14:textFill>
        </w:rPr>
        <w:t>，影响或者可能影响中标结果的，依照下列规定处理：</w:t>
      </w:r>
    </w:p>
    <w:p w14:paraId="3FFBBAE0">
      <w:pPr>
        <w:pStyle w:val="25"/>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7.1未确定中标供应商的，终止本次采购活动，重新开展采购活动。</w:t>
      </w:r>
    </w:p>
    <w:p w14:paraId="440D3CFB">
      <w:pPr>
        <w:pStyle w:val="25"/>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7.2已确定中标供应商但尚未签订采购合同的，中标结果无效，从合格的中标候选人中另行确定中标供应商；没有合格的中标候选人的，重新开展采购活动。</w:t>
      </w:r>
    </w:p>
    <w:p w14:paraId="5F18162B">
      <w:pPr>
        <w:pStyle w:val="25"/>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7.3采购合同已签订但尚未履行的，撤销合同，从合格的中标候选人中另行确定中标供应商；没有合格的中标候选人的，重新开展采购活动。</w:t>
      </w:r>
    </w:p>
    <w:p w14:paraId="048CA42E">
      <w:pPr>
        <w:pStyle w:val="25"/>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7.4采购合同已经履行，给采购人、供应商造成损失的，由责任人承担赔偿责任。</w:t>
      </w:r>
    </w:p>
    <w:p w14:paraId="2F4A0746">
      <w:pPr>
        <w:pStyle w:val="25"/>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7.5采购当事人有其他违反政府采购法或者政府采购法实施条例等法律法规规定的行为，经改正后仍然影响或者可能影响中标结果或者依法被认定为中标无效的，依照7.1-7.4规定处理。</w:t>
      </w:r>
    </w:p>
    <w:p w14:paraId="0220BEB2">
      <w:pPr>
        <w:pStyle w:val="25"/>
        <w:snapToGrid w:val="0"/>
        <w:spacing w:line="360" w:lineRule="auto"/>
        <w:ind w:firstLine="0" w:firstLineChars="0"/>
        <w:rPr>
          <w:rFonts w:cs="宋体"/>
          <w:color w:val="000000" w:themeColor="text1"/>
          <w:highlight w:val="none"/>
          <w14:textFill>
            <w14:solidFill>
              <w14:schemeClr w14:val="tx1"/>
            </w14:solidFill>
          </w14:textFill>
        </w:rPr>
      </w:pPr>
    </w:p>
    <w:bookmarkEnd w:id="16"/>
    <w:p w14:paraId="36CB77CC">
      <w:pPr>
        <w:spacing w:line="360" w:lineRule="auto"/>
        <w:ind w:left="720" w:leftChars="343" w:firstLine="1084" w:firstLineChars="300"/>
        <w:outlineLvl w:val="0"/>
        <w:rPr>
          <w:rFonts w:ascii="宋体" w:hAnsi="宋体" w:cs="宋体"/>
          <w:b/>
          <w:color w:val="000000" w:themeColor="text1"/>
          <w:sz w:val="36"/>
          <w:szCs w:val="36"/>
          <w:highlight w:val="none"/>
          <w14:textFill>
            <w14:solidFill>
              <w14:schemeClr w14:val="tx1"/>
            </w14:solidFill>
          </w14:textFill>
        </w:rPr>
      </w:pPr>
      <w:bookmarkStart w:id="386" w:name="第五部分"/>
      <w:bookmarkStart w:id="387" w:name="_Toc86217003"/>
    </w:p>
    <w:p w14:paraId="541AEE1C">
      <w:pPr>
        <w:spacing w:line="360" w:lineRule="auto"/>
        <w:ind w:left="720" w:leftChars="343" w:firstLine="1084" w:firstLineChars="300"/>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 xml:space="preserve">    </w:t>
      </w:r>
    </w:p>
    <w:p w14:paraId="0EA14F82">
      <w:pPr>
        <w:spacing w:line="360" w:lineRule="auto"/>
        <w:ind w:left="720" w:leftChars="343" w:firstLine="1084" w:firstLineChars="300"/>
        <w:outlineLvl w:val="0"/>
        <w:rPr>
          <w:rFonts w:ascii="宋体" w:hAnsi="宋体" w:cs="宋体"/>
          <w:b/>
          <w:color w:val="000000" w:themeColor="text1"/>
          <w:sz w:val="36"/>
          <w:szCs w:val="36"/>
          <w:highlight w:val="none"/>
          <w14:textFill>
            <w14:solidFill>
              <w14:schemeClr w14:val="tx1"/>
            </w14:solidFill>
          </w14:textFill>
        </w:rPr>
      </w:pPr>
    </w:p>
    <w:p w14:paraId="726F1BE4">
      <w:pPr>
        <w:pageBreakBefore/>
        <w:spacing w:line="360" w:lineRule="auto"/>
        <w:ind w:left="720" w:leftChars="343" w:firstLine="1084" w:firstLineChars="300"/>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第五部分 拟签订的合同文本</w:t>
      </w:r>
    </w:p>
    <w:p w14:paraId="584B659A">
      <w:pPr>
        <w:spacing w:line="360" w:lineRule="auto"/>
        <w:rPr>
          <w:color w:val="000000" w:themeColor="text1"/>
          <w:sz w:val="24"/>
          <w:highlight w:val="none"/>
          <w:u w:val="single"/>
          <w14:textFill>
            <w14:solidFill>
              <w14:schemeClr w14:val="tx1"/>
            </w14:solidFill>
          </w14:textFill>
        </w:rPr>
      </w:pPr>
      <w:r>
        <w:rPr>
          <w:rFonts w:hAnsi="宋体"/>
          <w:color w:val="000000" w:themeColor="text1"/>
          <w:sz w:val="24"/>
          <w:highlight w:val="none"/>
          <w14:textFill>
            <w14:solidFill>
              <w14:schemeClr w14:val="tx1"/>
            </w14:solidFill>
          </w14:textFill>
        </w:rPr>
        <w:t>合同编号：</w:t>
      </w:r>
    </w:p>
    <w:p w14:paraId="73F1FE72">
      <w:pPr>
        <w:spacing w:line="360" w:lineRule="auto"/>
        <w:rPr>
          <w:b/>
          <w:color w:val="000000" w:themeColor="text1"/>
          <w:sz w:val="28"/>
          <w:szCs w:val="28"/>
          <w:highlight w:val="none"/>
          <w14:textFill>
            <w14:solidFill>
              <w14:schemeClr w14:val="tx1"/>
            </w14:solidFill>
          </w14:textFill>
        </w:rPr>
      </w:pPr>
    </w:p>
    <w:p w14:paraId="1D8040BB">
      <w:pPr>
        <w:spacing w:line="360" w:lineRule="auto"/>
        <w:rPr>
          <w:b/>
          <w:color w:val="000000" w:themeColor="text1"/>
          <w:sz w:val="24"/>
          <w:highlight w:val="none"/>
          <w14:textFill>
            <w14:solidFill>
              <w14:schemeClr w14:val="tx1"/>
            </w14:solidFill>
          </w14:textFill>
        </w:rPr>
      </w:pPr>
    </w:p>
    <w:p w14:paraId="7ACB6A5C">
      <w:pPr>
        <w:spacing w:line="360" w:lineRule="auto"/>
        <w:rPr>
          <w:b/>
          <w:color w:val="000000" w:themeColor="text1"/>
          <w:sz w:val="24"/>
          <w:highlight w:val="none"/>
          <w14:textFill>
            <w14:solidFill>
              <w14:schemeClr w14:val="tx1"/>
            </w14:solidFill>
          </w14:textFill>
        </w:rPr>
      </w:pPr>
    </w:p>
    <w:p w14:paraId="217EE093">
      <w:pPr>
        <w:spacing w:line="480" w:lineRule="auto"/>
        <w:jc w:val="center"/>
        <w:rPr>
          <w:b/>
          <w:color w:val="000000" w:themeColor="text1"/>
          <w:sz w:val="36"/>
          <w:szCs w:val="36"/>
          <w:highlight w:val="none"/>
          <w14:textFill>
            <w14:solidFill>
              <w14:schemeClr w14:val="tx1"/>
            </w14:solidFill>
          </w14:textFill>
        </w:rPr>
      </w:pPr>
      <w:r>
        <w:rPr>
          <w:rFonts w:hAnsi="宋体"/>
          <w:b/>
          <w:color w:val="000000" w:themeColor="text1"/>
          <w:sz w:val="36"/>
          <w:szCs w:val="36"/>
          <w:highlight w:val="none"/>
          <w14:textFill>
            <w14:solidFill>
              <w14:schemeClr w14:val="tx1"/>
            </w14:solidFill>
          </w14:textFill>
        </w:rPr>
        <w:t>采购合同书</w:t>
      </w:r>
    </w:p>
    <w:p w14:paraId="16EAEC53">
      <w:pPr>
        <w:spacing w:line="360" w:lineRule="auto"/>
        <w:rPr>
          <w:color w:val="000000" w:themeColor="text1"/>
          <w:sz w:val="28"/>
          <w:szCs w:val="28"/>
          <w:highlight w:val="none"/>
          <w14:textFill>
            <w14:solidFill>
              <w14:schemeClr w14:val="tx1"/>
            </w14:solidFill>
          </w14:textFill>
        </w:rPr>
      </w:pPr>
    </w:p>
    <w:p w14:paraId="52B4671A">
      <w:pPr>
        <w:spacing w:line="360" w:lineRule="auto"/>
        <w:rPr>
          <w:color w:val="000000" w:themeColor="text1"/>
          <w:sz w:val="28"/>
          <w:szCs w:val="28"/>
          <w:highlight w:val="none"/>
          <w14:textFill>
            <w14:solidFill>
              <w14:schemeClr w14:val="tx1"/>
            </w14:solidFill>
          </w14:textFill>
        </w:rPr>
      </w:pPr>
    </w:p>
    <w:p w14:paraId="5D78B24A">
      <w:pPr>
        <w:spacing w:line="360" w:lineRule="auto"/>
        <w:rPr>
          <w:color w:val="000000" w:themeColor="text1"/>
          <w:sz w:val="28"/>
          <w:szCs w:val="28"/>
          <w:highlight w:val="none"/>
          <w14:textFill>
            <w14:solidFill>
              <w14:schemeClr w14:val="tx1"/>
            </w14:solidFill>
          </w14:textFill>
        </w:rPr>
      </w:pPr>
    </w:p>
    <w:p w14:paraId="023E6A74">
      <w:pPr>
        <w:spacing w:line="360" w:lineRule="auto"/>
        <w:rPr>
          <w:rFonts w:hint="eastAsia" w:eastAsia="宋体"/>
          <w:color w:val="000000" w:themeColor="text1"/>
          <w:sz w:val="28"/>
          <w:szCs w:val="28"/>
          <w:highlight w:val="none"/>
          <w:lang w:eastAsia="zh-CN"/>
          <w14:textFill>
            <w14:solidFill>
              <w14:schemeClr w14:val="tx1"/>
            </w14:solidFill>
          </w14:textFill>
        </w:rPr>
      </w:pPr>
      <w:r>
        <w:rPr>
          <w:rFonts w:hAnsi="宋体"/>
          <w:color w:val="000000" w:themeColor="text1"/>
          <w:sz w:val="28"/>
          <w:szCs w:val="28"/>
          <w:highlight w:val="none"/>
          <w14:textFill>
            <w14:solidFill>
              <w14:schemeClr w14:val="tx1"/>
            </w14:solidFill>
          </w14:textFill>
        </w:rPr>
        <w:t>项目名称：</w:t>
      </w:r>
      <w:r>
        <w:rPr>
          <w:rFonts w:hint="eastAsia" w:hAnsi="宋体"/>
          <w:color w:val="000000" w:themeColor="text1"/>
          <w:sz w:val="28"/>
          <w:szCs w:val="28"/>
          <w:highlight w:val="none"/>
          <w:lang w:eastAsia="zh-CN"/>
          <w14:textFill>
            <w14:solidFill>
              <w14:schemeClr w14:val="tx1"/>
            </w14:solidFill>
          </w14:textFill>
        </w:rPr>
        <w:t>龙湾区第一人民医院普通电动床、血透床、转运床、治疗车、麻醉车等设备采购项目</w:t>
      </w:r>
    </w:p>
    <w:p w14:paraId="4BD29988">
      <w:pPr>
        <w:spacing w:line="360" w:lineRule="auto"/>
        <w:rPr>
          <w:color w:val="000000" w:themeColor="text1"/>
          <w:sz w:val="28"/>
          <w:szCs w:val="28"/>
          <w:highlight w:val="none"/>
          <w14:textFill>
            <w14:solidFill>
              <w14:schemeClr w14:val="tx1"/>
            </w14:solidFill>
          </w14:textFill>
        </w:rPr>
      </w:pPr>
    </w:p>
    <w:p w14:paraId="5BFC3A4B">
      <w:pPr>
        <w:spacing w:line="360" w:lineRule="auto"/>
        <w:rPr>
          <w:rFonts w:hint="eastAsia" w:eastAsia="宋体"/>
          <w:color w:val="000000" w:themeColor="text1"/>
          <w:sz w:val="28"/>
          <w:szCs w:val="28"/>
          <w:highlight w:val="none"/>
          <w:lang w:eastAsia="zh-CN"/>
          <w14:textFill>
            <w14:solidFill>
              <w14:schemeClr w14:val="tx1"/>
            </w14:solidFill>
          </w14:textFill>
        </w:rPr>
      </w:pPr>
      <w:r>
        <w:rPr>
          <w:rFonts w:hAnsi="宋体"/>
          <w:color w:val="000000" w:themeColor="text1"/>
          <w:sz w:val="28"/>
          <w:szCs w:val="28"/>
          <w:highlight w:val="none"/>
          <w14:textFill>
            <w14:solidFill>
              <w14:schemeClr w14:val="tx1"/>
            </w14:solidFill>
          </w14:textFill>
        </w:rPr>
        <w:t>甲</w:t>
      </w:r>
      <w:r>
        <w:rPr>
          <w:color w:val="000000" w:themeColor="text1"/>
          <w:sz w:val="28"/>
          <w:szCs w:val="28"/>
          <w:highlight w:val="none"/>
          <w14:textFill>
            <w14:solidFill>
              <w14:schemeClr w14:val="tx1"/>
            </w14:solidFill>
          </w14:textFill>
        </w:rPr>
        <w:t xml:space="preserve">    </w:t>
      </w:r>
      <w:r>
        <w:rPr>
          <w:rFonts w:hAnsi="宋体"/>
          <w:color w:val="000000" w:themeColor="text1"/>
          <w:sz w:val="28"/>
          <w:szCs w:val="28"/>
          <w:highlight w:val="none"/>
          <w14:textFill>
            <w14:solidFill>
              <w14:schemeClr w14:val="tx1"/>
            </w14:solidFill>
          </w14:textFill>
        </w:rPr>
        <w:t>方：</w:t>
      </w:r>
      <w:r>
        <w:rPr>
          <w:rFonts w:hint="eastAsia" w:hAnsi="宋体"/>
          <w:color w:val="000000" w:themeColor="text1"/>
          <w:sz w:val="28"/>
          <w:szCs w:val="28"/>
          <w:highlight w:val="none"/>
          <w:lang w:val="en-US" w:eastAsia="zh-CN"/>
          <w14:textFill>
            <w14:solidFill>
              <w14:schemeClr w14:val="tx1"/>
            </w14:solidFill>
          </w14:textFill>
        </w:rPr>
        <w:t xml:space="preserve"> </w:t>
      </w:r>
    </w:p>
    <w:p w14:paraId="27803FFD">
      <w:pPr>
        <w:spacing w:line="360" w:lineRule="auto"/>
        <w:rPr>
          <w:color w:val="000000" w:themeColor="text1"/>
          <w:sz w:val="28"/>
          <w:szCs w:val="28"/>
          <w:highlight w:val="none"/>
          <w14:textFill>
            <w14:solidFill>
              <w14:schemeClr w14:val="tx1"/>
            </w14:solidFill>
          </w14:textFill>
        </w:rPr>
      </w:pPr>
    </w:p>
    <w:p w14:paraId="6E793199">
      <w:pPr>
        <w:spacing w:line="360" w:lineRule="auto"/>
        <w:rPr>
          <w:color w:val="000000" w:themeColor="text1"/>
          <w:sz w:val="28"/>
          <w:szCs w:val="28"/>
          <w:highlight w:val="none"/>
          <w14:textFill>
            <w14:solidFill>
              <w14:schemeClr w14:val="tx1"/>
            </w14:solidFill>
          </w14:textFill>
        </w:rPr>
      </w:pPr>
      <w:r>
        <w:rPr>
          <w:rFonts w:hAnsi="宋体"/>
          <w:color w:val="000000" w:themeColor="text1"/>
          <w:sz w:val="28"/>
          <w:szCs w:val="28"/>
          <w:highlight w:val="none"/>
          <w14:textFill>
            <w14:solidFill>
              <w14:schemeClr w14:val="tx1"/>
            </w14:solidFill>
          </w14:textFill>
        </w:rPr>
        <w:t>乙</w:t>
      </w:r>
      <w:r>
        <w:rPr>
          <w:color w:val="000000" w:themeColor="text1"/>
          <w:sz w:val="28"/>
          <w:szCs w:val="28"/>
          <w:highlight w:val="none"/>
          <w14:textFill>
            <w14:solidFill>
              <w14:schemeClr w14:val="tx1"/>
            </w14:solidFill>
          </w14:textFill>
        </w:rPr>
        <w:t xml:space="preserve">    </w:t>
      </w:r>
      <w:r>
        <w:rPr>
          <w:rFonts w:hAnsi="宋体"/>
          <w:color w:val="000000" w:themeColor="text1"/>
          <w:sz w:val="28"/>
          <w:szCs w:val="28"/>
          <w:highlight w:val="none"/>
          <w14:textFill>
            <w14:solidFill>
              <w14:schemeClr w14:val="tx1"/>
            </w14:solidFill>
          </w14:textFill>
        </w:rPr>
        <w:t>方：</w:t>
      </w:r>
      <w:r>
        <w:rPr>
          <w:color w:val="000000" w:themeColor="text1"/>
          <w:sz w:val="28"/>
          <w:szCs w:val="28"/>
          <w:highlight w:val="none"/>
          <w14:textFill>
            <w14:solidFill>
              <w14:schemeClr w14:val="tx1"/>
            </w14:solidFill>
          </w14:textFill>
        </w:rPr>
        <w:t xml:space="preserve"> </w:t>
      </w:r>
    </w:p>
    <w:p w14:paraId="480A5F40">
      <w:pPr>
        <w:spacing w:line="360" w:lineRule="auto"/>
        <w:rPr>
          <w:color w:val="000000" w:themeColor="text1"/>
          <w:sz w:val="28"/>
          <w:szCs w:val="28"/>
          <w:highlight w:val="none"/>
          <w14:textFill>
            <w14:solidFill>
              <w14:schemeClr w14:val="tx1"/>
            </w14:solidFill>
          </w14:textFill>
        </w:rPr>
      </w:pPr>
    </w:p>
    <w:p w14:paraId="645F06CB">
      <w:pPr>
        <w:spacing w:line="360" w:lineRule="auto"/>
        <w:rPr>
          <w:rFonts w:hint="eastAsia" w:eastAsia="宋体"/>
          <w:color w:val="000000" w:themeColor="text1"/>
          <w:sz w:val="28"/>
          <w:szCs w:val="28"/>
          <w:highlight w:val="none"/>
          <w:lang w:val="en-US" w:eastAsia="zh-CN"/>
          <w14:textFill>
            <w14:solidFill>
              <w14:schemeClr w14:val="tx1"/>
            </w14:solidFill>
          </w14:textFill>
        </w:rPr>
      </w:pPr>
      <w:r>
        <w:rPr>
          <w:rFonts w:hAnsi="宋体"/>
          <w:color w:val="000000" w:themeColor="text1"/>
          <w:sz w:val="28"/>
          <w:szCs w:val="28"/>
          <w:highlight w:val="none"/>
          <w14:textFill>
            <w14:solidFill>
              <w14:schemeClr w14:val="tx1"/>
            </w14:solidFill>
          </w14:textFill>
        </w:rPr>
        <w:t>签</w:t>
      </w:r>
      <w:r>
        <w:rPr>
          <w:color w:val="000000" w:themeColor="text1"/>
          <w:sz w:val="28"/>
          <w:szCs w:val="28"/>
          <w:highlight w:val="none"/>
          <w14:textFill>
            <w14:solidFill>
              <w14:schemeClr w14:val="tx1"/>
            </w14:solidFill>
          </w14:textFill>
        </w:rPr>
        <w:t xml:space="preserve"> </w:t>
      </w:r>
      <w:r>
        <w:rPr>
          <w:rFonts w:hAnsi="宋体"/>
          <w:color w:val="000000" w:themeColor="text1"/>
          <w:sz w:val="28"/>
          <w:szCs w:val="28"/>
          <w:highlight w:val="none"/>
          <w14:textFill>
            <w14:solidFill>
              <w14:schemeClr w14:val="tx1"/>
            </w14:solidFill>
          </w14:textFill>
        </w:rPr>
        <w:t>订</w:t>
      </w:r>
      <w:r>
        <w:rPr>
          <w:color w:val="000000" w:themeColor="text1"/>
          <w:sz w:val="28"/>
          <w:szCs w:val="28"/>
          <w:highlight w:val="none"/>
          <w14:textFill>
            <w14:solidFill>
              <w14:schemeClr w14:val="tx1"/>
            </w14:solidFill>
          </w14:textFill>
        </w:rPr>
        <w:t xml:space="preserve"> </w:t>
      </w:r>
      <w:r>
        <w:rPr>
          <w:rFonts w:hAnsi="宋体"/>
          <w:color w:val="000000" w:themeColor="text1"/>
          <w:sz w:val="28"/>
          <w:szCs w:val="28"/>
          <w:highlight w:val="none"/>
          <w14:textFill>
            <w14:solidFill>
              <w14:schemeClr w14:val="tx1"/>
            </w14:solidFill>
          </w14:textFill>
        </w:rPr>
        <w:t>地：</w:t>
      </w:r>
    </w:p>
    <w:p w14:paraId="0E502D9E">
      <w:pPr>
        <w:spacing w:line="360" w:lineRule="auto"/>
        <w:rPr>
          <w:color w:val="000000" w:themeColor="text1"/>
          <w:sz w:val="28"/>
          <w:szCs w:val="28"/>
          <w:highlight w:val="none"/>
          <w14:textFill>
            <w14:solidFill>
              <w14:schemeClr w14:val="tx1"/>
            </w14:solidFill>
          </w14:textFill>
        </w:rPr>
      </w:pPr>
    </w:p>
    <w:p w14:paraId="3B66DD3C">
      <w:pPr>
        <w:spacing w:line="360" w:lineRule="auto"/>
        <w:rPr>
          <w:color w:val="000000" w:themeColor="text1"/>
          <w:sz w:val="28"/>
          <w:szCs w:val="28"/>
          <w:highlight w:val="none"/>
          <w14:textFill>
            <w14:solidFill>
              <w14:schemeClr w14:val="tx1"/>
            </w14:solidFill>
          </w14:textFill>
        </w:rPr>
      </w:pPr>
      <w:r>
        <w:rPr>
          <w:rFonts w:hAnsi="宋体"/>
          <w:color w:val="000000" w:themeColor="text1"/>
          <w:sz w:val="28"/>
          <w:szCs w:val="28"/>
          <w:highlight w:val="none"/>
          <w14:textFill>
            <w14:solidFill>
              <w14:schemeClr w14:val="tx1"/>
            </w14:solidFill>
          </w14:textFill>
        </w:rPr>
        <w:t>签订日期：</w:t>
      </w:r>
      <w:r>
        <w:rPr>
          <w:color w:val="000000" w:themeColor="text1"/>
          <w:sz w:val="28"/>
          <w:szCs w:val="28"/>
          <w:highlight w:val="none"/>
          <w14:textFill>
            <w14:solidFill>
              <w14:schemeClr w14:val="tx1"/>
            </w14:solidFill>
          </w14:textFill>
        </w:rPr>
        <w:t xml:space="preserve"> </w:t>
      </w:r>
      <w:r>
        <w:rPr>
          <w:rFonts w:hAnsi="宋体"/>
          <w:color w:val="000000" w:themeColor="text1"/>
          <w:sz w:val="28"/>
          <w:szCs w:val="28"/>
          <w:highlight w:val="none"/>
          <w14:textFill>
            <w14:solidFill>
              <w14:schemeClr w14:val="tx1"/>
            </w14:solidFill>
          </w14:textFill>
        </w:rPr>
        <w:t>年</w:t>
      </w:r>
      <w:r>
        <w:rPr>
          <w:color w:val="000000" w:themeColor="text1"/>
          <w:sz w:val="28"/>
          <w:szCs w:val="28"/>
          <w:highlight w:val="none"/>
          <w14:textFill>
            <w14:solidFill>
              <w14:schemeClr w14:val="tx1"/>
            </w14:solidFill>
          </w14:textFill>
        </w:rPr>
        <w:t xml:space="preserve">  </w:t>
      </w:r>
      <w:r>
        <w:rPr>
          <w:rFonts w:hAnsi="宋体"/>
          <w:color w:val="000000" w:themeColor="text1"/>
          <w:sz w:val="28"/>
          <w:szCs w:val="28"/>
          <w:highlight w:val="none"/>
          <w14:textFill>
            <w14:solidFill>
              <w14:schemeClr w14:val="tx1"/>
            </w14:solidFill>
          </w14:textFill>
        </w:rPr>
        <w:t>月</w:t>
      </w:r>
      <w:r>
        <w:rPr>
          <w:color w:val="000000" w:themeColor="text1"/>
          <w:sz w:val="28"/>
          <w:szCs w:val="28"/>
          <w:highlight w:val="none"/>
          <w14:textFill>
            <w14:solidFill>
              <w14:schemeClr w14:val="tx1"/>
            </w14:solidFill>
          </w14:textFill>
        </w:rPr>
        <w:t xml:space="preserve">  </w:t>
      </w:r>
      <w:r>
        <w:rPr>
          <w:rFonts w:hAnsi="宋体"/>
          <w:color w:val="000000" w:themeColor="text1"/>
          <w:sz w:val="28"/>
          <w:szCs w:val="28"/>
          <w:highlight w:val="none"/>
          <w14:textFill>
            <w14:solidFill>
              <w14:schemeClr w14:val="tx1"/>
            </w14:solidFill>
          </w14:textFill>
        </w:rPr>
        <w:t>日</w:t>
      </w:r>
    </w:p>
    <w:p w14:paraId="4653F7A3">
      <w:pPr>
        <w:pStyle w:val="33"/>
        <w:spacing w:line="460" w:lineRule="atLeast"/>
        <w:rPr>
          <w:rFonts w:hint="eastAsia" w:hAnsi="宋体" w:eastAsia="宋体"/>
          <w:b w:val="0"/>
          <w:color w:val="000000" w:themeColor="text1"/>
          <w:sz w:val="22"/>
          <w:szCs w:val="22"/>
          <w:highlight w:val="none"/>
          <w14:textFill>
            <w14:solidFill>
              <w14:schemeClr w14:val="tx1"/>
            </w14:solidFill>
          </w14:textFill>
        </w:rPr>
      </w:pPr>
      <w:r>
        <w:rPr>
          <w:b/>
          <w:color w:val="000000" w:themeColor="text1"/>
          <w:szCs w:val="24"/>
          <w:highlight w:val="none"/>
          <w14:textFill>
            <w14:solidFill>
              <w14:schemeClr w14:val="tx1"/>
            </w14:solidFill>
          </w14:textFill>
        </w:rPr>
        <w:br w:type="page"/>
      </w:r>
      <w:r>
        <w:rPr>
          <w:rFonts w:hint="eastAsia" w:hAnsi="宋体" w:eastAsia="宋体"/>
          <w:b w:val="0"/>
          <w:color w:val="000000" w:themeColor="text1"/>
          <w:sz w:val="22"/>
          <w:szCs w:val="22"/>
          <w:highlight w:val="none"/>
          <w14:textFill>
            <w14:solidFill>
              <w14:schemeClr w14:val="tx1"/>
            </w14:solidFill>
          </w14:textFill>
        </w:rPr>
        <w:t>采购人：采购人</w:t>
      </w:r>
    </w:p>
    <w:p w14:paraId="785EDF29">
      <w:pPr>
        <w:pStyle w:val="33"/>
        <w:spacing w:line="460" w:lineRule="atLeast"/>
        <w:rPr>
          <w:rFonts w:hint="eastAsia" w:hAnsi="宋体" w:eastAsia="宋体"/>
          <w:b w:val="0"/>
          <w:color w:val="000000" w:themeColor="text1"/>
          <w:sz w:val="22"/>
          <w:szCs w:val="22"/>
          <w:highlight w:val="none"/>
          <w14:textFill>
            <w14:solidFill>
              <w14:schemeClr w14:val="tx1"/>
            </w14:solidFill>
          </w14:textFill>
        </w:rPr>
      </w:pPr>
      <w:r>
        <w:rPr>
          <w:rFonts w:hint="eastAsia" w:hAnsi="宋体" w:eastAsia="宋体"/>
          <w:b w:val="0"/>
          <w:color w:val="000000" w:themeColor="text1"/>
          <w:sz w:val="22"/>
          <w:szCs w:val="22"/>
          <w:highlight w:val="none"/>
          <w14:textFill>
            <w14:solidFill>
              <w14:schemeClr w14:val="tx1"/>
            </w14:solidFill>
          </w14:textFill>
        </w:rPr>
        <w:t>中标供应商：本次招标的中标供应商</w:t>
      </w:r>
    </w:p>
    <w:p w14:paraId="4246CF22">
      <w:pPr>
        <w:pStyle w:val="33"/>
        <w:spacing w:line="460" w:lineRule="atLeast"/>
        <w:ind w:firstLine="570"/>
        <w:rPr>
          <w:rFonts w:hint="eastAsia" w:hAnsi="宋体" w:eastAsia="宋体"/>
          <w:b w:val="0"/>
          <w:color w:val="000000" w:themeColor="text1"/>
          <w:sz w:val="22"/>
          <w:szCs w:val="22"/>
          <w:highlight w:val="none"/>
          <w14:textFill>
            <w14:solidFill>
              <w14:schemeClr w14:val="tx1"/>
            </w14:solidFill>
          </w14:textFill>
        </w:rPr>
      </w:pPr>
      <w:r>
        <w:rPr>
          <w:rFonts w:hint="eastAsia" w:hAnsi="宋体" w:eastAsia="宋体"/>
          <w:b w:val="0"/>
          <w:color w:val="000000" w:themeColor="text1"/>
          <w:sz w:val="22"/>
          <w:szCs w:val="22"/>
          <w:highlight w:val="none"/>
          <w14:textFill>
            <w14:solidFill>
              <w14:schemeClr w14:val="tx1"/>
            </w14:solidFill>
          </w14:textFill>
        </w:rPr>
        <w:t>双方经协商，就中标供应商向采购人提供本公司产品以及相关产品的伴随服务事宜达成以下条款：</w:t>
      </w:r>
    </w:p>
    <w:p w14:paraId="1DC5E8FB">
      <w:pPr>
        <w:pStyle w:val="33"/>
        <w:spacing w:line="460" w:lineRule="atLeast"/>
        <w:rPr>
          <w:rFonts w:hint="eastAsia" w:hAnsi="宋体" w:eastAsia="宋体"/>
          <w:b w:val="0"/>
          <w:bCs w:val="0"/>
          <w:color w:val="000000" w:themeColor="text1"/>
          <w:sz w:val="22"/>
          <w:szCs w:val="22"/>
          <w:highlight w:val="none"/>
          <w14:textFill>
            <w14:solidFill>
              <w14:schemeClr w14:val="tx1"/>
            </w14:solidFill>
          </w14:textFill>
        </w:rPr>
      </w:pPr>
      <w:r>
        <w:rPr>
          <w:rFonts w:hint="eastAsia" w:hAnsi="宋体" w:eastAsia="宋体"/>
          <w:b w:val="0"/>
          <w:bCs w:val="0"/>
          <w:color w:val="000000" w:themeColor="text1"/>
          <w:sz w:val="22"/>
          <w:szCs w:val="22"/>
          <w:highlight w:val="none"/>
          <w14:textFill>
            <w14:solidFill>
              <w14:schemeClr w14:val="tx1"/>
            </w14:solidFill>
          </w14:textFill>
        </w:rPr>
        <w:t>第一条：采购商品清单及合同价格</w:t>
      </w:r>
    </w:p>
    <w:p w14:paraId="176BF474">
      <w:pPr>
        <w:spacing w:line="460" w:lineRule="atLeast"/>
        <w:ind w:firstLine="540"/>
        <w:rPr>
          <w:rFonts w:hint="eastAsia" w:ascii="宋体" w:eastAsia="宋体"/>
          <w:b w:val="0"/>
          <w:color w:val="000000" w:themeColor="text1"/>
          <w:sz w:val="22"/>
          <w:szCs w:val="22"/>
          <w:highlight w:val="none"/>
          <w14:textFill>
            <w14:solidFill>
              <w14:schemeClr w14:val="tx1"/>
            </w14:solidFill>
          </w14:textFill>
        </w:rPr>
      </w:pPr>
      <w:r>
        <w:rPr>
          <w:rFonts w:hint="eastAsia" w:ascii="宋体" w:eastAsia="宋体"/>
          <w:b w:val="0"/>
          <w:color w:val="000000" w:themeColor="text1"/>
          <w:sz w:val="22"/>
          <w:szCs w:val="22"/>
          <w:highlight w:val="none"/>
          <w14:textFill>
            <w14:solidFill>
              <w14:schemeClr w14:val="tx1"/>
            </w14:solidFill>
          </w14:textFill>
        </w:rPr>
        <w:t>中标供应商保证提供如下内容的合格产品：        金额单位：人民币/元</w:t>
      </w:r>
    </w:p>
    <w:tbl>
      <w:tblPr>
        <w:tblStyle w:val="63"/>
        <w:tblW w:w="92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2713"/>
        <w:gridCol w:w="816"/>
        <w:gridCol w:w="872"/>
        <w:gridCol w:w="925"/>
        <w:gridCol w:w="925"/>
        <w:gridCol w:w="695"/>
      </w:tblGrid>
      <w:tr w14:paraId="3F3FB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267" w:type="dxa"/>
            <w:noWrap w:val="0"/>
            <w:vAlign w:val="center"/>
          </w:tcPr>
          <w:p w14:paraId="6C3B2D0F">
            <w:pPr>
              <w:spacing w:line="460" w:lineRule="atLeast"/>
              <w:ind w:firstLine="240"/>
              <w:jc w:val="center"/>
              <w:rPr>
                <w:rFonts w:hint="eastAsia" w:ascii="宋体" w:eastAsia="宋体"/>
                <w:b w:val="0"/>
                <w:color w:val="000000" w:themeColor="text1"/>
                <w:sz w:val="22"/>
                <w:szCs w:val="22"/>
                <w:highlight w:val="none"/>
                <w14:textFill>
                  <w14:solidFill>
                    <w14:schemeClr w14:val="tx1"/>
                  </w14:solidFill>
                </w14:textFill>
              </w:rPr>
            </w:pPr>
            <w:r>
              <w:rPr>
                <w:rFonts w:hint="eastAsia" w:ascii="宋体" w:eastAsia="宋体"/>
                <w:b w:val="0"/>
                <w:color w:val="000000" w:themeColor="text1"/>
                <w:sz w:val="22"/>
                <w:szCs w:val="22"/>
                <w:highlight w:val="none"/>
                <w14:textFill>
                  <w14:solidFill>
                    <w14:schemeClr w14:val="tx1"/>
                  </w14:solidFill>
                </w14:textFill>
              </w:rPr>
              <w:t>采购产品名称</w:t>
            </w:r>
          </w:p>
        </w:tc>
        <w:tc>
          <w:tcPr>
            <w:tcW w:w="2713" w:type="dxa"/>
            <w:noWrap w:val="0"/>
            <w:vAlign w:val="center"/>
          </w:tcPr>
          <w:p w14:paraId="129881F0">
            <w:pPr>
              <w:spacing w:line="460" w:lineRule="atLeast"/>
              <w:jc w:val="center"/>
              <w:rPr>
                <w:rFonts w:hint="eastAsia" w:ascii="宋体" w:eastAsia="宋体"/>
                <w:b w:val="0"/>
                <w:color w:val="000000" w:themeColor="text1"/>
                <w:sz w:val="22"/>
                <w:szCs w:val="22"/>
                <w:highlight w:val="none"/>
                <w14:textFill>
                  <w14:solidFill>
                    <w14:schemeClr w14:val="tx1"/>
                  </w14:solidFill>
                </w14:textFill>
              </w:rPr>
            </w:pPr>
            <w:r>
              <w:rPr>
                <w:rFonts w:hint="eastAsia" w:ascii="宋体" w:eastAsia="宋体"/>
                <w:b w:val="0"/>
                <w:color w:val="000000" w:themeColor="text1"/>
                <w:sz w:val="22"/>
                <w:szCs w:val="22"/>
                <w:highlight w:val="none"/>
                <w14:textFill>
                  <w14:solidFill>
                    <w14:schemeClr w14:val="tx1"/>
                  </w14:solidFill>
                </w14:textFill>
              </w:rPr>
              <w:t>型号规格和主要配置</w:t>
            </w:r>
          </w:p>
        </w:tc>
        <w:tc>
          <w:tcPr>
            <w:tcW w:w="816" w:type="dxa"/>
            <w:noWrap w:val="0"/>
            <w:vAlign w:val="center"/>
          </w:tcPr>
          <w:p w14:paraId="6B2CE542">
            <w:pPr>
              <w:spacing w:line="460" w:lineRule="atLeast"/>
              <w:jc w:val="center"/>
              <w:rPr>
                <w:rFonts w:hint="eastAsia" w:ascii="宋体" w:eastAsia="宋体"/>
                <w:b w:val="0"/>
                <w:color w:val="000000" w:themeColor="text1"/>
                <w:sz w:val="22"/>
                <w:szCs w:val="22"/>
                <w:highlight w:val="none"/>
                <w14:textFill>
                  <w14:solidFill>
                    <w14:schemeClr w14:val="tx1"/>
                  </w14:solidFill>
                </w14:textFill>
              </w:rPr>
            </w:pPr>
            <w:r>
              <w:rPr>
                <w:rFonts w:hint="eastAsia" w:ascii="宋体" w:eastAsia="宋体"/>
                <w:b w:val="0"/>
                <w:color w:val="000000" w:themeColor="text1"/>
                <w:sz w:val="22"/>
                <w:szCs w:val="22"/>
                <w:highlight w:val="none"/>
                <w14:textFill>
                  <w14:solidFill>
                    <w14:schemeClr w14:val="tx1"/>
                  </w14:solidFill>
                </w14:textFill>
              </w:rPr>
              <w:t>数量</w:t>
            </w:r>
          </w:p>
        </w:tc>
        <w:tc>
          <w:tcPr>
            <w:tcW w:w="872" w:type="dxa"/>
            <w:noWrap w:val="0"/>
            <w:vAlign w:val="center"/>
          </w:tcPr>
          <w:p w14:paraId="1B4A80C8">
            <w:pPr>
              <w:spacing w:line="460" w:lineRule="atLeast"/>
              <w:jc w:val="center"/>
              <w:rPr>
                <w:rFonts w:hint="eastAsia" w:ascii="宋体" w:eastAsia="宋体"/>
                <w:b w:val="0"/>
                <w:color w:val="000000" w:themeColor="text1"/>
                <w:sz w:val="22"/>
                <w:szCs w:val="22"/>
                <w:highlight w:val="none"/>
                <w:lang w:eastAsia="zh-CN"/>
                <w14:textFill>
                  <w14:solidFill>
                    <w14:schemeClr w14:val="tx1"/>
                  </w14:solidFill>
                </w14:textFill>
              </w:rPr>
            </w:pPr>
            <w:r>
              <w:rPr>
                <w:rFonts w:hint="eastAsia" w:ascii="宋体"/>
                <w:b w:val="0"/>
                <w:color w:val="000000" w:themeColor="text1"/>
                <w:sz w:val="22"/>
                <w:szCs w:val="22"/>
                <w:highlight w:val="none"/>
                <w:lang w:eastAsia="zh-CN"/>
                <w14:textFill>
                  <w14:solidFill>
                    <w14:schemeClr w14:val="tx1"/>
                  </w14:solidFill>
                </w14:textFill>
              </w:rPr>
              <w:t>单价</w:t>
            </w:r>
          </w:p>
        </w:tc>
        <w:tc>
          <w:tcPr>
            <w:tcW w:w="925" w:type="dxa"/>
            <w:noWrap w:val="0"/>
            <w:vAlign w:val="center"/>
          </w:tcPr>
          <w:p w14:paraId="1F5223CC">
            <w:pPr>
              <w:spacing w:line="460" w:lineRule="atLeast"/>
              <w:jc w:val="center"/>
              <w:rPr>
                <w:rFonts w:hint="eastAsia" w:ascii="宋体" w:eastAsia="宋体"/>
                <w:b w:val="0"/>
                <w:color w:val="000000" w:themeColor="text1"/>
                <w:sz w:val="22"/>
                <w:szCs w:val="22"/>
                <w:highlight w:val="none"/>
                <w:lang w:eastAsia="zh-CN"/>
                <w14:textFill>
                  <w14:solidFill>
                    <w14:schemeClr w14:val="tx1"/>
                  </w14:solidFill>
                </w14:textFill>
              </w:rPr>
            </w:pPr>
            <w:r>
              <w:rPr>
                <w:rFonts w:hint="eastAsia" w:ascii="宋体" w:eastAsia="宋体"/>
                <w:b w:val="0"/>
                <w:color w:val="000000" w:themeColor="text1"/>
                <w:sz w:val="22"/>
                <w:szCs w:val="22"/>
                <w:highlight w:val="none"/>
                <w14:textFill>
                  <w14:solidFill>
                    <w14:schemeClr w14:val="tx1"/>
                  </w14:solidFill>
                </w14:textFill>
              </w:rPr>
              <w:t>合计</w:t>
            </w:r>
          </w:p>
        </w:tc>
        <w:tc>
          <w:tcPr>
            <w:tcW w:w="925" w:type="dxa"/>
            <w:noWrap w:val="0"/>
            <w:vAlign w:val="center"/>
          </w:tcPr>
          <w:p w14:paraId="7074E549">
            <w:pPr>
              <w:spacing w:line="460" w:lineRule="atLeast"/>
              <w:jc w:val="center"/>
              <w:rPr>
                <w:rFonts w:hint="eastAsia" w:ascii="宋体" w:eastAsia="宋体"/>
                <w:b w:val="0"/>
                <w:color w:val="000000" w:themeColor="text1"/>
                <w:sz w:val="22"/>
                <w:szCs w:val="22"/>
                <w:highlight w:val="none"/>
                <w14:textFill>
                  <w14:solidFill>
                    <w14:schemeClr w14:val="tx1"/>
                  </w14:solidFill>
                </w14:textFill>
              </w:rPr>
            </w:pPr>
            <w:r>
              <w:rPr>
                <w:rFonts w:hint="eastAsia" w:ascii="宋体" w:eastAsia="宋体"/>
                <w:b w:val="0"/>
                <w:color w:val="000000" w:themeColor="text1"/>
                <w:sz w:val="22"/>
                <w:szCs w:val="22"/>
                <w:highlight w:val="none"/>
                <w14:textFill>
                  <w14:solidFill>
                    <w14:schemeClr w14:val="tx1"/>
                  </w14:solidFill>
                </w14:textFill>
              </w:rPr>
              <w:t>完工期</w:t>
            </w:r>
          </w:p>
        </w:tc>
        <w:tc>
          <w:tcPr>
            <w:tcW w:w="695" w:type="dxa"/>
            <w:noWrap w:val="0"/>
            <w:vAlign w:val="center"/>
          </w:tcPr>
          <w:p w14:paraId="1E9A6706">
            <w:pPr>
              <w:spacing w:line="460" w:lineRule="atLeast"/>
              <w:jc w:val="center"/>
              <w:rPr>
                <w:rFonts w:hint="eastAsia" w:ascii="宋体" w:eastAsia="宋体"/>
                <w:b w:val="0"/>
                <w:color w:val="000000" w:themeColor="text1"/>
                <w:sz w:val="22"/>
                <w:szCs w:val="22"/>
                <w:highlight w:val="none"/>
                <w14:textFill>
                  <w14:solidFill>
                    <w14:schemeClr w14:val="tx1"/>
                  </w14:solidFill>
                </w14:textFill>
              </w:rPr>
            </w:pPr>
            <w:r>
              <w:rPr>
                <w:rFonts w:hint="eastAsia" w:ascii="宋体" w:eastAsia="宋体"/>
                <w:b w:val="0"/>
                <w:color w:val="000000" w:themeColor="text1"/>
                <w:sz w:val="22"/>
                <w:szCs w:val="22"/>
                <w:highlight w:val="none"/>
                <w14:textFill>
                  <w14:solidFill>
                    <w14:schemeClr w14:val="tx1"/>
                  </w14:solidFill>
                </w14:textFill>
              </w:rPr>
              <w:t>备注</w:t>
            </w:r>
          </w:p>
        </w:tc>
      </w:tr>
      <w:tr w14:paraId="74F0A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2267" w:type="dxa"/>
            <w:noWrap w:val="0"/>
            <w:vAlign w:val="center"/>
          </w:tcPr>
          <w:p w14:paraId="33D54B6F">
            <w:pPr>
              <w:spacing w:line="460" w:lineRule="atLeast"/>
              <w:jc w:val="center"/>
              <w:rPr>
                <w:rFonts w:hint="eastAsia" w:ascii="宋体" w:eastAsia="宋体"/>
                <w:b w:val="0"/>
                <w:color w:val="000000" w:themeColor="text1"/>
                <w:sz w:val="22"/>
                <w:szCs w:val="22"/>
                <w:highlight w:val="none"/>
                <w14:textFill>
                  <w14:solidFill>
                    <w14:schemeClr w14:val="tx1"/>
                  </w14:solidFill>
                </w14:textFill>
              </w:rPr>
            </w:pPr>
          </w:p>
        </w:tc>
        <w:tc>
          <w:tcPr>
            <w:tcW w:w="2713" w:type="dxa"/>
            <w:noWrap w:val="0"/>
            <w:vAlign w:val="center"/>
          </w:tcPr>
          <w:p w14:paraId="4E6FA1DF">
            <w:pPr>
              <w:spacing w:line="460" w:lineRule="atLeast"/>
              <w:jc w:val="center"/>
              <w:rPr>
                <w:rFonts w:hint="eastAsia" w:ascii="宋体" w:eastAsia="宋体"/>
                <w:b w:val="0"/>
                <w:color w:val="000000" w:themeColor="text1"/>
                <w:sz w:val="22"/>
                <w:szCs w:val="22"/>
                <w:highlight w:val="none"/>
                <w14:textFill>
                  <w14:solidFill>
                    <w14:schemeClr w14:val="tx1"/>
                  </w14:solidFill>
                </w14:textFill>
              </w:rPr>
            </w:pPr>
          </w:p>
        </w:tc>
        <w:tc>
          <w:tcPr>
            <w:tcW w:w="816" w:type="dxa"/>
            <w:noWrap w:val="0"/>
            <w:vAlign w:val="center"/>
          </w:tcPr>
          <w:p w14:paraId="633E3B0C">
            <w:pPr>
              <w:spacing w:line="460" w:lineRule="atLeast"/>
              <w:jc w:val="center"/>
              <w:rPr>
                <w:rFonts w:hint="eastAsia" w:ascii="宋体" w:eastAsia="宋体"/>
                <w:b w:val="0"/>
                <w:color w:val="000000" w:themeColor="text1"/>
                <w:sz w:val="22"/>
                <w:szCs w:val="22"/>
                <w:highlight w:val="none"/>
                <w14:textFill>
                  <w14:solidFill>
                    <w14:schemeClr w14:val="tx1"/>
                  </w14:solidFill>
                </w14:textFill>
              </w:rPr>
            </w:pPr>
          </w:p>
        </w:tc>
        <w:tc>
          <w:tcPr>
            <w:tcW w:w="872" w:type="dxa"/>
            <w:noWrap w:val="0"/>
            <w:vAlign w:val="center"/>
          </w:tcPr>
          <w:p w14:paraId="1CF5DA28">
            <w:pPr>
              <w:spacing w:line="460" w:lineRule="atLeast"/>
              <w:jc w:val="center"/>
              <w:rPr>
                <w:rFonts w:hint="eastAsia" w:ascii="宋体" w:eastAsia="宋体"/>
                <w:b w:val="0"/>
                <w:color w:val="000000" w:themeColor="text1"/>
                <w:sz w:val="22"/>
                <w:szCs w:val="22"/>
                <w:highlight w:val="none"/>
                <w14:textFill>
                  <w14:solidFill>
                    <w14:schemeClr w14:val="tx1"/>
                  </w14:solidFill>
                </w14:textFill>
              </w:rPr>
            </w:pPr>
          </w:p>
        </w:tc>
        <w:tc>
          <w:tcPr>
            <w:tcW w:w="925" w:type="dxa"/>
            <w:noWrap w:val="0"/>
            <w:vAlign w:val="center"/>
          </w:tcPr>
          <w:p w14:paraId="02869237">
            <w:pPr>
              <w:spacing w:line="460" w:lineRule="atLeast"/>
              <w:jc w:val="center"/>
              <w:rPr>
                <w:rFonts w:hint="eastAsia" w:ascii="宋体" w:eastAsia="宋体"/>
                <w:b w:val="0"/>
                <w:color w:val="000000" w:themeColor="text1"/>
                <w:sz w:val="22"/>
                <w:szCs w:val="22"/>
                <w:highlight w:val="none"/>
                <w14:textFill>
                  <w14:solidFill>
                    <w14:schemeClr w14:val="tx1"/>
                  </w14:solidFill>
                </w14:textFill>
              </w:rPr>
            </w:pPr>
          </w:p>
        </w:tc>
        <w:tc>
          <w:tcPr>
            <w:tcW w:w="925" w:type="dxa"/>
            <w:noWrap w:val="0"/>
            <w:vAlign w:val="center"/>
          </w:tcPr>
          <w:p w14:paraId="17194954">
            <w:pPr>
              <w:spacing w:line="460" w:lineRule="atLeast"/>
              <w:jc w:val="center"/>
              <w:rPr>
                <w:rFonts w:hint="eastAsia" w:ascii="宋体" w:eastAsia="宋体"/>
                <w:b w:val="0"/>
                <w:color w:val="000000" w:themeColor="text1"/>
                <w:sz w:val="22"/>
                <w:szCs w:val="22"/>
                <w:highlight w:val="none"/>
                <w14:textFill>
                  <w14:solidFill>
                    <w14:schemeClr w14:val="tx1"/>
                  </w14:solidFill>
                </w14:textFill>
              </w:rPr>
            </w:pPr>
          </w:p>
        </w:tc>
        <w:tc>
          <w:tcPr>
            <w:tcW w:w="695" w:type="dxa"/>
            <w:noWrap w:val="0"/>
            <w:vAlign w:val="center"/>
          </w:tcPr>
          <w:p w14:paraId="75CEC7D4">
            <w:pPr>
              <w:spacing w:line="460" w:lineRule="atLeast"/>
              <w:jc w:val="center"/>
              <w:rPr>
                <w:rFonts w:hint="eastAsia" w:ascii="宋体" w:eastAsia="宋体"/>
                <w:b w:val="0"/>
                <w:color w:val="000000" w:themeColor="text1"/>
                <w:sz w:val="22"/>
                <w:szCs w:val="22"/>
                <w:highlight w:val="none"/>
                <w14:textFill>
                  <w14:solidFill>
                    <w14:schemeClr w14:val="tx1"/>
                  </w14:solidFill>
                </w14:textFill>
              </w:rPr>
            </w:pPr>
          </w:p>
        </w:tc>
      </w:tr>
      <w:tr w14:paraId="3F99D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2267" w:type="dxa"/>
            <w:noWrap w:val="0"/>
            <w:vAlign w:val="center"/>
          </w:tcPr>
          <w:p w14:paraId="0E56DBB0">
            <w:pPr>
              <w:spacing w:line="460" w:lineRule="atLeast"/>
              <w:jc w:val="center"/>
              <w:rPr>
                <w:rFonts w:hint="eastAsia" w:ascii="宋体" w:eastAsia="宋体"/>
                <w:b w:val="0"/>
                <w:color w:val="000000" w:themeColor="text1"/>
                <w:sz w:val="22"/>
                <w:szCs w:val="22"/>
                <w:highlight w:val="none"/>
                <w14:textFill>
                  <w14:solidFill>
                    <w14:schemeClr w14:val="tx1"/>
                  </w14:solidFill>
                </w14:textFill>
              </w:rPr>
            </w:pPr>
          </w:p>
        </w:tc>
        <w:tc>
          <w:tcPr>
            <w:tcW w:w="2713" w:type="dxa"/>
            <w:noWrap w:val="0"/>
            <w:vAlign w:val="center"/>
          </w:tcPr>
          <w:p w14:paraId="15BB3FA9">
            <w:pPr>
              <w:spacing w:line="460" w:lineRule="atLeast"/>
              <w:jc w:val="center"/>
              <w:rPr>
                <w:rFonts w:hint="eastAsia" w:ascii="宋体" w:eastAsia="宋体"/>
                <w:b w:val="0"/>
                <w:color w:val="000000" w:themeColor="text1"/>
                <w:sz w:val="22"/>
                <w:szCs w:val="22"/>
                <w:highlight w:val="none"/>
                <w14:textFill>
                  <w14:solidFill>
                    <w14:schemeClr w14:val="tx1"/>
                  </w14:solidFill>
                </w14:textFill>
              </w:rPr>
            </w:pPr>
          </w:p>
        </w:tc>
        <w:tc>
          <w:tcPr>
            <w:tcW w:w="816" w:type="dxa"/>
            <w:noWrap w:val="0"/>
            <w:vAlign w:val="center"/>
          </w:tcPr>
          <w:p w14:paraId="1942A798">
            <w:pPr>
              <w:spacing w:line="460" w:lineRule="atLeast"/>
              <w:jc w:val="center"/>
              <w:rPr>
                <w:rFonts w:hint="eastAsia" w:ascii="宋体" w:eastAsia="宋体"/>
                <w:b w:val="0"/>
                <w:color w:val="000000" w:themeColor="text1"/>
                <w:sz w:val="22"/>
                <w:szCs w:val="22"/>
                <w:highlight w:val="none"/>
                <w14:textFill>
                  <w14:solidFill>
                    <w14:schemeClr w14:val="tx1"/>
                  </w14:solidFill>
                </w14:textFill>
              </w:rPr>
            </w:pPr>
          </w:p>
        </w:tc>
        <w:tc>
          <w:tcPr>
            <w:tcW w:w="872" w:type="dxa"/>
            <w:noWrap w:val="0"/>
            <w:vAlign w:val="center"/>
          </w:tcPr>
          <w:p w14:paraId="7F6267B8">
            <w:pPr>
              <w:spacing w:line="460" w:lineRule="atLeast"/>
              <w:jc w:val="center"/>
              <w:rPr>
                <w:rFonts w:hint="eastAsia" w:ascii="宋体" w:eastAsia="宋体"/>
                <w:b w:val="0"/>
                <w:color w:val="000000" w:themeColor="text1"/>
                <w:sz w:val="22"/>
                <w:szCs w:val="22"/>
                <w:highlight w:val="none"/>
                <w14:textFill>
                  <w14:solidFill>
                    <w14:schemeClr w14:val="tx1"/>
                  </w14:solidFill>
                </w14:textFill>
              </w:rPr>
            </w:pPr>
          </w:p>
        </w:tc>
        <w:tc>
          <w:tcPr>
            <w:tcW w:w="925" w:type="dxa"/>
            <w:noWrap w:val="0"/>
            <w:vAlign w:val="center"/>
          </w:tcPr>
          <w:p w14:paraId="34A0C28E">
            <w:pPr>
              <w:spacing w:line="460" w:lineRule="atLeast"/>
              <w:jc w:val="center"/>
              <w:rPr>
                <w:rFonts w:hint="eastAsia" w:ascii="宋体" w:eastAsia="宋体"/>
                <w:b w:val="0"/>
                <w:color w:val="000000" w:themeColor="text1"/>
                <w:sz w:val="22"/>
                <w:szCs w:val="22"/>
                <w:highlight w:val="none"/>
                <w14:textFill>
                  <w14:solidFill>
                    <w14:schemeClr w14:val="tx1"/>
                  </w14:solidFill>
                </w14:textFill>
              </w:rPr>
            </w:pPr>
          </w:p>
        </w:tc>
        <w:tc>
          <w:tcPr>
            <w:tcW w:w="925" w:type="dxa"/>
            <w:noWrap w:val="0"/>
            <w:vAlign w:val="center"/>
          </w:tcPr>
          <w:p w14:paraId="72CDD550">
            <w:pPr>
              <w:spacing w:line="460" w:lineRule="atLeast"/>
              <w:jc w:val="center"/>
              <w:rPr>
                <w:rFonts w:hint="eastAsia" w:ascii="宋体" w:eastAsia="宋体"/>
                <w:b w:val="0"/>
                <w:color w:val="000000" w:themeColor="text1"/>
                <w:sz w:val="22"/>
                <w:szCs w:val="22"/>
                <w:highlight w:val="none"/>
                <w14:textFill>
                  <w14:solidFill>
                    <w14:schemeClr w14:val="tx1"/>
                  </w14:solidFill>
                </w14:textFill>
              </w:rPr>
            </w:pPr>
          </w:p>
        </w:tc>
        <w:tc>
          <w:tcPr>
            <w:tcW w:w="695" w:type="dxa"/>
            <w:noWrap w:val="0"/>
            <w:vAlign w:val="center"/>
          </w:tcPr>
          <w:p w14:paraId="05664EE0">
            <w:pPr>
              <w:spacing w:line="460" w:lineRule="atLeast"/>
              <w:jc w:val="center"/>
              <w:rPr>
                <w:rFonts w:hint="eastAsia" w:ascii="宋体" w:eastAsia="宋体"/>
                <w:b w:val="0"/>
                <w:color w:val="000000" w:themeColor="text1"/>
                <w:sz w:val="22"/>
                <w:szCs w:val="22"/>
                <w:highlight w:val="none"/>
                <w14:textFill>
                  <w14:solidFill>
                    <w14:schemeClr w14:val="tx1"/>
                  </w14:solidFill>
                </w14:textFill>
              </w:rPr>
            </w:pPr>
          </w:p>
        </w:tc>
      </w:tr>
      <w:tr w14:paraId="7CCCA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2267" w:type="dxa"/>
            <w:noWrap w:val="0"/>
            <w:vAlign w:val="center"/>
          </w:tcPr>
          <w:p w14:paraId="0A06B35C">
            <w:pPr>
              <w:spacing w:line="460" w:lineRule="atLeast"/>
              <w:jc w:val="center"/>
              <w:rPr>
                <w:rFonts w:hint="eastAsia" w:ascii="宋体" w:eastAsia="宋体"/>
                <w:b w:val="0"/>
                <w:color w:val="000000" w:themeColor="text1"/>
                <w:sz w:val="22"/>
                <w:szCs w:val="22"/>
                <w:highlight w:val="none"/>
                <w14:textFill>
                  <w14:solidFill>
                    <w14:schemeClr w14:val="tx1"/>
                  </w14:solidFill>
                </w14:textFill>
              </w:rPr>
            </w:pPr>
          </w:p>
        </w:tc>
        <w:tc>
          <w:tcPr>
            <w:tcW w:w="2713" w:type="dxa"/>
            <w:noWrap w:val="0"/>
            <w:vAlign w:val="center"/>
          </w:tcPr>
          <w:p w14:paraId="612A7482">
            <w:pPr>
              <w:spacing w:line="460" w:lineRule="atLeast"/>
              <w:jc w:val="center"/>
              <w:rPr>
                <w:rFonts w:hint="eastAsia" w:ascii="宋体" w:eastAsia="宋体"/>
                <w:b w:val="0"/>
                <w:color w:val="000000" w:themeColor="text1"/>
                <w:sz w:val="22"/>
                <w:szCs w:val="22"/>
                <w:highlight w:val="none"/>
                <w14:textFill>
                  <w14:solidFill>
                    <w14:schemeClr w14:val="tx1"/>
                  </w14:solidFill>
                </w14:textFill>
              </w:rPr>
            </w:pPr>
          </w:p>
        </w:tc>
        <w:tc>
          <w:tcPr>
            <w:tcW w:w="816" w:type="dxa"/>
            <w:noWrap w:val="0"/>
            <w:vAlign w:val="center"/>
          </w:tcPr>
          <w:p w14:paraId="6712F7DE">
            <w:pPr>
              <w:spacing w:line="460" w:lineRule="atLeast"/>
              <w:jc w:val="center"/>
              <w:rPr>
                <w:rFonts w:hint="eastAsia" w:ascii="宋体" w:eastAsia="宋体"/>
                <w:b w:val="0"/>
                <w:color w:val="000000" w:themeColor="text1"/>
                <w:sz w:val="22"/>
                <w:szCs w:val="22"/>
                <w:highlight w:val="none"/>
                <w14:textFill>
                  <w14:solidFill>
                    <w14:schemeClr w14:val="tx1"/>
                  </w14:solidFill>
                </w14:textFill>
              </w:rPr>
            </w:pPr>
          </w:p>
        </w:tc>
        <w:tc>
          <w:tcPr>
            <w:tcW w:w="872" w:type="dxa"/>
            <w:noWrap w:val="0"/>
            <w:vAlign w:val="center"/>
          </w:tcPr>
          <w:p w14:paraId="3A71B74F">
            <w:pPr>
              <w:spacing w:line="460" w:lineRule="atLeast"/>
              <w:jc w:val="center"/>
              <w:rPr>
                <w:rFonts w:hint="eastAsia" w:ascii="宋体" w:eastAsia="宋体"/>
                <w:b w:val="0"/>
                <w:color w:val="000000" w:themeColor="text1"/>
                <w:sz w:val="22"/>
                <w:szCs w:val="22"/>
                <w:highlight w:val="none"/>
                <w14:textFill>
                  <w14:solidFill>
                    <w14:schemeClr w14:val="tx1"/>
                  </w14:solidFill>
                </w14:textFill>
              </w:rPr>
            </w:pPr>
          </w:p>
        </w:tc>
        <w:tc>
          <w:tcPr>
            <w:tcW w:w="925" w:type="dxa"/>
            <w:noWrap w:val="0"/>
            <w:vAlign w:val="center"/>
          </w:tcPr>
          <w:p w14:paraId="0CAED76D">
            <w:pPr>
              <w:spacing w:line="460" w:lineRule="atLeast"/>
              <w:jc w:val="center"/>
              <w:rPr>
                <w:rFonts w:hint="eastAsia" w:ascii="宋体" w:eastAsia="宋体"/>
                <w:b w:val="0"/>
                <w:color w:val="000000" w:themeColor="text1"/>
                <w:sz w:val="22"/>
                <w:szCs w:val="22"/>
                <w:highlight w:val="none"/>
                <w14:textFill>
                  <w14:solidFill>
                    <w14:schemeClr w14:val="tx1"/>
                  </w14:solidFill>
                </w14:textFill>
              </w:rPr>
            </w:pPr>
          </w:p>
        </w:tc>
        <w:tc>
          <w:tcPr>
            <w:tcW w:w="925" w:type="dxa"/>
            <w:noWrap w:val="0"/>
            <w:vAlign w:val="center"/>
          </w:tcPr>
          <w:p w14:paraId="05F3856B">
            <w:pPr>
              <w:spacing w:line="460" w:lineRule="atLeast"/>
              <w:jc w:val="center"/>
              <w:rPr>
                <w:rFonts w:hint="eastAsia" w:ascii="宋体" w:eastAsia="宋体"/>
                <w:b w:val="0"/>
                <w:color w:val="000000" w:themeColor="text1"/>
                <w:sz w:val="22"/>
                <w:szCs w:val="22"/>
                <w:highlight w:val="none"/>
                <w14:textFill>
                  <w14:solidFill>
                    <w14:schemeClr w14:val="tx1"/>
                  </w14:solidFill>
                </w14:textFill>
              </w:rPr>
            </w:pPr>
          </w:p>
        </w:tc>
        <w:tc>
          <w:tcPr>
            <w:tcW w:w="695" w:type="dxa"/>
            <w:noWrap w:val="0"/>
            <w:vAlign w:val="center"/>
          </w:tcPr>
          <w:p w14:paraId="0C47D55D">
            <w:pPr>
              <w:spacing w:line="460" w:lineRule="atLeast"/>
              <w:jc w:val="center"/>
              <w:rPr>
                <w:rFonts w:hint="eastAsia" w:ascii="宋体" w:eastAsia="宋体"/>
                <w:b w:val="0"/>
                <w:color w:val="000000" w:themeColor="text1"/>
                <w:sz w:val="22"/>
                <w:szCs w:val="22"/>
                <w:highlight w:val="none"/>
                <w14:textFill>
                  <w14:solidFill>
                    <w14:schemeClr w14:val="tx1"/>
                  </w14:solidFill>
                </w14:textFill>
              </w:rPr>
            </w:pPr>
          </w:p>
        </w:tc>
      </w:tr>
      <w:tr w14:paraId="40404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4980" w:type="dxa"/>
            <w:gridSpan w:val="2"/>
            <w:noWrap w:val="0"/>
            <w:vAlign w:val="center"/>
          </w:tcPr>
          <w:p w14:paraId="21F6AAAD">
            <w:pPr>
              <w:spacing w:line="460" w:lineRule="atLeast"/>
              <w:jc w:val="center"/>
              <w:rPr>
                <w:rFonts w:hint="eastAsia" w:ascii="宋体" w:eastAsia="宋体"/>
                <w:b w:val="0"/>
                <w:color w:val="000000" w:themeColor="text1"/>
                <w:sz w:val="22"/>
                <w:szCs w:val="22"/>
                <w:highlight w:val="none"/>
                <w14:textFill>
                  <w14:solidFill>
                    <w14:schemeClr w14:val="tx1"/>
                  </w14:solidFill>
                </w14:textFill>
              </w:rPr>
            </w:pPr>
            <w:r>
              <w:rPr>
                <w:rFonts w:hint="eastAsia" w:ascii="宋体" w:eastAsia="宋体"/>
                <w:b w:val="0"/>
                <w:color w:val="000000" w:themeColor="text1"/>
                <w:sz w:val="22"/>
                <w:szCs w:val="22"/>
                <w:highlight w:val="none"/>
                <w14:textFill>
                  <w14:solidFill>
                    <w14:schemeClr w14:val="tx1"/>
                  </w14:solidFill>
                </w14:textFill>
              </w:rPr>
              <w:t>合同价格</w:t>
            </w:r>
          </w:p>
        </w:tc>
        <w:tc>
          <w:tcPr>
            <w:tcW w:w="4233" w:type="dxa"/>
            <w:gridSpan w:val="5"/>
            <w:noWrap w:val="0"/>
            <w:vAlign w:val="center"/>
          </w:tcPr>
          <w:p w14:paraId="178A4B97">
            <w:pPr>
              <w:spacing w:line="460" w:lineRule="atLeast"/>
              <w:jc w:val="both"/>
              <w:rPr>
                <w:rFonts w:hint="eastAsia" w:ascii="宋体" w:eastAsia="宋体"/>
                <w:b w:val="0"/>
                <w:color w:val="000000" w:themeColor="text1"/>
                <w:sz w:val="22"/>
                <w:szCs w:val="22"/>
                <w:highlight w:val="none"/>
                <w:lang w:eastAsia="zh-CN"/>
                <w14:textFill>
                  <w14:solidFill>
                    <w14:schemeClr w14:val="tx1"/>
                  </w14:solidFill>
                </w14:textFill>
              </w:rPr>
            </w:pPr>
            <w:r>
              <w:rPr>
                <w:rFonts w:hint="eastAsia" w:ascii="宋体" w:eastAsia="宋体"/>
                <w:b w:val="0"/>
                <w:color w:val="000000" w:themeColor="text1"/>
                <w:sz w:val="22"/>
                <w:szCs w:val="22"/>
                <w:highlight w:val="none"/>
                <w:lang w:eastAsia="zh-CN"/>
                <w14:textFill>
                  <w14:solidFill>
                    <w14:schemeClr w14:val="tx1"/>
                  </w14:solidFill>
                </w14:textFill>
              </w:rPr>
              <w:t>大写：</w:t>
            </w:r>
          </w:p>
          <w:p w14:paraId="26E84BEE">
            <w:pPr>
              <w:spacing w:line="460" w:lineRule="atLeast"/>
              <w:jc w:val="both"/>
              <w:rPr>
                <w:rFonts w:hint="eastAsia" w:ascii="宋体" w:eastAsia="宋体"/>
                <w:b w:val="0"/>
                <w:color w:val="000000" w:themeColor="text1"/>
                <w:sz w:val="22"/>
                <w:szCs w:val="22"/>
                <w:highlight w:val="none"/>
                <w:lang w:eastAsia="zh-CN"/>
                <w14:textFill>
                  <w14:solidFill>
                    <w14:schemeClr w14:val="tx1"/>
                  </w14:solidFill>
                </w14:textFill>
              </w:rPr>
            </w:pPr>
            <w:r>
              <w:rPr>
                <w:rFonts w:hint="eastAsia" w:ascii="宋体" w:eastAsia="宋体"/>
                <w:b w:val="0"/>
                <w:color w:val="000000" w:themeColor="text1"/>
                <w:sz w:val="22"/>
                <w:szCs w:val="22"/>
                <w:highlight w:val="none"/>
                <w:lang w:eastAsia="zh-CN"/>
                <w14:textFill>
                  <w14:solidFill>
                    <w14:schemeClr w14:val="tx1"/>
                  </w14:solidFill>
                </w14:textFill>
              </w:rPr>
              <w:t>小写：</w:t>
            </w:r>
          </w:p>
        </w:tc>
      </w:tr>
    </w:tbl>
    <w:p w14:paraId="2A116ED2">
      <w:pPr>
        <w:pStyle w:val="33"/>
        <w:spacing w:line="460" w:lineRule="atLeast"/>
        <w:rPr>
          <w:rFonts w:hint="eastAsia" w:hAnsi="宋体" w:eastAsia="宋体"/>
          <w:b w:val="0"/>
          <w:bCs w:val="0"/>
          <w:color w:val="000000" w:themeColor="text1"/>
          <w:sz w:val="22"/>
          <w:szCs w:val="22"/>
          <w:highlight w:val="none"/>
          <w14:textFill>
            <w14:solidFill>
              <w14:schemeClr w14:val="tx1"/>
            </w14:solidFill>
          </w14:textFill>
        </w:rPr>
      </w:pPr>
      <w:r>
        <w:rPr>
          <w:rFonts w:hint="eastAsia" w:hAnsi="宋体" w:eastAsia="宋体"/>
          <w:b w:val="0"/>
          <w:bCs w:val="0"/>
          <w:color w:val="000000" w:themeColor="text1"/>
          <w:sz w:val="22"/>
          <w:szCs w:val="22"/>
          <w:highlight w:val="none"/>
          <w14:textFill>
            <w14:solidFill>
              <w14:schemeClr w14:val="tx1"/>
            </w14:solidFill>
          </w14:textFill>
        </w:rPr>
        <w:t>第二条：质量标准和要求</w:t>
      </w:r>
    </w:p>
    <w:p w14:paraId="32712040">
      <w:pPr>
        <w:spacing w:line="460" w:lineRule="atLeast"/>
        <w:ind w:firstLine="420"/>
        <w:rPr>
          <w:rFonts w:hint="eastAsia" w:ascii="宋体" w:eastAsia="宋体"/>
          <w:b w:val="0"/>
          <w:color w:val="000000" w:themeColor="text1"/>
          <w:sz w:val="22"/>
          <w:szCs w:val="22"/>
          <w:highlight w:val="none"/>
          <w14:textFill>
            <w14:solidFill>
              <w14:schemeClr w14:val="tx1"/>
            </w14:solidFill>
          </w14:textFill>
        </w:rPr>
      </w:pPr>
      <w:r>
        <w:rPr>
          <w:rFonts w:hint="eastAsia" w:ascii="宋体" w:eastAsia="宋体"/>
          <w:b w:val="0"/>
          <w:color w:val="000000" w:themeColor="text1"/>
          <w:sz w:val="22"/>
          <w:szCs w:val="22"/>
          <w:highlight w:val="none"/>
          <w14:textFill>
            <w14:solidFill>
              <w14:schemeClr w14:val="tx1"/>
            </w14:solidFill>
          </w14:textFill>
        </w:rPr>
        <w:t>1、中标供应商保证本合同中所供应的货物质量标准按照国家标准、行业标准或制造厂家企业标准确定，上述标准不一致的，以严格的标准为准。没有国家标准、行业标准和企业标准的，按照通常标准或者符合本合同目的的特定标准确定。</w:t>
      </w:r>
    </w:p>
    <w:p w14:paraId="39C8EC8A">
      <w:pPr>
        <w:pStyle w:val="33"/>
        <w:spacing w:line="460" w:lineRule="atLeast"/>
        <w:ind w:firstLine="480"/>
        <w:rPr>
          <w:rFonts w:hint="eastAsia" w:hAnsi="宋体" w:eastAsia="宋体"/>
          <w:b w:val="0"/>
          <w:color w:val="000000" w:themeColor="text1"/>
          <w:sz w:val="22"/>
          <w:szCs w:val="22"/>
          <w:highlight w:val="none"/>
          <w14:textFill>
            <w14:solidFill>
              <w14:schemeClr w14:val="tx1"/>
            </w14:solidFill>
          </w14:textFill>
        </w:rPr>
      </w:pPr>
      <w:r>
        <w:rPr>
          <w:rFonts w:hint="eastAsia" w:hAnsi="宋体" w:eastAsia="宋体"/>
          <w:b w:val="0"/>
          <w:color w:val="000000" w:themeColor="text1"/>
          <w:sz w:val="22"/>
          <w:szCs w:val="22"/>
          <w:highlight w:val="none"/>
          <w14:textFill>
            <w14:solidFill>
              <w14:schemeClr w14:val="tx1"/>
            </w14:solidFill>
          </w14:textFill>
        </w:rPr>
        <w:t>2、 中标供应商所出售的货物还应符合国家和浙江省有关安全、环保、卫生之规定。</w:t>
      </w:r>
    </w:p>
    <w:p w14:paraId="62551B36">
      <w:pPr>
        <w:spacing w:line="460" w:lineRule="atLeast"/>
        <w:rPr>
          <w:rFonts w:hint="eastAsia" w:ascii="宋体" w:eastAsia="宋体"/>
          <w:b w:val="0"/>
          <w:bCs w:val="0"/>
          <w:color w:val="000000" w:themeColor="text1"/>
          <w:sz w:val="22"/>
          <w:szCs w:val="22"/>
          <w:highlight w:val="none"/>
          <w14:textFill>
            <w14:solidFill>
              <w14:schemeClr w14:val="tx1"/>
            </w14:solidFill>
          </w14:textFill>
        </w:rPr>
      </w:pPr>
      <w:r>
        <w:rPr>
          <w:rFonts w:hint="eastAsia" w:ascii="宋体" w:eastAsia="宋体"/>
          <w:b w:val="0"/>
          <w:bCs w:val="0"/>
          <w:color w:val="000000" w:themeColor="text1"/>
          <w:sz w:val="22"/>
          <w:szCs w:val="22"/>
          <w:highlight w:val="none"/>
          <w14:textFill>
            <w14:solidFill>
              <w14:schemeClr w14:val="tx1"/>
            </w14:solidFill>
          </w14:textFill>
        </w:rPr>
        <w:t>第三条：权利瑕疵担保</w:t>
      </w:r>
    </w:p>
    <w:p w14:paraId="3DA748C2">
      <w:pPr>
        <w:spacing w:line="460" w:lineRule="atLeast"/>
        <w:ind w:firstLine="420"/>
        <w:rPr>
          <w:rFonts w:hint="eastAsia" w:ascii="宋体" w:eastAsia="宋体"/>
          <w:b w:val="0"/>
          <w:color w:val="000000" w:themeColor="text1"/>
          <w:sz w:val="22"/>
          <w:szCs w:val="22"/>
          <w:highlight w:val="none"/>
          <w14:textFill>
            <w14:solidFill>
              <w14:schemeClr w14:val="tx1"/>
            </w14:solidFill>
          </w14:textFill>
        </w:rPr>
      </w:pPr>
      <w:r>
        <w:rPr>
          <w:rFonts w:hint="eastAsia" w:ascii="宋体" w:eastAsia="宋体"/>
          <w:b w:val="0"/>
          <w:color w:val="000000" w:themeColor="text1"/>
          <w:sz w:val="22"/>
          <w:szCs w:val="22"/>
          <w:highlight w:val="none"/>
          <w14:textFill>
            <w14:solidFill>
              <w14:schemeClr w14:val="tx1"/>
            </w14:solidFill>
          </w14:textFill>
        </w:rPr>
        <w:t>1、中标供应商保证对其出售的货物享有合法的权利。</w:t>
      </w:r>
    </w:p>
    <w:p w14:paraId="202EF3BD">
      <w:pPr>
        <w:spacing w:line="460" w:lineRule="atLeast"/>
        <w:ind w:firstLine="420"/>
        <w:rPr>
          <w:rFonts w:hint="eastAsia" w:ascii="宋体" w:eastAsia="宋体"/>
          <w:b w:val="0"/>
          <w:color w:val="000000" w:themeColor="text1"/>
          <w:sz w:val="22"/>
          <w:szCs w:val="22"/>
          <w:highlight w:val="none"/>
          <w14:textFill>
            <w14:solidFill>
              <w14:schemeClr w14:val="tx1"/>
            </w14:solidFill>
          </w14:textFill>
        </w:rPr>
      </w:pPr>
      <w:r>
        <w:rPr>
          <w:rFonts w:hint="eastAsia" w:ascii="宋体" w:eastAsia="宋体"/>
          <w:b w:val="0"/>
          <w:color w:val="000000" w:themeColor="text1"/>
          <w:sz w:val="22"/>
          <w:szCs w:val="22"/>
          <w:highlight w:val="none"/>
          <w14:textFill>
            <w14:solidFill>
              <w14:schemeClr w14:val="tx1"/>
            </w14:solidFill>
          </w14:textFill>
        </w:rPr>
        <w:t>2、中标供应商保证在其出售的货物上不存在任何未曾向采购人透露的担保物权，如抵押权、质押权、留置权等。</w:t>
      </w:r>
    </w:p>
    <w:p w14:paraId="24474D41">
      <w:pPr>
        <w:spacing w:line="460" w:lineRule="atLeast"/>
        <w:ind w:firstLine="420"/>
        <w:rPr>
          <w:rFonts w:hint="eastAsia" w:ascii="宋体" w:eastAsia="宋体"/>
          <w:b w:val="0"/>
          <w:color w:val="000000" w:themeColor="text1"/>
          <w:sz w:val="22"/>
          <w:szCs w:val="22"/>
          <w:highlight w:val="none"/>
          <w14:textFill>
            <w14:solidFill>
              <w14:schemeClr w14:val="tx1"/>
            </w14:solidFill>
          </w14:textFill>
        </w:rPr>
      </w:pPr>
      <w:r>
        <w:rPr>
          <w:rFonts w:hint="eastAsia" w:ascii="宋体" w:eastAsia="宋体"/>
          <w:b w:val="0"/>
          <w:color w:val="000000" w:themeColor="text1"/>
          <w:sz w:val="22"/>
          <w:szCs w:val="22"/>
          <w:highlight w:val="none"/>
          <w14:textFill>
            <w14:solidFill>
              <w14:schemeClr w14:val="tx1"/>
            </w14:solidFill>
          </w14:textFill>
        </w:rPr>
        <w:t>3、中标供应商保证其所出售的货物没有侵犯任何第三人的知识产权和商业秘密等权利。</w:t>
      </w:r>
    </w:p>
    <w:p w14:paraId="40BAF377">
      <w:pPr>
        <w:pStyle w:val="33"/>
        <w:spacing w:line="460" w:lineRule="atLeast"/>
        <w:ind w:firstLine="360"/>
        <w:rPr>
          <w:rFonts w:hint="eastAsia" w:hAnsi="宋体" w:eastAsia="宋体"/>
          <w:b w:val="0"/>
          <w:color w:val="000000" w:themeColor="text1"/>
          <w:sz w:val="22"/>
          <w:szCs w:val="22"/>
          <w:highlight w:val="none"/>
          <w14:textFill>
            <w14:solidFill>
              <w14:schemeClr w14:val="tx1"/>
            </w14:solidFill>
          </w14:textFill>
        </w:rPr>
      </w:pPr>
      <w:r>
        <w:rPr>
          <w:rFonts w:hint="eastAsia" w:hAnsi="宋体" w:eastAsia="宋体"/>
          <w:b w:val="0"/>
          <w:color w:val="000000" w:themeColor="text1"/>
          <w:sz w:val="22"/>
          <w:szCs w:val="22"/>
          <w:highlight w:val="none"/>
          <w14:textFill>
            <w14:solidFill>
              <w14:schemeClr w14:val="tx1"/>
            </w14:solidFill>
          </w14:textFill>
        </w:rPr>
        <w:t>4、如采购人使用该货物构成上述侵权的，则由中标供应商承担全部责任。</w:t>
      </w:r>
    </w:p>
    <w:p w14:paraId="2AB4D1FA">
      <w:pPr>
        <w:spacing w:line="460" w:lineRule="atLeast"/>
        <w:rPr>
          <w:rFonts w:hint="eastAsia" w:ascii="宋体" w:eastAsia="宋体"/>
          <w:b w:val="0"/>
          <w:bCs w:val="0"/>
          <w:color w:val="000000" w:themeColor="text1"/>
          <w:sz w:val="22"/>
          <w:szCs w:val="22"/>
          <w:highlight w:val="none"/>
          <w14:textFill>
            <w14:solidFill>
              <w14:schemeClr w14:val="tx1"/>
            </w14:solidFill>
          </w14:textFill>
        </w:rPr>
      </w:pPr>
      <w:r>
        <w:rPr>
          <w:rFonts w:hint="eastAsia" w:ascii="宋体" w:eastAsia="宋体"/>
          <w:b w:val="0"/>
          <w:bCs w:val="0"/>
          <w:color w:val="000000" w:themeColor="text1"/>
          <w:sz w:val="22"/>
          <w:szCs w:val="22"/>
          <w:highlight w:val="none"/>
          <w14:textFill>
            <w14:solidFill>
              <w14:schemeClr w14:val="tx1"/>
            </w14:solidFill>
          </w14:textFill>
        </w:rPr>
        <w:t>第四条：包装要求</w:t>
      </w:r>
    </w:p>
    <w:p w14:paraId="719A8DD7">
      <w:pPr>
        <w:spacing w:line="460" w:lineRule="atLeast"/>
        <w:rPr>
          <w:rFonts w:hint="eastAsia" w:ascii="宋体" w:eastAsia="宋体"/>
          <w:b w:val="0"/>
          <w:color w:val="000000" w:themeColor="text1"/>
          <w:sz w:val="22"/>
          <w:szCs w:val="22"/>
          <w:highlight w:val="none"/>
          <w14:textFill>
            <w14:solidFill>
              <w14:schemeClr w14:val="tx1"/>
            </w14:solidFill>
          </w14:textFill>
        </w:rPr>
      </w:pPr>
      <w:r>
        <w:rPr>
          <w:rFonts w:hint="eastAsia" w:ascii="宋体" w:eastAsia="宋体"/>
          <w:b w:val="0"/>
          <w:color w:val="000000" w:themeColor="text1"/>
          <w:sz w:val="22"/>
          <w:szCs w:val="22"/>
          <w:highlight w:val="none"/>
          <w14:textFill>
            <w14:solidFill>
              <w14:schemeClr w14:val="tx1"/>
            </w14:solidFill>
          </w14:textFill>
        </w:rPr>
        <w:t xml:space="preserve">    1、中标供应商所出售的全部货物均应按标准保护措施进行包装，这类包装应适应于远距离运输、防潮、防震、防锈和防野蛮装卸等要求，以确保货物安全无损地运抵指定现场。</w:t>
      </w:r>
    </w:p>
    <w:p w14:paraId="49E810F2">
      <w:pPr>
        <w:pStyle w:val="33"/>
        <w:spacing w:line="460" w:lineRule="atLeast"/>
        <w:ind w:firstLine="360"/>
        <w:rPr>
          <w:rFonts w:hint="eastAsia" w:hAnsi="宋体" w:eastAsia="宋体"/>
          <w:b w:val="0"/>
          <w:color w:val="000000" w:themeColor="text1"/>
          <w:sz w:val="22"/>
          <w:szCs w:val="22"/>
          <w:highlight w:val="none"/>
          <w14:textFill>
            <w14:solidFill>
              <w14:schemeClr w14:val="tx1"/>
            </w14:solidFill>
          </w14:textFill>
        </w:rPr>
      </w:pPr>
      <w:r>
        <w:rPr>
          <w:rFonts w:hint="eastAsia" w:hAnsi="宋体" w:eastAsia="宋体"/>
          <w:b w:val="0"/>
          <w:color w:val="000000" w:themeColor="text1"/>
          <w:sz w:val="22"/>
          <w:szCs w:val="22"/>
          <w:highlight w:val="none"/>
          <w14:textFill>
            <w14:solidFill>
              <w14:schemeClr w14:val="tx1"/>
            </w14:solidFill>
          </w14:textFill>
        </w:rPr>
        <w:t xml:space="preserve"> 2、每一个包装箱内应附一份详细装箱单、质量证书和保修保养证书。</w:t>
      </w:r>
    </w:p>
    <w:p w14:paraId="4A6233F2">
      <w:pPr>
        <w:spacing w:line="460" w:lineRule="atLeast"/>
        <w:rPr>
          <w:rFonts w:hint="eastAsia" w:ascii="宋体" w:eastAsia="宋体"/>
          <w:b w:val="0"/>
          <w:bCs w:val="0"/>
          <w:color w:val="000000" w:themeColor="text1"/>
          <w:sz w:val="22"/>
          <w:szCs w:val="22"/>
          <w:highlight w:val="none"/>
          <w14:textFill>
            <w14:solidFill>
              <w14:schemeClr w14:val="tx1"/>
            </w14:solidFill>
          </w14:textFill>
        </w:rPr>
      </w:pPr>
      <w:r>
        <w:rPr>
          <w:rFonts w:hint="eastAsia" w:ascii="宋体" w:eastAsia="宋体"/>
          <w:b w:val="0"/>
          <w:bCs w:val="0"/>
          <w:color w:val="000000" w:themeColor="text1"/>
          <w:sz w:val="22"/>
          <w:szCs w:val="22"/>
          <w:highlight w:val="none"/>
          <w14:textFill>
            <w14:solidFill>
              <w14:schemeClr w14:val="tx1"/>
            </w14:solidFill>
          </w14:textFill>
        </w:rPr>
        <w:t>第五条：供货期限</w:t>
      </w:r>
    </w:p>
    <w:p w14:paraId="406CF6BE">
      <w:pPr>
        <w:spacing w:line="460" w:lineRule="atLeast"/>
        <w:rPr>
          <w:rFonts w:hint="eastAsia" w:ascii="宋体" w:eastAsia="宋体"/>
          <w:b w:val="0"/>
          <w:bCs w:val="0"/>
          <w:color w:val="000000" w:themeColor="text1"/>
          <w:sz w:val="22"/>
          <w:szCs w:val="22"/>
          <w:highlight w:val="none"/>
          <w14:textFill>
            <w14:solidFill>
              <w14:schemeClr w14:val="tx1"/>
            </w14:solidFill>
          </w14:textFill>
        </w:rPr>
      </w:pPr>
      <w:r>
        <w:rPr>
          <w:rFonts w:hint="eastAsia" w:ascii="宋体" w:eastAsia="宋体"/>
          <w:b w:val="0"/>
          <w:bCs w:val="0"/>
          <w:color w:val="000000" w:themeColor="text1"/>
          <w:sz w:val="22"/>
          <w:szCs w:val="22"/>
          <w:highlight w:val="none"/>
          <w14:textFill>
            <w14:solidFill>
              <w14:schemeClr w14:val="tx1"/>
            </w14:solidFill>
          </w14:textFill>
        </w:rPr>
        <w:t>交货时间：</w:t>
      </w:r>
      <w:r>
        <w:rPr>
          <w:rFonts w:hint="eastAsia" w:ascii="宋体" w:eastAsia="宋体"/>
          <w:b w:val="0"/>
          <w:bCs w:val="0"/>
          <w:color w:val="000000" w:themeColor="text1"/>
          <w:sz w:val="22"/>
          <w:szCs w:val="22"/>
          <w:highlight w:val="none"/>
          <w:lang w:val="en-US" w:eastAsia="zh-CN"/>
          <w14:textFill>
            <w14:solidFill>
              <w14:schemeClr w14:val="tx1"/>
            </w14:solidFill>
          </w14:textFill>
        </w:rPr>
        <w:t>接到采购人通知</w:t>
      </w:r>
      <w:r>
        <w:rPr>
          <w:rFonts w:hint="eastAsia" w:ascii="宋体" w:eastAsia="宋体"/>
          <w:b w:val="0"/>
          <w:bCs w:val="0"/>
          <w:color w:val="000000" w:themeColor="text1"/>
          <w:sz w:val="22"/>
          <w:szCs w:val="22"/>
          <w:highlight w:val="none"/>
          <w14:textFill>
            <w14:solidFill>
              <w14:schemeClr w14:val="tx1"/>
            </w14:solidFill>
          </w14:textFill>
        </w:rPr>
        <w:t>后</w:t>
      </w:r>
      <w:r>
        <w:rPr>
          <w:rFonts w:hint="eastAsia" w:ascii="宋体" w:eastAsia="宋体"/>
          <w:b w:val="0"/>
          <w:bCs w:val="0"/>
          <w:color w:val="000000" w:themeColor="text1"/>
          <w:sz w:val="22"/>
          <w:szCs w:val="22"/>
          <w:highlight w:val="none"/>
          <w:u w:val="single"/>
          <w:lang w:val="en-US" w:eastAsia="zh-CN"/>
          <w14:textFill>
            <w14:solidFill>
              <w14:schemeClr w14:val="tx1"/>
            </w14:solidFill>
          </w14:textFill>
        </w:rPr>
        <w:t xml:space="preserve">          </w:t>
      </w:r>
      <w:r>
        <w:rPr>
          <w:rFonts w:hint="eastAsia" w:ascii="宋体" w:eastAsia="宋体"/>
          <w:b w:val="0"/>
          <w:bCs w:val="0"/>
          <w:color w:val="000000" w:themeColor="text1"/>
          <w:sz w:val="22"/>
          <w:szCs w:val="22"/>
          <w:highlight w:val="none"/>
          <w14:textFill>
            <w14:solidFill>
              <w14:schemeClr w14:val="tx1"/>
            </w14:solidFill>
          </w14:textFill>
        </w:rPr>
        <w:t>内完成安装和调试。</w:t>
      </w:r>
    </w:p>
    <w:p w14:paraId="56E1BAE2">
      <w:pPr>
        <w:spacing w:line="460" w:lineRule="atLeast"/>
        <w:rPr>
          <w:rFonts w:hint="eastAsia" w:ascii="宋体" w:eastAsia="宋体"/>
          <w:b w:val="0"/>
          <w:bCs w:val="0"/>
          <w:color w:val="000000" w:themeColor="text1"/>
          <w:sz w:val="22"/>
          <w:szCs w:val="22"/>
          <w:highlight w:val="none"/>
          <w14:textFill>
            <w14:solidFill>
              <w14:schemeClr w14:val="tx1"/>
            </w14:solidFill>
          </w14:textFill>
        </w:rPr>
      </w:pPr>
      <w:r>
        <w:rPr>
          <w:rFonts w:hint="eastAsia" w:ascii="宋体" w:eastAsia="宋体"/>
          <w:b w:val="0"/>
          <w:bCs w:val="0"/>
          <w:color w:val="000000" w:themeColor="text1"/>
          <w:sz w:val="22"/>
          <w:szCs w:val="22"/>
          <w:highlight w:val="none"/>
          <w14:textFill>
            <w14:solidFill>
              <w14:schemeClr w14:val="tx1"/>
            </w14:solidFill>
          </w14:textFill>
        </w:rPr>
        <w:t>第六条：供货方式</w:t>
      </w:r>
    </w:p>
    <w:p w14:paraId="7AE0424E">
      <w:pPr>
        <w:spacing w:line="460" w:lineRule="atLeast"/>
        <w:ind w:firstLine="555"/>
        <w:rPr>
          <w:rFonts w:hint="eastAsia" w:ascii="宋体" w:eastAsia="宋体"/>
          <w:b w:val="0"/>
          <w:color w:val="000000" w:themeColor="text1"/>
          <w:sz w:val="22"/>
          <w:szCs w:val="22"/>
          <w:highlight w:val="none"/>
          <w14:textFill>
            <w14:solidFill>
              <w14:schemeClr w14:val="tx1"/>
            </w14:solidFill>
          </w14:textFill>
        </w:rPr>
      </w:pPr>
      <w:r>
        <w:rPr>
          <w:rFonts w:hint="eastAsia" w:ascii="宋体" w:eastAsia="宋体"/>
          <w:b w:val="0"/>
          <w:color w:val="000000" w:themeColor="text1"/>
          <w:sz w:val="22"/>
          <w:szCs w:val="22"/>
          <w:highlight w:val="none"/>
          <w14:textFill>
            <w14:solidFill>
              <w14:schemeClr w14:val="tx1"/>
            </w14:solidFill>
          </w14:textFill>
        </w:rPr>
        <w:t>在供货期限内，中标供应商在与采购人签署合同后，保证在</w:t>
      </w:r>
      <w:r>
        <w:rPr>
          <w:rFonts w:hint="eastAsia" w:ascii="宋体" w:eastAsia="宋体"/>
          <w:b w:val="0"/>
          <w:color w:val="000000" w:themeColor="text1"/>
          <w:sz w:val="22"/>
          <w:szCs w:val="22"/>
          <w:highlight w:val="none"/>
          <w:u w:val="single"/>
          <w14:textFill>
            <w14:solidFill>
              <w14:schemeClr w14:val="tx1"/>
            </w14:solidFill>
          </w14:textFill>
        </w:rPr>
        <w:t xml:space="preserve">  </w:t>
      </w:r>
      <w:r>
        <w:rPr>
          <w:rFonts w:hint="eastAsia" w:ascii="宋体" w:eastAsia="宋体"/>
          <w:b w:val="0"/>
          <w:color w:val="000000" w:themeColor="text1"/>
          <w:sz w:val="22"/>
          <w:szCs w:val="22"/>
          <w:highlight w:val="none"/>
          <w14:textFill>
            <w14:solidFill>
              <w14:schemeClr w14:val="tx1"/>
            </w14:solidFill>
          </w14:textFill>
        </w:rPr>
        <w:t>个日历天内派人送货至采购人指定地点。</w:t>
      </w:r>
    </w:p>
    <w:p w14:paraId="343749EC">
      <w:pPr>
        <w:pStyle w:val="33"/>
        <w:spacing w:line="460" w:lineRule="atLeast"/>
        <w:rPr>
          <w:rFonts w:hint="eastAsia" w:hAnsi="宋体" w:eastAsia="宋体"/>
          <w:b w:val="0"/>
          <w:bCs w:val="0"/>
          <w:color w:val="000000" w:themeColor="text1"/>
          <w:sz w:val="22"/>
          <w:szCs w:val="22"/>
          <w:highlight w:val="none"/>
          <w14:textFill>
            <w14:solidFill>
              <w14:schemeClr w14:val="tx1"/>
            </w14:solidFill>
          </w14:textFill>
        </w:rPr>
      </w:pPr>
      <w:r>
        <w:rPr>
          <w:rFonts w:hint="eastAsia" w:hAnsi="宋体" w:eastAsia="宋体"/>
          <w:b w:val="0"/>
          <w:bCs w:val="0"/>
          <w:color w:val="000000" w:themeColor="text1"/>
          <w:sz w:val="22"/>
          <w:szCs w:val="22"/>
          <w:highlight w:val="none"/>
          <w14:textFill>
            <w14:solidFill>
              <w14:schemeClr w14:val="tx1"/>
            </w14:solidFill>
          </w14:textFill>
        </w:rPr>
        <w:t>第七条：验收</w:t>
      </w:r>
    </w:p>
    <w:p w14:paraId="68369DB8">
      <w:pPr>
        <w:spacing w:line="460" w:lineRule="atLeast"/>
        <w:ind w:firstLine="480"/>
        <w:rPr>
          <w:rFonts w:hint="eastAsia"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1、本项目验收程序参照温州市财政局关于印发《温州市政府采购履约验收办法》（温财采〔2020〕6号）文件执行。</w:t>
      </w:r>
    </w:p>
    <w:p w14:paraId="06C47F04">
      <w:pPr>
        <w:spacing w:line="460" w:lineRule="atLeast"/>
        <w:ind w:firstLine="480"/>
        <w:rPr>
          <w:rFonts w:hint="eastAsia" w:ascii="宋体" w:eastAsia="宋体"/>
          <w:b w:val="0"/>
          <w:color w:val="000000" w:themeColor="text1"/>
          <w:sz w:val="22"/>
          <w:szCs w:val="22"/>
          <w:highlight w:val="none"/>
          <w14:textFill>
            <w14:solidFill>
              <w14:schemeClr w14:val="tx1"/>
            </w14:solidFill>
          </w14:textFill>
        </w:rPr>
      </w:pPr>
      <w:r>
        <w:rPr>
          <w:rFonts w:ascii="宋体" w:eastAsia="宋体"/>
          <w:b w:val="0"/>
          <w:color w:val="000000" w:themeColor="text1"/>
          <w:sz w:val="22"/>
          <w:szCs w:val="22"/>
          <w:highlight w:val="none"/>
          <w14:textFill>
            <w14:solidFill>
              <w14:schemeClr w14:val="tx1"/>
            </w14:solidFill>
          </w14:textFill>
        </w:rPr>
        <w:t>2</w:t>
      </w:r>
      <w:r>
        <w:rPr>
          <w:rFonts w:hint="eastAsia" w:ascii="宋体" w:eastAsia="宋体"/>
          <w:b w:val="0"/>
          <w:color w:val="000000" w:themeColor="text1"/>
          <w:sz w:val="22"/>
          <w:szCs w:val="22"/>
          <w:highlight w:val="none"/>
          <w14:textFill>
            <w14:solidFill>
              <w14:schemeClr w14:val="tx1"/>
            </w14:solidFill>
          </w14:textFill>
        </w:rPr>
        <w:t>、中标供应商送货至指定地点后，由采购人根据货物的技术规格要求和质量标准，对货物进行检查验收。</w:t>
      </w:r>
    </w:p>
    <w:p w14:paraId="53BC436F">
      <w:pPr>
        <w:spacing w:line="460" w:lineRule="atLeast"/>
        <w:ind w:firstLine="480"/>
        <w:rPr>
          <w:rFonts w:hint="eastAsia" w:ascii="宋体" w:eastAsia="宋体"/>
          <w:b w:val="0"/>
          <w:color w:val="000000" w:themeColor="text1"/>
          <w:sz w:val="22"/>
          <w:szCs w:val="22"/>
          <w:highlight w:val="none"/>
          <w14:textFill>
            <w14:solidFill>
              <w14:schemeClr w14:val="tx1"/>
            </w14:solidFill>
          </w14:textFill>
        </w:rPr>
      </w:pPr>
      <w:r>
        <w:rPr>
          <w:rFonts w:ascii="宋体" w:eastAsia="宋体"/>
          <w:b w:val="0"/>
          <w:color w:val="000000" w:themeColor="text1"/>
          <w:sz w:val="22"/>
          <w:szCs w:val="22"/>
          <w:highlight w:val="none"/>
          <w14:textFill>
            <w14:solidFill>
              <w14:schemeClr w14:val="tx1"/>
            </w14:solidFill>
          </w14:textFill>
        </w:rPr>
        <w:t>3</w:t>
      </w:r>
      <w:r>
        <w:rPr>
          <w:rFonts w:hint="eastAsia" w:ascii="宋体" w:eastAsia="宋体"/>
          <w:b w:val="0"/>
          <w:color w:val="000000" w:themeColor="text1"/>
          <w:sz w:val="22"/>
          <w:szCs w:val="22"/>
          <w:highlight w:val="none"/>
          <w14:textFill>
            <w14:solidFill>
              <w14:schemeClr w14:val="tx1"/>
            </w14:solidFill>
          </w14:textFill>
        </w:rPr>
        <w:t>、货物的数量不足或表面瑕疵，采购人应在验收时当面提出；对质量问题有异议的应在安装调试后10个工作日内提出。</w:t>
      </w:r>
    </w:p>
    <w:p w14:paraId="68D382E4">
      <w:pPr>
        <w:spacing w:line="460" w:lineRule="atLeast"/>
        <w:ind w:firstLine="480"/>
        <w:rPr>
          <w:rFonts w:hint="eastAsia" w:ascii="宋体" w:eastAsia="宋体"/>
          <w:b w:val="0"/>
          <w:color w:val="000000" w:themeColor="text1"/>
          <w:sz w:val="22"/>
          <w:szCs w:val="22"/>
          <w:highlight w:val="none"/>
          <w14:textFill>
            <w14:solidFill>
              <w14:schemeClr w14:val="tx1"/>
            </w14:solidFill>
          </w14:textFill>
        </w:rPr>
      </w:pPr>
      <w:r>
        <w:rPr>
          <w:rFonts w:ascii="宋体" w:eastAsia="宋体"/>
          <w:b w:val="0"/>
          <w:color w:val="000000" w:themeColor="text1"/>
          <w:sz w:val="22"/>
          <w:szCs w:val="22"/>
          <w:highlight w:val="none"/>
          <w14:textFill>
            <w14:solidFill>
              <w14:schemeClr w14:val="tx1"/>
            </w14:solidFill>
          </w14:textFill>
        </w:rPr>
        <w:t>4</w:t>
      </w:r>
      <w:r>
        <w:rPr>
          <w:rFonts w:hint="eastAsia" w:ascii="宋体" w:eastAsia="宋体"/>
          <w:b w:val="0"/>
          <w:color w:val="000000" w:themeColor="text1"/>
          <w:sz w:val="22"/>
          <w:szCs w:val="22"/>
          <w:highlight w:val="none"/>
          <w14:textFill>
            <w14:solidFill>
              <w14:schemeClr w14:val="tx1"/>
            </w14:solidFill>
          </w14:textFill>
        </w:rPr>
        <w:t>、在验收过程中发现数量不足或有质量、技术等问题，中标供应商应负责按照采购人的要求采取补足、更换或退货等处理措施，并承担由此发生的一切费用和损失。</w:t>
      </w:r>
    </w:p>
    <w:p w14:paraId="674B9381">
      <w:pPr>
        <w:spacing w:line="460" w:lineRule="atLeast"/>
        <w:ind w:firstLine="480"/>
        <w:rPr>
          <w:rFonts w:ascii="宋体" w:eastAsia="宋体"/>
          <w:b w:val="0"/>
          <w:color w:val="000000" w:themeColor="text1"/>
          <w:sz w:val="22"/>
          <w:szCs w:val="22"/>
          <w:highlight w:val="none"/>
          <w14:textFill>
            <w14:solidFill>
              <w14:schemeClr w14:val="tx1"/>
            </w14:solidFill>
          </w14:textFill>
        </w:rPr>
      </w:pPr>
      <w:r>
        <w:rPr>
          <w:rFonts w:ascii="宋体" w:eastAsia="宋体"/>
          <w:b w:val="0"/>
          <w:color w:val="000000" w:themeColor="text1"/>
          <w:sz w:val="22"/>
          <w:szCs w:val="22"/>
          <w:highlight w:val="none"/>
          <w14:textFill>
            <w14:solidFill>
              <w14:schemeClr w14:val="tx1"/>
            </w14:solidFill>
          </w14:textFill>
        </w:rPr>
        <w:t>5</w:t>
      </w:r>
      <w:r>
        <w:rPr>
          <w:rFonts w:hint="eastAsia" w:ascii="宋体" w:eastAsia="宋体"/>
          <w:b w:val="0"/>
          <w:color w:val="000000" w:themeColor="text1"/>
          <w:sz w:val="22"/>
          <w:szCs w:val="22"/>
          <w:highlight w:val="none"/>
          <w14:textFill>
            <w14:solidFill>
              <w14:schemeClr w14:val="tx1"/>
            </w14:solidFill>
          </w14:textFill>
        </w:rPr>
        <w:t>、采购人在中标供应商按合同规定交货和安装、调试后，无正当理由而拖延接收、验收或拒绝接收、验收的，应承担由此而造成的中标供应商直接损失。</w:t>
      </w:r>
    </w:p>
    <w:p w14:paraId="1B921400">
      <w:pPr>
        <w:pStyle w:val="33"/>
        <w:spacing w:line="460" w:lineRule="atLeast"/>
        <w:rPr>
          <w:rFonts w:hint="eastAsia" w:hAnsi="宋体" w:eastAsia="宋体"/>
          <w:b w:val="0"/>
          <w:bCs w:val="0"/>
          <w:color w:val="000000" w:themeColor="text1"/>
          <w:sz w:val="22"/>
          <w:szCs w:val="22"/>
          <w:highlight w:val="none"/>
          <w14:textFill>
            <w14:solidFill>
              <w14:schemeClr w14:val="tx1"/>
            </w14:solidFill>
          </w14:textFill>
        </w:rPr>
      </w:pPr>
      <w:r>
        <w:rPr>
          <w:rFonts w:hint="eastAsia" w:hAnsi="宋体" w:eastAsia="宋体"/>
          <w:b w:val="0"/>
          <w:bCs w:val="0"/>
          <w:color w:val="000000" w:themeColor="text1"/>
          <w:sz w:val="22"/>
          <w:szCs w:val="22"/>
          <w:highlight w:val="none"/>
          <w14:textFill>
            <w14:solidFill>
              <w14:schemeClr w14:val="tx1"/>
            </w14:solidFill>
          </w14:textFill>
        </w:rPr>
        <w:t>第八条：售后服务</w:t>
      </w:r>
    </w:p>
    <w:p w14:paraId="3FFDEFF9">
      <w:pPr>
        <w:pStyle w:val="33"/>
        <w:spacing w:line="460" w:lineRule="atLeast"/>
        <w:ind w:firstLine="480"/>
        <w:rPr>
          <w:rFonts w:hint="eastAsia" w:hAnsi="宋体" w:eastAsia="宋体"/>
          <w:b w:val="0"/>
          <w:color w:val="000000" w:themeColor="text1"/>
          <w:sz w:val="22"/>
          <w:szCs w:val="22"/>
          <w:highlight w:val="none"/>
          <w14:textFill>
            <w14:solidFill>
              <w14:schemeClr w14:val="tx1"/>
            </w14:solidFill>
          </w14:textFill>
        </w:rPr>
      </w:pPr>
      <w:r>
        <w:rPr>
          <w:rFonts w:hint="eastAsia" w:hAnsi="宋体" w:eastAsia="宋体"/>
          <w:b w:val="0"/>
          <w:color w:val="000000" w:themeColor="text1"/>
          <w:sz w:val="22"/>
          <w:szCs w:val="22"/>
          <w:highlight w:val="none"/>
          <w14:textFill>
            <w14:solidFill>
              <w14:schemeClr w14:val="tx1"/>
            </w14:solidFill>
          </w14:textFill>
        </w:rPr>
        <w:t>中标供应商承诺售后服务按照投标承诺的服务计划实施，包括培训。</w:t>
      </w:r>
    </w:p>
    <w:p w14:paraId="63D50474">
      <w:pPr>
        <w:pStyle w:val="33"/>
        <w:spacing w:line="460" w:lineRule="atLeast"/>
        <w:rPr>
          <w:rFonts w:hint="eastAsia" w:hAnsi="宋体" w:eastAsia="宋体"/>
          <w:b w:val="0"/>
          <w:bCs w:val="0"/>
          <w:color w:val="000000" w:themeColor="text1"/>
          <w:sz w:val="22"/>
          <w:szCs w:val="22"/>
          <w:highlight w:val="none"/>
          <w14:textFill>
            <w14:solidFill>
              <w14:schemeClr w14:val="tx1"/>
            </w14:solidFill>
          </w14:textFill>
        </w:rPr>
      </w:pPr>
      <w:r>
        <w:rPr>
          <w:rFonts w:hint="eastAsia" w:hAnsi="宋体" w:eastAsia="宋体"/>
          <w:b w:val="0"/>
          <w:bCs w:val="0"/>
          <w:color w:val="000000" w:themeColor="text1"/>
          <w:sz w:val="22"/>
          <w:szCs w:val="22"/>
          <w:highlight w:val="none"/>
          <w14:textFill>
            <w14:solidFill>
              <w14:schemeClr w14:val="tx1"/>
            </w14:solidFill>
          </w14:textFill>
        </w:rPr>
        <w:t>第九条：履约保证金</w:t>
      </w:r>
    </w:p>
    <w:p w14:paraId="017A13BA">
      <w:pPr>
        <w:widowControl/>
        <w:autoSpaceDE w:val="0"/>
        <w:autoSpaceDN w:val="0"/>
        <w:adjustRightInd w:val="0"/>
        <w:spacing w:line="460" w:lineRule="atLeast"/>
        <w:ind w:firstLine="440" w:firstLineChars="200"/>
        <w:textAlignment w:val="bottom"/>
        <w:rPr>
          <w:rFonts w:hint="eastAsia" w:ascii="宋体" w:eastAsia="宋体"/>
          <w:color w:val="000000" w:themeColor="text1"/>
          <w:sz w:val="22"/>
          <w:szCs w:val="22"/>
          <w:highlight w:val="none"/>
          <w:u w:val="single"/>
          <w14:textFill>
            <w14:solidFill>
              <w14:schemeClr w14:val="tx1"/>
            </w14:solidFill>
          </w14:textFill>
        </w:rPr>
      </w:pPr>
      <w:r>
        <w:rPr>
          <w:rFonts w:hint="eastAsia" w:ascii="宋体" w:eastAsia="宋体"/>
          <w:color w:val="000000" w:themeColor="text1"/>
          <w:sz w:val="22"/>
          <w:szCs w:val="22"/>
          <w:highlight w:val="none"/>
          <w:u w:val="single"/>
          <w14:textFill>
            <w14:solidFill>
              <w14:schemeClr w14:val="tx1"/>
            </w14:solidFill>
          </w14:textFill>
        </w:rPr>
        <w:t>按招标文件要求</w:t>
      </w:r>
    </w:p>
    <w:p w14:paraId="256DA412">
      <w:pPr>
        <w:pStyle w:val="33"/>
        <w:spacing w:line="460" w:lineRule="atLeast"/>
        <w:rPr>
          <w:rFonts w:hint="eastAsia" w:hAnsi="宋体" w:eastAsia="宋体"/>
          <w:b w:val="0"/>
          <w:color w:val="000000" w:themeColor="text1"/>
          <w:sz w:val="22"/>
          <w:szCs w:val="22"/>
          <w:highlight w:val="none"/>
          <w14:textFill>
            <w14:solidFill>
              <w14:schemeClr w14:val="tx1"/>
            </w14:solidFill>
          </w14:textFill>
        </w:rPr>
      </w:pPr>
      <w:r>
        <w:rPr>
          <w:rFonts w:hint="eastAsia" w:hAnsi="宋体" w:eastAsia="宋体"/>
          <w:b w:val="0"/>
          <w:color w:val="000000" w:themeColor="text1"/>
          <w:sz w:val="22"/>
          <w:szCs w:val="22"/>
          <w:highlight w:val="none"/>
          <w14:textFill>
            <w14:solidFill>
              <w14:schemeClr w14:val="tx1"/>
            </w14:solidFill>
          </w14:textFill>
        </w:rPr>
        <w:t>第十条：货款的支付</w:t>
      </w:r>
    </w:p>
    <w:p w14:paraId="5EA04DEE">
      <w:pPr>
        <w:snapToGrid w:val="0"/>
        <w:spacing w:line="460" w:lineRule="atLeast"/>
        <w:ind w:firstLine="480"/>
        <w:rPr>
          <w:rFonts w:hint="eastAsia" w:ascii="Arial" w:hAnsi="Arial" w:cs="Arial"/>
          <w:bCs/>
          <w:color w:val="000000" w:themeColor="text1"/>
          <w:sz w:val="22"/>
          <w:szCs w:val="22"/>
          <w:highlight w:val="none"/>
          <w14:textFill>
            <w14:solidFill>
              <w14:schemeClr w14:val="tx1"/>
            </w14:solidFill>
          </w14:textFill>
        </w:rPr>
      </w:pPr>
      <w:r>
        <w:rPr>
          <w:rFonts w:hint="eastAsia" w:ascii="Arial" w:hAnsi="Arial" w:cs="Arial"/>
          <w:bCs/>
          <w:color w:val="000000" w:themeColor="text1"/>
          <w:sz w:val="22"/>
          <w:szCs w:val="22"/>
          <w:highlight w:val="none"/>
          <w14:textFill>
            <w14:solidFill>
              <w14:schemeClr w14:val="tx1"/>
            </w14:solidFill>
          </w14:textFill>
        </w:rPr>
        <w:t>1.项目预付款：合同生效后7个工作日内</w:t>
      </w:r>
      <w:r>
        <w:rPr>
          <w:rFonts w:hint="eastAsia" w:ascii="Arial" w:hAnsi="Arial" w:cs="Arial"/>
          <w:bCs/>
          <w:color w:val="000000" w:themeColor="text1"/>
          <w:sz w:val="22"/>
          <w:szCs w:val="22"/>
          <w:highlight w:val="none"/>
          <w:lang w:eastAsia="zh-CN"/>
          <w14:textFill>
            <w14:solidFill>
              <w14:schemeClr w14:val="tx1"/>
            </w14:solidFill>
          </w14:textFill>
        </w:rPr>
        <w:t>采购人</w:t>
      </w:r>
      <w:r>
        <w:rPr>
          <w:rFonts w:hint="eastAsia" w:ascii="Arial" w:hAnsi="Arial" w:cs="Arial"/>
          <w:bCs/>
          <w:color w:val="000000" w:themeColor="text1"/>
          <w:sz w:val="22"/>
          <w:szCs w:val="22"/>
          <w:highlight w:val="none"/>
          <w14:textFill>
            <w14:solidFill>
              <w14:schemeClr w14:val="tx1"/>
            </w14:solidFill>
          </w14:textFill>
        </w:rPr>
        <w:t>向</w:t>
      </w:r>
      <w:r>
        <w:rPr>
          <w:rFonts w:hint="eastAsia" w:ascii="Arial" w:hAnsi="Arial" w:cs="Arial"/>
          <w:bCs/>
          <w:color w:val="000000" w:themeColor="text1"/>
          <w:sz w:val="22"/>
          <w:szCs w:val="22"/>
          <w:highlight w:val="none"/>
          <w:lang w:eastAsia="zh-CN"/>
          <w14:textFill>
            <w14:solidFill>
              <w14:schemeClr w14:val="tx1"/>
            </w14:solidFill>
          </w14:textFill>
        </w:rPr>
        <w:t>中标供应商</w:t>
      </w:r>
      <w:r>
        <w:rPr>
          <w:rFonts w:hint="eastAsia" w:ascii="Arial" w:hAnsi="Arial" w:cs="Arial"/>
          <w:bCs/>
          <w:color w:val="000000" w:themeColor="text1"/>
          <w:sz w:val="22"/>
          <w:szCs w:val="22"/>
          <w:highlight w:val="none"/>
          <w14:textFill>
            <w14:solidFill>
              <w14:schemeClr w14:val="tx1"/>
            </w14:solidFill>
          </w14:textFill>
        </w:rPr>
        <w:t>支付合同金额40%作为预付款，在支付预付款前，</w:t>
      </w:r>
      <w:r>
        <w:rPr>
          <w:rFonts w:hint="eastAsia" w:ascii="Arial" w:hAnsi="Arial" w:cs="Arial"/>
          <w:bCs/>
          <w:color w:val="000000" w:themeColor="text1"/>
          <w:sz w:val="22"/>
          <w:szCs w:val="22"/>
          <w:highlight w:val="none"/>
          <w:lang w:eastAsia="zh-CN"/>
          <w14:textFill>
            <w14:solidFill>
              <w14:schemeClr w14:val="tx1"/>
            </w14:solidFill>
          </w14:textFill>
        </w:rPr>
        <w:t>中标供应商</w:t>
      </w:r>
      <w:r>
        <w:rPr>
          <w:rFonts w:hint="eastAsia" w:ascii="Arial" w:hAnsi="Arial" w:cs="Arial"/>
          <w:bCs/>
          <w:color w:val="000000" w:themeColor="text1"/>
          <w:sz w:val="22"/>
          <w:szCs w:val="22"/>
          <w:highlight w:val="none"/>
          <w14:textFill>
            <w14:solidFill>
              <w14:schemeClr w14:val="tx1"/>
            </w14:solidFill>
          </w14:textFill>
        </w:rPr>
        <w:t>应提供等额的预付款保函；</w:t>
      </w:r>
    </w:p>
    <w:p w14:paraId="4FCD5279">
      <w:pPr>
        <w:snapToGrid w:val="0"/>
        <w:spacing w:line="460" w:lineRule="atLeast"/>
        <w:ind w:firstLine="480"/>
        <w:rPr>
          <w:rFonts w:hint="eastAsia" w:ascii="Arial" w:hAnsi="Arial" w:cs="Arial"/>
          <w:bCs/>
          <w:color w:val="000000" w:themeColor="text1"/>
          <w:sz w:val="22"/>
          <w:szCs w:val="22"/>
          <w:highlight w:val="none"/>
          <w14:textFill>
            <w14:solidFill>
              <w14:schemeClr w14:val="tx1"/>
            </w14:solidFill>
          </w14:textFill>
        </w:rPr>
      </w:pPr>
      <w:r>
        <w:rPr>
          <w:rFonts w:hint="eastAsia" w:ascii="Arial" w:hAnsi="Arial" w:cs="Arial"/>
          <w:bCs/>
          <w:color w:val="000000" w:themeColor="text1"/>
          <w:sz w:val="22"/>
          <w:szCs w:val="22"/>
          <w:highlight w:val="none"/>
          <w14:textFill>
            <w14:solidFill>
              <w14:schemeClr w14:val="tx1"/>
            </w14:solidFill>
          </w14:textFill>
        </w:rPr>
        <w:t>2. 项目进度款：货物到场后，经</w:t>
      </w:r>
      <w:r>
        <w:rPr>
          <w:rFonts w:hint="eastAsia" w:ascii="Arial" w:hAnsi="Arial" w:cs="Arial"/>
          <w:bCs/>
          <w:color w:val="000000" w:themeColor="text1"/>
          <w:sz w:val="22"/>
          <w:szCs w:val="22"/>
          <w:highlight w:val="none"/>
          <w:lang w:eastAsia="zh-CN"/>
          <w14:textFill>
            <w14:solidFill>
              <w14:schemeClr w14:val="tx1"/>
            </w14:solidFill>
          </w14:textFill>
        </w:rPr>
        <w:t>采购人</w:t>
      </w:r>
      <w:r>
        <w:rPr>
          <w:rFonts w:hint="eastAsia" w:ascii="Arial" w:hAnsi="Arial" w:cs="Arial"/>
          <w:bCs/>
          <w:color w:val="000000" w:themeColor="text1"/>
          <w:sz w:val="22"/>
          <w:szCs w:val="22"/>
          <w:highlight w:val="none"/>
          <w14:textFill>
            <w14:solidFill>
              <w14:schemeClr w14:val="tx1"/>
            </w14:solidFill>
          </w14:textFill>
        </w:rPr>
        <w:t>及使用单位审核验收货物的数量、外观、质量合格后15日内支付合同总价的40%，同时退还</w:t>
      </w:r>
      <w:r>
        <w:rPr>
          <w:rFonts w:hint="eastAsia" w:ascii="Arial" w:hAnsi="Arial" w:cs="Arial"/>
          <w:bCs/>
          <w:color w:val="000000" w:themeColor="text1"/>
          <w:sz w:val="22"/>
          <w:szCs w:val="22"/>
          <w:highlight w:val="none"/>
          <w:lang w:eastAsia="zh-CN"/>
          <w14:textFill>
            <w14:solidFill>
              <w14:schemeClr w14:val="tx1"/>
            </w14:solidFill>
          </w14:textFill>
        </w:rPr>
        <w:t>中标供应商</w:t>
      </w:r>
      <w:r>
        <w:rPr>
          <w:rFonts w:hint="eastAsia" w:ascii="Arial" w:hAnsi="Arial" w:cs="Arial"/>
          <w:bCs/>
          <w:color w:val="000000" w:themeColor="text1"/>
          <w:sz w:val="22"/>
          <w:szCs w:val="22"/>
          <w:highlight w:val="none"/>
          <w14:textFill>
            <w14:solidFill>
              <w14:schemeClr w14:val="tx1"/>
            </w14:solidFill>
          </w14:textFill>
        </w:rPr>
        <w:t>预付款保函；</w:t>
      </w:r>
    </w:p>
    <w:p w14:paraId="2814C35C">
      <w:pPr>
        <w:snapToGrid w:val="0"/>
        <w:spacing w:line="460" w:lineRule="atLeast"/>
        <w:ind w:firstLine="480"/>
        <w:rPr>
          <w:rFonts w:hint="eastAsia" w:ascii="Arial" w:hAnsi="Arial" w:cs="Arial"/>
          <w:bCs/>
          <w:color w:val="000000" w:themeColor="text1"/>
          <w:sz w:val="22"/>
          <w:szCs w:val="22"/>
          <w:highlight w:val="none"/>
          <w14:textFill>
            <w14:solidFill>
              <w14:schemeClr w14:val="tx1"/>
            </w14:solidFill>
          </w14:textFill>
        </w:rPr>
      </w:pPr>
      <w:r>
        <w:rPr>
          <w:rFonts w:hint="eastAsia" w:ascii="Arial" w:hAnsi="Arial" w:cs="Arial"/>
          <w:bCs/>
          <w:color w:val="000000" w:themeColor="text1"/>
          <w:sz w:val="22"/>
          <w:szCs w:val="22"/>
          <w:highlight w:val="none"/>
          <w14:textFill>
            <w14:solidFill>
              <w14:schemeClr w14:val="tx1"/>
            </w14:solidFill>
          </w14:textFill>
        </w:rPr>
        <w:t>3.全部设备安装、调试完成，</w:t>
      </w:r>
      <w:r>
        <w:rPr>
          <w:rFonts w:hint="eastAsia" w:ascii="Arial" w:hAnsi="Arial" w:cs="Arial"/>
          <w:bCs/>
          <w:color w:val="000000" w:themeColor="text1"/>
          <w:sz w:val="22"/>
          <w:szCs w:val="22"/>
          <w:highlight w:val="none"/>
          <w:lang w:eastAsia="zh-CN"/>
          <w14:textFill>
            <w14:solidFill>
              <w14:schemeClr w14:val="tx1"/>
            </w14:solidFill>
          </w14:textFill>
        </w:rPr>
        <w:t>采购人</w:t>
      </w:r>
      <w:r>
        <w:rPr>
          <w:rFonts w:hint="eastAsia" w:ascii="Arial" w:hAnsi="Arial" w:cs="Arial"/>
          <w:bCs/>
          <w:color w:val="000000" w:themeColor="text1"/>
          <w:sz w:val="22"/>
          <w:szCs w:val="22"/>
          <w:highlight w:val="none"/>
          <w14:textFill>
            <w14:solidFill>
              <w14:schemeClr w14:val="tx1"/>
            </w14:solidFill>
          </w14:textFill>
        </w:rPr>
        <w:t>及使用单位验收合格，并结算完成后，结清全部货款。</w:t>
      </w:r>
    </w:p>
    <w:p w14:paraId="0D7203F6">
      <w:pPr>
        <w:pStyle w:val="33"/>
        <w:spacing w:line="460" w:lineRule="atLeast"/>
        <w:rPr>
          <w:rFonts w:hint="eastAsia" w:hAnsi="宋体" w:eastAsia="宋体"/>
          <w:b w:val="0"/>
          <w:bCs w:val="0"/>
          <w:color w:val="000000" w:themeColor="text1"/>
          <w:sz w:val="22"/>
          <w:szCs w:val="22"/>
          <w:highlight w:val="none"/>
          <w14:textFill>
            <w14:solidFill>
              <w14:schemeClr w14:val="tx1"/>
            </w14:solidFill>
          </w14:textFill>
        </w:rPr>
      </w:pPr>
      <w:r>
        <w:rPr>
          <w:rFonts w:hint="eastAsia" w:hAnsi="宋体" w:eastAsia="宋体"/>
          <w:b w:val="0"/>
          <w:bCs w:val="0"/>
          <w:color w:val="000000" w:themeColor="text1"/>
          <w:sz w:val="22"/>
          <w:szCs w:val="22"/>
          <w:highlight w:val="none"/>
          <w14:textFill>
            <w14:solidFill>
              <w14:schemeClr w14:val="tx1"/>
            </w14:solidFill>
          </w14:textFill>
        </w:rPr>
        <w:t>第十一条：辅助服务</w:t>
      </w:r>
    </w:p>
    <w:p w14:paraId="695803A4">
      <w:pPr>
        <w:spacing w:line="460" w:lineRule="atLeast"/>
        <w:ind w:firstLine="480"/>
        <w:rPr>
          <w:rFonts w:hint="eastAsia" w:ascii="宋体" w:eastAsia="宋体"/>
          <w:b w:val="0"/>
          <w:color w:val="000000" w:themeColor="text1"/>
          <w:sz w:val="22"/>
          <w:szCs w:val="22"/>
          <w:highlight w:val="none"/>
          <w14:textFill>
            <w14:solidFill>
              <w14:schemeClr w14:val="tx1"/>
            </w14:solidFill>
          </w14:textFill>
        </w:rPr>
      </w:pPr>
      <w:r>
        <w:rPr>
          <w:rFonts w:hint="eastAsia" w:ascii="宋体" w:eastAsia="宋体"/>
          <w:b w:val="0"/>
          <w:color w:val="000000" w:themeColor="text1"/>
          <w:sz w:val="22"/>
          <w:szCs w:val="22"/>
          <w:highlight w:val="none"/>
          <w14:textFill>
            <w14:solidFill>
              <w14:schemeClr w14:val="tx1"/>
            </w14:solidFill>
          </w14:textFill>
        </w:rPr>
        <w:t>中标供应商应提交所提供货物的技术文件，包括相应的每一套设备的中文技术文件，例如：产品目录、图纸、操作手册、使用说明、维护手册和/或服务指南。这些文件应包装好随同货物一起发运。</w:t>
      </w:r>
    </w:p>
    <w:p w14:paraId="35E99A70">
      <w:pPr>
        <w:spacing w:line="460" w:lineRule="atLeast"/>
        <w:rPr>
          <w:rFonts w:hint="eastAsia" w:ascii="宋体" w:eastAsia="宋体"/>
          <w:b w:val="0"/>
          <w:color w:val="000000" w:themeColor="text1"/>
          <w:sz w:val="22"/>
          <w:szCs w:val="22"/>
          <w:highlight w:val="none"/>
          <w14:textFill>
            <w14:solidFill>
              <w14:schemeClr w14:val="tx1"/>
            </w14:solidFill>
          </w14:textFill>
        </w:rPr>
      </w:pPr>
      <w:r>
        <w:rPr>
          <w:rFonts w:hint="eastAsia" w:ascii="宋体" w:eastAsia="宋体"/>
          <w:b w:val="0"/>
          <w:color w:val="000000" w:themeColor="text1"/>
          <w:sz w:val="22"/>
          <w:szCs w:val="22"/>
          <w:highlight w:val="none"/>
          <w14:textFill>
            <w14:solidFill>
              <w14:schemeClr w14:val="tx1"/>
            </w14:solidFill>
          </w14:textFill>
        </w:rPr>
        <w:t xml:space="preserve">     中标供应商还应提供下列服务：</w:t>
      </w:r>
    </w:p>
    <w:p w14:paraId="3D0041AF">
      <w:pPr>
        <w:spacing w:line="460" w:lineRule="atLeast"/>
        <w:rPr>
          <w:rFonts w:hint="eastAsia" w:ascii="宋体" w:eastAsia="宋体"/>
          <w:b w:val="0"/>
          <w:color w:val="000000" w:themeColor="text1"/>
          <w:sz w:val="22"/>
          <w:szCs w:val="22"/>
          <w:highlight w:val="none"/>
          <w14:textFill>
            <w14:solidFill>
              <w14:schemeClr w14:val="tx1"/>
            </w14:solidFill>
          </w14:textFill>
        </w:rPr>
      </w:pPr>
      <w:r>
        <w:rPr>
          <w:rFonts w:hint="eastAsia" w:ascii="宋体" w:eastAsia="宋体"/>
          <w:b w:val="0"/>
          <w:color w:val="000000" w:themeColor="text1"/>
          <w:sz w:val="22"/>
          <w:szCs w:val="22"/>
          <w:highlight w:val="none"/>
          <w14:textFill>
            <w14:solidFill>
              <w14:schemeClr w14:val="tx1"/>
            </w14:solidFill>
          </w14:textFill>
        </w:rPr>
        <w:t xml:space="preserve">    （1）货物的现场指导安装、调试、启动监督及技术支持；</w:t>
      </w:r>
    </w:p>
    <w:p w14:paraId="7074B76F">
      <w:pPr>
        <w:spacing w:line="460" w:lineRule="atLeast"/>
        <w:rPr>
          <w:rFonts w:hint="eastAsia" w:ascii="宋体" w:eastAsia="宋体"/>
          <w:b w:val="0"/>
          <w:color w:val="000000" w:themeColor="text1"/>
          <w:sz w:val="22"/>
          <w:szCs w:val="22"/>
          <w:highlight w:val="none"/>
          <w14:textFill>
            <w14:solidFill>
              <w14:schemeClr w14:val="tx1"/>
            </w14:solidFill>
          </w14:textFill>
        </w:rPr>
      </w:pPr>
      <w:r>
        <w:rPr>
          <w:rFonts w:hint="eastAsia" w:ascii="宋体" w:eastAsia="宋体"/>
          <w:b w:val="0"/>
          <w:color w:val="000000" w:themeColor="text1"/>
          <w:sz w:val="22"/>
          <w:szCs w:val="22"/>
          <w:highlight w:val="none"/>
          <w14:textFill>
            <w14:solidFill>
              <w14:schemeClr w14:val="tx1"/>
            </w14:solidFill>
          </w14:textFill>
        </w:rPr>
        <w:t xml:space="preserve">    （2）在厂家和/或项目现场就货物的指导安装、启动、运营、维护对采购人操作人员进行培训。辅助服务的费用包含在合同价中，采购人不再另行支付。</w:t>
      </w:r>
    </w:p>
    <w:p w14:paraId="026213A4">
      <w:pPr>
        <w:spacing w:line="460" w:lineRule="atLeast"/>
        <w:ind w:left="-360" w:firstLine="360"/>
        <w:rPr>
          <w:rFonts w:hint="eastAsia" w:ascii="宋体" w:eastAsia="宋体"/>
          <w:b w:val="0"/>
          <w:color w:val="000000" w:themeColor="text1"/>
          <w:sz w:val="22"/>
          <w:szCs w:val="22"/>
          <w:highlight w:val="none"/>
          <w14:textFill>
            <w14:solidFill>
              <w14:schemeClr w14:val="tx1"/>
            </w14:solidFill>
          </w14:textFill>
        </w:rPr>
      </w:pPr>
      <w:r>
        <w:rPr>
          <w:rFonts w:hint="eastAsia" w:ascii="宋体" w:eastAsia="宋体"/>
          <w:b w:val="0"/>
          <w:color w:val="000000" w:themeColor="text1"/>
          <w:sz w:val="22"/>
          <w:szCs w:val="22"/>
          <w:highlight w:val="none"/>
          <w14:textFill>
            <w14:solidFill>
              <w14:schemeClr w14:val="tx1"/>
            </w14:solidFill>
          </w14:textFill>
        </w:rPr>
        <w:t>第十二条：质量保证</w:t>
      </w:r>
    </w:p>
    <w:p w14:paraId="2577EB6B">
      <w:pPr>
        <w:spacing w:line="460" w:lineRule="atLeast"/>
        <w:rPr>
          <w:rFonts w:hint="eastAsia" w:ascii="宋体" w:eastAsia="宋体"/>
          <w:b w:val="0"/>
          <w:color w:val="000000" w:themeColor="text1"/>
          <w:sz w:val="22"/>
          <w:szCs w:val="22"/>
          <w:highlight w:val="none"/>
          <w14:textFill>
            <w14:solidFill>
              <w14:schemeClr w14:val="tx1"/>
            </w14:solidFill>
          </w14:textFill>
        </w:rPr>
      </w:pPr>
      <w:r>
        <w:rPr>
          <w:rFonts w:hint="eastAsia" w:ascii="宋体" w:eastAsia="宋体"/>
          <w:b w:val="0"/>
          <w:color w:val="000000" w:themeColor="text1"/>
          <w:sz w:val="22"/>
          <w:szCs w:val="22"/>
          <w:highlight w:val="none"/>
          <w14:textFill>
            <w14:solidFill>
              <w14:schemeClr w14:val="tx1"/>
            </w14:solidFill>
          </w14:textFill>
        </w:rPr>
        <w:t xml:space="preserve">    中标供应商应保证所供货物是全新的、未使用过的，并完全符合合同规定的质量、规格和性能的要求。中标供应商应保证其货物在正确安装、正常使用和保养条件下，在其使用寿命期内应具有满意的性能。在货物最终交付验收后不少于</w:t>
      </w:r>
      <w:r>
        <w:rPr>
          <w:rFonts w:ascii="宋体" w:eastAsia="宋体"/>
          <w:color w:val="000000" w:themeColor="text1"/>
          <w:sz w:val="22"/>
          <w:szCs w:val="22"/>
          <w:highlight w:val="none"/>
          <w:u w:val="single"/>
          <w14:textFill>
            <w14:solidFill>
              <w14:schemeClr w14:val="tx1"/>
            </w14:solidFill>
          </w14:textFill>
        </w:rPr>
        <w:t xml:space="preserve">  </w:t>
      </w:r>
      <w:r>
        <w:rPr>
          <w:rFonts w:hint="eastAsia" w:ascii="宋体" w:eastAsia="宋体"/>
          <w:b w:val="0"/>
          <w:color w:val="000000" w:themeColor="text1"/>
          <w:sz w:val="22"/>
          <w:szCs w:val="22"/>
          <w:highlight w:val="none"/>
          <w14:textFill>
            <w14:solidFill>
              <w14:schemeClr w14:val="tx1"/>
            </w14:solidFill>
          </w14:textFill>
        </w:rPr>
        <w:t>年的</w:t>
      </w:r>
      <w:r>
        <w:rPr>
          <w:rFonts w:hint="eastAsia" w:ascii="宋体" w:eastAsia="宋体"/>
          <w:b w:val="0"/>
          <w:color w:val="000000" w:themeColor="text1"/>
          <w:sz w:val="22"/>
          <w:szCs w:val="22"/>
          <w:highlight w:val="none"/>
          <w:lang w:eastAsia="zh-CN"/>
          <w14:textFill>
            <w14:solidFill>
              <w14:schemeClr w14:val="tx1"/>
            </w14:solidFill>
          </w14:textFill>
        </w:rPr>
        <w:t>保修期</w:t>
      </w:r>
      <w:r>
        <w:rPr>
          <w:rFonts w:hint="eastAsia" w:ascii="宋体" w:eastAsia="宋体"/>
          <w:b w:val="0"/>
          <w:color w:val="000000" w:themeColor="text1"/>
          <w:sz w:val="22"/>
          <w:szCs w:val="22"/>
          <w:highlight w:val="none"/>
          <w14:textFill>
            <w14:solidFill>
              <w14:schemeClr w14:val="tx1"/>
            </w14:solidFill>
          </w14:textFill>
        </w:rPr>
        <w:t>内，中标供应商应对由于设计、工艺或材料的缺陷而产生的故障负责。</w:t>
      </w:r>
    </w:p>
    <w:p w14:paraId="33ED10DA">
      <w:pPr>
        <w:spacing w:line="460" w:lineRule="atLeast"/>
        <w:ind w:firstLine="385" w:firstLineChars="175"/>
        <w:rPr>
          <w:rFonts w:hint="eastAsia" w:ascii="宋体" w:eastAsia="宋体"/>
          <w:b w:val="0"/>
          <w:color w:val="000000" w:themeColor="text1"/>
          <w:sz w:val="22"/>
          <w:szCs w:val="22"/>
          <w:highlight w:val="none"/>
          <w14:textFill>
            <w14:solidFill>
              <w14:schemeClr w14:val="tx1"/>
            </w14:solidFill>
          </w14:textFill>
        </w:rPr>
      </w:pPr>
      <w:r>
        <w:rPr>
          <w:rFonts w:hint="eastAsia" w:ascii="宋体" w:eastAsia="宋体"/>
          <w:b w:val="0"/>
          <w:color w:val="000000" w:themeColor="text1"/>
          <w:sz w:val="22"/>
          <w:szCs w:val="22"/>
          <w:highlight w:val="none"/>
          <w14:textFill>
            <w14:solidFill>
              <w14:schemeClr w14:val="tx1"/>
            </w14:solidFill>
          </w14:textFill>
        </w:rPr>
        <w:t>在</w:t>
      </w:r>
      <w:r>
        <w:rPr>
          <w:rFonts w:hint="eastAsia" w:ascii="宋体" w:eastAsia="宋体"/>
          <w:b w:val="0"/>
          <w:color w:val="000000" w:themeColor="text1"/>
          <w:sz w:val="22"/>
          <w:szCs w:val="22"/>
          <w:highlight w:val="none"/>
          <w:lang w:eastAsia="zh-CN"/>
          <w14:textFill>
            <w14:solidFill>
              <w14:schemeClr w14:val="tx1"/>
            </w14:solidFill>
          </w14:textFill>
        </w:rPr>
        <w:t>保修期</w:t>
      </w:r>
      <w:r>
        <w:rPr>
          <w:rFonts w:hint="eastAsia" w:ascii="宋体" w:eastAsia="宋体"/>
          <w:b w:val="0"/>
          <w:color w:val="000000" w:themeColor="text1"/>
          <w:sz w:val="22"/>
          <w:szCs w:val="22"/>
          <w:highlight w:val="none"/>
          <w14:textFill>
            <w14:solidFill>
              <w14:schemeClr w14:val="tx1"/>
            </w14:solidFill>
          </w14:textFill>
        </w:rPr>
        <w:t>内，如果货物的质量或规格与合同不符，或证实货物是有缺陷的，包括潜在的缺陷或使用不符合要求的材料等，采购人可以根据本合同第十</w:t>
      </w:r>
      <w:r>
        <w:rPr>
          <w:rFonts w:hint="eastAsia" w:ascii="宋体"/>
          <w:b w:val="0"/>
          <w:color w:val="000000" w:themeColor="text1"/>
          <w:sz w:val="22"/>
          <w:szCs w:val="22"/>
          <w:highlight w:val="none"/>
          <w:lang w:eastAsia="zh-CN"/>
          <w14:textFill>
            <w14:solidFill>
              <w14:schemeClr w14:val="tx1"/>
            </w14:solidFill>
          </w14:textFill>
        </w:rPr>
        <w:t>六</w:t>
      </w:r>
      <w:r>
        <w:rPr>
          <w:rFonts w:hint="eastAsia" w:ascii="宋体" w:eastAsia="宋体"/>
          <w:b w:val="0"/>
          <w:color w:val="000000" w:themeColor="text1"/>
          <w:sz w:val="22"/>
          <w:szCs w:val="22"/>
          <w:highlight w:val="none"/>
          <w14:textFill>
            <w14:solidFill>
              <w14:schemeClr w14:val="tx1"/>
            </w14:solidFill>
          </w14:textFill>
        </w:rPr>
        <w:t>条规定以书面形式向中标供应商提出补救措施或索赔。</w:t>
      </w:r>
    </w:p>
    <w:p w14:paraId="0DC5268A">
      <w:pPr>
        <w:spacing w:line="460" w:lineRule="atLeast"/>
        <w:ind w:firstLine="420"/>
        <w:rPr>
          <w:rFonts w:hint="eastAsia" w:ascii="宋体" w:eastAsia="宋体"/>
          <w:b w:val="0"/>
          <w:color w:val="000000" w:themeColor="text1"/>
          <w:sz w:val="22"/>
          <w:szCs w:val="22"/>
          <w:highlight w:val="none"/>
          <w14:textFill>
            <w14:solidFill>
              <w14:schemeClr w14:val="tx1"/>
            </w14:solidFill>
          </w14:textFill>
        </w:rPr>
      </w:pPr>
      <w:r>
        <w:rPr>
          <w:rFonts w:hint="eastAsia" w:ascii="宋体" w:eastAsia="宋体"/>
          <w:b w:val="0"/>
          <w:color w:val="000000" w:themeColor="text1"/>
          <w:sz w:val="22"/>
          <w:szCs w:val="22"/>
          <w:highlight w:val="none"/>
          <w14:textFill>
            <w14:solidFill>
              <w14:schemeClr w14:val="tx1"/>
            </w14:solidFill>
          </w14:textFill>
        </w:rPr>
        <w:t>中标供应商在约定的时间内未能弥补缺陷，采购人可采取必要的补救措施，但其风险和费用将由中标供应商承担，采购人根据合同规定对中标供应商行使的其他权利不受影响。</w:t>
      </w:r>
    </w:p>
    <w:p w14:paraId="6C1EDFBD">
      <w:pPr>
        <w:spacing w:line="460" w:lineRule="atLeast"/>
        <w:rPr>
          <w:rFonts w:hint="eastAsia" w:ascii="宋体" w:eastAsia="宋体"/>
          <w:b w:val="0"/>
          <w:bCs w:val="0"/>
          <w:color w:val="000000" w:themeColor="text1"/>
          <w:sz w:val="22"/>
          <w:szCs w:val="22"/>
          <w:highlight w:val="none"/>
          <w14:textFill>
            <w14:solidFill>
              <w14:schemeClr w14:val="tx1"/>
            </w14:solidFill>
          </w14:textFill>
        </w:rPr>
      </w:pPr>
      <w:r>
        <w:rPr>
          <w:rFonts w:hint="eastAsia" w:ascii="宋体" w:eastAsia="宋体"/>
          <w:b w:val="0"/>
          <w:bCs w:val="0"/>
          <w:color w:val="000000" w:themeColor="text1"/>
          <w:sz w:val="22"/>
          <w:szCs w:val="22"/>
          <w:highlight w:val="none"/>
          <w14:textFill>
            <w14:solidFill>
              <w14:schemeClr w14:val="tx1"/>
            </w14:solidFill>
          </w14:textFill>
        </w:rPr>
        <w:t>第十</w:t>
      </w:r>
      <w:r>
        <w:rPr>
          <w:rFonts w:hint="eastAsia" w:ascii="宋体"/>
          <w:b w:val="0"/>
          <w:bCs w:val="0"/>
          <w:color w:val="000000" w:themeColor="text1"/>
          <w:sz w:val="22"/>
          <w:szCs w:val="22"/>
          <w:highlight w:val="none"/>
          <w:lang w:eastAsia="zh-CN"/>
          <w14:textFill>
            <w14:solidFill>
              <w14:schemeClr w14:val="tx1"/>
            </w14:solidFill>
          </w14:textFill>
        </w:rPr>
        <w:t>三</w:t>
      </w:r>
      <w:r>
        <w:rPr>
          <w:rFonts w:hint="eastAsia" w:ascii="宋体" w:eastAsia="宋体"/>
          <w:b w:val="0"/>
          <w:bCs w:val="0"/>
          <w:color w:val="000000" w:themeColor="text1"/>
          <w:sz w:val="22"/>
          <w:szCs w:val="22"/>
          <w:highlight w:val="none"/>
          <w14:textFill>
            <w14:solidFill>
              <w14:schemeClr w14:val="tx1"/>
            </w14:solidFill>
          </w14:textFill>
        </w:rPr>
        <w:t>条：履约延误</w:t>
      </w:r>
    </w:p>
    <w:p w14:paraId="78E3F8C3">
      <w:pPr>
        <w:spacing w:line="460" w:lineRule="atLeast"/>
        <w:rPr>
          <w:rFonts w:hint="eastAsia" w:ascii="宋体" w:eastAsia="宋体"/>
          <w:b w:val="0"/>
          <w:color w:val="000000" w:themeColor="text1"/>
          <w:sz w:val="22"/>
          <w:szCs w:val="22"/>
          <w:highlight w:val="none"/>
          <w14:textFill>
            <w14:solidFill>
              <w14:schemeClr w14:val="tx1"/>
            </w14:solidFill>
          </w14:textFill>
        </w:rPr>
      </w:pPr>
      <w:r>
        <w:rPr>
          <w:rFonts w:hint="eastAsia" w:ascii="宋体" w:eastAsia="宋体"/>
          <w:b w:val="0"/>
          <w:color w:val="000000" w:themeColor="text1"/>
          <w:sz w:val="22"/>
          <w:szCs w:val="22"/>
          <w:highlight w:val="none"/>
          <w14:textFill>
            <w14:solidFill>
              <w14:schemeClr w14:val="tx1"/>
            </w14:solidFill>
          </w14:textFill>
        </w:rPr>
        <w:t xml:space="preserve">    1、中标供应商应按照《合同》规定的时间、地点交货和提供服务。</w:t>
      </w:r>
    </w:p>
    <w:p w14:paraId="25697B99">
      <w:pPr>
        <w:spacing w:line="460" w:lineRule="atLeast"/>
        <w:rPr>
          <w:rFonts w:hint="eastAsia" w:ascii="宋体" w:eastAsia="宋体"/>
          <w:b w:val="0"/>
          <w:color w:val="000000" w:themeColor="text1"/>
          <w:sz w:val="22"/>
          <w:szCs w:val="22"/>
          <w:highlight w:val="none"/>
          <w14:textFill>
            <w14:solidFill>
              <w14:schemeClr w14:val="tx1"/>
            </w14:solidFill>
          </w14:textFill>
        </w:rPr>
      </w:pPr>
      <w:r>
        <w:rPr>
          <w:rFonts w:hint="eastAsia" w:ascii="宋体" w:eastAsia="宋体"/>
          <w:b w:val="0"/>
          <w:color w:val="000000" w:themeColor="text1"/>
          <w:sz w:val="22"/>
          <w:szCs w:val="22"/>
          <w:highlight w:val="none"/>
          <w14:textFill>
            <w14:solidFill>
              <w14:schemeClr w14:val="tx1"/>
            </w14:solidFill>
          </w14:textFill>
        </w:rPr>
        <w:t xml:space="preserve">    2、在履行《合同》过程中，如果中标供应商可能遇到妨碍按时交货和提供服务的情况时，应及时将拖延的事实、可能拖延的期限和理由通知采购人。采购人在收到中标供应商通知后，应尽快对情况进行评价，并确定是否同意延长交货时间或延期提供服务。</w:t>
      </w:r>
    </w:p>
    <w:p w14:paraId="42DA3AB3">
      <w:pPr>
        <w:spacing w:line="460" w:lineRule="atLeast"/>
        <w:ind w:firstLine="440" w:firstLineChars="200"/>
        <w:rPr>
          <w:rFonts w:hint="eastAsia"/>
          <w:color w:val="000000" w:themeColor="text1"/>
          <w:highlight w:val="none"/>
          <w14:textFill>
            <w14:solidFill>
              <w14:schemeClr w14:val="tx1"/>
            </w14:solidFill>
          </w14:textFill>
        </w:rPr>
      </w:pPr>
      <w:r>
        <w:rPr>
          <w:rFonts w:hint="eastAsia" w:ascii="宋体" w:eastAsia="宋体"/>
          <w:b w:val="0"/>
          <w:color w:val="000000" w:themeColor="text1"/>
          <w:sz w:val="22"/>
          <w:szCs w:val="22"/>
          <w:highlight w:val="none"/>
          <w14:textFill>
            <w14:solidFill>
              <w14:schemeClr w14:val="tx1"/>
            </w14:solidFill>
          </w14:textFill>
        </w:rPr>
        <w:t>3、</w:t>
      </w:r>
      <w:r>
        <w:rPr>
          <w:rFonts w:hint="eastAsia" w:ascii="宋体" w:eastAsia="宋体" w:cs="仿宋_GB2312"/>
          <w:b w:val="0"/>
          <w:bCs w:val="0"/>
          <w:color w:val="000000" w:themeColor="text1"/>
          <w:sz w:val="22"/>
          <w:szCs w:val="22"/>
          <w:highlight w:val="none"/>
          <w:lang w:val="zh-CN"/>
          <w14:textFill>
            <w14:solidFill>
              <w14:schemeClr w14:val="tx1"/>
            </w14:solidFill>
          </w14:textFill>
        </w:rPr>
        <w:t>如不能按时交货，延期交货和延期服务的赔偿费均以合同总价款为基数按日5‰计收，直至交货或提供服务为止。但误期赔偿费的最高限额不超过合同价的30 %。当本违约条款累计违约款金额达到该上限时，</w:t>
      </w:r>
      <w:r>
        <w:rPr>
          <w:rFonts w:hint="eastAsia" w:ascii="宋体" w:cs="仿宋_GB2312"/>
          <w:b w:val="0"/>
          <w:bCs w:val="0"/>
          <w:color w:val="000000" w:themeColor="text1"/>
          <w:sz w:val="22"/>
          <w:szCs w:val="22"/>
          <w:highlight w:val="none"/>
          <w:lang w:val="zh-CN"/>
          <w14:textFill>
            <w14:solidFill>
              <w14:schemeClr w14:val="tx1"/>
            </w14:solidFill>
          </w14:textFill>
        </w:rPr>
        <w:t>采购人</w:t>
      </w:r>
      <w:r>
        <w:rPr>
          <w:rFonts w:hint="eastAsia" w:ascii="宋体" w:eastAsia="宋体" w:cs="仿宋_GB2312"/>
          <w:b w:val="0"/>
          <w:bCs w:val="0"/>
          <w:color w:val="000000" w:themeColor="text1"/>
          <w:sz w:val="22"/>
          <w:szCs w:val="22"/>
          <w:highlight w:val="none"/>
          <w:lang w:val="zh-CN"/>
          <w14:textFill>
            <w14:solidFill>
              <w14:schemeClr w14:val="tx1"/>
            </w14:solidFill>
          </w14:textFill>
        </w:rPr>
        <w:t>有权解除本合同。</w:t>
      </w:r>
    </w:p>
    <w:p w14:paraId="553EE9B0">
      <w:pPr>
        <w:spacing w:line="460" w:lineRule="atLeast"/>
        <w:rPr>
          <w:rFonts w:hint="eastAsia" w:ascii="宋体" w:eastAsia="宋体"/>
          <w:b w:val="0"/>
          <w:bCs w:val="0"/>
          <w:color w:val="000000" w:themeColor="text1"/>
          <w:sz w:val="22"/>
          <w:szCs w:val="22"/>
          <w:highlight w:val="none"/>
          <w14:textFill>
            <w14:solidFill>
              <w14:schemeClr w14:val="tx1"/>
            </w14:solidFill>
          </w14:textFill>
        </w:rPr>
      </w:pPr>
      <w:r>
        <w:rPr>
          <w:rFonts w:hint="eastAsia" w:ascii="宋体" w:eastAsia="宋体"/>
          <w:b w:val="0"/>
          <w:color w:val="000000" w:themeColor="text1"/>
          <w:sz w:val="22"/>
          <w:szCs w:val="22"/>
          <w:highlight w:val="none"/>
          <w14:textFill>
            <w14:solidFill>
              <w14:schemeClr w14:val="tx1"/>
            </w14:solidFill>
          </w14:textFill>
        </w:rPr>
        <w:t xml:space="preserve"> </w:t>
      </w:r>
      <w:r>
        <w:rPr>
          <w:rFonts w:hint="eastAsia" w:ascii="宋体" w:eastAsia="宋体"/>
          <w:b w:val="0"/>
          <w:bCs w:val="0"/>
          <w:color w:val="000000" w:themeColor="text1"/>
          <w:sz w:val="22"/>
          <w:szCs w:val="22"/>
          <w:highlight w:val="none"/>
          <w14:textFill>
            <w14:solidFill>
              <w14:schemeClr w14:val="tx1"/>
            </w14:solidFill>
          </w14:textFill>
        </w:rPr>
        <w:t>第十</w:t>
      </w:r>
      <w:r>
        <w:rPr>
          <w:rFonts w:hint="eastAsia" w:ascii="宋体"/>
          <w:b w:val="0"/>
          <w:bCs w:val="0"/>
          <w:color w:val="000000" w:themeColor="text1"/>
          <w:sz w:val="22"/>
          <w:szCs w:val="22"/>
          <w:highlight w:val="none"/>
          <w:lang w:eastAsia="zh-CN"/>
          <w14:textFill>
            <w14:solidFill>
              <w14:schemeClr w14:val="tx1"/>
            </w14:solidFill>
          </w14:textFill>
        </w:rPr>
        <w:t>四</w:t>
      </w:r>
      <w:r>
        <w:rPr>
          <w:rFonts w:hint="eastAsia" w:ascii="宋体" w:eastAsia="宋体"/>
          <w:b w:val="0"/>
          <w:bCs w:val="0"/>
          <w:color w:val="000000" w:themeColor="text1"/>
          <w:sz w:val="22"/>
          <w:szCs w:val="22"/>
          <w:highlight w:val="none"/>
          <w14:textFill>
            <w14:solidFill>
              <w14:schemeClr w14:val="tx1"/>
            </w14:solidFill>
          </w14:textFill>
        </w:rPr>
        <w:t>条：不可抗力</w:t>
      </w:r>
    </w:p>
    <w:p w14:paraId="115796B2">
      <w:pPr>
        <w:spacing w:line="460" w:lineRule="atLeast"/>
        <w:rPr>
          <w:rFonts w:hint="eastAsia" w:ascii="宋体" w:eastAsia="宋体"/>
          <w:b w:val="0"/>
          <w:color w:val="000000" w:themeColor="text1"/>
          <w:sz w:val="22"/>
          <w:szCs w:val="22"/>
          <w:highlight w:val="none"/>
          <w14:textFill>
            <w14:solidFill>
              <w14:schemeClr w14:val="tx1"/>
            </w14:solidFill>
          </w14:textFill>
        </w:rPr>
      </w:pPr>
      <w:r>
        <w:rPr>
          <w:rFonts w:hint="eastAsia" w:ascii="宋体" w:eastAsia="宋体"/>
          <w:b w:val="0"/>
          <w:color w:val="000000" w:themeColor="text1"/>
          <w:sz w:val="22"/>
          <w:szCs w:val="22"/>
          <w:highlight w:val="none"/>
          <w14:textFill>
            <w14:solidFill>
              <w14:schemeClr w14:val="tx1"/>
            </w14:solidFill>
          </w14:textFill>
        </w:rPr>
        <w:t xml:space="preserve">    1、如果合同各方因不可抗力而导致合同实施延误或不能履行合同义务的话，不应该承担误期赔偿或不能履行合同义务的责任。</w:t>
      </w:r>
    </w:p>
    <w:p w14:paraId="19D64A37">
      <w:pPr>
        <w:spacing w:line="460" w:lineRule="atLeast"/>
        <w:rPr>
          <w:rFonts w:hint="eastAsia" w:ascii="宋体" w:eastAsia="宋体"/>
          <w:b w:val="0"/>
          <w:color w:val="000000" w:themeColor="text1"/>
          <w:sz w:val="22"/>
          <w:szCs w:val="22"/>
          <w:highlight w:val="none"/>
          <w14:textFill>
            <w14:solidFill>
              <w14:schemeClr w14:val="tx1"/>
            </w14:solidFill>
          </w14:textFill>
        </w:rPr>
      </w:pPr>
      <w:r>
        <w:rPr>
          <w:rFonts w:hint="eastAsia" w:ascii="宋体" w:eastAsia="宋体"/>
          <w:b w:val="0"/>
          <w:color w:val="000000" w:themeColor="text1"/>
          <w:sz w:val="22"/>
          <w:szCs w:val="22"/>
          <w:highlight w:val="none"/>
          <w14:textFill>
            <w14:solidFill>
              <w14:schemeClr w14:val="tx1"/>
            </w14:solidFill>
          </w14:textFill>
        </w:rPr>
        <w:t xml:space="preserve">    2、本条所述的“不可抗力”系指那些双方不可预见、不可避免、不可克服的事件，但不包括双方的违约或疏忽。这些事件包括但不限于：战争、严重火灾、洪水、台风、地震、国家政策的重大变化，以及双方商定的其他事件。</w:t>
      </w:r>
    </w:p>
    <w:p w14:paraId="5485B0FF">
      <w:pPr>
        <w:spacing w:line="460" w:lineRule="atLeast"/>
        <w:rPr>
          <w:rFonts w:hint="eastAsia" w:ascii="宋体" w:eastAsia="宋体"/>
          <w:b w:val="0"/>
          <w:color w:val="000000" w:themeColor="text1"/>
          <w:sz w:val="22"/>
          <w:szCs w:val="22"/>
          <w:highlight w:val="none"/>
          <w14:textFill>
            <w14:solidFill>
              <w14:schemeClr w14:val="tx1"/>
            </w14:solidFill>
          </w14:textFill>
        </w:rPr>
      </w:pPr>
      <w:r>
        <w:rPr>
          <w:rFonts w:hint="eastAsia" w:ascii="宋体" w:eastAsia="宋体"/>
          <w:b w:val="0"/>
          <w:color w:val="000000" w:themeColor="text1"/>
          <w:sz w:val="22"/>
          <w:szCs w:val="22"/>
          <w:highlight w:val="none"/>
          <w14:textFill>
            <w14:solidFill>
              <w14:schemeClr w14:val="tx1"/>
            </w14:solidFill>
          </w14:textFill>
        </w:rPr>
        <w:t xml:space="preserve">    3、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14:paraId="030D4309">
      <w:pPr>
        <w:pStyle w:val="33"/>
        <w:spacing w:line="460" w:lineRule="atLeast"/>
        <w:rPr>
          <w:rFonts w:hint="eastAsia" w:hAnsi="宋体" w:eastAsia="宋体"/>
          <w:b w:val="0"/>
          <w:bCs w:val="0"/>
          <w:color w:val="000000" w:themeColor="text1"/>
          <w:sz w:val="22"/>
          <w:szCs w:val="22"/>
          <w:highlight w:val="none"/>
          <w14:textFill>
            <w14:solidFill>
              <w14:schemeClr w14:val="tx1"/>
            </w14:solidFill>
          </w14:textFill>
        </w:rPr>
      </w:pPr>
      <w:r>
        <w:rPr>
          <w:rFonts w:hint="eastAsia" w:hAnsi="宋体" w:eastAsia="宋体"/>
          <w:b w:val="0"/>
          <w:bCs w:val="0"/>
          <w:color w:val="000000" w:themeColor="text1"/>
          <w:sz w:val="22"/>
          <w:szCs w:val="22"/>
          <w:highlight w:val="none"/>
          <w14:textFill>
            <w14:solidFill>
              <w14:schemeClr w14:val="tx1"/>
            </w14:solidFill>
          </w14:textFill>
        </w:rPr>
        <w:t>第十</w:t>
      </w:r>
      <w:r>
        <w:rPr>
          <w:rFonts w:hint="eastAsia" w:hAnsi="宋体"/>
          <w:b w:val="0"/>
          <w:bCs w:val="0"/>
          <w:color w:val="000000" w:themeColor="text1"/>
          <w:sz w:val="22"/>
          <w:szCs w:val="22"/>
          <w:highlight w:val="none"/>
          <w:lang w:eastAsia="zh-CN"/>
          <w14:textFill>
            <w14:solidFill>
              <w14:schemeClr w14:val="tx1"/>
            </w14:solidFill>
          </w14:textFill>
        </w:rPr>
        <w:t>五</w:t>
      </w:r>
      <w:r>
        <w:rPr>
          <w:rFonts w:hint="eastAsia" w:hAnsi="宋体" w:eastAsia="宋体"/>
          <w:b w:val="0"/>
          <w:bCs w:val="0"/>
          <w:color w:val="000000" w:themeColor="text1"/>
          <w:sz w:val="22"/>
          <w:szCs w:val="22"/>
          <w:highlight w:val="none"/>
          <w14:textFill>
            <w14:solidFill>
              <w14:schemeClr w14:val="tx1"/>
            </w14:solidFill>
          </w14:textFill>
        </w:rPr>
        <w:t>条：争议的解决</w:t>
      </w:r>
    </w:p>
    <w:p w14:paraId="2AB31493">
      <w:pPr>
        <w:pStyle w:val="33"/>
        <w:spacing w:line="460" w:lineRule="atLeast"/>
        <w:ind w:firstLine="480"/>
        <w:rPr>
          <w:rFonts w:hint="eastAsia" w:hAnsi="宋体" w:eastAsia="宋体"/>
          <w:b w:val="0"/>
          <w:color w:val="000000" w:themeColor="text1"/>
          <w:sz w:val="22"/>
          <w:szCs w:val="22"/>
          <w:highlight w:val="none"/>
          <w14:textFill>
            <w14:solidFill>
              <w14:schemeClr w14:val="tx1"/>
            </w14:solidFill>
          </w14:textFill>
        </w:rPr>
      </w:pPr>
      <w:r>
        <w:rPr>
          <w:rFonts w:hint="eastAsia" w:hAnsi="宋体" w:eastAsia="宋体"/>
          <w:b w:val="0"/>
          <w:color w:val="000000" w:themeColor="text1"/>
          <w:sz w:val="22"/>
          <w:szCs w:val="22"/>
          <w:highlight w:val="none"/>
          <w14:textFill>
            <w14:solidFill>
              <w14:schemeClr w14:val="tx1"/>
            </w14:solidFill>
          </w14:textFill>
        </w:rPr>
        <w:t>在发生所供商品的质量、售后服务等问题时，采购人有权直接向中标供应商索赔，签订必要的书面处理合同。协商不能解决的，任何一方有权在合同签约地选择仲裁或诉讼的途径解决。</w:t>
      </w:r>
    </w:p>
    <w:p w14:paraId="0440E1B1">
      <w:pPr>
        <w:spacing w:line="460" w:lineRule="atLeast"/>
        <w:rPr>
          <w:rFonts w:hint="eastAsia" w:ascii="宋体" w:eastAsia="宋体"/>
          <w:b w:val="0"/>
          <w:bCs w:val="0"/>
          <w:color w:val="000000" w:themeColor="text1"/>
          <w:sz w:val="22"/>
          <w:szCs w:val="22"/>
          <w:highlight w:val="none"/>
          <w14:textFill>
            <w14:solidFill>
              <w14:schemeClr w14:val="tx1"/>
            </w14:solidFill>
          </w14:textFill>
        </w:rPr>
      </w:pPr>
      <w:r>
        <w:rPr>
          <w:rFonts w:hint="eastAsia" w:ascii="宋体" w:eastAsia="宋体"/>
          <w:b w:val="0"/>
          <w:bCs w:val="0"/>
          <w:color w:val="000000" w:themeColor="text1"/>
          <w:sz w:val="22"/>
          <w:szCs w:val="22"/>
          <w:highlight w:val="none"/>
          <w14:textFill>
            <w14:solidFill>
              <w14:schemeClr w14:val="tx1"/>
            </w14:solidFill>
          </w14:textFill>
        </w:rPr>
        <w:t>第十</w:t>
      </w:r>
      <w:r>
        <w:rPr>
          <w:rFonts w:hint="eastAsia" w:ascii="宋体"/>
          <w:b w:val="0"/>
          <w:bCs w:val="0"/>
          <w:color w:val="000000" w:themeColor="text1"/>
          <w:sz w:val="22"/>
          <w:szCs w:val="22"/>
          <w:highlight w:val="none"/>
          <w:lang w:eastAsia="zh-CN"/>
          <w14:textFill>
            <w14:solidFill>
              <w14:schemeClr w14:val="tx1"/>
            </w14:solidFill>
          </w14:textFill>
        </w:rPr>
        <w:t>六</w:t>
      </w:r>
      <w:r>
        <w:rPr>
          <w:rFonts w:hint="eastAsia" w:ascii="宋体" w:eastAsia="宋体"/>
          <w:b w:val="0"/>
          <w:bCs w:val="0"/>
          <w:color w:val="000000" w:themeColor="text1"/>
          <w:sz w:val="22"/>
          <w:szCs w:val="22"/>
          <w:highlight w:val="none"/>
          <w14:textFill>
            <w14:solidFill>
              <w14:schemeClr w14:val="tx1"/>
            </w14:solidFill>
          </w14:textFill>
        </w:rPr>
        <w:t>条：违约处理</w:t>
      </w:r>
    </w:p>
    <w:p w14:paraId="2684D87E">
      <w:pPr>
        <w:keepNext w:val="0"/>
        <w:keepLines w:val="0"/>
        <w:pageBreakBefore w:val="0"/>
        <w:widowControl w:val="0"/>
        <w:kinsoku/>
        <w:wordWrap/>
        <w:overflowPunct/>
        <w:topLinePunct w:val="0"/>
        <w:autoSpaceDE/>
        <w:autoSpaceDN/>
        <w:bidi w:val="0"/>
        <w:adjustRightInd w:val="0"/>
        <w:snapToGrid/>
        <w:spacing w:line="460" w:lineRule="atLeast"/>
        <w:ind w:firstLine="440" w:firstLineChars="200"/>
        <w:textAlignment w:val="auto"/>
        <w:rPr>
          <w:rFonts w:hint="eastAsia" w:ascii="宋体" w:eastAsia="宋体"/>
          <w:b w:val="0"/>
          <w:color w:val="000000" w:themeColor="text1"/>
          <w:sz w:val="22"/>
          <w:szCs w:val="22"/>
          <w:highlight w:val="none"/>
          <w14:textFill>
            <w14:solidFill>
              <w14:schemeClr w14:val="tx1"/>
            </w14:solidFill>
          </w14:textFill>
        </w:rPr>
      </w:pPr>
      <w:r>
        <w:rPr>
          <w:rFonts w:hint="eastAsia" w:ascii="宋体" w:eastAsia="宋体"/>
          <w:b w:val="0"/>
          <w:color w:val="000000" w:themeColor="text1"/>
          <w:sz w:val="22"/>
          <w:szCs w:val="22"/>
          <w:highlight w:val="none"/>
          <w14:textFill>
            <w14:solidFill>
              <w14:schemeClr w14:val="tx1"/>
            </w14:solidFill>
          </w14:textFill>
        </w:rPr>
        <w:t>1、如经国家机关、</w:t>
      </w:r>
      <w:r>
        <w:rPr>
          <w:rFonts w:hint="eastAsia" w:ascii="宋体"/>
          <w:b w:val="0"/>
          <w:color w:val="000000" w:themeColor="text1"/>
          <w:sz w:val="22"/>
          <w:szCs w:val="22"/>
          <w:highlight w:val="none"/>
          <w:lang w:eastAsia="zh-CN"/>
          <w14:textFill>
            <w14:solidFill>
              <w14:schemeClr w14:val="tx1"/>
            </w14:solidFill>
          </w14:textFill>
        </w:rPr>
        <w:t>采购人</w:t>
      </w:r>
      <w:r>
        <w:rPr>
          <w:rFonts w:hint="eastAsia" w:ascii="宋体" w:eastAsia="宋体"/>
          <w:b w:val="0"/>
          <w:color w:val="000000" w:themeColor="text1"/>
          <w:sz w:val="22"/>
          <w:szCs w:val="22"/>
          <w:highlight w:val="none"/>
          <w14:textFill>
            <w14:solidFill>
              <w14:schemeClr w14:val="tx1"/>
            </w14:solidFill>
          </w14:textFill>
        </w:rPr>
        <w:t>指定检测机构的检验确认设备不符合本合同约定或提供的产品，保修期内无法满足</w:t>
      </w:r>
      <w:r>
        <w:rPr>
          <w:rFonts w:hint="eastAsia" w:ascii="宋体"/>
          <w:b w:val="0"/>
          <w:color w:val="000000" w:themeColor="text1"/>
          <w:sz w:val="22"/>
          <w:szCs w:val="22"/>
          <w:highlight w:val="none"/>
          <w:lang w:eastAsia="zh-CN"/>
          <w14:textFill>
            <w14:solidFill>
              <w14:schemeClr w14:val="tx1"/>
            </w14:solidFill>
          </w14:textFill>
        </w:rPr>
        <w:t>采购人</w:t>
      </w:r>
      <w:r>
        <w:rPr>
          <w:rFonts w:hint="eastAsia" w:ascii="宋体" w:eastAsia="宋体"/>
          <w:b w:val="0"/>
          <w:color w:val="000000" w:themeColor="text1"/>
          <w:sz w:val="22"/>
          <w:szCs w:val="22"/>
          <w:highlight w:val="none"/>
          <w14:textFill>
            <w14:solidFill>
              <w14:schemeClr w14:val="tx1"/>
            </w14:solidFill>
          </w14:textFill>
        </w:rPr>
        <w:t>正常生产的，</w:t>
      </w:r>
      <w:r>
        <w:rPr>
          <w:rFonts w:hint="eastAsia" w:ascii="宋体"/>
          <w:b w:val="0"/>
          <w:color w:val="000000" w:themeColor="text1"/>
          <w:sz w:val="22"/>
          <w:szCs w:val="22"/>
          <w:highlight w:val="none"/>
          <w:lang w:eastAsia="zh-CN"/>
          <w14:textFill>
            <w14:solidFill>
              <w14:schemeClr w14:val="tx1"/>
            </w14:solidFill>
          </w14:textFill>
        </w:rPr>
        <w:t>采购人</w:t>
      </w:r>
      <w:r>
        <w:rPr>
          <w:rFonts w:hint="eastAsia" w:ascii="宋体" w:eastAsia="宋体"/>
          <w:b w:val="0"/>
          <w:color w:val="000000" w:themeColor="text1"/>
          <w:sz w:val="22"/>
          <w:szCs w:val="22"/>
          <w:highlight w:val="none"/>
          <w14:textFill>
            <w14:solidFill>
              <w14:schemeClr w14:val="tx1"/>
            </w14:solidFill>
          </w14:textFill>
        </w:rPr>
        <w:t>有权选择下列方式之一或多项要求向</w:t>
      </w:r>
      <w:r>
        <w:rPr>
          <w:rFonts w:hint="eastAsia" w:ascii="宋体"/>
          <w:b w:val="0"/>
          <w:color w:val="000000" w:themeColor="text1"/>
          <w:sz w:val="22"/>
          <w:szCs w:val="22"/>
          <w:highlight w:val="none"/>
          <w:lang w:eastAsia="zh-CN"/>
          <w14:textFill>
            <w14:solidFill>
              <w14:schemeClr w14:val="tx1"/>
            </w14:solidFill>
          </w14:textFill>
        </w:rPr>
        <w:t>中标供应商</w:t>
      </w:r>
      <w:r>
        <w:rPr>
          <w:rFonts w:hint="eastAsia" w:ascii="宋体" w:eastAsia="宋体"/>
          <w:b w:val="0"/>
          <w:color w:val="000000" w:themeColor="text1"/>
          <w:sz w:val="22"/>
          <w:szCs w:val="22"/>
          <w:highlight w:val="none"/>
          <w14:textFill>
            <w14:solidFill>
              <w14:schemeClr w14:val="tx1"/>
            </w14:solidFill>
          </w14:textFill>
        </w:rPr>
        <w:t>进行补救：　　</w:t>
      </w:r>
    </w:p>
    <w:p w14:paraId="25759E12">
      <w:pPr>
        <w:keepNext w:val="0"/>
        <w:keepLines w:val="0"/>
        <w:pageBreakBefore w:val="0"/>
        <w:widowControl w:val="0"/>
        <w:kinsoku/>
        <w:wordWrap/>
        <w:overflowPunct/>
        <w:topLinePunct w:val="0"/>
        <w:autoSpaceDE/>
        <w:autoSpaceDN/>
        <w:bidi w:val="0"/>
        <w:adjustRightInd w:val="0"/>
        <w:snapToGrid/>
        <w:spacing w:line="460" w:lineRule="atLeast"/>
        <w:ind w:firstLine="440" w:firstLineChars="200"/>
        <w:textAlignment w:val="auto"/>
        <w:rPr>
          <w:rFonts w:hint="eastAsia" w:ascii="宋体" w:eastAsia="宋体"/>
          <w:b w:val="0"/>
          <w:color w:val="000000" w:themeColor="text1"/>
          <w:sz w:val="22"/>
          <w:szCs w:val="22"/>
          <w:highlight w:val="none"/>
          <w14:textFill>
            <w14:solidFill>
              <w14:schemeClr w14:val="tx1"/>
            </w14:solidFill>
          </w14:textFill>
        </w:rPr>
      </w:pPr>
      <w:r>
        <w:rPr>
          <w:rFonts w:hint="eastAsia" w:ascii="宋体" w:eastAsia="宋体"/>
          <w:b w:val="0"/>
          <w:color w:val="000000" w:themeColor="text1"/>
          <w:sz w:val="22"/>
          <w:szCs w:val="22"/>
          <w:highlight w:val="none"/>
          <w14:textFill>
            <w14:solidFill>
              <w14:schemeClr w14:val="tx1"/>
            </w14:solidFill>
          </w14:textFill>
        </w:rPr>
        <w:t>（1）同意</w:t>
      </w:r>
      <w:r>
        <w:rPr>
          <w:rFonts w:hint="eastAsia" w:ascii="宋体"/>
          <w:b w:val="0"/>
          <w:color w:val="000000" w:themeColor="text1"/>
          <w:sz w:val="22"/>
          <w:szCs w:val="22"/>
          <w:highlight w:val="none"/>
          <w:lang w:eastAsia="zh-CN"/>
          <w14:textFill>
            <w14:solidFill>
              <w14:schemeClr w14:val="tx1"/>
            </w14:solidFill>
          </w14:textFill>
        </w:rPr>
        <w:t>采购人</w:t>
      </w:r>
      <w:r>
        <w:rPr>
          <w:rFonts w:hint="eastAsia" w:ascii="宋体" w:eastAsia="宋体"/>
          <w:b w:val="0"/>
          <w:color w:val="000000" w:themeColor="text1"/>
          <w:sz w:val="22"/>
          <w:szCs w:val="22"/>
          <w:highlight w:val="none"/>
          <w14:textFill>
            <w14:solidFill>
              <w14:schemeClr w14:val="tx1"/>
            </w14:solidFill>
          </w14:textFill>
        </w:rPr>
        <w:t>退货，并将全额货款偿还</w:t>
      </w:r>
      <w:r>
        <w:rPr>
          <w:rFonts w:hint="eastAsia" w:ascii="宋体"/>
          <w:b w:val="0"/>
          <w:color w:val="000000" w:themeColor="text1"/>
          <w:sz w:val="22"/>
          <w:szCs w:val="22"/>
          <w:highlight w:val="none"/>
          <w:lang w:eastAsia="zh-CN"/>
          <w14:textFill>
            <w14:solidFill>
              <w14:schemeClr w14:val="tx1"/>
            </w14:solidFill>
          </w14:textFill>
        </w:rPr>
        <w:t>采购人</w:t>
      </w:r>
      <w:r>
        <w:rPr>
          <w:rFonts w:hint="eastAsia" w:ascii="宋体" w:eastAsia="宋体"/>
          <w:b w:val="0"/>
          <w:color w:val="000000" w:themeColor="text1"/>
          <w:sz w:val="22"/>
          <w:szCs w:val="22"/>
          <w:highlight w:val="none"/>
          <w14:textFill>
            <w14:solidFill>
              <w14:schemeClr w14:val="tx1"/>
            </w14:solidFill>
          </w14:textFill>
        </w:rPr>
        <w:t>，还应向</w:t>
      </w:r>
      <w:r>
        <w:rPr>
          <w:rFonts w:hint="eastAsia" w:ascii="宋体"/>
          <w:b w:val="0"/>
          <w:color w:val="000000" w:themeColor="text1"/>
          <w:sz w:val="22"/>
          <w:szCs w:val="22"/>
          <w:highlight w:val="none"/>
          <w:lang w:eastAsia="zh-CN"/>
          <w14:textFill>
            <w14:solidFill>
              <w14:schemeClr w14:val="tx1"/>
            </w14:solidFill>
          </w14:textFill>
        </w:rPr>
        <w:t>采购人</w:t>
      </w:r>
      <w:r>
        <w:rPr>
          <w:rFonts w:hint="eastAsia" w:ascii="宋体" w:eastAsia="宋体"/>
          <w:b w:val="0"/>
          <w:color w:val="000000" w:themeColor="text1"/>
          <w:sz w:val="22"/>
          <w:szCs w:val="22"/>
          <w:highlight w:val="none"/>
          <w14:textFill>
            <w14:solidFill>
              <w14:schemeClr w14:val="tx1"/>
            </w14:solidFill>
          </w14:textFill>
        </w:rPr>
        <w:t>支付合同总价30%元违约金，并负担因退货而发生的一切损失和费用；　</w:t>
      </w:r>
    </w:p>
    <w:p w14:paraId="2546C10C">
      <w:pPr>
        <w:keepNext w:val="0"/>
        <w:keepLines w:val="0"/>
        <w:pageBreakBefore w:val="0"/>
        <w:widowControl w:val="0"/>
        <w:kinsoku/>
        <w:wordWrap/>
        <w:overflowPunct/>
        <w:topLinePunct w:val="0"/>
        <w:autoSpaceDE/>
        <w:autoSpaceDN/>
        <w:bidi w:val="0"/>
        <w:adjustRightInd w:val="0"/>
        <w:snapToGrid/>
        <w:spacing w:line="460" w:lineRule="atLeast"/>
        <w:ind w:firstLine="440" w:firstLineChars="200"/>
        <w:textAlignment w:val="auto"/>
        <w:rPr>
          <w:rFonts w:hint="eastAsia" w:ascii="宋体" w:eastAsia="宋体"/>
          <w:b w:val="0"/>
          <w:color w:val="000000" w:themeColor="text1"/>
          <w:sz w:val="22"/>
          <w:szCs w:val="22"/>
          <w:highlight w:val="none"/>
          <w14:textFill>
            <w14:solidFill>
              <w14:schemeClr w14:val="tx1"/>
            </w14:solidFill>
          </w14:textFill>
        </w:rPr>
      </w:pPr>
      <w:r>
        <w:rPr>
          <w:rFonts w:hint="eastAsia" w:ascii="宋体" w:eastAsia="宋体"/>
          <w:b w:val="0"/>
          <w:color w:val="000000" w:themeColor="text1"/>
          <w:sz w:val="22"/>
          <w:szCs w:val="22"/>
          <w:highlight w:val="none"/>
          <w14:textFill>
            <w14:solidFill>
              <w14:schemeClr w14:val="tx1"/>
            </w14:solidFill>
          </w14:textFill>
        </w:rPr>
        <w:t>（2）按照货物的疵劣程度、损坏的范围和</w:t>
      </w:r>
      <w:r>
        <w:rPr>
          <w:rFonts w:hint="eastAsia" w:ascii="宋体"/>
          <w:b w:val="0"/>
          <w:color w:val="000000" w:themeColor="text1"/>
          <w:sz w:val="22"/>
          <w:szCs w:val="22"/>
          <w:highlight w:val="none"/>
          <w:lang w:eastAsia="zh-CN"/>
          <w14:textFill>
            <w14:solidFill>
              <w14:schemeClr w14:val="tx1"/>
            </w14:solidFill>
          </w14:textFill>
        </w:rPr>
        <w:t>采购人</w:t>
      </w:r>
      <w:r>
        <w:rPr>
          <w:rFonts w:hint="eastAsia" w:ascii="宋体" w:eastAsia="宋体"/>
          <w:b w:val="0"/>
          <w:color w:val="000000" w:themeColor="text1"/>
          <w:sz w:val="22"/>
          <w:szCs w:val="22"/>
          <w:highlight w:val="none"/>
          <w14:textFill>
            <w14:solidFill>
              <w14:schemeClr w14:val="tx1"/>
            </w14:solidFill>
          </w14:textFill>
        </w:rPr>
        <w:t>所遭受的损失，将货物贬值的价格补偿给</w:t>
      </w:r>
      <w:r>
        <w:rPr>
          <w:rFonts w:hint="eastAsia" w:ascii="宋体"/>
          <w:b w:val="0"/>
          <w:color w:val="000000" w:themeColor="text1"/>
          <w:sz w:val="22"/>
          <w:szCs w:val="22"/>
          <w:highlight w:val="none"/>
          <w:lang w:eastAsia="zh-CN"/>
          <w14:textFill>
            <w14:solidFill>
              <w14:schemeClr w14:val="tx1"/>
            </w14:solidFill>
          </w14:textFill>
        </w:rPr>
        <w:t>采购人</w:t>
      </w:r>
      <w:r>
        <w:rPr>
          <w:rFonts w:hint="eastAsia" w:ascii="宋体" w:eastAsia="宋体"/>
          <w:b w:val="0"/>
          <w:color w:val="000000" w:themeColor="text1"/>
          <w:sz w:val="22"/>
          <w:szCs w:val="22"/>
          <w:highlight w:val="none"/>
          <w14:textFill>
            <w14:solidFill>
              <w14:schemeClr w14:val="tx1"/>
            </w14:solidFill>
          </w14:textFill>
        </w:rPr>
        <w:t>，金额由</w:t>
      </w:r>
      <w:r>
        <w:rPr>
          <w:rFonts w:hint="eastAsia" w:ascii="宋体"/>
          <w:b w:val="0"/>
          <w:color w:val="000000" w:themeColor="text1"/>
          <w:sz w:val="22"/>
          <w:szCs w:val="22"/>
          <w:highlight w:val="none"/>
          <w:lang w:eastAsia="zh-CN"/>
          <w14:textFill>
            <w14:solidFill>
              <w14:schemeClr w14:val="tx1"/>
            </w14:solidFill>
          </w14:textFill>
        </w:rPr>
        <w:t>采购人</w:t>
      </w:r>
      <w:r>
        <w:rPr>
          <w:rFonts w:hint="eastAsia" w:ascii="宋体" w:eastAsia="宋体"/>
          <w:b w:val="0"/>
          <w:color w:val="000000" w:themeColor="text1"/>
          <w:sz w:val="22"/>
          <w:szCs w:val="22"/>
          <w:highlight w:val="none"/>
          <w14:textFill>
            <w14:solidFill>
              <w14:schemeClr w14:val="tx1"/>
            </w14:solidFill>
          </w14:textFill>
        </w:rPr>
        <w:t>确定；</w:t>
      </w:r>
    </w:p>
    <w:p w14:paraId="619C9A54">
      <w:pPr>
        <w:keepNext w:val="0"/>
        <w:keepLines w:val="0"/>
        <w:pageBreakBefore w:val="0"/>
        <w:widowControl w:val="0"/>
        <w:kinsoku/>
        <w:wordWrap/>
        <w:overflowPunct/>
        <w:topLinePunct w:val="0"/>
        <w:autoSpaceDE/>
        <w:autoSpaceDN/>
        <w:bidi w:val="0"/>
        <w:adjustRightInd w:val="0"/>
        <w:snapToGrid/>
        <w:spacing w:line="460" w:lineRule="atLeast"/>
        <w:ind w:firstLine="440" w:firstLineChars="200"/>
        <w:textAlignment w:val="auto"/>
        <w:rPr>
          <w:rFonts w:hint="eastAsia" w:ascii="宋体" w:eastAsia="宋体"/>
          <w:b w:val="0"/>
          <w:color w:val="000000" w:themeColor="text1"/>
          <w:sz w:val="22"/>
          <w:szCs w:val="22"/>
          <w:highlight w:val="none"/>
          <w14:textFill>
            <w14:solidFill>
              <w14:schemeClr w14:val="tx1"/>
            </w14:solidFill>
          </w14:textFill>
        </w:rPr>
      </w:pPr>
      <w:r>
        <w:rPr>
          <w:rFonts w:hint="eastAsia" w:ascii="宋体" w:eastAsia="宋体"/>
          <w:b w:val="0"/>
          <w:color w:val="000000" w:themeColor="text1"/>
          <w:sz w:val="22"/>
          <w:szCs w:val="22"/>
          <w:highlight w:val="none"/>
          <w14:textFill>
            <w14:solidFill>
              <w14:schemeClr w14:val="tx1"/>
            </w14:solidFill>
          </w14:textFill>
        </w:rPr>
        <w:t>（3）调换有瑕疵的货物，换货必须全新并符合本合同规定的规格，质量和性能，</w:t>
      </w:r>
      <w:r>
        <w:rPr>
          <w:rFonts w:hint="eastAsia" w:ascii="宋体"/>
          <w:b w:val="0"/>
          <w:color w:val="000000" w:themeColor="text1"/>
          <w:sz w:val="22"/>
          <w:szCs w:val="22"/>
          <w:highlight w:val="none"/>
          <w:lang w:eastAsia="zh-CN"/>
          <w14:textFill>
            <w14:solidFill>
              <w14:schemeClr w14:val="tx1"/>
            </w14:solidFill>
          </w14:textFill>
        </w:rPr>
        <w:t>中标供应商</w:t>
      </w:r>
      <w:r>
        <w:rPr>
          <w:rFonts w:hint="eastAsia" w:ascii="宋体" w:eastAsia="宋体"/>
          <w:b w:val="0"/>
          <w:color w:val="000000" w:themeColor="text1"/>
          <w:sz w:val="22"/>
          <w:szCs w:val="22"/>
          <w:highlight w:val="none"/>
          <w14:textFill>
            <w14:solidFill>
              <w14:schemeClr w14:val="tx1"/>
            </w14:solidFill>
          </w14:textFill>
        </w:rPr>
        <w:t>并负责因此而产生的一切费用和</w:t>
      </w:r>
      <w:r>
        <w:rPr>
          <w:rFonts w:hint="eastAsia" w:ascii="宋体"/>
          <w:b w:val="0"/>
          <w:color w:val="000000" w:themeColor="text1"/>
          <w:sz w:val="22"/>
          <w:szCs w:val="22"/>
          <w:highlight w:val="none"/>
          <w:lang w:eastAsia="zh-CN"/>
          <w14:textFill>
            <w14:solidFill>
              <w14:schemeClr w14:val="tx1"/>
            </w14:solidFill>
          </w14:textFill>
        </w:rPr>
        <w:t>采购人</w:t>
      </w:r>
      <w:r>
        <w:rPr>
          <w:rFonts w:hint="eastAsia" w:ascii="宋体" w:eastAsia="宋体"/>
          <w:b w:val="0"/>
          <w:color w:val="000000" w:themeColor="text1"/>
          <w:sz w:val="22"/>
          <w:szCs w:val="22"/>
          <w:highlight w:val="none"/>
          <w14:textFill>
            <w14:solidFill>
              <w14:schemeClr w14:val="tx1"/>
            </w14:solidFill>
          </w14:textFill>
        </w:rPr>
        <w:t>的一切直接损失。　　</w:t>
      </w:r>
    </w:p>
    <w:p w14:paraId="41203F25">
      <w:pPr>
        <w:keepNext w:val="0"/>
        <w:keepLines w:val="0"/>
        <w:pageBreakBefore w:val="0"/>
        <w:widowControl w:val="0"/>
        <w:kinsoku/>
        <w:wordWrap/>
        <w:overflowPunct/>
        <w:topLinePunct w:val="0"/>
        <w:autoSpaceDE/>
        <w:autoSpaceDN/>
        <w:bidi w:val="0"/>
        <w:adjustRightInd w:val="0"/>
        <w:snapToGrid/>
        <w:spacing w:line="460" w:lineRule="atLeast"/>
        <w:ind w:firstLine="440" w:firstLineChars="200"/>
        <w:textAlignment w:val="auto"/>
        <w:rPr>
          <w:rFonts w:hint="eastAsia" w:ascii="宋体" w:eastAsia="宋体"/>
          <w:b w:val="0"/>
          <w:color w:val="000000" w:themeColor="text1"/>
          <w:sz w:val="22"/>
          <w:szCs w:val="22"/>
          <w:highlight w:val="none"/>
          <w14:textFill>
            <w14:solidFill>
              <w14:schemeClr w14:val="tx1"/>
            </w14:solidFill>
          </w14:textFill>
        </w:rPr>
      </w:pPr>
      <w:r>
        <w:rPr>
          <w:rFonts w:hint="eastAsia" w:ascii="宋体" w:eastAsia="宋体"/>
          <w:b w:val="0"/>
          <w:color w:val="000000" w:themeColor="text1"/>
          <w:sz w:val="22"/>
          <w:szCs w:val="22"/>
          <w:highlight w:val="none"/>
          <w14:textFill>
            <w14:solidFill>
              <w14:schemeClr w14:val="tx1"/>
            </w14:solidFill>
          </w14:textFill>
        </w:rPr>
        <w:t>2、如果</w:t>
      </w:r>
      <w:r>
        <w:rPr>
          <w:rFonts w:hint="eastAsia" w:ascii="宋体"/>
          <w:b w:val="0"/>
          <w:color w:val="000000" w:themeColor="text1"/>
          <w:sz w:val="22"/>
          <w:szCs w:val="22"/>
          <w:highlight w:val="none"/>
          <w:lang w:eastAsia="zh-CN"/>
          <w14:textFill>
            <w14:solidFill>
              <w14:schemeClr w14:val="tx1"/>
            </w14:solidFill>
          </w14:textFill>
        </w:rPr>
        <w:t>中标供应商</w:t>
      </w:r>
      <w:r>
        <w:rPr>
          <w:rFonts w:hint="eastAsia" w:ascii="宋体" w:eastAsia="宋体"/>
          <w:b w:val="0"/>
          <w:color w:val="000000" w:themeColor="text1"/>
          <w:sz w:val="22"/>
          <w:szCs w:val="22"/>
          <w:highlight w:val="none"/>
          <w14:textFill>
            <w14:solidFill>
              <w14:schemeClr w14:val="tx1"/>
            </w14:solidFill>
          </w14:textFill>
        </w:rPr>
        <w:t>没有按照合同规定的时间交货和提供服务，</w:t>
      </w:r>
      <w:r>
        <w:rPr>
          <w:rFonts w:hint="eastAsia" w:ascii="宋体"/>
          <w:b w:val="0"/>
          <w:color w:val="000000" w:themeColor="text1"/>
          <w:sz w:val="22"/>
          <w:szCs w:val="22"/>
          <w:highlight w:val="none"/>
          <w:lang w:eastAsia="zh-CN"/>
          <w14:textFill>
            <w14:solidFill>
              <w14:schemeClr w14:val="tx1"/>
            </w14:solidFill>
          </w14:textFill>
        </w:rPr>
        <w:t>采购人</w:t>
      </w:r>
      <w:r>
        <w:rPr>
          <w:rFonts w:hint="eastAsia" w:ascii="宋体" w:eastAsia="宋体"/>
          <w:b w:val="0"/>
          <w:color w:val="000000" w:themeColor="text1"/>
          <w:sz w:val="22"/>
          <w:szCs w:val="22"/>
          <w:highlight w:val="none"/>
          <w14:textFill>
            <w14:solidFill>
              <w14:schemeClr w14:val="tx1"/>
            </w14:solidFill>
          </w14:textFill>
        </w:rPr>
        <w:t>应从货款中扣除误期赔偿费而不影响合同项下的其他补救办法，延期交货和延期服务的赔偿费均以合同总价款为基数按日5‰计收，直至交货或提供服务为止。但误期赔偿费的最高限额不超过合同价的30 %。当本违约条款累计违约款金额达到该上限时，</w:t>
      </w:r>
      <w:r>
        <w:rPr>
          <w:rFonts w:hint="eastAsia" w:ascii="宋体"/>
          <w:b w:val="0"/>
          <w:color w:val="000000" w:themeColor="text1"/>
          <w:sz w:val="22"/>
          <w:szCs w:val="22"/>
          <w:highlight w:val="none"/>
          <w:lang w:eastAsia="zh-CN"/>
          <w14:textFill>
            <w14:solidFill>
              <w14:schemeClr w14:val="tx1"/>
            </w14:solidFill>
          </w14:textFill>
        </w:rPr>
        <w:t>采购人</w:t>
      </w:r>
      <w:r>
        <w:rPr>
          <w:rFonts w:hint="eastAsia" w:ascii="宋体" w:eastAsia="宋体"/>
          <w:b w:val="0"/>
          <w:color w:val="000000" w:themeColor="text1"/>
          <w:sz w:val="22"/>
          <w:szCs w:val="22"/>
          <w:highlight w:val="none"/>
          <w14:textFill>
            <w14:solidFill>
              <w14:schemeClr w14:val="tx1"/>
            </w14:solidFill>
          </w14:textFill>
        </w:rPr>
        <w:t>有权解除本合同。</w:t>
      </w:r>
    </w:p>
    <w:p w14:paraId="10B74C64">
      <w:pPr>
        <w:keepNext w:val="0"/>
        <w:keepLines w:val="0"/>
        <w:pageBreakBefore w:val="0"/>
        <w:widowControl w:val="0"/>
        <w:kinsoku/>
        <w:wordWrap/>
        <w:overflowPunct/>
        <w:topLinePunct w:val="0"/>
        <w:autoSpaceDE/>
        <w:autoSpaceDN/>
        <w:bidi w:val="0"/>
        <w:adjustRightInd w:val="0"/>
        <w:snapToGrid/>
        <w:spacing w:line="460" w:lineRule="atLeast"/>
        <w:ind w:firstLine="440" w:firstLineChars="200"/>
        <w:textAlignment w:val="auto"/>
        <w:rPr>
          <w:rFonts w:hint="eastAsia" w:ascii="宋体" w:eastAsia="宋体"/>
          <w:b w:val="0"/>
          <w:color w:val="000000" w:themeColor="text1"/>
          <w:sz w:val="22"/>
          <w:szCs w:val="22"/>
          <w:highlight w:val="none"/>
          <w14:textFill>
            <w14:solidFill>
              <w14:schemeClr w14:val="tx1"/>
            </w14:solidFill>
          </w14:textFill>
        </w:rPr>
      </w:pPr>
      <w:r>
        <w:rPr>
          <w:rFonts w:hint="eastAsia" w:ascii="宋体" w:eastAsia="宋体"/>
          <w:b w:val="0"/>
          <w:color w:val="000000" w:themeColor="text1"/>
          <w:sz w:val="22"/>
          <w:szCs w:val="22"/>
          <w:highlight w:val="none"/>
          <w14:textFill>
            <w14:solidFill>
              <w14:schemeClr w14:val="tx1"/>
            </w14:solidFill>
          </w14:textFill>
        </w:rPr>
        <w:t>3、</w:t>
      </w:r>
      <w:r>
        <w:rPr>
          <w:rFonts w:hint="eastAsia" w:ascii="宋体"/>
          <w:b w:val="0"/>
          <w:color w:val="000000" w:themeColor="text1"/>
          <w:sz w:val="22"/>
          <w:szCs w:val="22"/>
          <w:highlight w:val="none"/>
          <w:lang w:eastAsia="zh-CN"/>
          <w14:textFill>
            <w14:solidFill>
              <w14:schemeClr w14:val="tx1"/>
            </w14:solidFill>
          </w14:textFill>
        </w:rPr>
        <w:t>中标供应商</w:t>
      </w:r>
      <w:r>
        <w:rPr>
          <w:rFonts w:hint="eastAsia" w:ascii="宋体" w:eastAsia="宋体"/>
          <w:b w:val="0"/>
          <w:color w:val="000000" w:themeColor="text1"/>
          <w:sz w:val="22"/>
          <w:szCs w:val="22"/>
          <w:highlight w:val="none"/>
          <w14:textFill>
            <w14:solidFill>
              <w14:schemeClr w14:val="tx1"/>
            </w14:solidFill>
          </w14:textFill>
        </w:rPr>
        <w:t>提供的货物型号、技术参数、质量等不符合合同规定或招标文件规定导致验收不通过，</w:t>
      </w:r>
      <w:r>
        <w:rPr>
          <w:rFonts w:hint="eastAsia" w:ascii="宋体"/>
          <w:b w:val="0"/>
          <w:color w:val="000000" w:themeColor="text1"/>
          <w:sz w:val="22"/>
          <w:szCs w:val="22"/>
          <w:highlight w:val="none"/>
          <w:lang w:eastAsia="zh-CN"/>
          <w14:textFill>
            <w14:solidFill>
              <w14:schemeClr w14:val="tx1"/>
            </w14:solidFill>
          </w14:textFill>
        </w:rPr>
        <w:t>采购人</w:t>
      </w:r>
      <w:r>
        <w:rPr>
          <w:rFonts w:hint="eastAsia" w:ascii="宋体" w:eastAsia="宋体"/>
          <w:b w:val="0"/>
          <w:color w:val="000000" w:themeColor="text1"/>
          <w:sz w:val="22"/>
          <w:szCs w:val="22"/>
          <w:highlight w:val="none"/>
          <w14:textFill>
            <w14:solidFill>
              <w14:schemeClr w14:val="tx1"/>
            </w14:solidFill>
          </w14:textFill>
        </w:rPr>
        <w:t>有权单方面终止合同，</w:t>
      </w:r>
      <w:r>
        <w:rPr>
          <w:rFonts w:hint="eastAsia" w:ascii="宋体"/>
          <w:b w:val="0"/>
          <w:color w:val="000000" w:themeColor="text1"/>
          <w:sz w:val="22"/>
          <w:szCs w:val="22"/>
          <w:highlight w:val="none"/>
          <w:lang w:eastAsia="zh-CN"/>
          <w14:textFill>
            <w14:solidFill>
              <w14:schemeClr w14:val="tx1"/>
            </w14:solidFill>
          </w14:textFill>
        </w:rPr>
        <w:t>中标供应商</w:t>
      </w:r>
      <w:r>
        <w:rPr>
          <w:rFonts w:hint="eastAsia" w:ascii="宋体" w:eastAsia="宋体"/>
          <w:b w:val="0"/>
          <w:color w:val="000000" w:themeColor="text1"/>
          <w:sz w:val="22"/>
          <w:szCs w:val="22"/>
          <w:highlight w:val="none"/>
          <w14:textFill>
            <w14:solidFill>
              <w14:schemeClr w14:val="tx1"/>
            </w14:solidFill>
          </w14:textFill>
        </w:rPr>
        <w:t>需按照合同总价的 5 %支付违约金。</w:t>
      </w:r>
    </w:p>
    <w:p w14:paraId="6DCA03CB">
      <w:pPr>
        <w:keepNext w:val="0"/>
        <w:keepLines w:val="0"/>
        <w:pageBreakBefore w:val="0"/>
        <w:widowControl w:val="0"/>
        <w:kinsoku/>
        <w:wordWrap/>
        <w:overflowPunct/>
        <w:topLinePunct w:val="0"/>
        <w:autoSpaceDE/>
        <w:autoSpaceDN/>
        <w:bidi w:val="0"/>
        <w:adjustRightInd w:val="0"/>
        <w:snapToGrid/>
        <w:spacing w:line="460" w:lineRule="atLeast"/>
        <w:ind w:firstLine="440" w:firstLineChars="200"/>
        <w:textAlignment w:val="auto"/>
        <w:rPr>
          <w:rFonts w:hint="eastAsia" w:ascii="宋体" w:eastAsia="宋体"/>
          <w:b w:val="0"/>
          <w:color w:val="000000" w:themeColor="text1"/>
          <w:sz w:val="22"/>
          <w:szCs w:val="22"/>
          <w:highlight w:val="none"/>
          <w14:textFill>
            <w14:solidFill>
              <w14:schemeClr w14:val="tx1"/>
            </w14:solidFill>
          </w14:textFill>
        </w:rPr>
      </w:pPr>
      <w:r>
        <w:rPr>
          <w:rFonts w:hint="eastAsia" w:ascii="宋体" w:eastAsia="宋体"/>
          <w:b w:val="0"/>
          <w:color w:val="000000" w:themeColor="text1"/>
          <w:sz w:val="22"/>
          <w:szCs w:val="22"/>
          <w:highlight w:val="none"/>
          <w14:textFill>
            <w14:solidFill>
              <w14:schemeClr w14:val="tx1"/>
            </w14:solidFill>
          </w14:textFill>
        </w:rPr>
        <w:t>4、</w:t>
      </w:r>
      <w:r>
        <w:rPr>
          <w:rFonts w:hint="eastAsia" w:ascii="宋体"/>
          <w:b w:val="0"/>
          <w:color w:val="000000" w:themeColor="text1"/>
          <w:sz w:val="22"/>
          <w:szCs w:val="22"/>
          <w:highlight w:val="none"/>
          <w:lang w:eastAsia="zh-CN"/>
          <w14:textFill>
            <w14:solidFill>
              <w14:schemeClr w14:val="tx1"/>
            </w14:solidFill>
          </w14:textFill>
        </w:rPr>
        <w:t>中标供应商</w:t>
      </w:r>
      <w:r>
        <w:rPr>
          <w:rFonts w:hint="eastAsia" w:ascii="宋体" w:eastAsia="宋体"/>
          <w:b w:val="0"/>
          <w:color w:val="000000" w:themeColor="text1"/>
          <w:sz w:val="22"/>
          <w:szCs w:val="22"/>
          <w:highlight w:val="none"/>
          <w14:textFill>
            <w14:solidFill>
              <w14:schemeClr w14:val="tx1"/>
            </w14:solidFill>
          </w14:textFill>
        </w:rPr>
        <w:t>提供的货物不符合要求或因质量、功能存在瑕疵造成他人人身、财产损害的，由</w:t>
      </w:r>
      <w:r>
        <w:rPr>
          <w:rFonts w:hint="eastAsia" w:ascii="宋体"/>
          <w:b w:val="0"/>
          <w:color w:val="000000" w:themeColor="text1"/>
          <w:sz w:val="22"/>
          <w:szCs w:val="22"/>
          <w:highlight w:val="none"/>
          <w:lang w:eastAsia="zh-CN"/>
          <w14:textFill>
            <w14:solidFill>
              <w14:schemeClr w14:val="tx1"/>
            </w14:solidFill>
          </w14:textFill>
        </w:rPr>
        <w:t>中标供应商</w:t>
      </w:r>
      <w:r>
        <w:rPr>
          <w:rFonts w:hint="eastAsia" w:ascii="宋体" w:eastAsia="宋体"/>
          <w:b w:val="0"/>
          <w:color w:val="000000" w:themeColor="text1"/>
          <w:sz w:val="22"/>
          <w:szCs w:val="22"/>
          <w:highlight w:val="none"/>
          <w14:textFill>
            <w14:solidFill>
              <w14:schemeClr w14:val="tx1"/>
            </w14:solidFill>
          </w14:textFill>
        </w:rPr>
        <w:t>向受害人承担全部的损害赔偿责任。</w:t>
      </w:r>
      <w:r>
        <w:rPr>
          <w:rFonts w:hint="eastAsia" w:ascii="宋体"/>
          <w:b w:val="0"/>
          <w:color w:val="000000" w:themeColor="text1"/>
          <w:sz w:val="22"/>
          <w:szCs w:val="22"/>
          <w:highlight w:val="none"/>
          <w:lang w:eastAsia="zh-CN"/>
          <w14:textFill>
            <w14:solidFill>
              <w14:schemeClr w14:val="tx1"/>
            </w14:solidFill>
          </w14:textFill>
        </w:rPr>
        <w:t>采购人</w:t>
      </w:r>
      <w:r>
        <w:rPr>
          <w:rFonts w:hint="eastAsia" w:ascii="宋体" w:eastAsia="宋体"/>
          <w:b w:val="0"/>
          <w:color w:val="000000" w:themeColor="text1"/>
          <w:sz w:val="22"/>
          <w:szCs w:val="22"/>
          <w:highlight w:val="none"/>
          <w14:textFill>
            <w14:solidFill>
              <w14:schemeClr w14:val="tx1"/>
            </w14:solidFill>
          </w14:textFill>
        </w:rPr>
        <w:t>的装机验收并不免除</w:t>
      </w:r>
      <w:r>
        <w:rPr>
          <w:rFonts w:hint="eastAsia" w:ascii="宋体"/>
          <w:b w:val="0"/>
          <w:color w:val="000000" w:themeColor="text1"/>
          <w:sz w:val="22"/>
          <w:szCs w:val="22"/>
          <w:highlight w:val="none"/>
          <w:lang w:eastAsia="zh-CN"/>
          <w14:textFill>
            <w14:solidFill>
              <w14:schemeClr w14:val="tx1"/>
            </w14:solidFill>
          </w14:textFill>
        </w:rPr>
        <w:t>中标供应商</w:t>
      </w:r>
      <w:r>
        <w:rPr>
          <w:rFonts w:hint="eastAsia" w:ascii="宋体" w:eastAsia="宋体"/>
          <w:b w:val="0"/>
          <w:color w:val="000000" w:themeColor="text1"/>
          <w:sz w:val="22"/>
          <w:szCs w:val="22"/>
          <w:highlight w:val="none"/>
          <w14:textFill>
            <w14:solidFill>
              <w14:schemeClr w14:val="tx1"/>
            </w14:solidFill>
          </w14:textFill>
        </w:rPr>
        <w:t>的产品质量或产品瑕疵责任。甲乙双方对产品质量有争议的，需要第三方鉴定的，由</w:t>
      </w:r>
      <w:r>
        <w:rPr>
          <w:rFonts w:hint="eastAsia" w:ascii="宋体"/>
          <w:b w:val="0"/>
          <w:color w:val="000000" w:themeColor="text1"/>
          <w:sz w:val="22"/>
          <w:szCs w:val="22"/>
          <w:highlight w:val="none"/>
          <w:lang w:eastAsia="zh-CN"/>
          <w14:textFill>
            <w14:solidFill>
              <w14:schemeClr w14:val="tx1"/>
            </w14:solidFill>
          </w14:textFill>
        </w:rPr>
        <w:t>中标供应商</w:t>
      </w:r>
      <w:r>
        <w:rPr>
          <w:rFonts w:hint="eastAsia" w:ascii="宋体" w:eastAsia="宋体"/>
          <w:b w:val="0"/>
          <w:color w:val="000000" w:themeColor="text1"/>
          <w:sz w:val="22"/>
          <w:szCs w:val="22"/>
          <w:highlight w:val="none"/>
          <w14:textFill>
            <w14:solidFill>
              <w14:schemeClr w14:val="tx1"/>
            </w14:solidFill>
          </w14:textFill>
        </w:rPr>
        <w:t>负责委托具备资质的第三方鉴定机构鉴定，并承担鉴定所需费用（包括但不限于鉴定费）。</w:t>
      </w:r>
    </w:p>
    <w:p w14:paraId="57C2FBFD">
      <w:pPr>
        <w:keepNext w:val="0"/>
        <w:keepLines w:val="0"/>
        <w:pageBreakBefore w:val="0"/>
        <w:widowControl w:val="0"/>
        <w:kinsoku/>
        <w:wordWrap/>
        <w:overflowPunct/>
        <w:topLinePunct w:val="0"/>
        <w:autoSpaceDE/>
        <w:autoSpaceDN/>
        <w:bidi w:val="0"/>
        <w:adjustRightInd w:val="0"/>
        <w:snapToGrid/>
        <w:spacing w:line="460" w:lineRule="atLeast"/>
        <w:ind w:firstLine="440" w:firstLineChars="200"/>
        <w:textAlignment w:val="auto"/>
        <w:rPr>
          <w:rFonts w:hint="eastAsia" w:ascii="宋体" w:eastAsia="宋体"/>
          <w:b w:val="0"/>
          <w:color w:val="000000" w:themeColor="text1"/>
          <w:sz w:val="22"/>
          <w:szCs w:val="22"/>
          <w:highlight w:val="none"/>
          <w14:textFill>
            <w14:solidFill>
              <w14:schemeClr w14:val="tx1"/>
            </w14:solidFill>
          </w14:textFill>
        </w:rPr>
      </w:pPr>
      <w:r>
        <w:rPr>
          <w:rFonts w:hint="eastAsia" w:ascii="宋体" w:eastAsia="宋体"/>
          <w:b w:val="0"/>
          <w:color w:val="000000" w:themeColor="text1"/>
          <w:sz w:val="22"/>
          <w:szCs w:val="22"/>
          <w:highlight w:val="none"/>
          <w14:textFill>
            <w14:solidFill>
              <w14:schemeClr w14:val="tx1"/>
            </w14:solidFill>
          </w14:textFill>
        </w:rPr>
        <w:t>5、</w:t>
      </w:r>
      <w:r>
        <w:rPr>
          <w:rFonts w:hint="eastAsia" w:ascii="宋体"/>
          <w:b w:val="0"/>
          <w:color w:val="000000" w:themeColor="text1"/>
          <w:sz w:val="22"/>
          <w:szCs w:val="22"/>
          <w:highlight w:val="none"/>
          <w:lang w:eastAsia="zh-CN"/>
          <w14:textFill>
            <w14:solidFill>
              <w14:schemeClr w14:val="tx1"/>
            </w14:solidFill>
          </w14:textFill>
        </w:rPr>
        <w:t>中标供应商</w:t>
      </w:r>
      <w:r>
        <w:rPr>
          <w:rFonts w:hint="eastAsia" w:ascii="宋体" w:eastAsia="宋体"/>
          <w:b w:val="0"/>
          <w:color w:val="000000" w:themeColor="text1"/>
          <w:sz w:val="22"/>
          <w:szCs w:val="22"/>
          <w:highlight w:val="none"/>
          <w14:textFill>
            <w14:solidFill>
              <w14:schemeClr w14:val="tx1"/>
            </w14:solidFill>
          </w14:textFill>
        </w:rPr>
        <w:t>未按合同约定提供保修期服务的，</w:t>
      </w:r>
      <w:r>
        <w:rPr>
          <w:rFonts w:hint="eastAsia" w:ascii="宋体"/>
          <w:b w:val="0"/>
          <w:color w:val="000000" w:themeColor="text1"/>
          <w:sz w:val="22"/>
          <w:szCs w:val="22"/>
          <w:highlight w:val="none"/>
          <w:lang w:eastAsia="zh-CN"/>
          <w14:textFill>
            <w14:solidFill>
              <w14:schemeClr w14:val="tx1"/>
            </w14:solidFill>
          </w14:textFill>
        </w:rPr>
        <w:t>采购人</w:t>
      </w:r>
      <w:r>
        <w:rPr>
          <w:rFonts w:hint="eastAsia" w:ascii="宋体" w:eastAsia="宋体"/>
          <w:b w:val="0"/>
          <w:color w:val="000000" w:themeColor="text1"/>
          <w:sz w:val="22"/>
          <w:szCs w:val="22"/>
          <w:highlight w:val="none"/>
          <w14:textFill>
            <w14:solidFill>
              <w14:schemeClr w14:val="tx1"/>
            </w14:solidFill>
          </w14:textFill>
        </w:rPr>
        <w:t>有权另行委托第三方进行保修，由此产生的所有相关费用均由</w:t>
      </w:r>
      <w:r>
        <w:rPr>
          <w:rFonts w:hint="eastAsia" w:ascii="宋体"/>
          <w:b w:val="0"/>
          <w:color w:val="000000" w:themeColor="text1"/>
          <w:sz w:val="22"/>
          <w:szCs w:val="22"/>
          <w:highlight w:val="none"/>
          <w:lang w:eastAsia="zh-CN"/>
          <w14:textFill>
            <w14:solidFill>
              <w14:schemeClr w14:val="tx1"/>
            </w14:solidFill>
          </w14:textFill>
        </w:rPr>
        <w:t>中标供应商</w:t>
      </w:r>
      <w:r>
        <w:rPr>
          <w:rFonts w:hint="eastAsia" w:ascii="宋体" w:eastAsia="宋体"/>
          <w:b w:val="0"/>
          <w:color w:val="000000" w:themeColor="text1"/>
          <w:sz w:val="22"/>
          <w:szCs w:val="22"/>
          <w:highlight w:val="none"/>
          <w14:textFill>
            <w14:solidFill>
              <w14:schemeClr w14:val="tx1"/>
            </w14:solidFill>
          </w14:textFill>
        </w:rPr>
        <w:t>承担。</w:t>
      </w:r>
    </w:p>
    <w:p w14:paraId="4C5B69BE">
      <w:pPr>
        <w:keepNext w:val="0"/>
        <w:keepLines w:val="0"/>
        <w:pageBreakBefore w:val="0"/>
        <w:widowControl w:val="0"/>
        <w:kinsoku/>
        <w:wordWrap/>
        <w:overflowPunct/>
        <w:topLinePunct w:val="0"/>
        <w:autoSpaceDE/>
        <w:autoSpaceDN/>
        <w:bidi w:val="0"/>
        <w:adjustRightInd w:val="0"/>
        <w:snapToGrid/>
        <w:spacing w:line="460" w:lineRule="atLeast"/>
        <w:ind w:firstLine="440" w:firstLineChars="200"/>
        <w:textAlignment w:val="auto"/>
        <w:rPr>
          <w:rFonts w:hint="eastAsia" w:ascii="宋体" w:eastAsia="宋体"/>
          <w:b w:val="0"/>
          <w:color w:val="000000" w:themeColor="text1"/>
          <w:sz w:val="22"/>
          <w:szCs w:val="22"/>
          <w:highlight w:val="none"/>
          <w14:textFill>
            <w14:solidFill>
              <w14:schemeClr w14:val="tx1"/>
            </w14:solidFill>
          </w14:textFill>
        </w:rPr>
      </w:pPr>
      <w:r>
        <w:rPr>
          <w:rFonts w:hint="eastAsia" w:ascii="宋体" w:eastAsia="宋体"/>
          <w:b w:val="0"/>
          <w:color w:val="000000" w:themeColor="text1"/>
          <w:sz w:val="22"/>
          <w:szCs w:val="22"/>
          <w:highlight w:val="none"/>
          <w14:textFill>
            <w14:solidFill>
              <w14:schemeClr w14:val="tx1"/>
            </w14:solidFill>
          </w14:textFill>
        </w:rPr>
        <w:t>6、</w:t>
      </w:r>
      <w:r>
        <w:rPr>
          <w:rFonts w:hint="eastAsia" w:ascii="宋体"/>
          <w:b w:val="0"/>
          <w:color w:val="000000" w:themeColor="text1"/>
          <w:sz w:val="22"/>
          <w:szCs w:val="22"/>
          <w:highlight w:val="none"/>
          <w:lang w:eastAsia="zh-CN"/>
          <w14:textFill>
            <w14:solidFill>
              <w14:schemeClr w14:val="tx1"/>
            </w14:solidFill>
          </w14:textFill>
        </w:rPr>
        <w:t>中标供应商</w:t>
      </w:r>
      <w:r>
        <w:rPr>
          <w:rFonts w:hint="eastAsia" w:ascii="宋体" w:eastAsia="宋体"/>
          <w:b w:val="0"/>
          <w:color w:val="000000" w:themeColor="text1"/>
          <w:sz w:val="22"/>
          <w:szCs w:val="22"/>
          <w:highlight w:val="none"/>
          <w14:textFill>
            <w14:solidFill>
              <w14:schemeClr w14:val="tx1"/>
            </w14:solidFill>
          </w14:textFill>
        </w:rPr>
        <w:t>保证为</w:t>
      </w:r>
      <w:r>
        <w:rPr>
          <w:rFonts w:hint="eastAsia" w:ascii="宋体"/>
          <w:b w:val="0"/>
          <w:color w:val="000000" w:themeColor="text1"/>
          <w:sz w:val="22"/>
          <w:szCs w:val="22"/>
          <w:highlight w:val="none"/>
          <w:lang w:eastAsia="zh-CN"/>
          <w14:textFill>
            <w14:solidFill>
              <w14:schemeClr w14:val="tx1"/>
            </w14:solidFill>
          </w14:textFill>
        </w:rPr>
        <w:t>采购人</w:t>
      </w:r>
      <w:r>
        <w:rPr>
          <w:rFonts w:hint="eastAsia" w:ascii="宋体" w:eastAsia="宋体"/>
          <w:b w:val="0"/>
          <w:color w:val="000000" w:themeColor="text1"/>
          <w:sz w:val="22"/>
          <w:szCs w:val="22"/>
          <w:highlight w:val="none"/>
          <w14:textFill>
            <w14:solidFill>
              <w14:schemeClr w14:val="tx1"/>
            </w14:solidFill>
          </w14:textFill>
        </w:rPr>
        <w:t>所提供的产品具有自主知识产权或取得完整合法的授权，如</w:t>
      </w:r>
      <w:r>
        <w:rPr>
          <w:rFonts w:hint="eastAsia" w:ascii="宋体"/>
          <w:b w:val="0"/>
          <w:color w:val="000000" w:themeColor="text1"/>
          <w:sz w:val="22"/>
          <w:szCs w:val="22"/>
          <w:highlight w:val="none"/>
          <w:lang w:eastAsia="zh-CN"/>
          <w14:textFill>
            <w14:solidFill>
              <w14:schemeClr w14:val="tx1"/>
            </w14:solidFill>
          </w14:textFill>
        </w:rPr>
        <w:t>采购人</w:t>
      </w:r>
      <w:r>
        <w:rPr>
          <w:rFonts w:hint="eastAsia" w:ascii="宋体" w:eastAsia="宋体"/>
          <w:b w:val="0"/>
          <w:color w:val="000000" w:themeColor="text1"/>
          <w:sz w:val="22"/>
          <w:szCs w:val="22"/>
          <w:highlight w:val="none"/>
          <w14:textFill>
            <w14:solidFill>
              <w14:schemeClr w14:val="tx1"/>
            </w14:solidFill>
          </w14:textFill>
        </w:rPr>
        <w:t>购买的产品造成对任何专利权、商标权、著作权等权利的侵犯，</w:t>
      </w:r>
      <w:r>
        <w:rPr>
          <w:rFonts w:hint="eastAsia" w:ascii="宋体"/>
          <w:b w:val="0"/>
          <w:color w:val="000000" w:themeColor="text1"/>
          <w:sz w:val="22"/>
          <w:szCs w:val="22"/>
          <w:highlight w:val="none"/>
          <w:lang w:eastAsia="zh-CN"/>
          <w14:textFill>
            <w14:solidFill>
              <w14:schemeClr w14:val="tx1"/>
            </w14:solidFill>
          </w14:textFill>
        </w:rPr>
        <w:t>采购人</w:t>
      </w:r>
      <w:r>
        <w:rPr>
          <w:rFonts w:hint="eastAsia" w:ascii="宋体" w:eastAsia="宋体"/>
          <w:b w:val="0"/>
          <w:color w:val="000000" w:themeColor="text1"/>
          <w:sz w:val="22"/>
          <w:szCs w:val="22"/>
          <w:highlight w:val="none"/>
          <w14:textFill>
            <w14:solidFill>
              <w14:schemeClr w14:val="tx1"/>
            </w14:solidFill>
          </w14:textFill>
        </w:rPr>
        <w:t>由此遭受损失的，由</w:t>
      </w:r>
      <w:r>
        <w:rPr>
          <w:rFonts w:hint="eastAsia" w:ascii="宋体"/>
          <w:b w:val="0"/>
          <w:color w:val="000000" w:themeColor="text1"/>
          <w:sz w:val="22"/>
          <w:szCs w:val="22"/>
          <w:highlight w:val="none"/>
          <w:lang w:eastAsia="zh-CN"/>
          <w14:textFill>
            <w14:solidFill>
              <w14:schemeClr w14:val="tx1"/>
            </w14:solidFill>
          </w14:textFill>
        </w:rPr>
        <w:t>中标供应商</w:t>
      </w:r>
      <w:r>
        <w:rPr>
          <w:rFonts w:hint="eastAsia" w:ascii="宋体" w:eastAsia="宋体"/>
          <w:b w:val="0"/>
          <w:color w:val="000000" w:themeColor="text1"/>
          <w:sz w:val="22"/>
          <w:szCs w:val="22"/>
          <w:highlight w:val="none"/>
          <w14:textFill>
            <w14:solidFill>
              <w14:schemeClr w14:val="tx1"/>
            </w14:solidFill>
          </w14:textFill>
        </w:rPr>
        <w:t>承担。</w:t>
      </w:r>
    </w:p>
    <w:p w14:paraId="68FA0305">
      <w:pPr>
        <w:keepNext w:val="0"/>
        <w:keepLines w:val="0"/>
        <w:pageBreakBefore w:val="0"/>
        <w:widowControl w:val="0"/>
        <w:kinsoku/>
        <w:wordWrap/>
        <w:overflowPunct/>
        <w:topLinePunct w:val="0"/>
        <w:autoSpaceDE/>
        <w:autoSpaceDN/>
        <w:bidi w:val="0"/>
        <w:adjustRightInd w:val="0"/>
        <w:snapToGrid/>
        <w:spacing w:line="460" w:lineRule="atLeast"/>
        <w:ind w:firstLine="440" w:firstLineChars="200"/>
        <w:textAlignment w:val="auto"/>
        <w:rPr>
          <w:rFonts w:hint="eastAsia" w:ascii="宋体" w:eastAsia="宋体"/>
          <w:b w:val="0"/>
          <w:color w:val="000000" w:themeColor="text1"/>
          <w:sz w:val="22"/>
          <w:szCs w:val="22"/>
          <w:highlight w:val="none"/>
          <w14:textFill>
            <w14:solidFill>
              <w14:schemeClr w14:val="tx1"/>
            </w14:solidFill>
          </w14:textFill>
        </w:rPr>
      </w:pPr>
      <w:r>
        <w:rPr>
          <w:rFonts w:hint="eastAsia" w:ascii="宋体" w:eastAsia="宋体"/>
          <w:b w:val="0"/>
          <w:color w:val="000000" w:themeColor="text1"/>
          <w:sz w:val="22"/>
          <w:szCs w:val="22"/>
          <w:highlight w:val="none"/>
          <w14:textFill>
            <w14:solidFill>
              <w14:schemeClr w14:val="tx1"/>
            </w14:solidFill>
          </w14:textFill>
        </w:rPr>
        <w:t>7、合同内耗材的价格和实际采购价不一致时，采取就低不就高原则。</w:t>
      </w:r>
    </w:p>
    <w:p w14:paraId="74759C57">
      <w:pPr>
        <w:keepNext w:val="0"/>
        <w:keepLines w:val="0"/>
        <w:pageBreakBefore w:val="0"/>
        <w:widowControl w:val="0"/>
        <w:kinsoku/>
        <w:wordWrap/>
        <w:overflowPunct/>
        <w:topLinePunct w:val="0"/>
        <w:autoSpaceDE/>
        <w:autoSpaceDN/>
        <w:bidi w:val="0"/>
        <w:adjustRightInd w:val="0"/>
        <w:snapToGrid/>
        <w:spacing w:line="460" w:lineRule="atLeast"/>
        <w:ind w:firstLine="440" w:firstLineChars="200"/>
        <w:textAlignment w:val="auto"/>
        <w:rPr>
          <w:rFonts w:hint="eastAsia" w:ascii="宋体" w:eastAsia="宋体"/>
          <w:b w:val="0"/>
          <w:color w:val="000000" w:themeColor="text1"/>
          <w:sz w:val="22"/>
          <w:szCs w:val="22"/>
          <w:highlight w:val="none"/>
          <w14:textFill>
            <w14:solidFill>
              <w14:schemeClr w14:val="tx1"/>
            </w14:solidFill>
          </w14:textFill>
        </w:rPr>
      </w:pPr>
      <w:r>
        <w:rPr>
          <w:rFonts w:hint="eastAsia" w:ascii="宋体" w:eastAsia="宋体"/>
          <w:b w:val="0"/>
          <w:color w:val="000000" w:themeColor="text1"/>
          <w:sz w:val="22"/>
          <w:szCs w:val="22"/>
          <w:highlight w:val="none"/>
          <w14:textFill>
            <w14:solidFill>
              <w14:schemeClr w14:val="tx1"/>
            </w14:solidFill>
          </w14:textFill>
        </w:rPr>
        <w:t>8.</w:t>
      </w:r>
      <w:r>
        <w:rPr>
          <w:rFonts w:hint="eastAsia" w:ascii="宋体"/>
          <w:b w:val="0"/>
          <w:color w:val="000000" w:themeColor="text1"/>
          <w:sz w:val="22"/>
          <w:szCs w:val="22"/>
          <w:highlight w:val="none"/>
          <w:lang w:eastAsia="zh-CN"/>
          <w14:textFill>
            <w14:solidFill>
              <w14:schemeClr w14:val="tx1"/>
            </w14:solidFill>
          </w14:textFill>
        </w:rPr>
        <w:t>中标供应商</w:t>
      </w:r>
      <w:r>
        <w:rPr>
          <w:rFonts w:hint="eastAsia" w:ascii="宋体" w:eastAsia="宋体"/>
          <w:b w:val="0"/>
          <w:color w:val="000000" w:themeColor="text1"/>
          <w:sz w:val="22"/>
          <w:szCs w:val="22"/>
          <w:highlight w:val="none"/>
          <w14:textFill>
            <w14:solidFill>
              <w14:schemeClr w14:val="tx1"/>
            </w14:solidFill>
          </w14:textFill>
        </w:rPr>
        <w:t>保证为</w:t>
      </w:r>
      <w:r>
        <w:rPr>
          <w:rFonts w:hint="eastAsia" w:ascii="宋体"/>
          <w:b w:val="0"/>
          <w:color w:val="000000" w:themeColor="text1"/>
          <w:sz w:val="22"/>
          <w:szCs w:val="22"/>
          <w:highlight w:val="none"/>
          <w:lang w:eastAsia="zh-CN"/>
          <w14:textFill>
            <w14:solidFill>
              <w14:schemeClr w14:val="tx1"/>
            </w14:solidFill>
          </w14:textFill>
        </w:rPr>
        <w:t>采购人</w:t>
      </w:r>
      <w:r>
        <w:rPr>
          <w:rFonts w:hint="eastAsia" w:ascii="宋体" w:eastAsia="宋体"/>
          <w:b w:val="0"/>
          <w:color w:val="000000" w:themeColor="text1"/>
          <w:sz w:val="22"/>
          <w:szCs w:val="22"/>
          <w:highlight w:val="none"/>
          <w14:textFill>
            <w14:solidFill>
              <w14:schemeClr w14:val="tx1"/>
            </w14:solidFill>
          </w14:textFill>
        </w:rPr>
        <w:t>所提供的产品具有自主知识产权或取得完整合法的授权，如</w:t>
      </w:r>
      <w:r>
        <w:rPr>
          <w:rFonts w:hint="eastAsia" w:ascii="宋体"/>
          <w:b w:val="0"/>
          <w:color w:val="000000" w:themeColor="text1"/>
          <w:sz w:val="22"/>
          <w:szCs w:val="22"/>
          <w:highlight w:val="none"/>
          <w:lang w:eastAsia="zh-CN"/>
          <w14:textFill>
            <w14:solidFill>
              <w14:schemeClr w14:val="tx1"/>
            </w14:solidFill>
          </w14:textFill>
        </w:rPr>
        <w:t>采购人</w:t>
      </w:r>
      <w:r>
        <w:rPr>
          <w:rFonts w:hint="eastAsia" w:ascii="宋体" w:eastAsia="宋体"/>
          <w:b w:val="0"/>
          <w:color w:val="000000" w:themeColor="text1"/>
          <w:sz w:val="22"/>
          <w:szCs w:val="22"/>
          <w:highlight w:val="none"/>
          <w14:textFill>
            <w14:solidFill>
              <w14:schemeClr w14:val="tx1"/>
            </w14:solidFill>
          </w14:textFill>
        </w:rPr>
        <w:t>购买的产品造成对任何专利权、商标权、著作权等权利的侵犯，</w:t>
      </w:r>
      <w:r>
        <w:rPr>
          <w:rFonts w:hint="eastAsia" w:ascii="宋体"/>
          <w:b w:val="0"/>
          <w:color w:val="000000" w:themeColor="text1"/>
          <w:sz w:val="22"/>
          <w:szCs w:val="22"/>
          <w:highlight w:val="none"/>
          <w:lang w:eastAsia="zh-CN"/>
          <w14:textFill>
            <w14:solidFill>
              <w14:schemeClr w14:val="tx1"/>
            </w14:solidFill>
          </w14:textFill>
        </w:rPr>
        <w:t>采购人</w:t>
      </w:r>
      <w:r>
        <w:rPr>
          <w:rFonts w:hint="eastAsia" w:ascii="宋体" w:eastAsia="宋体"/>
          <w:b w:val="0"/>
          <w:color w:val="000000" w:themeColor="text1"/>
          <w:sz w:val="22"/>
          <w:szCs w:val="22"/>
          <w:highlight w:val="none"/>
          <w14:textFill>
            <w14:solidFill>
              <w14:schemeClr w14:val="tx1"/>
            </w14:solidFill>
          </w14:textFill>
        </w:rPr>
        <w:t>由此遭受损失的，由供方承担。</w:t>
      </w:r>
    </w:p>
    <w:p w14:paraId="0D4B12E9">
      <w:pPr>
        <w:keepNext w:val="0"/>
        <w:keepLines w:val="0"/>
        <w:pageBreakBefore w:val="0"/>
        <w:widowControl w:val="0"/>
        <w:kinsoku/>
        <w:wordWrap/>
        <w:overflowPunct/>
        <w:topLinePunct w:val="0"/>
        <w:autoSpaceDE/>
        <w:autoSpaceDN/>
        <w:bidi w:val="0"/>
        <w:adjustRightInd w:val="0"/>
        <w:snapToGrid/>
        <w:spacing w:line="460" w:lineRule="atLeast"/>
        <w:ind w:firstLine="440" w:firstLineChars="200"/>
        <w:textAlignment w:val="auto"/>
        <w:rPr>
          <w:rFonts w:hint="eastAsia" w:ascii="宋体" w:eastAsia="宋体"/>
          <w:b w:val="0"/>
          <w:color w:val="000000" w:themeColor="text1"/>
          <w:sz w:val="22"/>
          <w:szCs w:val="22"/>
          <w:highlight w:val="none"/>
          <w14:textFill>
            <w14:solidFill>
              <w14:schemeClr w14:val="tx1"/>
            </w14:solidFill>
          </w14:textFill>
        </w:rPr>
      </w:pPr>
      <w:r>
        <w:rPr>
          <w:rFonts w:hint="eastAsia" w:ascii="宋体" w:eastAsia="宋体"/>
          <w:b w:val="0"/>
          <w:color w:val="000000" w:themeColor="text1"/>
          <w:sz w:val="22"/>
          <w:szCs w:val="22"/>
          <w:highlight w:val="none"/>
          <w14:textFill>
            <w14:solidFill>
              <w14:schemeClr w14:val="tx1"/>
            </w14:solidFill>
          </w14:textFill>
        </w:rPr>
        <w:t>9、双方需签署购《医疗卫生机构医药产品廉洁购销合同》，详见附件。</w:t>
      </w:r>
    </w:p>
    <w:p w14:paraId="03A9C61B">
      <w:pPr>
        <w:keepNext w:val="0"/>
        <w:keepLines w:val="0"/>
        <w:pageBreakBefore w:val="0"/>
        <w:widowControl w:val="0"/>
        <w:kinsoku/>
        <w:wordWrap/>
        <w:overflowPunct/>
        <w:topLinePunct w:val="0"/>
        <w:autoSpaceDE/>
        <w:autoSpaceDN/>
        <w:bidi w:val="0"/>
        <w:adjustRightInd w:val="0"/>
        <w:snapToGrid/>
        <w:spacing w:line="460" w:lineRule="atLeast"/>
        <w:ind w:firstLine="440" w:firstLineChars="200"/>
        <w:textAlignment w:val="auto"/>
        <w:rPr>
          <w:rFonts w:hint="eastAsia" w:ascii="宋体" w:eastAsia="宋体"/>
          <w:b w:val="0"/>
          <w:color w:val="000000" w:themeColor="text1"/>
          <w:sz w:val="22"/>
          <w:szCs w:val="22"/>
          <w:highlight w:val="none"/>
          <w14:textFill>
            <w14:solidFill>
              <w14:schemeClr w14:val="tx1"/>
            </w14:solidFill>
          </w14:textFill>
        </w:rPr>
      </w:pPr>
      <w:r>
        <w:rPr>
          <w:rFonts w:hint="eastAsia" w:ascii="宋体" w:eastAsia="宋体"/>
          <w:b w:val="0"/>
          <w:color w:val="000000" w:themeColor="text1"/>
          <w:sz w:val="22"/>
          <w:szCs w:val="22"/>
          <w:highlight w:val="none"/>
          <w14:textFill>
            <w14:solidFill>
              <w14:schemeClr w14:val="tx1"/>
            </w14:solidFill>
          </w14:textFill>
        </w:rPr>
        <w:t>10、招投标及合同中凡涉及项目的有关信息，不得透露给第三方。</w:t>
      </w:r>
    </w:p>
    <w:p w14:paraId="43AD7CF4">
      <w:pPr>
        <w:keepNext w:val="0"/>
        <w:keepLines w:val="0"/>
        <w:pageBreakBefore w:val="0"/>
        <w:widowControl w:val="0"/>
        <w:kinsoku/>
        <w:wordWrap/>
        <w:overflowPunct/>
        <w:topLinePunct w:val="0"/>
        <w:autoSpaceDE/>
        <w:autoSpaceDN/>
        <w:bidi w:val="0"/>
        <w:adjustRightInd w:val="0"/>
        <w:snapToGrid/>
        <w:spacing w:line="460" w:lineRule="atLeast"/>
        <w:ind w:firstLine="440" w:firstLineChars="200"/>
        <w:textAlignment w:val="auto"/>
        <w:rPr>
          <w:rFonts w:hint="eastAsia" w:ascii="宋体" w:eastAsia="宋体"/>
          <w:b w:val="0"/>
          <w:color w:val="000000" w:themeColor="text1"/>
          <w:sz w:val="22"/>
          <w:szCs w:val="22"/>
          <w:highlight w:val="none"/>
          <w14:textFill>
            <w14:solidFill>
              <w14:schemeClr w14:val="tx1"/>
            </w14:solidFill>
          </w14:textFill>
        </w:rPr>
      </w:pPr>
      <w:r>
        <w:rPr>
          <w:rFonts w:hint="eastAsia" w:ascii="宋体" w:eastAsia="宋体"/>
          <w:b w:val="0"/>
          <w:color w:val="000000" w:themeColor="text1"/>
          <w:sz w:val="22"/>
          <w:szCs w:val="22"/>
          <w:highlight w:val="none"/>
          <w14:textFill>
            <w14:solidFill>
              <w14:schemeClr w14:val="tx1"/>
            </w14:solidFill>
          </w14:textFill>
        </w:rPr>
        <w:t>11、本文所称“一切损失”“一切费用”“一切直接损失”“一切直接损失和费用”等类同表述的含义相同，均指包括但不限于差旅费、调查费、保全费、担保费、诉讼费、律师费、公证费、执行费、赔偿金、补偿金的相关费用。</w:t>
      </w:r>
    </w:p>
    <w:p w14:paraId="4192D3C2">
      <w:pPr>
        <w:spacing w:line="460" w:lineRule="atLeast"/>
        <w:rPr>
          <w:rFonts w:hint="eastAsia" w:ascii="宋体" w:eastAsia="宋体"/>
          <w:b w:val="0"/>
          <w:bCs w:val="0"/>
          <w:color w:val="000000" w:themeColor="text1"/>
          <w:sz w:val="22"/>
          <w:szCs w:val="22"/>
          <w:highlight w:val="none"/>
          <w14:textFill>
            <w14:solidFill>
              <w14:schemeClr w14:val="tx1"/>
            </w14:solidFill>
          </w14:textFill>
        </w:rPr>
      </w:pPr>
      <w:r>
        <w:rPr>
          <w:rFonts w:hint="eastAsia" w:ascii="宋体" w:eastAsia="宋体"/>
          <w:b w:val="0"/>
          <w:bCs w:val="0"/>
          <w:color w:val="000000" w:themeColor="text1"/>
          <w:sz w:val="22"/>
          <w:szCs w:val="22"/>
          <w:highlight w:val="none"/>
          <w14:textFill>
            <w14:solidFill>
              <w14:schemeClr w14:val="tx1"/>
            </w14:solidFill>
          </w14:textFill>
        </w:rPr>
        <w:t>第十</w:t>
      </w:r>
      <w:r>
        <w:rPr>
          <w:rFonts w:hint="eastAsia" w:ascii="宋体"/>
          <w:b w:val="0"/>
          <w:bCs w:val="0"/>
          <w:color w:val="000000" w:themeColor="text1"/>
          <w:sz w:val="22"/>
          <w:szCs w:val="22"/>
          <w:highlight w:val="none"/>
          <w:lang w:eastAsia="zh-CN"/>
          <w14:textFill>
            <w14:solidFill>
              <w14:schemeClr w14:val="tx1"/>
            </w14:solidFill>
          </w14:textFill>
        </w:rPr>
        <w:t>七</w:t>
      </w:r>
      <w:r>
        <w:rPr>
          <w:rFonts w:hint="eastAsia" w:ascii="宋体" w:eastAsia="宋体"/>
          <w:b w:val="0"/>
          <w:bCs w:val="0"/>
          <w:color w:val="000000" w:themeColor="text1"/>
          <w:sz w:val="22"/>
          <w:szCs w:val="22"/>
          <w:highlight w:val="none"/>
          <w14:textFill>
            <w14:solidFill>
              <w14:schemeClr w14:val="tx1"/>
            </w14:solidFill>
          </w14:textFill>
        </w:rPr>
        <w:t>条：合同转让和分包</w:t>
      </w:r>
    </w:p>
    <w:p w14:paraId="7D88AC4F">
      <w:pPr>
        <w:spacing w:line="460" w:lineRule="atLeast"/>
        <w:rPr>
          <w:rFonts w:hint="eastAsia" w:ascii="宋体" w:eastAsia="宋体"/>
          <w:b w:val="0"/>
          <w:color w:val="000000" w:themeColor="text1"/>
          <w:sz w:val="22"/>
          <w:szCs w:val="22"/>
          <w:highlight w:val="none"/>
          <w14:textFill>
            <w14:solidFill>
              <w14:schemeClr w14:val="tx1"/>
            </w14:solidFill>
          </w14:textFill>
        </w:rPr>
      </w:pPr>
      <w:r>
        <w:rPr>
          <w:rFonts w:hint="eastAsia" w:ascii="宋体" w:eastAsia="宋体"/>
          <w:b w:val="0"/>
          <w:color w:val="000000" w:themeColor="text1"/>
          <w:sz w:val="22"/>
          <w:szCs w:val="22"/>
          <w:highlight w:val="none"/>
          <w14:textFill>
            <w14:solidFill>
              <w14:schemeClr w14:val="tx1"/>
            </w14:solidFill>
          </w14:textFill>
        </w:rPr>
        <w:t xml:space="preserve">    除采购人事先书面同意外，中标供应商不得转让和分包其应履行的合同义务。</w:t>
      </w:r>
    </w:p>
    <w:p w14:paraId="326B6F9A">
      <w:pPr>
        <w:spacing w:line="460" w:lineRule="atLeast"/>
        <w:rPr>
          <w:rFonts w:hint="eastAsia" w:ascii="宋体" w:eastAsia="宋体"/>
          <w:b w:val="0"/>
          <w:bCs w:val="0"/>
          <w:color w:val="000000" w:themeColor="text1"/>
          <w:sz w:val="22"/>
          <w:szCs w:val="22"/>
          <w:highlight w:val="none"/>
          <w14:textFill>
            <w14:solidFill>
              <w14:schemeClr w14:val="tx1"/>
            </w14:solidFill>
          </w14:textFill>
        </w:rPr>
      </w:pPr>
      <w:r>
        <w:rPr>
          <w:rFonts w:hint="eastAsia" w:ascii="宋体" w:eastAsia="宋体"/>
          <w:b w:val="0"/>
          <w:bCs w:val="0"/>
          <w:color w:val="000000" w:themeColor="text1"/>
          <w:sz w:val="22"/>
          <w:szCs w:val="22"/>
          <w:highlight w:val="none"/>
          <w14:textFill>
            <w14:solidFill>
              <w14:schemeClr w14:val="tx1"/>
            </w14:solidFill>
          </w14:textFill>
        </w:rPr>
        <w:t>第十</w:t>
      </w:r>
      <w:r>
        <w:rPr>
          <w:rFonts w:hint="eastAsia" w:ascii="宋体"/>
          <w:b w:val="0"/>
          <w:bCs w:val="0"/>
          <w:color w:val="000000" w:themeColor="text1"/>
          <w:sz w:val="22"/>
          <w:szCs w:val="22"/>
          <w:highlight w:val="none"/>
          <w:lang w:eastAsia="zh-CN"/>
          <w14:textFill>
            <w14:solidFill>
              <w14:schemeClr w14:val="tx1"/>
            </w14:solidFill>
          </w14:textFill>
        </w:rPr>
        <w:t>八</w:t>
      </w:r>
      <w:r>
        <w:rPr>
          <w:rFonts w:hint="eastAsia" w:ascii="宋体" w:eastAsia="宋体"/>
          <w:b w:val="0"/>
          <w:bCs w:val="0"/>
          <w:color w:val="000000" w:themeColor="text1"/>
          <w:sz w:val="22"/>
          <w:szCs w:val="22"/>
          <w:highlight w:val="none"/>
          <w14:textFill>
            <w14:solidFill>
              <w14:schemeClr w14:val="tx1"/>
            </w14:solidFill>
          </w14:textFill>
        </w:rPr>
        <w:t>条：合同生效</w:t>
      </w:r>
    </w:p>
    <w:p w14:paraId="4ED1137E">
      <w:pPr>
        <w:pStyle w:val="33"/>
        <w:spacing w:line="460" w:lineRule="atLeast"/>
        <w:ind w:firstLine="480"/>
        <w:rPr>
          <w:rFonts w:hint="eastAsia" w:hAnsi="宋体" w:eastAsia="宋体"/>
          <w:b w:val="0"/>
          <w:color w:val="000000" w:themeColor="text1"/>
          <w:sz w:val="22"/>
          <w:szCs w:val="22"/>
          <w:highlight w:val="none"/>
          <w14:textFill>
            <w14:solidFill>
              <w14:schemeClr w14:val="tx1"/>
            </w14:solidFill>
          </w14:textFill>
        </w:rPr>
      </w:pPr>
      <w:r>
        <w:rPr>
          <w:rFonts w:hint="eastAsia" w:hAnsi="宋体" w:eastAsia="宋体"/>
          <w:b w:val="0"/>
          <w:color w:val="000000" w:themeColor="text1"/>
          <w:sz w:val="22"/>
          <w:szCs w:val="22"/>
          <w:highlight w:val="none"/>
          <w14:textFill>
            <w14:solidFill>
              <w14:schemeClr w14:val="tx1"/>
            </w14:solidFill>
          </w14:textFill>
        </w:rPr>
        <w:t>1、如上述文件与本合同有不符之处，以有利于采购人的为准。</w:t>
      </w:r>
    </w:p>
    <w:p w14:paraId="2D33543B">
      <w:pPr>
        <w:pStyle w:val="33"/>
        <w:spacing w:line="460" w:lineRule="atLeast"/>
        <w:ind w:firstLine="480"/>
        <w:rPr>
          <w:rFonts w:hint="eastAsia" w:hAnsi="宋体" w:eastAsia="宋体"/>
          <w:b w:val="0"/>
          <w:color w:val="000000" w:themeColor="text1"/>
          <w:sz w:val="22"/>
          <w:szCs w:val="22"/>
          <w:highlight w:val="none"/>
          <w14:textFill>
            <w14:solidFill>
              <w14:schemeClr w14:val="tx1"/>
            </w14:solidFill>
          </w14:textFill>
        </w:rPr>
      </w:pPr>
      <w:r>
        <w:rPr>
          <w:rFonts w:hint="eastAsia" w:hAnsi="宋体" w:eastAsia="宋体"/>
          <w:b w:val="0"/>
          <w:color w:val="000000" w:themeColor="text1"/>
          <w:sz w:val="22"/>
          <w:szCs w:val="22"/>
          <w:highlight w:val="none"/>
          <w14:textFill>
            <w14:solidFill>
              <w14:schemeClr w14:val="tx1"/>
            </w14:solidFill>
          </w14:textFill>
        </w:rPr>
        <w:t>2、</w:t>
      </w:r>
      <w:r>
        <w:rPr>
          <w:rFonts w:hint="eastAsia" w:hAnsi="宋体" w:eastAsia="宋体"/>
          <w:color w:val="000000" w:themeColor="text1"/>
          <w:sz w:val="22"/>
          <w:szCs w:val="22"/>
          <w:highlight w:val="none"/>
          <w:u w:val="single"/>
          <w14:textFill>
            <w14:solidFill>
              <w14:schemeClr w14:val="tx1"/>
            </w14:solidFill>
          </w14:textFill>
        </w:rPr>
        <w:t>本合同经双方法定代表人或授权代表签署，采购人及中标供应商加盖印章后生效。</w:t>
      </w:r>
    </w:p>
    <w:p w14:paraId="28A57912">
      <w:pPr>
        <w:spacing w:line="460" w:lineRule="atLeast"/>
        <w:rPr>
          <w:rFonts w:hint="eastAsia" w:ascii="宋体" w:eastAsia="宋体"/>
          <w:b w:val="0"/>
          <w:bCs w:val="0"/>
          <w:color w:val="000000" w:themeColor="text1"/>
          <w:sz w:val="22"/>
          <w:szCs w:val="22"/>
          <w:highlight w:val="none"/>
          <w14:textFill>
            <w14:solidFill>
              <w14:schemeClr w14:val="tx1"/>
            </w14:solidFill>
          </w14:textFill>
        </w:rPr>
      </w:pPr>
      <w:r>
        <w:rPr>
          <w:rFonts w:hint="eastAsia" w:ascii="宋体" w:eastAsia="宋体"/>
          <w:b w:val="0"/>
          <w:bCs w:val="0"/>
          <w:color w:val="000000" w:themeColor="text1"/>
          <w:sz w:val="22"/>
          <w:szCs w:val="22"/>
          <w:highlight w:val="none"/>
          <w14:textFill>
            <w14:solidFill>
              <w14:schemeClr w14:val="tx1"/>
            </w14:solidFill>
          </w14:textFill>
        </w:rPr>
        <w:t>第</w:t>
      </w:r>
      <w:r>
        <w:rPr>
          <w:rFonts w:hint="eastAsia" w:ascii="宋体"/>
          <w:b w:val="0"/>
          <w:bCs w:val="0"/>
          <w:color w:val="000000" w:themeColor="text1"/>
          <w:sz w:val="22"/>
          <w:szCs w:val="22"/>
          <w:highlight w:val="none"/>
          <w:lang w:eastAsia="zh-CN"/>
          <w14:textFill>
            <w14:solidFill>
              <w14:schemeClr w14:val="tx1"/>
            </w14:solidFill>
          </w14:textFill>
        </w:rPr>
        <w:t>十九</w:t>
      </w:r>
      <w:r>
        <w:rPr>
          <w:rFonts w:hint="eastAsia" w:ascii="宋体" w:eastAsia="宋体"/>
          <w:b w:val="0"/>
          <w:bCs w:val="0"/>
          <w:color w:val="000000" w:themeColor="text1"/>
          <w:sz w:val="22"/>
          <w:szCs w:val="22"/>
          <w:highlight w:val="none"/>
          <w14:textFill>
            <w14:solidFill>
              <w14:schemeClr w14:val="tx1"/>
            </w14:solidFill>
          </w14:textFill>
        </w:rPr>
        <w:t>条：合同修改</w:t>
      </w:r>
    </w:p>
    <w:p w14:paraId="1A99EF47">
      <w:pPr>
        <w:spacing w:line="460" w:lineRule="atLeast"/>
        <w:ind w:firstLine="480"/>
        <w:rPr>
          <w:rFonts w:hint="eastAsia" w:ascii="宋体" w:eastAsia="宋体"/>
          <w:b w:val="0"/>
          <w:color w:val="000000" w:themeColor="text1"/>
          <w:sz w:val="22"/>
          <w:szCs w:val="22"/>
          <w:highlight w:val="none"/>
          <w14:textFill>
            <w14:solidFill>
              <w14:schemeClr w14:val="tx1"/>
            </w14:solidFill>
          </w14:textFill>
        </w:rPr>
      </w:pPr>
      <w:r>
        <w:rPr>
          <w:rFonts w:hint="eastAsia" w:ascii="宋体" w:eastAsia="宋体"/>
          <w:b w:val="0"/>
          <w:color w:val="000000" w:themeColor="text1"/>
          <w:sz w:val="22"/>
          <w:szCs w:val="22"/>
          <w:highlight w:val="none"/>
          <w14:textFill>
            <w14:solidFill>
              <w14:schemeClr w14:val="tx1"/>
            </w14:solidFill>
          </w14:textFill>
        </w:rPr>
        <w:t>除了双方签署书面修改合同，并成为本合同不可分割的一部分之外，本合同条件不得有任何变化或修改。</w:t>
      </w:r>
    </w:p>
    <w:p w14:paraId="5A21FAC7">
      <w:pPr>
        <w:pStyle w:val="33"/>
        <w:spacing w:line="460" w:lineRule="atLeast"/>
        <w:rPr>
          <w:rFonts w:hint="eastAsia" w:hAnsi="宋体" w:eastAsia="宋体"/>
          <w:b w:val="0"/>
          <w:bCs w:val="0"/>
          <w:color w:val="000000" w:themeColor="text1"/>
          <w:sz w:val="22"/>
          <w:szCs w:val="22"/>
          <w:highlight w:val="none"/>
          <w14:textFill>
            <w14:solidFill>
              <w14:schemeClr w14:val="tx1"/>
            </w14:solidFill>
          </w14:textFill>
        </w:rPr>
      </w:pPr>
      <w:r>
        <w:rPr>
          <w:rFonts w:hint="eastAsia" w:hAnsi="宋体" w:eastAsia="宋体"/>
          <w:b w:val="0"/>
          <w:bCs w:val="0"/>
          <w:color w:val="000000" w:themeColor="text1"/>
          <w:sz w:val="22"/>
          <w:szCs w:val="22"/>
          <w:highlight w:val="none"/>
          <w14:textFill>
            <w14:solidFill>
              <w14:schemeClr w14:val="tx1"/>
            </w14:solidFill>
          </w14:textFill>
        </w:rPr>
        <w:t>第二十条 合同附件</w:t>
      </w:r>
    </w:p>
    <w:p w14:paraId="5715F046">
      <w:pPr>
        <w:spacing w:line="460" w:lineRule="atLeast"/>
        <w:rPr>
          <w:rFonts w:hint="eastAsia" w:ascii="宋体" w:eastAsia="宋体"/>
          <w:b w:val="0"/>
          <w:color w:val="000000" w:themeColor="text1"/>
          <w:sz w:val="22"/>
          <w:szCs w:val="22"/>
          <w:highlight w:val="none"/>
          <w14:textFill>
            <w14:solidFill>
              <w14:schemeClr w14:val="tx1"/>
            </w14:solidFill>
          </w14:textFill>
        </w:rPr>
      </w:pPr>
      <w:r>
        <w:rPr>
          <w:rFonts w:hint="eastAsia" w:ascii="宋体" w:eastAsia="宋体"/>
          <w:b w:val="0"/>
          <w:color w:val="000000" w:themeColor="text1"/>
          <w:sz w:val="22"/>
          <w:szCs w:val="22"/>
          <w:highlight w:val="none"/>
          <w14:textFill>
            <w14:solidFill>
              <w14:schemeClr w14:val="tx1"/>
            </w14:solidFill>
          </w14:textFill>
        </w:rPr>
        <w:t xml:space="preserve">   合同附件是本主合同不可分割的组成部分，</w:t>
      </w:r>
      <w:r>
        <w:rPr>
          <w:rFonts w:hint="eastAsia" w:ascii="宋体"/>
          <w:b w:val="0"/>
          <w:color w:val="000000" w:themeColor="text1"/>
          <w:sz w:val="22"/>
          <w:szCs w:val="22"/>
          <w:highlight w:val="none"/>
          <w:lang w:eastAsia="zh-CN"/>
          <w14:textFill>
            <w14:solidFill>
              <w14:schemeClr w14:val="tx1"/>
            </w14:solidFill>
          </w14:textFill>
        </w:rPr>
        <w:t>附件及</w:t>
      </w:r>
      <w:r>
        <w:rPr>
          <w:rFonts w:hint="eastAsia" w:ascii="宋体" w:eastAsia="宋体"/>
          <w:b w:val="0"/>
          <w:color w:val="000000" w:themeColor="text1"/>
          <w:sz w:val="22"/>
          <w:szCs w:val="22"/>
          <w:highlight w:val="none"/>
          <w14:textFill>
            <w14:solidFill>
              <w14:schemeClr w14:val="tx1"/>
            </w14:solidFill>
          </w14:textFill>
        </w:rPr>
        <w:t>下列文件与本合同具有同等法律效力：</w:t>
      </w:r>
    </w:p>
    <w:p w14:paraId="51328A62">
      <w:pPr>
        <w:numPr>
          <w:ilvl w:val="0"/>
          <w:numId w:val="5"/>
        </w:numPr>
        <w:spacing w:line="460" w:lineRule="atLeast"/>
        <w:ind w:firstLine="431" w:firstLineChars="196"/>
        <w:rPr>
          <w:rFonts w:hint="eastAsia"/>
          <w:color w:val="000000" w:themeColor="text1"/>
          <w:highlight w:val="none"/>
          <w:lang w:eastAsia="zh-CN"/>
          <w14:textFill>
            <w14:solidFill>
              <w14:schemeClr w14:val="tx1"/>
            </w14:solidFill>
          </w14:textFill>
        </w:rPr>
      </w:pPr>
      <w:r>
        <w:rPr>
          <w:rFonts w:hint="eastAsia" w:ascii="宋体"/>
          <w:b w:val="0"/>
          <w:color w:val="000000" w:themeColor="text1"/>
          <w:sz w:val="22"/>
          <w:szCs w:val="22"/>
          <w:highlight w:val="none"/>
          <w:lang w:eastAsia="zh-CN"/>
          <w14:textFill>
            <w14:solidFill>
              <w14:schemeClr w14:val="tx1"/>
            </w14:solidFill>
          </w14:textFill>
        </w:rPr>
        <w:t>附件</w:t>
      </w:r>
    </w:p>
    <w:p w14:paraId="066571AD">
      <w:pPr>
        <w:spacing w:line="460" w:lineRule="atLeast"/>
        <w:ind w:firstLine="431" w:firstLineChars="196"/>
        <w:rPr>
          <w:rFonts w:hint="eastAsia" w:ascii="宋体"/>
          <w:b w:val="0"/>
          <w:color w:val="000000" w:themeColor="text1"/>
          <w:sz w:val="22"/>
          <w:szCs w:val="22"/>
          <w:highlight w:val="none"/>
          <w:lang w:val="en-US" w:eastAsia="zh-CN"/>
          <w14:textFill>
            <w14:solidFill>
              <w14:schemeClr w14:val="tx1"/>
            </w14:solidFill>
          </w14:textFill>
        </w:rPr>
      </w:pPr>
      <w:r>
        <w:rPr>
          <w:rFonts w:hint="eastAsia" w:ascii="宋体"/>
          <w:b w:val="0"/>
          <w:color w:val="000000" w:themeColor="text1"/>
          <w:sz w:val="22"/>
          <w:szCs w:val="22"/>
          <w:highlight w:val="none"/>
          <w:lang w:val="en-US" w:eastAsia="zh-CN"/>
          <w14:textFill>
            <w14:solidFill>
              <w14:schemeClr w14:val="tx1"/>
            </w14:solidFill>
          </w14:textFill>
        </w:rPr>
        <w:t>附件一：《配置清单》、《随机标准附件、备品备件、零配件、专用工具清单》；</w:t>
      </w:r>
    </w:p>
    <w:p w14:paraId="71930A3B">
      <w:pPr>
        <w:spacing w:line="460" w:lineRule="atLeast"/>
        <w:ind w:firstLine="431" w:firstLineChars="196"/>
        <w:rPr>
          <w:rFonts w:hint="eastAsia" w:ascii="宋体"/>
          <w:b w:val="0"/>
          <w:color w:val="000000" w:themeColor="text1"/>
          <w:sz w:val="22"/>
          <w:szCs w:val="22"/>
          <w:highlight w:val="none"/>
          <w:lang w:val="en-US" w:eastAsia="zh-CN"/>
          <w14:textFill>
            <w14:solidFill>
              <w14:schemeClr w14:val="tx1"/>
            </w14:solidFill>
          </w14:textFill>
        </w:rPr>
      </w:pPr>
      <w:r>
        <w:rPr>
          <w:rFonts w:hint="eastAsia" w:ascii="宋体"/>
          <w:b w:val="0"/>
          <w:color w:val="000000" w:themeColor="text1"/>
          <w:sz w:val="22"/>
          <w:szCs w:val="22"/>
          <w:highlight w:val="none"/>
          <w:lang w:val="en-US" w:eastAsia="zh-CN"/>
          <w14:textFill>
            <w14:solidFill>
              <w14:schemeClr w14:val="tx1"/>
            </w14:solidFill>
          </w14:textFill>
        </w:rPr>
        <w:t>附件二: 《质量保证及售后服务承诺书》；</w:t>
      </w:r>
    </w:p>
    <w:p w14:paraId="1EFE0694">
      <w:pPr>
        <w:spacing w:line="460" w:lineRule="atLeast"/>
        <w:ind w:firstLine="431" w:firstLineChars="196"/>
        <w:rPr>
          <w:rFonts w:hint="eastAsia" w:ascii="宋体"/>
          <w:b w:val="0"/>
          <w:color w:val="000000" w:themeColor="text1"/>
          <w:sz w:val="22"/>
          <w:szCs w:val="22"/>
          <w:highlight w:val="none"/>
          <w:lang w:val="en-US" w:eastAsia="zh-CN"/>
          <w14:textFill>
            <w14:solidFill>
              <w14:schemeClr w14:val="tx1"/>
            </w14:solidFill>
          </w14:textFill>
        </w:rPr>
      </w:pPr>
      <w:r>
        <w:rPr>
          <w:rFonts w:hint="eastAsia" w:ascii="宋体"/>
          <w:b w:val="0"/>
          <w:color w:val="000000" w:themeColor="text1"/>
          <w:sz w:val="22"/>
          <w:szCs w:val="22"/>
          <w:highlight w:val="none"/>
          <w:lang w:val="en-US" w:eastAsia="zh-CN"/>
          <w14:textFill>
            <w14:solidFill>
              <w14:schemeClr w14:val="tx1"/>
            </w14:solidFill>
          </w14:textFill>
        </w:rPr>
        <w:t>附件三：《医疗卫生机构医药产品廉洁购销合同》；</w:t>
      </w:r>
    </w:p>
    <w:p w14:paraId="49C38BF9">
      <w:pPr>
        <w:spacing w:line="460" w:lineRule="atLeast"/>
        <w:ind w:firstLine="431" w:firstLineChars="196"/>
        <w:rPr>
          <w:rFonts w:hint="eastAsia" w:ascii="宋体" w:eastAsia="宋体"/>
          <w:b w:val="0"/>
          <w:color w:val="000000" w:themeColor="text1"/>
          <w:sz w:val="22"/>
          <w:szCs w:val="22"/>
          <w:highlight w:val="none"/>
          <w14:textFill>
            <w14:solidFill>
              <w14:schemeClr w14:val="tx1"/>
            </w14:solidFill>
          </w14:textFill>
        </w:rPr>
      </w:pPr>
      <w:r>
        <w:rPr>
          <w:rFonts w:hint="eastAsia" w:ascii="宋体"/>
          <w:b w:val="0"/>
          <w:color w:val="000000" w:themeColor="text1"/>
          <w:sz w:val="22"/>
          <w:szCs w:val="22"/>
          <w:highlight w:val="none"/>
          <w:lang w:val="en-US" w:eastAsia="zh-CN"/>
          <w14:textFill>
            <w14:solidFill>
              <w14:schemeClr w14:val="tx1"/>
            </w14:solidFill>
          </w14:textFill>
        </w:rPr>
        <w:t>2、</w:t>
      </w:r>
      <w:r>
        <w:rPr>
          <w:rFonts w:hint="eastAsia" w:ascii="宋体" w:eastAsia="宋体"/>
          <w:b w:val="0"/>
          <w:color w:val="000000" w:themeColor="text1"/>
          <w:sz w:val="22"/>
          <w:szCs w:val="22"/>
          <w:highlight w:val="none"/>
          <w14:textFill>
            <w14:solidFill>
              <w14:schemeClr w14:val="tx1"/>
            </w14:solidFill>
          </w14:textFill>
        </w:rPr>
        <w:t>采购人的招标文件与招标补充文件；</w:t>
      </w:r>
    </w:p>
    <w:p w14:paraId="6380F0C2">
      <w:pPr>
        <w:spacing w:line="460" w:lineRule="atLeast"/>
        <w:ind w:firstLine="431" w:firstLineChars="196"/>
        <w:rPr>
          <w:rFonts w:hint="eastAsia" w:ascii="宋体" w:eastAsia="宋体"/>
          <w:b w:val="0"/>
          <w:color w:val="000000" w:themeColor="text1"/>
          <w:sz w:val="22"/>
          <w:szCs w:val="22"/>
          <w:highlight w:val="none"/>
          <w14:textFill>
            <w14:solidFill>
              <w14:schemeClr w14:val="tx1"/>
            </w14:solidFill>
          </w14:textFill>
        </w:rPr>
      </w:pPr>
      <w:r>
        <w:rPr>
          <w:rFonts w:hint="eastAsia" w:ascii="宋体"/>
          <w:b w:val="0"/>
          <w:color w:val="000000" w:themeColor="text1"/>
          <w:sz w:val="22"/>
          <w:szCs w:val="22"/>
          <w:highlight w:val="none"/>
          <w:lang w:val="en-US" w:eastAsia="zh-CN"/>
          <w14:textFill>
            <w14:solidFill>
              <w14:schemeClr w14:val="tx1"/>
            </w14:solidFill>
          </w14:textFill>
        </w:rPr>
        <w:t>3</w:t>
      </w:r>
      <w:r>
        <w:rPr>
          <w:rFonts w:hint="eastAsia" w:ascii="宋体" w:eastAsia="宋体"/>
          <w:b w:val="0"/>
          <w:color w:val="000000" w:themeColor="text1"/>
          <w:sz w:val="22"/>
          <w:szCs w:val="22"/>
          <w:highlight w:val="none"/>
          <w14:textFill>
            <w14:solidFill>
              <w14:schemeClr w14:val="tx1"/>
            </w14:solidFill>
          </w14:textFill>
        </w:rPr>
        <w:t>、中标供应商投标文件；</w:t>
      </w:r>
    </w:p>
    <w:p w14:paraId="1F5B1C94">
      <w:pPr>
        <w:pStyle w:val="33"/>
        <w:spacing w:line="460" w:lineRule="atLeast"/>
        <w:ind w:firstLine="323" w:firstLineChars="147"/>
        <w:rPr>
          <w:rFonts w:hint="eastAsia" w:hAnsi="宋体" w:eastAsia="宋体"/>
          <w:b w:val="0"/>
          <w:color w:val="000000" w:themeColor="text1"/>
          <w:sz w:val="22"/>
          <w:szCs w:val="22"/>
          <w:highlight w:val="none"/>
          <w14:textFill>
            <w14:solidFill>
              <w14:schemeClr w14:val="tx1"/>
            </w14:solidFill>
          </w14:textFill>
        </w:rPr>
      </w:pPr>
      <w:r>
        <w:rPr>
          <w:rFonts w:hint="eastAsia" w:hAnsi="宋体" w:eastAsia="宋体"/>
          <w:b w:val="0"/>
          <w:color w:val="000000" w:themeColor="text1"/>
          <w:sz w:val="22"/>
          <w:szCs w:val="22"/>
          <w:highlight w:val="none"/>
          <w14:textFill>
            <w14:solidFill>
              <w14:schemeClr w14:val="tx1"/>
            </w14:solidFill>
          </w14:textFill>
        </w:rPr>
        <w:t xml:space="preserve"> </w:t>
      </w:r>
      <w:r>
        <w:rPr>
          <w:rFonts w:hint="eastAsia" w:hAnsi="宋体"/>
          <w:b w:val="0"/>
          <w:color w:val="000000" w:themeColor="text1"/>
          <w:sz w:val="22"/>
          <w:szCs w:val="22"/>
          <w:highlight w:val="none"/>
          <w:lang w:val="en-US" w:eastAsia="zh-CN"/>
          <w14:textFill>
            <w14:solidFill>
              <w14:schemeClr w14:val="tx1"/>
            </w14:solidFill>
          </w14:textFill>
        </w:rPr>
        <w:t>4</w:t>
      </w:r>
      <w:r>
        <w:rPr>
          <w:rFonts w:hint="eastAsia" w:hAnsi="宋体" w:eastAsia="宋体"/>
          <w:b w:val="0"/>
          <w:color w:val="000000" w:themeColor="text1"/>
          <w:sz w:val="22"/>
          <w:szCs w:val="22"/>
          <w:highlight w:val="none"/>
          <w14:textFill>
            <w14:solidFill>
              <w14:schemeClr w14:val="tx1"/>
            </w14:solidFill>
          </w14:textFill>
        </w:rPr>
        <w:t>、询标纪要和承诺书。</w:t>
      </w:r>
    </w:p>
    <w:p w14:paraId="4FA04EC7">
      <w:pPr>
        <w:spacing w:line="460" w:lineRule="atLeast"/>
        <w:ind w:firstLine="440" w:firstLineChars="200"/>
        <w:rPr>
          <w:rFonts w:ascii="宋体" w:eastAsia="宋体"/>
          <w:b w:val="0"/>
          <w:color w:val="000000" w:themeColor="text1"/>
          <w:sz w:val="22"/>
          <w:szCs w:val="22"/>
          <w:highlight w:val="none"/>
          <w14:textFill>
            <w14:solidFill>
              <w14:schemeClr w14:val="tx1"/>
            </w14:solidFill>
          </w14:textFill>
        </w:rPr>
      </w:pPr>
      <w:r>
        <w:rPr>
          <w:rFonts w:hint="eastAsia" w:ascii="宋体"/>
          <w:b w:val="0"/>
          <w:color w:val="000000" w:themeColor="text1"/>
          <w:sz w:val="22"/>
          <w:szCs w:val="22"/>
          <w:highlight w:val="none"/>
          <w:lang w:val="en-US" w:eastAsia="zh-CN"/>
          <w14:textFill>
            <w14:solidFill>
              <w14:schemeClr w14:val="tx1"/>
            </w14:solidFill>
          </w14:textFill>
        </w:rPr>
        <w:t>5</w:t>
      </w:r>
      <w:r>
        <w:rPr>
          <w:rFonts w:hint="eastAsia" w:ascii="宋体" w:eastAsia="宋体"/>
          <w:b w:val="0"/>
          <w:color w:val="000000" w:themeColor="text1"/>
          <w:sz w:val="22"/>
          <w:szCs w:val="22"/>
          <w:highlight w:val="none"/>
          <w14:textFill>
            <w14:solidFill>
              <w14:schemeClr w14:val="tx1"/>
            </w14:solidFill>
          </w14:textFill>
        </w:rPr>
        <w:t>、中标通知书</w:t>
      </w:r>
    </w:p>
    <w:p w14:paraId="0C6A3556">
      <w:pPr>
        <w:pStyle w:val="33"/>
        <w:spacing w:line="460" w:lineRule="atLeast"/>
        <w:ind w:firstLine="323" w:firstLineChars="147"/>
        <w:rPr>
          <w:rFonts w:hint="eastAsia" w:hAnsi="宋体" w:eastAsia="宋体"/>
          <w:b w:val="0"/>
          <w:color w:val="000000" w:themeColor="text1"/>
          <w:sz w:val="22"/>
          <w:szCs w:val="22"/>
          <w:highlight w:val="none"/>
          <w14:textFill>
            <w14:solidFill>
              <w14:schemeClr w14:val="tx1"/>
            </w14:solidFill>
          </w14:textFill>
        </w:rPr>
      </w:pPr>
    </w:p>
    <w:p w14:paraId="2799E360">
      <w:pPr>
        <w:pStyle w:val="33"/>
        <w:spacing w:line="460" w:lineRule="atLeast"/>
        <w:ind w:firstLine="323" w:firstLineChars="147"/>
        <w:rPr>
          <w:rFonts w:hint="eastAsia" w:hAnsi="宋体" w:eastAsia="宋体"/>
          <w:b w:val="0"/>
          <w:color w:val="000000" w:themeColor="text1"/>
          <w:sz w:val="22"/>
          <w:szCs w:val="22"/>
          <w:highlight w:val="none"/>
          <w14:textFill>
            <w14:solidFill>
              <w14:schemeClr w14:val="tx1"/>
            </w14:solidFill>
          </w14:textFill>
        </w:rPr>
      </w:pPr>
      <w:r>
        <w:rPr>
          <w:rFonts w:hint="eastAsia" w:hAnsi="宋体" w:eastAsia="宋体"/>
          <w:b w:val="0"/>
          <w:color w:val="000000" w:themeColor="text1"/>
          <w:sz w:val="22"/>
          <w:szCs w:val="22"/>
          <w:highlight w:val="none"/>
          <w14:textFill>
            <w14:solidFill>
              <w14:schemeClr w14:val="tx1"/>
            </w14:solidFill>
          </w14:textFill>
        </w:rPr>
        <w:t>采购人：（印章）                     供应商：（印章）</w:t>
      </w:r>
    </w:p>
    <w:p w14:paraId="73DB12F2">
      <w:pPr>
        <w:pStyle w:val="33"/>
        <w:spacing w:line="460" w:lineRule="atLeast"/>
        <w:ind w:firstLine="323" w:firstLineChars="147"/>
        <w:rPr>
          <w:rFonts w:hint="eastAsia" w:hAnsi="宋体" w:eastAsia="宋体"/>
          <w:b w:val="0"/>
          <w:color w:val="000000" w:themeColor="text1"/>
          <w:sz w:val="22"/>
          <w:szCs w:val="22"/>
          <w:highlight w:val="none"/>
          <w14:textFill>
            <w14:solidFill>
              <w14:schemeClr w14:val="tx1"/>
            </w14:solidFill>
          </w14:textFill>
        </w:rPr>
      </w:pPr>
      <w:r>
        <w:rPr>
          <w:rFonts w:hint="eastAsia" w:hAnsi="宋体" w:eastAsia="宋体"/>
          <w:b w:val="0"/>
          <w:color w:val="000000" w:themeColor="text1"/>
          <w:sz w:val="22"/>
          <w:szCs w:val="22"/>
          <w:highlight w:val="none"/>
          <w14:textFill>
            <w14:solidFill>
              <w14:schemeClr w14:val="tx1"/>
            </w14:solidFill>
          </w14:textFill>
        </w:rPr>
        <w:t>全权代表:（签字）                    全权代表:（签字）</w:t>
      </w:r>
    </w:p>
    <w:p w14:paraId="1198D7A1">
      <w:pPr>
        <w:pStyle w:val="33"/>
        <w:spacing w:line="460" w:lineRule="atLeast"/>
        <w:ind w:firstLine="323" w:firstLineChars="147"/>
        <w:rPr>
          <w:rFonts w:hint="eastAsia" w:hAnsi="宋体" w:eastAsia="宋体"/>
          <w:b w:val="0"/>
          <w:color w:val="000000" w:themeColor="text1"/>
          <w:sz w:val="22"/>
          <w:szCs w:val="22"/>
          <w:highlight w:val="none"/>
          <w14:textFill>
            <w14:solidFill>
              <w14:schemeClr w14:val="tx1"/>
            </w14:solidFill>
          </w14:textFill>
        </w:rPr>
      </w:pPr>
      <w:r>
        <w:rPr>
          <w:rFonts w:hint="eastAsia" w:hAnsi="宋体" w:eastAsia="宋体"/>
          <w:b w:val="0"/>
          <w:color w:val="000000" w:themeColor="text1"/>
          <w:sz w:val="22"/>
          <w:szCs w:val="22"/>
          <w:highlight w:val="none"/>
          <w14:textFill>
            <w14:solidFill>
              <w14:schemeClr w14:val="tx1"/>
            </w14:solidFill>
          </w14:textFill>
        </w:rPr>
        <w:t>地址：                               地址：</w:t>
      </w:r>
    </w:p>
    <w:p w14:paraId="4B7361C6">
      <w:pPr>
        <w:pStyle w:val="33"/>
        <w:spacing w:line="460" w:lineRule="atLeast"/>
        <w:ind w:firstLine="323" w:firstLineChars="147"/>
        <w:rPr>
          <w:rFonts w:hint="eastAsia" w:hAnsi="宋体" w:eastAsia="宋体"/>
          <w:b w:val="0"/>
          <w:color w:val="000000" w:themeColor="text1"/>
          <w:sz w:val="22"/>
          <w:szCs w:val="22"/>
          <w:highlight w:val="none"/>
          <w14:textFill>
            <w14:solidFill>
              <w14:schemeClr w14:val="tx1"/>
            </w14:solidFill>
          </w14:textFill>
        </w:rPr>
      </w:pPr>
      <w:r>
        <w:rPr>
          <w:rFonts w:hint="eastAsia" w:hAnsi="宋体" w:eastAsia="宋体"/>
          <w:b w:val="0"/>
          <w:color w:val="000000" w:themeColor="text1"/>
          <w:sz w:val="22"/>
          <w:szCs w:val="22"/>
          <w:highlight w:val="none"/>
          <w14:textFill>
            <w14:solidFill>
              <w14:schemeClr w14:val="tx1"/>
            </w14:solidFill>
          </w14:textFill>
        </w:rPr>
        <w:t>电话：                               电话：</w:t>
      </w:r>
    </w:p>
    <w:p w14:paraId="009C7AD9">
      <w:pPr>
        <w:rPr>
          <w:color w:val="000000" w:themeColor="text1"/>
          <w:highlight w:val="none"/>
          <w14:textFill>
            <w14:solidFill>
              <w14:schemeClr w14:val="tx1"/>
            </w14:solidFill>
          </w14:textFill>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1315C777">
      <w:pPr>
        <w:tabs>
          <w:tab w:val="left" w:pos="6688"/>
        </w:tabs>
        <w:jc w:val="both"/>
        <w:rPr>
          <w:rFonts w:hint="default" w:eastAsiaTheme="minorEastAsia"/>
          <w:b/>
          <w:color w:val="000000" w:themeColor="text1"/>
          <w:sz w:val="28"/>
          <w:szCs w:val="28"/>
          <w:highlight w:val="none"/>
          <w:lang w:val="en-US" w:eastAsia="zh-CN"/>
          <w14:textFill>
            <w14:solidFill>
              <w14:schemeClr w14:val="tx1"/>
            </w14:solidFill>
          </w14:textFill>
        </w:rPr>
      </w:pPr>
      <w:r>
        <w:rPr>
          <w:rFonts w:hint="eastAsia"/>
          <w:b/>
          <w:color w:val="000000" w:themeColor="text1"/>
          <w:sz w:val="28"/>
          <w:szCs w:val="28"/>
          <w:highlight w:val="none"/>
          <w:lang w:val="en-US" w:eastAsia="zh-CN"/>
          <w14:textFill>
            <w14:solidFill>
              <w14:schemeClr w14:val="tx1"/>
            </w14:solidFill>
          </w14:textFill>
        </w:rPr>
        <w:t>附件一：</w:t>
      </w:r>
    </w:p>
    <w:p w14:paraId="58815F2B">
      <w:pPr>
        <w:tabs>
          <w:tab w:val="left" w:pos="6688"/>
        </w:tabs>
        <w:jc w:val="center"/>
        <w:rPr>
          <w:rFonts w:hint="eastAsia" w:eastAsiaTheme="minorEastAsia"/>
          <w:b/>
          <w:color w:val="000000" w:themeColor="text1"/>
          <w:sz w:val="28"/>
          <w:szCs w:val="28"/>
          <w:highlight w:val="none"/>
          <w:lang w:eastAsia="zh-CN"/>
          <w14:textFill>
            <w14:solidFill>
              <w14:schemeClr w14:val="tx1"/>
            </w14:solidFill>
          </w14:textFill>
        </w:rPr>
      </w:pPr>
      <w:r>
        <w:rPr>
          <w:rFonts w:hint="eastAsia"/>
          <w:b/>
          <w:color w:val="000000" w:themeColor="text1"/>
          <w:sz w:val="28"/>
          <w:szCs w:val="28"/>
          <w:highlight w:val="none"/>
          <w14:textFill>
            <w14:solidFill>
              <w14:schemeClr w14:val="tx1"/>
            </w14:solidFill>
          </w14:textFill>
        </w:rPr>
        <w:t>配置清单</w:t>
      </w:r>
    </w:p>
    <w:p w14:paraId="701DC4A2">
      <w:pPr>
        <w:tabs>
          <w:tab w:val="left" w:pos="6688"/>
        </w:tabs>
        <w:jc w:val="center"/>
        <w:rPr>
          <w:rFonts w:hint="eastAsia" w:ascii="宋体" w:hAnsi="宋体" w:eastAsia="宋体" w:cs="宋体"/>
          <w:b/>
          <w:color w:val="000000" w:themeColor="text1"/>
          <w:sz w:val="21"/>
          <w:szCs w:val="21"/>
          <w:highlight w:val="none"/>
          <w:lang w:val="en-US" w:eastAsia="zh-CN"/>
          <w14:textFill>
            <w14:solidFill>
              <w14:schemeClr w14:val="tx1"/>
            </w14:solidFill>
          </w14:textFill>
        </w:rPr>
      </w:pPr>
    </w:p>
    <w:tbl>
      <w:tblPr>
        <w:tblStyle w:val="63"/>
        <w:tblW w:w="9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64"/>
        <w:gridCol w:w="1452"/>
        <w:gridCol w:w="938"/>
        <w:gridCol w:w="784"/>
        <w:gridCol w:w="778"/>
        <w:gridCol w:w="1031"/>
        <w:gridCol w:w="574"/>
        <w:gridCol w:w="869"/>
        <w:gridCol w:w="1051"/>
        <w:gridCol w:w="1051"/>
      </w:tblGrid>
      <w:tr w14:paraId="7828A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6" w:hRule="atLeast"/>
          <w:jc w:val="center"/>
        </w:trPr>
        <w:tc>
          <w:tcPr>
            <w:tcW w:w="864" w:type="dxa"/>
            <w:tcBorders>
              <w:tl2br w:val="nil"/>
              <w:tr2bl w:val="nil"/>
            </w:tcBorders>
            <w:noWrap w:val="0"/>
            <w:tcMar>
              <w:top w:w="15" w:type="dxa"/>
              <w:left w:w="15" w:type="dxa"/>
              <w:bottom w:w="0" w:type="dxa"/>
              <w:right w:w="15" w:type="dxa"/>
            </w:tcMar>
            <w:vAlign w:val="center"/>
          </w:tcPr>
          <w:p w14:paraId="4F398B40">
            <w:pPr>
              <w:snapToGrid w:val="0"/>
              <w:spacing w:before="50" w:after="50" w:line="360" w:lineRule="auto"/>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序号</w:t>
            </w:r>
          </w:p>
        </w:tc>
        <w:tc>
          <w:tcPr>
            <w:tcW w:w="1452" w:type="dxa"/>
            <w:tcBorders>
              <w:tl2br w:val="nil"/>
              <w:tr2bl w:val="nil"/>
            </w:tcBorders>
            <w:noWrap w:val="0"/>
            <w:tcMar>
              <w:top w:w="15" w:type="dxa"/>
              <w:left w:w="15" w:type="dxa"/>
              <w:bottom w:w="0" w:type="dxa"/>
              <w:right w:w="15" w:type="dxa"/>
            </w:tcMar>
            <w:vAlign w:val="center"/>
          </w:tcPr>
          <w:p w14:paraId="70B8B353">
            <w:pPr>
              <w:snapToGrid w:val="0"/>
              <w:spacing w:before="50" w:after="50" w:line="360" w:lineRule="auto"/>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设备名称</w:t>
            </w:r>
          </w:p>
        </w:tc>
        <w:tc>
          <w:tcPr>
            <w:tcW w:w="938" w:type="dxa"/>
            <w:tcBorders>
              <w:tl2br w:val="nil"/>
              <w:tr2bl w:val="nil"/>
            </w:tcBorders>
            <w:noWrap w:val="0"/>
            <w:tcMar>
              <w:top w:w="15" w:type="dxa"/>
              <w:left w:w="15" w:type="dxa"/>
              <w:bottom w:w="0" w:type="dxa"/>
              <w:right w:w="15" w:type="dxa"/>
            </w:tcMar>
            <w:vAlign w:val="center"/>
          </w:tcPr>
          <w:p w14:paraId="26269085">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配置</w:t>
            </w:r>
            <w:r>
              <w:rPr>
                <w:rFonts w:hint="eastAsia" w:ascii="宋体" w:hAnsi="宋体" w:eastAsia="宋体" w:cs="宋体"/>
                <w:color w:val="000000" w:themeColor="text1"/>
                <w:sz w:val="21"/>
                <w:szCs w:val="21"/>
                <w:highlight w:val="none"/>
                <w14:textFill>
                  <w14:solidFill>
                    <w14:schemeClr w14:val="tx1"/>
                  </w14:solidFill>
                </w14:textFill>
              </w:rPr>
              <w:t>名称</w:t>
            </w:r>
          </w:p>
        </w:tc>
        <w:tc>
          <w:tcPr>
            <w:tcW w:w="784" w:type="dxa"/>
            <w:tcBorders>
              <w:tl2br w:val="nil"/>
              <w:tr2bl w:val="nil"/>
            </w:tcBorders>
            <w:noWrap w:val="0"/>
            <w:tcMar>
              <w:top w:w="15" w:type="dxa"/>
              <w:left w:w="15" w:type="dxa"/>
              <w:bottom w:w="0" w:type="dxa"/>
              <w:right w:w="15" w:type="dxa"/>
            </w:tcMar>
            <w:vAlign w:val="center"/>
          </w:tcPr>
          <w:p w14:paraId="5D000903">
            <w:pPr>
              <w:snapToGrid w:val="0"/>
              <w:spacing w:before="50" w:after="50"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品牌</w:t>
            </w:r>
          </w:p>
        </w:tc>
        <w:tc>
          <w:tcPr>
            <w:tcW w:w="778" w:type="dxa"/>
            <w:tcBorders>
              <w:tl2br w:val="nil"/>
              <w:tr2bl w:val="nil"/>
            </w:tcBorders>
            <w:noWrap w:val="0"/>
            <w:tcMar>
              <w:top w:w="15" w:type="dxa"/>
              <w:left w:w="15" w:type="dxa"/>
              <w:bottom w:w="0" w:type="dxa"/>
              <w:right w:w="15" w:type="dxa"/>
            </w:tcMar>
            <w:vAlign w:val="center"/>
          </w:tcPr>
          <w:p w14:paraId="0051807C">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规格型号</w:t>
            </w:r>
          </w:p>
        </w:tc>
        <w:tc>
          <w:tcPr>
            <w:tcW w:w="1031" w:type="dxa"/>
            <w:tcBorders>
              <w:tl2br w:val="nil"/>
              <w:tr2bl w:val="nil"/>
            </w:tcBorders>
            <w:noWrap w:val="0"/>
            <w:tcMar>
              <w:top w:w="15" w:type="dxa"/>
              <w:left w:w="15" w:type="dxa"/>
              <w:bottom w:w="0" w:type="dxa"/>
              <w:right w:w="15" w:type="dxa"/>
            </w:tcMar>
            <w:vAlign w:val="center"/>
          </w:tcPr>
          <w:p w14:paraId="7F7582BB">
            <w:pPr>
              <w:snapToGrid w:val="0"/>
              <w:spacing w:before="50" w:after="50"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制造商</w:t>
            </w:r>
          </w:p>
        </w:tc>
        <w:tc>
          <w:tcPr>
            <w:tcW w:w="574" w:type="dxa"/>
            <w:tcBorders>
              <w:tl2br w:val="nil"/>
              <w:tr2bl w:val="nil"/>
            </w:tcBorders>
            <w:noWrap w:val="0"/>
            <w:tcMar>
              <w:top w:w="15" w:type="dxa"/>
              <w:left w:w="15" w:type="dxa"/>
              <w:bottom w:w="0" w:type="dxa"/>
              <w:right w:w="15" w:type="dxa"/>
            </w:tcMar>
            <w:vAlign w:val="center"/>
          </w:tcPr>
          <w:p w14:paraId="1BF92952">
            <w:pPr>
              <w:snapToGrid w:val="0"/>
              <w:spacing w:before="50" w:after="50"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产地</w:t>
            </w:r>
          </w:p>
        </w:tc>
        <w:tc>
          <w:tcPr>
            <w:tcW w:w="869" w:type="dxa"/>
            <w:tcBorders>
              <w:tl2br w:val="nil"/>
              <w:tr2bl w:val="nil"/>
            </w:tcBorders>
            <w:noWrap w:val="0"/>
            <w:tcMar>
              <w:top w:w="15" w:type="dxa"/>
              <w:left w:w="15" w:type="dxa"/>
              <w:bottom w:w="0" w:type="dxa"/>
              <w:right w:w="15" w:type="dxa"/>
            </w:tcMar>
            <w:vAlign w:val="center"/>
          </w:tcPr>
          <w:p w14:paraId="47377A25">
            <w:pPr>
              <w:snapToGrid w:val="0"/>
              <w:spacing w:before="50" w:after="50"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数量</w:t>
            </w:r>
          </w:p>
        </w:tc>
        <w:tc>
          <w:tcPr>
            <w:tcW w:w="1051" w:type="dxa"/>
            <w:tcBorders>
              <w:tl2br w:val="nil"/>
              <w:tr2bl w:val="nil"/>
            </w:tcBorders>
            <w:noWrap w:val="0"/>
            <w:tcMar>
              <w:top w:w="15" w:type="dxa"/>
              <w:left w:w="15" w:type="dxa"/>
              <w:bottom w:w="0" w:type="dxa"/>
              <w:right w:w="15" w:type="dxa"/>
            </w:tcMar>
            <w:vAlign w:val="center"/>
          </w:tcPr>
          <w:p w14:paraId="25D5EFA9">
            <w:pPr>
              <w:snapToGrid w:val="0"/>
              <w:spacing w:before="50" w:after="50"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单位</w:t>
            </w:r>
          </w:p>
        </w:tc>
        <w:tc>
          <w:tcPr>
            <w:tcW w:w="1051" w:type="dxa"/>
            <w:tcBorders>
              <w:tl2br w:val="nil"/>
              <w:tr2bl w:val="nil"/>
            </w:tcBorders>
            <w:noWrap w:val="0"/>
            <w:tcMar>
              <w:top w:w="15" w:type="dxa"/>
              <w:left w:w="15" w:type="dxa"/>
              <w:bottom w:w="0" w:type="dxa"/>
              <w:right w:w="15" w:type="dxa"/>
            </w:tcMar>
            <w:vAlign w:val="center"/>
          </w:tcPr>
          <w:p w14:paraId="74B2BEAA">
            <w:pPr>
              <w:snapToGrid w:val="0"/>
              <w:spacing w:before="50" w:after="50"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医疗器械备案/注册证号</w:t>
            </w:r>
          </w:p>
        </w:tc>
      </w:tr>
      <w:tr w14:paraId="1D7D6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5" w:hRule="atLeast"/>
          <w:jc w:val="center"/>
        </w:trPr>
        <w:tc>
          <w:tcPr>
            <w:tcW w:w="864" w:type="dxa"/>
            <w:tcBorders>
              <w:tl2br w:val="nil"/>
              <w:tr2bl w:val="nil"/>
            </w:tcBorders>
            <w:noWrap w:val="0"/>
            <w:tcMar>
              <w:top w:w="15" w:type="dxa"/>
              <w:left w:w="15" w:type="dxa"/>
              <w:bottom w:w="0" w:type="dxa"/>
              <w:right w:w="15" w:type="dxa"/>
            </w:tcMar>
            <w:vAlign w:val="center"/>
          </w:tcPr>
          <w:p w14:paraId="2166F707">
            <w:pPr>
              <w:snapToGrid w:val="0"/>
              <w:spacing w:before="50" w:after="50" w:line="360" w:lineRule="auto"/>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w:t>
            </w:r>
          </w:p>
        </w:tc>
        <w:tc>
          <w:tcPr>
            <w:tcW w:w="1452" w:type="dxa"/>
            <w:tcBorders>
              <w:tl2br w:val="nil"/>
              <w:tr2bl w:val="nil"/>
            </w:tcBorders>
            <w:noWrap w:val="0"/>
            <w:tcMar>
              <w:top w:w="15" w:type="dxa"/>
              <w:left w:w="15" w:type="dxa"/>
              <w:bottom w:w="0" w:type="dxa"/>
              <w:right w:w="15" w:type="dxa"/>
            </w:tcMar>
            <w:vAlign w:val="center"/>
          </w:tcPr>
          <w:p w14:paraId="45A8C984">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938" w:type="dxa"/>
            <w:tcBorders>
              <w:tl2br w:val="nil"/>
              <w:tr2bl w:val="nil"/>
            </w:tcBorders>
            <w:noWrap w:val="0"/>
            <w:tcMar>
              <w:top w:w="15" w:type="dxa"/>
              <w:left w:w="15" w:type="dxa"/>
              <w:bottom w:w="0" w:type="dxa"/>
              <w:right w:w="15" w:type="dxa"/>
            </w:tcMar>
            <w:vAlign w:val="center"/>
          </w:tcPr>
          <w:p w14:paraId="326721DB">
            <w:pPr>
              <w:snapToGrid w:val="0"/>
              <w:spacing w:before="50" w:after="50" w:line="360" w:lineRule="auto"/>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p>
        </w:tc>
        <w:tc>
          <w:tcPr>
            <w:tcW w:w="784" w:type="dxa"/>
            <w:tcBorders>
              <w:tl2br w:val="nil"/>
              <w:tr2bl w:val="nil"/>
            </w:tcBorders>
            <w:noWrap w:val="0"/>
            <w:tcMar>
              <w:top w:w="15" w:type="dxa"/>
              <w:left w:w="15" w:type="dxa"/>
              <w:bottom w:w="0" w:type="dxa"/>
              <w:right w:w="15" w:type="dxa"/>
            </w:tcMar>
            <w:vAlign w:val="center"/>
          </w:tcPr>
          <w:p w14:paraId="19EC538C">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78" w:type="dxa"/>
            <w:tcBorders>
              <w:tl2br w:val="nil"/>
              <w:tr2bl w:val="nil"/>
            </w:tcBorders>
            <w:noWrap w:val="0"/>
            <w:tcMar>
              <w:top w:w="15" w:type="dxa"/>
              <w:left w:w="15" w:type="dxa"/>
              <w:bottom w:w="0" w:type="dxa"/>
              <w:right w:w="15" w:type="dxa"/>
            </w:tcMar>
            <w:vAlign w:val="center"/>
          </w:tcPr>
          <w:p w14:paraId="5A999BF1">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31" w:type="dxa"/>
            <w:tcBorders>
              <w:tl2br w:val="nil"/>
              <w:tr2bl w:val="nil"/>
            </w:tcBorders>
            <w:noWrap w:val="0"/>
            <w:tcMar>
              <w:top w:w="15" w:type="dxa"/>
              <w:left w:w="15" w:type="dxa"/>
              <w:bottom w:w="0" w:type="dxa"/>
              <w:right w:w="15" w:type="dxa"/>
            </w:tcMar>
            <w:vAlign w:val="center"/>
          </w:tcPr>
          <w:p w14:paraId="2C106EDE">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574" w:type="dxa"/>
            <w:tcBorders>
              <w:tl2br w:val="nil"/>
              <w:tr2bl w:val="nil"/>
            </w:tcBorders>
            <w:noWrap w:val="0"/>
            <w:tcMar>
              <w:top w:w="15" w:type="dxa"/>
              <w:left w:w="15" w:type="dxa"/>
              <w:bottom w:w="0" w:type="dxa"/>
              <w:right w:w="15" w:type="dxa"/>
            </w:tcMar>
            <w:vAlign w:val="center"/>
          </w:tcPr>
          <w:p w14:paraId="2403D1CF">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69" w:type="dxa"/>
            <w:tcBorders>
              <w:tl2br w:val="nil"/>
              <w:tr2bl w:val="nil"/>
            </w:tcBorders>
            <w:noWrap w:val="0"/>
            <w:tcMar>
              <w:top w:w="15" w:type="dxa"/>
              <w:left w:w="15" w:type="dxa"/>
              <w:bottom w:w="0" w:type="dxa"/>
              <w:right w:w="15" w:type="dxa"/>
            </w:tcMar>
            <w:vAlign w:val="center"/>
          </w:tcPr>
          <w:p w14:paraId="5C50D8A8">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51" w:type="dxa"/>
            <w:tcBorders>
              <w:tl2br w:val="nil"/>
              <w:tr2bl w:val="nil"/>
            </w:tcBorders>
            <w:noWrap w:val="0"/>
            <w:tcMar>
              <w:top w:w="15" w:type="dxa"/>
              <w:left w:w="15" w:type="dxa"/>
              <w:bottom w:w="0" w:type="dxa"/>
              <w:right w:w="15" w:type="dxa"/>
            </w:tcMar>
            <w:vAlign w:val="center"/>
          </w:tcPr>
          <w:p w14:paraId="2E5B4F2A">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51" w:type="dxa"/>
            <w:tcBorders>
              <w:tl2br w:val="nil"/>
              <w:tr2bl w:val="nil"/>
            </w:tcBorders>
            <w:noWrap w:val="0"/>
            <w:tcMar>
              <w:top w:w="15" w:type="dxa"/>
              <w:left w:w="15" w:type="dxa"/>
              <w:bottom w:w="0" w:type="dxa"/>
              <w:right w:w="15" w:type="dxa"/>
            </w:tcMar>
            <w:vAlign w:val="center"/>
          </w:tcPr>
          <w:p w14:paraId="5157D885">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5B97D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5" w:hRule="atLeast"/>
          <w:jc w:val="center"/>
        </w:trPr>
        <w:tc>
          <w:tcPr>
            <w:tcW w:w="864" w:type="dxa"/>
            <w:tcBorders>
              <w:tl2br w:val="nil"/>
              <w:tr2bl w:val="nil"/>
            </w:tcBorders>
            <w:noWrap w:val="0"/>
            <w:tcMar>
              <w:top w:w="15" w:type="dxa"/>
              <w:left w:w="15" w:type="dxa"/>
              <w:bottom w:w="0" w:type="dxa"/>
              <w:right w:w="15" w:type="dxa"/>
            </w:tcMar>
            <w:vAlign w:val="center"/>
          </w:tcPr>
          <w:p w14:paraId="38A30EC8">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p>
        </w:tc>
        <w:tc>
          <w:tcPr>
            <w:tcW w:w="1452" w:type="dxa"/>
            <w:tcBorders>
              <w:tl2br w:val="nil"/>
              <w:tr2bl w:val="nil"/>
            </w:tcBorders>
            <w:noWrap w:val="0"/>
            <w:tcMar>
              <w:top w:w="15" w:type="dxa"/>
              <w:left w:w="15" w:type="dxa"/>
              <w:bottom w:w="0" w:type="dxa"/>
              <w:right w:w="15" w:type="dxa"/>
            </w:tcMar>
            <w:vAlign w:val="center"/>
          </w:tcPr>
          <w:p w14:paraId="2B893BEE">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938" w:type="dxa"/>
            <w:tcBorders>
              <w:tl2br w:val="nil"/>
              <w:tr2bl w:val="nil"/>
            </w:tcBorders>
            <w:noWrap w:val="0"/>
            <w:tcMar>
              <w:top w:w="15" w:type="dxa"/>
              <w:left w:w="15" w:type="dxa"/>
              <w:bottom w:w="0" w:type="dxa"/>
              <w:right w:w="15" w:type="dxa"/>
            </w:tcMar>
            <w:vAlign w:val="center"/>
          </w:tcPr>
          <w:p w14:paraId="4603AEAD">
            <w:pPr>
              <w:snapToGrid w:val="0"/>
              <w:spacing w:before="50" w:after="50" w:line="360" w:lineRule="auto"/>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p>
        </w:tc>
        <w:tc>
          <w:tcPr>
            <w:tcW w:w="784" w:type="dxa"/>
            <w:tcBorders>
              <w:tl2br w:val="nil"/>
              <w:tr2bl w:val="nil"/>
            </w:tcBorders>
            <w:noWrap w:val="0"/>
            <w:tcMar>
              <w:top w:w="15" w:type="dxa"/>
              <w:left w:w="15" w:type="dxa"/>
              <w:bottom w:w="0" w:type="dxa"/>
              <w:right w:w="15" w:type="dxa"/>
            </w:tcMar>
            <w:vAlign w:val="center"/>
          </w:tcPr>
          <w:p w14:paraId="245C680E">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78" w:type="dxa"/>
            <w:tcBorders>
              <w:tl2br w:val="nil"/>
              <w:tr2bl w:val="nil"/>
            </w:tcBorders>
            <w:noWrap w:val="0"/>
            <w:tcMar>
              <w:top w:w="15" w:type="dxa"/>
              <w:left w:w="15" w:type="dxa"/>
              <w:bottom w:w="0" w:type="dxa"/>
              <w:right w:w="15" w:type="dxa"/>
            </w:tcMar>
            <w:vAlign w:val="center"/>
          </w:tcPr>
          <w:p w14:paraId="05541FC6">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31" w:type="dxa"/>
            <w:tcBorders>
              <w:tl2br w:val="nil"/>
              <w:tr2bl w:val="nil"/>
            </w:tcBorders>
            <w:noWrap w:val="0"/>
            <w:tcMar>
              <w:top w:w="15" w:type="dxa"/>
              <w:left w:w="15" w:type="dxa"/>
              <w:bottom w:w="0" w:type="dxa"/>
              <w:right w:w="15" w:type="dxa"/>
            </w:tcMar>
            <w:vAlign w:val="center"/>
          </w:tcPr>
          <w:p w14:paraId="226E6755">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574" w:type="dxa"/>
            <w:tcBorders>
              <w:tl2br w:val="nil"/>
              <w:tr2bl w:val="nil"/>
            </w:tcBorders>
            <w:noWrap w:val="0"/>
            <w:tcMar>
              <w:top w:w="15" w:type="dxa"/>
              <w:left w:w="15" w:type="dxa"/>
              <w:bottom w:w="0" w:type="dxa"/>
              <w:right w:w="15" w:type="dxa"/>
            </w:tcMar>
            <w:vAlign w:val="center"/>
          </w:tcPr>
          <w:p w14:paraId="69F9B3E4">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69" w:type="dxa"/>
            <w:tcBorders>
              <w:tl2br w:val="nil"/>
              <w:tr2bl w:val="nil"/>
            </w:tcBorders>
            <w:noWrap w:val="0"/>
            <w:tcMar>
              <w:top w:w="15" w:type="dxa"/>
              <w:left w:w="15" w:type="dxa"/>
              <w:bottom w:w="0" w:type="dxa"/>
              <w:right w:w="15" w:type="dxa"/>
            </w:tcMar>
            <w:vAlign w:val="center"/>
          </w:tcPr>
          <w:p w14:paraId="5CBB5A15">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51" w:type="dxa"/>
            <w:tcBorders>
              <w:tl2br w:val="nil"/>
              <w:tr2bl w:val="nil"/>
            </w:tcBorders>
            <w:noWrap w:val="0"/>
            <w:tcMar>
              <w:top w:w="15" w:type="dxa"/>
              <w:left w:w="15" w:type="dxa"/>
              <w:bottom w:w="0" w:type="dxa"/>
              <w:right w:w="15" w:type="dxa"/>
            </w:tcMar>
            <w:vAlign w:val="center"/>
          </w:tcPr>
          <w:p w14:paraId="0D85A0E7">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51" w:type="dxa"/>
            <w:tcBorders>
              <w:tl2br w:val="nil"/>
              <w:tr2bl w:val="nil"/>
            </w:tcBorders>
            <w:noWrap w:val="0"/>
            <w:tcMar>
              <w:top w:w="15" w:type="dxa"/>
              <w:left w:w="15" w:type="dxa"/>
              <w:bottom w:w="0" w:type="dxa"/>
              <w:right w:w="15" w:type="dxa"/>
            </w:tcMar>
            <w:vAlign w:val="center"/>
          </w:tcPr>
          <w:p w14:paraId="17E4289C">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2E65A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5" w:hRule="atLeast"/>
          <w:jc w:val="center"/>
        </w:trPr>
        <w:tc>
          <w:tcPr>
            <w:tcW w:w="864" w:type="dxa"/>
            <w:tcBorders>
              <w:tl2br w:val="nil"/>
              <w:tr2bl w:val="nil"/>
            </w:tcBorders>
            <w:noWrap w:val="0"/>
            <w:tcMar>
              <w:top w:w="15" w:type="dxa"/>
              <w:left w:w="15" w:type="dxa"/>
              <w:bottom w:w="0" w:type="dxa"/>
              <w:right w:w="15" w:type="dxa"/>
            </w:tcMar>
            <w:vAlign w:val="center"/>
          </w:tcPr>
          <w:p w14:paraId="66F2EB70">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1452" w:type="dxa"/>
            <w:tcBorders>
              <w:tl2br w:val="nil"/>
              <w:tr2bl w:val="nil"/>
            </w:tcBorders>
            <w:noWrap w:val="0"/>
            <w:tcMar>
              <w:top w:w="15" w:type="dxa"/>
              <w:left w:w="15" w:type="dxa"/>
              <w:bottom w:w="0" w:type="dxa"/>
              <w:right w:w="15" w:type="dxa"/>
            </w:tcMar>
            <w:vAlign w:val="center"/>
          </w:tcPr>
          <w:p w14:paraId="0A5AA6C8">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938" w:type="dxa"/>
            <w:tcBorders>
              <w:tl2br w:val="nil"/>
              <w:tr2bl w:val="nil"/>
            </w:tcBorders>
            <w:noWrap w:val="0"/>
            <w:tcMar>
              <w:top w:w="15" w:type="dxa"/>
              <w:left w:w="15" w:type="dxa"/>
              <w:bottom w:w="0" w:type="dxa"/>
              <w:right w:w="15" w:type="dxa"/>
            </w:tcMar>
            <w:vAlign w:val="center"/>
          </w:tcPr>
          <w:p w14:paraId="62166073">
            <w:pPr>
              <w:snapToGrid w:val="0"/>
              <w:spacing w:before="50" w:after="50" w:line="360" w:lineRule="auto"/>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p>
        </w:tc>
        <w:tc>
          <w:tcPr>
            <w:tcW w:w="784" w:type="dxa"/>
            <w:tcBorders>
              <w:tl2br w:val="nil"/>
              <w:tr2bl w:val="nil"/>
            </w:tcBorders>
            <w:noWrap w:val="0"/>
            <w:tcMar>
              <w:top w:w="15" w:type="dxa"/>
              <w:left w:w="15" w:type="dxa"/>
              <w:bottom w:w="0" w:type="dxa"/>
              <w:right w:w="15" w:type="dxa"/>
            </w:tcMar>
            <w:vAlign w:val="center"/>
          </w:tcPr>
          <w:p w14:paraId="240783CC">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78" w:type="dxa"/>
            <w:tcBorders>
              <w:tl2br w:val="nil"/>
              <w:tr2bl w:val="nil"/>
            </w:tcBorders>
            <w:noWrap w:val="0"/>
            <w:tcMar>
              <w:top w:w="15" w:type="dxa"/>
              <w:left w:w="15" w:type="dxa"/>
              <w:bottom w:w="0" w:type="dxa"/>
              <w:right w:w="15" w:type="dxa"/>
            </w:tcMar>
            <w:vAlign w:val="center"/>
          </w:tcPr>
          <w:p w14:paraId="0F2F3C07">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31" w:type="dxa"/>
            <w:tcBorders>
              <w:tl2br w:val="nil"/>
              <w:tr2bl w:val="nil"/>
            </w:tcBorders>
            <w:noWrap w:val="0"/>
            <w:tcMar>
              <w:top w:w="15" w:type="dxa"/>
              <w:left w:w="15" w:type="dxa"/>
              <w:bottom w:w="0" w:type="dxa"/>
              <w:right w:w="15" w:type="dxa"/>
            </w:tcMar>
            <w:vAlign w:val="center"/>
          </w:tcPr>
          <w:p w14:paraId="56581BDE">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574" w:type="dxa"/>
            <w:tcBorders>
              <w:tl2br w:val="nil"/>
              <w:tr2bl w:val="nil"/>
            </w:tcBorders>
            <w:noWrap w:val="0"/>
            <w:tcMar>
              <w:top w:w="15" w:type="dxa"/>
              <w:left w:w="15" w:type="dxa"/>
              <w:bottom w:w="0" w:type="dxa"/>
              <w:right w:w="15" w:type="dxa"/>
            </w:tcMar>
            <w:vAlign w:val="center"/>
          </w:tcPr>
          <w:p w14:paraId="76A31AAC">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69" w:type="dxa"/>
            <w:tcBorders>
              <w:tl2br w:val="nil"/>
              <w:tr2bl w:val="nil"/>
            </w:tcBorders>
            <w:noWrap w:val="0"/>
            <w:tcMar>
              <w:top w:w="15" w:type="dxa"/>
              <w:left w:w="15" w:type="dxa"/>
              <w:bottom w:w="0" w:type="dxa"/>
              <w:right w:w="15" w:type="dxa"/>
            </w:tcMar>
            <w:vAlign w:val="center"/>
          </w:tcPr>
          <w:p w14:paraId="7B7EE519">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51" w:type="dxa"/>
            <w:tcBorders>
              <w:tl2br w:val="nil"/>
              <w:tr2bl w:val="nil"/>
            </w:tcBorders>
            <w:noWrap w:val="0"/>
            <w:tcMar>
              <w:top w:w="15" w:type="dxa"/>
              <w:left w:w="15" w:type="dxa"/>
              <w:bottom w:w="0" w:type="dxa"/>
              <w:right w:w="15" w:type="dxa"/>
            </w:tcMar>
            <w:vAlign w:val="center"/>
          </w:tcPr>
          <w:p w14:paraId="22018F65">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51" w:type="dxa"/>
            <w:tcBorders>
              <w:tl2br w:val="nil"/>
              <w:tr2bl w:val="nil"/>
            </w:tcBorders>
            <w:noWrap w:val="0"/>
            <w:tcMar>
              <w:top w:w="15" w:type="dxa"/>
              <w:left w:w="15" w:type="dxa"/>
              <w:bottom w:w="0" w:type="dxa"/>
              <w:right w:w="15" w:type="dxa"/>
            </w:tcMar>
            <w:vAlign w:val="center"/>
          </w:tcPr>
          <w:p w14:paraId="5E13F311">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bl>
    <w:p w14:paraId="7F77D204">
      <w:pPr>
        <w:pStyle w:val="61"/>
        <w:spacing w:line="360" w:lineRule="auto"/>
        <w:ind w:left="0" w:leftChars="0" w:firstLine="0" w:firstLineChars="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填表说明：表格可扩展</w:t>
      </w:r>
    </w:p>
    <w:p w14:paraId="5039573D">
      <w:pP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p w14:paraId="7E90BEA7">
      <w:pP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供应商全称（盖章）</w:t>
      </w:r>
    </w:p>
    <w:p w14:paraId="2F7C481B">
      <w:pPr>
        <w:pStyle w:val="3"/>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日期：    年    月    日</w:t>
      </w:r>
    </w:p>
    <w:p w14:paraId="03D96991">
      <w:pPr>
        <w:tabs>
          <w:tab w:val="left" w:pos="6688"/>
        </w:tabs>
        <w:jc w:val="center"/>
        <w:rPr>
          <w:rFonts w:hint="eastAsia" w:eastAsiaTheme="minorEastAsia"/>
          <w:b/>
          <w:color w:val="000000" w:themeColor="text1"/>
          <w:sz w:val="28"/>
          <w:szCs w:val="28"/>
          <w:highlight w:val="none"/>
          <w:lang w:eastAsia="zh-CN"/>
          <w14:textFill>
            <w14:solidFill>
              <w14:schemeClr w14:val="tx1"/>
            </w14:solidFill>
          </w14:textFill>
        </w:rPr>
      </w:pPr>
      <w:r>
        <w:rPr>
          <w:rFonts w:hint="eastAsia"/>
          <w:b/>
          <w:color w:val="000000" w:themeColor="text1"/>
          <w:sz w:val="28"/>
          <w:szCs w:val="28"/>
          <w:highlight w:val="none"/>
          <w:lang w:val="en-US" w:eastAsia="zh-CN"/>
          <w14:textFill>
            <w14:solidFill>
              <w14:schemeClr w14:val="tx1"/>
            </w14:solidFill>
          </w14:textFill>
        </w:rPr>
        <w:t>随机标准附件、备品备件、零配件、专用工具</w:t>
      </w:r>
      <w:r>
        <w:rPr>
          <w:rFonts w:hint="eastAsia"/>
          <w:b/>
          <w:color w:val="000000" w:themeColor="text1"/>
          <w:sz w:val="28"/>
          <w:szCs w:val="28"/>
          <w:highlight w:val="none"/>
          <w14:textFill>
            <w14:solidFill>
              <w14:schemeClr w14:val="tx1"/>
            </w14:solidFill>
          </w14:textFill>
        </w:rPr>
        <w:t>清单</w:t>
      </w:r>
    </w:p>
    <w:p w14:paraId="7E187D3A">
      <w:pPr>
        <w:tabs>
          <w:tab w:val="left" w:pos="6688"/>
        </w:tabs>
        <w:jc w:val="center"/>
        <w:rPr>
          <w:rFonts w:hint="eastAsia" w:ascii="宋体" w:hAnsi="宋体" w:eastAsia="宋体" w:cs="宋体"/>
          <w:b/>
          <w:color w:val="000000" w:themeColor="text1"/>
          <w:sz w:val="21"/>
          <w:szCs w:val="21"/>
          <w:highlight w:val="none"/>
          <w:lang w:val="en-US" w:eastAsia="zh-CN"/>
          <w14:textFill>
            <w14:solidFill>
              <w14:schemeClr w14:val="tx1"/>
            </w14:solidFill>
          </w14:textFill>
        </w:rPr>
      </w:pPr>
    </w:p>
    <w:tbl>
      <w:tblPr>
        <w:tblStyle w:val="63"/>
        <w:tblW w:w="8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88"/>
        <w:gridCol w:w="988"/>
        <w:gridCol w:w="988"/>
        <w:gridCol w:w="988"/>
        <w:gridCol w:w="988"/>
        <w:gridCol w:w="988"/>
        <w:gridCol w:w="988"/>
        <w:gridCol w:w="988"/>
        <w:gridCol w:w="995"/>
      </w:tblGrid>
      <w:tr w14:paraId="739F2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6" w:hRule="atLeast"/>
          <w:jc w:val="center"/>
        </w:trPr>
        <w:tc>
          <w:tcPr>
            <w:tcW w:w="988" w:type="dxa"/>
            <w:tcBorders>
              <w:tl2br w:val="nil"/>
              <w:tr2bl w:val="nil"/>
            </w:tcBorders>
            <w:noWrap w:val="0"/>
            <w:tcMar>
              <w:top w:w="15" w:type="dxa"/>
              <w:left w:w="15" w:type="dxa"/>
              <w:bottom w:w="0" w:type="dxa"/>
              <w:right w:w="15" w:type="dxa"/>
            </w:tcMar>
            <w:vAlign w:val="center"/>
          </w:tcPr>
          <w:p w14:paraId="7C133C25">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序号</w:t>
            </w:r>
          </w:p>
        </w:tc>
        <w:tc>
          <w:tcPr>
            <w:tcW w:w="988" w:type="dxa"/>
            <w:tcBorders>
              <w:tl2br w:val="nil"/>
              <w:tr2bl w:val="nil"/>
            </w:tcBorders>
            <w:noWrap w:val="0"/>
            <w:tcMar>
              <w:top w:w="15" w:type="dxa"/>
              <w:left w:w="15" w:type="dxa"/>
              <w:bottom w:w="0" w:type="dxa"/>
              <w:right w:w="15" w:type="dxa"/>
            </w:tcMar>
            <w:vAlign w:val="center"/>
          </w:tcPr>
          <w:p w14:paraId="6D7C0E32">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名称</w:t>
            </w:r>
          </w:p>
        </w:tc>
        <w:tc>
          <w:tcPr>
            <w:tcW w:w="988" w:type="dxa"/>
            <w:tcBorders>
              <w:tl2br w:val="nil"/>
              <w:tr2bl w:val="nil"/>
            </w:tcBorders>
            <w:noWrap w:val="0"/>
            <w:tcMar>
              <w:top w:w="15" w:type="dxa"/>
              <w:left w:w="15" w:type="dxa"/>
              <w:bottom w:w="0" w:type="dxa"/>
              <w:right w:w="15" w:type="dxa"/>
            </w:tcMar>
            <w:vAlign w:val="center"/>
          </w:tcPr>
          <w:p w14:paraId="00A33EDD">
            <w:pPr>
              <w:snapToGrid w:val="0"/>
              <w:spacing w:before="50" w:after="50"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品牌</w:t>
            </w:r>
          </w:p>
        </w:tc>
        <w:tc>
          <w:tcPr>
            <w:tcW w:w="988" w:type="dxa"/>
            <w:tcBorders>
              <w:tl2br w:val="nil"/>
              <w:tr2bl w:val="nil"/>
            </w:tcBorders>
            <w:noWrap w:val="0"/>
            <w:tcMar>
              <w:top w:w="15" w:type="dxa"/>
              <w:left w:w="15" w:type="dxa"/>
              <w:bottom w:w="0" w:type="dxa"/>
              <w:right w:w="15" w:type="dxa"/>
            </w:tcMar>
            <w:vAlign w:val="center"/>
          </w:tcPr>
          <w:p w14:paraId="37D86B61">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规格型号</w:t>
            </w:r>
          </w:p>
        </w:tc>
        <w:tc>
          <w:tcPr>
            <w:tcW w:w="988" w:type="dxa"/>
            <w:tcBorders>
              <w:tl2br w:val="nil"/>
              <w:tr2bl w:val="nil"/>
            </w:tcBorders>
            <w:noWrap w:val="0"/>
            <w:tcMar>
              <w:top w:w="15" w:type="dxa"/>
              <w:left w:w="15" w:type="dxa"/>
              <w:bottom w:w="0" w:type="dxa"/>
              <w:right w:w="15" w:type="dxa"/>
            </w:tcMar>
            <w:vAlign w:val="center"/>
          </w:tcPr>
          <w:p w14:paraId="5DB0625B">
            <w:pPr>
              <w:snapToGrid w:val="0"/>
              <w:spacing w:before="50" w:after="50"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制造商</w:t>
            </w:r>
          </w:p>
        </w:tc>
        <w:tc>
          <w:tcPr>
            <w:tcW w:w="988" w:type="dxa"/>
            <w:tcBorders>
              <w:tl2br w:val="nil"/>
              <w:tr2bl w:val="nil"/>
            </w:tcBorders>
            <w:noWrap w:val="0"/>
            <w:tcMar>
              <w:top w:w="15" w:type="dxa"/>
              <w:left w:w="15" w:type="dxa"/>
              <w:bottom w:w="0" w:type="dxa"/>
              <w:right w:w="15" w:type="dxa"/>
            </w:tcMar>
            <w:vAlign w:val="center"/>
          </w:tcPr>
          <w:p w14:paraId="7A176808">
            <w:pPr>
              <w:snapToGrid w:val="0"/>
              <w:spacing w:before="50" w:after="50"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产地</w:t>
            </w:r>
          </w:p>
        </w:tc>
        <w:tc>
          <w:tcPr>
            <w:tcW w:w="988" w:type="dxa"/>
            <w:tcBorders>
              <w:tl2br w:val="nil"/>
              <w:tr2bl w:val="nil"/>
            </w:tcBorders>
            <w:noWrap w:val="0"/>
            <w:tcMar>
              <w:top w:w="15" w:type="dxa"/>
              <w:left w:w="15" w:type="dxa"/>
              <w:bottom w:w="0" w:type="dxa"/>
              <w:right w:w="15" w:type="dxa"/>
            </w:tcMar>
            <w:vAlign w:val="center"/>
          </w:tcPr>
          <w:p w14:paraId="004D936A">
            <w:pPr>
              <w:snapToGrid w:val="0"/>
              <w:spacing w:before="50" w:after="50"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数量</w:t>
            </w:r>
          </w:p>
        </w:tc>
        <w:tc>
          <w:tcPr>
            <w:tcW w:w="988" w:type="dxa"/>
            <w:tcBorders>
              <w:tl2br w:val="nil"/>
              <w:tr2bl w:val="nil"/>
            </w:tcBorders>
            <w:noWrap w:val="0"/>
            <w:tcMar>
              <w:top w:w="15" w:type="dxa"/>
              <w:left w:w="15" w:type="dxa"/>
              <w:bottom w:w="0" w:type="dxa"/>
              <w:right w:w="15" w:type="dxa"/>
            </w:tcMar>
            <w:vAlign w:val="center"/>
          </w:tcPr>
          <w:p w14:paraId="27D8D625">
            <w:pPr>
              <w:snapToGrid w:val="0"/>
              <w:spacing w:before="50" w:after="50"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单位</w:t>
            </w:r>
          </w:p>
        </w:tc>
        <w:tc>
          <w:tcPr>
            <w:tcW w:w="995" w:type="dxa"/>
            <w:tcBorders>
              <w:tl2br w:val="nil"/>
              <w:tr2bl w:val="nil"/>
            </w:tcBorders>
            <w:noWrap w:val="0"/>
            <w:tcMar>
              <w:top w:w="15" w:type="dxa"/>
              <w:left w:w="15" w:type="dxa"/>
              <w:bottom w:w="0" w:type="dxa"/>
              <w:right w:w="15" w:type="dxa"/>
            </w:tcMar>
            <w:vAlign w:val="center"/>
          </w:tcPr>
          <w:p w14:paraId="37A16979">
            <w:pPr>
              <w:snapToGrid w:val="0"/>
              <w:spacing w:before="50" w:after="50"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医疗器械备案/注册证号</w:t>
            </w:r>
          </w:p>
        </w:tc>
      </w:tr>
      <w:tr w14:paraId="74F4A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5" w:hRule="atLeast"/>
          <w:jc w:val="center"/>
        </w:trPr>
        <w:tc>
          <w:tcPr>
            <w:tcW w:w="988" w:type="dxa"/>
            <w:tcBorders>
              <w:tl2br w:val="nil"/>
              <w:tr2bl w:val="nil"/>
            </w:tcBorders>
            <w:noWrap w:val="0"/>
            <w:tcMar>
              <w:top w:w="15" w:type="dxa"/>
              <w:left w:w="15" w:type="dxa"/>
              <w:bottom w:w="0" w:type="dxa"/>
              <w:right w:w="15" w:type="dxa"/>
            </w:tcMar>
            <w:vAlign w:val="center"/>
          </w:tcPr>
          <w:p w14:paraId="150A2B67">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w:t>
            </w:r>
          </w:p>
        </w:tc>
        <w:tc>
          <w:tcPr>
            <w:tcW w:w="988" w:type="dxa"/>
            <w:tcBorders>
              <w:tl2br w:val="nil"/>
              <w:tr2bl w:val="nil"/>
            </w:tcBorders>
            <w:noWrap w:val="0"/>
            <w:tcMar>
              <w:top w:w="15" w:type="dxa"/>
              <w:left w:w="15" w:type="dxa"/>
              <w:bottom w:w="0" w:type="dxa"/>
              <w:right w:w="15" w:type="dxa"/>
            </w:tcMar>
            <w:vAlign w:val="center"/>
          </w:tcPr>
          <w:p w14:paraId="28638879">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988" w:type="dxa"/>
            <w:tcBorders>
              <w:tl2br w:val="nil"/>
              <w:tr2bl w:val="nil"/>
            </w:tcBorders>
            <w:noWrap w:val="0"/>
            <w:tcMar>
              <w:top w:w="15" w:type="dxa"/>
              <w:left w:w="15" w:type="dxa"/>
              <w:bottom w:w="0" w:type="dxa"/>
              <w:right w:w="15" w:type="dxa"/>
            </w:tcMar>
            <w:vAlign w:val="center"/>
          </w:tcPr>
          <w:p w14:paraId="306F6E25">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988" w:type="dxa"/>
            <w:tcBorders>
              <w:tl2br w:val="nil"/>
              <w:tr2bl w:val="nil"/>
            </w:tcBorders>
            <w:noWrap w:val="0"/>
            <w:tcMar>
              <w:top w:w="15" w:type="dxa"/>
              <w:left w:w="15" w:type="dxa"/>
              <w:bottom w:w="0" w:type="dxa"/>
              <w:right w:w="15" w:type="dxa"/>
            </w:tcMar>
            <w:vAlign w:val="center"/>
          </w:tcPr>
          <w:p w14:paraId="0A1D17D7">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988" w:type="dxa"/>
            <w:tcBorders>
              <w:tl2br w:val="nil"/>
              <w:tr2bl w:val="nil"/>
            </w:tcBorders>
            <w:noWrap w:val="0"/>
            <w:tcMar>
              <w:top w:w="15" w:type="dxa"/>
              <w:left w:w="15" w:type="dxa"/>
              <w:bottom w:w="0" w:type="dxa"/>
              <w:right w:w="15" w:type="dxa"/>
            </w:tcMar>
            <w:vAlign w:val="center"/>
          </w:tcPr>
          <w:p w14:paraId="4AF2647B">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988" w:type="dxa"/>
            <w:tcBorders>
              <w:tl2br w:val="nil"/>
              <w:tr2bl w:val="nil"/>
            </w:tcBorders>
            <w:noWrap w:val="0"/>
            <w:tcMar>
              <w:top w:w="15" w:type="dxa"/>
              <w:left w:w="15" w:type="dxa"/>
              <w:bottom w:w="0" w:type="dxa"/>
              <w:right w:w="15" w:type="dxa"/>
            </w:tcMar>
            <w:vAlign w:val="center"/>
          </w:tcPr>
          <w:p w14:paraId="0CCD4C7D">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988" w:type="dxa"/>
            <w:tcBorders>
              <w:tl2br w:val="nil"/>
              <w:tr2bl w:val="nil"/>
            </w:tcBorders>
            <w:noWrap w:val="0"/>
            <w:tcMar>
              <w:top w:w="15" w:type="dxa"/>
              <w:left w:w="15" w:type="dxa"/>
              <w:bottom w:w="0" w:type="dxa"/>
              <w:right w:w="15" w:type="dxa"/>
            </w:tcMar>
            <w:vAlign w:val="center"/>
          </w:tcPr>
          <w:p w14:paraId="20FA0FB4">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988" w:type="dxa"/>
            <w:tcBorders>
              <w:tl2br w:val="nil"/>
              <w:tr2bl w:val="nil"/>
            </w:tcBorders>
            <w:noWrap w:val="0"/>
            <w:tcMar>
              <w:top w:w="15" w:type="dxa"/>
              <w:left w:w="15" w:type="dxa"/>
              <w:bottom w:w="0" w:type="dxa"/>
              <w:right w:w="15" w:type="dxa"/>
            </w:tcMar>
            <w:vAlign w:val="center"/>
          </w:tcPr>
          <w:p w14:paraId="304A481A">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995" w:type="dxa"/>
            <w:tcBorders>
              <w:tl2br w:val="nil"/>
              <w:tr2bl w:val="nil"/>
            </w:tcBorders>
            <w:noWrap w:val="0"/>
            <w:tcMar>
              <w:top w:w="15" w:type="dxa"/>
              <w:left w:w="15" w:type="dxa"/>
              <w:bottom w:w="0" w:type="dxa"/>
              <w:right w:w="15" w:type="dxa"/>
            </w:tcMar>
            <w:vAlign w:val="center"/>
          </w:tcPr>
          <w:p w14:paraId="57C73494">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002B0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5" w:hRule="atLeast"/>
          <w:jc w:val="center"/>
        </w:trPr>
        <w:tc>
          <w:tcPr>
            <w:tcW w:w="988" w:type="dxa"/>
            <w:tcBorders>
              <w:tl2br w:val="nil"/>
              <w:tr2bl w:val="nil"/>
            </w:tcBorders>
            <w:noWrap w:val="0"/>
            <w:tcMar>
              <w:top w:w="15" w:type="dxa"/>
              <w:left w:w="15" w:type="dxa"/>
              <w:bottom w:w="0" w:type="dxa"/>
              <w:right w:w="15" w:type="dxa"/>
            </w:tcMar>
            <w:vAlign w:val="center"/>
          </w:tcPr>
          <w:p w14:paraId="4D23C508">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p>
        </w:tc>
        <w:tc>
          <w:tcPr>
            <w:tcW w:w="988" w:type="dxa"/>
            <w:tcBorders>
              <w:tl2br w:val="nil"/>
              <w:tr2bl w:val="nil"/>
            </w:tcBorders>
            <w:noWrap w:val="0"/>
            <w:tcMar>
              <w:top w:w="15" w:type="dxa"/>
              <w:left w:w="15" w:type="dxa"/>
              <w:bottom w:w="0" w:type="dxa"/>
              <w:right w:w="15" w:type="dxa"/>
            </w:tcMar>
            <w:vAlign w:val="center"/>
          </w:tcPr>
          <w:p w14:paraId="6B250AB4">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988" w:type="dxa"/>
            <w:tcBorders>
              <w:tl2br w:val="nil"/>
              <w:tr2bl w:val="nil"/>
            </w:tcBorders>
            <w:noWrap w:val="0"/>
            <w:tcMar>
              <w:top w:w="15" w:type="dxa"/>
              <w:left w:w="15" w:type="dxa"/>
              <w:bottom w:w="0" w:type="dxa"/>
              <w:right w:w="15" w:type="dxa"/>
            </w:tcMar>
            <w:vAlign w:val="center"/>
          </w:tcPr>
          <w:p w14:paraId="333D4C44">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988" w:type="dxa"/>
            <w:tcBorders>
              <w:tl2br w:val="nil"/>
              <w:tr2bl w:val="nil"/>
            </w:tcBorders>
            <w:noWrap w:val="0"/>
            <w:tcMar>
              <w:top w:w="15" w:type="dxa"/>
              <w:left w:w="15" w:type="dxa"/>
              <w:bottom w:w="0" w:type="dxa"/>
              <w:right w:w="15" w:type="dxa"/>
            </w:tcMar>
            <w:vAlign w:val="center"/>
          </w:tcPr>
          <w:p w14:paraId="391DA9AD">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988" w:type="dxa"/>
            <w:tcBorders>
              <w:tl2br w:val="nil"/>
              <w:tr2bl w:val="nil"/>
            </w:tcBorders>
            <w:noWrap w:val="0"/>
            <w:tcMar>
              <w:top w:w="15" w:type="dxa"/>
              <w:left w:w="15" w:type="dxa"/>
              <w:bottom w:w="0" w:type="dxa"/>
              <w:right w:w="15" w:type="dxa"/>
            </w:tcMar>
            <w:vAlign w:val="center"/>
          </w:tcPr>
          <w:p w14:paraId="38B86D5E">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988" w:type="dxa"/>
            <w:tcBorders>
              <w:tl2br w:val="nil"/>
              <w:tr2bl w:val="nil"/>
            </w:tcBorders>
            <w:noWrap w:val="0"/>
            <w:tcMar>
              <w:top w:w="15" w:type="dxa"/>
              <w:left w:w="15" w:type="dxa"/>
              <w:bottom w:w="0" w:type="dxa"/>
              <w:right w:w="15" w:type="dxa"/>
            </w:tcMar>
            <w:vAlign w:val="center"/>
          </w:tcPr>
          <w:p w14:paraId="059BEFA9">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988" w:type="dxa"/>
            <w:tcBorders>
              <w:tl2br w:val="nil"/>
              <w:tr2bl w:val="nil"/>
            </w:tcBorders>
            <w:noWrap w:val="0"/>
            <w:tcMar>
              <w:top w:w="15" w:type="dxa"/>
              <w:left w:w="15" w:type="dxa"/>
              <w:bottom w:w="0" w:type="dxa"/>
              <w:right w:w="15" w:type="dxa"/>
            </w:tcMar>
            <w:vAlign w:val="center"/>
          </w:tcPr>
          <w:p w14:paraId="13475527">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988" w:type="dxa"/>
            <w:tcBorders>
              <w:tl2br w:val="nil"/>
              <w:tr2bl w:val="nil"/>
            </w:tcBorders>
            <w:noWrap w:val="0"/>
            <w:tcMar>
              <w:top w:w="15" w:type="dxa"/>
              <w:left w:w="15" w:type="dxa"/>
              <w:bottom w:w="0" w:type="dxa"/>
              <w:right w:w="15" w:type="dxa"/>
            </w:tcMar>
            <w:vAlign w:val="center"/>
          </w:tcPr>
          <w:p w14:paraId="336C39F5">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995" w:type="dxa"/>
            <w:tcBorders>
              <w:tl2br w:val="nil"/>
              <w:tr2bl w:val="nil"/>
            </w:tcBorders>
            <w:noWrap w:val="0"/>
            <w:tcMar>
              <w:top w:w="15" w:type="dxa"/>
              <w:left w:w="15" w:type="dxa"/>
              <w:bottom w:w="0" w:type="dxa"/>
              <w:right w:w="15" w:type="dxa"/>
            </w:tcMar>
            <w:vAlign w:val="center"/>
          </w:tcPr>
          <w:p w14:paraId="1BE9FEDA">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73EF3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5" w:hRule="atLeast"/>
          <w:jc w:val="center"/>
        </w:trPr>
        <w:tc>
          <w:tcPr>
            <w:tcW w:w="988" w:type="dxa"/>
            <w:tcBorders>
              <w:tl2br w:val="nil"/>
              <w:tr2bl w:val="nil"/>
            </w:tcBorders>
            <w:noWrap w:val="0"/>
            <w:tcMar>
              <w:top w:w="15" w:type="dxa"/>
              <w:left w:w="15" w:type="dxa"/>
              <w:bottom w:w="0" w:type="dxa"/>
              <w:right w:w="15" w:type="dxa"/>
            </w:tcMar>
            <w:vAlign w:val="center"/>
          </w:tcPr>
          <w:p w14:paraId="3C959AF0">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988" w:type="dxa"/>
            <w:tcBorders>
              <w:tl2br w:val="nil"/>
              <w:tr2bl w:val="nil"/>
            </w:tcBorders>
            <w:noWrap w:val="0"/>
            <w:tcMar>
              <w:top w:w="15" w:type="dxa"/>
              <w:left w:w="15" w:type="dxa"/>
              <w:bottom w:w="0" w:type="dxa"/>
              <w:right w:w="15" w:type="dxa"/>
            </w:tcMar>
            <w:vAlign w:val="center"/>
          </w:tcPr>
          <w:p w14:paraId="00C129BA">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988" w:type="dxa"/>
            <w:tcBorders>
              <w:tl2br w:val="nil"/>
              <w:tr2bl w:val="nil"/>
            </w:tcBorders>
            <w:noWrap w:val="0"/>
            <w:tcMar>
              <w:top w:w="15" w:type="dxa"/>
              <w:left w:w="15" w:type="dxa"/>
              <w:bottom w:w="0" w:type="dxa"/>
              <w:right w:w="15" w:type="dxa"/>
            </w:tcMar>
            <w:vAlign w:val="center"/>
          </w:tcPr>
          <w:p w14:paraId="56512243">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988" w:type="dxa"/>
            <w:tcBorders>
              <w:tl2br w:val="nil"/>
              <w:tr2bl w:val="nil"/>
            </w:tcBorders>
            <w:noWrap w:val="0"/>
            <w:tcMar>
              <w:top w:w="15" w:type="dxa"/>
              <w:left w:w="15" w:type="dxa"/>
              <w:bottom w:w="0" w:type="dxa"/>
              <w:right w:w="15" w:type="dxa"/>
            </w:tcMar>
            <w:vAlign w:val="center"/>
          </w:tcPr>
          <w:p w14:paraId="2550D166">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988" w:type="dxa"/>
            <w:tcBorders>
              <w:tl2br w:val="nil"/>
              <w:tr2bl w:val="nil"/>
            </w:tcBorders>
            <w:noWrap w:val="0"/>
            <w:tcMar>
              <w:top w:w="15" w:type="dxa"/>
              <w:left w:w="15" w:type="dxa"/>
              <w:bottom w:w="0" w:type="dxa"/>
              <w:right w:w="15" w:type="dxa"/>
            </w:tcMar>
            <w:vAlign w:val="center"/>
          </w:tcPr>
          <w:p w14:paraId="481B388E">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988" w:type="dxa"/>
            <w:tcBorders>
              <w:tl2br w:val="nil"/>
              <w:tr2bl w:val="nil"/>
            </w:tcBorders>
            <w:noWrap w:val="0"/>
            <w:tcMar>
              <w:top w:w="15" w:type="dxa"/>
              <w:left w:w="15" w:type="dxa"/>
              <w:bottom w:w="0" w:type="dxa"/>
              <w:right w:w="15" w:type="dxa"/>
            </w:tcMar>
            <w:vAlign w:val="center"/>
          </w:tcPr>
          <w:p w14:paraId="32489958">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988" w:type="dxa"/>
            <w:tcBorders>
              <w:tl2br w:val="nil"/>
              <w:tr2bl w:val="nil"/>
            </w:tcBorders>
            <w:noWrap w:val="0"/>
            <w:tcMar>
              <w:top w:w="15" w:type="dxa"/>
              <w:left w:w="15" w:type="dxa"/>
              <w:bottom w:w="0" w:type="dxa"/>
              <w:right w:w="15" w:type="dxa"/>
            </w:tcMar>
            <w:vAlign w:val="center"/>
          </w:tcPr>
          <w:p w14:paraId="1BACC136">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988" w:type="dxa"/>
            <w:tcBorders>
              <w:tl2br w:val="nil"/>
              <w:tr2bl w:val="nil"/>
            </w:tcBorders>
            <w:noWrap w:val="0"/>
            <w:tcMar>
              <w:top w:w="15" w:type="dxa"/>
              <w:left w:w="15" w:type="dxa"/>
              <w:bottom w:w="0" w:type="dxa"/>
              <w:right w:w="15" w:type="dxa"/>
            </w:tcMar>
            <w:vAlign w:val="center"/>
          </w:tcPr>
          <w:p w14:paraId="31820832">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995" w:type="dxa"/>
            <w:tcBorders>
              <w:tl2br w:val="nil"/>
              <w:tr2bl w:val="nil"/>
            </w:tcBorders>
            <w:noWrap w:val="0"/>
            <w:tcMar>
              <w:top w:w="15" w:type="dxa"/>
              <w:left w:w="15" w:type="dxa"/>
              <w:bottom w:w="0" w:type="dxa"/>
              <w:right w:w="15" w:type="dxa"/>
            </w:tcMar>
            <w:vAlign w:val="center"/>
          </w:tcPr>
          <w:p w14:paraId="0F0B967A">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bl>
    <w:p w14:paraId="3D2BB1CC">
      <w:pPr>
        <w:pStyle w:val="61"/>
        <w:spacing w:line="360" w:lineRule="auto"/>
        <w:ind w:left="0" w:leftChars="0" w:firstLine="0" w:firstLineChars="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填表说明：表格可扩展</w:t>
      </w:r>
    </w:p>
    <w:p w14:paraId="28AE0DFB">
      <w:pPr>
        <w:rPr>
          <w:rFonts w:hint="eastAsia" w:ascii="宋体" w:hAnsi="宋体" w:eastAsia="宋体" w:cs="宋体"/>
          <w:color w:val="000000" w:themeColor="text1"/>
          <w:sz w:val="21"/>
          <w:szCs w:val="21"/>
          <w:highlight w:val="none"/>
          <w:lang w:val="en-US" w:eastAsia="zh-CN"/>
          <w14:textFill>
            <w14:solidFill>
              <w14:schemeClr w14:val="tx1"/>
            </w14:solidFill>
          </w14:textFill>
        </w:rPr>
      </w:pPr>
    </w:p>
    <w:p w14:paraId="66EE36EF">
      <w:pPr>
        <w:rPr>
          <w:rFonts w:hint="eastAsia" w:ascii="宋体" w:hAnsi="宋体" w:eastAsia="宋体" w:cs="宋体"/>
          <w:color w:val="000000" w:themeColor="text1"/>
          <w:sz w:val="21"/>
          <w:szCs w:val="21"/>
          <w:highlight w:val="none"/>
          <w:lang w:val="en-US" w:eastAsia="zh-CN"/>
          <w14:textFill>
            <w14:solidFill>
              <w14:schemeClr w14:val="tx1"/>
            </w14:solidFill>
          </w14:textFill>
        </w:rPr>
      </w:pPr>
    </w:p>
    <w:p w14:paraId="5DDCDBD0">
      <w:pP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供应商全称（盖章）</w:t>
      </w:r>
    </w:p>
    <w:p w14:paraId="3FD45140">
      <w:pPr>
        <w:pStyle w:val="3"/>
        <w:jc w:val="left"/>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日期：    年    月    日</w:t>
      </w:r>
    </w:p>
    <w:p w14:paraId="4C1AB1E8">
      <w:pPr>
        <w:pStyle w:val="3"/>
        <w:rPr>
          <w:rFonts w:hint="eastAsia"/>
          <w:color w:val="000000" w:themeColor="text1"/>
          <w:highlight w:val="none"/>
          <w14:textFill>
            <w14:solidFill>
              <w14:schemeClr w14:val="tx1"/>
            </w14:solidFill>
          </w14:textFill>
        </w:rPr>
        <w:sectPr>
          <w:footerReference r:id="rId12"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1FB76517">
      <w:pPr>
        <w:tabs>
          <w:tab w:val="left" w:pos="6688"/>
        </w:tabs>
        <w:jc w:val="both"/>
        <w:rPr>
          <w:rFonts w:hint="default" w:eastAsiaTheme="minorEastAsia"/>
          <w:b/>
          <w:color w:val="000000" w:themeColor="text1"/>
          <w:sz w:val="28"/>
          <w:szCs w:val="28"/>
          <w:highlight w:val="none"/>
          <w:lang w:val="en-US" w:eastAsia="zh-CN"/>
          <w14:textFill>
            <w14:solidFill>
              <w14:schemeClr w14:val="tx1"/>
            </w14:solidFill>
          </w14:textFill>
        </w:rPr>
      </w:pPr>
      <w:r>
        <w:rPr>
          <w:rFonts w:hint="eastAsia"/>
          <w:b/>
          <w:color w:val="000000" w:themeColor="text1"/>
          <w:sz w:val="28"/>
          <w:szCs w:val="28"/>
          <w:highlight w:val="none"/>
          <w:lang w:val="en-US" w:eastAsia="zh-CN"/>
          <w14:textFill>
            <w14:solidFill>
              <w14:schemeClr w14:val="tx1"/>
            </w14:solidFill>
          </w14:textFill>
        </w:rPr>
        <w:t>附件二：</w:t>
      </w:r>
    </w:p>
    <w:p w14:paraId="7EF5F551">
      <w:pPr>
        <w:pStyle w:val="4"/>
        <w:bidi w:val="0"/>
        <w:jc w:val="center"/>
        <w:rPr>
          <w:rFonts w:hint="eastAsia"/>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质量保证及</w:t>
      </w:r>
      <w:r>
        <w:rPr>
          <w:rFonts w:hint="eastAsia"/>
          <w:color w:val="000000" w:themeColor="text1"/>
          <w:highlight w:val="none"/>
          <w:lang w:eastAsia="zh-CN"/>
          <w14:textFill>
            <w14:solidFill>
              <w14:schemeClr w14:val="tx1"/>
            </w14:solidFill>
          </w14:textFill>
        </w:rPr>
        <w:t>售后服务承诺书</w:t>
      </w:r>
    </w:p>
    <w:p w14:paraId="1EB3435E">
      <w:pPr>
        <w:spacing w:line="324"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甲方：</w:t>
      </w:r>
    </w:p>
    <w:p w14:paraId="757B370A">
      <w:pPr>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乙方（承诺方/投标人）：</w:t>
      </w:r>
    </w:p>
    <w:p w14:paraId="25563FC7">
      <w:pPr>
        <w:spacing w:line="324" w:lineRule="auto"/>
        <w:ind w:firstLine="420" w:firstLineChars="200"/>
        <w:rPr>
          <w:rFonts w:hint="eastAsia" w:ascii="宋体" w:hAnsi="宋体" w:eastAsia="宋体" w:cs="宋体"/>
          <w:b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就贵方项目</w:t>
      </w:r>
      <w:r>
        <w:rPr>
          <w:rFonts w:hint="eastAsia" w:ascii="宋体" w:hAnsi="宋体" w:eastAsia="宋体" w:cs="宋体"/>
          <w:b w:val="0"/>
          <w:color w:val="000000" w:themeColor="text1"/>
          <w:sz w:val="21"/>
          <w:szCs w:val="21"/>
          <w:highlight w:val="none"/>
          <w:u w:val="single"/>
          <w14:textFill>
            <w14:solidFill>
              <w14:schemeClr w14:val="tx1"/>
            </w14:solidFill>
          </w14:textFill>
        </w:rPr>
        <w:t> </w:t>
      </w:r>
      <w:r>
        <w:rPr>
          <w:rFonts w:hint="eastAsia" w:ascii="宋体" w:hAnsi="宋体" w:eastAsia="宋体" w:cs="宋体"/>
          <w:b w:val="0"/>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b w:val="0"/>
          <w:color w:val="000000" w:themeColor="text1"/>
          <w:sz w:val="21"/>
          <w:szCs w:val="21"/>
          <w:highlight w:val="none"/>
          <w:u w:val="single"/>
          <w14:textFill>
            <w14:solidFill>
              <w14:schemeClr w14:val="tx1"/>
            </w14:solidFill>
          </w14:textFill>
        </w:rPr>
        <w:t> </w:t>
      </w:r>
      <w:r>
        <w:rPr>
          <w:rFonts w:hint="eastAsia" w:ascii="宋体" w:hAnsi="宋体" w:eastAsia="宋体" w:cs="宋体"/>
          <w:b w:val="0"/>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（采购编号：</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）的售后服务，我方做出以下承诺</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b w:val="0"/>
          <w:color w:val="000000" w:themeColor="text1"/>
          <w:kern w:val="2"/>
          <w:sz w:val="21"/>
          <w:szCs w:val="21"/>
          <w:highlight w:val="none"/>
          <w:lang w:val="en-US" w:eastAsia="zh-CN" w:bidi="ar-SA"/>
          <w14:textFill>
            <w14:solidFill>
              <w14:schemeClr w14:val="tx1"/>
            </w14:solidFill>
          </w14:textFill>
        </w:rPr>
        <w:t>承诺自项目中标通知发出之日起生效。</w:t>
      </w:r>
    </w:p>
    <w:p w14:paraId="4025D959">
      <w:pPr>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1、质量保证：</w:t>
      </w:r>
    </w:p>
    <w:p w14:paraId="4E6732A0">
      <w:pPr>
        <w:pStyle w:val="5"/>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b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b w:val="0"/>
          <w:color w:val="000000" w:themeColor="text1"/>
          <w:sz w:val="21"/>
          <w:szCs w:val="21"/>
          <w:highlight w:val="none"/>
          <w:lang w:eastAsia="zh-CN"/>
          <w14:textFill>
            <w14:solidFill>
              <w14:schemeClr w14:val="tx1"/>
            </w14:solidFill>
          </w14:textFill>
        </w:rPr>
        <w:t>保证交付的货物均为厂家原装全新出品，且检验合格，并提供合格证明资料。国产货物生产日期不超过半年，</w:t>
      </w:r>
      <w:r>
        <w:rPr>
          <w:rFonts w:hint="eastAsia" w:ascii="宋体" w:hAnsi="宋体" w:eastAsia="宋体" w:cs="宋体"/>
          <w:b w:val="0"/>
          <w:color w:val="000000" w:themeColor="text1"/>
          <w:sz w:val="21"/>
          <w:szCs w:val="21"/>
          <w:highlight w:val="none"/>
          <w:lang w:val="en-US" w:eastAsia="zh-CN"/>
          <w14:textFill>
            <w14:solidFill>
              <w14:schemeClr w14:val="tx1"/>
            </w14:solidFill>
          </w14:textFill>
        </w:rPr>
        <w:t>进口货物生产日期不超过一年，</w:t>
      </w:r>
      <w:r>
        <w:rPr>
          <w:rFonts w:hint="eastAsia" w:ascii="宋体" w:hAnsi="宋体" w:eastAsia="宋体" w:cs="宋体"/>
          <w:b w:val="0"/>
          <w:color w:val="000000" w:themeColor="text1"/>
          <w:sz w:val="21"/>
          <w:szCs w:val="21"/>
          <w:highlight w:val="none"/>
          <w:lang w:eastAsia="zh-CN"/>
          <w14:textFill>
            <w14:solidFill>
              <w14:schemeClr w14:val="tx1"/>
            </w14:solidFill>
          </w14:textFill>
        </w:rPr>
        <w:t>特殊情况经协商同意的超期除外。（以产品标签、标识或出厂证明资料为准）。</w:t>
      </w:r>
    </w:p>
    <w:p w14:paraId="2DE9ECE8">
      <w:pPr>
        <w:pStyle w:val="5"/>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b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val="0"/>
          <w:color w:val="000000" w:themeColor="text1"/>
          <w:sz w:val="21"/>
          <w:szCs w:val="21"/>
          <w:highlight w:val="none"/>
          <w:lang w:eastAsia="zh-CN"/>
          <w14:textFill>
            <w14:solidFill>
              <w14:schemeClr w14:val="tx1"/>
            </w14:solidFill>
          </w14:textFill>
        </w:rPr>
        <w:t>）乙方应提供</w:t>
      </w:r>
      <w:r>
        <w:rPr>
          <w:rFonts w:hint="eastAsia" w:ascii="宋体" w:hAnsi="宋体" w:eastAsia="宋体" w:cs="宋体"/>
          <w:b w:val="0"/>
          <w:color w:val="000000" w:themeColor="text1"/>
          <w:sz w:val="21"/>
          <w:szCs w:val="21"/>
          <w:highlight w:val="none"/>
          <w:u w:val="single"/>
          <w:lang w:eastAsia="zh-CN"/>
          <w14:textFill>
            <w14:solidFill>
              <w14:schemeClr w14:val="tx1"/>
            </w14:solidFill>
          </w14:textFill>
        </w:rPr>
        <w:t> </w:t>
      </w:r>
      <w:r>
        <w:rPr>
          <w:rFonts w:hint="eastAsia" w:ascii="宋体" w:hAnsi="宋体" w:eastAsia="宋体" w:cs="宋体"/>
          <w:b w:val="0"/>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b w:val="0"/>
          <w:color w:val="000000" w:themeColor="text1"/>
          <w:sz w:val="21"/>
          <w:szCs w:val="21"/>
          <w:highlight w:val="none"/>
          <w:lang w:val="en-US" w:eastAsia="zh-CN"/>
          <w14:textFill>
            <w14:solidFill>
              <w14:schemeClr w14:val="tx1"/>
            </w14:solidFill>
          </w14:textFill>
        </w:rPr>
        <w:t>年</w:t>
      </w:r>
      <w:r>
        <w:rPr>
          <w:rFonts w:hint="eastAsia" w:ascii="宋体" w:hAnsi="宋体" w:eastAsia="宋体" w:cs="宋体"/>
          <w:b w:val="0"/>
          <w:color w:val="000000" w:themeColor="text1"/>
          <w:sz w:val="21"/>
          <w:szCs w:val="21"/>
          <w:highlight w:val="none"/>
          <w:lang w:eastAsia="zh-CN"/>
          <w14:textFill>
            <w14:solidFill>
              <w14:schemeClr w14:val="tx1"/>
            </w14:solidFill>
          </w14:textFill>
        </w:rPr>
        <w:t>保修期，保修期的期限应以设备验收合格、完成培训考核后，</w:t>
      </w:r>
      <w:r>
        <w:rPr>
          <w:rFonts w:hint="eastAsia" w:ascii="宋体" w:hAnsi="宋体" w:eastAsia="宋体" w:cs="宋体"/>
          <w:b w:val="0"/>
          <w:color w:val="000000" w:themeColor="text1"/>
          <w:sz w:val="21"/>
          <w:szCs w:val="21"/>
          <w:highlight w:val="none"/>
          <w:lang w:val="en-US" w:eastAsia="zh-CN"/>
          <w14:textFill>
            <w14:solidFill>
              <w14:schemeClr w14:val="tx1"/>
            </w14:solidFill>
          </w14:textFill>
        </w:rPr>
        <w:t>以甲方验收单时间起</w:t>
      </w:r>
      <w:r>
        <w:rPr>
          <w:rFonts w:hint="eastAsia" w:ascii="宋体" w:hAnsi="宋体" w:eastAsia="宋体" w:cs="宋体"/>
          <w:b w:val="0"/>
          <w:color w:val="000000" w:themeColor="text1"/>
          <w:sz w:val="21"/>
          <w:szCs w:val="21"/>
          <w:highlight w:val="none"/>
          <w:lang w:eastAsia="zh-CN"/>
          <w14:textFill>
            <w14:solidFill>
              <w14:schemeClr w14:val="tx1"/>
            </w14:solidFill>
          </w14:textFill>
        </w:rPr>
        <w:t>计算。</w:t>
      </w:r>
    </w:p>
    <w:p w14:paraId="035A3A4E">
      <w:pPr>
        <w:pStyle w:val="5"/>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color w:val="000000" w:themeColor="text1"/>
          <w:sz w:val="21"/>
          <w:szCs w:val="21"/>
          <w:highlight w:val="none"/>
          <w14:textFill>
            <w14:solidFill>
              <w14:schemeClr w14:val="tx1"/>
            </w14:solidFill>
          </w14:textFill>
        </w:rPr>
        <w:t>保修期内免费更换</w:t>
      </w:r>
      <w:r>
        <w:rPr>
          <w:rFonts w:hint="eastAsia" w:ascii="宋体" w:hAnsi="宋体" w:eastAsia="宋体" w:cs="宋体"/>
          <w:b w:val="0"/>
          <w:color w:val="000000" w:themeColor="text1"/>
          <w:sz w:val="21"/>
          <w:szCs w:val="21"/>
          <w:highlight w:val="none"/>
          <w:lang w:val="en-US" w:eastAsia="zh-CN"/>
          <w14:textFill>
            <w14:solidFill>
              <w14:schemeClr w14:val="tx1"/>
            </w14:solidFill>
          </w14:textFill>
        </w:rPr>
        <w:t>原厂全新</w:t>
      </w:r>
      <w:r>
        <w:rPr>
          <w:rFonts w:hint="eastAsia" w:ascii="宋体" w:hAnsi="宋体" w:eastAsia="宋体" w:cs="宋体"/>
          <w:b w:val="0"/>
          <w:color w:val="000000" w:themeColor="text1"/>
          <w:sz w:val="21"/>
          <w:szCs w:val="21"/>
          <w:highlight w:val="none"/>
          <w14:textFill>
            <w14:solidFill>
              <w14:schemeClr w14:val="tx1"/>
            </w14:solidFill>
          </w14:textFill>
        </w:rPr>
        <w:t>零配件及</w:t>
      </w:r>
      <w:r>
        <w:rPr>
          <w:rFonts w:hint="eastAsia" w:ascii="宋体" w:hAnsi="宋体" w:eastAsia="宋体" w:cs="宋体"/>
          <w:b w:val="0"/>
          <w:color w:val="000000" w:themeColor="text1"/>
          <w:sz w:val="21"/>
          <w:szCs w:val="21"/>
          <w:highlight w:val="none"/>
          <w:lang w:val="en-US" w:eastAsia="zh-CN"/>
          <w14:textFill>
            <w14:solidFill>
              <w14:schemeClr w14:val="tx1"/>
            </w14:solidFill>
          </w14:textFill>
        </w:rPr>
        <w:t>包含维修产生的一切费用（费用包括但不限于零配件费、人工等费用）</w:t>
      </w:r>
      <w:r>
        <w:rPr>
          <w:rFonts w:hint="eastAsia" w:ascii="宋体" w:hAnsi="宋体" w:eastAsia="宋体" w:cs="宋体"/>
          <w:b w:val="0"/>
          <w:color w:val="000000" w:themeColor="text1"/>
          <w:sz w:val="21"/>
          <w:szCs w:val="21"/>
          <w:highlight w:val="none"/>
          <w14:textFill>
            <w14:solidFill>
              <w14:schemeClr w14:val="tx1"/>
            </w14:solidFill>
          </w14:textFill>
        </w:rPr>
        <w:t>。</w:t>
      </w:r>
    </w:p>
    <w:p w14:paraId="383E5AB4">
      <w:pPr>
        <w:numPr>
          <w:ilvl w:val="0"/>
          <w:numId w:val="0"/>
        </w:numPr>
        <w:spacing w:line="360" w:lineRule="auto"/>
        <w:ind w:leftChars="0"/>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color w:val="000000" w:themeColor="text1"/>
          <w:sz w:val="21"/>
          <w:szCs w:val="21"/>
          <w:highlight w:val="none"/>
          <w14:textFill>
            <w14:solidFill>
              <w14:schemeClr w14:val="tx1"/>
            </w14:solidFill>
          </w14:textFill>
        </w:rPr>
        <w:t>设备保修期内，</w:t>
      </w:r>
      <w:r>
        <w:rPr>
          <w:rFonts w:hint="eastAsia" w:ascii="宋体" w:hAnsi="宋体" w:eastAsia="宋体" w:cs="宋体"/>
          <w:b w:val="0"/>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b w:val="0"/>
          <w:color w:val="000000" w:themeColor="text1"/>
          <w:sz w:val="21"/>
          <w:szCs w:val="21"/>
          <w:highlight w:val="none"/>
          <w14:textFill>
            <w14:solidFill>
              <w14:schemeClr w14:val="tx1"/>
            </w14:solidFill>
          </w14:textFill>
        </w:rPr>
        <w:t>要确保设备正常运行，设备的功能和技术指标达到投标文件和国家</w:t>
      </w:r>
      <w:r>
        <w:rPr>
          <w:rFonts w:hint="eastAsia" w:ascii="宋体" w:hAnsi="宋体" w:eastAsia="宋体" w:cs="宋体"/>
          <w:b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color w:val="000000" w:themeColor="text1"/>
          <w:sz w:val="21"/>
          <w:szCs w:val="21"/>
          <w:highlight w:val="none"/>
          <w:lang w:val="en-US" w:eastAsia="zh-CN"/>
          <w14:textFill>
            <w14:solidFill>
              <w14:schemeClr w14:val="tx1"/>
            </w14:solidFill>
          </w14:textFill>
        </w:rPr>
        <w:t>行业</w:t>
      </w:r>
      <w:r>
        <w:rPr>
          <w:rFonts w:hint="eastAsia" w:ascii="宋体" w:hAnsi="宋体" w:eastAsia="宋体" w:cs="宋体"/>
          <w:b w:val="0"/>
          <w:color w:val="000000" w:themeColor="text1"/>
          <w:sz w:val="21"/>
          <w:szCs w:val="21"/>
          <w:highlight w:val="none"/>
          <w14:textFill>
            <w14:solidFill>
              <w14:schemeClr w14:val="tx1"/>
            </w14:solidFill>
          </w14:textFill>
        </w:rPr>
        <w:t>相关标准。</w:t>
      </w:r>
    </w:p>
    <w:p w14:paraId="648CF305">
      <w:pPr>
        <w:pStyle w:val="16"/>
        <w:numPr>
          <w:ilvl w:val="0"/>
          <w:numId w:val="0"/>
        </w:numPr>
        <w:spacing w:line="360" w:lineRule="auto"/>
        <w:ind w:leftChars="0"/>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color w:val="000000" w:themeColor="text1"/>
          <w:sz w:val="21"/>
          <w:szCs w:val="21"/>
          <w:highlight w:val="none"/>
          <w14:textFill>
            <w14:solidFill>
              <w14:schemeClr w14:val="tx1"/>
            </w14:solidFill>
          </w14:textFill>
        </w:rPr>
        <w:t>设备保修期内，因设备任何配件出现故障或性能无法达到要求，须免费更换</w:t>
      </w:r>
      <w:r>
        <w:rPr>
          <w:rFonts w:hint="eastAsia" w:ascii="宋体" w:hAnsi="宋体" w:eastAsia="宋体" w:cs="宋体"/>
          <w:b w:val="0"/>
          <w:color w:val="000000" w:themeColor="text1"/>
          <w:sz w:val="21"/>
          <w:szCs w:val="21"/>
          <w:highlight w:val="none"/>
          <w:lang w:val="en-US" w:eastAsia="zh-CN"/>
          <w14:textFill>
            <w14:solidFill>
              <w14:schemeClr w14:val="tx1"/>
            </w14:solidFill>
          </w14:textFill>
        </w:rPr>
        <w:t>原厂</w:t>
      </w:r>
      <w:r>
        <w:rPr>
          <w:rFonts w:hint="eastAsia" w:ascii="宋体" w:hAnsi="宋体" w:eastAsia="宋体" w:cs="宋体"/>
          <w:b w:val="0"/>
          <w:color w:val="000000" w:themeColor="text1"/>
          <w:sz w:val="21"/>
          <w:szCs w:val="21"/>
          <w:highlight w:val="none"/>
          <w14:textFill>
            <w14:solidFill>
              <w14:schemeClr w14:val="tx1"/>
            </w14:solidFill>
          </w14:textFill>
        </w:rPr>
        <w:t>全新零配件，所有费用由</w:t>
      </w:r>
      <w:r>
        <w:rPr>
          <w:rFonts w:hint="eastAsia" w:ascii="宋体" w:hAnsi="宋体" w:eastAsia="宋体" w:cs="宋体"/>
          <w:b w:val="0"/>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b w:val="0"/>
          <w:color w:val="000000" w:themeColor="text1"/>
          <w:sz w:val="21"/>
          <w:szCs w:val="21"/>
          <w:highlight w:val="none"/>
          <w14:textFill>
            <w14:solidFill>
              <w14:schemeClr w14:val="tx1"/>
            </w14:solidFill>
          </w14:textFill>
        </w:rPr>
        <w:t>承担。</w:t>
      </w:r>
    </w:p>
    <w:p w14:paraId="291651AE">
      <w:pPr>
        <w:pStyle w:val="16"/>
        <w:numPr>
          <w:ilvl w:val="0"/>
          <w:numId w:val="0"/>
        </w:numPr>
        <w:spacing w:line="360" w:lineRule="auto"/>
        <w:ind w:leftChars="0"/>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color w:val="000000" w:themeColor="text1"/>
          <w:sz w:val="21"/>
          <w:szCs w:val="21"/>
          <w:highlight w:val="none"/>
          <w:lang w:val="en-US" w:eastAsia="zh-CN"/>
          <w14:textFill>
            <w14:solidFill>
              <w14:schemeClr w14:val="tx1"/>
            </w14:solidFill>
          </w14:textFill>
        </w:rPr>
        <w:t>6</w:t>
      </w:r>
      <w:r>
        <w:rPr>
          <w:rFonts w:hint="eastAsia" w:ascii="宋体" w:hAnsi="宋体" w:eastAsia="宋体" w:cs="宋体"/>
          <w:b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color w:val="000000" w:themeColor="text1"/>
          <w:sz w:val="21"/>
          <w:szCs w:val="21"/>
          <w:highlight w:val="none"/>
          <w14:textFill>
            <w14:solidFill>
              <w14:schemeClr w14:val="tx1"/>
            </w14:solidFill>
          </w14:textFill>
        </w:rPr>
        <w:t>设备保修期内，</w:t>
      </w:r>
      <w:r>
        <w:rPr>
          <w:rFonts w:hint="eastAsia" w:ascii="宋体" w:hAnsi="宋体" w:eastAsia="宋体" w:cs="宋体"/>
          <w:b w:val="0"/>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b w:val="0"/>
          <w:color w:val="000000" w:themeColor="text1"/>
          <w:sz w:val="21"/>
          <w:szCs w:val="21"/>
          <w:highlight w:val="none"/>
          <w14:textFill>
            <w14:solidFill>
              <w14:schemeClr w14:val="tx1"/>
            </w14:solidFill>
          </w14:textFill>
        </w:rPr>
        <w:t>承诺按照设备使用说明书要求进行保养</w:t>
      </w:r>
      <w:r>
        <w:rPr>
          <w:rFonts w:hint="eastAsia" w:ascii="宋体" w:hAnsi="宋体" w:eastAsia="宋体" w:cs="宋体"/>
          <w:b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color w:val="000000" w:themeColor="text1"/>
          <w:sz w:val="21"/>
          <w:szCs w:val="21"/>
          <w:highlight w:val="none"/>
          <w14:textFill>
            <w14:solidFill>
              <w14:schemeClr w14:val="tx1"/>
            </w14:solidFill>
          </w14:textFill>
        </w:rPr>
        <w:t>每年应提供不少于2次的预防性</w:t>
      </w:r>
      <w:r>
        <w:rPr>
          <w:rFonts w:hint="eastAsia" w:ascii="宋体" w:hAnsi="宋体" w:eastAsia="宋体" w:cs="宋体"/>
          <w:b w:val="0"/>
          <w:color w:val="000000" w:themeColor="text1"/>
          <w:sz w:val="21"/>
          <w:szCs w:val="21"/>
          <w:highlight w:val="none"/>
          <w:lang w:eastAsia="zh-CN"/>
          <w14:textFill>
            <w14:solidFill>
              <w14:schemeClr w14:val="tx1"/>
            </w14:solidFill>
          </w14:textFill>
        </w:rPr>
        <w:t>维护</w:t>
      </w:r>
      <w:r>
        <w:rPr>
          <w:rFonts w:hint="eastAsia" w:ascii="宋体" w:hAnsi="宋体" w:eastAsia="宋体" w:cs="宋体"/>
          <w:b w:val="0"/>
          <w:color w:val="000000" w:themeColor="text1"/>
          <w:sz w:val="21"/>
          <w:szCs w:val="21"/>
          <w:highlight w:val="none"/>
          <w14:textFill>
            <w14:solidFill>
              <w14:schemeClr w14:val="tx1"/>
            </w14:solidFill>
          </w14:textFill>
        </w:rPr>
        <w:t>保养</w:t>
      </w:r>
      <w:r>
        <w:rPr>
          <w:rFonts w:hint="eastAsia" w:ascii="宋体" w:hAnsi="宋体" w:eastAsia="宋体" w:cs="宋体"/>
          <w:b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color w:val="000000" w:themeColor="text1"/>
          <w:sz w:val="21"/>
          <w:szCs w:val="21"/>
          <w:highlight w:val="none"/>
          <w:lang w:val="zh-CN"/>
          <w14:textFill>
            <w14:solidFill>
              <w14:schemeClr w14:val="tx1"/>
            </w14:solidFill>
          </w14:textFill>
        </w:rPr>
        <w:t>每次PM计划时间跨度不大于1个月</w:t>
      </w:r>
      <w:r>
        <w:rPr>
          <w:rFonts w:hint="eastAsia" w:ascii="宋体" w:hAnsi="宋体" w:eastAsia="宋体" w:cs="宋体"/>
          <w:b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color w:val="000000" w:themeColor="text1"/>
          <w:sz w:val="21"/>
          <w:szCs w:val="21"/>
          <w:highlight w:val="none"/>
          <w14:textFill>
            <w14:solidFill>
              <w14:schemeClr w14:val="tx1"/>
            </w14:solidFill>
          </w14:textFill>
        </w:rPr>
        <w:t>并提供设备维修、保养详细工作报告单。</w:t>
      </w:r>
    </w:p>
    <w:p w14:paraId="667DE693">
      <w:pPr>
        <w:pStyle w:val="16"/>
        <w:numPr>
          <w:ilvl w:val="0"/>
          <w:numId w:val="0"/>
        </w:numPr>
        <w:spacing w:line="360" w:lineRule="auto"/>
        <w:ind w:leftChars="0"/>
        <w:rPr>
          <w:rFonts w:hint="eastAsia" w:ascii="宋体" w:hAnsi="宋体" w:eastAsia="宋体" w:cs="宋体"/>
          <w:b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color w:val="000000" w:themeColor="text1"/>
          <w:sz w:val="21"/>
          <w:szCs w:val="21"/>
          <w:highlight w:val="none"/>
          <w:lang w:val="en-US" w:eastAsia="zh-CN"/>
          <w14:textFill>
            <w14:solidFill>
              <w14:schemeClr w14:val="tx1"/>
            </w14:solidFill>
          </w14:textFill>
        </w:rPr>
        <w:t>（7）</w:t>
      </w:r>
      <w:r>
        <w:rPr>
          <w:rFonts w:hint="eastAsia" w:ascii="宋体" w:hAnsi="宋体" w:eastAsia="宋体" w:cs="宋体"/>
          <w:b w:val="0"/>
          <w:color w:val="000000" w:themeColor="text1"/>
          <w:sz w:val="21"/>
          <w:szCs w:val="21"/>
          <w:highlight w:val="none"/>
          <w14:textFill>
            <w14:solidFill>
              <w14:schemeClr w14:val="tx1"/>
            </w14:solidFill>
          </w14:textFill>
        </w:rPr>
        <w:t>设备保修期内</w:t>
      </w:r>
      <w:r>
        <w:rPr>
          <w:rFonts w:hint="eastAsia" w:ascii="宋体" w:hAnsi="宋体" w:eastAsia="宋体" w:cs="宋体"/>
          <w:b w:val="0"/>
          <w:color w:val="000000" w:themeColor="text1"/>
          <w:sz w:val="21"/>
          <w:szCs w:val="21"/>
          <w:highlight w:val="none"/>
          <w:lang w:val="en-US" w:eastAsia="zh-CN"/>
          <w14:textFill>
            <w14:solidFill>
              <w14:schemeClr w14:val="tx1"/>
            </w14:solidFill>
          </w14:textFill>
        </w:rPr>
        <w:t>，乙方应对货物出现的质量及安全问题负责处理解决并承担一切费用（费用包括但不限于配件、人工、搬运、安装调试等费用）。</w:t>
      </w:r>
    </w:p>
    <w:p w14:paraId="0EA28D79">
      <w:pPr>
        <w:numPr>
          <w:ilvl w:val="0"/>
          <w:numId w:val="0"/>
        </w:numPr>
        <w:spacing w:line="360" w:lineRule="auto"/>
        <w:ind w:leftChars="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b w:val="0"/>
          <w:color w:val="000000" w:themeColor="text1"/>
          <w:sz w:val="21"/>
          <w:szCs w:val="21"/>
          <w:highlight w:val="none"/>
          <w14:textFill>
            <w14:solidFill>
              <w14:schemeClr w14:val="tx1"/>
            </w14:solidFill>
          </w14:textFill>
        </w:rPr>
        <w:t>设备保修期内</w:t>
      </w:r>
      <w:r>
        <w:rPr>
          <w:rFonts w:hint="eastAsia" w:ascii="宋体" w:hAnsi="宋体" w:eastAsia="宋体" w:cs="宋体"/>
          <w:color w:val="000000" w:themeColor="text1"/>
          <w:sz w:val="21"/>
          <w:szCs w:val="21"/>
          <w:highlight w:val="none"/>
          <w14:textFill>
            <w14:solidFill>
              <w14:schemeClr w14:val="tx1"/>
            </w14:solidFill>
          </w14:textFill>
        </w:rPr>
        <w:t>，存在安全隐患，有可能对操作人员、患者、自身、其他设备、周边环境造成不良影响的，</w:t>
      </w:r>
      <w:r>
        <w:rPr>
          <w:rFonts w:hint="eastAsia" w:ascii="宋体" w:hAnsi="宋体" w:eastAsia="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应在获知后</w:t>
      </w:r>
      <w:r>
        <w:rPr>
          <w:rFonts w:hint="eastAsia" w:ascii="宋体" w:hAnsi="宋体" w:eastAsia="宋体" w:cs="宋体"/>
          <w:color w:val="000000" w:themeColor="text1"/>
          <w:sz w:val="21"/>
          <w:szCs w:val="21"/>
          <w:highlight w:val="none"/>
          <w:lang w:val="en-US" w:eastAsia="zh-CN"/>
          <w14:textFill>
            <w14:solidFill>
              <w14:schemeClr w14:val="tx1"/>
            </w14:solidFill>
          </w14:textFill>
        </w:rPr>
        <w:t>15日</w:t>
      </w:r>
      <w:r>
        <w:rPr>
          <w:rFonts w:hint="eastAsia" w:ascii="宋体" w:hAnsi="宋体" w:eastAsia="宋体" w:cs="宋体"/>
          <w:color w:val="000000" w:themeColor="text1"/>
          <w:sz w:val="21"/>
          <w:szCs w:val="21"/>
          <w:highlight w:val="none"/>
          <w14:textFill>
            <w14:solidFill>
              <w14:schemeClr w14:val="tx1"/>
            </w14:solidFill>
          </w14:textFill>
        </w:rPr>
        <w:t>内予以解决。未能解决，且双方无法达成一致的，应予以退货。</w:t>
      </w:r>
    </w:p>
    <w:p w14:paraId="24373F51">
      <w:pPr>
        <w:pStyle w:val="16"/>
        <w:spacing w:line="360" w:lineRule="auto"/>
        <w:ind w:left="0" w:leftChars="0" w:firstLine="0" w:firstLineChars="0"/>
        <w:rPr>
          <w:rFonts w:hint="eastAsia" w:ascii="宋体" w:hAnsi="宋体" w:eastAsia="宋体" w:cs="宋体"/>
          <w:b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color w:val="000000" w:themeColor="text1"/>
          <w:sz w:val="21"/>
          <w:szCs w:val="21"/>
          <w:highlight w:val="none"/>
          <w:lang w:val="en-US" w:eastAsia="zh-CN"/>
          <w14:textFill>
            <w14:solidFill>
              <w14:schemeClr w14:val="tx1"/>
            </w14:solidFill>
          </w14:textFill>
        </w:rPr>
        <w:t>（9）乙方未在约定时间内修复设备或同一设备经 3 次维修后仍不能稳定、可靠运行的，甲方有权要求乙方免费更换，乙方</w:t>
      </w:r>
      <w:r>
        <w:rPr>
          <w:rFonts w:hint="eastAsia" w:ascii="宋体" w:hAnsi="宋体" w:eastAsia="宋体" w:cs="宋体"/>
          <w:b w:val="0"/>
          <w:color w:val="000000" w:themeColor="text1"/>
          <w:sz w:val="21"/>
          <w:szCs w:val="21"/>
          <w:highlight w:val="none"/>
          <w14:textFill>
            <w14:solidFill>
              <w14:schemeClr w14:val="tx1"/>
            </w14:solidFill>
          </w14:textFill>
        </w:rPr>
        <w:t>需在第</w:t>
      </w:r>
      <w:r>
        <w:rPr>
          <w:rFonts w:hint="eastAsia" w:ascii="宋体" w:hAnsi="宋体" w:eastAsia="宋体" w:cs="宋体"/>
          <w:b w:val="0"/>
          <w:color w:val="000000" w:themeColor="text1"/>
          <w:sz w:val="21"/>
          <w:szCs w:val="21"/>
          <w:highlight w:val="none"/>
          <w:lang w:val="en-US" w:eastAsia="zh-CN"/>
          <w14:textFill>
            <w14:solidFill>
              <w14:schemeClr w14:val="tx1"/>
            </w14:solidFill>
          </w14:textFill>
        </w:rPr>
        <w:t>三</w:t>
      </w:r>
      <w:r>
        <w:rPr>
          <w:rFonts w:hint="eastAsia" w:ascii="宋体" w:hAnsi="宋体" w:eastAsia="宋体" w:cs="宋体"/>
          <w:b w:val="0"/>
          <w:color w:val="000000" w:themeColor="text1"/>
          <w:sz w:val="21"/>
          <w:szCs w:val="21"/>
          <w:highlight w:val="none"/>
          <w14:textFill>
            <w14:solidFill>
              <w14:schemeClr w14:val="tx1"/>
            </w14:solidFill>
          </w14:textFill>
        </w:rPr>
        <w:t>次设备故障发生后3个月内更换</w:t>
      </w:r>
      <w:r>
        <w:rPr>
          <w:rFonts w:hint="eastAsia" w:ascii="宋体" w:hAnsi="宋体" w:eastAsia="宋体" w:cs="宋体"/>
          <w:b w:val="0"/>
          <w:color w:val="000000" w:themeColor="text1"/>
          <w:sz w:val="21"/>
          <w:szCs w:val="21"/>
          <w:highlight w:val="none"/>
          <w:lang w:val="en-US" w:eastAsia="zh-CN"/>
          <w14:textFill>
            <w14:solidFill>
              <w14:schemeClr w14:val="tx1"/>
            </w14:solidFill>
          </w14:textFill>
        </w:rPr>
        <w:t>同款原厂</w:t>
      </w:r>
      <w:r>
        <w:rPr>
          <w:rFonts w:hint="eastAsia" w:ascii="宋体" w:hAnsi="宋体" w:eastAsia="宋体" w:cs="宋体"/>
          <w:b w:val="0"/>
          <w:color w:val="000000" w:themeColor="text1"/>
          <w:sz w:val="21"/>
          <w:szCs w:val="21"/>
          <w:highlight w:val="none"/>
          <w14:textFill>
            <w14:solidFill>
              <w14:schemeClr w14:val="tx1"/>
            </w14:solidFill>
          </w14:textFill>
        </w:rPr>
        <w:t>全新设备。</w:t>
      </w:r>
      <w:r>
        <w:rPr>
          <w:rFonts w:hint="eastAsia" w:ascii="宋体" w:hAnsi="宋体" w:eastAsia="宋体" w:cs="宋体"/>
          <w:b w:val="0"/>
          <w:color w:val="000000" w:themeColor="text1"/>
          <w:sz w:val="21"/>
          <w:szCs w:val="21"/>
          <w:highlight w:val="none"/>
          <w:lang w:val="en-US" w:eastAsia="zh-CN"/>
          <w14:textFill>
            <w14:solidFill>
              <w14:schemeClr w14:val="tx1"/>
            </w14:solidFill>
          </w14:textFill>
        </w:rPr>
        <w:t>返修或更换后的设备及部件保修期应重新计算，人为原因除外。</w:t>
      </w:r>
    </w:p>
    <w:p w14:paraId="7F2D3D45">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b w:val="0"/>
          <w:color w:val="000000" w:themeColor="text1"/>
          <w:sz w:val="21"/>
          <w:szCs w:val="21"/>
          <w:highlight w:val="none"/>
          <w14:textFill>
            <w14:solidFill>
              <w14:schemeClr w14:val="tx1"/>
            </w14:solidFill>
          </w14:textFill>
        </w:rPr>
        <w:t>设备保修期内</w:t>
      </w:r>
      <w:r>
        <w:rPr>
          <w:rFonts w:hint="eastAsia" w:ascii="宋体" w:hAnsi="宋体" w:eastAsia="宋体" w:cs="宋体"/>
          <w:b w:val="0"/>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应确保开机率为9</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%以上</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按365天/年</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，如达不到要求，停机日每超过1工作日，保修期相应延长5个工作日；停机日超过20个工作日的，每超过1工作日，</w:t>
      </w:r>
      <w:r>
        <w:rPr>
          <w:rFonts w:hint="eastAsia" w:ascii="宋体" w:hAnsi="宋体" w:eastAsia="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应向</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赔偿合同总金额0.5%，但累计不超过设备合同总金额。</w:t>
      </w:r>
    </w:p>
    <w:p w14:paraId="675FF877">
      <w:pPr>
        <w:spacing w:line="36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11</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零配件在该设备停产后保证</w:t>
      </w: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年的供应，零配件须符合或优于设备技术要求</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6D7662B5">
      <w:pPr>
        <w:spacing w:line="360" w:lineRule="auto"/>
        <w:rPr>
          <w:rFonts w:hint="eastAsia" w:ascii="宋体" w:hAnsi="宋体" w:eastAsia="宋体" w:cs="宋体"/>
          <w:b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color w:val="000000" w:themeColor="text1"/>
          <w:sz w:val="21"/>
          <w:szCs w:val="21"/>
          <w:highlight w:val="none"/>
          <w:lang w:val="en-US" w:eastAsia="zh-CN"/>
          <w14:textFill>
            <w14:solidFill>
              <w14:schemeClr w14:val="tx1"/>
            </w14:solidFill>
          </w14:textFill>
        </w:rPr>
        <w:t>2、售后服务</w:t>
      </w:r>
    </w:p>
    <w:p w14:paraId="51E9D3A0">
      <w:pPr>
        <w:spacing w:line="360" w:lineRule="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14:textFill>
            <w14:solidFill>
              <w14:schemeClr w14:val="tx1"/>
            </w14:solidFill>
          </w14:textFill>
        </w:rPr>
        <w:t>远程技术支持：乙方应具有稳定的技术支持队伍和完善的服务支持网络，提供 24 小时技术支持服务，及时响应甲方的技术服务支持需求，提出有效的解决方案，解决甲方在货物使用过程中遇到的实际问题。</w:t>
      </w:r>
    </w:p>
    <w:p w14:paraId="2837CCA2">
      <w:pPr>
        <w:pStyle w:val="20"/>
        <w:spacing w:line="360" w:lineRule="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现场技术支持：对于通过电话、邮件等远程技术支持不能解决的问题</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乙方应</w:t>
      </w:r>
      <w:r>
        <w:rPr>
          <w:rFonts w:hint="eastAsia" w:ascii="宋体" w:hAnsi="宋体" w:eastAsia="宋体" w:cs="宋体"/>
          <w:color w:val="000000" w:themeColor="text1"/>
          <w:sz w:val="21"/>
          <w:szCs w:val="21"/>
          <w:highlight w:val="none"/>
          <w:lang w:val="zh-CN"/>
          <w14:textFill>
            <w14:solidFill>
              <w14:schemeClr w14:val="tx1"/>
            </w14:solidFill>
          </w14:textFill>
        </w:rPr>
        <w:t>在接报修电话后，</w:t>
      </w:r>
      <w:r>
        <w:rPr>
          <w:rFonts w:hint="eastAsia" w:ascii="宋体" w:hAnsi="宋体" w:eastAsia="宋体" w:cs="宋体"/>
          <w:color w:val="000000" w:themeColor="text1"/>
          <w:sz w:val="21"/>
          <w:szCs w:val="21"/>
          <w:highlight w:val="none"/>
          <w:lang w:val="en-US" w:eastAsia="zh-CN"/>
          <w14:textFill>
            <w14:solidFill>
              <w14:schemeClr w14:val="tx1"/>
            </w14:solidFill>
          </w14:textFill>
        </w:rPr>
        <w:t>48小时内到现场实施维修</w:t>
      </w:r>
      <w:r>
        <w:rPr>
          <w:rFonts w:hint="eastAsia" w:ascii="宋体" w:hAnsi="宋体" w:eastAsia="宋体" w:cs="宋体"/>
          <w:color w:val="000000" w:themeColor="text1"/>
          <w:sz w:val="21"/>
          <w:szCs w:val="21"/>
          <w:highlight w:val="none"/>
          <w:lang w:val="zh-CN"/>
          <w14:textFill>
            <w14:solidFill>
              <w14:schemeClr w14:val="tx1"/>
            </w14:solidFill>
          </w14:textFill>
        </w:rPr>
        <w:t>，在确定故障后，应在24小时内将维修零部件送达维修现场。</w:t>
      </w:r>
      <w:r>
        <w:rPr>
          <w:rFonts w:hint="eastAsia" w:ascii="宋体" w:hAnsi="宋体" w:eastAsia="宋体" w:cs="宋体"/>
          <w:color w:val="000000" w:themeColor="text1"/>
          <w:sz w:val="21"/>
          <w:szCs w:val="21"/>
          <w:highlight w:val="none"/>
          <w14:textFill>
            <w14:solidFill>
              <w14:schemeClr w14:val="tx1"/>
            </w14:solidFill>
          </w14:textFill>
        </w:rPr>
        <w:t>发生紧急抢修事故的，乙方应在接到甲方通知后</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24小时内到达现场抢修。</w:t>
      </w:r>
      <w:r>
        <w:rPr>
          <w:rFonts w:hint="eastAsia" w:ascii="宋体" w:hAnsi="宋体" w:eastAsia="宋体" w:cs="宋体"/>
          <w:color w:val="000000" w:themeColor="text1"/>
          <w:sz w:val="21"/>
          <w:szCs w:val="21"/>
          <w:highlight w:val="none"/>
          <w:lang w:val="zh-CN"/>
          <w14:textFill>
            <w14:solidFill>
              <w14:schemeClr w14:val="tx1"/>
            </w14:solidFill>
          </w14:textFill>
        </w:rPr>
        <w:t>单次故障修复时间不长于5个工作日。否则须在5个工作日之内提供功能完整、性能合格的备用设备。</w:t>
      </w:r>
    </w:p>
    <w:p w14:paraId="48FD5E47">
      <w:pPr>
        <w:pStyle w:val="20"/>
        <w:spacing w:line="360" w:lineRule="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技术升级支持：乙方应提供货物所配置软件的终身免费</w:t>
      </w:r>
      <w:r>
        <w:rPr>
          <w:rFonts w:hint="eastAsia" w:ascii="宋体" w:hAnsi="宋体" w:eastAsia="宋体" w:cs="宋体"/>
          <w:color w:val="000000" w:themeColor="text1"/>
          <w:sz w:val="21"/>
          <w:szCs w:val="21"/>
          <w:highlight w:val="none"/>
          <w:lang w:val="en-US" w:eastAsia="zh-CN"/>
          <w14:textFill>
            <w14:solidFill>
              <w14:schemeClr w14:val="tx1"/>
            </w14:solidFill>
          </w14:textFill>
        </w:rPr>
        <w:t>安装、</w:t>
      </w:r>
      <w:r>
        <w:rPr>
          <w:rFonts w:hint="eastAsia" w:ascii="宋体" w:hAnsi="宋体" w:eastAsia="宋体" w:cs="宋体"/>
          <w:color w:val="000000" w:themeColor="text1"/>
          <w:sz w:val="21"/>
          <w:szCs w:val="21"/>
          <w:highlight w:val="none"/>
          <w14:textFill>
            <w14:solidFill>
              <w14:schemeClr w14:val="tx1"/>
            </w14:solidFill>
          </w14:textFill>
        </w:rPr>
        <w:t>维护和升级服务，保证货物正常</w:t>
      </w:r>
      <w:r>
        <w:rPr>
          <w:rFonts w:hint="eastAsia" w:ascii="宋体" w:hAnsi="宋体" w:eastAsia="宋体" w:cs="宋体"/>
          <w:color w:val="000000" w:themeColor="text1"/>
          <w:sz w:val="21"/>
          <w:szCs w:val="21"/>
          <w:highlight w:val="none"/>
          <w:lang w:val="zh-CN"/>
          <w14:textFill>
            <w14:solidFill>
              <w14:schemeClr w14:val="tx1"/>
            </w14:solidFill>
          </w14:textFill>
        </w:rPr>
        <w:t>运行，且不影响甲方其它运行环境。</w:t>
      </w:r>
    </w:p>
    <w:p w14:paraId="0B4F1B35">
      <w:pPr>
        <w:spacing w:line="360" w:lineRule="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val="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保修期届满后，乙方对本合同项下货物提供终身维修服务，且维修时只收取所需维修部件的成本费，服务内容应与保修期内的要求相一致。</w:t>
      </w:r>
    </w:p>
    <w:p w14:paraId="53676C3B">
      <w:pPr>
        <w:pStyle w:val="33"/>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val="zh-CN"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提供</w:t>
      </w:r>
      <w:r>
        <w:rPr>
          <w:rFonts w:hint="eastAsia" w:ascii="宋体" w:hAnsi="宋体" w:eastAsia="宋体" w:cs="宋体"/>
          <w:color w:val="000000" w:themeColor="text1"/>
          <w:sz w:val="21"/>
          <w:szCs w:val="21"/>
          <w:highlight w:val="none"/>
          <w:lang w:val="zh-CN"/>
          <w14:textFill>
            <w14:solidFill>
              <w14:schemeClr w14:val="tx1"/>
            </w14:solidFill>
          </w14:textFill>
        </w:rPr>
        <w:t>设备维修所需的</w:t>
      </w:r>
      <w:r>
        <w:rPr>
          <w:rFonts w:hint="eastAsia" w:ascii="宋体" w:hAnsi="宋体" w:eastAsia="宋体" w:cs="宋体"/>
          <w:color w:val="000000" w:themeColor="text1"/>
          <w:sz w:val="21"/>
          <w:szCs w:val="21"/>
          <w:highlight w:val="none"/>
          <w:lang w:val="en-US" w:eastAsia="zh-CN"/>
          <w14:textFill>
            <w14:solidFill>
              <w14:schemeClr w14:val="tx1"/>
            </w14:solidFill>
          </w14:textFill>
        </w:rPr>
        <w:t>零配件/易耗品清单，</w:t>
      </w:r>
      <w:r>
        <w:rPr>
          <w:rFonts w:hint="eastAsia" w:ascii="宋体" w:hAnsi="宋体" w:eastAsia="宋体" w:cs="宋体"/>
          <w:color w:val="000000" w:themeColor="text1"/>
          <w:sz w:val="21"/>
          <w:szCs w:val="21"/>
          <w:highlight w:val="none"/>
          <w:lang w:val="zh-CN"/>
          <w14:textFill>
            <w14:solidFill>
              <w14:schemeClr w14:val="tx1"/>
            </w14:solidFill>
          </w14:textFill>
        </w:rPr>
        <w:t>在设备使用过程，如需更换，按不高于下表的价格执行。</w:t>
      </w:r>
      <w:r>
        <w:rPr>
          <w:rFonts w:hint="eastAsia" w:ascii="宋体" w:hAnsi="宋体" w:eastAsia="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lang w:val="zh-CN"/>
          <w14:textFill>
            <w14:solidFill>
              <w14:schemeClr w14:val="tx1"/>
            </w14:solidFill>
          </w14:textFill>
        </w:rPr>
        <w:t>必须如实填报</w:t>
      </w:r>
      <w:r>
        <w:rPr>
          <w:rFonts w:hint="eastAsia" w:ascii="宋体" w:hAnsi="宋体" w:eastAsia="宋体" w:cs="宋体"/>
          <w:color w:val="000000" w:themeColor="text1"/>
          <w:sz w:val="21"/>
          <w:szCs w:val="21"/>
          <w:highlight w:val="none"/>
          <w:lang w:val="en-US" w:eastAsia="zh-CN"/>
          <w14:textFill>
            <w14:solidFill>
              <w14:schemeClr w14:val="tx1"/>
            </w14:solidFill>
          </w14:textFill>
        </w:rPr>
        <w:t>下表</w:t>
      </w:r>
      <w:r>
        <w:rPr>
          <w:rFonts w:hint="eastAsia" w:ascii="宋体" w:hAnsi="宋体" w:eastAsia="宋体" w:cs="宋体"/>
          <w:color w:val="000000" w:themeColor="text1"/>
          <w:sz w:val="21"/>
          <w:szCs w:val="21"/>
          <w:highlight w:val="none"/>
          <w:lang w:val="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如有漏项，在货物使用期内</w:t>
      </w:r>
      <w:r>
        <w:rPr>
          <w:rFonts w:hint="eastAsia" w:ascii="宋体" w:hAnsi="宋体" w:eastAsia="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自愿承担漏项</w:t>
      </w:r>
      <w:r>
        <w:rPr>
          <w:rFonts w:hint="eastAsia" w:ascii="宋体" w:hAnsi="宋体" w:eastAsia="宋体" w:cs="宋体"/>
          <w:color w:val="000000" w:themeColor="text1"/>
          <w:sz w:val="21"/>
          <w:szCs w:val="21"/>
          <w:highlight w:val="none"/>
          <w:lang w:val="en-US" w:eastAsia="zh-CN"/>
          <w14:textFill>
            <w14:solidFill>
              <w14:schemeClr w14:val="tx1"/>
            </w14:solidFill>
          </w14:textFill>
        </w:rPr>
        <w:t>零配件及易耗</w:t>
      </w:r>
      <w:r>
        <w:rPr>
          <w:rFonts w:hint="eastAsia" w:ascii="宋体" w:hAnsi="宋体" w:eastAsia="宋体" w:cs="宋体"/>
          <w:color w:val="000000" w:themeColor="text1"/>
          <w:sz w:val="21"/>
          <w:szCs w:val="21"/>
          <w:highlight w:val="none"/>
          <w14:textFill>
            <w14:solidFill>
              <w14:schemeClr w14:val="tx1"/>
            </w14:solidFill>
          </w14:textFill>
        </w:rPr>
        <w:t>品的所有费用。</w:t>
      </w:r>
      <w:r>
        <w:rPr>
          <w:rFonts w:hint="eastAsia" w:ascii="宋体" w:hAnsi="宋体" w:eastAsia="宋体" w:cs="宋体"/>
          <w:color w:val="000000" w:themeColor="text1"/>
          <w:sz w:val="21"/>
          <w:szCs w:val="21"/>
          <w:highlight w:val="none"/>
          <w:lang w:val="zh-CN"/>
          <w14:textFill>
            <w14:solidFill>
              <w14:schemeClr w14:val="tx1"/>
            </w14:solidFill>
          </w14:textFill>
        </w:rPr>
        <w:t>（低价值零部件</w:t>
      </w:r>
      <w:r>
        <w:rPr>
          <w:rFonts w:hint="eastAsia" w:ascii="宋体" w:hAnsi="宋体" w:eastAsia="宋体" w:cs="宋体"/>
          <w:color w:val="000000" w:themeColor="text1"/>
          <w:sz w:val="21"/>
          <w:szCs w:val="21"/>
          <w:highlight w:val="none"/>
          <w:lang w:val="en-US" w:eastAsia="zh-CN"/>
          <w14:textFill>
            <w14:solidFill>
              <w14:schemeClr w14:val="tx1"/>
            </w14:solidFill>
          </w14:textFill>
        </w:rPr>
        <w:t>/易耗品</w:t>
      </w:r>
      <w:r>
        <w:rPr>
          <w:rFonts w:hint="eastAsia" w:ascii="宋体" w:hAnsi="宋体" w:eastAsia="宋体" w:cs="宋体"/>
          <w:color w:val="000000" w:themeColor="text1"/>
          <w:sz w:val="21"/>
          <w:szCs w:val="21"/>
          <w:highlight w:val="none"/>
          <w:lang w:val="zh-CN"/>
          <w14:textFill>
            <w14:solidFill>
              <w14:schemeClr w14:val="tx1"/>
            </w14:solidFill>
          </w14:textFill>
        </w:rPr>
        <w:t>除外，低价值零部件单价不高于1000元人民币）。</w:t>
      </w:r>
    </w:p>
    <w:tbl>
      <w:tblPr>
        <w:tblStyle w:val="6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2455"/>
        <w:gridCol w:w="1671"/>
        <w:gridCol w:w="2138"/>
        <w:gridCol w:w="2140"/>
      </w:tblGrid>
      <w:tr w14:paraId="69F4C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pct"/>
            <w:vAlign w:val="center"/>
          </w:tcPr>
          <w:p w14:paraId="31C54A50">
            <w:pPr>
              <w:widowControl w:val="0"/>
              <w:spacing w:line="360" w:lineRule="auto"/>
              <w:jc w:val="center"/>
              <w:rPr>
                <w:rFonts w:hint="eastAsia" w:ascii="宋体" w:hAnsi="宋体" w:eastAsia="宋体" w:cs="宋体"/>
                <w:color w:val="000000" w:themeColor="text1"/>
                <w:sz w:val="21"/>
                <w:szCs w:val="21"/>
                <w:highlight w:val="none"/>
                <w:vertAlign w:val="baseline"/>
                <w:lang w:val="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zh-CN"/>
                <w14:textFill>
                  <w14:solidFill>
                    <w14:schemeClr w14:val="tx1"/>
                  </w14:solidFill>
                </w14:textFill>
              </w:rPr>
              <w:t>序号</w:t>
            </w:r>
          </w:p>
        </w:tc>
        <w:tc>
          <w:tcPr>
            <w:tcW w:w="1322" w:type="pct"/>
            <w:vAlign w:val="center"/>
          </w:tcPr>
          <w:p w14:paraId="1475767D">
            <w:pPr>
              <w:widowControl w:val="0"/>
              <w:spacing w:line="360" w:lineRule="auto"/>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零配件/易耗品</w:t>
            </w:r>
          </w:p>
        </w:tc>
        <w:tc>
          <w:tcPr>
            <w:tcW w:w="900" w:type="pct"/>
            <w:vAlign w:val="center"/>
          </w:tcPr>
          <w:p w14:paraId="06CAFEF9">
            <w:pPr>
              <w:widowControl w:val="0"/>
              <w:spacing w:line="360" w:lineRule="auto"/>
              <w:jc w:val="center"/>
              <w:rPr>
                <w:rFonts w:hint="eastAsia" w:ascii="宋体" w:hAnsi="宋体" w:eastAsia="宋体" w:cs="宋体"/>
                <w:color w:val="000000" w:themeColor="text1"/>
                <w:sz w:val="21"/>
                <w:szCs w:val="21"/>
                <w:highlight w:val="none"/>
                <w:vertAlign w:val="baseline"/>
                <w:lang w:val="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型号和规格</w:t>
            </w:r>
          </w:p>
        </w:tc>
        <w:tc>
          <w:tcPr>
            <w:tcW w:w="1151" w:type="pct"/>
            <w:vAlign w:val="center"/>
          </w:tcPr>
          <w:p w14:paraId="6B5D2D0C">
            <w:pPr>
              <w:widowControl w:val="0"/>
              <w:spacing w:line="240" w:lineRule="auto"/>
              <w:jc w:val="center"/>
              <w:rPr>
                <w:rFonts w:hint="eastAsia" w:ascii="宋体" w:hAnsi="宋体" w:eastAsia="宋体" w:cs="宋体"/>
                <w:color w:val="000000" w:themeColor="text1"/>
                <w:sz w:val="21"/>
                <w:szCs w:val="21"/>
                <w:highlight w:val="none"/>
                <w:vertAlign w:val="baseline"/>
                <w:lang w:val="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单价（元）</w:t>
            </w:r>
          </w:p>
        </w:tc>
        <w:tc>
          <w:tcPr>
            <w:tcW w:w="1152" w:type="pct"/>
            <w:vAlign w:val="center"/>
          </w:tcPr>
          <w:p w14:paraId="3A82CF21">
            <w:pPr>
              <w:widowControl w:val="0"/>
              <w:spacing w:line="24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单位</w:t>
            </w:r>
          </w:p>
        </w:tc>
      </w:tr>
      <w:tr w14:paraId="34D47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pct"/>
            <w:shd w:val="clear" w:color="auto" w:fill="auto"/>
            <w:vAlign w:val="center"/>
          </w:tcPr>
          <w:p w14:paraId="4BAD0398">
            <w:pPr>
              <w:widowControl w:val="0"/>
              <w:spacing w:line="360" w:lineRule="auto"/>
              <w:jc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w:t>
            </w:r>
          </w:p>
        </w:tc>
        <w:tc>
          <w:tcPr>
            <w:tcW w:w="1322" w:type="pct"/>
            <w:vAlign w:val="center"/>
          </w:tcPr>
          <w:p w14:paraId="317450E7">
            <w:pPr>
              <w:widowControl w:val="0"/>
              <w:spacing w:line="360" w:lineRule="auto"/>
              <w:jc w:val="center"/>
              <w:rPr>
                <w:rFonts w:hint="eastAsia" w:ascii="宋体" w:hAnsi="宋体" w:eastAsia="宋体" w:cs="宋体"/>
                <w:color w:val="000000" w:themeColor="text1"/>
                <w:sz w:val="21"/>
                <w:szCs w:val="21"/>
                <w:highlight w:val="none"/>
                <w:vertAlign w:val="baseline"/>
                <w:lang w:val="zh-CN"/>
                <w14:textFill>
                  <w14:solidFill>
                    <w14:schemeClr w14:val="tx1"/>
                  </w14:solidFill>
                </w14:textFill>
              </w:rPr>
            </w:pPr>
          </w:p>
        </w:tc>
        <w:tc>
          <w:tcPr>
            <w:tcW w:w="900" w:type="pct"/>
            <w:vAlign w:val="center"/>
          </w:tcPr>
          <w:p w14:paraId="1557BEE4">
            <w:pPr>
              <w:widowControl w:val="0"/>
              <w:spacing w:line="360" w:lineRule="auto"/>
              <w:jc w:val="center"/>
              <w:rPr>
                <w:rFonts w:hint="eastAsia" w:ascii="宋体" w:hAnsi="宋体" w:eastAsia="宋体" w:cs="宋体"/>
                <w:color w:val="000000" w:themeColor="text1"/>
                <w:sz w:val="21"/>
                <w:szCs w:val="21"/>
                <w:highlight w:val="none"/>
                <w:vertAlign w:val="baseline"/>
                <w:lang w:val="zh-CN"/>
                <w14:textFill>
                  <w14:solidFill>
                    <w14:schemeClr w14:val="tx1"/>
                  </w14:solidFill>
                </w14:textFill>
              </w:rPr>
            </w:pPr>
          </w:p>
        </w:tc>
        <w:tc>
          <w:tcPr>
            <w:tcW w:w="1151" w:type="pct"/>
            <w:vAlign w:val="center"/>
          </w:tcPr>
          <w:p w14:paraId="1A6AF154">
            <w:pPr>
              <w:widowControl w:val="0"/>
              <w:spacing w:line="360" w:lineRule="auto"/>
              <w:jc w:val="center"/>
              <w:rPr>
                <w:rFonts w:hint="eastAsia" w:ascii="宋体" w:hAnsi="宋体" w:eastAsia="宋体" w:cs="宋体"/>
                <w:color w:val="000000" w:themeColor="text1"/>
                <w:sz w:val="21"/>
                <w:szCs w:val="21"/>
                <w:highlight w:val="none"/>
                <w:vertAlign w:val="baseline"/>
                <w:lang w:val="zh-CN"/>
                <w14:textFill>
                  <w14:solidFill>
                    <w14:schemeClr w14:val="tx1"/>
                  </w14:solidFill>
                </w14:textFill>
              </w:rPr>
            </w:pPr>
          </w:p>
        </w:tc>
        <w:tc>
          <w:tcPr>
            <w:tcW w:w="1152" w:type="pct"/>
            <w:vAlign w:val="center"/>
          </w:tcPr>
          <w:p w14:paraId="54045B6E">
            <w:pPr>
              <w:widowControl w:val="0"/>
              <w:spacing w:line="360" w:lineRule="auto"/>
              <w:jc w:val="center"/>
              <w:rPr>
                <w:rFonts w:hint="eastAsia" w:ascii="宋体" w:hAnsi="宋体" w:eastAsia="宋体" w:cs="宋体"/>
                <w:color w:val="000000" w:themeColor="text1"/>
                <w:sz w:val="21"/>
                <w:szCs w:val="21"/>
                <w:highlight w:val="none"/>
                <w:vertAlign w:val="baseline"/>
                <w:lang w:val="zh-CN"/>
                <w14:textFill>
                  <w14:solidFill>
                    <w14:schemeClr w14:val="tx1"/>
                  </w14:solidFill>
                </w14:textFill>
              </w:rPr>
            </w:pPr>
          </w:p>
        </w:tc>
      </w:tr>
      <w:tr w14:paraId="1B338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pct"/>
            <w:shd w:val="clear" w:color="auto" w:fill="auto"/>
            <w:vAlign w:val="center"/>
          </w:tcPr>
          <w:p w14:paraId="3FDBA004">
            <w:pPr>
              <w:widowControl w:val="0"/>
              <w:spacing w:line="360" w:lineRule="auto"/>
              <w:jc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2</w:t>
            </w:r>
          </w:p>
        </w:tc>
        <w:tc>
          <w:tcPr>
            <w:tcW w:w="1322" w:type="pct"/>
            <w:vAlign w:val="center"/>
          </w:tcPr>
          <w:p w14:paraId="5BE2DEBA">
            <w:pPr>
              <w:widowControl w:val="0"/>
              <w:spacing w:line="360" w:lineRule="auto"/>
              <w:jc w:val="center"/>
              <w:rPr>
                <w:rFonts w:hint="eastAsia" w:ascii="宋体" w:hAnsi="宋体" w:eastAsia="宋体" w:cs="宋体"/>
                <w:color w:val="000000" w:themeColor="text1"/>
                <w:sz w:val="21"/>
                <w:szCs w:val="21"/>
                <w:highlight w:val="none"/>
                <w:vertAlign w:val="baseline"/>
                <w:lang w:val="zh-CN"/>
                <w14:textFill>
                  <w14:solidFill>
                    <w14:schemeClr w14:val="tx1"/>
                  </w14:solidFill>
                </w14:textFill>
              </w:rPr>
            </w:pPr>
          </w:p>
        </w:tc>
        <w:tc>
          <w:tcPr>
            <w:tcW w:w="900" w:type="pct"/>
            <w:vAlign w:val="center"/>
          </w:tcPr>
          <w:p w14:paraId="6A5CB3A9">
            <w:pPr>
              <w:widowControl w:val="0"/>
              <w:spacing w:line="360" w:lineRule="auto"/>
              <w:jc w:val="center"/>
              <w:rPr>
                <w:rFonts w:hint="eastAsia" w:ascii="宋体" w:hAnsi="宋体" w:eastAsia="宋体" w:cs="宋体"/>
                <w:color w:val="000000" w:themeColor="text1"/>
                <w:sz w:val="21"/>
                <w:szCs w:val="21"/>
                <w:highlight w:val="none"/>
                <w:vertAlign w:val="baseline"/>
                <w:lang w:val="zh-CN"/>
                <w14:textFill>
                  <w14:solidFill>
                    <w14:schemeClr w14:val="tx1"/>
                  </w14:solidFill>
                </w14:textFill>
              </w:rPr>
            </w:pPr>
          </w:p>
        </w:tc>
        <w:tc>
          <w:tcPr>
            <w:tcW w:w="1151" w:type="pct"/>
            <w:vAlign w:val="center"/>
          </w:tcPr>
          <w:p w14:paraId="373DAA86">
            <w:pPr>
              <w:widowControl w:val="0"/>
              <w:spacing w:line="360" w:lineRule="auto"/>
              <w:jc w:val="center"/>
              <w:rPr>
                <w:rFonts w:hint="eastAsia" w:ascii="宋体" w:hAnsi="宋体" w:eastAsia="宋体" w:cs="宋体"/>
                <w:color w:val="000000" w:themeColor="text1"/>
                <w:sz w:val="21"/>
                <w:szCs w:val="21"/>
                <w:highlight w:val="none"/>
                <w:vertAlign w:val="baseline"/>
                <w:lang w:val="zh-CN"/>
                <w14:textFill>
                  <w14:solidFill>
                    <w14:schemeClr w14:val="tx1"/>
                  </w14:solidFill>
                </w14:textFill>
              </w:rPr>
            </w:pPr>
          </w:p>
        </w:tc>
        <w:tc>
          <w:tcPr>
            <w:tcW w:w="1152" w:type="pct"/>
            <w:vAlign w:val="center"/>
          </w:tcPr>
          <w:p w14:paraId="076C33D1">
            <w:pPr>
              <w:widowControl w:val="0"/>
              <w:spacing w:line="360" w:lineRule="auto"/>
              <w:jc w:val="center"/>
              <w:rPr>
                <w:rFonts w:hint="eastAsia" w:ascii="宋体" w:hAnsi="宋体" w:eastAsia="宋体" w:cs="宋体"/>
                <w:color w:val="000000" w:themeColor="text1"/>
                <w:sz w:val="21"/>
                <w:szCs w:val="21"/>
                <w:highlight w:val="none"/>
                <w:vertAlign w:val="baseline"/>
                <w:lang w:val="zh-CN"/>
                <w14:textFill>
                  <w14:solidFill>
                    <w14:schemeClr w14:val="tx1"/>
                  </w14:solidFill>
                </w14:textFill>
              </w:rPr>
            </w:pPr>
          </w:p>
        </w:tc>
      </w:tr>
      <w:tr w14:paraId="6785B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pct"/>
            <w:shd w:val="clear" w:color="auto" w:fill="auto"/>
            <w:vAlign w:val="center"/>
          </w:tcPr>
          <w:p w14:paraId="60E79E09">
            <w:pPr>
              <w:widowControl w:val="0"/>
              <w:spacing w:line="360" w:lineRule="auto"/>
              <w:jc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w:t>
            </w:r>
          </w:p>
        </w:tc>
        <w:tc>
          <w:tcPr>
            <w:tcW w:w="1322" w:type="pct"/>
            <w:vAlign w:val="center"/>
          </w:tcPr>
          <w:p w14:paraId="384482DA">
            <w:pPr>
              <w:widowControl w:val="0"/>
              <w:spacing w:line="360" w:lineRule="auto"/>
              <w:jc w:val="center"/>
              <w:rPr>
                <w:rFonts w:hint="eastAsia" w:ascii="宋体" w:hAnsi="宋体" w:eastAsia="宋体" w:cs="宋体"/>
                <w:color w:val="000000" w:themeColor="text1"/>
                <w:sz w:val="21"/>
                <w:szCs w:val="21"/>
                <w:highlight w:val="none"/>
                <w:vertAlign w:val="baseline"/>
                <w:lang w:val="zh-CN"/>
                <w14:textFill>
                  <w14:solidFill>
                    <w14:schemeClr w14:val="tx1"/>
                  </w14:solidFill>
                </w14:textFill>
              </w:rPr>
            </w:pPr>
          </w:p>
        </w:tc>
        <w:tc>
          <w:tcPr>
            <w:tcW w:w="900" w:type="pct"/>
            <w:vAlign w:val="center"/>
          </w:tcPr>
          <w:p w14:paraId="2F88A2E2">
            <w:pPr>
              <w:widowControl w:val="0"/>
              <w:spacing w:line="360" w:lineRule="auto"/>
              <w:jc w:val="center"/>
              <w:rPr>
                <w:rFonts w:hint="eastAsia" w:ascii="宋体" w:hAnsi="宋体" w:eastAsia="宋体" w:cs="宋体"/>
                <w:color w:val="000000" w:themeColor="text1"/>
                <w:sz w:val="21"/>
                <w:szCs w:val="21"/>
                <w:highlight w:val="none"/>
                <w:vertAlign w:val="baseline"/>
                <w:lang w:val="zh-CN"/>
                <w14:textFill>
                  <w14:solidFill>
                    <w14:schemeClr w14:val="tx1"/>
                  </w14:solidFill>
                </w14:textFill>
              </w:rPr>
            </w:pPr>
          </w:p>
        </w:tc>
        <w:tc>
          <w:tcPr>
            <w:tcW w:w="1151" w:type="pct"/>
            <w:vAlign w:val="center"/>
          </w:tcPr>
          <w:p w14:paraId="665C7FF6">
            <w:pPr>
              <w:widowControl w:val="0"/>
              <w:spacing w:line="360" w:lineRule="auto"/>
              <w:jc w:val="center"/>
              <w:rPr>
                <w:rFonts w:hint="eastAsia" w:ascii="宋体" w:hAnsi="宋体" w:eastAsia="宋体" w:cs="宋体"/>
                <w:color w:val="000000" w:themeColor="text1"/>
                <w:sz w:val="21"/>
                <w:szCs w:val="21"/>
                <w:highlight w:val="none"/>
                <w:vertAlign w:val="baseline"/>
                <w:lang w:val="zh-CN"/>
                <w14:textFill>
                  <w14:solidFill>
                    <w14:schemeClr w14:val="tx1"/>
                  </w14:solidFill>
                </w14:textFill>
              </w:rPr>
            </w:pPr>
          </w:p>
        </w:tc>
        <w:tc>
          <w:tcPr>
            <w:tcW w:w="1152" w:type="pct"/>
            <w:vAlign w:val="center"/>
          </w:tcPr>
          <w:p w14:paraId="645F5E55">
            <w:pPr>
              <w:widowControl w:val="0"/>
              <w:spacing w:line="360" w:lineRule="auto"/>
              <w:jc w:val="center"/>
              <w:rPr>
                <w:rFonts w:hint="eastAsia" w:ascii="宋体" w:hAnsi="宋体" w:eastAsia="宋体" w:cs="宋体"/>
                <w:color w:val="000000" w:themeColor="text1"/>
                <w:sz w:val="21"/>
                <w:szCs w:val="21"/>
                <w:highlight w:val="none"/>
                <w:vertAlign w:val="baseline"/>
                <w:lang w:val="zh-CN"/>
                <w14:textFill>
                  <w14:solidFill>
                    <w14:schemeClr w14:val="tx1"/>
                  </w14:solidFill>
                </w14:textFill>
              </w:rPr>
            </w:pPr>
          </w:p>
        </w:tc>
      </w:tr>
    </w:tbl>
    <w:p w14:paraId="23660CBE">
      <w:pPr>
        <w:spacing w:line="360" w:lineRule="auto"/>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lang w:val="zh-CN"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设备维保</w:t>
      </w:r>
      <w:r>
        <w:rPr>
          <w:rFonts w:hint="eastAsia" w:ascii="宋体" w:hAnsi="宋体" w:eastAsia="宋体" w:cs="宋体"/>
          <w:color w:val="000000" w:themeColor="text1"/>
          <w:sz w:val="21"/>
          <w:szCs w:val="21"/>
          <w:highlight w:val="none"/>
          <w:lang w:val="zh-CN" w:eastAsia="zh-CN"/>
          <w14:textFill>
            <w14:solidFill>
              <w14:schemeClr w14:val="tx1"/>
            </w14:solidFill>
          </w14:textFill>
        </w:rPr>
        <w:t>价格（</w:t>
      </w:r>
      <w:r>
        <w:rPr>
          <w:rFonts w:hint="eastAsia" w:ascii="宋体" w:hAnsi="宋体" w:eastAsia="宋体" w:cs="宋体"/>
          <w:color w:val="000000" w:themeColor="text1"/>
          <w:sz w:val="21"/>
          <w:szCs w:val="21"/>
          <w:highlight w:val="none"/>
          <w:lang w:val="en-US" w:eastAsia="zh-CN"/>
          <w14:textFill>
            <w14:solidFill>
              <w14:schemeClr w14:val="tx1"/>
            </w14:solidFill>
          </w14:textFill>
        </w:rPr>
        <w:t>过保后</w:t>
      </w:r>
      <w:r>
        <w:rPr>
          <w:rFonts w:hint="eastAsia" w:ascii="宋体" w:hAnsi="宋体" w:eastAsia="宋体" w:cs="宋体"/>
          <w:color w:val="000000" w:themeColor="text1"/>
          <w:sz w:val="21"/>
          <w:szCs w:val="21"/>
          <w:highlight w:val="none"/>
          <w:lang w:val="zh-CN" w:eastAsia="zh-CN"/>
          <w14:textFill>
            <w14:solidFill>
              <w14:schemeClr w14:val="tx1"/>
            </w14:solidFill>
          </w14:textFill>
        </w:rPr>
        <w:t>）：</w:t>
      </w:r>
    </w:p>
    <w:tbl>
      <w:tblPr>
        <w:tblStyle w:val="6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
        <w:gridCol w:w="3415"/>
        <w:gridCol w:w="2178"/>
        <w:gridCol w:w="2747"/>
      </w:tblGrid>
      <w:tr w14:paraId="11DA9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Align w:val="center"/>
          </w:tcPr>
          <w:p w14:paraId="05BDBF96">
            <w:pPr>
              <w:widowControl w:val="0"/>
              <w:spacing w:line="360" w:lineRule="auto"/>
              <w:jc w:val="center"/>
              <w:rPr>
                <w:rFonts w:hint="eastAsia" w:ascii="宋体" w:hAnsi="宋体" w:eastAsia="宋体" w:cs="宋体"/>
                <w:color w:val="000000" w:themeColor="text1"/>
                <w:sz w:val="21"/>
                <w:szCs w:val="21"/>
                <w:highlight w:val="none"/>
                <w:vertAlign w:val="baseline"/>
                <w:lang w:val="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zh-CN"/>
                <w14:textFill>
                  <w14:solidFill>
                    <w14:schemeClr w14:val="tx1"/>
                  </w14:solidFill>
                </w14:textFill>
              </w:rPr>
              <w:t>序号</w:t>
            </w:r>
          </w:p>
        </w:tc>
        <w:tc>
          <w:tcPr>
            <w:tcW w:w="1839" w:type="pct"/>
            <w:vAlign w:val="center"/>
          </w:tcPr>
          <w:p w14:paraId="31F752F4">
            <w:pPr>
              <w:widowControl w:val="0"/>
              <w:spacing w:line="360" w:lineRule="auto"/>
              <w:jc w:val="center"/>
              <w:rPr>
                <w:rFonts w:hint="eastAsia" w:ascii="宋体" w:hAnsi="宋体" w:eastAsia="宋体" w:cs="宋体"/>
                <w:color w:val="000000" w:themeColor="text1"/>
                <w:sz w:val="21"/>
                <w:szCs w:val="21"/>
                <w:highlight w:val="none"/>
                <w:vertAlign w:val="baseline"/>
                <w:lang w:val="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设备</w:t>
            </w:r>
            <w:r>
              <w:rPr>
                <w:rFonts w:hint="eastAsia" w:ascii="宋体" w:hAnsi="宋体" w:eastAsia="宋体" w:cs="宋体"/>
                <w:color w:val="000000" w:themeColor="text1"/>
                <w:sz w:val="21"/>
                <w:szCs w:val="21"/>
                <w:highlight w:val="none"/>
                <w:lang w:val="zh-CN" w:eastAsia="zh-CN"/>
                <w14:textFill>
                  <w14:solidFill>
                    <w14:schemeClr w14:val="tx1"/>
                  </w14:solidFill>
                </w14:textFill>
              </w:rPr>
              <w:t>名称</w:t>
            </w:r>
          </w:p>
        </w:tc>
        <w:tc>
          <w:tcPr>
            <w:tcW w:w="1173" w:type="pct"/>
            <w:vAlign w:val="center"/>
          </w:tcPr>
          <w:p w14:paraId="205F05E2">
            <w:pPr>
              <w:widowControl w:val="0"/>
              <w:spacing w:line="360" w:lineRule="auto"/>
              <w:jc w:val="center"/>
              <w:rPr>
                <w:rFonts w:hint="eastAsia" w:ascii="宋体" w:hAnsi="宋体" w:eastAsia="宋体" w:cs="宋体"/>
                <w:color w:val="000000" w:themeColor="text1"/>
                <w:sz w:val="21"/>
                <w:szCs w:val="21"/>
                <w:highlight w:val="none"/>
                <w:vertAlign w:val="baseline"/>
                <w:lang w:val="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zh-CN"/>
                <w14:textFill>
                  <w14:solidFill>
                    <w14:schemeClr w14:val="tx1"/>
                  </w14:solidFill>
                </w14:textFill>
              </w:rPr>
              <w:t>规格型号</w:t>
            </w:r>
          </w:p>
        </w:tc>
        <w:tc>
          <w:tcPr>
            <w:tcW w:w="1479" w:type="pct"/>
            <w:vAlign w:val="center"/>
          </w:tcPr>
          <w:p w14:paraId="08B36B6C">
            <w:pPr>
              <w:widowControl w:val="0"/>
              <w:spacing w:line="360" w:lineRule="auto"/>
              <w:jc w:val="center"/>
              <w:rPr>
                <w:rFonts w:hint="eastAsia" w:ascii="宋体" w:hAnsi="宋体" w:eastAsia="宋体" w:cs="宋体"/>
                <w:color w:val="000000" w:themeColor="text1"/>
                <w:sz w:val="21"/>
                <w:szCs w:val="21"/>
                <w:highlight w:val="none"/>
                <w:vertAlign w:val="baseline"/>
                <w:lang w:val="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维保</w:t>
            </w:r>
            <w:r>
              <w:rPr>
                <w:rFonts w:hint="eastAsia" w:ascii="宋体" w:hAnsi="宋体" w:eastAsia="宋体" w:cs="宋体"/>
                <w:color w:val="000000" w:themeColor="text1"/>
                <w:sz w:val="21"/>
                <w:szCs w:val="21"/>
                <w:highlight w:val="none"/>
                <w:lang w:val="zh-CN" w:eastAsia="zh-CN"/>
                <w14:textFill>
                  <w14:solidFill>
                    <w14:schemeClr w14:val="tx1"/>
                  </w14:solidFill>
                </w14:textFill>
              </w:rPr>
              <w:t>价格（元</w:t>
            </w:r>
            <w:r>
              <w:rPr>
                <w:rFonts w:hint="eastAsia" w:ascii="宋体" w:hAnsi="宋体" w:eastAsia="宋体" w:cs="宋体"/>
                <w:color w:val="000000" w:themeColor="text1"/>
                <w:sz w:val="21"/>
                <w:szCs w:val="21"/>
                <w:highlight w:val="none"/>
                <w:lang w:val="en-US" w:eastAsia="zh-CN"/>
                <w14:textFill>
                  <w14:solidFill>
                    <w14:schemeClr w14:val="tx1"/>
                  </w14:solidFill>
                </w14:textFill>
              </w:rPr>
              <w:t>/年/套</w:t>
            </w:r>
            <w:r>
              <w:rPr>
                <w:rFonts w:hint="eastAsia" w:ascii="宋体" w:hAnsi="宋体" w:eastAsia="宋体" w:cs="宋体"/>
                <w:color w:val="000000" w:themeColor="text1"/>
                <w:sz w:val="21"/>
                <w:szCs w:val="21"/>
                <w:highlight w:val="none"/>
                <w:lang w:val="zh-CN" w:eastAsia="zh-CN"/>
                <w14:textFill>
                  <w14:solidFill>
                    <w14:schemeClr w14:val="tx1"/>
                  </w14:solidFill>
                </w14:textFill>
              </w:rPr>
              <w:t>）</w:t>
            </w:r>
          </w:p>
        </w:tc>
      </w:tr>
      <w:tr w14:paraId="5D0F3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Align w:val="center"/>
          </w:tcPr>
          <w:p w14:paraId="3F7185E2">
            <w:pPr>
              <w:widowControl w:val="0"/>
              <w:spacing w:line="360" w:lineRule="auto"/>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w:t>
            </w:r>
          </w:p>
        </w:tc>
        <w:tc>
          <w:tcPr>
            <w:tcW w:w="1839" w:type="pct"/>
            <w:vAlign w:val="center"/>
          </w:tcPr>
          <w:p w14:paraId="3807CA43">
            <w:pPr>
              <w:widowControl w:val="0"/>
              <w:spacing w:line="360" w:lineRule="auto"/>
              <w:jc w:val="center"/>
              <w:rPr>
                <w:rFonts w:hint="eastAsia" w:ascii="宋体" w:hAnsi="宋体" w:eastAsia="宋体" w:cs="宋体"/>
                <w:color w:val="000000" w:themeColor="text1"/>
                <w:sz w:val="21"/>
                <w:szCs w:val="21"/>
                <w:highlight w:val="none"/>
                <w:vertAlign w:val="baseline"/>
                <w:lang w:val="zh-CN"/>
                <w14:textFill>
                  <w14:solidFill>
                    <w14:schemeClr w14:val="tx1"/>
                  </w14:solidFill>
                </w14:textFill>
              </w:rPr>
            </w:pPr>
          </w:p>
        </w:tc>
        <w:tc>
          <w:tcPr>
            <w:tcW w:w="1173" w:type="pct"/>
            <w:vAlign w:val="center"/>
          </w:tcPr>
          <w:p w14:paraId="248B7F67">
            <w:pPr>
              <w:widowControl w:val="0"/>
              <w:spacing w:line="360" w:lineRule="auto"/>
              <w:jc w:val="center"/>
              <w:rPr>
                <w:rFonts w:hint="eastAsia" w:ascii="宋体" w:hAnsi="宋体" w:eastAsia="宋体" w:cs="宋体"/>
                <w:color w:val="000000" w:themeColor="text1"/>
                <w:sz w:val="21"/>
                <w:szCs w:val="21"/>
                <w:highlight w:val="none"/>
                <w:vertAlign w:val="baseline"/>
                <w:lang w:val="zh-CN"/>
                <w14:textFill>
                  <w14:solidFill>
                    <w14:schemeClr w14:val="tx1"/>
                  </w14:solidFill>
                </w14:textFill>
              </w:rPr>
            </w:pPr>
          </w:p>
        </w:tc>
        <w:tc>
          <w:tcPr>
            <w:tcW w:w="1479" w:type="pct"/>
            <w:vAlign w:val="center"/>
          </w:tcPr>
          <w:p w14:paraId="1656F55B">
            <w:pPr>
              <w:widowControl w:val="0"/>
              <w:spacing w:line="360" w:lineRule="auto"/>
              <w:jc w:val="center"/>
              <w:rPr>
                <w:rFonts w:hint="eastAsia" w:ascii="宋体" w:hAnsi="宋体" w:eastAsia="宋体" w:cs="宋体"/>
                <w:color w:val="000000" w:themeColor="text1"/>
                <w:sz w:val="21"/>
                <w:szCs w:val="21"/>
                <w:highlight w:val="none"/>
                <w:vertAlign w:val="baseline"/>
                <w:lang w:val="zh-CN"/>
                <w14:textFill>
                  <w14:solidFill>
                    <w14:schemeClr w14:val="tx1"/>
                  </w14:solidFill>
                </w14:textFill>
              </w:rPr>
            </w:pPr>
          </w:p>
        </w:tc>
      </w:tr>
      <w:tr w14:paraId="3B577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Align w:val="center"/>
          </w:tcPr>
          <w:p w14:paraId="73673E38">
            <w:pPr>
              <w:widowControl w:val="0"/>
              <w:spacing w:line="360" w:lineRule="auto"/>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2</w:t>
            </w:r>
          </w:p>
        </w:tc>
        <w:tc>
          <w:tcPr>
            <w:tcW w:w="1839" w:type="pct"/>
            <w:vAlign w:val="center"/>
          </w:tcPr>
          <w:p w14:paraId="36CDB5CD">
            <w:pPr>
              <w:widowControl w:val="0"/>
              <w:spacing w:line="360" w:lineRule="auto"/>
              <w:jc w:val="center"/>
              <w:rPr>
                <w:rFonts w:hint="eastAsia" w:ascii="宋体" w:hAnsi="宋体" w:eastAsia="宋体" w:cs="宋体"/>
                <w:color w:val="000000" w:themeColor="text1"/>
                <w:sz w:val="21"/>
                <w:szCs w:val="21"/>
                <w:highlight w:val="none"/>
                <w:vertAlign w:val="baseline"/>
                <w:lang w:val="zh-CN"/>
                <w14:textFill>
                  <w14:solidFill>
                    <w14:schemeClr w14:val="tx1"/>
                  </w14:solidFill>
                </w14:textFill>
              </w:rPr>
            </w:pPr>
          </w:p>
        </w:tc>
        <w:tc>
          <w:tcPr>
            <w:tcW w:w="1173" w:type="pct"/>
            <w:vAlign w:val="center"/>
          </w:tcPr>
          <w:p w14:paraId="3433E14D">
            <w:pPr>
              <w:widowControl w:val="0"/>
              <w:spacing w:line="360" w:lineRule="auto"/>
              <w:jc w:val="center"/>
              <w:rPr>
                <w:rFonts w:hint="eastAsia" w:ascii="宋体" w:hAnsi="宋体" w:eastAsia="宋体" w:cs="宋体"/>
                <w:color w:val="000000" w:themeColor="text1"/>
                <w:sz w:val="21"/>
                <w:szCs w:val="21"/>
                <w:highlight w:val="none"/>
                <w:vertAlign w:val="baseline"/>
                <w:lang w:val="zh-CN"/>
                <w14:textFill>
                  <w14:solidFill>
                    <w14:schemeClr w14:val="tx1"/>
                  </w14:solidFill>
                </w14:textFill>
              </w:rPr>
            </w:pPr>
          </w:p>
        </w:tc>
        <w:tc>
          <w:tcPr>
            <w:tcW w:w="1479" w:type="pct"/>
            <w:vAlign w:val="center"/>
          </w:tcPr>
          <w:p w14:paraId="62825655">
            <w:pPr>
              <w:widowControl w:val="0"/>
              <w:spacing w:line="360" w:lineRule="auto"/>
              <w:jc w:val="center"/>
              <w:rPr>
                <w:rFonts w:hint="eastAsia" w:ascii="宋体" w:hAnsi="宋体" w:eastAsia="宋体" w:cs="宋体"/>
                <w:color w:val="000000" w:themeColor="text1"/>
                <w:sz w:val="21"/>
                <w:szCs w:val="21"/>
                <w:highlight w:val="none"/>
                <w:vertAlign w:val="baseline"/>
                <w:lang w:val="zh-CN"/>
                <w14:textFill>
                  <w14:solidFill>
                    <w14:schemeClr w14:val="tx1"/>
                  </w14:solidFill>
                </w14:textFill>
              </w:rPr>
            </w:pPr>
          </w:p>
        </w:tc>
      </w:tr>
      <w:tr w14:paraId="53E06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Align w:val="center"/>
          </w:tcPr>
          <w:p w14:paraId="602A406F">
            <w:pPr>
              <w:widowControl w:val="0"/>
              <w:spacing w:line="360" w:lineRule="auto"/>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w:t>
            </w:r>
          </w:p>
        </w:tc>
        <w:tc>
          <w:tcPr>
            <w:tcW w:w="1839" w:type="pct"/>
            <w:vAlign w:val="center"/>
          </w:tcPr>
          <w:p w14:paraId="453579E7">
            <w:pPr>
              <w:widowControl w:val="0"/>
              <w:spacing w:line="360" w:lineRule="auto"/>
              <w:jc w:val="center"/>
              <w:rPr>
                <w:rFonts w:hint="eastAsia" w:ascii="宋体" w:hAnsi="宋体" w:eastAsia="宋体" w:cs="宋体"/>
                <w:color w:val="000000" w:themeColor="text1"/>
                <w:sz w:val="21"/>
                <w:szCs w:val="21"/>
                <w:highlight w:val="none"/>
                <w:vertAlign w:val="baseline"/>
                <w:lang w:val="zh-CN"/>
                <w14:textFill>
                  <w14:solidFill>
                    <w14:schemeClr w14:val="tx1"/>
                  </w14:solidFill>
                </w14:textFill>
              </w:rPr>
            </w:pPr>
          </w:p>
        </w:tc>
        <w:tc>
          <w:tcPr>
            <w:tcW w:w="1173" w:type="pct"/>
            <w:vAlign w:val="center"/>
          </w:tcPr>
          <w:p w14:paraId="57521D57">
            <w:pPr>
              <w:widowControl w:val="0"/>
              <w:spacing w:line="360" w:lineRule="auto"/>
              <w:jc w:val="center"/>
              <w:rPr>
                <w:rFonts w:hint="eastAsia" w:ascii="宋体" w:hAnsi="宋体" w:eastAsia="宋体" w:cs="宋体"/>
                <w:color w:val="000000" w:themeColor="text1"/>
                <w:sz w:val="21"/>
                <w:szCs w:val="21"/>
                <w:highlight w:val="none"/>
                <w:vertAlign w:val="baseline"/>
                <w:lang w:val="zh-CN"/>
                <w14:textFill>
                  <w14:solidFill>
                    <w14:schemeClr w14:val="tx1"/>
                  </w14:solidFill>
                </w14:textFill>
              </w:rPr>
            </w:pPr>
          </w:p>
        </w:tc>
        <w:tc>
          <w:tcPr>
            <w:tcW w:w="1479" w:type="pct"/>
            <w:vAlign w:val="center"/>
          </w:tcPr>
          <w:p w14:paraId="1CC77D08">
            <w:pPr>
              <w:widowControl w:val="0"/>
              <w:spacing w:line="360" w:lineRule="auto"/>
              <w:jc w:val="center"/>
              <w:rPr>
                <w:rFonts w:hint="eastAsia" w:ascii="宋体" w:hAnsi="宋体" w:eastAsia="宋体" w:cs="宋体"/>
                <w:color w:val="000000" w:themeColor="text1"/>
                <w:sz w:val="21"/>
                <w:szCs w:val="21"/>
                <w:highlight w:val="none"/>
                <w:vertAlign w:val="baseline"/>
                <w:lang w:val="zh-CN"/>
                <w14:textFill>
                  <w14:solidFill>
                    <w14:schemeClr w14:val="tx1"/>
                  </w14:solidFill>
                </w14:textFill>
              </w:rPr>
            </w:pPr>
          </w:p>
        </w:tc>
      </w:tr>
    </w:tbl>
    <w:p w14:paraId="33ADF0F5">
      <w:pPr>
        <w:numPr>
          <w:ilvl w:val="0"/>
          <w:numId w:val="6"/>
        </w:numPr>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甲方现已有同型号、同品牌同类货物零配件/易耗品价格约定的，乙方承诺以不高于原约定价格提供。</w:t>
      </w:r>
    </w:p>
    <w:p w14:paraId="5C5C2DE4">
      <w:pPr>
        <w:numPr>
          <w:ilvl w:val="0"/>
          <w:numId w:val="6"/>
        </w:numPr>
        <w:spacing w:line="360" w:lineRule="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lang w:val="zh-CN"/>
          <w14:textFill>
            <w14:solidFill>
              <w14:schemeClr w14:val="tx1"/>
            </w14:solidFill>
          </w14:textFill>
        </w:rPr>
        <w:t>须无偿、实时提供设备设置、调试所需密码及权限。</w:t>
      </w:r>
    </w:p>
    <w:p w14:paraId="631D34BC">
      <w:pPr>
        <w:spacing w:line="360" w:lineRule="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lang w:val="zh-CN" w:eastAsia="zh-CN"/>
          <w14:textFill>
            <w14:solidFill>
              <w14:schemeClr w14:val="tx1"/>
            </w14:solidFill>
          </w14:textFill>
        </w:rPr>
        <w:t>）</w:t>
      </w:r>
      <w:r>
        <w:rPr>
          <w:rFonts w:hint="eastAsia" w:ascii="宋体" w:hAnsi="宋体" w:eastAsia="宋体" w:cs="宋体"/>
          <w:color w:val="000000" w:themeColor="text1"/>
          <w:sz w:val="21"/>
          <w:szCs w:val="21"/>
          <w:highlight w:val="none"/>
          <w:lang w:val="zh-CN"/>
          <w14:textFill>
            <w14:solidFill>
              <w14:schemeClr w14:val="tx1"/>
            </w14:solidFill>
          </w14:textFill>
        </w:rPr>
        <w:t>每次完成设备维修或保养后，须</w:t>
      </w:r>
      <w:r>
        <w:rPr>
          <w:rFonts w:hint="eastAsia" w:ascii="宋体" w:hAnsi="宋体" w:eastAsia="宋体" w:cs="宋体"/>
          <w:color w:val="000000" w:themeColor="text1"/>
          <w:sz w:val="21"/>
          <w:szCs w:val="21"/>
          <w:highlight w:val="none"/>
          <w:lang w:val="en-US" w:eastAsia="zh-CN"/>
          <w14:textFill>
            <w14:solidFill>
              <w14:schemeClr w14:val="tx1"/>
            </w14:solidFill>
          </w14:textFill>
        </w:rPr>
        <w:t>在7个工作日内</w:t>
      </w:r>
      <w:r>
        <w:rPr>
          <w:rFonts w:hint="eastAsia" w:ascii="宋体" w:hAnsi="宋体" w:eastAsia="宋体" w:cs="宋体"/>
          <w:color w:val="000000" w:themeColor="text1"/>
          <w:sz w:val="21"/>
          <w:szCs w:val="21"/>
          <w:highlight w:val="none"/>
          <w14:textFill>
            <w14:solidFill>
              <w14:schemeClr w14:val="tx1"/>
            </w14:solidFill>
          </w14:textFill>
        </w:rPr>
        <w:t>向</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lang w:val="zh-CN"/>
          <w14:textFill>
            <w14:solidFill>
              <w14:schemeClr w14:val="tx1"/>
            </w14:solidFill>
          </w14:textFill>
        </w:rPr>
        <w:t>提供维修及保养的报告。</w:t>
      </w:r>
    </w:p>
    <w:p w14:paraId="1490C674">
      <w:pPr>
        <w:spacing w:line="360" w:lineRule="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lang w:val="zh-CN" w:eastAsia="zh-CN"/>
          <w14:textFill>
            <w14:solidFill>
              <w14:schemeClr w14:val="tx1"/>
            </w14:solidFill>
          </w14:textFill>
        </w:rPr>
        <w:t>）提供所有软件的备份光盘、license及所有口令信息，同时提供这些软件安装、调试及相关维护所需要的所有硬件和软件工具以及上述光盘、软件、调试等说明书。不能提供上述内容的，则现场提供所有软件终生免费安装（含硬件更换后软件重新安装调试）、调试、维护服务</w:t>
      </w:r>
      <w:r>
        <w:rPr>
          <w:rFonts w:hint="eastAsia" w:ascii="宋体" w:hAnsi="宋体" w:eastAsia="宋体" w:cs="宋体"/>
          <w:color w:val="000000" w:themeColor="text1"/>
          <w:sz w:val="21"/>
          <w:szCs w:val="21"/>
          <w:highlight w:val="none"/>
          <w:lang w:val="zh-CN"/>
          <w14:textFill>
            <w14:solidFill>
              <w14:schemeClr w14:val="tx1"/>
            </w14:solidFill>
          </w14:textFill>
        </w:rPr>
        <w:t>。</w:t>
      </w:r>
    </w:p>
    <w:p w14:paraId="0509F351">
      <w:pPr>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11</w:t>
      </w:r>
      <w:r>
        <w:rPr>
          <w:rFonts w:hint="eastAsia" w:ascii="宋体" w:hAnsi="宋体" w:eastAsia="宋体" w:cs="宋体"/>
          <w:color w:val="000000" w:themeColor="text1"/>
          <w:sz w:val="21"/>
          <w:szCs w:val="21"/>
          <w:highlight w:val="none"/>
          <w:lang w:val="zh-CN"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每次维修前保证将甲方存储的数据备份，维修结束后回复原状，遵守甲方机房管理制度。</w:t>
      </w:r>
    </w:p>
    <w:p w14:paraId="1009574F">
      <w:pPr>
        <w:pStyle w:val="58"/>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420" w:lineRule="exact"/>
        <w:ind w:firstLine="420" w:firstLineChars="20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质量保证及售后服务承诺书系合同主要义务的重要组成部分。乙方未履行本条约定，构成违约，参照合同承担违约责任。</w:t>
      </w:r>
    </w:p>
    <w:p w14:paraId="6A0E917A">
      <w:pPr>
        <w:pStyle w:val="58"/>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420" w:lineRule="exact"/>
        <w:ind w:firstLine="420" w:firstLineChars="20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承诺人：本售后服务承诺书须由投标人、生产厂家（进口设备由国内注册代理人）逐条响应承诺，并加盖公章。</w:t>
      </w:r>
    </w:p>
    <w:p w14:paraId="30829C36">
      <w:pPr>
        <w:keepNext w:val="0"/>
        <w:keepLines w:val="0"/>
        <w:widowControl w:val="0"/>
        <w:suppressLineNumbers w:val="0"/>
        <w:spacing w:before="0" w:beforeAutospacing="0" w:after="0" w:afterAutospacing="0"/>
        <w:ind w:left="0" w:right="0"/>
        <w:jc w:val="both"/>
        <w:rPr>
          <w:rFonts w:hint="eastAsia" w:ascii="宋体" w:hAnsi="宋体" w:eastAsia="宋体" w:cs="宋体"/>
          <w:b w:val="0"/>
          <w:bCs/>
          <w:color w:val="000000" w:themeColor="text1"/>
          <w:kern w:val="2"/>
          <w:sz w:val="21"/>
          <w:szCs w:val="21"/>
          <w:highlight w:val="none"/>
          <w:lang w:val="en-US" w:eastAsia="zh-CN" w:bidi="ar"/>
          <w14:textFill>
            <w14:solidFill>
              <w14:schemeClr w14:val="tx1"/>
            </w14:solidFill>
          </w14:textFill>
        </w:rPr>
      </w:pPr>
    </w:p>
    <w:p w14:paraId="4F8C08F6">
      <w:pPr>
        <w:pStyle w:val="58"/>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420" w:lineRule="exact"/>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投标人：                              生产厂家（进口设备由国内注册代理人）：</w:t>
      </w:r>
    </w:p>
    <w:p w14:paraId="31DBD3E1">
      <w:pPr>
        <w:pStyle w:val="58"/>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420" w:lineRule="exact"/>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（盖章）                             （盖章）</w:t>
      </w:r>
    </w:p>
    <w:p w14:paraId="75C6C527">
      <w:pPr>
        <w:rPr>
          <w:rFonts w:hint="eastAsia" w:ascii="宋体" w:hAnsi="宋体" w:eastAsia="宋体" w:cs="宋体"/>
          <w:color w:val="000000" w:themeColor="text1"/>
          <w:sz w:val="21"/>
          <w:szCs w:val="21"/>
          <w:highlight w:val="none"/>
          <w14:textFill>
            <w14:solidFill>
              <w14:schemeClr w14:val="tx1"/>
            </w14:solidFill>
          </w14:textFill>
        </w:rPr>
      </w:pPr>
    </w:p>
    <w:p w14:paraId="54D3C5B3">
      <w:pPr>
        <w:keepNext w:val="0"/>
        <w:keepLines w:val="0"/>
        <w:pageBreakBefore w:val="0"/>
        <w:widowControl/>
        <w:tabs>
          <w:tab w:val="left" w:pos="6688"/>
        </w:tabs>
        <w:kinsoku/>
        <w:wordWrap/>
        <w:overflowPunct/>
        <w:topLinePunct w:val="0"/>
        <w:autoSpaceDE/>
        <w:autoSpaceDN/>
        <w:bidi w:val="0"/>
        <w:adjustRightInd/>
        <w:snapToGrid/>
        <w:spacing w:line="312" w:lineRule="auto"/>
        <w:jc w:val="both"/>
        <w:textAlignment w:val="auto"/>
        <w:rPr>
          <w:rFonts w:hint="eastAsia" w:ascii="宋体" w:hAnsi="宋体" w:eastAsia="宋体" w:cs="宋体"/>
          <w:b/>
          <w:color w:val="000000" w:themeColor="text1"/>
          <w:sz w:val="21"/>
          <w:szCs w:val="21"/>
          <w:highlight w:val="none"/>
          <w:lang w:val="en-US" w:eastAsia="zh-CN"/>
          <w14:textFill>
            <w14:solidFill>
              <w14:schemeClr w14:val="tx1"/>
            </w14:solidFill>
          </w14:textFill>
        </w:rPr>
      </w:pPr>
    </w:p>
    <w:p w14:paraId="754477ED">
      <w:pPr>
        <w:pStyle w:val="3"/>
        <w:rPr>
          <w:rFonts w:hint="eastAsia" w:ascii="宋体" w:hAnsi="宋体" w:eastAsia="宋体" w:cs="宋体"/>
          <w:b/>
          <w:color w:val="000000" w:themeColor="text1"/>
          <w:sz w:val="21"/>
          <w:szCs w:val="21"/>
          <w:highlight w:val="none"/>
          <w:lang w:val="en-US" w:eastAsia="zh-CN"/>
          <w14:textFill>
            <w14:solidFill>
              <w14:schemeClr w14:val="tx1"/>
            </w14:solidFill>
          </w14:textFill>
        </w:rPr>
      </w:pPr>
    </w:p>
    <w:p w14:paraId="66DE1867">
      <w:pPr>
        <w:rPr>
          <w:rFonts w:hint="eastAsia" w:ascii="宋体" w:hAnsi="宋体" w:eastAsia="宋体" w:cs="宋体"/>
          <w:b/>
          <w:color w:val="000000" w:themeColor="text1"/>
          <w:sz w:val="21"/>
          <w:szCs w:val="21"/>
          <w:highlight w:val="none"/>
          <w:lang w:val="en-US" w:eastAsia="zh-CN"/>
          <w14:textFill>
            <w14:solidFill>
              <w14:schemeClr w14:val="tx1"/>
            </w14:solidFill>
          </w14:textFill>
        </w:rPr>
      </w:pPr>
    </w:p>
    <w:p w14:paraId="054BDF76">
      <w:pPr>
        <w:pStyle w:val="3"/>
        <w:rPr>
          <w:rFonts w:hint="eastAsia" w:ascii="Times New Roman" w:hAnsi="Times New Roman" w:cs="Times New Roman"/>
          <w:b/>
          <w:color w:val="000000" w:themeColor="text1"/>
          <w:sz w:val="28"/>
          <w:szCs w:val="28"/>
          <w:highlight w:val="none"/>
          <w:lang w:val="en-US" w:eastAsia="zh-CN"/>
          <w14:textFill>
            <w14:solidFill>
              <w14:schemeClr w14:val="tx1"/>
            </w14:solidFill>
          </w14:textFill>
        </w:rPr>
      </w:pPr>
    </w:p>
    <w:p w14:paraId="5CB021EB">
      <w:pPr>
        <w:rPr>
          <w:rFonts w:hint="eastAsia" w:ascii="Times New Roman" w:hAnsi="Times New Roman" w:cs="Times New Roman"/>
          <w:b/>
          <w:color w:val="000000" w:themeColor="text1"/>
          <w:sz w:val="28"/>
          <w:szCs w:val="28"/>
          <w:highlight w:val="none"/>
          <w:lang w:val="en-US" w:eastAsia="zh-CN"/>
          <w14:textFill>
            <w14:solidFill>
              <w14:schemeClr w14:val="tx1"/>
            </w14:solidFill>
          </w14:textFill>
        </w:rPr>
      </w:pPr>
    </w:p>
    <w:p w14:paraId="4508CC03">
      <w:pPr>
        <w:pStyle w:val="3"/>
        <w:rPr>
          <w:rFonts w:hint="eastAsia" w:ascii="Times New Roman" w:hAnsi="Times New Roman" w:cs="Times New Roman"/>
          <w:b/>
          <w:color w:val="000000" w:themeColor="text1"/>
          <w:sz w:val="28"/>
          <w:szCs w:val="28"/>
          <w:highlight w:val="none"/>
          <w:lang w:val="en-US" w:eastAsia="zh-CN"/>
          <w14:textFill>
            <w14:solidFill>
              <w14:schemeClr w14:val="tx1"/>
            </w14:solidFill>
          </w14:textFill>
        </w:rPr>
      </w:pPr>
    </w:p>
    <w:p w14:paraId="147F18D5">
      <w:pPr>
        <w:pStyle w:val="3"/>
        <w:jc w:val="both"/>
        <w:rPr>
          <w:rFonts w:hint="eastAsia"/>
          <w:color w:val="000000" w:themeColor="text1"/>
          <w:highlight w:val="none"/>
          <w:lang w:val="en-US" w:eastAsia="zh-CN"/>
          <w14:textFill>
            <w14:solidFill>
              <w14:schemeClr w14:val="tx1"/>
            </w14:solidFill>
          </w14:textFill>
        </w:rPr>
      </w:pPr>
    </w:p>
    <w:p w14:paraId="2681BE30">
      <w:pPr>
        <w:keepNext w:val="0"/>
        <w:keepLines w:val="0"/>
        <w:pageBreakBefore/>
        <w:widowControl/>
        <w:tabs>
          <w:tab w:val="left" w:pos="6688"/>
        </w:tabs>
        <w:kinsoku/>
        <w:wordWrap/>
        <w:overflowPunct/>
        <w:topLinePunct w:val="0"/>
        <w:autoSpaceDE/>
        <w:autoSpaceDN/>
        <w:bidi w:val="0"/>
        <w:adjustRightInd/>
        <w:snapToGrid/>
        <w:spacing w:line="312" w:lineRule="auto"/>
        <w:jc w:val="both"/>
        <w:textAlignment w:val="auto"/>
        <w:rPr>
          <w:rFonts w:hint="eastAsia" w:ascii="新宋体" w:hAnsi="新宋体" w:eastAsia="新宋体" w:cs="新宋体"/>
          <w:b/>
          <w:color w:val="000000" w:themeColor="text1"/>
          <w:sz w:val="22"/>
          <w:szCs w:val="22"/>
          <w:highlight w:val="none"/>
          <w14:textFill>
            <w14:solidFill>
              <w14:schemeClr w14:val="tx1"/>
            </w14:solidFill>
          </w14:textFill>
        </w:rPr>
      </w:pPr>
      <w:r>
        <w:rPr>
          <w:rFonts w:hint="eastAsia" w:ascii="Times New Roman" w:hAnsi="Times New Roman" w:cs="Times New Roman"/>
          <w:b/>
          <w:color w:val="000000" w:themeColor="text1"/>
          <w:sz w:val="28"/>
          <w:szCs w:val="28"/>
          <w:highlight w:val="none"/>
          <w:lang w:val="en-US" w:eastAsia="zh-CN"/>
          <w14:textFill>
            <w14:solidFill>
              <w14:schemeClr w14:val="tx1"/>
            </w14:solidFill>
          </w14:textFill>
        </w:rPr>
        <w:t>附件</w:t>
      </w:r>
      <w:r>
        <w:rPr>
          <w:rFonts w:hint="eastAsia" w:cs="Times New Roman"/>
          <w:b/>
          <w:color w:val="000000" w:themeColor="text1"/>
          <w:sz w:val="28"/>
          <w:szCs w:val="28"/>
          <w:highlight w:val="none"/>
          <w:lang w:val="en-US" w:eastAsia="zh-CN"/>
          <w14:textFill>
            <w14:solidFill>
              <w14:schemeClr w14:val="tx1"/>
            </w14:solidFill>
          </w14:textFill>
        </w:rPr>
        <w:t>三</w:t>
      </w:r>
      <w:r>
        <w:rPr>
          <w:rFonts w:hint="eastAsia" w:ascii="Times New Roman" w:hAnsi="Times New Roman" w:cs="Times New Roman"/>
          <w:b/>
          <w:color w:val="000000" w:themeColor="text1"/>
          <w:sz w:val="28"/>
          <w:szCs w:val="28"/>
          <w:highlight w:val="none"/>
          <w:lang w:val="en-US" w:eastAsia="zh-CN"/>
          <w14:textFill>
            <w14:solidFill>
              <w14:schemeClr w14:val="tx1"/>
            </w14:solidFill>
          </w14:textFill>
        </w:rPr>
        <w:t xml:space="preserve">：           </w:t>
      </w:r>
      <w:r>
        <w:rPr>
          <w:rFonts w:hint="eastAsia" w:ascii="新宋体" w:hAnsi="新宋体" w:eastAsia="新宋体" w:cs="新宋体"/>
          <w:b/>
          <w:color w:val="000000" w:themeColor="text1"/>
          <w:sz w:val="26"/>
          <w:szCs w:val="26"/>
          <w:highlight w:val="none"/>
          <w14:textFill>
            <w14:solidFill>
              <w14:schemeClr w14:val="tx1"/>
            </w14:solidFill>
          </w14:textFill>
        </w:rPr>
        <w:t>医疗卫生机构医药产品廉洁购销合同</w:t>
      </w:r>
    </w:p>
    <w:p w14:paraId="31CE9497">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b/>
          <w:color w:val="000000" w:themeColor="text1"/>
          <w:sz w:val="22"/>
          <w:szCs w:val="22"/>
          <w:highlight w:val="none"/>
          <w14:textFill>
            <w14:solidFill>
              <w14:schemeClr w14:val="tx1"/>
            </w14:solidFill>
          </w14:textFill>
        </w:rPr>
        <w:t>甲方</w:t>
      </w:r>
      <w:r>
        <w:rPr>
          <w:rFonts w:hint="eastAsia" w:ascii="新宋体" w:hAnsi="新宋体" w:eastAsia="新宋体" w:cs="新宋体"/>
          <w:color w:val="000000" w:themeColor="text1"/>
          <w:sz w:val="22"/>
          <w:szCs w:val="22"/>
          <w:highlight w:val="none"/>
          <w14:textFill>
            <w14:solidFill>
              <w14:schemeClr w14:val="tx1"/>
            </w14:solidFill>
          </w14:textFill>
        </w:rPr>
        <w:t>：</w:t>
      </w:r>
    </w:p>
    <w:p w14:paraId="6BB52965">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b/>
          <w:color w:val="000000" w:themeColor="text1"/>
          <w:sz w:val="22"/>
          <w:szCs w:val="22"/>
          <w:highlight w:val="none"/>
          <w14:textFill>
            <w14:solidFill>
              <w14:schemeClr w14:val="tx1"/>
            </w14:solidFill>
          </w14:textFill>
        </w:rPr>
        <w:t>乙方</w:t>
      </w:r>
      <w:r>
        <w:rPr>
          <w:rFonts w:hint="eastAsia" w:ascii="新宋体" w:hAnsi="新宋体" w:eastAsia="新宋体" w:cs="新宋体"/>
          <w:color w:val="000000" w:themeColor="text1"/>
          <w:sz w:val="22"/>
          <w:szCs w:val="22"/>
          <w:highlight w:val="none"/>
          <w14:textFill>
            <w14:solidFill>
              <w14:schemeClr w14:val="tx1"/>
            </w14:solidFill>
          </w14:textFill>
        </w:rPr>
        <w:t>：</w:t>
      </w:r>
    </w:p>
    <w:p w14:paraId="3ED6DA44">
      <w:pPr>
        <w:keepNext w:val="0"/>
        <w:keepLines w:val="0"/>
        <w:pageBreakBefore w:val="0"/>
        <w:widowControl/>
        <w:kinsoku/>
        <w:wordWrap/>
        <w:overflowPunct/>
        <w:topLinePunct w:val="0"/>
        <w:autoSpaceDE/>
        <w:autoSpaceDN/>
        <w:bidi w:val="0"/>
        <w:adjustRightInd/>
        <w:snapToGrid/>
        <w:spacing w:line="312" w:lineRule="auto"/>
        <w:ind w:firstLine="440" w:firstLineChars="200"/>
        <w:textAlignment w:val="auto"/>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为进一步加强医疗卫生行风建设，规范医疗卫生机构医药购销行为，有效防范商业贿赂行为，营造公平交易、诚实守信的购销环境，经甲、乙双方协商，同意签订本合同，并共同遵守：</w:t>
      </w:r>
    </w:p>
    <w:p w14:paraId="607FB87E">
      <w:pPr>
        <w:keepNext w:val="0"/>
        <w:keepLines w:val="0"/>
        <w:pageBreakBefore w:val="0"/>
        <w:widowControl/>
        <w:kinsoku/>
        <w:wordWrap/>
        <w:overflowPunct/>
        <w:topLinePunct w:val="0"/>
        <w:autoSpaceDE/>
        <w:autoSpaceDN/>
        <w:bidi w:val="0"/>
        <w:adjustRightInd/>
        <w:snapToGrid/>
        <w:spacing w:line="312" w:lineRule="auto"/>
        <w:ind w:firstLine="440" w:firstLineChars="200"/>
        <w:textAlignment w:val="auto"/>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一、甲乙双方按照《中华人民共和国民法典》及医药产品购销合同约定购销药品、医用设备、医用耗材等医药产品。</w:t>
      </w:r>
    </w:p>
    <w:p w14:paraId="4472A609">
      <w:pPr>
        <w:keepNext w:val="0"/>
        <w:keepLines w:val="0"/>
        <w:pageBreakBefore w:val="0"/>
        <w:widowControl/>
        <w:kinsoku/>
        <w:wordWrap/>
        <w:overflowPunct/>
        <w:topLinePunct w:val="0"/>
        <w:autoSpaceDE/>
        <w:autoSpaceDN/>
        <w:bidi w:val="0"/>
        <w:adjustRightInd/>
        <w:snapToGrid/>
        <w:spacing w:line="312" w:lineRule="auto"/>
        <w:ind w:firstLine="440" w:firstLineChars="200"/>
        <w:textAlignment w:val="auto"/>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二、甲方应当严格执行医药产品购销合同验收、入库制度，对采购医药产品及发票进行查验，不得违反有关规定合同外采购、违价采购或从非规定渠道采购。</w:t>
      </w:r>
    </w:p>
    <w:p w14:paraId="0C464769">
      <w:pPr>
        <w:keepNext w:val="0"/>
        <w:keepLines w:val="0"/>
        <w:pageBreakBefore w:val="0"/>
        <w:widowControl/>
        <w:kinsoku/>
        <w:wordWrap/>
        <w:overflowPunct/>
        <w:topLinePunct w:val="0"/>
        <w:autoSpaceDE/>
        <w:autoSpaceDN/>
        <w:bidi w:val="0"/>
        <w:adjustRightInd/>
        <w:snapToGrid/>
        <w:spacing w:line="312" w:lineRule="auto"/>
        <w:ind w:firstLine="440" w:firstLineChars="200"/>
        <w:textAlignment w:val="auto"/>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动接受乙方给予的钱物，应予退还，无法退还的，有责任如实向有关纪检监察部门反映情况。</w:t>
      </w:r>
    </w:p>
    <w:p w14:paraId="3F95BAAD">
      <w:pPr>
        <w:keepNext w:val="0"/>
        <w:keepLines w:val="0"/>
        <w:pageBreakBefore w:val="0"/>
        <w:widowControl/>
        <w:kinsoku/>
        <w:wordWrap/>
        <w:overflowPunct/>
        <w:topLinePunct w:val="0"/>
        <w:autoSpaceDE/>
        <w:autoSpaceDN/>
        <w:bidi w:val="0"/>
        <w:adjustRightInd/>
        <w:snapToGrid/>
        <w:spacing w:line="312" w:lineRule="auto"/>
        <w:ind w:firstLine="440" w:firstLineChars="200"/>
        <w:textAlignment w:val="auto"/>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四、严禁甲方工作人员利用任何途径和方式，为乙方统计医师个人及临床科室有关医药产品用量信息，或为乙方统计提供便利。</w:t>
      </w:r>
    </w:p>
    <w:p w14:paraId="1D3FAAA6">
      <w:pPr>
        <w:keepNext w:val="0"/>
        <w:keepLines w:val="0"/>
        <w:pageBreakBefore w:val="0"/>
        <w:widowControl/>
        <w:kinsoku/>
        <w:wordWrap/>
        <w:overflowPunct/>
        <w:topLinePunct w:val="0"/>
        <w:autoSpaceDE/>
        <w:autoSpaceDN/>
        <w:bidi w:val="0"/>
        <w:adjustRightInd/>
        <w:snapToGrid/>
        <w:spacing w:line="312" w:lineRule="auto"/>
        <w:ind w:firstLine="440" w:firstLineChars="200"/>
        <w:textAlignment w:val="auto"/>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五、乙方不得以回扣、宴请等方式影响甲方工作人员采购或使用医药产品的选择权，不得在学术活动中提供旅游、超标准支付食宿费用。</w:t>
      </w:r>
    </w:p>
    <w:p w14:paraId="7B0E310B">
      <w:pPr>
        <w:keepNext w:val="0"/>
        <w:keepLines w:val="0"/>
        <w:pageBreakBefore w:val="0"/>
        <w:widowControl/>
        <w:kinsoku/>
        <w:wordWrap/>
        <w:overflowPunct/>
        <w:topLinePunct w:val="0"/>
        <w:autoSpaceDE/>
        <w:autoSpaceDN/>
        <w:bidi w:val="0"/>
        <w:adjustRightInd/>
        <w:snapToGrid/>
        <w:spacing w:line="312" w:lineRule="auto"/>
        <w:ind w:firstLine="440" w:firstLineChars="200"/>
        <w:textAlignment w:val="auto"/>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 xml:space="preserve">六、乙方指定 </w:t>
      </w:r>
      <w:r>
        <w:rPr>
          <w:rFonts w:hint="eastAsia" w:ascii="新宋体" w:hAnsi="新宋体" w:eastAsia="新宋体" w:cs="新宋体"/>
          <w:color w:val="000000" w:themeColor="text1"/>
          <w:sz w:val="22"/>
          <w:szCs w:val="22"/>
          <w:highlight w:val="none"/>
          <w:u w:val="single"/>
          <w14:textFill>
            <w14:solidFill>
              <w14:schemeClr w14:val="tx1"/>
            </w14:solidFill>
          </w14:textFill>
        </w:rPr>
        <w:t xml:space="preserve">  联系人***   （手机号码***）</w:t>
      </w:r>
      <w:r>
        <w:rPr>
          <w:rFonts w:hint="eastAsia" w:ascii="新宋体" w:hAnsi="新宋体" w:eastAsia="新宋体" w:cs="新宋体"/>
          <w:color w:val="000000" w:themeColor="text1"/>
          <w:sz w:val="22"/>
          <w:szCs w:val="22"/>
          <w:highlight w:val="none"/>
          <w14:textFill>
            <w14:solidFill>
              <w14:schemeClr w14:val="tx1"/>
            </w14:solidFill>
          </w14:textFill>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14:paraId="7C97034A">
      <w:pPr>
        <w:keepNext w:val="0"/>
        <w:keepLines w:val="0"/>
        <w:pageBreakBefore w:val="0"/>
        <w:widowControl/>
        <w:kinsoku/>
        <w:wordWrap/>
        <w:overflowPunct/>
        <w:topLinePunct w:val="0"/>
        <w:autoSpaceDE/>
        <w:autoSpaceDN/>
        <w:bidi w:val="0"/>
        <w:adjustRightInd/>
        <w:snapToGrid/>
        <w:spacing w:line="312" w:lineRule="auto"/>
        <w:ind w:firstLine="440" w:firstLineChars="200"/>
        <w:textAlignment w:val="auto"/>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七、乙方如违反本合同，一经发现，甲方有权终止购销合同，并向有关卫生计生行政部门报告。如乙方被列入商业贿赂不良记录，则严格按照《国家卫生计生委关于建立医药购销领域商业贿赂不良记录的规定》</w:t>
      </w:r>
      <w:r>
        <w:rPr>
          <w:rFonts w:hint="eastAsia" w:ascii="新宋体" w:hAnsi="新宋体" w:eastAsia="新宋体" w:cs="新宋体"/>
          <w:color w:val="000000" w:themeColor="text1"/>
          <w:sz w:val="22"/>
          <w:szCs w:val="22"/>
          <w:highlight w:val="none"/>
          <w:shd w:val="clear" w:color="auto" w:fill="FFFFFF"/>
          <w14:textFill>
            <w14:solidFill>
              <w14:schemeClr w14:val="tx1"/>
            </w14:solidFill>
          </w14:textFill>
        </w:rPr>
        <w:t>（国卫法制发〔2013〕50号）</w:t>
      </w:r>
      <w:r>
        <w:rPr>
          <w:rFonts w:hint="eastAsia" w:ascii="新宋体" w:hAnsi="新宋体" w:eastAsia="新宋体" w:cs="新宋体"/>
          <w:color w:val="000000" w:themeColor="text1"/>
          <w:sz w:val="22"/>
          <w:szCs w:val="22"/>
          <w:highlight w:val="none"/>
          <w14:textFill>
            <w14:solidFill>
              <w14:schemeClr w14:val="tx1"/>
            </w14:solidFill>
          </w14:textFill>
        </w:rPr>
        <w:t>相关规定处理。</w:t>
      </w:r>
    </w:p>
    <w:p w14:paraId="4F31C1D6">
      <w:pPr>
        <w:keepNext w:val="0"/>
        <w:keepLines w:val="0"/>
        <w:pageBreakBefore w:val="0"/>
        <w:widowControl/>
        <w:kinsoku/>
        <w:wordWrap/>
        <w:overflowPunct/>
        <w:topLinePunct w:val="0"/>
        <w:autoSpaceDE/>
        <w:autoSpaceDN/>
        <w:bidi w:val="0"/>
        <w:adjustRightInd/>
        <w:snapToGrid/>
        <w:spacing w:line="312" w:lineRule="auto"/>
        <w:ind w:firstLine="440" w:firstLineChars="200"/>
        <w:textAlignment w:val="auto"/>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八、本合同作为医药产品购销合同的重要组成部分，与购销合同一并执行，具有同等的法律效力。</w:t>
      </w:r>
    </w:p>
    <w:p w14:paraId="3A872B54">
      <w:pPr>
        <w:keepNext w:val="0"/>
        <w:keepLines w:val="0"/>
        <w:pageBreakBefore w:val="0"/>
        <w:widowControl/>
        <w:kinsoku/>
        <w:wordWrap/>
        <w:overflowPunct/>
        <w:topLinePunct w:val="0"/>
        <w:autoSpaceDE/>
        <w:autoSpaceDN/>
        <w:bidi w:val="0"/>
        <w:adjustRightInd/>
        <w:snapToGrid/>
        <w:spacing w:line="312" w:lineRule="auto"/>
        <w:ind w:firstLine="440" w:firstLineChars="200"/>
        <w:textAlignment w:val="auto"/>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九、本合同一式三份，甲、乙双方各执一份，甲方纪检监察部门（基层医疗卫生机构上报上级卫生计生行政部门）执一份，并从签订之日起生效。</w:t>
      </w:r>
    </w:p>
    <w:p w14:paraId="5F9F72EF">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甲方（盖章）：                     乙方（盖章）：</w:t>
      </w:r>
    </w:p>
    <w:p w14:paraId="3810DAF2">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法定代表人（负责人）：             法定代表人（负责人）：</w:t>
      </w:r>
    </w:p>
    <w:p w14:paraId="34EB8A98">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经办人签名：                       经办人签名：</w:t>
      </w:r>
    </w:p>
    <w:p w14:paraId="22EFAA0D">
      <w:pPr>
        <w:rPr>
          <w:color w:val="000000" w:themeColor="text1"/>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 xml:space="preserve">     年   月   日                      年   月  日</w:t>
      </w:r>
    </w:p>
    <w:p w14:paraId="420F03F8">
      <w:pPr>
        <w:pageBreakBefore/>
        <w:spacing w:line="360" w:lineRule="auto"/>
        <w:ind w:left="720" w:firstLine="723" w:firstLineChars="200"/>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第六部分</w:t>
      </w:r>
      <w:bookmarkEnd w:id="386"/>
      <w:r>
        <w:rPr>
          <w:rFonts w:hint="eastAsia" w:ascii="宋体" w:hAnsi="宋体" w:cs="宋体"/>
          <w:b/>
          <w:color w:val="000000" w:themeColor="text1"/>
          <w:sz w:val="36"/>
          <w:szCs w:val="20"/>
          <w:highlight w:val="none"/>
          <w14:textFill>
            <w14:solidFill>
              <w14:schemeClr w14:val="tx1"/>
            </w14:solidFill>
          </w14:textFill>
        </w:rPr>
        <w:t xml:space="preserve"> </w:t>
      </w:r>
      <w:bookmarkEnd w:id="387"/>
      <w:r>
        <w:rPr>
          <w:rFonts w:hint="eastAsia" w:ascii="宋体" w:hAnsi="宋体" w:cs="宋体"/>
          <w:b/>
          <w:color w:val="000000" w:themeColor="text1"/>
          <w:sz w:val="36"/>
          <w:szCs w:val="20"/>
          <w:highlight w:val="none"/>
          <w14:textFill>
            <w14:solidFill>
              <w14:schemeClr w14:val="tx1"/>
            </w14:solidFill>
          </w14:textFill>
        </w:rPr>
        <w:t>应提交的有关格式范例</w:t>
      </w:r>
    </w:p>
    <w:p w14:paraId="36EB2435">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14:paraId="20845AA5">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资格文件部分</w:t>
      </w:r>
    </w:p>
    <w:p w14:paraId="635372F5">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14:paraId="1EB9DFA4">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14:paraId="4DE72F0A">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eastAsia="zh-CN"/>
          <w14:textFill>
            <w14:solidFill>
              <w14:schemeClr w14:val="tx1"/>
            </w14:solidFill>
          </w14:textFill>
        </w:rPr>
        <w:t>符合参加国有企业采购活动应当具备的一般条件的承诺函</w:t>
      </w:r>
      <w:r>
        <w:rPr>
          <w:rFonts w:hint="eastAsia" w:ascii="宋体" w:hAnsi="宋体" w:cs="宋体"/>
          <w:color w:val="000000" w:themeColor="text1"/>
          <w:sz w:val="24"/>
          <w:highlight w:val="none"/>
          <w14:textFill>
            <w14:solidFill>
              <w14:schemeClr w14:val="tx1"/>
            </w14:solidFill>
          </w14:textFill>
        </w:rPr>
        <w:t>……………（页码）</w:t>
      </w:r>
    </w:p>
    <w:p w14:paraId="2CB5509B">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）本项目的特定资格要求………………………………………………（页码）</w:t>
      </w:r>
    </w:p>
    <w:p w14:paraId="3FB8743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476FB411">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001AB667">
      <w:pPr>
        <w:snapToGrid w:val="0"/>
        <w:spacing w:line="360" w:lineRule="auto"/>
        <w:ind w:right="480"/>
        <w:jc w:val="center"/>
        <w:rPr>
          <w:rFonts w:hint="eastAsia" w:ascii="宋体" w:hAnsi="宋体" w:eastAsia="宋体" w:cs="宋体"/>
          <w:b/>
          <w:color w:val="000000" w:themeColor="text1"/>
          <w:kern w:val="0"/>
          <w:sz w:val="32"/>
          <w:szCs w:val="32"/>
          <w:highlight w:val="none"/>
          <w:lang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br w:type="page"/>
      </w:r>
      <w:r>
        <w:rPr>
          <w:rFonts w:hint="eastAsia" w:ascii="宋体" w:hAnsi="宋体" w:cs="宋体"/>
          <w:b/>
          <w:color w:val="000000" w:themeColor="text1"/>
          <w:kern w:val="0"/>
          <w:sz w:val="32"/>
          <w:szCs w:val="32"/>
          <w:highlight w:val="none"/>
          <w14:textFill>
            <w14:solidFill>
              <w14:schemeClr w14:val="tx1"/>
            </w14:solidFill>
          </w14:textFill>
        </w:rPr>
        <w:t xml:space="preserve">  一、 </w:t>
      </w:r>
      <w:r>
        <w:rPr>
          <w:rFonts w:hint="eastAsia" w:ascii="宋体" w:hAnsi="宋体" w:cs="宋体"/>
          <w:b/>
          <w:color w:val="000000" w:themeColor="text1"/>
          <w:kern w:val="0"/>
          <w:sz w:val="32"/>
          <w:szCs w:val="32"/>
          <w:highlight w:val="none"/>
          <w:lang w:eastAsia="zh-CN"/>
          <w14:textFill>
            <w14:solidFill>
              <w14:schemeClr w14:val="tx1"/>
            </w14:solidFill>
          </w14:textFill>
        </w:rPr>
        <w:t>符合参加国有企业采购活动应当具备的一般条件的承诺函</w:t>
      </w:r>
    </w:p>
    <w:p w14:paraId="2530614B">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温州眼谷小镇运营管理有限公司</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浙江宏信项目管理有限公司</w:t>
      </w:r>
      <w:r>
        <w:rPr>
          <w:rFonts w:hint="eastAsia" w:ascii="宋体" w:hAnsi="宋体" w:cs="宋体"/>
          <w:color w:val="000000" w:themeColor="text1"/>
          <w:sz w:val="24"/>
          <w:highlight w:val="none"/>
          <w14:textFill>
            <w14:solidFill>
              <w14:schemeClr w14:val="tx1"/>
            </w14:solidFill>
          </w14:textFill>
        </w:rPr>
        <w:t>：</w:t>
      </w:r>
    </w:p>
    <w:p w14:paraId="19FC950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我方参与</w:t>
      </w:r>
      <w:r>
        <w:rPr>
          <w:rFonts w:hint="eastAsia" w:ascii="宋体" w:hAnsi="宋体" w:cs="宋体"/>
          <w:color w:val="000000" w:themeColor="text1"/>
          <w:sz w:val="24"/>
          <w:highlight w:val="none"/>
          <w:lang w:eastAsia="zh-CN"/>
          <w14:textFill>
            <w14:solidFill>
              <w14:schemeClr w14:val="tx1"/>
            </w14:solidFill>
          </w14:textFill>
        </w:rPr>
        <w:t>龙湾区第一人民医院普通电动床、血透床、转运床、治疗车、麻醉车等设备采购项目</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ZJHX-2024101801</w:t>
      </w:r>
      <w:r>
        <w:rPr>
          <w:rFonts w:hint="eastAsia" w:ascii="宋体" w:hAnsi="宋体" w:cs="宋体"/>
          <w:color w:val="000000" w:themeColor="text1"/>
          <w:sz w:val="24"/>
          <w:highlight w:val="none"/>
          <w14:textFill>
            <w14:solidFill>
              <w14:schemeClr w14:val="tx1"/>
            </w14:solidFill>
          </w14:textFill>
        </w:rPr>
        <w:t>】采购活动，郑重承诺：</w:t>
      </w:r>
    </w:p>
    <w:p w14:paraId="0620AF1A">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（一）具备《温州市龙湾区区属国有企业采购管理办法》第十四条规定的条件：</w:t>
      </w:r>
    </w:p>
    <w:p w14:paraId="336F997B">
      <w:pPr>
        <w:snapToGrid w:val="0"/>
        <w:spacing w:line="360" w:lineRule="auto"/>
        <w:ind w:firstLine="600" w:firstLineChars="2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1.具有独立承担民事责任的能力；</w:t>
      </w:r>
    </w:p>
    <w:p w14:paraId="5E8F4BF9">
      <w:pPr>
        <w:snapToGrid w:val="0"/>
        <w:spacing w:line="360" w:lineRule="auto"/>
        <w:ind w:firstLine="600" w:firstLineChars="2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2.具有良好的商业信誉和健全的财务会计制度；</w:t>
      </w:r>
    </w:p>
    <w:p w14:paraId="42E0C2D0">
      <w:pPr>
        <w:snapToGrid w:val="0"/>
        <w:spacing w:line="360" w:lineRule="auto"/>
        <w:ind w:firstLine="600" w:firstLineChars="2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3.具有履行合同所必需的设备和专业技术、售后保障等能力； </w:t>
      </w:r>
    </w:p>
    <w:p w14:paraId="41F3D717">
      <w:pPr>
        <w:snapToGrid w:val="0"/>
        <w:spacing w:line="360" w:lineRule="auto"/>
        <w:ind w:firstLine="600" w:firstLineChars="2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4.有依法缴纳税收和社会保障资金的良好记录； </w:t>
      </w:r>
    </w:p>
    <w:p w14:paraId="05629763">
      <w:pPr>
        <w:snapToGrid w:val="0"/>
        <w:spacing w:line="360" w:lineRule="auto"/>
        <w:ind w:firstLine="600" w:firstLineChars="2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 参加采购、招投标等活动前三年内，在经营活动中没有重大违法记录、严重失信行为；</w:t>
      </w:r>
    </w:p>
    <w:p w14:paraId="5A890AF6">
      <w:pPr>
        <w:snapToGrid w:val="0"/>
        <w:spacing w:line="360" w:lineRule="auto"/>
        <w:ind w:firstLine="600" w:firstLineChars="2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6.法律法规规章规定的其他条件。</w:t>
      </w:r>
    </w:p>
    <w:p w14:paraId="75AC17F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5F812E4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（三）不存在以下情况：</w:t>
      </w:r>
    </w:p>
    <w:p w14:paraId="09665AE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1、单位负责人为同一人或者存在直接控股、管理关系的不同供应商参加同一合同项下的采购活动的；</w:t>
      </w:r>
    </w:p>
    <w:p w14:paraId="1FFF982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6B1B42C7">
      <w:pPr>
        <w:snapToGrid w:val="0"/>
        <w:spacing w:line="360" w:lineRule="auto"/>
        <w:ind w:firstLine="5520" w:firstLineChars="23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投标人名称(电子签名)：</w:t>
      </w:r>
    </w:p>
    <w:p w14:paraId="4F28ADC2">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14:paraId="32C2E307">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3CE60231">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252516A1">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66E9ACF6">
      <w:pPr>
        <w:rPr>
          <w:rFonts w:ascii="宋体" w:hAnsi="宋体" w:cs="宋体"/>
          <w:color w:val="000000" w:themeColor="text1"/>
          <w:highlight w:val="none"/>
          <w14:textFill>
            <w14:solidFill>
              <w14:schemeClr w14:val="tx1"/>
            </w14:solidFill>
          </w14:textFill>
        </w:rPr>
      </w:pPr>
    </w:p>
    <w:p w14:paraId="4CF3BC66">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0FFD840F">
      <w:pPr>
        <w:widowControl/>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lang w:eastAsia="zh-CN"/>
          <w14:textFill>
            <w14:solidFill>
              <w14:schemeClr w14:val="tx1"/>
            </w14:solidFill>
          </w14:textFill>
        </w:rPr>
        <w:t>二</w:t>
      </w:r>
      <w:r>
        <w:rPr>
          <w:rFonts w:hint="eastAsia" w:ascii="宋体" w:hAnsi="宋体" w:cs="宋体"/>
          <w:b/>
          <w:color w:val="000000" w:themeColor="text1"/>
          <w:kern w:val="0"/>
          <w:sz w:val="32"/>
          <w:szCs w:val="32"/>
          <w:highlight w:val="none"/>
          <w14:textFill>
            <w14:solidFill>
              <w14:schemeClr w14:val="tx1"/>
            </w14:solidFill>
          </w14:textFill>
        </w:rPr>
        <w:t>、本项目的特定资格要求</w:t>
      </w:r>
    </w:p>
    <w:p w14:paraId="016D3A26">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本项目</w:t>
      </w:r>
      <w:r>
        <w:rPr>
          <w:rFonts w:hint="eastAsia" w:ascii="宋体" w:hAnsi="宋体" w:cs="宋体"/>
          <w:color w:val="000000" w:themeColor="text1"/>
          <w:sz w:val="24"/>
          <w:highlight w:val="none"/>
          <w14:textFill>
            <w14:solidFill>
              <w14:schemeClr w14:val="tx1"/>
            </w14:solidFill>
          </w14:textFill>
        </w:rPr>
        <w:t>未要求，无需提供）</w:t>
      </w:r>
    </w:p>
    <w:p w14:paraId="5D47174F">
      <w:pPr>
        <w:rPr>
          <w:rFonts w:ascii="宋体" w:hAnsi="宋体" w:cs="宋体"/>
          <w:color w:val="000000" w:themeColor="text1"/>
          <w:highlight w:val="none"/>
          <w14:textFill>
            <w14:solidFill>
              <w14:schemeClr w14:val="tx1"/>
            </w14:solidFill>
          </w14:textFill>
        </w:rPr>
      </w:pPr>
    </w:p>
    <w:p w14:paraId="0E32DA9F">
      <w:pPr>
        <w:widowControl/>
        <w:adjustRightInd/>
        <w:jc w:val="left"/>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14:paraId="6C948EF7">
      <w:pPr>
        <w:spacing w:line="360" w:lineRule="auto"/>
        <w:ind w:right="420"/>
        <w:jc w:val="center"/>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商务技术文件部分</w:t>
      </w:r>
    </w:p>
    <w:p w14:paraId="4F5C2925">
      <w:pPr>
        <w:spacing w:line="360" w:lineRule="auto"/>
        <w:jc w:val="center"/>
        <w:outlineLvl w:val="0"/>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目录</w:t>
      </w:r>
    </w:p>
    <w:p w14:paraId="04425B03">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（1）投标函</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（2）授权委托书或法定代表人（单位负责人、自然人本人）身份证明</w:t>
      </w:r>
      <w:r>
        <w:rPr>
          <w:rFonts w:hint="eastAsia" w:ascii="宋体" w:hAnsi="宋体" w:cs="宋体"/>
          <w:color w:val="000000" w:themeColor="text1"/>
          <w:highlight w:val="none"/>
          <w14:textFill>
            <w14:solidFill>
              <w14:schemeClr w14:val="tx1"/>
            </w14:solidFill>
          </w14:textFill>
        </w:rPr>
        <w:t>………（页码）</w:t>
      </w:r>
    </w:p>
    <w:p w14:paraId="225388B6">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color w:val="000000" w:themeColor="text1"/>
          <w:highlight w:val="none"/>
          <w14:textFill>
            <w14:solidFill>
              <w14:schemeClr w14:val="tx1"/>
            </w14:solidFill>
          </w14:textFill>
        </w:rPr>
        <w:t>…………………………………………………………………………（页码）</w:t>
      </w:r>
    </w:p>
    <w:p w14:paraId="54320D83">
      <w:pPr>
        <w:snapToGrid w:val="0"/>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r>
        <w:rPr>
          <w:rFonts w:hint="eastAsia" w:ascii="宋体" w:hAnsi="宋体" w:cs="宋体"/>
          <w:color w:val="000000" w:themeColor="text1"/>
          <w:highlight w:val="none"/>
          <w14:textFill>
            <w14:solidFill>
              <w14:schemeClr w14:val="tx1"/>
            </w14:solidFill>
          </w14:textFill>
        </w:rPr>
        <w:t>………………………………………………………………………（页码）</w:t>
      </w:r>
    </w:p>
    <w:p w14:paraId="557C4BA3">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r>
        <w:rPr>
          <w:rFonts w:hint="eastAsia" w:ascii="宋体" w:hAnsi="宋体" w:cs="宋体"/>
          <w:color w:val="000000" w:themeColor="text1"/>
          <w:highlight w:val="none"/>
          <w14:textFill>
            <w14:solidFill>
              <w14:schemeClr w14:val="tx1"/>
            </w14:solidFill>
          </w14:textFill>
        </w:rPr>
        <w:t>………………………………………………………………………（页码）</w:t>
      </w:r>
    </w:p>
    <w:p w14:paraId="67569B2E">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）采购供应商廉洁自律承诺书</w:t>
      </w:r>
      <w:r>
        <w:rPr>
          <w:rFonts w:hint="eastAsia" w:ascii="宋体" w:hAnsi="宋体" w:cs="宋体"/>
          <w:color w:val="000000" w:themeColor="text1"/>
          <w:highlight w:val="none"/>
          <w14:textFill>
            <w14:solidFill>
              <w14:schemeClr w14:val="tx1"/>
            </w14:solidFill>
          </w14:textFill>
        </w:rPr>
        <w:t>………………………………………………………（页码）</w:t>
      </w:r>
    </w:p>
    <w:p w14:paraId="568896B4">
      <w:pPr>
        <w:snapToGrid w:val="0"/>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cs="宋体"/>
          <w:color w:val="000000" w:themeColor="text1"/>
          <w:sz w:val="24"/>
          <w:highlight w:val="none"/>
          <w14:textFill>
            <w14:solidFill>
              <w14:schemeClr w14:val="tx1"/>
            </w14:solidFill>
          </w14:textFill>
        </w:rPr>
        <w:t>）随机标准附件、备品备件、零配件、专用工具清单</w:t>
      </w:r>
      <w:r>
        <w:rPr>
          <w:rFonts w:hint="eastAsia" w:ascii="宋体" w:hAnsi="宋体" w:cs="宋体"/>
          <w:color w:val="000000" w:themeColor="text1"/>
          <w:highlight w:val="none"/>
          <w14:textFill>
            <w14:solidFill>
              <w14:schemeClr w14:val="tx1"/>
            </w14:solidFill>
          </w14:textFill>
        </w:rPr>
        <w:t>…………………………（页码）</w:t>
      </w:r>
    </w:p>
    <w:p w14:paraId="7ADA98CC">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10</w:t>
      </w:r>
      <w:r>
        <w:rPr>
          <w:rFonts w:hint="eastAsia" w:ascii="宋体" w:hAnsi="宋体" w:cs="宋体"/>
          <w:color w:val="000000" w:themeColor="text1"/>
          <w:sz w:val="24"/>
          <w:highlight w:val="none"/>
          <w14:textFill>
            <w14:solidFill>
              <w14:schemeClr w14:val="tx1"/>
            </w14:solidFill>
          </w14:textFill>
        </w:rPr>
        <w:t>）选配件、专用耗材、售后服务优惠表</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）质量保证及售后服务承诺书</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cs="宋体"/>
          <w:color w:val="000000" w:themeColor="text1"/>
          <w:sz w:val="24"/>
          <w:highlight w:val="none"/>
          <w14:textFill>
            <w14:solidFill>
              <w14:schemeClr w14:val="tx1"/>
            </w14:solidFill>
          </w14:textFill>
        </w:rPr>
        <w:t>）消耗品、易耗品、备品备件购买价格清单</w:t>
      </w:r>
      <w:r>
        <w:rPr>
          <w:rFonts w:hint="eastAsia" w:ascii="宋体" w:hAnsi="宋体" w:cs="宋体"/>
          <w:color w:val="000000" w:themeColor="text1"/>
          <w:highlight w:val="none"/>
          <w14:textFill>
            <w14:solidFill>
              <w14:schemeClr w14:val="tx1"/>
            </w14:solidFill>
          </w14:textFill>
        </w:rPr>
        <w:t>……………………………………（页码）</w:t>
      </w:r>
    </w:p>
    <w:p w14:paraId="7D61F25B">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06FC83D5">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3AD46128">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7A0B7ED9">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531DE147">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697BF203">
      <w:pPr>
        <w:snapToGrid w:val="0"/>
        <w:spacing w:line="360" w:lineRule="auto"/>
        <w:jc w:val="center"/>
        <w:outlineLvl w:val="0"/>
        <w:rPr>
          <w:rFonts w:ascii="宋体" w:hAnsi="宋体" w:cs="宋体"/>
          <w:b/>
          <w:color w:val="000000" w:themeColor="text1"/>
          <w:kern w:val="0"/>
          <w:sz w:val="32"/>
          <w:szCs w:val="32"/>
          <w:highlight w:val="none"/>
          <w14:textFill>
            <w14:solidFill>
              <w14:schemeClr w14:val="tx1"/>
            </w14:solidFill>
          </w14:textFill>
        </w:rPr>
      </w:pPr>
    </w:p>
    <w:p w14:paraId="5A5FAE56">
      <w:pPr>
        <w:snapToGrid w:val="0"/>
        <w:spacing w:line="360" w:lineRule="auto"/>
        <w:jc w:val="center"/>
        <w:outlineLvl w:val="0"/>
        <w:rPr>
          <w:rFonts w:ascii="宋体" w:hAnsi="宋体" w:cs="宋体"/>
          <w:b/>
          <w:color w:val="000000" w:themeColor="text1"/>
          <w:kern w:val="0"/>
          <w:sz w:val="32"/>
          <w:szCs w:val="32"/>
          <w:highlight w:val="none"/>
          <w14:textFill>
            <w14:solidFill>
              <w14:schemeClr w14:val="tx1"/>
            </w14:solidFill>
          </w14:textFill>
        </w:rPr>
      </w:pPr>
    </w:p>
    <w:p w14:paraId="21378552">
      <w:pPr>
        <w:rPr>
          <w:rFonts w:ascii="宋体" w:hAnsi="宋体" w:cs="宋体"/>
          <w:color w:val="000000" w:themeColor="text1"/>
          <w:highlight w:val="none"/>
          <w14:textFill>
            <w14:solidFill>
              <w14:schemeClr w14:val="tx1"/>
            </w14:solidFill>
          </w14:textFill>
        </w:rPr>
      </w:pPr>
    </w:p>
    <w:p w14:paraId="597DDE80">
      <w:pPr>
        <w:snapToGrid w:val="0"/>
        <w:spacing w:line="360" w:lineRule="auto"/>
        <w:jc w:val="center"/>
        <w:outlineLvl w:val="0"/>
        <w:rPr>
          <w:rFonts w:ascii="宋体" w:hAnsi="宋体" w:cs="宋体"/>
          <w:b/>
          <w:color w:val="000000" w:themeColor="text1"/>
          <w:kern w:val="0"/>
          <w:sz w:val="32"/>
          <w:szCs w:val="32"/>
          <w:highlight w:val="none"/>
          <w14:textFill>
            <w14:solidFill>
              <w14:schemeClr w14:val="tx1"/>
            </w14:solidFill>
          </w14:textFill>
        </w:rPr>
      </w:pPr>
    </w:p>
    <w:p w14:paraId="54513E21">
      <w:pPr>
        <w:snapToGrid w:val="0"/>
        <w:spacing w:line="360" w:lineRule="auto"/>
        <w:jc w:val="center"/>
        <w:outlineLvl w:val="0"/>
        <w:rPr>
          <w:rFonts w:ascii="宋体" w:hAnsi="宋体" w:cs="宋体"/>
          <w:b/>
          <w:color w:val="000000" w:themeColor="text1"/>
          <w:kern w:val="0"/>
          <w:sz w:val="32"/>
          <w:szCs w:val="32"/>
          <w:highlight w:val="none"/>
          <w14:textFill>
            <w14:solidFill>
              <w14:schemeClr w14:val="tx1"/>
            </w14:solidFill>
          </w14:textFill>
        </w:rPr>
      </w:pPr>
    </w:p>
    <w:p w14:paraId="289143B2">
      <w:pPr>
        <w:pStyle w:val="4"/>
        <w:rPr>
          <w:color w:val="000000" w:themeColor="text1"/>
          <w:highlight w:val="none"/>
          <w:lang w:val="en-US"/>
          <w14:textFill>
            <w14:solidFill>
              <w14:schemeClr w14:val="tx1"/>
            </w14:solidFill>
          </w14:textFill>
        </w:rPr>
      </w:pPr>
    </w:p>
    <w:p w14:paraId="65BCE4A8">
      <w:pPr>
        <w:rPr>
          <w:color w:val="000000" w:themeColor="text1"/>
          <w:highlight w:val="none"/>
          <w14:textFill>
            <w14:solidFill>
              <w14:schemeClr w14:val="tx1"/>
            </w14:solidFill>
          </w14:textFill>
        </w:rPr>
      </w:pPr>
    </w:p>
    <w:p w14:paraId="19AD9199">
      <w:pPr>
        <w:snapToGrid w:val="0"/>
        <w:spacing w:line="360" w:lineRule="auto"/>
        <w:ind w:firstLine="3855" w:firstLineChars="1200"/>
        <w:outlineLvl w:val="0"/>
        <w:rPr>
          <w:rFonts w:ascii="宋体" w:hAnsi="宋体" w:cs="宋体"/>
          <w:b/>
          <w:color w:val="000000" w:themeColor="text1"/>
          <w:kern w:val="0"/>
          <w:sz w:val="32"/>
          <w:szCs w:val="32"/>
          <w:highlight w:val="none"/>
          <w14:textFill>
            <w14:solidFill>
              <w14:schemeClr w14:val="tx1"/>
            </w14:solidFill>
          </w14:textFill>
        </w:rPr>
      </w:pPr>
    </w:p>
    <w:p w14:paraId="00EDEDE4">
      <w:pPr>
        <w:widowControl/>
        <w:adjustRightInd/>
        <w:jc w:val="left"/>
        <w:rPr>
          <w:rFonts w:ascii="宋体" w:hAnsi="宋体" w:cs="宋体"/>
          <w:b/>
          <w:color w:val="000000" w:themeColor="text1"/>
          <w:kern w:val="0"/>
          <w:sz w:val="32"/>
          <w:szCs w:val="32"/>
          <w:highlight w:val="none"/>
          <w14:textFill>
            <w14:solidFill>
              <w14:schemeClr w14:val="tx1"/>
            </w14:solidFill>
          </w14:textFill>
        </w:rPr>
      </w:pPr>
    </w:p>
    <w:p w14:paraId="41C67046">
      <w:pPr>
        <w:snapToGrid w:val="0"/>
        <w:spacing w:line="360" w:lineRule="auto"/>
        <w:ind w:firstLine="3855" w:firstLineChars="1200"/>
        <w:outlineLvl w:val="0"/>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一、投标</w:t>
      </w:r>
      <w:r>
        <w:rPr>
          <w:rFonts w:hint="eastAsia" w:ascii="宋体" w:hAnsi="宋体" w:cs="宋体"/>
          <w:b/>
          <w:color w:val="000000" w:themeColor="text1"/>
          <w:sz w:val="32"/>
          <w:szCs w:val="32"/>
          <w:highlight w:val="none"/>
          <w14:textFill>
            <w14:solidFill>
              <w14:schemeClr w14:val="tx1"/>
            </w14:solidFill>
          </w14:textFill>
        </w:rPr>
        <w:t>函</w:t>
      </w:r>
    </w:p>
    <w:p w14:paraId="24426885">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温州眼谷小镇运营管理有限公司</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浙江宏信项目管理有限公司</w:t>
      </w:r>
      <w:r>
        <w:rPr>
          <w:rFonts w:hint="eastAsia" w:ascii="宋体" w:hAnsi="宋体" w:cs="宋体"/>
          <w:color w:val="000000" w:themeColor="text1"/>
          <w:sz w:val="24"/>
          <w:highlight w:val="none"/>
          <w14:textFill>
            <w14:solidFill>
              <w14:schemeClr w14:val="tx1"/>
            </w14:solidFill>
          </w14:textFill>
        </w:rPr>
        <w:t>：</w:t>
      </w:r>
    </w:p>
    <w:p w14:paraId="04F13A0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我方参加你方组织的</w:t>
      </w:r>
      <w:r>
        <w:rPr>
          <w:rFonts w:hint="eastAsia" w:ascii="宋体" w:hAnsi="宋体" w:cs="宋体"/>
          <w:color w:val="000000" w:themeColor="text1"/>
          <w:sz w:val="24"/>
          <w:highlight w:val="none"/>
          <w:lang w:eastAsia="zh-CN"/>
          <w14:textFill>
            <w14:solidFill>
              <w14:schemeClr w14:val="tx1"/>
            </w14:solidFill>
          </w14:textFill>
        </w:rPr>
        <w:t>龙湾区第一人民医院普通电动床、血透床、转运床、治疗车、麻醉车等设备采购项目</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ZJHX-2024101801</w:t>
      </w:r>
      <w:r>
        <w:rPr>
          <w:rFonts w:hint="eastAsia" w:ascii="宋体" w:hAnsi="宋体" w:cs="宋体"/>
          <w:color w:val="000000" w:themeColor="text1"/>
          <w:sz w:val="24"/>
          <w:highlight w:val="none"/>
          <w14:textFill>
            <w14:solidFill>
              <w14:schemeClr w14:val="tx1"/>
            </w14:solidFill>
          </w14:textFill>
        </w:rPr>
        <w:t>】招标的有关活动，并对此项目进行投标。为此：</w:t>
      </w:r>
    </w:p>
    <w:p w14:paraId="686E01D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1、我方承诺投标有效期从提交投标文件的截止之日起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天（不少于90天）</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本投标文件在投标有效期满之前均具有约束力。</w:t>
      </w:r>
    </w:p>
    <w:p w14:paraId="673FC37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2、我方的投标文件包括以下内容：</w:t>
      </w:r>
    </w:p>
    <w:p w14:paraId="0BE38894">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2.1资格文件：</w:t>
      </w:r>
    </w:p>
    <w:p w14:paraId="05A11774">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2.1.1承诺函；</w:t>
      </w:r>
    </w:p>
    <w:p w14:paraId="467D8805">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本项目的特定资格要求</w:t>
      </w:r>
      <w:r>
        <w:rPr>
          <w:rFonts w:hint="eastAsia" w:ascii="宋体" w:hAnsi="宋体" w:cs="宋体"/>
          <w:snapToGrid w:val="0"/>
          <w:color w:val="000000" w:themeColor="text1"/>
          <w:kern w:val="28"/>
          <w:sz w:val="24"/>
          <w:szCs w:val="20"/>
          <w:highlight w:val="none"/>
          <w14:textFill>
            <w14:solidFill>
              <w14:schemeClr w14:val="tx1"/>
            </w14:solidFill>
          </w14:textFill>
        </w:rPr>
        <w:t>（</w:t>
      </w:r>
      <w:r>
        <w:rPr>
          <w:rFonts w:hint="eastAsia" w:ascii="宋体" w:hAnsi="宋体" w:cs="宋体"/>
          <w:snapToGrid w:val="0"/>
          <w:color w:val="000000" w:themeColor="text1"/>
          <w:kern w:val="28"/>
          <w:sz w:val="24"/>
          <w:szCs w:val="20"/>
          <w:highlight w:val="none"/>
          <w:lang w:eastAsia="zh-CN"/>
          <w14:textFill>
            <w14:solidFill>
              <w14:schemeClr w14:val="tx1"/>
            </w14:solidFill>
          </w14:textFill>
        </w:rPr>
        <w:t>本项目未要求</w:t>
      </w:r>
      <w:r>
        <w:rPr>
          <w:rFonts w:hint="eastAsia" w:ascii="宋体" w:hAnsi="宋体" w:cs="宋体"/>
          <w:snapToGrid w:val="0"/>
          <w:color w:val="000000" w:themeColor="text1"/>
          <w:kern w:val="28"/>
          <w:sz w:val="24"/>
          <w:szCs w:val="20"/>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p>
    <w:p w14:paraId="1D8A9745">
      <w:pPr>
        <w:snapToGrid w:val="0"/>
        <w:spacing w:line="360" w:lineRule="auto"/>
        <w:ind w:left="210" w:leftChars="100"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14:paraId="60B6407E">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2.2.1投标函；</w:t>
      </w:r>
      <w:r>
        <w:rPr>
          <w:rFonts w:hint="eastAsia" w:ascii="宋体" w:hAnsi="宋体" w:cs="宋体"/>
          <w:color w:val="000000" w:themeColor="text1"/>
          <w:sz w:val="24"/>
          <w:highlight w:val="none"/>
          <w:lang w:val="zh-CN"/>
          <w14:textFill>
            <w14:solidFill>
              <w14:schemeClr w14:val="tx1"/>
            </w14:solidFill>
          </w14:textFill>
        </w:rPr>
        <w:t xml:space="preserve"> </w:t>
      </w:r>
    </w:p>
    <w:p w14:paraId="006890A3">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2.2.2授权委托书或法定代表人（单位负责人）身份证明；</w:t>
      </w:r>
    </w:p>
    <w:p w14:paraId="3057BDE2">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snapToGrid w:val="0"/>
          <w:color w:val="000000" w:themeColor="text1"/>
          <w:kern w:val="28"/>
          <w:sz w:val="24"/>
          <w:szCs w:val="20"/>
          <w:highlight w:val="none"/>
          <w14:textFill>
            <w14:solidFill>
              <w14:schemeClr w14:val="tx1"/>
            </w14:solidFill>
          </w14:textFill>
        </w:rPr>
        <w:t>（</w:t>
      </w:r>
      <w:r>
        <w:rPr>
          <w:rFonts w:hint="eastAsia" w:ascii="宋体" w:hAnsi="宋体" w:cs="宋体"/>
          <w:snapToGrid w:val="0"/>
          <w:color w:val="000000" w:themeColor="text1"/>
          <w:kern w:val="28"/>
          <w:sz w:val="24"/>
          <w:szCs w:val="20"/>
          <w:highlight w:val="none"/>
          <w:lang w:eastAsia="zh-CN"/>
          <w14:textFill>
            <w14:solidFill>
              <w14:schemeClr w14:val="tx1"/>
            </w14:solidFill>
          </w14:textFill>
        </w:rPr>
        <w:t>本项目不允许分包</w:t>
      </w:r>
      <w:r>
        <w:rPr>
          <w:rFonts w:hint="eastAsia" w:ascii="宋体" w:hAnsi="宋体" w:cs="宋体"/>
          <w:snapToGrid w:val="0"/>
          <w:color w:val="000000" w:themeColor="text1"/>
          <w:kern w:val="28"/>
          <w:sz w:val="24"/>
          <w:szCs w:val="20"/>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p>
    <w:p w14:paraId="17327DB4">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p>
    <w:p w14:paraId="6CC8BBDB">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p>
    <w:p w14:paraId="1F4D8815">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p>
    <w:p w14:paraId="163A7E8D">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p>
    <w:p w14:paraId="204EE03A">
      <w:pPr>
        <w:snapToGrid w:val="0"/>
        <w:spacing w:line="360" w:lineRule="auto"/>
        <w:ind w:left="420" w:leftChars="200"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采购供应商廉洁自律承诺书；</w:t>
      </w:r>
    </w:p>
    <w:p w14:paraId="251834ED">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3报价文件</w:t>
      </w:r>
    </w:p>
    <w:p w14:paraId="19D5B505">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2.3.1开标一览表（报价表）；</w:t>
      </w:r>
    </w:p>
    <w:p w14:paraId="24053F1F">
      <w:pPr>
        <w:snapToGrid w:val="0"/>
        <w:spacing w:line="360" w:lineRule="auto"/>
        <w:ind w:left="420" w:leftChars="200" w:firstLine="480" w:firstLineChars="200"/>
        <w:rPr>
          <w:rFonts w:hint="default" w:eastAsia="仿宋_GB2312"/>
          <w:color w:val="000000" w:themeColor="text1"/>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2.3.2 报价情况说明（如果有）；</w:t>
      </w:r>
    </w:p>
    <w:p w14:paraId="577D7C9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3、我方承诺除商务技术偏离表列出的偏离外，我方响应招标文件的全部要求。对投标文件中材料的真实性、合法性负责。</w:t>
      </w:r>
    </w:p>
    <w:p w14:paraId="5AADEFD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4、如我方中标，我方承诺：</w:t>
      </w:r>
    </w:p>
    <w:p w14:paraId="5C3AE4FC">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4.1在收到中标通知书后，在中标通知书规定的期限内与你方签订合同； </w:t>
      </w:r>
    </w:p>
    <w:p w14:paraId="28AC489A">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4.2在签订合同时不向你方提出附加条件； </w:t>
      </w:r>
    </w:p>
    <w:p w14:paraId="4CB7219A">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4.3按照招标文件要求提交履约保证金； </w:t>
      </w:r>
    </w:p>
    <w:p w14:paraId="517E291F">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4.4在合同约定的期限内完成合同规定的全部义务。 </w:t>
      </w:r>
    </w:p>
    <w:p w14:paraId="4634DD91">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5、其他补充说明: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3A71AF12">
      <w:pPr>
        <w:spacing w:line="360" w:lineRule="auto"/>
        <w:ind w:firstLine="3600" w:firstLineChars="1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投标人名称（电子签名）：                          </w:t>
      </w:r>
    </w:p>
    <w:p w14:paraId="1C432F57">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240E88EE">
      <w:pPr>
        <w:snapToGrid w:val="0"/>
        <w:spacing w:line="360" w:lineRule="auto"/>
        <w:ind w:left="420" w:leftChars="200" w:firstLine="4200" w:firstLineChars="1750"/>
        <w:rPr>
          <w:rFonts w:ascii="宋体" w:hAnsi="宋体" w:cs="宋体"/>
          <w:color w:val="000000" w:themeColor="text1"/>
          <w:kern w:val="0"/>
          <w:sz w:val="24"/>
          <w:highlight w:val="none"/>
          <w:u w:val="single"/>
          <w14:textFill>
            <w14:solidFill>
              <w14:schemeClr w14:val="tx1"/>
            </w14:solidFill>
          </w14:textFill>
        </w:rPr>
      </w:pPr>
    </w:p>
    <w:p w14:paraId="6233BFE5">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2491AC16">
      <w:pPr>
        <w:snapToGrid w:val="0"/>
        <w:spacing w:line="360" w:lineRule="auto"/>
        <w:jc w:val="center"/>
        <w:rPr>
          <w:rFonts w:ascii="宋体" w:hAnsi="宋体" w:cs="宋体"/>
          <w:b/>
          <w:color w:val="000000" w:themeColor="text1"/>
          <w:kern w:val="0"/>
          <w:sz w:val="32"/>
          <w:szCs w:val="32"/>
          <w:highlight w:val="none"/>
          <w14:textFill>
            <w14:solidFill>
              <w14:schemeClr w14:val="tx1"/>
            </w14:solidFill>
          </w14:textFill>
        </w:rPr>
      </w:pPr>
    </w:p>
    <w:p w14:paraId="5C25BD91">
      <w:pPr>
        <w:snapToGrid w:val="0"/>
        <w:spacing w:line="360" w:lineRule="auto"/>
        <w:rPr>
          <w:rFonts w:ascii="宋体" w:hAnsi="宋体" w:cs="宋体"/>
          <w:color w:val="000000" w:themeColor="text1"/>
          <w:sz w:val="24"/>
          <w:highlight w:val="none"/>
          <w14:textFill>
            <w14:solidFill>
              <w14:schemeClr w14:val="tx1"/>
            </w14:solidFill>
          </w14:textFill>
        </w:rPr>
      </w:pPr>
    </w:p>
    <w:p w14:paraId="7BDC2680">
      <w:pPr>
        <w:jc w:val="center"/>
        <w:rPr>
          <w:rFonts w:ascii="宋体" w:hAnsi="宋体" w:cs="宋体"/>
          <w:b/>
          <w:color w:val="000000" w:themeColor="text1"/>
          <w:kern w:val="0"/>
          <w:sz w:val="32"/>
          <w:szCs w:val="32"/>
          <w:highlight w:val="none"/>
          <w14:textFill>
            <w14:solidFill>
              <w14:schemeClr w14:val="tx1"/>
            </w14:solidFill>
          </w14:textFill>
        </w:rPr>
      </w:pPr>
    </w:p>
    <w:p w14:paraId="3474BFA6">
      <w:pPr>
        <w:jc w:val="center"/>
        <w:rPr>
          <w:rFonts w:ascii="宋体" w:hAnsi="宋体" w:cs="宋体"/>
          <w:b/>
          <w:color w:val="000000" w:themeColor="text1"/>
          <w:kern w:val="0"/>
          <w:sz w:val="32"/>
          <w:szCs w:val="32"/>
          <w:highlight w:val="none"/>
          <w14:textFill>
            <w14:solidFill>
              <w14:schemeClr w14:val="tx1"/>
            </w14:solidFill>
          </w14:textFill>
        </w:rPr>
      </w:pPr>
    </w:p>
    <w:p w14:paraId="19040050">
      <w:pPr>
        <w:jc w:val="center"/>
        <w:rPr>
          <w:rFonts w:ascii="宋体" w:hAnsi="宋体" w:cs="宋体"/>
          <w:b/>
          <w:color w:val="000000" w:themeColor="text1"/>
          <w:kern w:val="0"/>
          <w:sz w:val="32"/>
          <w:szCs w:val="32"/>
          <w:highlight w:val="none"/>
          <w14:textFill>
            <w14:solidFill>
              <w14:schemeClr w14:val="tx1"/>
            </w14:solidFill>
          </w14:textFill>
        </w:rPr>
      </w:pPr>
    </w:p>
    <w:p w14:paraId="78C863B2">
      <w:pPr>
        <w:jc w:val="center"/>
        <w:rPr>
          <w:rFonts w:ascii="宋体" w:hAnsi="宋体" w:cs="宋体"/>
          <w:b/>
          <w:color w:val="000000" w:themeColor="text1"/>
          <w:kern w:val="0"/>
          <w:sz w:val="32"/>
          <w:szCs w:val="32"/>
          <w:highlight w:val="none"/>
          <w14:textFill>
            <w14:solidFill>
              <w14:schemeClr w14:val="tx1"/>
            </w14:solidFill>
          </w14:textFill>
        </w:rPr>
      </w:pPr>
    </w:p>
    <w:p w14:paraId="406ADF52">
      <w:pPr>
        <w:jc w:val="center"/>
        <w:rPr>
          <w:rFonts w:ascii="宋体" w:hAnsi="宋体" w:cs="宋体"/>
          <w:b/>
          <w:color w:val="000000" w:themeColor="text1"/>
          <w:kern w:val="0"/>
          <w:sz w:val="32"/>
          <w:szCs w:val="32"/>
          <w:highlight w:val="none"/>
          <w14:textFill>
            <w14:solidFill>
              <w14:schemeClr w14:val="tx1"/>
            </w14:solidFill>
          </w14:textFill>
        </w:rPr>
      </w:pPr>
    </w:p>
    <w:p w14:paraId="6883DEDC">
      <w:pPr>
        <w:jc w:val="center"/>
        <w:rPr>
          <w:rFonts w:ascii="宋体" w:hAnsi="宋体" w:cs="宋体"/>
          <w:b/>
          <w:color w:val="000000" w:themeColor="text1"/>
          <w:kern w:val="0"/>
          <w:sz w:val="32"/>
          <w:szCs w:val="32"/>
          <w:highlight w:val="none"/>
          <w14:textFill>
            <w14:solidFill>
              <w14:schemeClr w14:val="tx1"/>
            </w14:solidFill>
          </w14:textFill>
        </w:rPr>
      </w:pPr>
    </w:p>
    <w:p w14:paraId="26120CF8">
      <w:pPr>
        <w:jc w:val="center"/>
        <w:rPr>
          <w:rFonts w:ascii="宋体" w:hAnsi="宋体" w:cs="宋体"/>
          <w:b/>
          <w:color w:val="000000" w:themeColor="text1"/>
          <w:kern w:val="0"/>
          <w:sz w:val="32"/>
          <w:szCs w:val="32"/>
          <w:highlight w:val="none"/>
          <w14:textFill>
            <w14:solidFill>
              <w14:schemeClr w14:val="tx1"/>
            </w14:solidFill>
          </w14:textFill>
        </w:rPr>
      </w:pPr>
    </w:p>
    <w:p w14:paraId="3E5A3B53">
      <w:pPr>
        <w:jc w:val="center"/>
        <w:rPr>
          <w:rFonts w:ascii="宋体" w:hAnsi="宋体" w:cs="宋体"/>
          <w:b/>
          <w:color w:val="000000" w:themeColor="text1"/>
          <w:kern w:val="0"/>
          <w:sz w:val="32"/>
          <w:szCs w:val="32"/>
          <w:highlight w:val="none"/>
          <w14:textFill>
            <w14:solidFill>
              <w14:schemeClr w14:val="tx1"/>
            </w14:solidFill>
          </w14:textFill>
        </w:rPr>
      </w:pPr>
    </w:p>
    <w:p w14:paraId="7CA0CD78">
      <w:pPr>
        <w:jc w:val="center"/>
        <w:rPr>
          <w:rFonts w:ascii="宋体" w:hAnsi="宋体" w:cs="宋体"/>
          <w:b/>
          <w:color w:val="000000" w:themeColor="text1"/>
          <w:kern w:val="0"/>
          <w:sz w:val="32"/>
          <w:szCs w:val="32"/>
          <w:highlight w:val="none"/>
          <w14:textFill>
            <w14:solidFill>
              <w14:schemeClr w14:val="tx1"/>
            </w14:solidFill>
          </w14:textFill>
        </w:rPr>
      </w:pPr>
    </w:p>
    <w:p w14:paraId="69284F36">
      <w:pPr>
        <w:jc w:val="center"/>
        <w:rPr>
          <w:rFonts w:ascii="宋体" w:hAnsi="宋体" w:cs="宋体"/>
          <w:b/>
          <w:color w:val="000000" w:themeColor="text1"/>
          <w:kern w:val="0"/>
          <w:sz w:val="32"/>
          <w:szCs w:val="32"/>
          <w:highlight w:val="none"/>
          <w14:textFill>
            <w14:solidFill>
              <w14:schemeClr w14:val="tx1"/>
            </w14:solidFill>
          </w14:textFill>
        </w:rPr>
      </w:pPr>
    </w:p>
    <w:p w14:paraId="7FF18397">
      <w:pPr>
        <w:jc w:val="center"/>
        <w:rPr>
          <w:rFonts w:ascii="宋体" w:hAnsi="宋体" w:cs="宋体"/>
          <w:b/>
          <w:color w:val="000000" w:themeColor="text1"/>
          <w:kern w:val="0"/>
          <w:sz w:val="32"/>
          <w:szCs w:val="32"/>
          <w:highlight w:val="none"/>
          <w14:textFill>
            <w14:solidFill>
              <w14:schemeClr w14:val="tx1"/>
            </w14:solidFill>
          </w14:textFill>
        </w:rPr>
      </w:pPr>
    </w:p>
    <w:p w14:paraId="0D734604">
      <w:pPr>
        <w:jc w:val="center"/>
        <w:rPr>
          <w:rFonts w:ascii="宋体" w:hAnsi="宋体" w:cs="宋体"/>
          <w:b/>
          <w:color w:val="000000" w:themeColor="text1"/>
          <w:kern w:val="0"/>
          <w:sz w:val="32"/>
          <w:szCs w:val="32"/>
          <w:highlight w:val="none"/>
          <w14:textFill>
            <w14:solidFill>
              <w14:schemeClr w14:val="tx1"/>
            </w14:solidFill>
          </w14:textFill>
        </w:rPr>
      </w:pPr>
    </w:p>
    <w:p w14:paraId="0C34BDE9">
      <w:pPr>
        <w:jc w:val="center"/>
        <w:rPr>
          <w:rFonts w:ascii="宋体" w:hAnsi="宋体" w:cs="宋体"/>
          <w:b/>
          <w:color w:val="000000" w:themeColor="text1"/>
          <w:kern w:val="0"/>
          <w:sz w:val="32"/>
          <w:szCs w:val="32"/>
          <w:highlight w:val="none"/>
          <w14:textFill>
            <w14:solidFill>
              <w14:schemeClr w14:val="tx1"/>
            </w14:solidFill>
          </w14:textFill>
        </w:rPr>
      </w:pPr>
    </w:p>
    <w:p w14:paraId="15D2DC27">
      <w:pPr>
        <w:jc w:val="center"/>
        <w:rPr>
          <w:rFonts w:ascii="宋体" w:hAnsi="宋体" w:cs="宋体"/>
          <w:b/>
          <w:color w:val="000000" w:themeColor="text1"/>
          <w:kern w:val="0"/>
          <w:sz w:val="32"/>
          <w:szCs w:val="32"/>
          <w:highlight w:val="none"/>
          <w14:textFill>
            <w14:solidFill>
              <w14:schemeClr w14:val="tx1"/>
            </w14:solidFill>
          </w14:textFill>
        </w:rPr>
      </w:pPr>
    </w:p>
    <w:p w14:paraId="6C19B78C">
      <w:pPr>
        <w:jc w:val="center"/>
        <w:rPr>
          <w:rFonts w:ascii="宋体" w:hAnsi="宋体" w:cs="宋体"/>
          <w:b/>
          <w:color w:val="000000" w:themeColor="text1"/>
          <w:kern w:val="0"/>
          <w:sz w:val="32"/>
          <w:szCs w:val="32"/>
          <w:highlight w:val="none"/>
          <w14:textFill>
            <w14:solidFill>
              <w14:schemeClr w14:val="tx1"/>
            </w14:solidFill>
          </w14:textFill>
        </w:rPr>
      </w:pPr>
    </w:p>
    <w:p w14:paraId="6A53A3D8">
      <w:pPr>
        <w:jc w:val="center"/>
        <w:rPr>
          <w:rFonts w:ascii="宋体" w:hAnsi="宋体" w:cs="宋体"/>
          <w:b/>
          <w:color w:val="000000" w:themeColor="text1"/>
          <w:kern w:val="0"/>
          <w:sz w:val="32"/>
          <w:szCs w:val="32"/>
          <w:highlight w:val="none"/>
          <w14:textFill>
            <w14:solidFill>
              <w14:schemeClr w14:val="tx1"/>
            </w14:solidFill>
          </w14:textFill>
        </w:rPr>
      </w:pPr>
    </w:p>
    <w:p w14:paraId="2B624F36">
      <w:pPr>
        <w:jc w:val="center"/>
        <w:rPr>
          <w:rFonts w:ascii="宋体" w:hAnsi="宋体" w:cs="宋体"/>
          <w:b/>
          <w:color w:val="000000" w:themeColor="text1"/>
          <w:kern w:val="0"/>
          <w:sz w:val="32"/>
          <w:szCs w:val="32"/>
          <w:highlight w:val="none"/>
          <w14:textFill>
            <w14:solidFill>
              <w14:schemeClr w14:val="tx1"/>
            </w14:solidFill>
          </w14:textFill>
        </w:rPr>
      </w:pPr>
    </w:p>
    <w:p w14:paraId="32E555B3">
      <w:pPr>
        <w:jc w:val="center"/>
        <w:rPr>
          <w:rFonts w:ascii="宋体" w:hAnsi="宋体" w:cs="宋体"/>
          <w:b/>
          <w:color w:val="000000" w:themeColor="text1"/>
          <w:kern w:val="0"/>
          <w:sz w:val="32"/>
          <w:szCs w:val="32"/>
          <w:highlight w:val="none"/>
          <w14:textFill>
            <w14:solidFill>
              <w14:schemeClr w14:val="tx1"/>
            </w14:solidFill>
          </w14:textFill>
        </w:rPr>
      </w:pPr>
    </w:p>
    <w:p w14:paraId="6D2A1ACB">
      <w:pPr>
        <w:jc w:val="center"/>
        <w:rPr>
          <w:rFonts w:ascii="宋体" w:hAnsi="宋体" w:cs="宋体"/>
          <w:b/>
          <w:color w:val="000000" w:themeColor="text1"/>
          <w:kern w:val="0"/>
          <w:sz w:val="32"/>
          <w:szCs w:val="32"/>
          <w:highlight w:val="none"/>
          <w14:textFill>
            <w14:solidFill>
              <w14:schemeClr w14:val="tx1"/>
            </w14:solidFill>
          </w14:textFill>
        </w:rPr>
      </w:pPr>
    </w:p>
    <w:p w14:paraId="25DC2046">
      <w:pPr>
        <w:jc w:val="center"/>
        <w:rPr>
          <w:rFonts w:ascii="宋体" w:hAnsi="宋体" w:cs="宋体"/>
          <w:b/>
          <w:color w:val="000000" w:themeColor="text1"/>
          <w:kern w:val="0"/>
          <w:sz w:val="32"/>
          <w:szCs w:val="32"/>
          <w:highlight w:val="none"/>
          <w14:textFill>
            <w14:solidFill>
              <w14:schemeClr w14:val="tx1"/>
            </w14:solidFill>
          </w14:textFill>
        </w:rPr>
      </w:pPr>
    </w:p>
    <w:p w14:paraId="41A98DBF">
      <w:pPr>
        <w:jc w:val="center"/>
        <w:rPr>
          <w:rFonts w:ascii="宋体" w:hAnsi="宋体" w:cs="宋体"/>
          <w:b/>
          <w:color w:val="000000" w:themeColor="text1"/>
          <w:kern w:val="0"/>
          <w:sz w:val="32"/>
          <w:szCs w:val="32"/>
          <w:highlight w:val="none"/>
          <w14:textFill>
            <w14:solidFill>
              <w14:schemeClr w14:val="tx1"/>
            </w14:solidFill>
          </w14:textFill>
        </w:rPr>
      </w:pPr>
    </w:p>
    <w:p w14:paraId="391FCF4D">
      <w:pPr>
        <w:jc w:val="center"/>
        <w:rPr>
          <w:rFonts w:ascii="宋体" w:hAnsi="宋体" w:cs="宋体"/>
          <w:b/>
          <w:color w:val="000000" w:themeColor="text1"/>
          <w:kern w:val="0"/>
          <w:sz w:val="32"/>
          <w:szCs w:val="32"/>
          <w:highlight w:val="none"/>
          <w14:textFill>
            <w14:solidFill>
              <w14:schemeClr w14:val="tx1"/>
            </w14:solidFill>
          </w14:textFill>
        </w:rPr>
      </w:pPr>
    </w:p>
    <w:p w14:paraId="32DA4AC6">
      <w:pPr>
        <w:jc w:val="center"/>
        <w:rPr>
          <w:rFonts w:ascii="宋体" w:hAnsi="宋体" w:cs="宋体"/>
          <w:b/>
          <w:color w:val="000000" w:themeColor="text1"/>
          <w:kern w:val="0"/>
          <w:sz w:val="32"/>
          <w:szCs w:val="32"/>
          <w:highlight w:val="none"/>
          <w14:textFill>
            <w14:solidFill>
              <w14:schemeClr w14:val="tx1"/>
            </w14:solidFill>
          </w14:textFill>
        </w:rPr>
      </w:pPr>
    </w:p>
    <w:p w14:paraId="12615CC0">
      <w:pPr>
        <w:widowControl/>
        <w:adjustRightInd/>
        <w:jc w:val="left"/>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14:paraId="28A17241">
      <w:pPr>
        <w:jc w:val="center"/>
        <w:rPr>
          <w:rFonts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105BC897">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4F42B8C0">
      <w:pPr>
        <w:snapToGrid w:val="0"/>
        <w:spacing w:line="360" w:lineRule="auto"/>
        <w:ind w:firstLine="2872" w:firstLineChars="894"/>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授权委托书（适用于非联合体投标）</w:t>
      </w:r>
      <w:r>
        <w:rPr>
          <w:rFonts w:hint="eastAsia" w:ascii="宋体" w:hAnsi="宋体" w:cs="宋体"/>
          <w:color w:val="000000" w:themeColor="text1"/>
          <w:highlight w:val="none"/>
          <w14:textFill>
            <w14:solidFill>
              <w14:schemeClr w14:val="tx1"/>
            </w14:solidFill>
          </w14:textFill>
        </w:rPr>
        <w:t xml:space="preserve">                               </w:t>
      </w:r>
    </w:p>
    <w:p w14:paraId="238D12ED">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温州眼谷小镇运营管理有限公司</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浙江宏信项目管理有限公司</w:t>
      </w:r>
      <w:r>
        <w:rPr>
          <w:rFonts w:hint="eastAsia" w:ascii="宋体" w:hAnsi="宋体" w:cs="宋体"/>
          <w:color w:val="000000" w:themeColor="text1"/>
          <w:kern w:val="0"/>
          <w:sz w:val="24"/>
          <w:highlight w:val="none"/>
          <w:lang w:val="zh-CN"/>
          <w14:textFill>
            <w14:solidFill>
              <w14:schemeClr w14:val="tx1"/>
            </w14:solidFill>
          </w14:textFill>
        </w:rPr>
        <w:t>：</w:t>
      </w:r>
    </w:p>
    <w:p w14:paraId="3607A4D8">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u w:val="none"/>
          <w:lang w:val="en-US" w:eastAsia="zh-CN"/>
          <w14:textFill>
            <w14:solidFill>
              <w14:schemeClr w14:val="tx1"/>
            </w14:solidFill>
          </w14:textFill>
        </w:rPr>
        <w:t>，所在单位：</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lang w:eastAsia="zh-CN"/>
          <w14:textFill>
            <w14:solidFill>
              <w14:schemeClr w14:val="tx1"/>
            </w14:solidFill>
          </w14:textFill>
        </w:rPr>
        <w:t>龙湾区第一人民医院普通电动床、血透床、转运床、治疗车、麻醉车等设备采购项目</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ZJHX-2024101801</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采购投标的一切事项，其法律后果由我方承担。</w:t>
      </w:r>
    </w:p>
    <w:p w14:paraId="562B2051">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14:paraId="5DEDFF82">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14:paraId="12B4881B">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w:t>
      </w:r>
    </w:p>
    <w:p w14:paraId="6167EE9A">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签发日期：  年  月   日</w:t>
      </w:r>
    </w:p>
    <w:p w14:paraId="0F23EFDA">
      <w:pPr>
        <w:snapToGrid w:val="0"/>
        <w:spacing w:line="360" w:lineRule="auto"/>
        <w:rPr>
          <w:rFonts w:ascii="宋体" w:hAnsi="宋体" w:cs="宋体"/>
          <w:color w:val="000000" w:themeColor="text1"/>
          <w:sz w:val="24"/>
          <w:highlight w:val="none"/>
          <w14:textFill>
            <w14:solidFill>
              <w14:schemeClr w14:val="tx1"/>
            </w14:solidFill>
          </w14:textFill>
        </w:rPr>
      </w:pPr>
    </w:p>
    <w:p w14:paraId="1D6D5C44">
      <w:pPr>
        <w:snapToGrid w:val="0"/>
        <w:spacing w:line="360" w:lineRule="auto"/>
        <w:rPr>
          <w:rFonts w:ascii="宋体" w:hAnsi="宋体" w:cs="宋体"/>
          <w:color w:val="000000" w:themeColor="text1"/>
          <w:sz w:val="24"/>
          <w:highlight w:val="none"/>
          <w14:textFill>
            <w14:solidFill>
              <w14:schemeClr w14:val="tx1"/>
            </w14:solidFill>
          </w14:textFill>
        </w:rPr>
      </w:pPr>
    </w:p>
    <w:p w14:paraId="23E930DB">
      <w:pPr>
        <w:keepNext w:val="0"/>
        <w:keepLines w:val="0"/>
        <w:pageBreakBefore/>
        <w:widowControl w:val="0"/>
        <w:kinsoku/>
        <w:wordWrap/>
        <w:overflowPunct/>
        <w:topLinePunct w:val="0"/>
        <w:autoSpaceDE w:val="0"/>
        <w:autoSpaceDN w:val="0"/>
        <w:bidi w:val="0"/>
        <w:adjustRightInd w:val="0"/>
        <w:snapToGrid/>
        <w:spacing w:line="360" w:lineRule="auto"/>
        <w:jc w:val="center"/>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宋体" w:hAnsi="宋体" w:cs="宋体"/>
          <w:b/>
          <w:color w:val="000000" w:themeColor="text1"/>
          <w:sz w:val="30"/>
          <w:szCs w:val="30"/>
          <w:highlight w:val="none"/>
          <w14:textFill>
            <w14:solidFill>
              <w14:schemeClr w14:val="tx1"/>
            </w14:solidFill>
          </w14:textFill>
        </w:rPr>
        <w:t>的身份证明（适用于法定代表人、单位负责人或者自然人本人代表投标人参加投标）</w:t>
      </w:r>
    </w:p>
    <w:p w14:paraId="1FF3D8AE">
      <w:pPr>
        <w:pStyle w:val="150"/>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FE34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8AF5BFB">
            <w:pPr>
              <w:pStyle w:val="150"/>
              <w:adjustRightInd w:val="0"/>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正面：                                 反面：</w:t>
            </w:r>
          </w:p>
          <w:p w14:paraId="2BB220ED">
            <w:pPr>
              <w:pStyle w:val="150"/>
              <w:adjustRightInd w:val="0"/>
              <w:spacing w:line="360" w:lineRule="auto"/>
              <w:rPr>
                <w:rFonts w:hAnsi="宋体" w:cs="宋体"/>
                <w:bCs/>
                <w:color w:val="000000" w:themeColor="text1"/>
                <w:sz w:val="24"/>
                <w:highlight w:val="none"/>
                <w14:textFill>
                  <w14:solidFill>
                    <w14:schemeClr w14:val="tx1"/>
                  </w14:solidFill>
                </w14:textFill>
              </w:rPr>
            </w:pPr>
          </w:p>
        </w:tc>
      </w:tr>
    </w:tbl>
    <w:p w14:paraId="68B0C37D">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25171EF7">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                              </w:t>
      </w:r>
    </w:p>
    <w:p w14:paraId="6DC3D23B">
      <w:pPr>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3C4905B5">
      <w:pPr>
        <w:jc w:val="center"/>
        <w:rPr>
          <w:rFonts w:ascii="宋体" w:hAnsi="宋体" w:cs="宋体"/>
          <w:b/>
          <w:color w:val="000000" w:themeColor="text1"/>
          <w:kern w:val="0"/>
          <w:sz w:val="32"/>
          <w:szCs w:val="32"/>
          <w:highlight w:val="none"/>
          <w14:textFill>
            <w14:solidFill>
              <w14:schemeClr w14:val="tx1"/>
            </w14:solidFill>
          </w14:textFill>
        </w:rPr>
      </w:pPr>
    </w:p>
    <w:p w14:paraId="3102D0AC">
      <w:pPr>
        <w:jc w:val="center"/>
        <w:rPr>
          <w:rFonts w:ascii="宋体" w:hAnsi="宋体" w:cs="宋体"/>
          <w:b/>
          <w:color w:val="000000" w:themeColor="text1"/>
          <w:kern w:val="0"/>
          <w:sz w:val="32"/>
          <w:szCs w:val="32"/>
          <w:highlight w:val="none"/>
          <w14:textFill>
            <w14:solidFill>
              <w14:schemeClr w14:val="tx1"/>
            </w14:solidFill>
          </w14:textFill>
        </w:rPr>
      </w:pPr>
    </w:p>
    <w:p w14:paraId="1817984B">
      <w:pPr>
        <w:jc w:val="center"/>
        <w:rPr>
          <w:rFonts w:ascii="宋体" w:hAnsi="宋体" w:cs="宋体"/>
          <w:b/>
          <w:color w:val="000000" w:themeColor="text1"/>
          <w:kern w:val="0"/>
          <w:sz w:val="32"/>
          <w:szCs w:val="32"/>
          <w:highlight w:val="none"/>
          <w14:textFill>
            <w14:solidFill>
              <w14:schemeClr w14:val="tx1"/>
            </w14:solidFill>
          </w14:textFill>
        </w:rPr>
      </w:pPr>
    </w:p>
    <w:p w14:paraId="4CAAAE64">
      <w:pPr>
        <w:jc w:val="center"/>
        <w:rPr>
          <w:rFonts w:ascii="宋体" w:hAnsi="宋体" w:cs="宋体"/>
          <w:b/>
          <w:color w:val="000000" w:themeColor="text1"/>
          <w:kern w:val="0"/>
          <w:sz w:val="32"/>
          <w:szCs w:val="32"/>
          <w:highlight w:val="none"/>
          <w14:textFill>
            <w14:solidFill>
              <w14:schemeClr w14:val="tx1"/>
            </w14:solidFill>
          </w14:textFill>
        </w:rPr>
      </w:pPr>
    </w:p>
    <w:p w14:paraId="6402FE09">
      <w:pPr>
        <w:jc w:val="center"/>
        <w:rPr>
          <w:rFonts w:ascii="宋体" w:hAnsi="宋体" w:cs="宋体"/>
          <w:b/>
          <w:color w:val="000000" w:themeColor="text1"/>
          <w:kern w:val="0"/>
          <w:sz w:val="32"/>
          <w:szCs w:val="32"/>
          <w:highlight w:val="none"/>
          <w14:textFill>
            <w14:solidFill>
              <w14:schemeClr w14:val="tx1"/>
            </w14:solidFill>
          </w14:textFill>
        </w:rPr>
      </w:pPr>
    </w:p>
    <w:p w14:paraId="524AD3ED">
      <w:pPr>
        <w:jc w:val="center"/>
        <w:rPr>
          <w:rFonts w:ascii="宋体" w:hAnsi="宋体" w:cs="宋体"/>
          <w:b/>
          <w:color w:val="000000" w:themeColor="text1"/>
          <w:kern w:val="0"/>
          <w:sz w:val="32"/>
          <w:szCs w:val="32"/>
          <w:highlight w:val="none"/>
          <w14:textFill>
            <w14:solidFill>
              <w14:schemeClr w14:val="tx1"/>
            </w14:solidFill>
          </w14:textFill>
        </w:rPr>
      </w:pPr>
    </w:p>
    <w:p w14:paraId="7974DF35">
      <w:pPr>
        <w:jc w:val="center"/>
        <w:rPr>
          <w:rFonts w:ascii="宋体" w:hAnsi="宋体" w:cs="宋体"/>
          <w:b/>
          <w:color w:val="000000" w:themeColor="text1"/>
          <w:kern w:val="0"/>
          <w:sz w:val="32"/>
          <w:szCs w:val="32"/>
          <w:highlight w:val="none"/>
          <w14:textFill>
            <w14:solidFill>
              <w14:schemeClr w14:val="tx1"/>
            </w14:solidFill>
          </w14:textFill>
        </w:rPr>
      </w:pPr>
    </w:p>
    <w:p w14:paraId="712FD869">
      <w:pPr>
        <w:jc w:val="center"/>
        <w:rPr>
          <w:rFonts w:ascii="宋体" w:hAnsi="宋体" w:cs="宋体"/>
          <w:b/>
          <w:color w:val="000000" w:themeColor="text1"/>
          <w:kern w:val="0"/>
          <w:sz w:val="32"/>
          <w:szCs w:val="32"/>
          <w:highlight w:val="none"/>
          <w14:textFill>
            <w14:solidFill>
              <w14:schemeClr w14:val="tx1"/>
            </w14:solidFill>
          </w14:textFill>
        </w:rPr>
      </w:pPr>
    </w:p>
    <w:p w14:paraId="19DD898E">
      <w:pPr>
        <w:jc w:val="center"/>
        <w:rPr>
          <w:rFonts w:ascii="宋体" w:hAnsi="宋体" w:cs="宋体"/>
          <w:b/>
          <w:color w:val="000000" w:themeColor="text1"/>
          <w:kern w:val="0"/>
          <w:sz w:val="32"/>
          <w:szCs w:val="32"/>
          <w:highlight w:val="none"/>
          <w14:textFill>
            <w14:solidFill>
              <w14:schemeClr w14:val="tx1"/>
            </w14:solidFill>
          </w14:textFill>
        </w:rPr>
      </w:pPr>
    </w:p>
    <w:p w14:paraId="3A3CE61C">
      <w:pPr>
        <w:jc w:val="center"/>
        <w:rPr>
          <w:rFonts w:ascii="宋体" w:hAnsi="宋体" w:cs="宋体"/>
          <w:b/>
          <w:color w:val="000000" w:themeColor="text1"/>
          <w:kern w:val="0"/>
          <w:sz w:val="32"/>
          <w:szCs w:val="32"/>
          <w:highlight w:val="none"/>
          <w14:textFill>
            <w14:solidFill>
              <w14:schemeClr w14:val="tx1"/>
            </w14:solidFill>
          </w14:textFill>
        </w:rPr>
      </w:pPr>
    </w:p>
    <w:p w14:paraId="59095D67">
      <w:pPr>
        <w:snapToGrid w:val="0"/>
        <w:spacing w:line="360" w:lineRule="auto"/>
        <w:ind w:right="480"/>
        <w:rPr>
          <w:rFonts w:ascii="宋体" w:hAnsi="宋体" w:cs="宋体"/>
          <w:b/>
          <w:color w:val="000000" w:themeColor="text1"/>
          <w:kern w:val="0"/>
          <w:sz w:val="32"/>
          <w:szCs w:val="32"/>
          <w:highlight w:val="none"/>
          <w14:textFill>
            <w14:solidFill>
              <w14:schemeClr w14:val="tx1"/>
            </w14:solidFill>
          </w14:textFill>
        </w:rPr>
        <w:sectPr>
          <w:headerReference r:id="rId14" w:type="first"/>
          <w:footerReference r:id="rId16" w:type="first"/>
          <w:headerReference r:id="rId13" w:type="default"/>
          <w:footerReference r:id="rId15"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5A43029">
      <w:pPr>
        <w:snapToGrid w:val="0"/>
        <w:spacing w:line="360" w:lineRule="auto"/>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三、分包意向协议（本项目不允许分包）</w:t>
      </w:r>
    </w:p>
    <w:p w14:paraId="0552BFCD">
      <w:pPr>
        <w:widowControl/>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bookmarkStart w:id="388" w:name="_Hlk101169080"/>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本项目不允许分包</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lang w:eastAsia="zh-CN"/>
          <w14:textFill>
            <w14:solidFill>
              <w14:schemeClr w14:val="tx1"/>
            </w14:solidFill>
          </w14:textFill>
        </w:rPr>
        <w:t>无</w:t>
      </w:r>
      <w:r>
        <w:rPr>
          <w:rFonts w:hint="eastAsia" w:ascii="宋体" w:hAnsi="宋体" w:cs="宋体"/>
          <w:b/>
          <w:color w:val="000000" w:themeColor="text1"/>
          <w:sz w:val="24"/>
          <w:highlight w:val="none"/>
          <w14:textFill>
            <w14:solidFill>
              <w14:schemeClr w14:val="tx1"/>
            </w14:solidFill>
          </w14:textFill>
        </w:rPr>
        <w:t>需要提供。</w:t>
      </w:r>
      <w:r>
        <w:rPr>
          <w:rFonts w:hint="eastAsia" w:ascii="宋体" w:hAnsi="宋体" w:cs="宋体"/>
          <w:color w:val="000000" w:themeColor="text1"/>
          <w:sz w:val="24"/>
          <w:highlight w:val="none"/>
          <w14:textFill>
            <w14:solidFill>
              <w14:schemeClr w14:val="tx1"/>
            </w14:solidFill>
          </w14:textFill>
        </w:rPr>
        <w:t>]</w:t>
      </w:r>
    </w:p>
    <w:bookmarkEnd w:id="388"/>
    <w:p w14:paraId="1E563D82">
      <w:pPr>
        <w:snapToGrid w:val="0"/>
        <w:spacing w:line="360" w:lineRule="auto"/>
        <w:rPr>
          <w:rFonts w:ascii="宋体" w:hAnsi="宋体" w:cs="宋体"/>
          <w:color w:val="000000" w:themeColor="text1"/>
          <w:kern w:val="0"/>
          <w:sz w:val="24"/>
          <w:highlight w:val="none"/>
          <w14:textFill>
            <w14:solidFill>
              <w14:schemeClr w14:val="tx1"/>
            </w14:solidFill>
          </w14:textFill>
        </w:rPr>
      </w:pPr>
    </w:p>
    <w:p w14:paraId="1EAD2AD2">
      <w:pPr>
        <w:jc w:val="center"/>
        <w:rPr>
          <w:rFonts w:ascii="宋体" w:hAnsi="宋体" w:cs="宋体"/>
          <w:b/>
          <w:color w:val="000000" w:themeColor="text1"/>
          <w:kern w:val="0"/>
          <w:sz w:val="32"/>
          <w:szCs w:val="32"/>
          <w:highlight w:val="none"/>
          <w14:textFill>
            <w14:solidFill>
              <w14:schemeClr w14:val="tx1"/>
            </w14:solidFill>
          </w14:textFill>
        </w:rPr>
      </w:pPr>
    </w:p>
    <w:p w14:paraId="094BAA9A">
      <w:pPr>
        <w:pStyle w:val="4"/>
        <w:rPr>
          <w:color w:val="000000" w:themeColor="text1"/>
          <w:highlight w:val="none"/>
          <w:lang w:val="en-US"/>
          <w14:textFill>
            <w14:solidFill>
              <w14:schemeClr w14:val="tx1"/>
            </w14:solidFill>
          </w14:textFill>
        </w:rPr>
      </w:pPr>
    </w:p>
    <w:p w14:paraId="38879CE7">
      <w:pPr>
        <w:rPr>
          <w:color w:val="000000" w:themeColor="text1"/>
          <w:highlight w:val="none"/>
          <w14:textFill>
            <w14:solidFill>
              <w14:schemeClr w14:val="tx1"/>
            </w14:solidFill>
          </w14:textFill>
        </w:rPr>
      </w:pPr>
    </w:p>
    <w:p w14:paraId="2A1F65DC">
      <w:pPr>
        <w:pStyle w:val="4"/>
        <w:rPr>
          <w:color w:val="000000" w:themeColor="text1"/>
          <w:highlight w:val="none"/>
          <w:lang w:val="en-US"/>
          <w14:textFill>
            <w14:solidFill>
              <w14:schemeClr w14:val="tx1"/>
            </w14:solidFill>
          </w14:textFill>
        </w:rPr>
      </w:pPr>
    </w:p>
    <w:p w14:paraId="7DCF8804">
      <w:pPr>
        <w:jc w:val="center"/>
        <w:rPr>
          <w:rFonts w:ascii="宋体" w:hAnsi="宋体" w:cs="宋体"/>
          <w:b/>
          <w:color w:val="000000" w:themeColor="text1"/>
          <w:kern w:val="0"/>
          <w:sz w:val="32"/>
          <w:szCs w:val="32"/>
          <w:highlight w:val="none"/>
          <w14:textFill>
            <w14:solidFill>
              <w14:schemeClr w14:val="tx1"/>
            </w14:solidFill>
          </w14:textFill>
        </w:rPr>
      </w:pPr>
    </w:p>
    <w:p w14:paraId="773375AB">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四、符合性审查资料</w:t>
      </w:r>
    </w:p>
    <w:p w14:paraId="15BAA90F">
      <w:pPr>
        <w:jc w:val="center"/>
        <w:rPr>
          <w:rFonts w:ascii="宋体" w:hAnsi="宋体" w:cs="宋体"/>
          <w:b/>
          <w:color w:val="000000" w:themeColor="text1"/>
          <w:kern w:val="0"/>
          <w:sz w:val="32"/>
          <w:szCs w:val="32"/>
          <w:highlight w:val="none"/>
          <w14:textFill>
            <w14:solidFill>
              <w14:schemeClr w14:val="tx1"/>
            </w14:solidFill>
          </w14:textFill>
        </w:rPr>
      </w:pPr>
    </w:p>
    <w:tbl>
      <w:tblPr>
        <w:tblStyle w:val="63"/>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A25D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2A27D281">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4991" w:type="dxa"/>
            <w:vAlign w:val="center"/>
          </w:tcPr>
          <w:p w14:paraId="38B72C02">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实质性要求</w:t>
            </w:r>
          </w:p>
        </w:tc>
        <w:tc>
          <w:tcPr>
            <w:tcW w:w="2551" w:type="dxa"/>
            <w:vAlign w:val="center"/>
          </w:tcPr>
          <w:p w14:paraId="4D9D838E">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需要提供的符合性审查资料</w:t>
            </w:r>
          </w:p>
        </w:tc>
        <w:tc>
          <w:tcPr>
            <w:tcW w:w="1418" w:type="dxa"/>
            <w:vAlign w:val="center"/>
          </w:tcPr>
          <w:p w14:paraId="41311FE4">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投标文件中的</w:t>
            </w:r>
          </w:p>
          <w:p w14:paraId="46174775">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页码位置</w:t>
            </w:r>
          </w:p>
        </w:tc>
      </w:tr>
      <w:tr w14:paraId="54CDC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8E02D74">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4991" w:type="dxa"/>
          </w:tcPr>
          <w:p w14:paraId="1D7DEBF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投标文件按照招标文件要求签署、盖章。</w:t>
            </w:r>
          </w:p>
        </w:tc>
        <w:tc>
          <w:tcPr>
            <w:tcW w:w="2551" w:type="dxa"/>
            <w:vAlign w:val="center"/>
          </w:tcPr>
          <w:p w14:paraId="491F45A4">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需要使用电子签名或者签字盖章的投标文件的组成部分</w:t>
            </w:r>
          </w:p>
        </w:tc>
        <w:tc>
          <w:tcPr>
            <w:tcW w:w="1418" w:type="dxa"/>
          </w:tcPr>
          <w:p w14:paraId="1DF00CBA">
            <w:pPr>
              <w:rPr>
                <w:rFonts w:ascii="宋体" w:hAnsi="宋体" w:cs="宋体"/>
                <w:color w:val="000000" w:themeColor="text1"/>
                <w:sz w:val="24"/>
                <w:highlight w:val="none"/>
                <w14:textFill>
                  <w14:solidFill>
                    <w14:schemeClr w14:val="tx1"/>
                  </w14:solidFill>
                </w14:textFill>
              </w:rPr>
            </w:pPr>
          </w:p>
          <w:p w14:paraId="58ACA105">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w:t>
            </w:r>
          </w:p>
          <w:p w14:paraId="7BE37DDB">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294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1E1CDACF">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4991" w:type="dxa"/>
          </w:tcPr>
          <w:p w14:paraId="5E8D606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投标文件中承诺的投标有效期不少于招标文件中载明的投标有效期。</w:t>
            </w:r>
          </w:p>
        </w:tc>
        <w:tc>
          <w:tcPr>
            <w:tcW w:w="2551" w:type="dxa"/>
            <w:vAlign w:val="center"/>
          </w:tcPr>
          <w:p w14:paraId="30097A94">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投标函</w:t>
            </w:r>
          </w:p>
        </w:tc>
        <w:tc>
          <w:tcPr>
            <w:tcW w:w="1418" w:type="dxa"/>
          </w:tcPr>
          <w:p w14:paraId="6940AB38">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0BAB3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10BC2461">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4991" w:type="dxa"/>
          </w:tcPr>
          <w:p w14:paraId="7E6E1A7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投标文件满足招标文件的其它实质性要求。</w:t>
            </w:r>
          </w:p>
        </w:tc>
        <w:tc>
          <w:tcPr>
            <w:tcW w:w="2551" w:type="dxa"/>
            <w:vAlign w:val="center"/>
          </w:tcPr>
          <w:p w14:paraId="7AED08EE">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招标文件其它实质性要求相应的材料（“▲” 系指实质性要求条款，招标文件无其它实质性要求的，无需提供）</w:t>
            </w:r>
          </w:p>
        </w:tc>
        <w:tc>
          <w:tcPr>
            <w:tcW w:w="1418" w:type="dxa"/>
          </w:tcPr>
          <w:p w14:paraId="13612CF2">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bl>
    <w:p w14:paraId="2D19BC7A">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0EE852B1">
      <w:pPr>
        <w:jc w:val="center"/>
        <w:rPr>
          <w:rFonts w:ascii="宋体" w:hAnsi="宋体" w:cs="宋体"/>
          <w:b/>
          <w:color w:val="000000" w:themeColor="text1"/>
          <w:kern w:val="0"/>
          <w:sz w:val="32"/>
          <w:szCs w:val="32"/>
          <w:highlight w:val="none"/>
          <w14:textFill>
            <w14:solidFill>
              <w14:schemeClr w14:val="tx1"/>
            </w14:solidFill>
          </w14:textFill>
        </w:rPr>
      </w:pPr>
    </w:p>
    <w:p w14:paraId="3A05AA10">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 xml:space="preserve">            </w:t>
      </w:r>
    </w:p>
    <w:p w14:paraId="59DBB63C">
      <w:pPr>
        <w:jc w:val="center"/>
        <w:rPr>
          <w:rFonts w:ascii="宋体" w:hAnsi="宋体" w:cs="宋体"/>
          <w:b/>
          <w:color w:val="000000" w:themeColor="text1"/>
          <w:kern w:val="0"/>
          <w:sz w:val="32"/>
          <w:szCs w:val="32"/>
          <w:highlight w:val="none"/>
          <w14:textFill>
            <w14:solidFill>
              <w14:schemeClr w14:val="tx1"/>
            </w14:solidFill>
          </w14:textFill>
        </w:rPr>
      </w:pPr>
    </w:p>
    <w:p w14:paraId="6D153ED4">
      <w:pPr>
        <w:jc w:val="center"/>
        <w:rPr>
          <w:rFonts w:ascii="宋体" w:hAnsi="宋体" w:cs="宋体"/>
          <w:b/>
          <w:color w:val="000000" w:themeColor="text1"/>
          <w:kern w:val="0"/>
          <w:sz w:val="32"/>
          <w:szCs w:val="32"/>
          <w:highlight w:val="none"/>
          <w14:textFill>
            <w14:solidFill>
              <w14:schemeClr w14:val="tx1"/>
            </w14:solidFill>
          </w14:textFill>
        </w:rPr>
      </w:pPr>
    </w:p>
    <w:p w14:paraId="13CA5674">
      <w:pPr>
        <w:jc w:val="center"/>
        <w:rPr>
          <w:rFonts w:ascii="宋体" w:hAnsi="宋体" w:cs="宋体"/>
          <w:b/>
          <w:color w:val="000000" w:themeColor="text1"/>
          <w:kern w:val="0"/>
          <w:sz w:val="32"/>
          <w:szCs w:val="32"/>
          <w:highlight w:val="none"/>
          <w14:textFill>
            <w14:solidFill>
              <w14:schemeClr w14:val="tx1"/>
            </w14:solidFill>
          </w14:textFill>
        </w:rPr>
      </w:pPr>
    </w:p>
    <w:p w14:paraId="46ED91C7">
      <w:pPr>
        <w:jc w:val="center"/>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五、评标标准相应的商务技术资料</w:t>
      </w:r>
    </w:p>
    <w:p w14:paraId="4B693316">
      <w:pPr>
        <w:snapToGrid w:val="0"/>
        <w:spacing w:line="360" w:lineRule="auto"/>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p w14:paraId="5C29B128">
      <w:pPr>
        <w:jc w:val="center"/>
        <w:rPr>
          <w:rFonts w:ascii="宋体" w:hAnsi="宋体" w:cs="宋体"/>
          <w:b/>
          <w:color w:val="000000" w:themeColor="text1"/>
          <w:kern w:val="0"/>
          <w:sz w:val="32"/>
          <w:szCs w:val="32"/>
          <w:highlight w:val="none"/>
          <w14:textFill>
            <w14:solidFill>
              <w14:schemeClr w14:val="tx1"/>
            </w14:solidFill>
          </w14:textFill>
        </w:rPr>
      </w:pPr>
    </w:p>
    <w:p w14:paraId="42719B7D">
      <w:pPr>
        <w:jc w:val="center"/>
        <w:rPr>
          <w:rFonts w:ascii="宋体" w:hAnsi="宋体" w:cs="宋体"/>
          <w:b/>
          <w:color w:val="000000" w:themeColor="text1"/>
          <w:kern w:val="0"/>
          <w:sz w:val="32"/>
          <w:szCs w:val="32"/>
          <w:highlight w:val="none"/>
          <w14:textFill>
            <w14:solidFill>
              <w14:schemeClr w14:val="tx1"/>
            </w14:solidFill>
          </w14:textFill>
        </w:rPr>
      </w:pPr>
    </w:p>
    <w:p w14:paraId="26EA3DAF">
      <w:pPr>
        <w:jc w:val="center"/>
        <w:rPr>
          <w:rFonts w:ascii="宋体" w:hAnsi="宋体" w:cs="宋体"/>
          <w:b/>
          <w:color w:val="000000" w:themeColor="text1"/>
          <w:kern w:val="0"/>
          <w:sz w:val="32"/>
          <w:szCs w:val="32"/>
          <w:highlight w:val="none"/>
          <w14:textFill>
            <w14:solidFill>
              <w14:schemeClr w14:val="tx1"/>
            </w14:solidFill>
          </w14:textFill>
        </w:rPr>
      </w:pPr>
    </w:p>
    <w:p w14:paraId="7DBA2A9E">
      <w:pPr>
        <w:ind w:firstLine="2891" w:firstLineChars="900"/>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六、投标标的清单</w:t>
      </w:r>
    </w:p>
    <w:tbl>
      <w:tblPr>
        <w:tblStyle w:val="63"/>
        <w:tblW w:w="9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64"/>
        <w:gridCol w:w="1452"/>
        <w:gridCol w:w="938"/>
        <w:gridCol w:w="784"/>
        <w:gridCol w:w="778"/>
        <w:gridCol w:w="1031"/>
        <w:gridCol w:w="574"/>
        <w:gridCol w:w="869"/>
        <w:gridCol w:w="1051"/>
        <w:gridCol w:w="1051"/>
      </w:tblGrid>
      <w:tr w14:paraId="70A0B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6" w:hRule="atLeast"/>
          <w:jc w:val="center"/>
        </w:trPr>
        <w:tc>
          <w:tcPr>
            <w:tcW w:w="864" w:type="dxa"/>
            <w:tcBorders>
              <w:tl2br w:val="nil"/>
              <w:tr2bl w:val="nil"/>
            </w:tcBorders>
            <w:noWrap w:val="0"/>
            <w:tcMar>
              <w:top w:w="15" w:type="dxa"/>
              <w:left w:w="15" w:type="dxa"/>
              <w:bottom w:w="0" w:type="dxa"/>
              <w:right w:w="15" w:type="dxa"/>
            </w:tcMar>
            <w:vAlign w:val="center"/>
          </w:tcPr>
          <w:p w14:paraId="0E3A009E">
            <w:pPr>
              <w:snapToGrid w:val="0"/>
              <w:spacing w:before="50" w:after="50" w:line="360" w:lineRule="auto"/>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序号</w:t>
            </w:r>
          </w:p>
        </w:tc>
        <w:tc>
          <w:tcPr>
            <w:tcW w:w="1452" w:type="dxa"/>
            <w:tcBorders>
              <w:tl2br w:val="nil"/>
              <w:tr2bl w:val="nil"/>
            </w:tcBorders>
            <w:noWrap w:val="0"/>
            <w:tcMar>
              <w:top w:w="15" w:type="dxa"/>
              <w:left w:w="15" w:type="dxa"/>
              <w:bottom w:w="0" w:type="dxa"/>
              <w:right w:w="15" w:type="dxa"/>
            </w:tcMar>
            <w:vAlign w:val="center"/>
          </w:tcPr>
          <w:p w14:paraId="1A4EF0C7">
            <w:pPr>
              <w:snapToGrid w:val="0"/>
              <w:spacing w:before="50" w:after="50" w:line="360" w:lineRule="auto"/>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设备名称</w:t>
            </w:r>
          </w:p>
        </w:tc>
        <w:tc>
          <w:tcPr>
            <w:tcW w:w="938" w:type="dxa"/>
            <w:tcBorders>
              <w:tl2br w:val="nil"/>
              <w:tr2bl w:val="nil"/>
            </w:tcBorders>
            <w:noWrap w:val="0"/>
            <w:tcMar>
              <w:top w:w="15" w:type="dxa"/>
              <w:left w:w="15" w:type="dxa"/>
              <w:bottom w:w="0" w:type="dxa"/>
              <w:right w:w="15" w:type="dxa"/>
            </w:tcMar>
            <w:vAlign w:val="center"/>
          </w:tcPr>
          <w:p w14:paraId="2EEF299B">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配置</w:t>
            </w:r>
            <w:r>
              <w:rPr>
                <w:rFonts w:hint="eastAsia" w:ascii="宋体" w:hAnsi="宋体" w:eastAsia="宋体" w:cs="宋体"/>
                <w:color w:val="000000" w:themeColor="text1"/>
                <w:sz w:val="21"/>
                <w:szCs w:val="21"/>
                <w:highlight w:val="none"/>
                <w14:textFill>
                  <w14:solidFill>
                    <w14:schemeClr w14:val="tx1"/>
                  </w14:solidFill>
                </w14:textFill>
              </w:rPr>
              <w:t>名称</w:t>
            </w:r>
          </w:p>
        </w:tc>
        <w:tc>
          <w:tcPr>
            <w:tcW w:w="784" w:type="dxa"/>
            <w:tcBorders>
              <w:tl2br w:val="nil"/>
              <w:tr2bl w:val="nil"/>
            </w:tcBorders>
            <w:noWrap w:val="0"/>
            <w:tcMar>
              <w:top w:w="15" w:type="dxa"/>
              <w:left w:w="15" w:type="dxa"/>
              <w:bottom w:w="0" w:type="dxa"/>
              <w:right w:w="15" w:type="dxa"/>
            </w:tcMar>
            <w:vAlign w:val="center"/>
          </w:tcPr>
          <w:p w14:paraId="4809E4EB">
            <w:pPr>
              <w:snapToGrid w:val="0"/>
              <w:spacing w:before="50" w:after="50"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品牌</w:t>
            </w:r>
          </w:p>
        </w:tc>
        <w:tc>
          <w:tcPr>
            <w:tcW w:w="778" w:type="dxa"/>
            <w:tcBorders>
              <w:tl2br w:val="nil"/>
              <w:tr2bl w:val="nil"/>
            </w:tcBorders>
            <w:noWrap w:val="0"/>
            <w:tcMar>
              <w:top w:w="15" w:type="dxa"/>
              <w:left w:w="15" w:type="dxa"/>
              <w:bottom w:w="0" w:type="dxa"/>
              <w:right w:w="15" w:type="dxa"/>
            </w:tcMar>
            <w:vAlign w:val="center"/>
          </w:tcPr>
          <w:p w14:paraId="15A2D3AB">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规格型号</w:t>
            </w:r>
          </w:p>
        </w:tc>
        <w:tc>
          <w:tcPr>
            <w:tcW w:w="1031" w:type="dxa"/>
            <w:tcBorders>
              <w:tl2br w:val="nil"/>
              <w:tr2bl w:val="nil"/>
            </w:tcBorders>
            <w:noWrap w:val="0"/>
            <w:tcMar>
              <w:top w:w="15" w:type="dxa"/>
              <w:left w:w="15" w:type="dxa"/>
              <w:bottom w:w="0" w:type="dxa"/>
              <w:right w:w="15" w:type="dxa"/>
            </w:tcMar>
            <w:vAlign w:val="center"/>
          </w:tcPr>
          <w:p w14:paraId="713F42C5">
            <w:pPr>
              <w:snapToGrid w:val="0"/>
              <w:spacing w:before="50" w:after="50"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制造商</w:t>
            </w:r>
          </w:p>
        </w:tc>
        <w:tc>
          <w:tcPr>
            <w:tcW w:w="574" w:type="dxa"/>
            <w:tcBorders>
              <w:tl2br w:val="nil"/>
              <w:tr2bl w:val="nil"/>
            </w:tcBorders>
            <w:noWrap w:val="0"/>
            <w:tcMar>
              <w:top w:w="15" w:type="dxa"/>
              <w:left w:w="15" w:type="dxa"/>
              <w:bottom w:w="0" w:type="dxa"/>
              <w:right w:w="15" w:type="dxa"/>
            </w:tcMar>
            <w:vAlign w:val="center"/>
          </w:tcPr>
          <w:p w14:paraId="3A3AFFA1">
            <w:pPr>
              <w:snapToGrid w:val="0"/>
              <w:spacing w:before="50" w:after="50"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产地</w:t>
            </w:r>
          </w:p>
        </w:tc>
        <w:tc>
          <w:tcPr>
            <w:tcW w:w="869" w:type="dxa"/>
            <w:tcBorders>
              <w:tl2br w:val="nil"/>
              <w:tr2bl w:val="nil"/>
            </w:tcBorders>
            <w:noWrap w:val="0"/>
            <w:tcMar>
              <w:top w:w="15" w:type="dxa"/>
              <w:left w:w="15" w:type="dxa"/>
              <w:bottom w:w="0" w:type="dxa"/>
              <w:right w:w="15" w:type="dxa"/>
            </w:tcMar>
            <w:vAlign w:val="center"/>
          </w:tcPr>
          <w:p w14:paraId="3790EF03">
            <w:pPr>
              <w:snapToGrid w:val="0"/>
              <w:spacing w:before="50" w:after="50"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数量</w:t>
            </w:r>
          </w:p>
        </w:tc>
        <w:tc>
          <w:tcPr>
            <w:tcW w:w="1051" w:type="dxa"/>
            <w:tcBorders>
              <w:tl2br w:val="nil"/>
              <w:tr2bl w:val="nil"/>
            </w:tcBorders>
            <w:noWrap w:val="0"/>
            <w:tcMar>
              <w:top w:w="15" w:type="dxa"/>
              <w:left w:w="15" w:type="dxa"/>
              <w:bottom w:w="0" w:type="dxa"/>
              <w:right w:w="15" w:type="dxa"/>
            </w:tcMar>
            <w:vAlign w:val="center"/>
          </w:tcPr>
          <w:p w14:paraId="6B7404DE">
            <w:pPr>
              <w:snapToGrid w:val="0"/>
              <w:spacing w:before="50" w:after="50"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单位</w:t>
            </w:r>
          </w:p>
        </w:tc>
        <w:tc>
          <w:tcPr>
            <w:tcW w:w="1051" w:type="dxa"/>
            <w:tcBorders>
              <w:tl2br w:val="nil"/>
              <w:tr2bl w:val="nil"/>
            </w:tcBorders>
            <w:noWrap w:val="0"/>
            <w:tcMar>
              <w:top w:w="15" w:type="dxa"/>
              <w:left w:w="15" w:type="dxa"/>
              <w:bottom w:w="0" w:type="dxa"/>
              <w:right w:w="15" w:type="dxa"/>
            </w:tcMar>
            <w:vAlign w:val="center"/>
          </w:tcPr>
          <w:p w14:paraId="198E99E9">
            <w:pPr>
              <w:snapToGrid w:val="0"/>
              <w:spacing w:before="50" w:after="50"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医疗器械备案/注册证号</w:t>
            </w:r>
          </w:p>
        </w:tc>
      </w:tr>
      <w:tr w14:paraId="4E00C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5" w:hRule="atLeast"/>
          <w:jc w:val="center"/>
        </w:trPr>
        <w:tc>
          <w:tcPr>
            <w:tcW w:w="864" w:type="dxa"/>
            <w:tcBorders>
              <w:tl2br w:val="nil"/>
              <w:tr2bl w:val="nil"/>
            </w:tcBorders>
            <w:noWrap w:val="0"/>
            <w:tcMar>
              <w:top w:w="15" w:type="dxa"/>
              <w:left w:w="15" w:type="dxa"/>
              <w:bottom w:w="0" w:type="dxa"/>
              <w:right w:w="15" w:type="dxa"/>
            </w:tcMar>
            <w:vAlign w:val="top"/>
          </w:tcPr>
          <w:p w14:paraId="4CFFC461">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1452" w:type="dxa"/>
            <w:tcBorders>
              <w:tl2br w:val="nil"/>
              <w:tr2bl w:val="nil"/>
            </w:tcBorders>
            <w:noWrap w:val="0"/>
            <w:tcMar>
              <w:top w:w="15" w:type="dxa"/>
              <w:left w:w="15" w:type="dxa"/>
              <w:bottom w:w="0" w:type="dxa"/>
              <w:right w:w="15" w:type="dxa"/>
            </w:tcMar>
            <w:vAlign w:val="center"/>
          </w:tcPr>
          <w:p w14:paraId="4362F49B">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938" w:type="dxa"/>
            <w:tcBorders>
              <w:tl2br w:val="nil"/>
              <w:tr2bl w:val="nil"/>
            </w:tcBorders>
            <w:noWrap w:val="0"/>
            <w:tcMar>
              <w:top w:w="15" w:type="dxa"/>
              <w:left w:w="15" w:type="dxa"/>
              <w:bottom w:w="0" w:type="dxa"/>
              <w:right w:w="15" w:type="dxa"/>
            </w:tcMar>
            <w:vAlign w:val="center"/>
          </w:tcPr>
          <w:p w14:paraId="5D9C55FD">
            <w:pPr>
              <w:snapToGrid w:val="0"/>
              <w:spacing w:before="50" w:after="50" w:line="360" w:lineRule="auto"/>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p>
        </w:tc>
        <w:tc>
          <w:tcPr>
            <w:tcW w:w="784" w:type="dxa"/>
            <w:tcBorders>
              <w:tl2br w:val="nil"/>
              <w:tr2bl w:val="nil"/>
            </w:tcBorders>
            <w:noWrap w:val="0"/>
            <w:tcMar>
              <w:top w:w="15" w:type="dxa"/>
              <w:left w:w="15" w:type="dxa"/>
              <w:bottom w:w="0" w:type="dxa"/>
              <w:right w:w="15" w:type="dxa"/>
            </w:tcMar>
            <w:vAlign w:val="center"/>
          </w:tcPr>
          <w:p w14:paraId="62D9B27A">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78" w:type="dxa"/>
            <w:tcBorders>
              <w:tl2br w:val="nil"/>
              <w:tr2bl w:val="nil"/>
            </w:tcBorders>
            <w:noWrap w:val="0"/>
            <w:tcMar>
              <w:top w:w="15" w:type="dxa"/>
              <w:left w:w="15" w:type="dxa"/>
              <w:bottom w:w="0" w:type="dxa"/>
              <w:right w:w="15" w:type="dxa"/>
            </w:tcMar>
            <w:vAlign w:val="center"/>
          </w:tcPr>
          <w:p w14:paraId="68176F23">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31" w:type="dxa"/>
            <w:tcBorders>
              <w:tl2br w:val="nil"/>
              <w:tr2bl w:val="nil"/>
            </w:tcBorders>
            <w:noWrap w:val="0"/>
            <w:tcMar>
              <w:top w:w="15" w:type="dxa"/>
              <w:left w:w="15" w:type="dxa"/>
              <w:bottom w:w="0" w:type="dxa"/>
              <w:right w:w="15" w:type="dxa"/>
            </w:tcMar>
            <w:vAlign w:val="center"/>
          </w:tcPr>
          <w:p w14:paraId="5BBA5575">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574" w:type="dxa"/>
            <w:tcBorders>
              <w:tl2br w:val="nil"/>
              <w:tr2bl w:val="nil"/>
            </w:tcBorders>
            <w:noWrap w:val="0"/>
            <w:tcMar>
              <w:top w:w="15" w:type="dxa"/>
              <w:left w:w="15" w:type="dxa"/>
              <w:bottom w:w="0" w:type="dxa"/>
              <w:right w:w="15" w:type="dxa"/>
            </w:tcMar>
            <w:vAlign w:val="center"/>
          </w:tcPr>
          <w:p w14:paraId="7EB71F00">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69" w:type="dxa"/>
            <w:tcBorders>
              <w:tl2br w:val="nil"/>
              <w:tr2bl w:val="nil"/>
            </w:tcBorders>
            <w:noWrap w:val="0"/>
            <w:tcMar>
              <w:top w:w="15" w:type="dxa"/>
              <w:left w:w="15" w:type="dxa"/>
              <w:bottom w:w="0" w:type="dxa"/>
              <w:right w:w="15" w:type="dxa"/>
            </w:tcMar>
            <w:vAlign w:val="center"/>
          </w:tcPr>
          <w:p w14:paraId="7603BED4">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51" w:type="dxa"/>
            <w:tcBorders>
              <w:tl2br w:val="nil"/>
              <w:tr2bl w:val="nil"/>
            </w:tcBorders>
            <w:noWrap w:val="0"/>
            <w:tcMar>
              <w:top w:w="15" w:type="dxa"/>
              <w:left w:w="15" w:type="dxa"/>
              <w:bottom w:w="0" w:type="dxa"/>
              <w:right w:w="15" w:type="dxa"/>
            </w:tcMar>
            <w:vAlign w:val="center"/>
          </w:tcPr>
          <w:p w14:paraId="18D8147B">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51" w:type="dxa"/>
            <w:tcBorders>
              <w:tl2br w:val="nil"/>
              <w:tr2bl w:val="nil"/>
            </w:tcBorders>
            <w:noWrap w:val="0"/>
            <w:tcMar>
              <w:top w:w="15" w:type="dxa"/>
              <w:left w:w="15" w:type="dxa"/>
              <w:bottom w:w="0" w:type="dxa"/>
              <w:right w:w="15" w:type="dxa"/>
            </w:tcMar>
            <w:vAlign w:val="center"/>
          </w:tcPr>
          <w:p w14:paraId="7A55B65F">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79189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5" w:hRule="atLeast"/>
          <w:jc w:val="center"/>
        </w:trPr>
        <w:tc>
          <w:tcPr>
            <w:tcW w:w="864" w:type="dxa"/>
            <w:tcBorders>
              <w:tl2br w:val="nil"/>
              <w:tr2bl w:val="nil"/>
            </w:tcBorders>
            <w:noWrap w:val="0"/>
            <w:tcMar>
              <w:top w:w="15" w:type="dxa"/>
              <w:left w:w="15" w:type="dxa"/>
              <w:bottom w:w="0" w:type="dxa"/>
              <w:right w:w="15" w:type="dxa"/>
            </w:tcMar>
            <w:vAlign w:val="top"/>
          </w:tcPr>
          <w:p w14:paraId="2B803A4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1452" w:type="dxa"/>
            <w:tcBorders>
              <w:tl2br w:val="nil"/>
              <w:tr2bl w:val="nil"/>
            </w:tcBorders>
            <w:noWrap w:val="0"/>
            <w:tcMar>
              <w:top w:w="15" w:type="dxa"/>
              <w:left w:w="15" w:type="dxa"/>
              <w:bottom w:w="0" w:type="dxa"/>
              <w:right w:w="15" w:type="dxa"/>
            </w:tcMar>
            <w:vAlign w:val="center"/>
          </w:tcPr>
          <w:p w14:paraId="58E40BE8">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938" w:type="dxa"/>
            <w:tcBorders>
              <w:tl2br w:val="nil"/>
              <w:tr2bl w:val="nil"/>
            </w:tcBorders>
            <w:noWrap w:val="0"/>
            <w:tcMar>
              <w:top w:w="15" w:type="dxa"/>
              <w:left w:w="15" w:type="dxa"/>
              <w:bottom w:w="0" w:type="dxa"/>
              <w:right w:w="15" w:type="dxa"/>
            </w:tcMar>
            <w:vAlign w:val="center"/>
          </w:tcPr>
          <w:p w14:paraId="724F9BBE">
            <w:pPr>
              <w:snapToGrid w:val="0"/>
              <w:spacing w:before="50" w:after="50" w:line="360" w:lineRule="auto"/>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p>
        </w:tc>
        <w:tc>
          <w:tcPr>
            <w:tcW w:w="784" w:type="dxa"/>
            <w:tcBorders>
              <w:tl2br w:val="nil"/>
              <w:tr2bl w:val="nil"/>
            </w:tcBorders>
            <w:noWrap w:val="0"/>
            <w:tcMar>
              <w:top w:w="15" w:type="dxa"/>
              <w:left w:w="15" w:type="dxa"/>
              <w:bottom w:w="0" w:type="dxa"/>
              <w:right w:w="15" w:type="dxa"/>
            </w:tcMar>
            <w:vAlign w:val="center"/>
          </w:tcPr>
          <w:p w14:paraId="01C1C46B">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78" w:type="dxa"/>
            <w:tcBorders>
              <w:tl2br w:val="nil"/>
              <w:tr2bl w:val="nil"/>
            </w:tcBorders>
            <w:noWrap w:val="0"/>
            <w:tcMar>
              <w:top w:w="15" w:type="dxa"/>
              <w:left w:w="15" w:type="dxa"/>
              <w:bottom w:w="0" w:type="dxa"/>
              <w:right w:w="15" w:type="dxa"/>
            </w:tcMar>
            <w:vAlign w:val="center"/>
          </w:tcPr>
          <w:p w14:paraId="7C4D1574">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31" w:type="dxa"/>
            <w:tcBorders>
              <w:tl2br w:val="nil"/>
              <w:tr2bl w:val="nil"/>
            </w:tcBorders>
            <w:noWrap w:val="0"/>
            <w:tcMar>
              <w:top w:w="15" w:type="dxa"/>
              <w:left w:w="15" w:type="dxa"/>
              <w:bottom w:w="0" w:type="dxa"/>
              <w:right w:w="15" w:type="dxa"/>
            </w:tcMar>
            <w:vAlign w:val="center"/>
          </w:tcPr>
          <w:p w14:paraId="220AE37E">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574" w:type="dxa"/>
            <w:tcBorders>
              <w:tl2br w:val="nil"/>
              <w:tr2bl w:val="nil"/>
            </w:tcBorders>
            <w:noWrap w:val="0"/>
            <w:tcMar>
              <w:top w:w="15" w:type="dxa"/>
              <w:left w:w="15" w:type="dxa"/>
              <w:bottom w:w="0" w:type="dxa"/>
              <w:right w:w="15" w:type="dxa"/>
            </w:tcMar>
            <w:vAlign w:val="center"/>
          </w:tcPr>
          <w:p w14:paraId="15940FC0">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69" w:type="dxa"/>
            <w:tcBorders>
              <w:tl2br w:val="nil"/>
              <w:tr2bl w:val="nil"/>
            </w:tcBorders>
            <w:noWrap w:val="0"/>
            <w:tcMar>
              <w:top w:w="15" w:type="dxa"/>
              <w:left w:w="15" w:type="dxa"/>
              <w:bottom w:w="0" w:type="dxa"/>
              <w:right w:w="15" w:type="dxa"/>
            </w:tcMar>
            <w:vAlign w:val="center"/>
          </w:tcPr>
          <w:p w14:paraId="6B47DFBE">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51" w:type="dxa"/>
            <w:tcBorders>
              <w:tl2br w:val="nil"/>
              <w:tr2bl w:val="nil"/>
            </w:tcBorders>
            <w:noWrap w:val="0"/>
            <w:tcMar>
              <w:top w:w="15" w:type="dxa"/>
              <w:left w:w="15" w:type="dxa"/>
              <w:bottom w:w="0" w:type="dxa"/>
              <w:right w:w="15" w:type="dxa"/>
            </w:tcMar>
            <w:vAlign w:val="center"/>
          </w:tcPr>
          <w:p w14:paraId="2B941931">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51" w:type="dxa"/>
            <w:tcBorders>
              <w:tl2br w:val="nil"/>
              <w:tr2bl w:val="nil"/>
            </w:tcBorders>
            <w:noWrap w:val="0"/>
            <w:tcMar>
              <w:top w:w="15" w:type="dxa"/>
              <w:left w:w="15" w:type="dxa"/>
              <w:bottom w:w="0" w:type="dxa"/>
              <w:right w:w="15" w:type="dxa"/>
            </w:tcMar>
            <w:vAlign w:val="center"/>
          </w:tcPr>
          <w:p w14:paraId="0069921A">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65974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5" w:hRule="atLeast"/>
          <w:jc w:val="center"/>
        </w:trPr>
        <w:tc>
          <w:tcPr>
            <w:tcW w:w="864" w:type="dxa"/>
            <w:tcBorders>
              <w:tl2br w:val="nil"/>
              <w:tr2bl w:val="nil"/>
            </w:tcBorders>
            <w:noWrap w:val="0"/>
            <w:tcMar>
              <w:top w:w="15" w:type="dxa"/>
              <w:left w:w="15" w:type="dxa"/>
              <w:bottom w:w="0" w:type="dxa"/>
              <w:right w:w="15" w:type="dxa"/>
            </w:tcMar>
            <w:vAlign w:val="top"/>
          </w:tcPr>
          <w:p w14:paraId="3C502FA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1452" w:type="dxa"/>
            <w:tcBorders>
              <w:tl2br w:val="nil"/>
              <w:tr2bl w:val="nil"/>
            </w:tcBorders>
            <w:noWrap w:val="0"/>
            <w:tcMar>
              <w:top w:w="15" w:type="dxa"/>
              <w:left w:w="15" w:type="dxa"/>
              <w:bottom w:w="0" w:type="dxa"/>
              <w:right w:w="15" w:type="dxa"/>
            </w:tcMar>
            <w:vAlign w:val="center"/>
          </w:tcPr>
          <w:p w14:paraId="5B8ABD24">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938" w:type="dxa"/>
            <w:tcBorders>
              <w:tl2br w:val="nil"/>
              <w:tr2bl w:val="nil"/>
            </w:tcBorders>
            <w:noWrap w:val="0"/>
            <w:tcMar>
              <w:top w:w="15" w:type="dxa"/>
              <w:left w:w="15" w:type="dxa"/>
              <w:bottom w:w="0" w:type="dxa"/>
              <w:right w:w="15" w:type="dxa"/>
            </w:tcMar>
            <w:vAlign w:val="center"/>
          </w:tcPr>
          <w:p w14:paraId="5DA54341">
            <w:pPr>
              <w:snapToGrid w:val="0"/>
              <w:spacing w:before="50" w:after="50" w:line="360" w:lineRule="auto"/>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p>
        </w:tc>
        <w:tc>
          <w:tcPr>
            <w:tcW w:w="784" w:type="dxa"/>
            <w:tcBorders>
              <w:tl2br w:val="nil"/>
              <w:tr2bl w:val="nil"/>
            </w:tcBorders>
            <w:noWrap w:val="0"/>
            <w:tcMar>
              <w:top w:w="15" w:type="dxa"/>
              <w:left w:w="15" w:type="dxa"/>
              <w:bottom w:w="0" w:type="dxa"/>
              <w:right w:w="15" w:type="dxa"/>
            </w:tcMar>
            <w:vAlign w:val="center"/>
          </w:tcPr>
          <w:p w14:paraId="5968F629">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78" w:type="dxa"/>
            <w:tcBorders>
              <w:tl2br w:val="nil"/>
              <w:tr2bl w:val="nil"/>
            </w:tcBorders>
            <w:noWrap w:val="0"/>
            <w:tcMar>
              <w:top w:w="15" w:type="dxa"/>
              <w:left w:w="15" w:type="dxa"/>
              <w:bottom w:w="0" w:type="dxa"/>
              <w:right w:w="15" w:type="dxa"/>
            </w:tcMar>
            <w:vAlign w:val="center"/>
          </w:tcPr>
          <w:p w14:paraId="7BEB10AC">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31" w:type="dxa"/>
            <w:tcBorders>
              <w:tl2br w:val="nil"/>
              <w:tr2bl w:val="nil"/>
            </w:tcBorders>
            <w:noWrap w:val="0"/>
            <w:tcMar>
              <w:top w:w="15" w:type="dxa"/>
              <w:left w:w="15" w:type="dxa"/>
              <w:bottom w:w="0" w:type="dxa"/>
              <w:right w:w="15" w:type="dxa"/>
            </w:tcMar>
            <w:vAlign w:val="center"/>
          </w:tcPr>
          <w:p w14:paraId="7D1F7D53">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574" w:type="dxa"/>
            <w:tcBorders>
              <w:tl2br w:val="nil"/>
              <w:tr2bl w:val="nil"/>
            </w:tcBorders>
            <w:noWrap w:val="0"/>
            <w:tcMar>
              <w:top w:w="15" w:type="dxa"/>
              <w:left w:w="15" w:type="dxa"/>
              <w:bottom w:w="0" w:type="dxa"/>
              <w:right w:w="15" w:type="dxa"/>
            </w:tcMar>
            <w:vAlign w:val="center"/>
          </w:tcPr>
          <w:p w14:paraId="33C69D71">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69" w:type="dxa"/>
            <w:tcBorders>
              <w:tl2br w:val="nil"/>
              <w:tr2bl w:val="nil"/>
            </w:tcBorders>
            <w:noWrap w:val="0"/>
            <w:tcMar>
              <w:top w:w="15" w:type="dxa"/>
              <w:left w:w="15" w:type="dxa"/>
              <w:bottom w:w="0" w:type="dxa"/>
              <w:right w:w="15" w:type="dxa"/>
            </w:tcMar>
            <w:vAlign w:val="center"/>
          </w:tcPr>
          <w:p w14:paraId="36724F20">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51" w:type="dxa"/>
            <w:tcBorders>
              <w:tl2br w:val="nil"/>
              <w:tr2bl w:val="nil"/>
            </w:tcBorders>
            <w:noWrap w:val="0"/>
            <w:tcMar>
              <w:top w:w="15" w:type="dxa"/>
              <w:left w:w="15" w:type="dxa"/>
              <w:bottom w:w="0" w:type="dxa"/>
              <w:right w:w="15" w:type="dxa"/>
            </w:tcMar>
            <w:vAlign w:val="center"/>
          </w:tcPr>
          <w:p w14:paraId="6344FED9">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51" w:type="dxa"/>
            <w:tcBorders>
              <w:tl2br w:val="nil"/>
              <w:tr2bl w:val="nil"/>
            </w:tcBorders>
            <w:noWrap w:val="0"/>
            <w:tcMar>
              <w:top w:w="15" w:type="dxa"/>
              <w:left w:w="15" w:type="dxa"/>
              <w:bottom w:w="0" w:type="dxa"/>
              <w:right w:w="15" w:type="dxa"/>
            </w:tcMar>
            <w:vAlign w:val="center"/>
          </w:tcPr>
          <w:p w14:paraId="55077336">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bl>
    <w:p w14:paraId="6B91E55D">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77A47F41">
      <w:pPr>
        <w:jc w:val="center"/>
        <w:rPr>
          <w:rFonts w:ascii="宋体" w:hAnsi="宋体" w:cs="宋体"/>
          <w:b/>
          <w:color w:val="000000" w:themeColor="text1"/>
          <w:kern w:val="0"/>
          <w:sz w:val="32"/>
          <w:szCs w:val="32"/>
          <w:highlight w:val="none"/>
          <w14:textFill>
            <w14:solidFill>
              <w14:schemeClr w14:val="tx1"/>
            </w14:solidFill>
          </w14:textFill>
        </w:rPr>
      </w:pPr>
    </w:p>
    <w:p w14:paraId="423F35DE">
      <w:pPr>
        <w:jc w:val="center"/>
        <w:rPr>
          <w:rFonts w:ascii="宋体" w:hAnsi="宋体" w:cs="宋体"/>
          <w:b/>
          <w:color w:val="000000" w:themeColor="text1"/>
          <w:kern w:val="0"/>
          <w:sz w:val="32"/>
          <w:szCs w:val="32"/>
          <w:highlight w:val="none"/>
          <w14:textFill>
            <w14:solidFill>
              <w14:schemeClr w14:val="tx1"/>
            </w14:solidFill>
          </w14:textFill>
        </w:rPr>
      </w:pPr>
    </w:p>
    <w:p w14:paraId="5EF816C5">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七、商务技术偏离表</w:t>
      </w:r>
    </w:p>
    <w:tbl>
      <w:tblPr>
        <w:tblStyle w:val="64"/>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DDCE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7C73153D">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3683" w:type="dxa"/>
          </w:tcPr>
          <w:p w14:paraId="0513B5FB">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招标文件章节及具体内容</w:t>
            </w:r>
          </w:p>
        </w:tc>
        <w:tc>
          <w:tcPr>
            <w:tcW w:w="3546" w:type="dxa"/>
          </w:tcPr>
          <w:p w14:paraId="17C5DFFE">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投标文件章节及具体内容</w:t>
            </w:r>
          </w:p>
        </w:tc>
        <w:tc>
          <w:tcPr>
            <w:tcW w:w="1276" w:type="dxa"/>
          </w:tcPr>
          <w:p w14:paraId="2D403781">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偏离说明</w:t>
            </w:r>
          </w:p>
        </w:tc>
      </w:tr>
      <w:tr w14:paraId="7464A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178A0BA2">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3683" w:type="dxa"/>
          </w:tcPr>
          <w:p w14:paraId="7909CD6C">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14:paraId="7BB390A6">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14:paraId="2AAF4E5D">
            <w:pPr>
              <w:jc w:val="center"/>
              <w:rPr>
                <w:rFonts w:ascii="宋体" w:hAnsi="宋体" w:cs="宋体"/>
                <w:b/>
                <w:color w:val="000000" w:themeColor="text1"/>
                <w:kern w:val="0"/>
                <w:sz w:val="32"/>
                <w:szCs w:val="32"/>
                <w:highlight w:val="none"/>
                <w14:textFill>
                  <w14:solidFill>
                    <w14:schemeClr w14:val="tx1"/>
                  </w14:solidFill>
                </w14:textFill>
              </w:rPr>
            </w:pPr>
          </w:p>
        </w:tc>
      </w:tr>
      <w:tr w14:paraId="131B1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723A33C9">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3683" w:type="dxa"/>
          </w:tcPr>
          <w:p w14:paraId="1440BBFE">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14:paraId="49DDAF72">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14:paraId="5DEFB3F4">
            <w:pPr>
              <w:jc w:val="center"/>
              <w:rPr>
                <w:rFonts w:ascii="宋体" w:hAnsi="宋体" w:cs="宋体"/>
                <w:b/>
                <w:color w:val="000000" w:themeColor="text1"/>
                <w:kern w:val="0"/>
                <w:sz w:val="32"/>
                <w:szCs w:val="32"/>
                <w:highlight w:val="none"/>
                <w14:textFill>
                  <w14:solidFill>
                    <w14:schemeClr w14:val="tx1"/>
                  </w14:solidFill>
                </w14:textFill>
              </w:rPr>
            </w:pPr>
          </w:p>
        </w:tc>
      </w:tr>
      <w:tr w14:paraId="4A31F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2DF212F0">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3683" w:type="dxa"/>
          </w:tcPr>
          <w:p w14:paraId="3122FCE4">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14:paraId="4CB6D100">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14:paraId="158E1ABA">
            <w:pPr>
              <w:jc w:val="center"/>
              <w:rPr>
                <w:rFonts w:ascii="宋体" w:hAnsi="宋体" w:cs="宋体"/>
                <w:b/>
                <w:color w:val="000000" w:themeColor="text1"/>
                <w:kern w:val="0"/>
                <w:sz w:val="32"/>
                <w:szCs w:val="32"/>
                <w:highlight w:val="none"/>
                <w14:textFill>
                  <w14:solidFill>
                    <w14:schemeClr w14:val="tx1"/>
                  </w14:solidFill>
                </w14:textFill>
              </w:rPr>
            </w:pPr>
          </w:p>
        </w:tc>
      </w:tr>
    </w:tbl>
    <w:p w14:paraId="69D37640">
      <w:pPr>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投标人保证：除商务技术偏离表列出的偏离外，投标人响应招标文件的全部要求</w:t>
      </w:r>
    </w:p>
    <w:p w14:paraId="6C45C51F">
      <w:pPr>
        <w:jc w:val="center"/>
        <w:rPr>
          <w:rFonts w:ascii="宋体" w:hAnsi="宋体" w:cs="宋体"/>
          <w:b/>
          <w:color w:val="000000" w:themeColor="text1"/>
          <w:kern w:val="0"/>
          <w:sz w:val="32"/>
          <w:szCs w:val="32"/>
          <w:highlight w:val="none"/>
          <w14:textFill>
            <w14:solidFill>
              <w14:schemeClr w14:val="tx1"/>
            </w14:solidFill>
          </w14:textFill>
        </w:rPr>
      </w:pPr>
    </w:p>
    <w:p w14:paraId="585B6CF5">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19723A2C">
      <w:pPr>
        <w:rPr>
          <w:rFonts w:ascii="宋体" w:hAnsi="宋体" w:cs="宋体"/>
          <w:b/>
          <w:bCs/>
          <w:color w:val="000000" w:themeColor="text1"/>
          <w:sz w:val="32"/>
          <w:szCs w:val="32"/>
          <w:highlight w:val="none"/>
          <w14:textFill>
            <w14:solidFill>
              <w14:schemeClr w14:val="tx1"/>
            </w14:solidFill>
          </w14:textFill>
        </w:rPr>
      </w:pPr>
    </w:p>
    <w:p w14:paraId="085F58A8">
      <w:pPr>
        <w:widowControl/>
        <w:adjustRightInd/>
        <w:jc w:val="left"/>
        <w:rPr>
          <w:rFonts w:ascii="宋体" w:hAnsi="宋体" w:cs="宋体"/>
          <w:b/>
          <w:bCs/>
          <w:color w:val="000000" w:themeColor="text1"/>
          <w:sz w:val="32"/>
          <w:szCs w:val="32"/>
          <w:highlight w:val="none"/>
          <w14:textFill>
            <w14:solidFill>
              <w14:schemeClr w14:val="tx1"/>
            </w14:solidFill>
          </w14:textFill>
        </w:rPr>
      </w:pPr>
      <w:r>
        <w:rPr>
          <w:rFonts w:ascii="宋体" w:hAnsi="宋体" w:cs="宋体"/>
          <w:b/>
          <w:bCs/>
          <w:color w:val="000000" w:themeColor="text1"/>
          <w:sz w:val="32"/>
          <w:szCs w:val="32"/>
          <w:highlight w:val="none"/>
          <w14:textFill>
            <w14:solidFill>
              <w14:schemeClr w14:val="tx1"/>
            </w14:solidFill>
          </w14:textFill>
        </w:rPr>
        <w:br w:type="page"/>
      </w:r>
    </w:p>
    <w:p w14:paraId="3BF228AB">
      <w:pPr>
        <w:ind w:firstLine="1911" w:firstLineChars="595"/>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八</w:t>
      </w:r>
      <w:r>
        <w:rPr>
          <w:rFonts w:hint="eastAsia" w:ascii="宋体" w:hAnsi="宋体" w:cs="宋体"/>
          <w:b/>
          <w:color w:val="000000" w:themeColor="text1"/>
          <w:kern w:val="0"/>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lang w:val="zh-CN"/>
          <w14:textFill>
            <w14:solidFill>
              <w14:schemeClr w14:val="tx1"/>
            </w14:solidFill>
          </w14:textFill>
        </w:rPr>
        <w:t>采购供应商廉洁自律承诺书</w:t>
      </w:r>
    </w:p>
    <w:p w14:paraId="6EF926D5">
      <w:pPr>
        <w:snapToGrid w:val="0"/>
        <w:spacing w:line="360" w:lineRule="auto"/>
        <w:rPr>
          <w:rFonts w:ascii="宋体" w:hAnsi="宋体" w:cs="宋体"/>
          <w:color w:val="000000" w:themeColor="text1"/>
          <w:sz w:val="24"/>
          <w:highlight w:val="none"/>
          <w14:textFill>
            <w14:solidFill>
              <w14:schemeClr w14:val="tx1"/>
            </w14:solidFill>
          </w14:textFill>
        </w:rPr>
      </w:pPr>
    </w:p>
    <w:p w14:paraId="4852F07C">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温州眼谷小镇运营管理有限公司</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浙江宏信项目管理有限公司</w:t>
      </w:r>
      <w:r>
        <w:rPr>
          <w:rFonts w:hint="eastAsia" w:ascii="宋体" w:hAnsi="宋体" w:cs="宋体"/>
          <w:color w:val="000000" w:themeColor="text1"/>
          <w:kern w:val="0"/>
          <w:sz w:val="24"/>
          <w:highlight w:val="none"/>
          <w:lang w:val="zh-CN"/>
          <w14:textFill>
            <w14:solidFill>
              <w14:schemeClr w14:val="tx1"/>
            </w14:solidFill>
          </w14:textFill>
        </w:rPr>
        <w:t>：</w:t>
      </w:r>
    </w:p>
    <w:p w14:paraId="13640C7D">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我单位响应你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3CE2431E">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7F2194D5">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1FF7AC42">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5418AAF0">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四、不为项目有关人员及部门出国（境）、旅游等提供方便；</w:t>
      </w:r>
    </w:p>
    <w:p w14:paraId="04454CF1">
      <w:pPr>
        <w:autoSpaceDE w:val="0"/>
        <w:autoSpaceDN w:val="0"/>
        <w:spacing w:line="360" w:lineRule="auto"/>
        <w:ind w:left="481" w:leftChars="229"/>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2BD9D81F">
      <w:pPr>
        <w:autoSpaceDE w:val="0"/>
        <w:autoSpaceDN w:val="0"/>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好处；</w:t>
      </w:r>
    </w:p>
    <w:p w14:paraId="4DFC2DB3">
      <w:pPr>
        <w:autoSpaceDE w:val="0"/>
        <w:autoSpaceDN w:val="0"/>
        <w:spacing w:line="360" w:lineRule="auto"/>
        <w:ind w:left="481" w:leftChars="229"/>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六、严格遵守《</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政府采购法》《</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招标投标</w:t>
      </w:r>
    </w:p>
    <w:p w14:paraId="6C543D62">
      <w:pPr>
        <w:autoSpaceDE w:val="0"/>
        <w:autoSpaceDN w:val="0"/>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法》</w:t>
      </w:r>
      <w:r>
        <w:rPr>
          <w:rFonts w:hint="eastAsia" w:ascii="宋体" w:hAnsi="宋体" w:cs="宋体"/>
          <w:color w:val="000000" w:themeColor="text1"/>
          <w:sz w:val="24"/>
          <w:highlight w:val="none"/>
          <w:lang w:val="zh-CN"/>
          <w14:textFill>
            <w14:solidFill>
              <w14:schemeClr w14:val="tx1"/>
            </w14:solidFill>
          </w14:textFill>
        </w:rPr>
        <w:t>《中华人民共和国民法典》</w:t>
      </w:r>
      <w:r>
        <w:rPr>
          <w:rFonts w:hint="eastAsia" w:ascii="宋体" w:hAnsi="宋体" w:cs="宋体"/>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14:paraId="16FF1756">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如违反上述承诺，你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进行项目建设或其他经营活动。由此引起的相应损失均由我单位承担。</w:t>
      </w:r>
    </w:p>
    <w:p w14:paraId="5233D98E">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41E86B27">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4CBB359A">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18D9EA06">
      <w:pPr>
        <w:autoSpaceDE w:val="0"/>
        <w:autoSpaceDN w:val="0"/>
        <w:spacing w:line="360" w:lineRule="auto"/>
        <w:ind w:left="2" w:leftChars="1" w:right="1120" w:firstLine="4560" w:firstLineChars="19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w:t>
      </w:r>
      <w:r>
        <w:rPr>
          <w:rFonts w:hint="eastAsia" w:ascii="宋体" w:hAnsi="宋体" w:cs="宋体"/>
          <w:color w:val="000000" w:themeColor="text1"/>
          <w:sz w:val="24"/>
          <w:highlight w:val="none"/>
          <w14:textFill>
            <w14:solidFill>
              <w14:schemeClr w14:val="tx1"/>
            </w14:solidFill>
          </w14:textFill>
        </w:rPr>
        <w:t>电子签名</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2A3DE63C">
      <w:pPr>
        <w:spacing w:line="360" w:lineRule="auto"/>
        <w:ind w:left="4620" w:leftChars="2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年   月   日</w:t>
      </w:r>
    </w:p>
    <w:p w14:paraId="7EA950A9">
      <w:pPr>
        <w:spacing w:line="360" w:lineRule="auto"/>
        <w:jc w:val="center"/>
        <w:rPr>
          <w:rFonts w:ascii="宋体" w:hAnsi="宋体" w:cs="宋体"/>
          <w:b/>
          <w:bCs/>
          <w:color w:val="000000" w:themeColor="text1"/>
          <w:sz w:val="24"/>
          <w:highlight w:val="none"/>
          <w14:textFill>
            <w14:solidFill>
              <w14:schemeClr w14:val="tx1"/>
            </w14:solidFill>
          </w14:textFill>
        </w:rPr>
      </w:pPr>
    </w:p>
    <w:p w14:paraId="717A0C4A">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3FDA19FF">
      <w:pPr>
        <w:spacing w:line="360" w:lineRule="auto"/>
        <w:jc w:val="center"/>
        <w:rPr>
          <w:rFonts w:ascii="宋体" w:hAnsi="宋体" w:cs="宋体"/>
          <w:b/>
          <w:bCs/>
          <w:color w:val="000000" w:themeColor="text1"/>
          <w:sz w:val="24"/>
          <w:highlight w:val="none"/>
          <w14:textFill>
            <w14:solidFill>
              <w14:schemeClr w14:val="tx1"/>
            </w14:solidFill>
          </w14:textFill>
        </w:rPr>
      </w:pPr>
    </w:p>
    <w:p w14:paraId="15D462E7">
      <w:pPr>
        <w:spacing w:line="360" w:lineRule="auto"/>
        <w:jc w:val="center"/>
        <w:rPr>
          <w:rFonts w:ascii="宋体" w:hAnsi="宋体" w:cs="宋体"/>
          <w:b/>
          <w:bCs/>
          <w:color w:val="000000" w:themeColor="text1"/>
          <w:sz w:val="24"/>
          <w:highlight w:val="none"/>
          <w14:textFill>
            <w14:solidFill>
              <w14:schemeClr w14:val="tx1"/>
            </w14:solidFill>
          </w14:textFill>
        </w:rPr>
      </w:pPr>
    </w:p>
    <w:p w14:paraId="34CEBBE0">
      <w:pPr>
        <w:spacing w:line="360" w:lineRule="auto"/>
        <w:jc w:val="center"/>
        <w:rPr>
          <w:rFonts w:ascii="宋体" w:hAnsi="宋体" w:cs="宋体"/>
          <w:b/>
          <w:bCs/>
          <w:color w:val="000000" w:themeColor="text1"/>
          <w:sz w:val="24"/>
          <w:highlight w:val="none"/>
          <w14:textFill>
            <w14:solidFill>
              <w14:schemeClr w14:val="tx1"/>
            </w14:solidFill>
          </w14:textFill>
        </w:rPr>
      </w:pPr>
    </w:p>
    <w:p w14:paraId="2BF3F250">
      <w:pPr>
        <w:spacing w:line="360" w:lineRule="auto"/>
        <w:jc w:val="center"/>
        <w:rPr>
          <w:rFonts w:ascii="宋体" w:hAnsi="宋体" w:cs="宋体"/>
          <w:b/>
          <w:bCs/>
          <w:color w:val="000000" w:themeColor="text1"/>
          <w:sz w:val="24"/>
          <w:highlight w:val="none"/>
          <w14:textFill>
            <w14:solidFill>
              <w14:schemeClr w14:val="tx1"/>
            </w14:solidFill>
          </w14:textFill>
        </w:rPr>
      </w:pPr>
    </w:p>
    <w:p w14:paraId="60B1E43F">
      <w:pPr>
        <w:tabs>
          <w:tab w:val="left" w:pos="6688"/>
        </w:tabs>
        <w:jc w:val="center"/>
        <w:rPr>
          <w:rFonts w:hint="eastAsia" w:eastAsiaTheme="minorEastAsia"/>
          <w:b/>
          <w:color w:val="000000" w:themeColor="text1"/>
          <w:sz w:val="28"/>
          <w:szCs w:val="28"/>
          <w:highlight w:val="none"/>
          <w:lang w:eastAsia="zh-CN"/>
          <w14:textFill>
            <w14:solidFill>
              <w14:schemeClr w14:val="tx1"/>
            </w14:solidFill>
          </w14:textFill>
        </w:rPr>
      </w:pPr>
      <w:r>
        <w:rPr>
          <w:rFonts w:hint="eastAsia" w:ascii="宋体" w:hAnsi="宋体" w:cs="宋体"/>
          <w:b/>
          <w:bCs/>
          <w:color w:val="000000" w:themeColor="text1"/>
          <w:sz w:val="32"/>
          <w:szCs w:val="32"/>
          <w:highlight w:val="none"/>
          <w:lang w:eastAsia="zh-CN"/>
          <w14:textFill>
            <w14:solidFill>
              <w14:schemeClr w14:val="tx1"/>
            </w14:solidFill>
          </w14:textFill>
        </w:rPr>
        <w:t>九</w:t>
      </w:r>
      <w:r>
        <w:rPr>
          <w:rFonts w:hint="eastAsia" w:ascii="宋体" w:hAnsi="宋体" w:cs="宋体"/>
          <w:b/>
          <w:color w:val="000000" w:themeColor="text1"/>
          <w:kern w:val="0"/>
          <w:sz w:val="32"/>
          <w:szCs w:val="32"/>
          <w:highlight w:val="none"/>
          <w14:textFill>
            <w14:solidFill>
              <w14:schemeClr w14:val="tx1"/>
            </w14:solidFill>
          </w14:textFill>
        </w:rPr>
        <w:t>、</w:t>
      </w:r>
      <w:r>
        <w:rPr>
          <w:rFonts w:hint="eastAsia"/>
          <w:b/>
          <w:bCs w:val="0"/>
          <w:color w:val="000000" w:themeColor="text1"/>
          <w:sz w:val="32"/>
          <w:szCs w:val="32"/>
          <w:highlight w:val="none"/>
          <w:lang w:val="en-US" w:eastAsia="zh-CN"/>
          <w14:textFill>
            <w14:solidFill>
              <w14:schemeClr w14:val="tx1"/>
            </w14:solidFill>
          </w14:textFill>
        </w:rPr>
        <w:t>随机标准附件、备品备件、零配件、专用工具</w:t>
      </w:r>
      <w:r>
        <w:rPr>
          <w:rFonts w:hint="eastAsia"/>
          <w:b/>
          <w:bCs w:val="0"/>
          <w:color w:val="000000" w:themeColor="text1"/>
          <w:sz w:val="32"/>
          <w:szCs w:val="32"/>
          <w:highlight w:val="none"/>
          <w14:textFill>
            <w14:solidFill>
              <w14:schemeClr w14:val="tx1"/>
            </w14:solidFill>
          </w14:textFill>
        </w:rPr>
        <w:t>清单</w:t>
      </w:r>
    </w:p>
    <w:p w14:paraId="4AF62923">
      <w:pPr>
        <w:tabs>
          <w:tab w:val="left" w:pos="6688"/>
        </w:tabs>
        <w:jc w:val="center"/>
        <w:rPr>
          <w:rFonts w:hint="eastAsia" w:ascii="宋体" w:hAnsi="宋体" w:eastAsia="宋体" w:cs="宋体"/>
          <w:b/>
          <w:color w:val="000000" w:themeColor="text1"/>
          <w:sz w:val="21"/>
          <w:szCs w:val="21"/>
          <w:highlight w:val="none"/>
          <w:lang w:val="en-US" w:eastAsia="zh-CN"/>
          <w14:textFill>
            <w14:solidFill>
              <w14:schemeClr w14:val="tx1"/>
            </w14:solidFill>
          </w14:textFill>
        </w:rPr>
      </w:pPr>
    </w:p>
    <w:tbl>
      <w:tblPr>
        <w:tblStyle w:val="63"/>
        <w:tblW w:w="8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88"/>
        <w:gridCol w:w="988"/>
        <w:gridCol w:w="988"/>
        <w:gridCol w:w="988"/>
        <w:gridCol w:w="988"/>
        <w:gridCol w:w="988"/>
        <w:gridCol w:w="988"/>
        <w:gridCol w:w="988"/>
        <w:gridCol w:w="995"/>
      </w:tblGrid>
      <w:tr w14:paraId="00BB7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6" w:hRule="atLeast"/>
          <w:jc w:val="center"/>
        </w:trPr>
        <w:tc>
          <w:tcPr>
            <w:tcW w:w="988" w:type="dxa"/>
            <w:tcBorders>
              <w:tl2br w:val="nil"/>
              <w:tr2bl w:val="nil"/>
            </w:tcBorders>
            <w:noWrap w:val="0"/>
            <w:tcMar>
              <w:top w:w="15" w:type="dxa"/>
              <w:left w:w="15" w:type="dxa"/>
              <w:bottom w:w="0" w:type="dxa"/>
              <w:right w:w="15" w:type="dxa"/>
            </w:tcMar>
            <w:vAlign w:val="center"/>
          </w:tcPr>
          <w:p w14:paraId="2CC4770D">
            <w:pPr>
              <w:snapToGrid w:val="0"/>
              <w:spacing w:before="50" w:after="50"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988" w:type="dxa"/>
            <w:tcBorders>
              <w:tl2br w:val="nil"/>
              <w:tr2bl w:val="nil"/>
            </w:tcBorders>
            <w:noWrap w:val="0"/>
            <w:tcMar>
              <w:top w:w="15" w:type="dxa"/>
              <w:left w:w="15" w:type="dxa"/>
              <w:bottom w:w="0" w:type="dxa"/>
              <w:right w:w="15" w:type="dxa"/>
            </w:tcMar>
            <w:vAlign w:val="center"/>
          </w:tcPr>
          <w:p w14:paraId="023A710F">
            <w:pPr>
              <w:snapToGrid w:val="0"/>
              <w:spacing w:before="50" w:after="50"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名称</w:t>
            </w:r>
          </w:p>
        </w:tc>
        <w:tc>
          <w:tcPr>
            <w:tcW w:w="988" w:type="dxa"/>
            <w:tcBorders>
              <w:tl2br w:val="nil"/>
              <w:tr2bl w:val="nil"/>
            </w:tcBorders>
            <w:noWrap w:val="0"/>
            <w:tcMar>
              <w:top w:w="15" w:type="dxa"/>
              <w:left w:w="15" w:type="dxa"/>
              <w:bottom w:w="0" w:type="dxa"/>
              <w:right w:w="15" w:type="dxa"/>
            </w:tcMar>
            <w:vAlign w:val="center"/>
          </w:tcPr>
          <w:p w14:paraId="088737E4">
            <w:pPr>
              <w:snapToGrid w:val="0"/>
              <w:spacing w:before="50" w:after="50"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品牌</w:t>
            </w:r>
          </w:p>
        </w:tc>
        <w:tc>
          <w:tcPr>
            <w:tcW w:w="988" w:type="dxa"/>
            <w:tcBorders>
              <w:tl2br w:val="nil"/>
              <w:tr2bl w:val="nil"/>
            </w:tcBorders>
            <w:noWrap w:val="0"/>
            <w:tcMar>
              <w:top w:w="15" w:type="dxa"/>
              <w:left w:w="15" w:type="dxa"/>
              <w:bottom w:w="0" w:type="dxa"/>
              <w:right w:w="15" w:type="dxa"/>
            </w:tcMar>
            <w:vAlign w:val="center"/>
          </w:tcPr>
          <w:p w14:paraId="2DBC2DF3">
            <w:pPr>
              <w:snapToGrid w:val="0"/>
              <w:spacing w:before="50" w:after="50"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规格型号</w:t>
            </w:r>
          </w:p>
        </w:tc>
        <w:tc>
          <w:tcPr>
            <w:tcW w:w="988" w:type="dxa"/>
            <w:tcBorders>
              <w:tl2br w:val="nil"/>
              <w:tr2bl w:val="nil"/>
            </w:tcBorders>
            <w:noWrap w:val="0"/>
            <w:tcMar>
              <w:top w:w="15" w:type="dxa"/>
              <w:left w:w="15" w:type="dxa"/>
              <w:bottom w:w="0" w:type="dxa"/>
              <w:right w:w="15" w:type="dxa"/>
            </w:tcMar>
            <w:vAlign w:val="center"/>
          </w:tcPr>
          <w:p w14:paraId="5B76BD9D">
            <w:pPr>
              <w:snapToGrid w:val="0"/>
              <w:spacing w:before="50" w:after="50"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制造商</w:t>
            </w:r>
          </w:p>
        </w:tc>
        <w:tc>
          <w:tcPr>
            <w:tcW w:w="988" w:type="dxa"/>
            <w:tcBorders>
              <w:tl2br w:val="nil"/>
              <w:tr2bl w:val="nil"/>
            </w:tcBorders>
            <w:noWrap w:val="0"/>
            <w:tcMar>
              <w:top w:w="15" w:type="dxa"/>
              <w:left w:w="15" w:type="dxa"/>
              <w:bottom w:w="0" w:type="dxa"/>
              <w:right w:w="15" w:type="dxa"/>
            </w:tcMar>
            <w:vAlign w:val="center"/>
          </w:tcPr>
          <w:p w14:paraId="497F0ADC">
            <w:pPr>
              <w:snapToGrid w:val="0"/>
              <w:spacing w:before="50" w:after="50"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产地</w:t>
            </w:r>
          </w:p>
        </w:tc>
        <w:tc>
          <w:tcPr>
            <w:tcW w:w="988" w:type="dxa"/>
            <w:tcBorders>
              <w:tl2br w:val="nil"/>
              <w:tr2bl w:val="nil"/>
            </w:tcBorders>
            <w:noWrap w:val="0"/>
            <w:tcMar>
              <w:top w:w="15" w:type="dxa"/>
              <w:left w:w="15" w:type="dxa"/>
              <w:bottom w:w="0" w:type="dxa"/>
              <w:right w:w="15" w:type="dxa"/>
            </w:tcMar>
            <w:vAlign w:val="center"/>
          </w:tcPr>
          <w:p w14:paraId="3F4F2368">
            <w:pPr>
              <w:snapToGrid w:val="0"/>
              <w:spacing w:before="50" w:after="50"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数量</w:t>
            </w:r>
          </w:p>
        </w:tc>
        <w:tc>
          <w:tcPr>
            <w:tcW w:w="988" w:type="dxa"/>
            <w:tcBorders>
              <w:tl2br w:val="nil"/>
              <w:tr2bl w:val="nil"/>
            </w:tcBorders>
            <w:noWrap w:val="0"/>
            <w:tcMar>
              <w:top w:w="15" w:type="dxa"/>
              <w:left w:w="15" w:type="dxa"/>
              <w:bottom w:w="0" w:type="dxa"/>
              <w:right w:w="15" w:type="dxa"/>
            </w:tcMar>
            <w:vAlign w:val="center"/>
          </w:tcPr>
          <w:p w14:paraId="21C4D083">
            <w:pPr>
              <w:snapToGrid w:val="0"/>
              <w:spacing w:before="50" w:after="50"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单位</w:t>
            </w:r>
          </w:p>
        </w:tc>
        <w:tc>
          <w:tcPr>
            <w:tcW w:w="995" w:type="dxa"/>
            <w:tcBorders>
              <w:tl2br w:val="nil"/>
              <w:tr2bl w:val="nil"/>
            </w:tcBorders>
            <w:noWrap w:val="0"/>
            <w:tcMar>
              <w:top w:w="15" w:type="dxa"/>
              <w:left w:w="15" w:type="dxa"/>
              <w:bottom w:w="0" w:type="dxa"/>
              <w:right w:w="15" w:type="dxa"/>
            </w:tcMar>
            <w:vAlign w:val="center"/>
          </w:tcPr>
          <w:p w14:paraId="6FAB02F7">
            <w:pPr>
              <w:snapToGrid w:val="0"/>
              <w:spacing w:before="50" w:after="50"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医疗器械备案/注册证号</w:t>
            </w:r>
          </w:p>
        </w:tc>
      </w:tr>
      <w:tr w14:paraId="6F8C7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5" w:hRule="atLeast"/>
          <w:jc w:val="center"/>
        </w:trPr>
        <w:tc>
          <w:tcPr>
            <w:tcW w:w="988" w:type="dxa"/>
            <w:tcBorders>
              <w:tl2br w:val="nil"/>
              <w:tr2bl w:val="nil"/>
            </w:tcBorders>
            <w:noWrap w:val="0"/>
            <w:tcMar>
              <w:top w:w="15" w:type="dxa"/>
              <w:left w:w="15" w:type="dxa"/>
              <w:bottom w:w="0" w:type="dxa"/>
              <w:right w:w="15" w:type="dxa"/>
            </w:tcMar>
            <w:vAlign w:val="center"/>
          </w:tcPr>
          <w:p w14:paraId="1D4B4C0E">
            <w:pPr>
              <w:snapToGrid w:val="0"/>
              <w:spacing w:before="50" w:after="50"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w:t>
            </w:r>
          </w:p>
        </w:tc>
        <w:tc>
          <w:tcPr>
            <w:tcW w:w="988" w:type="dxa"/>
            <w:tcBorders>
              <w:tl2br w:val="nil"/>
              <w:tr2bl w:val="nil"/>
            </w:tcBorders>
            <w:noWrap w:val="0"/>
            <w:tcMar>
              <w:top w:w="15" w:type="dxa"/>
              <w:left w:w="15" w:type="dxa"/>
              <w:bottom w:w="0" w:type="dxa"/>
              <w:right w:w="15" w:type="dxa"/>
            </w:tcMar>
            <w:vAlign w:val="center"/>
          </w:tcPr>
          <w:p w14:paraId="4692B48F">
            <w:pPr>
              <w:snapToGrid w:val="0"/>
              <w:spacing w:before="50" w:after="50"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88" w:type="dxa"/>
            <w:tcBorders>
              <w:tl2br w:val="nil"/>
              <w:tr2bl w:val="nil"/>
            </w:tcBorders>
            <w:noWrap w:val="0"/>
            <w:tcMar>
              <w:top w:w="15" w:type="dxa"/>
              <w:left w:w="15" w:type="dxa"/>
              <w:bottom w:w="0" w:type="dxa"/>
              <w:right w:w="15" w:type="dxa"/>
            </w:tcMar>
            <w:vAlign w:val="center"/>
          </w:tcPr>
          <w:p w14:paraId="0C477B34">
            <w:pPr>
              <w:snapToGrid w:val="0"/>
              <w:spacing w:before="50" w:after="50"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88" w:type="dxa"/>
            <w:tcBorders>
              <w:tl2br w:val="nil"/>
              <w:tr2bl w:val="nil"/>
            </w:tcBorders>
            <w:noWrap w:val="0"/>
            <w:tcMar>
              <w:top w:w="15" w:type="dxa"/>
              <w:left w:w="15" w:type="dxa"/>
              <w:bottom w:w="0" w:type="dxa"/>
              <w:right w:w="15" w:type="dxa"/>
            </w:tcMar>
            <w:vAlign w:val="center"/>
          </w:tcPr>
          <w:p w14:paraId="29FC9492">
            <w:pPr>
              <w:snapToGrid w:val="0"/>
              <w:spacing w:before="50" w:after="50"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88" w:type="dxa"/>
            <w:tcBorders>
              <w:tl2br w:val="nil"/>
              <w:tr2bl w:val="nil"/>
            </w:tcBorders>
            <w:noWrap w:val="0"/>
            <w:tcMar>
              <w:top w:w="15" w:type="dxa"/>
              <w:left w:w="15" w:type="dxa"/>
              <w:bottom w:w="0" w:type="dxa"/>
              <w:right w:w="15" w:type="dxa"/>
            </w:tcMar>
            <w:vAlign w:val="center"/>
          </w:tcPr>
          <w:p w14:paraId="40059E30">
            <w:pPr>
              <w:snapToGrid w:val="0"/>
              <w:spacing w:before="50" w:after="50"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88" w:type="dxa"/>
            <w:tcBorders>
              <w:tl2br w:val="nil"/>
              <w:tr2bl w:val="nil"/>
            </w:tcBorders>
            <w:noWrap w:val="0"/>
            <w:tcMar>
              <w:top w:w="15" w:type="dxa"/>
              <w:left w:w="15" w:type="dxa"/>
              <w:bottom w:w="0" w:type="dxa"/>
              <w:right w:w="15" w:type="dxa"/>
            </w:tcMar>
            <w:vAlign w:val="center"/>
          </w:tcPr>
          <w:p w14:paraId="11733B1A">
            <w:pPr>
              <w:snapToGrid w:val="0"/>
              <w:spacing w:before="50" w:after="50"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88" w:type="dxa"/>
            <w:tcBorders>
              <w:tl2br w:val="nil"/>
              <w:tr2bl w:val="nil"/>
            </w:tcBorders>
            <w:noWrap w:val="0"/>
            <w:tcMar>
              <w:top w:w="15" w:type="dxa"/>
              <w:left w:w="15" w:type="dxa"/>
              <w:bottom w:w="0" w:type="dxa"/>
              <w:right w:w="15" w:type="dxa"/>
            </w:tcMar>
            <w:vAlign w:val="center"/>
          </w:tcPr>
          <w:p w14:paraId="418D50BF">
            <w:pPr>
              <w:snapToGrid w:val="0"/>
              <w:spacing w:before="50" w:after="50"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88" w:type="dxa"/>
            <w:tcBorders>
              <w:tl2br w:val="nil"/>
              <w:tr2bl w:val="nil"/>
            </w:tcBorders>
            <w:noWrap w:val="0"/>
            <w:tcMar>
              <w:top w:w="15" w:type="dxa"/>
              <w:left w:w="15" w:type="dxa"/>
              <w:bottom w:w="0" w:type="dxa"/>
              <w:right w:w="15" w:type="dxa"/>
            </w:tcMar>
            <w:vAlign w:val="center"/>
          </w:tcPr>
          <w:p w14:paraId="4D7666FB">
            <w:pPr>
              <w:snapToGrid w:val="0"/>
              <w:spacing w:before="50" w:after="50"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95" w:type="dxa"/>
            <w:tcBorders>
              <w:tl2br w:val="nil"/>
              <w:tr2bl w:val="nil"/>
            </w:tcBorders>
            <w:noWrap w:val="0"/>
            <w:tcMar>
              <w:top w:w="15" w:type="dxa"/>
              <w:left w:w="15" w:type="dxa"/>
              <w:bottom w:w="0" w:type="dxa"/>
              <w:right w:w="15" w:type="dxa"/>
            </w:tcMar>
            <w:vAlign w:val="center"/>
          </w:tcPr>
          <w:p w14:paraId="34FE0E9E">
            <w:pPr>
              <w:snapToGrid w:val="0"/>
              <w:spacing w:before="50" w:after="50"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C9DC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5" w:hRule="atLeast"/>
          <w:jc w:val="center"/>
        </w:trPr>
        <w:tc>
          <w:tcPr>
            <w:tcW w:w="988" w:type="dxa"/>
            <w:tcBorders>
              <w:tl2br w:val="nil"/>
              <w:tr2bl w:val="nil"/>
            </w:tcBorders>
            <w:noWrap w:val="0"/>
            <w:tcMar>
              <w:top w:w="15" w:type="dxa"/>
              <w:left w:w="15" w:type="dxa"/>
              <w:bottom w:w="0" w:type="dxa"/>
              <w:right w:w="15" w:type="dxa"/>
            </w:tcMar>
            <w:vAlign w:val="center"/>
          </w:tcPr>
          <w:p w14:paraId="5AEAAC23">
            <w:pPr>
              <w:snapToGrid w:val="0"/>
              <w:spacing w:before="50" w:after="50"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p>
        </w:tc>
        <w:tc>
          <w:tcPr>
            <w:tcW w:w="988" w:type="dxa"/>
            <w:tcBorders>
              <w:tl2br w:val="nil"/>
              <w:tr2bl w:val="nil"/>
            </w:tcBorders>
            <w:noWrap w:val="0"/>
            <w:tcMar>
              <w:top w:w="15" w:type="dxa"/>
              <w:left w:w="15" w:type="dxa"/>
              <w:bottom w:w="0" w:type="dxa"/>
              <w:right w:w="15" w:type="dxa"/>
            </w:tcMar>
            <w:vAlign w:val="center"/>
          </w:tcPr>
          <w:p w14:paraId="64AC02D8">
            <w:pPr>
              <w:snapToGrid w:val="0"/>
              <w:spacing w:before="50" w:after="50"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88" w:type="dxa"/>
            <w:tcBorders>
              <w:tl2br w:val="nil"/>
              <w:tr2bl w:val="nil"/>
            </w:tcBorders>
            <w:noWrap w:val="0"/>
            <w:tcMar>
              <w:top w:w="15" w:type="dxa"/>
              <w:left w:w="15" w:type="dxa"/>
              <w:bottom w:w="0" w:type="dxa"/>
              <w:right w:w="15" w:type="dxa"/>
            </w:tcMar>
            <w:vAlign w:val="center"/>
          </w:tcPr>
          <w:p w14:paraId="4B4E1508">
            <w:pPr>
              <w:snapToGrid w:val="0"/>
              <w:spacing w:before="50" w:after="50"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88" w:type="dxa"/>
            <w:tcBorders>
              <w:tl2br w:val="nil"/>
              <w:tr2bl w:val="nil"/>
            </w:tcBorders>
            <w:noWrap w:val="0"/>
            <w:tcMar>
              <w:top w:w="15" w:type="dxa"/>
              <w:left w:w="15" w:type="dxa"/>
              <w:bottom w:w="0" w:type="dxa"/>
              <w:right w:w="15" w:type="dxa"/>
            </w:tcMar>
            <w:vAlign w:val="center"/>
          </w:tcPr>
          <w:p w14:paraId="0014EB7A">
            <w:pPr>
              <w:snapToGrid w:val="0"/>
              <w:spacing w:before="50" w:after="50"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88" w:type="dxa"/>
            <w:tcBorders>
              <w:tl2br w:val="nil"/>
              <w:tr2bl w:val="nil"/>
            </w:tcBorders>
            <w:noWrap w:val="0"/>
            <w:tcMar>
              <w:top w:w="15" w:type="dxa"/>
              <w:left w:w="15" w:type="dxa"/>
              <w:bottom w:w="0" w:type="dxa"/>
              <w:right w:w="15" w:type="dxa"/>
            </w:tcMar>
            <w:vAlign w:val="center"/>
          </w:tcPr>
          <w:p w14:paraId="476EE364">
            <w:pPr>
              <w:snapToGrid w:val="0"/>
              <w:spacing w:before="50" w:after="50"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88" w:type="dxa"/>
            <w:tcBorders>
              <w:tl2br w:val="nil"/>
              <w:tr2bl w:val="nil"/>
            </w:tcBorders>
            <w:noWrap w:val="0"/>
            <w:tcMar>
              <w:top w:w="15" w:type="dxa"/>
              <w:left w:w="15" w:type="dxa"/>
              <w:bottom w:w="0" w:type="dxa"/>
              <w:right w:w="15" w:type="dxa"/>
            </w:tcMar>
            <w:vAlign w:val="center"/>
          </w:tcPr>
          <w:p w14:paraId="50E94E26">
            <w:pPr>
              <w:snapToGrid w:val="0"/>
              <w:spacing w:before="50" w:after="50"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88" w:type="dxa"/>
            <w:tcBorders>
              <w:tl2br w:val="nil"/>
              <w:tr2bl w:val="nil"/>
            </w:tcBorders>
            <w:noWrap w:val="0"/>
            <w:tcMar>
              <w:top w:w="15" w:type="dxa"/>
              <w:left w:w="15" w:type="dxa"/>
              <w:bottom w:w="0" w:type="dxa"/>
              <w:right w:w="15" w:type="dxa"/>
            </w:tcMar>
            <w:vAlign w:val="center"/>
          </w:tcPr>
          <w:p w14:paraId="59F87E0C">
            <w:pPr>
              <w:snapToGrid w:val="0"/>
              <w:spacing w:before="50" w:after="50"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88" w:type="dxa"/>
            <w:tcBorders>
              <w:tl2br w:val="nil"/>
              <w:tr2bl w:val="nil"/>
            </w:tcBorders>
            <w:noWrap w:val="0"/>
            <w:tcMar>
              <w:top w:w="15" w:type="dxa"/>
              <w:left w:w="15" w:type="dxa"/>
              <w:bottom w:w="0" w:type="dxa"/>
              <w:right w:w="15" w:type="dxa"/>
            </w:tcMar>
            <w:vAlign w:val="center"/>
          </w:tcPr>
          <w:p w14:paraId="2777E85D">
            <w:pPr>
              <w:snapToGrid w:val="0"/>
              <w:spacing w:before="50" w:after="50"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95" w:type="dxa"/>
            <w:tcBorders>
              <w:tl2br w:val="nil"/>
              <w:tr2bl w:val="nil"/>
            </w:tcBorders>
            <w:noWrap w:val="0"/>
            <w:tcMar>
              <w:top w:w="15" w:type="dxa"/>
              <w:left w:w="15" w:type="dxa"/>
              <w:bottom w:w="0" w:type="dxa"/>
              <w:right w:w="15" w:type="dxa"/>
            </w:tcMar>
            <w:vAlign w:val="center"/>
          </w:tcPr>
          <w:p w14:paraId="32195C15">
            <w:pPr>
              <w:snapToGrid w:val="0"/>
              <w:spacing w:before="50" w:after="50"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9FAB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5" w:hRule="atLeast"/>
          <w:jc w:val="center"/>
        </w:trPr>
        <w:tc>
          <w:tcPr>
            <w:tcW w:w="988" w:type="dxa"/>
            <w:tcBorders>
              <w:tl2br w:val="nil"/>
              <w:tr2bl w:val="nil"/>
            </w:tcBorders>
            <w:noWrap w:val="0"/>
            <w:tcMar>
              <w:top w:w="15" w:type="dxa"/>
              <w:left w:w="15" w:type="dxa"/>
              <w:bottom w:w="0" w:type="dxa"/>
              <w:right w:w="15" w:type="dxa"/>
            </w:tcMar>
            <w:vAlign w:val="center"/>
          </w:tcPr>
          <w:p w14:paraId="63734A28">
            <w:pPr>
              <w:snapToGrid w:val="0"/>
              <w:spacing w:before="50" w:after="50"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988" w:type="dxa"/>
            <w:tcBorders>
              <w:tl2br w:val="nil"/>
              <w:tr2bl w:val="nil"/>
            </w:tcBorders>
            <w:noWrap w:val="0"/>
            <w:tcMar>
              <w:top w:w="15" w:type="dxa"/>
              <w:left w:w="15" w:type="dxa"/>
              <w:bottom w:w="0" w:type="dxa"/>
              <w:right w:w="15" w:type="dxa"/>
            </w:tcMar>
            <w:vAlign w:val="center"/>
          </w:tcPr>
          <w:p w14:paraId="3DBA91E7">
            <w:pPr>
              <w:snapToGrid w:val="0"/>
              <w:spacing w:before="50" w:after="50"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88" w:type="dxa"/>
            <w:tcBorders>
              <w:tl2br w:val="nil"/>
              <w:tr2bl w:val="nil"/>
            </w:tcBorders>
            <w:noWrap w:val="0"/>
            <w:tcMar>
              <w:top w:w="15" w:type="dxa"/>
              <w:left w:w="15" w:type="dxa"/>
              <w:bottom w:w="0" w:type="dxa"/>
              <w:right w:w="15" w:type="dxa"/>
            </w:tcMar>
            <w:vAlign w:val="center"/>
          </w:tcPr>
          <w:p w14:paraId="1B7CC8D1">
            <w:pPr>
              <w:snapToGrid w:val="0"/>
              <w:spacing w:before="50" w:after="50"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88" w:type="dxa"/>
            <w:tcBorders>
              <w:tl2br w:val="nil"/>
              <w:tr2bl w:val="nil"/>
            </w:tcBorders>
            <w:noWrap w:val="0"/>
            <w:tcMar>
              <w:top w:w="15" w:type="dxa"/>
              <w:left w:w="15" w:type="dxa"/>
              <w:bottom w:w="0" w:type="dxa"/>
              <w:right w:w="15" w:type="dxa"/>
            </w:tcMar>
            <w:vAlign w:val="center"/>
          </w:tcPr>
          <w:p w14:paraId="79F9F11B">
            <w:pPr>
              <w:snapToGrid w:val="0"/>
              <w:spacing w:before="50" w:after="50"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88" w:type="dxa"/>
            <w:tcBorders>
              <w:tl2br w:val="nil"/>
              <w:tr2bl w:val="nil"/>
            </w:tcBorders>
            <w:noWrap w:val="0"/>
            <w:tcMar>
              <w:top w:w="15" w:type="dxa"/>
              <w:left w:w="15" w:type="dxa"/>
              <w:bottom w:w="0" w:type="dxa"/>
              <w:right w:w="15" w:type="dxa"/>
            </w:tcMar>
            <w:vAlign w:val="center"/>
          </w:tcPr>
          <w:p w14:paraId="54237A07">
            <w:pPr>
              <w:snapToGrid w:val="0"/>
              <w:spacing w:before="50" w:after="50"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88" w:type="dxa"/>
            <w:tcBorders>
              <w:tl2br w:val="nil"/>
              <w:tr2bl w:val="nil"/>
            </w:tcBorders>
            <w:noWrap w:val="0"/>
            <w:tcMar>
              <w:top w:w="15" w:type="dxa"/>
              <w:left w:w="15" w:type="dxa"/>
              <w:bottom w:w="0" w:type="dxa"/>
              <w:right w:w="15" w:type="dxa"/>
            </w:tcMar>
            <w:vAlign w:val="center"/>
          </w:tcPr>
          <w:p w14:paraId="7FBCEA09">
            <w:pPr>
              <w:snapToGrid w:val="0"/>
              <w:spacing w:before="50" w:after="50"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88" w:type="dxa"/>
            <w:tcBorders>
              <w:tl2br w:val="nil"/>
              <w:tr2bl w:val="nil"/>
            </w:tcBorders>
            <w:noWrap w:val="0"/>
            <w:tcMar>
              <w:top w:w="15" w:type="dxa"/>
              <w:left w:w="15" w:type="dxa"/>
              <w:bottom w:w="0" w:type="dxa"/>
              <w:right w:w="15" w:type="dxa"/>
            </w:tcMar>
            <w:vAlign w:val="center"/>
          </w:tcPr>
          <w:p w14:paraId="3EFB2193">
            <w:pPr>
              <w:snapToGrid w:val="0"/>
              <w:spacing w:before="50" w:after="50"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88" w:type="dxa"/>
            <w:tcBorders>
              <w:tl2br w:val="nil"/>
              <w:tr2bl w:val="nil"/>
            </w:tcBorders>
            <w:noWrap w:val="0"/>
            <w:tcMar>
              <w:top w:w="15" w:type="dxa"/>
              <w:left w:w="15" w:type="dxa"/>
              <w:bottom w:w="0" w:type="dxa"/>
              <w:right w:w="15" w:type="dxa"/>
            </w:tcMar>
            <w:vAlign w:val="center"/>
          </w:tcPr>
          <w:p w14:paraId="24A62711">
            <w:pPr>
              <w:snapToGrid w:val="0"/>
              <w:spacing w:before="50" w:after="50"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95" w:type="dxa"/>
            <w:tcBorders>
              <w:tl2br w:val="nil"/>
              <w:tr2bl w:val="nil"/>
            </w:tcBorders>
            <w:noWrap w:val="0"/>
            <w:tcMar>
              <w:top w:w="15" w:type="dxa"/>
              <w:left w:w="15" w:type="dxa"/>
              <w:bottom w:w="0" w:type="dxa"/>
              <w:right w:w="15" w:type="dxa"/>
            </w:tcMar>
            <w:vAlign w:val="center"/>
          </w:tcPr>
          <w:p w14:paraId="36F1C115">
            <w:pPr>
              <w:snapToGrid w:val="0"/>
              <w:spacing w:before="50" w:after="50"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6DE77ED5">
      <w:pPr>
        <w:pStyle w:val="61"/>
        <w:spacing w:line="360" w:lineRule="auto"/>
        <w:ind w:left="0" w:leftChars="0" w:firstLine="0" w:firstLineChars="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填表说明：表格可扩展</w:t>
      </w:r>
    </w:p>
    <w:p w14:paraId="4F2CF9A8">
      <w:pPr>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5C14FEEE">
      <w:pPr>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1C1E3539">
      <w:pP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Ansi="宋体"/>
          <w:color w:val="000000" w:themeColor="text1"/>
          <w:sz w:val="24"/>
          <w:szCs w:val="24"/>
          <w:highlight w:val="none"/>
          <w14:textFill>
            <w14:solidFill>
              <w14:schemeClr w14:val="tx1"/>
            </w14:solidFill>
          </w14:textFill>
        </w:rPr>
        <w:t>投标人名称（电子签章）</w:t>
      </w:r>
    </w:p>
    <w:p w14:paraId="2E67A7B0">
      <w:pPr>
        <w:pStyle w:val="3"/>
        <w:jc w:val="left"/>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日期：    年    月    日</w:t>
      </w:r>
    </w:p>
    <w:p w14:paraId="18CD696B">
      <w:pPr>
        <w:pStyle w:val="3"/>
        <w:rPr>
          <w:rFonts w:hint="eastAsia"/>
          <w:color w:val="000000" w:themeColor="text1"/>
          <w:highlight w:val="none"/>
          <w14:textFill>
            <w14:solidFill>
              <w14:schemeClr w14:val="tx1"/>
            </w14:solidFill>
          </w14:textFill>
        </w:rPr>
        <w:sectPr>
          <w:footerReference r:id="rId1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66CDA9B0">
      <w:pPr>
        <w:rPr>
          <w:color w:val="000000" w:themeColor="text1"/>
          <w:highlight w:val="none"/>
          <w14:textFill>
            <w14:solidFill>
              <w14:schemeClr w14:val="tx1"/>
            </w14:solidFill>
          </w14:textFill>
        </w:rPr>
      </w:pPr>
    </w:p>
    <w:p w14:paraId="7EB1EFC0">
      <w:pPr>
        <w:tabs>
          <w:tab w:val="left" w:pos="315"/>
        </w:tabs>
        <w:snapToGrid w:val="0"/>
        <w:spacing w:before="50" w:after="50" w:line="360" w:lineRule="auto"/>
        <w:jc w:val="center"/>
        <w:rPr>
          <w:b/>
          <w:color w:val="000000" w:themeColor="text1"/>
          <w:sz w:val="30"/>
          <w:szCs w:val="30"/>
          <w:highlight w:val="none"/>
          <w14:textFill>
            <w14:solidFill>
              <w14:schemeClr w14:val="tx1"/>
            </w14:solidFill>
          </w14:textFill>
        </w:rPr>
      </w:pPr>
      <w:r>
        <w:rPr>
          <w:rFonts w:hint="eastAsia" w:hAnsi="宋体"/>
          <w:b/>
          <w:color w:val="000000" w:themeColor="text1"/>
          <w:sz w:val="30"/>
          <w:szCs w:val="30"/>
          <w:highlight w:val="none"/>
          <w:lang w:val="en-US" w:eastAsia="zh-CN"/>
          <w14:textFill>
            <w14:solidFill>
              <w14:schemeClr w14:val="tx1"/>
            </w14:solidFill>
          </w14:textFill>
        </w:rPr>
        <w:t>十、</w:t>
      </w:r>
      <w:r>
        <w:rPr>
          <w:rFonts w:hAnsi="宋体"/>
          <w:b/>
          <w:color w:val="000000" w:themeColor="text1"/>
          <w:sz w:val="30"/>
          <w:szCs w:val="30"/>
          <w:highlight w:val="none"/>
          <w14:textFill>
            <w14:solidFill>
              <w14:schemeClr w14:val="tx1"/>
            </w14:solidFill>
          </w14:textFill>
        </w:rPr>
        <w:t>选配件、专用耗材、售后服务优惠表</w:t>
      </w:r>
    </w:p>
    <w:tbl>
      <w:tblPr>
        <w:tblStyle w:val="63"/>
        <w:tblW w:w="919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35"/>
        <w:gridCol w:w="2700"/>
        <w:gridCol w:w="1440"/>
        <w:gridCol w:w="1440"/>
        <w:gridCol w:w="1440"/>
        <w:gridCol w:w="1440"/>
      </w:tblGrid>
      <w:tr w14:paraId="5707EF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jc w:val="center"/>
        </w:trPr>
        <w:tc>
          <w:tcPr>
            <w:tcW w:w="7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8237A51">
            <w:pPr>
              <w:snapToGrid w:val="0"/>
              <w:spacing w:before="295" w:after="295" w:line="360" w:lineRule="auto"/>
              <w:jc w:val="center"/>
              <w:rPr>
                <w:color w:val="000000" w:themeColor="text1"/>
                <w:sz w:val="24"/>
                <w:szCs w:val="21"/>
                <w:highlight w:val="none"/>
                <w14:textFill>
                  <w14:solidFill>
                    <w14:schemeClr w14:val="tx1"/>
                  </w14:solidFill>
                </w14:textFill>
              </w:rPr>
            </w:pPr>
            <w:r>
              <w:rPr>
                <w:rFonts w:hAnsi="宋体"/>
                <w:color w:val="000000" w:themeColor="text1"/>
                <w:sz w:val="24"/>
                <w:szCs w:val="21"/>
                <w:highlight w:val="none"/>
                <w14:textFill>
                  <w14:solidFill>
                    <w14:schemeClr w14:val="tx1"/>
                  </w14:solidFill>
                </w14:textFill>
              </w:rPr>
              <w:t>序号</w:t>
            </w:r>
          </w:p>
        </w:tc>
        <w:tc>
          <w:tcPr>
            <w:tcW w:w="2700" w:type="dxa"/>
            <w:tcBorders>
              <w:top w:val="single" w:color="auto" w:sz="4" w:space="0"/>
              <w:left w:val="single" w:color="auto" w:sz="4" w:space="0"/>
              <w:bottom w:val="single" w:color="auto" w:sz="2" w:space="0"/>
              <w:right w:val="single" w:color="auto" w:sz="4" w:space="0"/>
            </w:tcBorders>
            <w:noWrap w:val="0"/>
            <w:vAlign w:val="center"/>
          </w:tcPr>
          <w:p w14:paraId="2447B00C">
            <w:pPr>
              <w:snapToGrid w:val="0"/>
              <w:spacing w:before="295" w:after="295" w:line="360" w:lineRule="auto"/>
              <w:jc w:val="center"/>
              <w:rPr>
                <w:color w:val="000000" w:themeColor="text1"/>
                <w:sz w:val="24"/>
                <w:szCs w:val="21"/>
                <w:highlight w:val="none"/>
                <w14:textFill>
                  <w14:solidFill>
                    <w14:schemeClr w14:val="tx1"/>
                  </w14:solidFill>
                </w14:textFill>
              </w:rPr>
            </w:pPr>
            <w:r>
              <w:rPr>
                <w:rFonts w:hAnsi="宋体"/>
                <w:color w:val="000000" w:themeColor="text1"/>
                <w:sz w:val="24"/>
                <w:szCs w:val="21"/>
                <w:highlight w:val="none"/>
                <w14:textFill>
                  <w14:solidFill>
                    <w14:schemeClr w14:val="tx1"/>
                  </w14:solidFill>
                </w14:textFill>
              </w:rPr>
              <w:t>优惠内容</w:t>
            </w:r>
          </w:p>
        </w:tc>
        <w:tc>
          <w:tcPr>
            <w:tcW w:w="1440" w:type="dxa"/>
            <w:tcBorders>
              <w:top w:val="single" w:color="auto" w:sz="4" w:space="0"/>
              <w:left w:val="single" w:color="auto" w:sz="4" w:space="0"/>
              <w:bottom w:val="single" w:color="auto" w:sz="2" w:space="0"/>
              <w:right w:val="single" w:color="auto" w:sz="4" w:space="0"/>
            </w:tcBorders>
            <w:noWrap w:val="0"/>
            <w:vAlign w:val="center"/>
          </w:tcPr>
          <w:p w14:paraId="32885EB9">
            <w:pPr>
              <w:snapToGrid w:val="0"/>
              <w:spacing w:before="295" w:after="295" w:line="360" w:lineRule="auto"/>
              <w:jc w:val="center"/>
              <w:rPr>
                <w:color w:val="000000" w:themeColor="text1"/>
                <w:sz w:val="24"/>
                <w:szCs w:val="21"/>
                <w:highlight w:val="none"/>
                <w14:textFill>
                  <w14:solidFill>
                    <w14:schemeClr w14:val="tx1"/>
                  </w14:solidFill>
                </w14:textFill>
              </w:rPr>
            </w:pPr>
            <w:r>
              <w:rPr>
                <w:rFonts w:hAnsi="宋体"/>
                <w:color w:val="000000" w:themeColor="text1"/>
                <w:sz w:val="24"/>
                <w:szCs w:val="21"/>
                <w:highlight w:val="none"/>
                <w14:textFill>
                  <w14:solidFill>
                    <w14:schemeClr w14:val="tx1"/>
                  </w14:solidFill>
                </w14:textFill>
              </w:rPr>
              <w:t>适用机型</w:t>
            </w:r>
          </w:p>
        </w:tc>
        <w:tc>
          <w:tcPr>
            <w:tcW w:w="1440" w:type="dxa"/>
            <w:tcBorders>
              <w:top w:val="single" w:color="auto" w:sz="4" w:space="0"/>
              <w:left w:val="single" w:color="auto" w:sz="4" w:space="0"/>
              <w:bottom w:val="single" w:color="auto" w:sz="2" w:space="0"/>
              <w:right w:val="single" w:color="auto" w:sz="4" w:space="0"/>
            </w:tcBorders>
            <w:noWrap w:val="0"/>
            <w:tcMar>
              <w:top w:w="15" w:type="dxa"/>
              <w:left w:w="15" w:type="dxa"/>
              <w:bottom w:w="0" w:type="dxa"/>
              <w:right w:w="15" w:type="dxa"/>
            </w:tcMar>
            <w:vAlign w:val="center"/>
          </w:tcPr>
          <w:p w14:paraId="41A5407E">
            <w:pPr>
              <w:snapToGrid w:val="0"/>
              <w:spacing w:before="295" w:after="295" w:line="360" w:lineRule="auto"/>
              <w:jc w:val="center"/>
              <w:rPr>
                <w:color w:val="000000" w:themeColor="text1"/>
                <w:sz w:val="24"/>
                <w:szCs w:val="21"/>
                <w:highlight w:val="none"/>
                <w14:textFill>
                  <w14:solidFill>
                    <w14:schemeClr w14:val="tx1"/>
                  </w14:solidFill>
                </w14:textFill>
              </w:rPr>
            </w:pPr>
            <w:r>
              <w:rPr>
                <w:rFonts w:hAnsi="宋体"/>
                <w:color w:val="000000" w:themeColor="text1"/>
                <w:sz w:val="24"/>
                <w:szCs w:val="21"/>
                <w:highlight w:val="none"/>
                <w14:textFill>
                  <w14:solidFill>
                    <w14:schemeClr w14:val="tx1"/>
                  </w14:solidFill>
                </w14:textFill>
              </w:rPr>
              <w:t>优惠前单价</w:t>
            </w:r>
          </w:p>
        </w:tc>
        <w:tc>
          <w:tcPr>
            <w:tcW w:w="1440" w:type="dxa"/>
            <w:tcBorders>
              <w:top w:val="single" w:color="auto" w:sz="4" w:space="0"/>
              <w:left w:val="single" w:color="auto" w:sz="4" w:space="0"/>
              <w:bottom w:val="single" w:color="auto" w:sz="2" w:space="0"/>
              <w:right w:val="single" w:color="auto" w:sz="4" w:space="0"/>
            </w:tcBorders>
            <w:noWrap w:val="0"/>
            <w:vAlign w:val="center"/>
          </w:tcPr>
          <w:p w14:paraId="0278B777">
            <w:pPr>
              <w:snapToGrid w:val="0"/>
              <w:spacing w:before="295" w:after="295" w:line="360" w:lineRule="auto"/>
              <w:jc w:val="center"/>
              <w:rPr>
                <w:color w:val="000000" w:themeColor="text1"/>
                <w:sz w:val="24"/>
                <w:szCs w:val="21"/>
                <w:highlight w:val="none"/>
                <w14:textFill>
                  <w14:solidFill>
                    <w14:schemeClr w14:val="tx1"/>
                  </w14:solidFill>
                </w14:textFill>
              </w:rPr>
            </w:pPr>
            <w:r>
              <w:rPr>
                <w:rFonts w:hAnsi="宋体"/>
                <w:color w:val="000000" w:themeColor="text1"/>
                <w:sz w:val="24"/>
                <w:szCs w:val="21"/>
                <w:highlight w:val="none"/>
                <w14:textFill>
                  <w14:solidFill>
                    <w14:schemeClr w14:val="tx1"/>
                  </w14:solidFill>
                </w14:textFill>
              </w:rPr>
              <w:t>比投标报价优惠率</w:t>
            </w:r>
          </w:p>
        </w:tc>
        <w:tc>
          <w:tcPr>
            <w:tcW w:w="1440" w:type="dxa"/>
            <w:tcBorders>
              <w:top w:val="single" w:color="auto" w:sz="4" w:space="0"/>
              <w:left w:val="single" w:color="auto" w:sz="4" w:space="0"/>
              <w:bottom w:val="single" w:color="auto" w:sz="2" w:space="0"/>
              <w:right w:val="single" w:color="auto" w:sz="4" w:space="0"/>
            </w:tcBorders>
            <w:noWrap w:val="0"/>
            <w:vAlign w:val="top"/>
          </w:tcPr>
          <w:p w14:paraId="13750FE8">
            <w:pPr>
              <w:snapToGrid w:val="0"/>
              <w:spacing w:before="295" w:after="295" w:line="360" w:lineRule="auto"/>
              <w:jc w:val="center"/>
              <w:rPr>
                <w:color w:val="000000" w:themeColor="text1"/>
                <w:sz w:val="24"/>
                <w:szCs w:val="21"/>
                <w:highlight w:val="none"/>
                <w14:textFill>
                  <w14:solidFill>
                    <w14:schemeClr w14:val="tx1"/>
                  </w14:solidFill>
                </w14:textFill>
              </w:rPr>
            </w:pPr>
            <w:r>
              <w:rPr>
                <w:rFonts w:hAnsi="宋体"/>
                <w:color w:val="000000" w:themeColor="text1"/>
                <w:sz w:val="24"/>
                <w:szCs w:val="21"/>
                <w:highlight w:val="none"/>
                <w14:textFill>
                  <w14:solidFill>
                    <w14:schemeClr w14:val="tx1"/>
                  </w14:solidFill>
                </w14:textFill>
              </w:rPr>
              <w:t>优惠后单价</w:t>
            </w:r>
          </w:p>
        </w:tc>
      </w:tr>
      <w:tr w14:paraId="3C6CE2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35"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14:paraId="2622EB05">
            <w:pPr>
              <w:snapToGrid w:val="0"/>
              <w:spacing w:before="295" w:after="295" w:line="360" w:lineRule="auto"/>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p>
        </w:tc>
        <w:tc>
          <w:tcPr>
            <w:tcW w:w="2700" w:type="dxa"/>
            <w:tcBorders>
              <w:top w:val="single" w:color="auto" w:sz="2" w:space="0"/>
              <w:left w:val="single" w:color="auto" w:sz="2" w:space="0"/>
              <w:bottom w:val="single" w:color="auto" w:sz="6" w:space="0"/>
              <w:right w:val="single" w:color="auto" w:sz="4" w:space="0"/>
            </w:tcBorders>
            <w:noWrap w:val="0"/>
            <w:vAlign w:val="center"/>
          </w:tcPr>
          <w:p w14:paraId="45D4B3E1">
            <w:pPr>
              <w:snapToGrid w:val="0"/>
              <w:spacing w:before="295" w:after="295" w:line="360" w:lineRule="auto"/>
              <w:jc w:val="center"/>
              <w:rPr>
                <w:color w:val="000000" w:themeColor="text1"/>
                <w:sz w:val="24"/>
                <w:highlight w:val="none"/>
                <w14:textFill>
                  <w14:solidFill>
                    <w14:schemeClr w14:val="tx1"/>
                  </w14:solidFill>
                </w14:textFill>
              </w:rPr>
            </w:pPr>
          </w:p>
        </w:tc>
        <w:tc>
          <w:tcPr>
            <w:tcW w:w="1440" w:type="dxa"/>
            <w:tcBorders>
              <w:top w:val="single" w:color="auto" w:sz="2" w:space="0"/>
              <w:left w:val="single" w:color="auto" w:sz="4" w:space="0"/>
              <w:bottom w:val="single" w:color="auto" w:sz="6" w:space="0"/>
              <w:right w:val="single" w:color="auto" w:sz="6" w:space="0"/>
            </w:tcBorders>
            <w:noWrap w:val="0"/>
            <w:vAlign w:val="center"/>
          </w:tcPr>
          <w:p w14:paraId="5F4C1286">
            <w:pPr>
              <w:snapToGrid w:val="0"/>
              <w:spacing w:before="295" w:after="295" w:line="360" w:lineRule="auto"/>
              <w:jc w:val="center"/>
              <w:rPr>
                <w:color w:val="000000" w:themeColor="text1"/>
                <w:sz w:val="24"/>
                <w:highlight w:val="none"/>
                <w14:textFill>
                  <w14:solidFill>
                    <w14:schemeClr w14:val="tx1"/>
                  </w14:solidFill>
                </w14:textFill>
              </w:rPr>
            </w:pPr>
          </w:p>
        </w:tc>
        <w:tc>
          <w:tcPr>
            <w:tcW w:w="1440" w:type="dxa"/>
            <w:tcBorders>
              <w:top w:val="single" w:color="auto" w:sz="2"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14:paraId="64335F46">
            <w:pPr>
              <w:snapToGrid w:val="0"/>
              <w:spacing w:before="295" w:after="295" w:line="360" w:lineRule="auto"/>
              <w:jc w:val="center"/>
              <w:rPr>
                <w:color w:val="000000" w:themeColor="text1"/>
                <w:sz w:val="24"/>
                <w:highlight w:val="none"/>
                <w14:textFill>
                  <w14:solidFill>
                    <w14:schemeClr w14:val="tx1"/>
                  </w14:solidFill>
                </w14:textFill>
              </w:rPr>
            </w:pPr>
          </w:p>
        </w:tc>
        <w:tc>
          <w:tcPr>
            <w:tcW w:w="1440" w:type="dxa"/>
            <w:tcBorders>
              <w:top w:val="single" w:color="auto" w:sz="2" w:space="0"/>
              <w:left w:val="single" w:color="auto" w:sz="6" w:space="0"/>
              <w:bottom w:val="single" w:color="auto" w:sz="6" w:space="0"/>
              <w:right w:val="single" w:color="auto" w:sz="2" w:space="0"/>
            </w:tcBorders>
            <w:noWrap w:val="0"/>
            <w:vAlign w:val="center"/>
          </w:tcPr>
          <w:p w14:paraId="71213E6E">
            <w:pPr>
              <w:snapToGrid w:val="0"/>
              <w:spacing w:before="295" w:after="295" w:line="360" w:lineRule="auto"/>
              <w:rPr>
                <w:color w:val="000000" w:themeColor="text1"/>
                <w:sz w:val="24"/>
                <w:highlight w:val="none"/>
                <w14:textFill>
                  <w14:solidFill>
                    <w14:schemeClr w14:val="tx1"/>
                  </w14:solidFill>
                </w14:textFill>
              </w:rPr>
            </w:pP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w:t>
            </w:r>
          </w:p>
        </w:tc>
        <w:tc>
          <w:tcPr>
            <w:tcW w:w="1440" w:type="dxa"/>
            <w:tcBorders>
              <w:top w:val="single" w:color="auto" w:sz="2" w:space="0"/>
              <w:left w:val="single" w:color="auto" w:sz="6" w:space="0"/>
              <w:bottom w:val="single" w:color="auto" w:sz="6" w:space="0"/>
              <w:right w:val="single" w:color="auto" w:sz="2" w:space="0"/>
            </w:tcBorders>
            <w:noWrap w:val="0"/>
            <w:vAlign w:val="top"/>
          </w:tcPr>
          <w:p w14:paraId="5431AD79">
            <w:pPr>
              <w:snapToGrid w:val="0"/>
              <w:spacing w:before="295" w:after="295" w:line="360" w:lineRule="auto"/>
              <w:jc w:val="center"/>
              <w:rPr>
                <w:color w:val="000000" w:themeColor="text1"/>
                <w:sz w:val="24"/>
                <w:highlight w:val="none"/>
                <w:u w:val="single"/>
                <w14:textFill>
                  <w14:solidFill>
                    <w14:schemeClr w14:val="tx1"/>
                  </w14:solidFill>
                </w14:textFill>
              </w:rPr>
            </w:pPr>
          </w:p>
        </w:tc>
      </w:tr>
      <w:tr w14:paraId="027485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35"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14:paraId="069A8BC3">
            <w:pPr>
              <w:snapToGrid w:val="0"/>
              <w:spacing w:before="295" w:after="295" w:line="360" w:lineRule="auto"/>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w:t>
            </w:r>
          </w:p>
        </w:tc>
        <w:tc>
          <w:tcPr>
            <w:tcW w:w="2700" w:type="dxa"/>
            <w:tcBorders>
              <w:top w:val="single" w:color="auto" w:sz="6" w:space="0"/>
              <w:left w:val="single" w:color="auto" w:sz="2" w:space="0"/>
              <w:bottom w:val="single" w:color="auto" w:sz="6" w:space="0"/>
              <w:right w:val="single" w:color="auto" w:sz="4" w:space="0"/>
            </w:tcBorders>
            <w:noWrap w:val="0"/>
            <w:vAlign w:val="center"/>
          </w:tcPr>
          <w:p w14:paraId="50D95249">
            <w:pPr>
              <w:snapToGrid w:val="0"/>
              <w:spacing w:before="295" w:after="295" w:line="360" w:lineRule="auto"/>
              <w:jc w:val="center"/>
              <w:rPr>
                <w:color w:val="000000" w:themeColor="text1"/>
                <w:sz w:val="24"/>
                <w:highlight w:val="none"/>
                <w14:textFill>
                  <w14:solidFill>
                    <w14:schemeClr w14:val="tx1"/>
                  </w14:solidFill>
                </w14:textFill>
              </w:rPr>
            </w:pPr>
          </w:p>
        </w:tc>
        <w:tc>
          <w:tcPr>
            <w:tcW w:w="1440" w:type="dxa"/>
            <w:tcBorders>
              <w:top w:val="single" w:color="auto" w:sz="6" w:space="0"/>
              <w:left w:val="single" w:color="auto" w:sz="4" w:space="0"/>
              <w:bottom w:val="single" w:color="auto" w:sz="6" w:space="0"/>
              <w:right w:val="single" w:color="auto" w:sz="6" w:space="0"/>
            </w:tcBorders>
            <w:noWrap w:val="0"/>
            <w:vAlign w:val="center"/>
          </w:tcPr>
          <w:p w14:paraId="6FCFE144">
            <w:pPr>
              <w:snapToGrid w:val="0"/>
              <w:spacing w:before="295" w:after="295" w:line="360" w:lineRule="auto"/>
              <w:jc w:val="center"/>
              <w:rPr>
                <w:color w:val="000000" w:themeColor="text1"/>
                <w:sz w:val="24"/>
                <w:highlight w:val="none"/>
                <w14:textFill>
                  <w14:solidFill>
                    <w14:schemeClr w14:val="tx1"/>
                  </w14:solidFill>
                </w14:textFill>
              </w:rPr>
            </w:pPr>
          </w:p>
        </w:tc>
        <w:tc>
          <w:tcPr>
            <w:tcW w:w="1440"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14:paraId="39E8B93E">
            <w:pPr>
              <w:snapToGrid w:val="0"/>
              <w:spacing w:before="295" w:after="295" w:line="360" w:lineRule="auto"/>
              <w:jc w:val="center"/>
              <w:rPr>
                <w:color w:val="000000" w:themeColor="text1"/>
                <w:sz w:val="24"/>
                <w:highlight w:val="none"/>
                <w14:textFill>
                  <w14:solidFill>
                    <w14:schemeClr w14:val="tx1"/>
                  </w14:solidFill>
                </w14:textFill>
              </w:rPr>
            </w:pPr>
          </w:p>
        </w:tc>
        <w:tc>
          <w:tcPr>
            <w:tcW w:w="1440" w:type="dxa"/>
            <w:tcBorders>
              <w:top w:val="single" w:color="auto" w:sz="6" w:space="0"/>
              <w:left w:val="single" w:color="auto" w:sz="6" w:space="0"/>
              <w:bottom w:val="single" w:color="auto" w:sz="6" w:space="0"/>
              <w:right w:val="single" w:color="auto" w:sz="2" w:space="0"/>
            </w:tcBorders>
            <w:noWrap w:val="0"/>
            <w:vAlign w:val="center"/>
          </w:tcPr>
          <w:p w14:paraId="7228276A">
            <w:pPr>
              <w:snapToGrid w:val="0"/>
              <w:spacing w:before="295" w:after="295" w:line="360" w:lineRule="auto"/>
              <w:rPr>
                <w:color w:val="000000" w:themeColor="text1"/>
                <w:sz w:val="24"/>
                <w:highlight w:val="none"/>
                <w14:textFill>
                  <w14:solidFill>
                    <w14:schemeClr w14:val="tx1"/>
                  </w14:solidFill>
                </w14:textFill>
              </w:rPr>
            </w:pP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w:t>
            </w:r>
          </w:p>
        </w:tc>
        <w:tc>
          <w:tcPr>
            <w:tcW w:w="1440" w:type="dxa"/>
            <w:tcBorders>
              <w:top w:val="single" w:color="auto" w:sz="6" w:space="0"/>
              <w:left w:val="single" w:color="auto" w:sz="6" w:space="0"/>
              <w:bottom w:val="single" w:color="auto" w:sz="6" w:space="0"/>
              <w:right w:val="single" w:color="auto" w:sz="2" w:space="0"/>
            </w:tcBorders>
            <w:noWrap w:val="0"/>
            <w:vAlign w:val="top"/>
          </w:tcPr>
          <w:p w14:paraId="730AF37A">
            <w:pPr>
              <w:snapToGrid w:val="0"/>
              <w:spacing w:before="295" w:after="295" w:line="360" w:lineRule="auto"/>
              <w:jc w:val="center"/>
              <w:rPr>
                <w:color w:val="000000" w:themeColor="text1"/>
                <w:sz w:val="24"/>
                <w:highlight w:val="none"/>
                <w:u w:val="single"/>
                <w14:textFill>
                  <w14:solidFill>
                    <w14:schemeClr w14:val="tx1"/>
                  </w14:solidFill>
                </w14:textFill>
              </w:rPr>
            </w:pPr>
          </w:p>
        </w:tc>
      </w:tr>
      <w:tr w14:paraId="1A9D1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35"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14:paraId="7D2AD790">
            <w:pPr>
              <w:snapToGrid w:val="0"/>
              <w:spacing w:before="295" w:after="295" w:line="360" w:lineRule="auto"/>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w:t>
            </w:r>
          </w:p>
        </w:tc>
        <w:tc>
          <w:tcPr>
            <w:tcW w:w="2700" w:type="dxa"/>
            <w:tcBorders>
              <w:top w:val="single" w:color="auto" w:sz="6" w:space="0"/>
              <w:left w:val="single" w:color="auto" w:sz="2" w:space="0"/>
              <w:bottom w:val="single" w:color="auto" w:sz="6" w:space="0"/>
              <w:right w:val="single" w:color="auto" w:sz="4" w:space="0"/>
            </w:tcBorders>
            <w:noWrap w:val="0"/>
            <w:vAlign w:val="center"/>
          </w:tcPr>
          <w:p w14:paraId="6CB0BE61">
            <w:pPr>
              <w:snapToGrid w:val="0"/>
              <w:spacing w:before="295" w:after="295" w:line="360" w:lineRule="auto"/>
              <w:jc w:val="center"/>
              <w:rPr>
                <w:color w:val="000000" w:themeColor="text1"/>
                <w:sz w:val="24"/>
                <w:highlight w:val="none"/>
                <w14:textFill>
                  <w14:solidFill>
                    <w14:schemeClr w14:val="tx1"/>
                  </w14:solidFill>
                </w14:textFill>
              </w:rPr>
            </w:pPr>
          </w:p>
        </w:tc>
        <w:tc>
          <w:tcPr>
            <w:tcW w:w="1440" w:type="dxa"/>
            <w:tcBorders>
              <w:top w:val="single" w:color="auto" w:sz="6" w:space="0"/>
              <w:left w:val="single" w:color="auto" w:sz="4" w:space="0"/>
              <w:bottom w:val="single" w:color="auto" w:sz="6" w:space="0"/>
              <w:right w:val="single" w:color="auto" w:sz="6" w:space="0"/>
            </w:tcBorders>
            <w:noWrap w:val="0"/>
            <w:vAlign w:val="center"/>
          </w:tcPr>
          <w:p w14:paraId="4901B136">
            <w:pPr>
              <w:snapToGrid w:val="0"/>
              <w:spacing w:before="295" w:after="295" w:line="360" w:lineRule="auto"/>
              <w:jc w:val="center"/>
              <w:rPr>
                <w:color w:val="000000" w:themeColor="text1"/>
                <w:sz w:val="24"/>
                <w:highlight w:val="none"/>
                <w14:textFill>
                  <w14:solidFill>
                    <w14:schemeClr w14:val="tx1"/>
                  </w14:solidFill>
                </w14:textFill>
              </w:rPr>
            </w:pPr>
          </w:p>
        </w:tc>
        <w:tc>
          <w:tcPr>
            <w:tcW w:w="1440"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14:paraId="55DC877B">
            <w:pPr>
              <w:snapToGrid w:val="0"/>
              <w:spacing w:before="295" w:after="295" w:line="360" w:lineRule="auto"/>
              <w:jc w:val="center"/>
              <w:rPr>
                <w:color w:val="000000" w:themeColor="text1"/>
                <w:sz w:val="24"/>
                <w:highlight w:val="none"/>
                <w14:textFill>
                  <w14:solidFill>
                    <w14:schemeClr w14:val="tx1"/>
                  </w14:solidFill>
                </w14:textFill>
              </w:rPr>
            </w:pPr>
          </w:p>
        </w:tc>
        <w:tc>
          <w:tcPr>
            <w:tcW w:w="1440" w:type="dxa"/>
            <w:tcBorders>
              <w:top w:val="single" w:color="auto" w:sz="6" w:space="0"/>
              <w:left w:val="single" w:color="auto" w:sz="6" w:space="0"/>
              <w:bottom w:val="single" w:color="auto" w:sz="6" w:space="0"/>
              <w:right w:val="single" w:color="auto" w:sz="2" w:space="0"/>
            </w:tcBorders>
            <w:noWrap w:val="0"/>
            <w:vAlign w:val="center"/>
          </w:tcPr>
          <w:p w14:paraId="5E49F2AB">
            <w:pPr>
              <w:snapToGrid w:val="0"/>
              <w:spacing w:before="295" w:after="295" w:line="360" w:lineRule="auto"/>
              <w:rPr>
                <w:color w:val="000000" w:themeColor="text1"/>
                <w:sz w:val="24"/>
                <w:highlight w:val="none"/>
                <w14:textFill>
                  <w14:solidFill>
                    <w14:schemeClr w14:val="tx1"/>
                  </w14:solidFill>
                </w14:textFill>
              </w:rPr>
            </w:pP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w:t>
            </w:r>
          </w:p>
        </w:tc>
        <w:tc>
          <w:tcPr>
            <w:tcW w:w="1440" w:type="dxa"/>
            <w:tcBorders>
              <w:top w:val="single" w:color="auto" w:sz="6" w:space="0"/>
              <w:left w:val="single" w:color="auto" w:sz="6" w:space="0"/>
              <w:bottom w:val="single" w:color="auto" w:sz="6" w:space="0"/>
              <w:right w:val="single" w:color="auto" w:sz="2" w:space="0"/>
            </w:tcBorders>
            <w:noWrap w:val="0"/>
            <w:vAlign w:val="top"/>
          </w:tcPr>
          <w:p w14:paraId="1B24EB19">
            <w:pPr>
              <w:snapToGrid w:val="0"/>
              <w:spacing w:before="295" w:after="295" w:line="360" w:lineRule="auto"/>
              <w:jc w:val="center"/>
              <w:rPr>
                <w:color w:val="000000" w:themeColor="text1"/>
                <w:sz w:val="24"/>
                <w:highlight w:val="none"/>
                <w:u w:val="single"/>
                <w14:textFill>
                  <w14:solidFill>
                    <w14:schemeClr w14:val="tx1"/>
                  </w14:solidFill>
                </w14:textFill>
              </w:rPr>
            </w:pPr>
          </w:p>
        </w:tc>
      </w:tr>
      <w:tr w14:paraId="063721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35"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14:paraId="58A1F5A9">
            <w:pPr>
              <w:snapToGrid w:val="0"/>
              <w:spacing w:before="295" w:after="295" w:line="360" w:lineRule="auto"/>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w:t>
            </w:r>
          </w:p>
        </w:tc>
        <w:tc>
          <w:tcPr>
            <w:tcW w:w="2700" w:type="dxa"/>
            <w:tcBorders>
              <w:top w:val="single" w:color="auto" w:sz="6" w:space="0"/>
              <w:left w:val="single" w:color="auto" w:sz="2" w:space="0"/>
              <w:bottom w:val="single" w:color="auto" w:sz="6" w:space="0"/>
              <w:right w:val="single" w:color="auto" w:sz="4" w:space="0"/>
            </w:tcBorders>
            <w:noWrap w:val="0"/>
            <w:vAlign w:val="center"/>
          </w:tcPr>
          <w:p w14:paraId="39DF2C60">
            <w:pPr>
              <w:snapToGrid w:val="0"/>
              <w:spacing w:before="295" w:after="295" w:line="360" w:lineRule="auto"/>
              <w:jc w:val="center"/>
              <w:rPr>
                <w:color w:val="000000" w:themeColor="text1"/>
                <w:sz w:val="24"/>
                <w:highlight w:val="none"/>
                <w14:textFill>
                  <w14:solidFill>
                    <w14:schemeClr w14:val="tx1"/>
                  </w14:solidFill>
                </w14:textFill>
              </w:rPr>
            </w:pPr>
          </w:p>
        </w:tc>
        <w:tc>
          <w:tcPr>
            <w:tcW w:w="1440" w:type="dxa"/>
            <w:tcBorders>
              <w:top w:val="single" w:color="auto" w:sz="6" w:space="0"/>
              <w:left w:val="single" w:color="auto" w:sz="4" w:space="0"/>
              <w:bottom w:val="single" w:color="auto" w:sz="6" w:space="0"/>
              <w:right w:val="single" w:color="auto" w:sz="6" w:space="0"/>
            </w:tcBorders>
            <w:noWrap w:val="0"/>
            <w:vAlign w:val="center"/>
          </w:tcPr>
          <w:p w14:paraId="6592E6E2">
            <w:pPr>
              <w:snapToGrid w:val="0"/>
              <w:spacing w:before="295" w:after="295" w:line="360" w:lineRule="auto"/>
              <w:jc w:val="center"/>
              <w:rPr>
                <w:color w:val="000000" w:themeColor="text1"/>
                <w:sz w:val="24"/>
                <w:highlight w:val="none"/>
                <w14:textFill>
                  <w14:solidFill>
                    <w14:schemeClr w14:val="tx1"/>
                  </w14:solidFill>
                </w14:textFill>
              </w:rPr>
            </w:pPr>
          </w:p>
        </w:tc>
        <w:tc>
          <w:tcPr>
            <w:tcW w:w="1440"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14:paraId="0391BA90">
            <w:pPr>
              <w:snapToGrid w:val="0"/>
              <w:spacing w:before="295" w:after="295" w:line="360" w:lineRule="auto"/>
              <w:jc w:val="center"/>
              <w:rPr>
                <w:color w:val="000000" w:themeColor="text1"/>
                <w:sz w:val="24"/>
                <w:highlight w:val="none"/>
                <w14:textFill>
                  <w14:solidFill>
                    <w14:schemeClr w14:val="tx1"/>
                  </w14:solidFill>
                </w14:textFill>
              </w:rPr>
            </w:pPr>
          </w:p>
        </w:tc>
        <w:tc>
          <w:tcPr>
            <w:tcW w:w="1440" w:type="dxa"/>
            <w:tcBorders>
              <w:top w:val="single" w:color="auto" w:sz="6" w:space="0"/>
              <w:left w:val="single" w:color="auto" w:sz="6" w:space="0"/>
              <w:bottom w:val="single" w:color="auto" w:sz="6" w:space="0"/>
              <w:right w:val="single" w:color="auto" w:sz="2" w:space="0"/>
            </w:tcBorders>
            <w:noWrap w:val="0"/>
            <w:vAlign w:val="center"/>
          </w:tcPr>
          <w:p w14:paraId="0AACCD3C">
            <w:pPr>
              <w:snapToGrid w:val="0"/>
              <w:spacing w:before="295" w:after="295" w:line="360" w:lineRule="auto"/>
              <w:rPr>
                <w:color w:val="000000" w:themeColor="text1"/>
                <w:sz w:val="24"/>
                <w:highlight w:val="none"/>
                <w14:textFill>
                  <w14:solidFill>
                    <w14:schemeClr w14:val="tx1"/>
                  </w14:solidFill>
                </w14:textFill>
              </w:rPr>
            </w:pP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w:t>
            </w:r>
          </w:p>
        </w:tc>
        <w:tc>
          <w:tcPr>
            <w:tcW w:w="1440" w:type="dxa"/>
            <w:tcBorders>
              <w:top w:val="single" w:color="auto" w:sz="6" w:space="0"/>
              <w:left w:val="single" w:color="auto" w:sz="6" w:space="0"/>
              <w:bottom w:val="single" w:color="auto" w:sz="6" w:space="0"/>
              <w:right w:val="single" w:color="auto" w:sz="2" w:space="0"/>
            </w:tcBorders>
            <w:noWrap w:val="0"/>
            <w:vAlign w:val="top"/>
          </w:tcPr>
          <w:p w14:paraId="00E8A3C0">
            <w:pPr>
              <w:snapToGrid w:val="0"/>
              <w:spacing w:before="295" w:after="295" w:line="360" w:lineRule="auto"/>
              <w:jc w:val="center"/>
              <w:rPr>
                <w:color w:val="000000" w:themeColor="text1"/>
                <w:sz w:val="24"/>
                <w:highlight w:val="none"/>
                <w:u w:val="single"/>
                <w14:textFill>
                  <w14:solidFill>
                    <w14:schemeClr w14:val="tx1"/>
                  </w14:solidFill>
                </w14:textFill>
              </w:rPr>
            </w:pPr>
          </w:p>
        </w:tc>
      </w:tr>
      <w:tr w14:paraId="2468D1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35"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14:paraId="12818570">
            <w:pPr>
              <w:snapToGrid w:val="0"/>
              <w:spacing w:before="295" w:after="295" w:line="360" w:lineRule="auto"/>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5</w:t>
            </w:r>
          </w:p>
        </w:tc>
        <w:tc>
          <w:tcPr>
            <w:tcW w:w="2700" w:type="dxa"/>
            <w:tcBorders>
              <w:top w:val="single" w:color="auto" w:sz="6" w:space="0"/>
              <w:left w:val="single" w:color="auto" w:sz="2" w:space="0"/>
              <w:bottom w:val="single" w:color="auto" w:sz="6" w:space="0"/>
              <w:right w:val="single" w:color="auto" w:sz="4" w:space="0"/>
            </w:tcBorders>
            <w:noWrap w:val="0"/>
            <w:vAlign w:val="center"/>
          </w:tcPr>
          <w:p w14:paraId="22F69EB1">
            <w:pPr>
              <w:snapToGrid w:val="0"/>
              <w:spacing w:before="295" w:after="295" w:line="360" w:lineRule="auto"/>
              <w:jc w:val="center"/>
              <w:rPr>
                <w:color w:val="000000" w:themeColor="text1"/>
                <w:sz w:val="24"/>
                <w:highlight w:val="none"/>
                <w14:textFill>
                  <w14:solidFill>
                    <w14:schemeClr w14:val="tx1"/>
                  </w14:solidFill>
                </w14:textFill>
              </w:rPr>
            </w:pPr>
          </w:p>
        </w:tc>
        <w:tc>
          <w:tcPr>
            <w:tcW w:w="1440" w:type="dxa"/>
            <w:tcBorders>
              <w:top w:val="single" w:color="auto" w:sz="6" w:space="0"/>
              <w:left w:val="single" w:color="auto" w:sz="4" w:space="0"/>
              <w:bottom w:val="single" w:color="auto" w:sz="6" w:space="0"/>
              <w:right w:val="single" w:color="auto" w:sz="6" w:space="0"/>
            </w:tcBorders>
            <w:noWrap w:val="0"/>
            <w:vAlign w:val="center"/>
          </w:tcPr>
          <w:p w14:paraId="72E1571A">
            <w:pPr>
              <w:snapToGrid w:val="0"/>
              <w:spacing w:before="295" w:after="295" w:line="360" w:lineRule="auto"/>
              <w:jc w:val="center"/>
              <w:rPr>
                <w:color w:val="000000" w:themeColor="text1"/>
                <w:sz w:val="24"/>
                <w:highlight w:val="none"/>
                <w14:textFill>
                  <w14:solidFill>
                    <w14:schemeClr w14:val="tx1"/>
                  </w14:solidFill>
                </w14:textFill>
              </w:rPr>
            </w:pPr>
          </w:p>
        </w:tc>
        <w:tc>
          <w:tcPr>
            <w:tcW w:w="1440"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14:paraId="59E21014">
            <w:pPr>
              <w:snapToGrid w:val="0"/>
              <w:spacing w:before="295" w:after="295" w:line="360" w:lineRule="auto"/>
              <w:jc w:val="center"/>
              <w:rPr>
                <w:color w:val="000000" w:themeColor="text1"/>
                <w:sz w:val="24"/>
                <w:highlight w:val="none"/>
                <w14:textFill>
                  <w14:solidFill>
                    <w14:schemeClr w14:val="tx1"/>
                  </w14:solidFill>
                </w14:textFill>
              </w:rPr>
            </w:pPr>
          </w:p>
        </w:tc>
        <w:tc>
          <w:tcPr>
            <w:tcW w:w="1440" w:type="dxa"/>
            <w:tcBorders>
              <w:top w:val="single" w:color="auto" w:sz="6" w:space="0"/>
              <w:left w:val="single" w:color="auto" w:sz="6" w:space="0"/>
              <w:bottom w:val="single" w:color="auto" w:sz="6" w:space="0"/>
              <w:right w:val="single" w:color="auto" w:sz="2" w:space="0"/>
            </w:tcBorders>
            <w:noWrap w:val="0"/>
            <w:vAlign w:val="center"/>
          </w:tcPr>
          <w:p w14:paraId="16C76B1B">
            <w:pPr>
              <w:snapToGrid w:val="0"/>
              <w:spacing w:before="295" w:after="295" w:line="360" w:lineRule="auto"/>
              <w:rPr>
                <w:color w:val="000000" w:themeColor="text1"/>
                <w:sz w:val="24"/>
                <w:highlight w:val="none"/>
                <w14:textFill>
                  <w14:solidFill>
                    <w14:schemeClr w14:val="tx1"/>
                  </w14:solidFill>
                </w14:textFill>
              </w:rPr>
            </w:pP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w:t>
            </w:r>
          </w:p>
        </w:tc>
        <w:tc>
          <w:tcPr>
            <w:tcW w:w="1440" w:type="dxa"/>
            <w:tcBorders>
              <w:top w:val="single" w:color="auto" w:sz="6" w:space="0"/>
              <w:left w:val="single" w:color="auto" w:sz="6" w:space="0"/>
              <w:bottom w:val="single" w:color="auto" w:sz="6" w:space="0"/>
              <w:right w:val="single" w:color="auto" w:sz="2" w:space="0"/>
            </w:tcBorders>
            <w:noWrap w:val="0"/>
            <w:vAlign w:val="top"/>
          </w:tcPr>
          <w:p w14:paraId="43CB9179">
            <w:pPr>
              <w:snapToGrid w:val="0"/>
              <w:spacing w:before="295" w:after="295" w:line="360" w:lineRule="auto"/>
              <w:jc w:val="center"/>
              <w:rPr>
                <w:color w:val="000000" w:themeColor="text1"/>
                <w:sz w:val="24"/>
                <w:highlight w:val="none"/>
                <w:u w:val="single"/>
                <w14:textFill>
                  <w14:solidFill>
                    <w14:schemeClr w14:val="tx1"/>
                  </w14:solidFill>
                </w14:textFill>
              </w:rPr>
            </w:pPr>
          </w:p>
        </w:tc>
      </w:tr>
      <w:tr w14:paraId="5A49C2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35"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14:paraId="1680A753">
            <w:pPr>
              <w:snapToGrid w:val="0"/>
              <w:spacing w:before="295" w:after="295" w:line="360" w:lineRule="auto"/>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6</w:t>
            </w:r>
          </w:p>
        </w:tc>
        <w:tc>
          <w:tcPr>
            <w:tcW w:w="2700" w:type="dxa"/>
            <w:tcBorders>
              <w:top w:val="single" w:color="auto" w:sz="6" w:space="0"/>
              <w:left w:val="single" w:color="auto" w:sz="2" w:space="0"/>
              <w:bottom w:val="single" w:color="auto" w:sz="6" w:space="0"/>
              <w:right w:val="single" w:color="auto" w:sz="4" w:space="0"/>
            </w:tcBorders>
            <w:noWrap w:val="0"/>
            <w:vAlign w:val="center"/>
          </w:tcPr>
          <w:p w14:paraId="0DA0C3F4">
            <w:pPr>
              <w:snapToGrid w:val="0"/>
              <w:spacing w:before="295" w:after="295" w:line="360" w:lineRule="auto"/>
              <w:jc w:val="center"/>
              <w:rPr>
                <w:color w:val="000000" w:themeColor="text1"/>
                <w:sz w:val="24"/>
                <w:highlight w:val="none"/>
                <w14:textFill>
                  <w14:solidFill>
                    <w14:schemeClr w14:val="tx1"/>
                  </w14:solidFill>
                </w14:textFill>
              </w:rPr>
            </w:pPr>
          </w:p>
        </w:tc>
        <w:tc>
          <w:tcPr>
            <w:tcW w:w="1440" w:type="dxa"/>
            <w:tcBorders>
              <w:top w:val="single" w:color="auto" w:sz="6" w:space="0"/>
              <w:left w:val="single" w:color="auto" w:sz="4" w:space="0"/>
              <w:bottom w:val="single" w:color="auto" w:sz="6" w:space="0"/>
              <w:right w:val="single" w:color="auto" w:sz="6" w:space="0"/>
            </w:tcBorders>
            <w:noWrap w:val="0"/>
            <w:vAlign w:val="center"/>
          </w:tcPr>
          <w:p w14:paraId="66333A0B">
            <w:pPr>
              <w:snapToGrid w:val="0"/>
              <w:spacing w:before="295" w:after="295" w:line="360" w:lineRule="auto"/>
              <w:jc w:val="center"/>
              <w:rPr>
                <w:color w:val="000000" w:themeColor="text1"/>
                <w:sz w:val="24"/>
                <w:highlight w:val="none"/>
                <w14:textFill>
                  <w14:solidFill>
                    <w14:schemeClr w14:val="tx1"/>
                  </w14:solidFill>
                </w14:textFill>
              </w:rPr>
            </w:pPr>
          </w:p>
        </w:tc>
        <w:tc>
          <w:tcPr>
            <w:tcW w:w="1440"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14:paraId="73AFC5B3">
            <w:pPr>
              <w:snapToGrid w:val="0"/>
              <w:spacing w:before="295" w:after="295" w:line="360" w:lineRule="auto"/>
              <w:jc w:val="center"/>
              <w:rPr>
                <w:color w:val="000000" w:themeColor="text1"/>
                <w:sz w:val="24"/>
                <w:highlight w:val="none"/>
                <w14:textFill>
                  <w14:solidFill>
                    <w14:schemeClr w14:val="tx1"/>
                  </w14:solidFill>
                </w14:textFill>
              </w:rPr>
            </w:pPr>
          </w:p>
        </w:tc>
        <w:tc>
          <w:tcPr>
            <w:tcW w:w="1440" w:type="dxa"/>
            <w:tcBorders>
              <w:top w:val="single" w:color="auto" w:sz="6" w:space="0"/>
              <w:left w:val="single" w:color="auto" w:sz="6" w:space="0"/>
              <w:bottom w:val="single" w:color="auto" w:sz="6" w:space="0"/>
              <w:right w:val="single" w:color="auto" w:sz="2" w:space="0"/>
            </w:tcBorders>
            <w:noWrap w:val="0"/>
            <w:vAlign w:val="center"/>
          </w:tcPr>
          <w:p w14:paraId="348E2E96">
            <w:pPr>
              <w:snapToGrid w:val="0"/>
              <w:spacing w:before="295" w:after="295" w:line="360" w:lineRule="auto"/>
              <w:rPr>
                <w:color w:val="000000" w:themeColor="text1"/>
                <w:sz w:val="24"/>
                <w:highlight w:val="none"/>
                <w14:textFill>
                  <w14:solidFill>
                    <w14:schemeClr w14:val="tx1"/>
                  </w14:solidFill>
                </w14:textFill>
              </w:rPr>
            </w:pP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w:t>
            </w:r>
          </w:p>
        </w:tc>
        <w:tc>
          <w:tcPr>
            <w:tcW w:w="1440" w:type="dxa"/>
            <w:tcBorders>
              <w:top w:val="single" w:color="auto" w:sz="6" w:space="0"/>
              <w:left w:val="single" w:color="auto" w:sz="6" w:space="0"/>
              <w:bottom w:val="single" w:color="auto" w:sz="6" w:space="0"/>
              <w:right w:val="single" w:color="auto" w:sz="2" w:space="0"/>
            </w:tcBorders>
            <w:noWrap w:val="0"/>
            <w:vAlign w:val="top"/>
          </w:tcPr>
          <w:p w14:paraId="01A5CA3F">
            <w:pPr>
              <w:snapToGrid w:val="0"/>
              <w:spacing w:before="295" w:after="295" w:line="360" w:lineRule="auto"/>
              <w:jc w:val="center"/>
              <w:rPr>
                <w:color w:val="000000" w:themeColor="text1"/>
                <w:sz w:val="24"/>
                <w:highlight w:val="none"/>
                <w:u w:val="single"/>
                <w14:textFill>
                  <w14:solidFill>
                    <w14:schemeClr w14:val="tx1"/>
                  </w14:solidFill>
                </w14:textFill>
              </w:rPr>
            </w:pPr>
          </w:p>
        </w:tc>
      </w:tr>
    </w:tbl>
    <w:p w14:paraId="34354027">
      <w:pPr>
        <w:snapToGrid w:val="0"/>
        <w:spacing w:before="120" w:beforeLines="50" w:line="360" w:lineRule="auto"/>
        <w:ind w:firstLine="200"/>
        <w:rPr>
          <w:color w:val="000000" w:themeColor="text1"/>
          <w:sz w:val="24"/>
          <w:szCs w:val="22"/>
          <w:highlight w:val="none"/>
          <w14:textFill>
            <w14:solidFill>
              <w14:schemeClr w14:val="tx1"/>
            </w14:solidFill>
          </w14:textFill>
        </w:rPr>
      </w:pPr>
      <w:r>
        <w:rPr>
          <w:rFonts w:hAnsi="宋体"/>
          <w:color w:val="000000" w:themeColor="text1"/>
          <w:sz w:val="24"/>
          <w:highlight w:val="none"/>
          <w14:textFill>
            <w14:solidFill>
              <w14:schemeClr w14:val="tx1"/>
            </w14:solidFill>
          </w14:textFill>
        </w:rPr>
        <w:t>注：上述清单之外的配件、耗材及服务，默认已包含在配置清单中，提供给采购人。</w:t>
      </w:r>
    </w:p>
    <w:p w14:paraId="12CD2C3A">
      <w:pPr>
        <w:snapToGrid w:val="0"/>
        <w:spacing w:before="50" w:after="50" w:line="360" w:lineRule="auto"/>
        <w:rPr>
          <w:color w:val="000000" w:themeColor="text1"/>
          <w:sz w:val="24"/>
          <w:highlight w:val="none"/>
          <w14:textFill>
            <w14:solidFill>
              <w14:schemeClr w14:val="tx1"/>
            </w14:solidFill>
          </w14:textFill>
        </w:rPr>
      </w:pPr>
    </w:p>
    <w:p w14:paraId="1913AFF1">
      <w:pPr>
        <w:spacing w:line="360" w:lineRule="auto"/>
        <w:jc w:val="left"/>
        <w:rPr>
          <w:color w:val="000000" w:themeColor="text1"/>
          <w:spacing w:val="20"/>
          <w:sz w:val="24"/>
          <w:highlight w:val="none"/>
          <w:u w:val="single"/>
          <w14:textFill>
            <w14:solidFill>
              <w14:schemeClr w14:val="tx1"/>
            </w14:solidFill>
          </w14:textFill>
        </w:rPr>
      </w:pPr>
      <w:r>
        <w:rPr>
          <w:rFonts w:hAnsi="宋体"/>
          <w:color w:val="000000" w:themeColor="text1"/>
          <w:sz w:val="24"/>
          <w:highlight w:val="none"/>
          <w14:textFill>
            <w14:solidFill>
              <w14:schemeClr w14:val="tx1"/>
            </w14:solidFill>
          </w14:textFill>
        </w:rPr>
        <w:t>投标人名称（电子签章）</w:t>
      </w:r>
      <w:r>
        <w:rPr>
          <w:rFonts w:hAnsi="宋体"/>
          <w:color w:val="000000" w:themeColor="text1"/>
          <w:spacing w:val="20"/>
          <w:sz w:val="24"/>
          <w:highlight w:val="none"/>
          <w14:textFill>
            <w14:solidFill>
              <w14:schemeClr w14:val="tx1"/>
            </w14:solidFill>
          </w14:textFill>
        </w:rPr>
        <w:t>：</w:t>
      </w:r>
      <w:r>
        <w:rPr>
          <w:color w:val="000000" w:themeColor="text1"/>
          <w:spacing w:val="20"/>
          <w:sz w:val="24"/>
          <w:highlight w:val="none"/>
          <w:u w:val="single"/>
          <w14:textFill>
            <w14:solidFill>
              <w14:schemeClr w14:val="tx1"/>
            </w14:solidFill>
          </w14:textFill>
        </w:rPr>
        <w:t xml:space="preserve">              </w:t>
      </w:r>
    </w:p>
    <w:p w14:paraId="0D1097F6">
      <w:pPr>
        <w:spacing w:line="360" w:lineRule="auto"/>
        <w:jc w:val="left"/>
        <w:rPr>
          <w:rFonts w:hAnsi="宋体"/>
          <w:color w:val="000000" w:themeColor="text1"/>
          <w:sz w:val="24"/>
          <w:highlight w:val="none"/>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Times New Roman" w:hAnsi="宋体" w:cs="Times New Roman"/>
          <w:color w:val="000000" w:themeColor="text1"/>
          <w:sz w:val="24"/>
          <w:highlight w:val="none"/>
          <w:lang w:val="zh-CN"/>
          <w14:textFill>
            <w14:solidFill>
              <w14:schemeClr w14:val="tx1"/>
            </w14:solidFill>
          </w14:textFill>
        </w:rPr>
        <w:t>日期</w:t>
      </w:r>
      <w:r>
        <w:rPr>
          <w:rFonts w:hint="eastAsia" w:ascii="Times New Roman" w:hAnsi="宋体" w:cs="Times New Roman"/>
          <w:color w:val="000000" w:themeColor="text1"/>
          <w:sz w:val="24"/>
          <w:highlight w:val="none"/>
          <w14:textFill>
            <w14:solidFill>
              <w14:schemeClr w14:val="tx1"/>
            </w14:solidFill>
          </w14:textFill>
        </w:rPr>
        <w:t>：</w:t>
      </w:r>
      <w:r>
        <w:rPr>
          <w:rFonts w:hint="eastAsia" w:ascii="Times New Roman" w:hAnsi="宋体" w:cs="Times New Roman"/>
          <w:color w:val="000000" w:themeColor="text1"/>
          <w:sz w:val="24"/>
          <w:highlight w:val="none"/>
          <w:lang w:val="zh-CN"/>
          <w14:textFill>
            <w14:solidFill>
              <w14:schemeClr w14:val="tx1"/>
            </w14:solidFill>
          </w14:textFill>
        </w:rPr>
        <w:t xml:space="preserve">   年   月   日</w:t>
      </w:r>
      <w:r>
        <w:rPr>
          <w:b/>
          <w:color w:val="000000" w:themeColor="text1"/>
          <w:kern w:val="0"/>
          <w:sz w:val="28"/>
          <w:szCs w:val="28"/>
          <w:highlight w:val="none"/>
          <w14:textFill>
            <w14:solidFill>
              <w14:schemeClr w14:val="tx1"/>
            </w14:solidFill>
          </w14:textFill>
        </w:rPr>
        <w:br w:type="page"/>
      </w:r>
    </w:p>
    <w:p w14:paraId="43AA126A">
      <w:pPr>
        <w:snapToGrid w:val="0"/>
        <w:spacing w:before="480" w:beforeLines="200" w:after="480" w:afterLines="200"/>
        <w:jc w:val="center"/>
        <w:rPr>
          <w:rFonts w:hint="eastAsia"/>
          <w:color w:val="000000" w:themeColor="text1"/>
          <w:highlight w:val="none"/>
          <w:lang w:eastAsia="zh-CN"/>
          <w14:textFill>
            <w14:solidFill>
              <w14:schemeClr w14:val="tx1"/>
            </w14:solidFill>
          </w14:textFill>
        </w:rPr>
      </w:pPr>
      <w:r>
        <w:rPr>
          <w:rFonts w:hint="eastAsia" w:hAnsi="宋体" w:cs="Times New Roman"/>
          <w:b/>
          <w:color w:val="000000" w:themeColor="text1"/>
          <w:kern w:val="0"/>
          <w:sz w:val="28"/>
          <w:szCs w:val="28"/>
          <w:highlight w:val="none"/>
          <w:lang w:val="en-US" w:eastAsia="zh-CN"/>
          <w14:textFill>
            <w14:solidFill>
              <w14:schemeClr w14:val="tx1"/>
            </w14:solidFill>
          </w14:textFill>
        </w:rPr>
        <w:t>十一</w:t>
      </w:r>
      <w:r>
        <w:rPr>
          <w:rFonts w:hint="eastAsia" w:ascii="Times New Roman" w:hAnsi="宋体" w:eastAsia="宋体" w:cs="Times New Roman"/>
          <w:b/>
          <w:color w:val="000000" w:themeColor="text1"/>
          <w:kern w:val="0"/>
          <w:sz w:val="28"/>
          <w:szCs w:val="28"/>
          <w:highlight w:val="none"/>
          <w:lang w:eastAsia="zh-CN"/>
          <w14:textFill>
            <w14:solidFill>
              <w14:schemeClr w14:val="tx1"/>
            </w14:solidFill>
          </w14:textFill>
        </w:rPr>
        <w:t>、质量保证及售后服务承诺书</w:t>
      </w:r>
    </w:p>
    <w:p w14:paraId="2D867E70">
      <w:pPr>
        <w:spacing w:line="324"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甲方：</w:t>
      </w:r>
    </w:p>
    <w:p w14:paraId="30E79AB0">
      <w:pPr>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乙方（承诺方/投标人）：</w:t>
      </w:r>
    </w:p>
    <w:p w14:paraId="3B5FAD53">
      <w:pPr>
        <w:spacing w:line="324" w:lineRule="auto"/>
        <w:ind w:firstLine="420" w:firstLineChars="200"/>
        <w:rPr>
          <w:rFonts w:hint="eastAsia" w:ascii="宋体" w:hAnsi="宋体" w:eastAsia="宋体" w:cs="宋体"/>
          <w:b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就贵方项目</w:t>
      </w:r>
      <w:r>
        <w:rPr>
          <w:rFonts w:hint="eastAsia" w:ascii="宋体" w:hAnsi="宋体" w:eastAsia="宋体" w:cs="宋体"/>
          <w:b w:val="0"/>
          <w:color w:val="000000" w:themeColor="text1"/>
          <w:sz w:val="21"/>
          <w:szCs w:val="21"/>
          <w:highlight w:val="none"/>
          <w:u w:val="single"/>
          <w14:textFill>
            <w14:solidFill>
              <w14:schemeClr w14:val="tx1"/>
            </w14:solidFill>
          </w14:textFill>
        </w:rPr>
        <w:t> </w:t>
      </w:r>
      <w:r>
        <w:rPr>
          <w:rFonts w:hint="eastAsia" w:ascii="宋体" w:hAnsi="宋体" w:eastAsia="宋体" w:cs="宋体"/>
          <w:b w:val="0"/>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b w:val="0"/>
          <w:color w:val="000000" w:themeColor="text1"/>
          <w:sz w:val="21"/>
          <w:szCs w:val="21"/>
          <w:highlight w:val="none"/>
          <w:u w:val="single"/>
          <w14:textFill>
            <w14:solidFill>
              <w14:schemeClr w14:val="tx1"/>
            </w14:solidFill>
          </w14:textFill>
        </w:rPr>
        <w:t> </w:t>
      </w:r>
      <w:r>
        <w:rPr>
          <w:rFonts w:hint="eastAsia" w:ascii="宋体" w:hAnsi="宋体" w:eastAsia="宋体" w:cs="宋体"/>
          <w:b w:val="0"/>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（采购编号：</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）的售后服务，我方做出以下承诺</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b w:val="0"/>
          <w:color w:val="000000" w:themeColor="text1"/>
          <w:kern w:val="2"/>
          <w:sz w:val="21"/>
          <w:szCs w:val="21"/>
          <w:highlight w:val="none"/>
          <w:lang w:val="en-US" w:eastAsia="zh-CN" w:bidi="ar-SA"/>
          <w14:textFill>
            <w14:solidFill>
              <w14:schemeClr w14:val="tx1"/>
            </w14:solidFill>
          </w14:textFill>
        </w:rPr>
        <w:t>承诺自项目中标通知发出之日起生效。</w:t>
      </w:r>
    </w:p>
    <w:p w14:paraId="3AB23056">
      <w:pPr>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1、质量保证：</w:t>
      </w:r>
    </w:p>
    <w:p w14:paraId="2C55E6F3">
      <w:pPr>
        <w:pStyle w:val="5"/>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b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b w:val="0"/>
          <w:color w:val="000000" w:themeColor="text1"/>
          <w:sz w:val="21"/>
          <w:szCs w:val="21"/>
          <w:highlight w:val="none"/>
          <w:lang w:eastAsia="zh-CN"/>
          <w14:textFill>
            <w14:solidFill>
              <w14:schemeClr w14:val="tx1"/>
            </w14:solidFill>
          </w14:textFill>
        </w:rPr>
        <w:t>保证交付的货物均为厂家原装全新出品，且检验合格，并提供合格证明资料。国产货物生产日期不超过半年，</w:t>
      </w:r>
      <w:r>
        <w:rPr>
          <w:rFonts w:hint="eastAsia" w:ascii="宋体" w:hAnsi="宋体" w:eastAsia="宋体" w:cs="宋体"/>
          <w:b w:val="0"/>
          <w:color w:val="000000" w:themeColor="text1"/>
          <w:sz w:val="21"/>
          <w:szCs w:val="21"/>
          <w:highlight w:val="none"/>
          <w:lang w:val="en-US" w:eastAsia="zh-CN"/>
          <w14:textFill>
            <w14:solidFill>
              <w14:schemeClr w14:val="tx1"/>
            </w14:solidFill>
          </w14:textFill>
        </w:rPr>
        <w:t>进口货物生产日期不超过一年，</w:t>
      </w:r>
      <w:r>
        <w:rPr>
          <w:rFonts w:hint="eastAsia" w:ascii="宋体" w:hAnsi="宋体" w:eastAsia="宋体" w:cs="宋体"/>
          <w:b w:val="0"/>
          <w:color w:val="000000" w:themeColor="text1"/>
          <w:sz w:val="21"/>
          <w:szCs w:val="21"/>
          <w:highlight w:val="none"/>
          <w:lang w:eastAsia="zh-CN"/>
          <w14:textFill>
            <w14:solidFill>
              <w14:schemeClr w14:val="tx1"/>
            </w14:solidFill>
          </w14:textFill>
        </w:rPr>
        <w:t>特殊情况经协商同意的超期除外。（以产品标签、标识或出厂证明资料为准）。</w:t>
      </w:r>
    </w:p>
    <w:p w14:paraId="1861FAEF">
      <w:pPr>
        <w:pStyle w:val="5"/>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b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val="0"/>
          <w:color w:val="000000" w:themeColor="text1"/>
          <w:sz w:val="21"/>
          <w:szCs w:val="21"/>
          <w:highlight w:val="none"/>
          <w:lang w:eastAsia="zh-CN"/>
          <w14:textFill>
            <w14:solidFill>
              <w14:schemeClr w14:val="tx1"/>
            </w14:solidFill>
          </w14:textFill>
        </w:rPr>
        <w:t>）乙方应提供</w:t>
      </w:r>
      <w:r>
        <w:rPr>
          <w:rFonts w:hint="eastAsia" w:ascii="宋体" w:hAnsi="宋体" w:eastAsia="宋体" w:cs="宋体"/>
          <w:b w:val="0"/>
          <w:color w:val="000000" w:themeColor="text1"/>
          <w:sz w:val="21"/>
          <w:szCs w:val="21"/>
          <w:highlight w:val="none"/>
          <w:u w:val="single"/>
          <w:lang w:eastAsia="zh-CN"/>
          <w14:textFill>
            <w14:solidFill>
              <w14:schemeClr w14:val="tx1"/>
            </w14:solidFill>
          </w14:textFill>
        </w:rPr>
        <w:t> </w:t>
      </w:r>
      <w:r>
        <w:rPr>
          <w:rFonts w:hint="eastAsia" w:ascii="宋体" w:hAnsi="宋体" w:eastAsia="宋体" w:cs="宋体"/>
          <w:b w:val="0"/>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b w:val="0"/>
          <w:color w:val="000000" w:themeColor="text1"/>
          <w:sz w:val="21"/>
          <w:szCs w:val="21"/>
          <w:highlight w:val="none"/>
          <w:lang w:val="en-US" w:eastAsia="zh-CN"/>
          <w14:textFill>
            <w14:solidFill>
              <w14:schemeClr w14:val="tx1"/>
            </w14:solidFill>
          </w14:textFill>
        </w:rPr>
        <w:t>年</w:t>
      </w:r>
      <w:r>
        <w:rPr>
          <w:rFonts w:hint="eastAsia" w:ascii="宋体" w:hAnsi="宋体" w:eastAsia="宋体" w:cs="宋体"/>
          <w:b w:val="0"/>
          <w:color w:val="000000" w:themeColor="text1"/>
          <w:sz w:val="21"/>
          <w:szCs w:val="21"/>
          <w:highlight w:val="none"/>
          <w:lang w:eastAsia="zh-CN"/>
          <w14:textFill>
            <w14:solidFill>
              <w14:schemeClr w14:val="tx1"/>
            </w14:solidFill>
          </w14:textFill>
        </w:rPr>
        <w:t>保修期，保修期的期限应以设备验收合格、完成培训考核后，</w:t>
      </w:r>
      <w:r>
        <w:rPr>
          <w:rFonts w:hint="eastAsia" w:ascii="宋体" w:hAnsi="宋体" w:eastAsia="宋体" w:cs="宋体"/>
          <w:b w:val="0"/>
          <w:color w:val="000000" w:themeColor="text1"/>
          <w:sz w:val="21"/>
          <w:szCs w:val="21"/>
          <w:highlight w:val="none"/>
          <w:lang w:val="en-US" w:eastAsia="zh-CN"/>
          <w14:textFill>
            <w14:solidFill>
              <w14:schemeClr w14:val="tx1"/>
            </w14:solidFill>
          </w14:textFill>
        </w:rPr>
        <w:t>以甲方验收单时间起</w:t>
      </w:r>
      <w:r>
        <w:rPr>
          <w:rFonts w:hint="eastAsia" w:ascii="宋体" w:hAnsi="宋体" w:eastAsia="宋体" w:cs="宋体"/>
          <w:b w:val="0"/>
          <w:color w:val="000000" w:themeColor="text1"/>
          <w:sz w:val="21"/>
          <w:szCs w:val="21"/>
          <w:highlight w:val="none"/>
          <w:lang w:eastAsia="zh-CN"/>
          <w14:textFill>
            <w14:solidFill>
              <w14:schemeClr w14:val="tx1"/>
            </w14:solidFill>
          </w14:textFill>
        </w:rPr>
        <w:t>计算。</w:t>
      </w:r>
    </w:p>
    <w:p w14:paraId="387C87DE">
      <w:pPr>
        <w:pStyle w:val="5"/>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color w:val="000000" w:themeColor="text1"/>
          <w:sz w:val="21"/>
          <w:szCs w:val="21"/>
          <w:highlight w:val="none"/>
          <w14:textFill>
            <w14:solidFill>
              <w14:schemeClr w14:val="tx1"/>
            </w14:solidFill>
          </w14:textFill>
        </w:rPr>
        <w:t>保修期内免费更换</w:t>
      </w:r>
      <w:r>
        <w:rPr>
          <w:rFonts w:hint="eastAsia" w:ascii="宋体" w:hAnsi="宋体" w:eastAsia="宋体" w:cs="宋体"/>
          <w:b w:val="0"/>
          <w:color w:val="000000" w:themeColor="text1"/>
          <w:sz w:val="21"/>
          <w:szCs w:val="21"/>
          <w:highlight w:val="none"/>
          <w:lang w:val="en-US" w:eastAsia="zh-CN"/>
          <w14:textFill>
            <w14:solidFill>
              <w14:schemeClr w14:val="tx1"/>
            </w14:solidFill>
          </w14:textFill>
        </w:rPr>
        <w:t>原厂全新</w:t>
      </w:r>
      <w:r>
        <w:rPr>
          <w:rFonts w:hint="eastAsia" w:ascii="宋体" w:hAnsi="宋体" w:eastAsia="宋体" w:cs="宋体"/>
          <w:b w:val="0"/>
          <w:color w:val="000000" w:themeColor="text1"/>
          <w:sz w:val="21"/>
          <w:szCs w:val="21"/>
          <w:highlight w:val="none"/>
          <w14:textFill>
            <w14:solidFill>
              <w14:schemeClr w14:val="tx1"/>
            </w14:solidFill>
          </w14:textFill>
        </w:rPr>
        <w:t>零配件及</w:t>
      </w:r>
      <w:r>
        <w:rPr>
          <w:rFonts w:hint="eastAsia" w:ascii="宋体" w:hAnsi="宋体" w:eastAsia="宋体" w:cs="宋体"/>
          <w:b w:val="0"/>
          <w:color w:val="000000" w:themeColor="text1"/>
          <w:sz w:val="21"/>
          <w:szCs w:val="21"/>
          <w:highlight w:val="none"/>
          <w:lang w:val="en-US" w:eastAsia="zh-CN"/>
          <w14:textFill>
            <w14:solidFill>
              <w14:schemeClr w14:val="tx1"/>
            </w14:solidFill>
          </w14:textFill>
        </w:rPr>
        <w:t>包含维修产生的一切费用（费用包括但不限于零配件费、人工等费用）</w:t>
      </w:r>
      <w:r>
        <w:rPr>
          <w:rFonts w:hint="eastAsia" w:ascii="宋体" w:hAnsi="宋体" w:eastAsia="宋体" w:cs="宋体"/>
          <w:b w:val="0"/>
          <w:color w:val="000000" w:themeColor="text1"/>
          <w:sz w:val="21"/>
          <w:szCs w:val="21"/>
          <w:highlight w:val="none"/>
          <w14:textFill>
            <w14:solidFill>
              <w14:schemeClr w14:val="tx1"/>
            </w14:solidFill>
          </w14:textFill>
        </w:rPr>
        <w:t>。</w:t>
      </w:r>
    </w:p>
    <w:p w14:paraId="4C7633FF">
      <w:pPr>
        <w:numPr>
          <w:ilvl w:val="0"/>
          <w:numId w:val="0"/>
        </w:numPr>
        <w:spacing w:line="360" w:lineRule="auto"/>
        <w:ind w:leftChars="0"/>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color w:val="000000" w:themeColor="text1"/>
          <w:sz w:val="21"/>
          <w:szCs w:val="21"/>
          <w:highlight w:val="none"/>
          <w14:textFill>
            <w14:solidFill>
              <w14:schemeClr w14:val="tx1"/>
            </w14:solidFill>
          </w14:textFill>
        </w:rPr>
        <w:t>设备保修期内，</w:t>
      </w:r>
      <w:r>
        <w:rPr>
          <w:rFonts w:hint="eastAsia" w:ascii="宋体" w:hAnsi="宋体" w:eastAsia="宋体" w:cs="宋体"/>
          <w:b w:val="0"/>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b w:val="0"/>
          <w:color w:val="000000" w:themeColor="text1"/>
          <w:sz w:val="21"/>
          <w:szCs w:val="21"/>
          <w:highlight w:val="none"/>
          <w14:textFill>
            <w14:solidFill>
              <w14:schemeClr w14:val="tx1"/>
            </w14:solidFill>
          </w14:textFill>
        </w:rPr>
        <w:t>要确保设备正常运行，设备的功能和技术指标达到投标文件和国家</w:t>
      </w:r>
      <w:r>
        <w:rPr>
          <w:rFonts w:hint="eastAsia" w:ascii="宋体" w:hAnsi="宋体" w:eastAsia="宋体" w:cs="宋体"/>
          <w:b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color w:val="000000" w:themeColor="text1"/>
          <w:sz w:val="21"/>
          <w:szCs w:val="21"/>
          <w:highlight w:val="none"/>
          <w:lang w:val="en-US" w:eastAsia="zh-CN"/>
          <w14:textFill>
            <w14:solidFill>
              <w14:schemeClr w14:val="tx1"/>
            </w14:solidFill>
          </w14:textFill>
        </w:rPr>
        <w:t>行业</w:t>
      </w:r>
      <w:r>
        <w:rPr>
          <w:rFonts w:hint="eastAsia" w:ascii="宋体" w:hAnsi="宋体" w:eastAsia="宋体" w:cs="宋体"/>
          <w:b w:val="0"/>
          <w:color w:val="000000" w:themeColor="text1"/>
          <w:sz w:val="21"/>
          <w:szCs w:val="21"/>
          <w:highlight w:val="none"/>
          <w14:textFill>
            <w14:solidFill>
              <w14:schemeClr w14:val="tx1"/>
            </w14:solidFill>
          </w14:textFill>
        </w:rPr>
        <w:t>相关标准。</w:t>
      </w:r>
    </w:p>
    <w:p w14:paraId="677280FB">
      <w:pPr>
        <w:pStyle w:val="16"/>
        <w:numPr>
          <w:ilvl w:val="0"/>
          <w:numId w:val="0"/>
        </w:numPr>
        <w:spacing w:line="360" w:lineRule="auto"/>
        <w:ind w:leftChars="0"/>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color w:val="000000" w:themeColor="text1"/>
          <w:sz w:val="21"/>
          <w:szCs w:val="21"/>
          <w:highlight w:val="none"/>
          <w14:textFill>
            <w14:solidFill>
              <w14:schemeClr w14:val="tx1"/>
            </w14:solidFill>
          </w14:textFill>
        </w:rPr>
        <w:t>设备保修期内，因设备任何配件出现故障或性能无法达到要求，须免费更换</w:t>
      </w:r>
      <w:r>
        <w:rPr>
          <w:rFonts w:hint="eastAsia" w:ascii="宋体" w:hAnsi="宋体" w:eastAsia="宋体" w:cs="宋体"/>
          <w:b w:val="0"/>
          <w:color w:val="000000" w:themeColor="text1"/>
          <w:sz w:val="21"/>
          <w:szCs w:val="21"/>
          <w:highlight w:val="none"/>
          <w:lang w:val="en-US" w:eastAsia="zh-CN"/>
          <w14:textFill>
            <w14:solidFill>
              <w14:schemeClr w14:val="tx1"/>
            </w14:solidFill>
          </w14:textFill>
        </w:rPr>
        <w:t>原厂</w:t>
      </w:r>
      <w:r>
        <w:rPr>
          <w:rFonts w:hint="eastAsia" w:ascii="宋体" w:hAnsi="宋体" w:eastAsia="宋体" w:cs="宋体"/>
          <w:b w:val="0"/>
          <w:color w:val="000000" w:themeColor="text1"/>
          <w:sz w:val="21"/>
          <w:szCs w:val="21"/>
          <w:highlight w:val="none"/>
          <w14:textFill>
            <w14:solidFill>
              <w14:schemeClr w14:val="tx1"/>
            </w14:solidFill>
          </w14:textFill>
        </w:rPr>
        <w:t>全新零配件，所有费用由</w:t>
      </w:r>
      <w:r>
        <w:rPr>
          <w:rFonts w:hint="eastAsia" w:ascii="宋体" w:hAnsi="宋体" w:eastAsia="宋体" w:cs="宋体"/>
          <w:b w:val="0"/>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b w:val="0"/>
          <w:color w:val="000000" w:themeColor="text1"/>
          <w:sz w:val="21"/>
          <w:szCs w:val="21"/>
          <w:highlight w:val="none"/>
          <w14:textFill>
            <w14:solidFill>
              <w14:schemeClr w14:val="tx1"/>
            </w14:solidFill>
          </w14:textFill>
        </w:rPr>
        <w:t>承担。</w:t>
      </w:r>
    </w:p>
    <w:p w14:paraId="6F747BD0">
      <w:pPr>
        <w:pStyle w:val="16"/>
        <w:numPr>
          <w:ilvl w:val="0"/>
          <w:numId w:val="0"/>
        </w:numPr>
        <w:spacing w:line="360" w:lineRule="auto"/>
        <w:ind w:leftChars="0"/>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color w:val="000000" w:themeColor="text1"/>
          <w:sz w:val="21"/>
          <w:szCs w:val="21"/>
          <w:highlight w:val="none"/>
          <w:lang w:val="en-US" w:eastAsia="zh-CN"/>
          <w14:textFill>
            <w14:solidFill>
              <w14:schemeClr w14:val="tx1"/>
            </w14:solidFill>
          </w14:textFill>
        </w:rPr>
        <w:t>6</w:t>
      </w:r>
      <w:r>
        <w:rPr>
          <w:rFonts w:hint="eastAsia" w:ascii="宋体" w:hAnsi="宋体" w:eastAsia="宋体" w:cs="宋体"/>
          <w:b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color w:val="000000" w:themeColor="text1"/>
          <w:sz w:val="21"/>
          <w:szCs w:val="21"/>
          <w:highlight w:val="none"/>
          <w14:textFill>
            <w14:solidFill>
              <w14:schemeClr w14:val="tx1"/>
            </w14:solidFill>
          </w14:textFill>
        </w:rPr>
        <w:t>设备保修期内，</w:t>
      </w:r>
      <w:r>
        <w:rPr>
          <w:rFonts w:hint="eastAsia" w:ascii="宋体" w:hAnsi="宋体" w:eastAsia="宋体" w:cs="宋体"/>
          <w:b w:val="0"/>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b w:val="0"/>
          <w:color w:val="000000" w:themeColor="text1"/>
          <w:sz w:val="21"/>
          <w:szCs w:val="21"/>
          <w:highlight w:val="none"/>
          <w14:textFill>
            <w14:solidFill>
              <w14:schemeClr w14:val="tx1"/>
            </w14:solidFill>
          </w14:textFill>
        </w:rPr>
        <w:t>承诺按照设备使用说明书要求进行保养</w:t>
      </w:r>
      <w:r>
        <w:rPr>
          <w:rFonts w:hint="eastAsia" w:ascii="宋体" w:hAnsi="宋体" w:eastAsia="宋体" w:cs="宋体"/>
          <w:b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color w:val="000000" w:themeColor="text1"/>
          <w:sz w:val="21"/>
          <w:szCs w:val="21"/>
          <w:highlight w:val="none"/>
          <w14:textFill>
            <w14:solidFill>
              <w14:schemeClr w14:val="tx1"/>
            </w14:solidFill>
          </w14:textFill>
        </w:rPr>
        <w:t>每年应提供不少于2次的预防性</w:t>
      </w:r>
      <w:r>
        <w:rPr>
          <w:rFonts w:hint="eastAsia" w:ascii="宋体" w:hAnsi="宋体" w:eastAsia="宋体" w:cs="宋体"/>
          <w:b w:val="0"/>
          <w:color w:val="000000" w:themeColor="text1"/>
          <w:sz w:val="21"/>
          <w:szCs w:val="21"/>
          <w:highlight w:val="none"/>
          <w:lang w:eastAsia="zh-CN"/>
          <w14:textFill>
            <w14:solidFill>
              <w14:schemeClr w14:val="tx1"/>
            </w14:solidFill>
          </w14:textFill>
        </w:rPr>
        <w:t>维护</w:t>
      </w:r>
      <w:r>
        <w:rPr>
          <w:rFonts w:hint="eastAsia" w:ascii="宋体" w:hAnsi="宋体" w:eastAsia="宋体" w:cs="宋体"/>
          <w:b w:val="0"/>
          <w:color w:val="000000" w:themeColor="text1"/>
          <w:sz w:val="21"/>
          <w:szCs w:val="21"/>
          <w:highlight w:val="none"/>
          <w14:textFill>
            <w14:solidFill>
              <w14:schemeClr w14:val="tx1"/>
            </w14:solidFill>
          </w14:textFill>
        </w:rPr>
        <w:t>保养</w:t>
      </w:r>
      <w:r>
        <w:rPr>
          <w:rFonts w:hint="eastAsia" w:ascii="宋体" w:hAnsi="宋体" w:eastAsia="宋体" w:cs="宋体"/>
          <w:b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color w:val="000000" w:themeColor="text1"/>
          <w:sz w:val="21"/>
          <w:szCs w:val="21"/>
          <w:highlight w:val="none"/>
          <w:lang w:val="zh-CN"/>
          <w14:textFill>
            <w14:solidFill>
              <w14:schemeClr w14:val="tx1"/>
            </w14:solidFill>
          </w14:textFill>
        </w:rPr>
        <w:t>每次PM计划时间跨度不大于1个月</w:t>
      </w:r>
      <w:r>
        <w:rPr>
          <w:rFonts w:hint="eastAsia" w:ascii="宋体" w:hAnsi="宋体" w:eastAsia="宋体" w:cs="宋体"/>
          <w:b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color w:val="000000" w:themeColor="text1"/>
          <w:sz w:val="21"/>
          <w:szCs w:val="21"/>
          <w:highlight w:val="none"/>
          <w14:textFill>
            <w14:solidFill>
              <w14:schemeClr w14:val="tx1"/>
            </w14:solidFill>
          </w14:textFill>
        </w:rPr>
        <w:t>并提供设备维修、保养详细工作报告单。</w:t>
      </w:r>
    </w:p>
    <w:p w14:paraId="39A1CFF5">
      <w:pPr>
        <w:pStyle w:val="16"/>
        <w:numPr>
          <w:ilvl w:val="0"/>
          <w:numId w:val="0"/>
        </w:numPr>
        <w:spacing w:line="360" w:lineRule="auto"/>
        <w:ind w:leftChars="0"/>
        <w:rPr>
          <w:rFonts w:hint="eastAsia" w:ascii="宋体" w:hAnsi="宋体" w:eastAsia="宋体" w:cs="宋体"/>
          <w:b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color w:val="000000" w:themeColor="text1"/>
          <w:sz w:val="21"/>
          <w:szCs w:val="21"/>
          <w:highlight w:val="none"/>
          <w:lang w:val="en-US" w:eastAsia="zh-CN"/>
          <w14:textFill>
            <w14:solidFill>
              <w14:schemeClr w14:val="tx1"/>
            </w14:solidFill>
          </w14:textFill>
        </w:rPr>
        <w:t>（7）</w:t>
      </w:r>
      <w:r>
        <w:rPr>
          <w:rFonts w:hint="eastAsia" w:ascii="宋体" w:hAnsi="宋体" w:eastAsia="宋体" w:cs="宋体"/>
          <w:b w:val="0"/>
          <w:color w:val="000000" w:themeColor="text1"/>
          <w:sz w:val="21"/>
          <w:szCs w:val="21"/>
          <w:highlight w:val="none"/>
          <w14:textFill>
            <w14:solidFill>
              <w14:schemeClr w14:val="tx1"/>
            </w14:solidFill>
          </w14:textFill>
        </w:rPr>
        <w:t>设备保修期内</w:t>
      </w:r>
      <w:r>
        <w:rPr>
          <w:rFonts w:hint="eastAsia" w:ascii="宋体" w:hAnsi="宋体" w:eastAsia="宋体" w:cs="宋体"/>
          <w:b w:val="0"/>
          <w:color w:val="000000" w:themeColor="text1"/>
          <w:sz w:val="21"/>
          <w:szCs w:val="21"/>
          <w:highlight w:val="none"/>
          <w:lang w:val="en-US" w:eastAsia="zh-CN"/>
          <w14:textFill>
            <w14:solidFill>
              <w14:schemeClr w14:val="tx1"/>
            </w14:solidFill>
          </w14:textFill>
        </w:rPr>
        <w:t>，乙方应对货物出现的质量及安全问题负责处理解决并承担一切费用（费用包括但不限于配件、人工、搬运、安装调试等费用）。</w:t>
      </w:r>
    </w:p>
    <w:p w14:paraId="70B1687F">
      <w:pPr>
        <w:numPr>
          <w:ilvl w:val="0"/>
          <w:numId w:val="0"/>
        </w:numPr>
        <w:spacing w:line="360" w:lineRule="auto"/>
        <w:ind w:leftChars="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b w:val="0"/>
          <w:color w:val="000000" w:themeColor="text1"/>
          <w:sz w:val="21"/>
          <w:szCs w:val="21"/>
          <w:highlight w:val="none"/>
          <w14:textFill>
            <w14:solidFill>
              <w14:schemeClr w14:val="tx1"/>
            </w14:solidFill>
          </w14:textFill>
        </w:rPr>
        <w:t>设备保修期内</w:t>
      </w:r>
      <w:r>
        <w:rPr>
          <w:rFonts w:hint="eastAsia" w:ascii="宋体" w:hAnsi="宋体" w:eastAsia="宋体" w:cs="宋体"/>
          <w:color w:val="000000" w:themeColor="text1"/>
          <w:sz w:val="21"/>
          <w:szCs w:val="21"/>
          <w:highlight w:val="none"/>
          <w14:textFill>
            <w14:solidFill>
              <w14:schemeClr w14:val="tx1"/>
            </w14:solidFill>
          </w14:textFill>
        </w:rPr>
        <w:t>，存在安全隐患，有可能对操作人员、患者、自身、其他设备、周边环境造成不良影响的，</w:t>
      </w:r>
      <w:r>
        <w:rPr>
          <w:rFonts w:hint="eastAsia" w:ascii="宋体" w:hAnsi="宋体" w:eastAsia="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应在获知后</w:t>
      </w:r>
      <w:r>
        <w:rPr>
          <w:rFonts w:hint="eastAsia" w:ascii="宋体" w:hAnsi="宋体" w:eastAsia="宋体" w:cs="宋体"/>
          <w:color w:val="000000" w:themeColor="text1"/>
          <w:sz w:val="21"/>
          <w:szCs w:val="21"/>
          <w:highlight w:val="none"/>
          <w:lang w:val="en-US" w:eastAsia="zh-CN"/>
          <w14:textFill>
            <w14:solidFill>
              <w14:schemeClr w14:val="tx1"/>
            </w14:solidFill>
          </w14:textFill>
        </w:rPr>
        <w:t>15日</w:t>
      </w:r>
      <w:r>
        <w:rPr>
          <w:rFonts w:hint="eastAsia" w:ascii="宋体" w:hAnsi="宋体" w:eastAsia="宋体" w:cs="宋体"/>
          <w:color w:val="000000" w:themeColor="text1"/>
          <w:sz w:val="21"/>
          <w:szCs w:val="21"/>
          <w:highlight w:val="none"/>
          <w14:textFill>
            <w14:solidFill>
              <w14:schemeClr w14:val="tx1"/>
            </w14:solidFill>
          </w14:textFill>
        </w:rPr>
        <w:t>内予以解决。未能解决，且双方无法达成一致的，应予以退货。</w:t>
      </w:r>
    </w:p>
    <w:p w14:paraId="5D1F6F1A">
      <w:pPr>
        <w:pStyle w:val="16"/>
        <w:spacing w:line="360" w:lineRule="auto"/>
        <w:ind w:left="0" w:leftChars="0" w:firstLine="0" w:firstLineChars="0"/>
        <w:rPr>
          <w:rFonts w:hint="eastAsia" w:ascii="宋体" w:hAnsi="宋体" w:eastAsia="宋体" w:cs="宋体"/>
          <w:b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color w:val="000000" w:themeColor="text1"/>
          <w:sz w:val="21"/>
          <w:szCs w:val="21"/>
          <w:highlight w:val="none"/>
          <w:lang w:val="en-US" w:eastAsia="zh-CN"/>
          <w14:textFill>
            <w14:solidFill>
              <w14:schemeClr w14:val="tx1"/>
            </w14:solidFill>
          </w14:textFill>
        </w:rPr>
        <w:t>（9）乙方未在约定时间内修复设备或同一设备经 3 次维修后仍不能稳定、可靠运行的，甲方有权要求乙方免费更换，乙方</w:t>
      </w:r>
      <w:r>
        <w:rPr>
          <w:rFonts w:hint="eastAsia" w:ascii="宋体" w:hAnsi="宋体" w:eastAsia="宋体" w:cs="宋体"/>
          <w:b w:val="0"/>
          <w:color w:val="000000" w:themeColor="text1"/>
          <w:sz w:val="21"/>
          <w:szCs w:val="21"/>
          <w:highlight w:val="none"/>
          <w14:textFill>
            <w14:solidFill>
              <w14:schemeClr w14:val="tx1"/>
            </w14:solidFill>
          </w14:textFill>
        </w:rPr>
        <w:t>需在第</w:t>
      </w:r>
      <w:r>
        <w:rPr>
          <w:rFonts w:hint="eastAsia" w:ascii="宋体" w:hAnsi="宋体" w:eastAsia="宋体" w:cs="宋体"/>
          <w:b w:val="0"/>
          <w:color w:val="000000" w:themeColor="text1"/>
          <w:sz w:val="21"/>
          <w:szCs w:val="21"/>
          <w:highlight w:val="none"/>
          <w:lang w:val="en-US" w:eastAsia="zh-CN"/>
          <w14:textFill>
            <w14:solidFill>
              <w14:schemeClr w14:val="tx1"/>
            </w14:solidFill>
          </w14:textFill>
        </w:rPr>
        <w:t>三</w:t>
      </w:r>
      <w:r>
        <w:rPr>
          <w:rFonts w:hint="eastAsia" w:ascii="宋体" w:hAnsi="宋体" w:eastAsia="宋体" w:cs="宋体"/>
          <w:b w:val="0"/>
          <w:color w:val="000000" w:themeColor="text1"/>
          <w:sz w:val="21"/>
          <w:szCs w:val="21"/>
          <w:highlight w:val="none"/>
          <w14:textFill>
            <w14:solidFill>
              <w14:schemeClr w14:val="tx1"/>
            </w14:solidFill>
          </w14:textFill>
        </w:rPr>
        <w:t>次设备故障发生后3个月内更换</w:t>
      </w:r>
      <w:r>
        <w:rPr>
          <w:rFonts w:hint="eastAsia" w:ascii="宋体" w:hAnsi="宋体" w:eastAsia="宋体" w:cs="宋体"/>
          <w:b w:val="0"/>
          <w:color w:val="000000" w:themeColor="text1"/>
          <w:sz w:val="21"/>
          <w:szCs w:val="21"/>
          <w:highlight w:val="none"/>
          <w:lang w:val="en-US" w:eastAsia="zh-CN"/>
          <w14:textFill>
            <w14:solidFill>
              <w14:schemeClr w14:val="tx1"/>
            </w14:solidFill>
          </w14:textFill>
        </w:rPr>
        <w:t>同款原厂</w:t>
      </w:r>
      <w:r>
        <w:rPr>
          <w:rFonts w:hint="eastAsia" w:ascii="宋体" w:hAnsi="宋体" w:eastAsia="宋体" w:cs="宋体"/>
          <w:b w:val="0"/>
          <w:color w:val="000000" w:themeColor="text1"/>
          <w:sz w:val="21"/>
          <w:szCs w:val="21"/>
          <w:highlight w:val="none"/>
          <w14:textFill>
            <w14:solidFill>
              <w14:schemeClr w14:val="tx1"/>
            </w14:solidFill>
          </w14:textFill>
        </w:rPr>
        <w:t>全新设备。</w:t>
      </w:r>
      <w:r>
        <w:rPr>
          <w:rFonts w:hint="eastAsia" w:ascii="宋体" w:hAnsi="宋体" w:eastAsia="宋体" w:cs="宋体"/>
          <w:b w:val="0"/>
          <w:color w:val="000000" w:themeColor="text1"/>
          <w:sz w:val="21"/>
          <w:szCs w:val="21"/>
          <w:highlight w:val="none"/>
          <w:lang w:val="en-US" w:eastAsia="zh-CN"/>
          <w14:textFill>
            <w14:solidFill>
              <w14:schemeClr w14:val="tx1"/>
            </w14:solidFill>
          </w14:textFill>
        </w:rPr>
        <w:t>返修或更换后的设备及部件保修期应重新计算，人为原因除外。</w:t>
      </w:r>
    </w:p>
    <w:p w14:paraId="7C278211">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b w:val="0"/>
          <w:color w:val="000000" w:themeColor="text1"/>
          <w:sz w:val="21"/>
          <w:szCs w:val="21"/>
          <w:highlight w:val="none"/>
          <w14:textFill>
            <w14:solidFill>
              <w14:schemeClr w14:val="tx1"/>
            </w14:solidFill>
          </w14:textFill>
        </w:rPr>
        <w:t>设备保修期内</w:t>
      </w:r>
      <w:r>
        <w:rPr>
          <w:rFonts w:hint="eastAsia" w:ascii="宋体" w:hAnsi="宋体" w:eastAsia="宋体" w:cs="宋体"/>
          <w:b w:val="0"/>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应确保开机率为9</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%以上</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按365天/年</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，如达不到要求，停机日每超过1工作日，保修期相应延长5个工作日；停机日超过20个工作日的，每超过1工作日，</w:t>
      </w:r>
      <w:r>
        <w:rPr>
          <w:rFonts w:hint="eastAsia" w:ascii="宋体" w:hAnsi="宋体" w:eastAsia="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应向</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赔偿合同总金额0.5%，但累计不超过设备合同总金额。</w:t>
      </w:r>
    </w:p>
    <w:p w14:paraId="7895BA64">
      <w:pPr>
        <w:spacing w:line="36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11</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零配件在该设备停产后保证</w:t>
      </w: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年的供应，零配件须符合或优于设备技术要求</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7A75AB0D">
      <w:pPr>
        <w:spacing w:line="360" w:lineRule="auto"/>
        <w:rPr>
          <w:rFonts w:hint="eastAsia" w:ascii="宋体" w:hAnsi="宋体" w:eastAsia="宋体" w:cs="宋体"/>
          <w:b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color w:val="000000" w:themeColor="text1"/>
          <w:sz w:val="21"/>
          <w:szCs w:val="21"/>
          <w:highlight w:val="none"/>
          <w:lang w:val="en-US" w:eastAsia="zh-CN"/>
          <w14:textFill>
            <w14:solidFill>
              <w14:schemeClr w14:val="tx1"/>
            </w14:solidFill>
          </w14:textFill>
        </w:rPr>
        <w:t>2、售后服务</w:t>
      </w:r>
    </w:p>
    <w:p w14:paraId="26533153">
      <w:pPr>
        <w:spacing w:line="360" w:lineRule="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14:textFill>
            <w14:solidFill>
              <w14:schemeClr w14:val="tx1"/>
            </w14:solidFill>
          </w14:textFill>
        </w:rPr>
        <w:t>远程技术支持：乙方应具有稳定的技术支持队伍和完善的服务支持网络，提供 24 小时技术支持服务，及时响应甲方的技术服务支持需求，提出有效的解决方案，解决甲方在货物使用过程中遇到的实际问题。</w:t>
      </w:r>
    </w:p>
    <w:p w14:paraId="53E64760">
      <w:pPr>
        <w:pStyle w:val="20"/>
        <w:spacing w:line="360" w:lineRule="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现场技术支持：对于通过电话、邮件等远程技术支持不能解决的问题</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乙方应</w:t>
      </w:r>
      <w:r>
        <w:rPr>
          <w:rFonts w:hint="eastAsia" w:ascii="宋体" w:hAnsi="宋体" w:eastAsia="宋体" w:cs="宋体"/>
          <w:color w:val="000000" w:themeColor="text1"/>
          <w:sz w:val="21"/>
          <w:szCs w:val="21"/>
          <w:highlight w:val="none"/>
          <w:lang w:val="zh-CN"/>
          <w14:textFill>
            <w14:solidFill>
              <w14:schemeClr w14:val="tx1"/>
            </w14:solidFill>
          </w14:textFill>
        </w:rPr>
        <w:t>在接报修电话后，</w:t>
      </w:r>
      <w:r>
        <w:rPr>
          <w:rFonts w:hint="eastAsia" w:ascii="宋体" w:hAnsi="宋体" w:eastAsia="宋体" w:cs="宋体"/>
          <w:color w:val="000000" w:themeColor="text1"/>
          <w:sz w:val="21"/>
          <w:szCs w:val="21"/>
          <w:highlight w:val="none"/>
          <w:lang w:val="en-US" w:eastAsia="zh-CN"/>
          <w14:textFill>
            <w14:solidFill>
              <w14:schemeClr w14:val="tx1"/>
            </w14:solidFill>
          </w14:textFill>
        </w:rPr>
        <w:t>48小时内到现场实施维修</w:t>
      </w:r>
      <w:r>
        <w:rPr>
          <w:rFonts w:hint="eastAsia" w:ascii="宋体" w:hAnsi="宋体" w:eastAsia="宋体" w:cs="宋体"/>
          <w:color w:val="000000" w:themeColor="text1"/>
          <w:sz w:val="21"/>
          <w:szCs w:val="21"/>
          <w:highlight w:val="none"/>
          <w:lang w:val="zh-CN"/>
          <w14:textFill>
            <w14:solidFill>
              <w14:schemeClr w14:val="tx1"/>
            </w14:solidFill>
          </w14:textFill>
        </w:rPr>
        <w:t>，在确定故障后，应在24小时内将维修零部件送达维修现场。</w:t>
      </w:r>
      <w:r>
        <w:rPr>
          <w:rFonts w:hint="eastAsia" w:ascii="宋体" w:hAnsi="宋体" w:eastAsia="宋体" w:cs="宋体"/>
          <w:color w:val="000000" w:themeColor="text1"/>
          <w:sz w:val="21"/>
          <w:szCs w:val="21"/>
          <w:highlight w:val="none"/>
          <w14:textFill>
            <w14:solidFill>
              <w14:schemeClr w14:val="tx1"/>
            </w14:solidFill>
          </w14:textFill>
        </w:rPr>
        <w:t>发生紧急抢修事故的，乙方应在接到甲方通知后</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24小时内到达现场抢修。</w:t>
      </w:r>
      <w:r>
        <w:rPr>
          <w:rFonts w:hint="eastAsia" w:ascii="宋体" w:hAnsi="宋体" w:eastAsia="宋体" w:cs="宋体"/>
          <w:color w:val="000000" w:themeColor="text1"/>
          <w:sz w:val="21"/>
          <w:szCs w:val="21"/>
          <w:highlight w:val="none"/>
          <w:lang w:val="zh-CN"/>
          <w14:textFill>
            <w14:solidFill>
              <w14:schemeClr w14:val="tx1"/>
            </w14:solidFill>
          </w14:textFill>
        </w:rPr>
        <w:t>单次故障修复时间不长于5个工作日。否则须在5个工作日之内提供功能完整、性能合格的备用设备。</w:t>
      </w:r>
    </w:p>
    <w:p w14:paraId="4692AF5C">
      <w:pPr>
        <w:pStyle w:val="20"/>
        <w:spacing w:line="360" w:lineRule="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技术升级支持：乙方应提供货物所配置软件的终身免费</w:t>
      </w:r>
      <w:r>
        <w:rPr>
          <w:rFonts w:hint="eastAsia" w:ascii="宋体" w:hAnsi="宋体" w:eastAsia="宋体" w:cs="宋体"/>
          <w:color w:val="000000" w:themeColor="text1"/>
          <w:sz w:val="21"/>
          <w:szCs w:val="21"/>
          <w:highlight w:val="none"/>
          <w:lang w:val="en-US" w:eastAsia="zh-CN"/>
          <w14:textFill>
            <w14:solidFill>
              <w14:schemeClr w14:val="tx1"/>
            </w14:solidFill>
          </w14:textFill>
        </w:rPr>
        <w:t>安装、</w:t>
      </w:r>
      <w:r>
        <w:rPr>
          <w:rFonts w:hint="eastAsia" w:ascii="宋体" w:hAnsi="宋体" w:eastAsia="宋体" w:cs="宋体"/>
          <w:color w:val="000000" w:themeColor="text1"/>
          <w:sz w:val="21"/>
          <w:szCs w:val="21"/>
          <w:highlight w:val="none"/>
          <w14:textFill>
            <w14:solidFill>
              <w14:schemeClr w14:val="tx1"/>
            </w14:solidFill>
          </w14:textFill>
        </w:rPr>
        <w:t>维护和升级服务，保证货物正常</w:t>
      </w:r>
      <w:r>
        <w:rPr>
          <w:rFonts w:hint="eastAsia" w:ascii="宋体" w:hAnsi="宋体" w:eastAsia="宋体" w:cs="宋体"/>
          <w:color w:val="000000" w:themeColor="text1"/>
          <w:sz w:val="21"/>
          <w:szCs w:val="21"/>
          <w:highlight w:val="none"/>
          <w:lang w:val="zh-CN"/>
          <w14:textFill>
            <w14:solidFill>
              <w14:schemeClr w14:val="tx1"/>
            </w14:solidFill>
          </w14:textFill>
        </w:rPr>
        <w:t>运行，且不影响甲方其它运行环境。</w:t>
      </w:r>
    </w:p>
    <w:p w14:paraId="27BDC49B">
      <w:pPr>
        <w:spacing w:line="360" w:lineRule="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val="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保修期届满后，乙方对本合同项下货物提供终身维修服务，且维修时只收取所需维修部件的成本费，服务内容应与保修期内的要求相一致。</w:t>
      </w:r>
    </w:p>
    <w:p w14:paraId="2007105D">
      <w:pPr>
        <w:pStyle w:val="33"/>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val="zh-CN"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提供</w:t>
      </w:r>
      <w:r>
        <w:rPr>
          <w:rFonts w:hint="eastAsia" w:ascii="宋体" w:hAnsi="宋体" w:eastAsia="宋体" w:cs="宋体"/>
          <w:color w:val="000000" w:themeColor="text1"/>
          <w:sz w:val="21"/>
          <w:szCs w:val="21"/>
          <w:highlight w:val="none"/>
          <w:lang w:val="zh-CN"/>
          <w14:textFill>
            <w14:solidFill>
              <w14:schemeClr w14:val="tx1"/>
            </w14:solidFill>
          </w14:textFill>
        </w:rPr>
        <w:t>设备维修所需的</w:t>
      </w:r>
      <w:r>
        <w:rPr>
          <w:rFonts w:hint="eastAsia" w:ascii="宋体" w:hAnsi="宋体" w:eastAsia="宋体" w:cs="宋体"/>
          <w:color w:val="000000" w:themeColor="text1"/>
          <w:sz w:val="21"/>
          <w:szCs w:val="21"/>
          <w:highlight w:val="none"/>
          <w:lang w:val="en-US" w:eastAsia="zh-CN"/>
          <w14:textFill>
            <w14:solidFill>
              <w14:schemeClr w14:val="tx1"/>
            </w14:solidFill>
          </w14:textFill>
        </w:rPr>
        <w:t>零配件/易耗品清单，</w:t>
      </w:r>
      <w:r>
        <w:rPr>
          <w:rFonts w:hint="eastAsia" w:ascii="宋体" w:hAnsi="宋体" w:eastAsia="宋体" w:cs="宋体"/>
          <w:color w:val="000000" w:themeColor="text1"/>
          <w:sz w:val="21"/>
          <w:szCs w:val="21"/>
          <w:highlight w:val="none"/>
          <w:lang w:val="zh-CN"/>
          <w14:textFill>
            <w14:solidFill>
              <w14:schemeClr w14:val="tx1"/>
            </w14:solidFill>
          </w14:textFill>
        </w:rPr>
        <w:t>在设备使用过程，如需更换，按不高于下表的价格执行。</w:t>
      </w:r>
      <w:r>
        <w:rPr>
          <w:rFonts w:hint="eastAsia" w:ascii="宋体" w:hAnsi="宋体" w:eastAsia="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lang w:val="zh-CN"/>
          <w14:textFill>
            <w14:solidFill>
              <w14:schemeClr w14:val="tx1"/>
            </w14:solidFill>
          </w14:textFill>
        </w:rPr>
        <w:t>必须如实填报</w:t>
      </w:r>
      <w:r>
        <w:rPr>
          <w:rFonts w:hint="eastAsia" w:ascii="宋体" w:hAnsi="宋体" w:eastAsia="宋体" w:cs="宋体"/>
          <w:color w:val="000000" w:themeColor="text1"/>
          <w:sz w:val="21"/>
          <w:szCs w:val="21"/>
          <w:highlight w:val="none"/>
          <w:lang w:val="en-US" w:eastAsia="zh-CN"/>
          <w14:textFill>
            <w14:solidFill>
              <w14:schemeClr w14:val="tx1"/>
            </w14:solidFill>
          </w14:textFill>
        </w:rPr>
        <w:t>下表</w:t>
      </w:r>
      <w:r>
        <w:rPr>
          <w:rFonts w:hint="eastAsia" w:ascii="宋体" w:hAnsi="宋体" w:eastAsia="宋体" w:cs="宋体"/>
          <w:color w:val="000000" w:themeColor="text1"/>
          <w:sz w:val="21"/>
          <w:szCs w:val="21"/>
          <w:highlight w:val="none"/>
          <w:lang w:val="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如有漏项，在货物使用期内</w:t>
      </w:r>
      <w:r>
        <w:rPr>
          <w:rFonts w:hint="eastAsia" w:ascii="宋体" w:hAnsi="宋体" w:eastAsia="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自愿承担漏项</w:t>
      </w:r>
      <w:r>
        <w:rPr>
          <w:rFonts w:hint="eastAsia" w:ascii="宋体" w:hAnsi="宋体" w:eastAsia="宋体" w:cs="宋体"/>
          <w:color w:val="000000" w:themeColor="text1"/>
          <w:sz w:val="21"/>
          <w:szCs w:val="21"/>
          <w:highlight w:val="none"/>
          <w:lang w:val="en-US" w:eastAsia="zh-CN"/>
          <w14:textFill>
            <w14:solidFill>
              <w14:schemeClr w14:val="tx1"/>
            </w14:solidFill>
          </w14:textFill>
        </w:rPr>
        <w:t>零配件及易耗</w:t>
      </w:r>
      <w:r>
        <w:rPr>
          <w:rFonts w:hint="eastAsia" w:ascii="宋体" w:hAnsi="宋体" w:eastAsia="宋体" w:cs="宋体"/>
          <w:color w:val="000000" w:themeColor="text1"/>
          <w:sz w:val="21"/>
          <w:szCs w:val="21"/>
          <w:highlight w:val="none"/>
          <w14:textFill>
            <w14:solidFill>
              <w14:schemeClr w14:val="tx1"/>
            </w14:solidFill>
          </w14:textFill>
        </w:rPr>
        <w:t>品的所有费用。</w:t>
      </w:r>
      <w:r>
        <w:rPr>
          <w:rFonts w:hint="eastAsia" w:ascii="宋体" w:hAnsi="宋体" w:eastAsia="宋体" w:cs="宋体"/>
          <w:color w:val="000000" w:themeColor="text1"/>
          <w:sz w:val="21"/>
          <w:szCs w:val="21"/>
          <w:highlight w:val="none"/>
          <w:lang w:val="zh-CN"/>
          <w14:textFill>
            <w14:solidFill>
              <w14:schemeClr w14:val="tx1"/>
            </w14:solidFill>
          </w14:textFill>
        </w:rPr>
        <w:t>（低价值零部件</w:t>
      </w:r>
      <w:r>
        <w:rPr>
          <w:rFonts w:hint="eastAsia" w:ascii="宋体" w:hAnsi="宋体" w:eastAsia="宋体" w:cs="宋体"/>
          <w:color w:val="000000" w:themeColor="text1"/>
          <w:sz w:val="21"/>
          <w:szCs w:val="21"/>
          <w:highlight w:val="none"/>
          <w:lang w:val="en-US" w:eastAsia="zh-CN"/>
          <w14:textFill>
            <w14:solidFill>
              <w14:schemeClr w14:val="tx1"/>
            </w14:solidFill>
          </w14:textFill>
        </w:rPr>
        <w:t>/易耗品</w:t>
      </w:r>
      <w:r>
        <w:rPr>
          <w:rFonts w:hint="eastAsia" w:ascii="宋体" w:hAnsi="宋体" w:eastAsia="宋体" w:cs="宋体"/>
          <w:color w:val="000000" w:themeColor="text1"/>
          <w:sz w:val="21"/>
          <w:szCs w:val="21"/>
          <w:highlight w:val="none"/>
          <w:lang w:val="zh-CN"/>
          <w14:textFill>
            <w14:solidFill>
              <w14:schemeClr w14:val="tx1"/>
            </w14:solidFill>
          </w14:textFill>
        </w:rPr>
        <w:t>除外，低价值零部件单价不高于1000元人民币）。</w:t>
      </w:r>
    </w:p>
    <w:tbl>
      <w:tblPr>
        <w:tblStyle w:val="6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2455"/>
        <w:gridCol w:w="1671"/>
        <w:gridCol w:w="2138"/>
        <w:gridCol w:w="2140"/>
      </w:tblGrid>
      <w:tr w14:paraId="5EAB4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pct"/>
            <w:vAlign w:val="center"/>
          </w:tcPr>
          <w:p w14:paraId="0D9F6AEF">
            <w:pPr>
              <w:widowControl w:val="0"/>
              <w:spacing w:line="360" w:lineRule="auto"/>
              <w:jc w:val="center"/>
              <w:rPr>
                <w:rFonts w:hint="eastAsia" w:ascii="宋体" w:hAnsi="宋体" w:eastAsia="宋体" w:cs="宋体"/>
                <w:color w:val="000000" w:themeColor="text1"/>
                <w:sz w:val="21"/>
                <w:szCs w:val="21"/>
                <w:highlight w:val="none"/>
                <w:vertAlign w:val="baseline"/>
                <w:lang w:val="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zh-CN"/>
                <w14:textFill>
                  <w14:solidFill>
                    <w14:schemeClr w14:val="tx1"/>
                  </w14:solidFill>
                </w14:textFill>
              </w:rPr>
              <w:t>序号</w:t>
            </w:r>
          </w:p>
        </w:tc>
        <w:tc>
          <w:tcPr>
            <w:tcW w:w="1322" w:type="pct"/>
            <w:vAlign w:val="center"/>
          </w:tcPr>
          <w:p w14:paraId="179C6B30">
            <w:pPr>
              <w:widowControl w:val="0"/>
              <w:spacing w:line="360" w:lineRule="auto"/>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零配件/易耗品</w:t>
            </w:r>
          </w:p>
        </w:tc>
        <w:tc>
          <w:tcPr>
            <w:tcW w:w="900" w:type="pct"/>
            <w:vAlign w:val="center"/>
          </w:tcPr>
          <w:p w14:paraId="43F2D684">
            <w:pPr>
              <w:widowControl w:val="0"/>
              <w:spacing w:line="360" w:lineRule="auto"/>
              <w:jc w:val="center"/>
              <w:rPr>
                <w:rFonts w:hint="eastAsia" w:ascii="宋体" w:hAnsi="宋体" w:eastAsia="宋体" w:cs="宋体"/>
                <w:color w:val="000000" w:themeColor="text1"/>
                <w:sz w:val="21"/>
                <w:szCs w:val="21"/>
                <w:highlight w:val="none"/>
                <w:vertAlign w:val="baseline"/>
                <w:lang w:val="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型号和规格</w:t>
            </w:r>
          </w:p>
        </w:tc>
        <w:tc>
          <w:tcPr>
            <w:tcW w:w="1151" w:type="pct"/>
            <w:vAlign w:val="center"/>
          </w:tcPr>
          <w:p w14:paraId="4966A58F">
            <w:pPr>
              <w:widowControl w:val="0"/>
              <w:spacing w:line="240" w:lineRule="auto"/>
              <w:jc w:val="center"/>
              <w:rPr>
                <w:rFonts w:hint="eastAsia" w:ascii="宋体" w:hAnsi="宋体" w:eastAsia="宋体" w:cs="宋体"/>
                <w:color w:val="000000" w:themeColor="text1"/>
                <w:sz w:val="21"/>
                <w:szCs w:val="21"/>
                <w:highlight w:val="none"/>
                <w:vertAlign w:val="baseline"/>
                <w:lang w:val="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单价（元）</w:t>
            </w:r>
          </w:p>
        </w:tc>
        <w:tc>
          <w:tcPr>
            <w:tcW w:w="1152" w:type="pct"/>
            <w:vAlign w:val="center"/>
          </w:tcPr>
          <w:p w14:paraId="004AF5B8">
            <w:pPr>
              <w:widowControl w:val="0"/>
              <w:spacing w:line="24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单位</w:t>
            </w:r>
          </w:p>
        </w:tc>
      </w:tr>
      <w:tr w14:paraId="405AA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pct"/>
            <w:shd w:val="clear" w:color="auto" w:fill="auto"/>
            <w:vAlign w:val="center"/>
          </w:tcPr>
          <w:p w14:paraId="70E3460F">
            <w:pPr>
              <w:widowControl w:val="0"/>
              <w:spacing w:line="360" w:lineRule="auto"/>
              <w:jc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w:t>
            </w:r>
          </w:p>
        </w:tc>
        <w:tc>
          <w:tcPr>
            <w:tcW w:w="1322" w:type="pct"/>
            <w:vAlign w:val="center"/>
          </w:tcPr>
          <w:p w14:paraId="46459A4C">
            <w:pPr>
              <w:widowControl w:val="0"/>
              <w:spacing w:line="360" w:lineRule="auto"/>
              <w:jc w:val="center"/>
              <w:rPr>
                <w:rFonts w:hint="eastAsia" w:ascii="宋体" w:hAnsi="宋体" w:eastAsia="宋体" w:cs="宋体"/>
                <w:color w:val="000000" w:themeColor="text1"/>
                <w:sz w:val="21"/>
                <w:szCs w:val="21"/>
                <w:highlight w:val="none"/>
                <w:vertAlign w:val="baseline"/>
                <w:lang w:val="zh-CN"/>
                <w14:textFill>
                  <w14:solidFill>
                    <w14:schemeClr w14:val="tx1"/>
                  </w14:solidFill>
                </w14:textFill>
              </w:rPr>
            </w:pPr>
          </w:p>
        </w:tc>
        <w:tc>
          <w:tcPr>
            <w:tcW w:w="900" w:type="pct"/>
            <w:vAlign w:val="center"/>
          </w:tcPr>
          <w:p w14:paraId="54209E95">
            <w:pPr>
              <w:widowControl w:val="0"/>
              <w:spacing w:line="360" w:lineRule="auto"/>
              <w:jc w:val="center"/>
              <w:rPr>
                <w:rFonts w:hint="eastAsia" w:ascii="宋体" w:hAnsi="宋体" w:eastAsia="宋体" w:cs="宋体"/>
                <w:color w:val="000000" w:themeColor="text1"/>
                <w:sz w:val="21"/>
                <w:szCs w:val="21"/>
                <w:highlight w:val="none"/>
                <w:vertAlign w:val="baseline"/>
                <w:lang w:val="zh-CN"/>
                <w14:textFill>
                  <w14:solidFill>
                    <w14:schemeClr w14:val="tx1"/>
                  </w14:solidFill>
                </w14:textFill>
              </w:rPr>
            </w:pPr>
          </w:p>
        </w:tc>
        <w:tc>
          <w:tcPr>
            <w:tcW w:w="1151" w:type="pct"/>
            <w:vAlign w:val="center"/>
          </w:tcPr>
          <w:p w14:paraId="16342B38">
            <w:pPr>
              <w:widowControl w:val="0"/>
              <w:spacing w:line="360" w:lineRule="auto"/>
              <w:jc w:val="center"/>
              <w:rPr>
                <w:rFonts w:hint="eastAsia" w:ascii="宋体" w:hAnsi="宋体" w:eastAsia="宋体" w:cs="宋体"/>
                <w:color w:val="000000" w:themeColor="text1"/>
                <w:sz w:val="21"/>
                <w:szCs w:val="21"/>
                <w:highlight w:val="none"/>
                <w:vertAlign w:val="baseline"/>
                <w:lang w:val="zh-CN"/>
                <w14:textFill>
                  <w14:solidFill>
                    <w14:schemeClr w14:val="tx1"/>
                  </w14:solidFill>
                </w14:textFill>
              </w:rPr>
            </w:pPr>
          </w:p>
        </w:tc>
        <w:tc>
          <w:tcPr>
            <w:tcW w:w="1152" w:type="pct"/>
            <w:vAlign w:val="center"/>
          </w:tcPr>
          <w:p w14:paraId="462D9A10">
            <w:pPr>
              <w:widowControl w:val="0"/>
              <w:spacing w:line="360" w:lineRule="auto"/>
              <w:jc w:val="center"/>
              <w:rPr>
                <w:rFonts w:hint="eastAsia" w:ascii="宋体" w:hAnsi="宋体" w:eastAsia="宋体" w:cs="宋体"/>
                <w:color w:val="000000" w:themeColor="text1"/>
                <w:sz w:val="21"/>
                <w:szCs w:val="21"/>
                <w:highlight w:val="none"/>
                <w:vertAlign w:val="baseline"/>
                <w:lang w:val="zh-CN"/>
                <w14:textFill>
                  <w14:solidFill>
                    <w14:schemeClr w14:val="tx1"/>
                  </w14:solidFill>
                </w14:textFill>
              </w:rPr>
            </w:pPr>
          </w:p>
        </w:tc>
      </w:tr>
      <w:tr w14:paraId="00A3D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pct"/>
            <w:shd w:val="clear" w:color="auto" w:fill="auto"/>
            <w:vAlign w:val="center"/>
          </w:tcPr>
          <w:p w14:paraId="6228CAF8">
            <w:pPr>
              <w:widowControl w:val="0"/>
              <w:spacing w:line="360" w:lineRule="auto"/>
              <w:jc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2</w:t>
            </w:r>
          </w:p>
        </w:tc>
        <w:tc>
          <w:tcPr>
            <w:tcW w:w="1322" w:type="pct"/>
            <w:vAlign w:val="center"/>
          </w:tcPr>
          <w:p w14:paraId="02A7C3D6">
            <w:pPr>
              <w:widowControl w:val="0"/>
              <w:spacing w:line="360" w:lineRule="auto"/>
              <w:jc w:val="center"/>
              <w:rPr>
                <w:rFonts w:hint="eastAsia" w:ascii="宋体" w:hAnsi="宋体" w:eastAsia="宋体" w:cs="宋体"/>
                <w:color w:val="000000" w:themeColor="text1"/>
                <w:sz w:val="21"/>
                <w:szCs w:val="21"/>
                <w:highlight w:val="none"/>
                <w:vertAlign w:val="baseline"/>
                <w:lang w:val="zh-CN"/>
                <w14:textFill>
                  <w14:solidFill>
                    <w14:schemeClr w14:val="tx1"/>
                  </w14:solidFill>
                </w14:textFill>
              </w:rPr>
            </w:pPr>
          </w:p>
        </w:tc>
        <w:tc>
          <w:tcPr>
            <w:tcW w:w="900" w:type="pct"/>
            <w:vAlign w:val="center"/>
          </w:tcPr>
          <w:p w14:paraId="69FF6B8B">
            <w:pPr>
              <w:widowControl w:val="0"/>
              <w:spacing w:line="360" w:lineRule="auto"/>
              <w:jc w:val="center"/>
              <w:rPr>
                <w:rFonts w:hint="eastAsia" w:ascii="宋体" w:hAnsi="宋体" w:eastAsia="宋体" w:cs="宋体"/>
                <w:color w:val="000000" w:themeColor="text1"/>
                <w:sz w:val="21"/>
                <w:szCs w:val="21"/>
                <w:highlight w:val="none"/>
                <w:vertAlign w:val="baseline"/>
                <w:lang w:val="zh-CN"/>
                <w14:textFill>
                  <w14:solidFill>
                    <w14:schemeClr w14:val="tx1"/>
                  </w14:solidFill>
                </w14:textFill>
              </w:rPr>
            </w:pPr>
          </w:p>
        </w:tc>
        <w:tc>
          <w:tcPr>
            <w:tcW w:w="1151" w:type="pct"/>
            <w:vAlign w:val="center"/>
          </w:tcPr>
          <w:p w14:paraId="62BAD2E6">
            <w:pPr>
              <w:widowControl w:val="0"/>
              <w:spacing w:line="360" w:lineRule="auto"/>
              <w:jc w:val="center"/>
              <w:rPr>
                <w:rFonts w:hint="eastAsia" w:ascii="宋体" w:hAnsi="宋体" w:eastAsia="宋体" w:cs="宋体"/>
                <w:color w:val="000000" w:themeColor="text1"/>
                <w:sz w:val="21"/>
                <w:szCs w:val="21"/>
                <w:highlight w:val="none"/>
                <w:vertAlign w:val="baseline"/>
                <w:lang w:val="zh-CN"/>
                <w14:textFill>
                  <w14:solidFill>
                    <w14:schemeClr w14:val="tx1"/>
                  </w14:solidFill>
                </w14:textFill>
              </w:rPr>
            </w:pPr>
          </w:p>
        </w:tc>
        <w:tc>
          <w:tcPr>
            <w:tcW w:w="1152" w:type="pct"/>
            <w:vAlign w:val="center"/>
          </w:tcPr>
          <w:p w14:paraId="768BABA4">
            <w:pPr>
              <w:widowControl w:val="0"/>
              <w:spacing w:line="360" w:lineRule="auto"/>
              <w:jc w:val="center"/>
              <w:rPr>
                <w:rFonts w:hint="eastAsia" w:ascii="宋体" w:hAnsi="宋体" w:eastAsia="宋体" w:cs="宋体"/>
                <w:color w:val="000000" w:themeColor="text1"/>
                <w:sz w:val="21"/>
                <w:szCs w:val="21"/>
                <w:highlight w:val="none"/>
                <w:vertAlign w:val="baseline"/>
                <w:lang w:val="zh-CN"/>
                <w14:textFill>
                  <w14:solidFill>
                    <w14:schemeClr w14:val="tx1"/>
                  </w14:solidFill>
                </w14:textFill>
              </w:rPr>
            </w:pPr>
          </w:p>
        </w:tc>
      </w:tr>
      <w:tr w14:paraId="44E72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pct"/>
            <w:shd w:val="clear" w:color="auto" w:fill="auto"/>
            <w:vAlign w:val="center"/>
          </w:tcPr>
          <w:p w14:paraId="3D76380E">
            <w:pPr>
              <w:widowControl w:val="0"/>
              <w:spacing w:line="360" w:lineRule="auto"/>
              <w:jc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w:t>
            </w:r>
          </w:p>
        </w:tc>
        <w:tc>
          <w:tcPr>
            <w:tcW w:w="1322" w:type="pct"/>
            <w:vAlign w:val="center"/>
          </w:tcPr>
          <w:p w14:paraId="19590669">
            <w:pPr>
              <w:widowControl w:val="0"/>
              <w:spacing w:line="360" w:lineRule="auto"/>
              <w:jc w:val="center"/>
              <w:rPr>
                <w:rFonts w:hint="eastAsia" w:ascii="宋体" w:hAnsi="宋体" w:eastAsia="宋体" w:cs="宋体"/>
                <w:color w:val="000000" w:themeColor="text1"/>
                <w:sz w:val="21"/>
                <w:szCs w:val="21"/>
                <w:highlight w:val="none"/>
                <w:vertAlign w:val="baseline"/>
                <w:lang w:val="zh-CN"/>
                <w14:textFill>
                  <w14:solidFill>
                    <w14:schemeClr w14:val="tx1"/>
                  </w14:solidFill>
                </w14:textFill>
              </w:rPr>
            </w:pPr>
          </w:p>
        </w:tc>
        <w:tc>
          <w:tcPr>
            <w:tcW w:w="900" w:type="pct"/>
            <w:vAlign w:val="center"/>
          </w:tcPr>
          <w:p w14:paraId="43F047CF">
            <w:pPr>
              <w:widowControl w:val="0"/>
              <w:spacing w:line="360" w:lineRule="auto"/>
              <w:jc w:val="center"/>
              <w:rPr>
                <w:rFonts w:hint="eastAsia" w:ascii="宋体" w:hAnsi="宋体" w:eastAsia="宋体" w:cs="宋体"/>
                <w:color w:val="000000" w:themeColor="text1"/>
                <w:sz w:val="21"/>
                <w:szCs w:val="21"/>
                <w:highlight w:val="none"/>
                <w:vertAlign w:val="baseline"/>
                <w:lang w:val="zh-CN"/>
                <w14:textFill>
                  <w14:solidFill>
                    <w14:schemeClr w14:val="tx1"/>
                  </w14:solidFill>
                </w14:textFill>
              </w:rPr>
            </w:pPr>
          </w:p>
        </w:tc>
        <w:tc>
          <w:tcPr>
            <w:tcW w:w="1151" w:type="pct"/>
            <w:vAlign w:val="center"/>
          </w:tcPr>
          <w:p w14:paraId="6C4E3C1E">
            <w:pPr>
              <w:widowControl w:val="0"/>
              <w:spacing w:line="360" w:lineRule="auto"/>
              <w:jc w:val="center"/>
              <w:rPr>
                <w:rFonts w:hint="eastAsia" w:ascii="宋体" w:hAnsi="宋体" w:eastAsia="宋体" w:cs="宋体"/>
                <w:color w:val="000000" w:themeColor="text1"/>
                <w:sz w:val="21"/>
                <w:szCs w:val="21"/>
                <w:highlight w:val="none"/>
                <w:vertAlign w:val="baseline"/>
                <w:lang w:val="zh-CN"/>
                <w14:textFill>
                  <w14:solidFill>
                    <w14:schemeClr w14:val="tx1"/>
                  </w14:solidFill>
                </w14:textFill>
              </w:rPr>
            </w:pPr>
          </w:p>
        </w:tc>
        <w:tc>
          <w:tcPr>
            <w:tcW w:w="1152" w:type="pct"/>
            <w:vAlign w:val="center"/>
          </w:tcPr>
          <w:p w14:paraId="694A7091">
            <w:pPr>
              <w:widowControl w:val="0"/>
              <w:spacing w:line="360" w:lineRule="auto"/>
              <w:jc w:val="center"/>
              <w:rPr>
                <w:rFonts w:hint="eastAsia" w:ascii="宋体" w:hAnsi="宋体" w:eastAsia="宋体" w:cs="宋体"/>
                <w:color w:val="000000" w:themeColor="text1"/>
                <w:sz w:val="21"/>
                <w:szCs w:val="21"/>
                <w:highlight w:val="none"/>
                <w:vertAlign w:val="baseline"/>
                <w:lang w:val="zh-CN"/>
                <w14:textFill>
                  <w14:solidFill>
                    <w14:schemeClr w14:val="tx1"/>
                  </w14:solidFill>
                </w14:textFill>
              </w:rPr>
            </w:pPr>
          </w:p>
        </w:tc>
      </w:tr>
    </w:tbl>
    <w:p w14:paraId="1F1B42DE">
      <w:pPr>
        <w:spacing w:line="360" w:lineRule="auto"/>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lang w:val="zh-CN"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设备维保</w:t>
      </w:r>
      <w:r>
        <w:rPr>
          <w:rFonts w:hint="eastAsia" w:ascii="宋体" w:hAnsi="宋体" w:eastAsia="宋体" w:cs="宋体"/>
          <w:color w:val="000000" w:themeColor="text1"/>
          <w:sz w:val="21"/>
          <w:szCs w:val="21"/>
          <w:highlight w:val="none"/>
          <w:lang w:val="zh-CN" w:eastAsia="zh-CN"/>
          <w14:textFill>
            <w14:solidFill>
              <w14:schemeClr w14:val="tx1"/>
            </w14:solidFill>
          </w14:textFill>
        </w:rPr>
        <w:t>价格（</w:t>
      </w:r>
      <w:r>
        <w:rPr>
          <w:rFonts w:hint="eastAsia" w:ascii="宋体" w:hAnsi="宋体" w:eastAsia="宋体" w:cs="宋体"/>
          <w:color w:val="000000" w:themeColor="text1"/>
          <w:sz w:val="21"/>
          <w:szCs w:val="21"/>
          <w:highlight w:val="none"/>
          <w:lang w:val="en-US" w:eastAsia="zh-CN"/>
          <w14:textFill>
            <w14:solidFill>
              <w14:schemeClr w14:val="tx1"/>
            </w14:solidFill>
          </w14:textFill>
        </w:rPr>
        <w:t>过保后</w:t>
      </w:r>
      <w:r>
        <w:rPr>
          <w:rFonts w:hint="eastAsia" w:ascii="宋体" w:hAnsi="宋体" w:eastAsia="宋体" w:cs="宋体"/>
          <w:color w:val="000000" w:themeColor="text1"/>
          <w:sz w:val="21"/>
          <w:szCs w:val="21"/>
          <w:highlight w:val="none"/>
          <w:lang w:val="zh-CN" w:eastAsia="zh-CN"/>
          <w14:textFill>
            <w14:solidFill>
              <w14:schemeClr w14:val="tx1"/>
            </w14:solidFill>
          </w14:textFill>
        </w:rPr>
        <w:t>）：</w:t>
      </w:r>
    </w:p>
    <w:tbl>
      <w:tblPr>
        <w:tblStyle w:val="6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
        <w:gridCol w:w="3415"/>
        <w:gridCol w:w="2178"/>
        <w:gridCol w:w="2747"/>
      </w:tblGrid>
      <w:tr w14:paraId="6FFD1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Align w:val="center"/>
          </w:tcPr>
          <w:p w14:paraId="7A89D10A">
            <w:pPr>
              <w:widowControl w:val="0"/>
              <w:spacing w:line="360" w:lineRule="auto"/>
              <w:jc w:val="center"/>
              <w:rPr>
                <w:rFonts w:hint="eastAsia" w:ascii="宋体" w:hAnsi="宋体" w:eastAsia="宋体" w:cs="宋体"/>
                <w:color w:val="000000" w:themeColor="text1"/>
                <w:sz w:val="21"/>
                <w:szCs w:val="21"/>
                <w:highlight w:val="none"/>
                <w:vertAlign w:val="baseline"/>
                <w:lang w:val="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zh-CN"/>
                <w14:textFill>
                  <w14:solidFill>
                    <w14:schemeClr w14:val="tx1"/>
                  </w14:solidFill>
                </w14:textFill>
              </w:rPr>
              <w:t>序号</w:t>
            </w:r>
          </w:p>
        </w:tc>
        <w:tc>
          <w:tcPr>
            <w:tcW w:w="1839" w:type="pct"/>
            <w:vAlign w:val="center"/>
          </w:tcPr>
          <w:p w14:paraId="30A79730">
            <w:pPr>
              <w:widowControl w:val="0"/>
              <w:spacing w:line="360" w:lineRule="auto"/>
              <w:jc w:val="center"/>
              <w:rPr>
                <w:rFonts w:hint="eastAsia" w:ascii="宋体" w:hAnsi="宋体" w:eastAsia="宋体" w:cs="宋体"/>
                <w:color w:val="000000" w:themeColor="text1"/>
                <w:sz w:val="21"/>
                <w:szCs w:val="21"/>
                <w:highlight w:val="none"/>
                <w:vertAlign w:val="baseline"/>
                <w:lang w:val="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设备</w:t>
            </w:r>
            <w:r>
              <w:rPr>
                <w:rFonts w:hint="eastAsia" w:ascii="宋体" w:hAnsi="宋体" w:eastAsia="宋体" w:cs="宋体"/>
                <w:color w:val="000000" w:themeColor="text1"/>
                <w:sz w:val="21"/>
                <w:szCs w:val="21"/>
                <w:highlight w:val="none"/>
                <w:lang w:val="zh-CN" w:eastAsia="zh-CN"/>
                <w14:textFill>
                  <w14:solidFill>
                    <w14:schemeClr w14:val="tx1"/>
                  </w14:solidFill>
                </w14:textFill>
              </w:rPr>
              <w:t>名称</w:t>
            </w:r>
          </w:p>
        </w:tc>
        <w:tc>
          <w:tcPr>
            <w:tcW w:w="1173" w:type="pct"/>
            <w:vAlign w:val="center"/>
          </w:tcPr>
          <w:p w14:paraId="1C9C0D4D">
            <w:pPr>
              <w:widowControl w:val="0"/>
              <w:spacing w:line="360" w:lineRule="auto"/>
              <w:jc w:val="center"/>
              <w:rPr>
                <w:rFonts w:hint="eastAsia" w:ascii="宋体" w:hAnsi="宋体" w:eastAsia="宋体" w:cs="宋体"/>
                <w:color w:val="000000" w:themeColor="text1"/>
                <w:sz w:val="21"/>
                <w:szCs w:val="21"/>
                <w:highlight w:val="none"/>
                <w:vertAlign w:val="baseline"/>
                <w:lang w:val="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zh-CN"/>
                <w14:textFill>
                  <w14:solidFill>
                    <w14:schemeClr w14:val="tx1"/>
                  </w14:solidFill>
                </w14:textFill>
              </w:rPr>
              <w:t>规格型号</w:t>
            </w:r>
          </w:p>
        </w:tc>
        <w:tc>
          <w:tcPr>
            <w:tcW w:w="1479" w:type="pct"/>
            <w:vAlign w:val="center"/>
          </w:tcPr>
          <w:p w14:paraId="26A6E828">
            <w:pPr>
              <w:widowControl w:val="0"/>
              <w:spacing w:line="360" w:lineRule="auto"/>
              <w:jc w:val="center"/>
              <w:rPr>
                <w:rFonts w:hint="eastAsia" w:ascii="宋体" w:hAnsi="宋体" w:eastAsia="宋体" w:cs="宋体"/>
                <w:color w:val="000000" w:themeColor="text1"/>
                <w:sz w:val="21"/>
                <w:szCs w:val="21"/>
                <w:highlight w:val="none"/>
                <w:vertAlign w:val="baseline"/>
                <w:lang w:val="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维保</w:t>
            </w:r>
            <w:r>
              <w:rPr>
                <w:rFonts w:hint="eastAsia" w:ascii="宋体" w:hAnsi="宋体" w:eastAsia="宋体" w:cs="宋体"/>
                <w:color w:val="000000" w:themeColor="text1"/>
                <w:sz w:val="21"/>
                <w:szCs w:val="21"/>
                <w:highlight w:val="none"/>
                <w:lang w:val="zh-CN" w:eastAsia="zh-CN"/>
                <w14:textFill>
                  <w14:solidFill>
                    <w14:schemeClr w14:val="tx1"/>
                  </w14:solidFill>
                </w14:textFill>
              </w:rPr>
              <w:t>价格（元</w:t>
            </w:r>
            <w:r>
              <w:rPr>
                <w:rFonts w:hint="eastAsia" w:ascii="宋体" w:hAnsi="宋体" w:eastAsia="宋体" w:cs="宋体"/>
                <w:color w:val="000000" w:themeColor="text1"/>
                <w:sz w:val="21"/>
                <w:szCs w:val="21"/>
                <w:highlight w:val="none"/>
                <w:lang w:val="en-US" w:eastAsia="zh-CN"/>
                <w14:textFill>
                  <w14:solidFill>
                    <w14:schemeClr w14:val="tx1"/>
                  </w14:solidFill>
                </w14:textFill>
              </w:rPr>
              <w:t>/年/套</w:t>
            </w:r>
            <w:r>
              <w:rPr>
                <w:rFonts w:hint="eastAsia" w:ascii="宋体" w:hAnsi="宋体" w:eastAsia="宋体" w:cs="宋体"/>
                <w:color w:val="000000" w:themeColor="text1"/>
                <w:sz w:val="21"/>
                <w:szCs w:val="21"/>
                <w:highlight w:val="none"/>
                <w:lang w:val="zh-CN" w:eastAsia="zh-CN"/>
                <w14:textFill>
                  <w14:solidFill>
                    <w14:schemeClr w14:val="tx1"/>
                  </w14:solidFill>
                </w14:textFill>
              </w:rPr>
              <w:t>）</w:t>
            </w:r>
          </w:p>
        </w:tc>
      </w:tr>
      <w:tr w14:paraId="2D68B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Align w:val="center"/>
          </w:tcPr>
          <w:p w14:paraId="1DF7077B">
            <w:pPr>
              <w:widowControl w:val="0"/>
              <w:spacing w:line="360" w:lineRule="auto"/>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w:t>
            </w:r>
          </w:p>
        </w:tc>
        <w:tc>
          <w:tcPr>
            <w:tcW w:w="1839" w:type="pct"/>
            <w:vAlign w:val="center"/>
          </w:tcPr>
          <w:p w14:paraId="1E9D0C10">
            <w:pPr>
              <w:widowControl w:val="0"/>
              <w:spacing w:line="360" w:lineRule="auto"/>
              <w:jc w:val="center"/>
              <w:rPr>
                <w:rFonts w:hint="eastAsia" w:ascii="宋体" w:hAnsi="宋体" w:eastAsia="宋体" w:cs="宋体"/>
                <w:color w:val="000000" w:themeColor="text1"/>
                <w:sz w:val="21"/>
                <w:szCs w:val="21"/>
                <w:highlight w:val="none"/>
                <w:vertAlign w:val="baseline"/>
                <w:lang w:val="zh-CN"/>
                <w14:textFill>
                  <w14:solidFill>
                    <w14:schemeClr w14:val="tx1"/>
                  </w14:solidFill>
                </w14:textFill>
              </w:rPr>
            </w:pPr>
          </w:p>
        </w:tc>
        <w:tc>
          <w:tcPr>
            <w:tcW w:w="1173" w:type="pct"/>
            <w:vAlign w:val="center"/>
          </w:tcPr>
          <w:p w14:paraId="2EED9A89">
            <w:pPr>
              <w:widowControl w:val="0"/>
              <w:spacing w:line="360" w:lineRule="auto"/>
              <w:jc w:val="center"/>
              <w:rPr>
                <w:rFonts w:hint="eastAsia" w:ascii="宋体" w:hAnsi="宋体" w:eastAsia="宋体" w:cs="宋体"/>
                <w:color w:val="000000" w:themeColor="text1"/>
                <w:sz w:val="21"/>
                <w:szCs w:val="21"/>
                <w:highlight w:val="none"/>
                <w:vertAlign w:val="baseline"/>
                <w:lang w:val="zh-CN"/>
                <w14:textFill>
                  <w14:solidFill>
                    <w14:schemeClr w14:val="tx1"/>
                  </w14:solidFill>
                </w14:textFill>
              </w:rPr>
            </w:pPr>
          </w:p>
        </w:tc>
        <w:tc>
          <w:tcPr>
            <w:tcW w:w="1479" w:type="pct"/>
            <w:vAlign w:val="center"/>
          </w:tcPr>
          <w:p w14:paraId="709B842C">
            <w:pPr>
              <w:widowControl w:val="0"/>
              <w:spacing w:line="360" w:lineRule="auto"/>
              <w:jc w:val="center"/>
              <w:rPr>
                <w:rFonts w:hint="eastAsia" w:ascii="宋体" w:hAnsi="宋体" w:eastAsia="宋体" w:cs="宋体"/>
                <w:color w:val="000000" w:themeColor="text1"/>
                <w:sz w:val="21"/>
                <w:szCs w:val="21"/>
                <w:highlight w:val="none"/>
                <w:vertAlign w:val="baseline"/>
                <w:lang w:val="zh-CN"/>
                <w14:textFill>
                  <w14:solidFill>
                    <w14:schemeClr w14:val="tx1"/>
                  </w14:solidFill>
                </w14:textFill>
              </w:rPr>
            </w:pPr>
          </w:p>
        </w:tc>
      </w:tr>
      <w:tr w14:paraId="63D27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Align w:val="center"/>
          </w:tcPr>
          <w:p w14:paraId="3F024E8F">
            <w:pPr>
              <w:widowControl w:val="0"/>
              <w:spacing w:line="360" w:lineRule="auto"/>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2</w:t>
            </w:r>
          </w:p>
        </w:tc>
        <w:tc>
          <w:tcPr>
            <w:tcW w:w="1839" w:type="pct"/>
            <w:vAlign w:val="center"/>
          </w:tcPr>
          <w:p w14:paraId="4D265F0F">
            <w:pPr>
              <w:widowControl w:val="0"/>
              <w:spacing w:line="360" w:lineRule="auto"/>
              <w:jc w:val="center"/>
              <w:rPr>
                <w:rFonts w:hint="eastAsia" w:ascii="宋体" w:hAnsi="宋体" w:eastAsia="宋体" w:cs="宋体"/>
                <w:color w:val="000000" w:themeColor="text1"/>
                <w:sz w:val="21"/>
                <w:szCs w:val="21"/>
                <w:highlight w:val="none"/>
                <w:vertAlign w:val="baseline"/>
                <w:lang w:val="zh-CN"/>
                <w14:textFill>
                  <w14:solidFill>
                    <w14:schemeClr w14:val="tx1"/>
                  </w14:solidFill>
                </w14:textFill>
              </w:rPr>
            </w:pPr>
          </w:p>
        </w:tc>
        <w:tc>
          <w:tcPr>
            <w:tcW w:w="1173" w:type="pct"/>
            <w:vAlign w:val="center"/>
          </w:tcPr>
          <w:p w14:paraId="6B69A7F3">
            <w:pPr>
              <w:widowControl w:val="0"/>
              <w:spacing w:line="360" w:lineRule="auto"/>
              <w:jc w:val="center"/>
              <w:rPr>
                <w:rFonts w:hint="eastAsia" w:ascii="宋体" w:hAnsi="宋体" w:eastAsia="宋体" w:cs="宋体"/>
                <w:color w:val="000000" w:themeColor="text1"/>
                <w:sz w:val="21"/>
                <w:szCs w:val="21"/>
                <w:highlight w:val="none"/>
                <w:vertAlign w:val="baseline"/>
                <w:lang w:val="zh-CN"/>
                <w14:textFill>
                  <w14:solidFill>
                    <w14:schemeClr w14:val="tx1"/>
                  </w14:solidFill>
                </w14:textFill>
              </w:rPr>
            </w:pPr>
          </w:p>
        </w:tc>
        <w:tc>
          <w:tcPr>
            <w:tcW w:w="1479" w:type="pct"/>
            <w:vAlign w:val="center"/>
          </w:tcPr>
          <w:p w14:paraId="795EAE7B">
            <w:pPr>
              <w:widowControl w:val="0"/>
              <w:spacing w:line="360" w:lineRule="auto"/>
              <w:jc w:val="center"/>
              <w:rPr>
                <w:rFonts w:hint="eastAsia" w:ascii="宋体" w:hAnsi="宋体" w:eastAsia="宋体" w:cs="宋体"/>
                <w:color w:val="000000" w:themeColor="text1"/>
                <w:sz w:val="21"/>
                <w:szCs w:val="21"/>
                <w:highlight w:val="none"/>
                <w:vertAlign w:val="baseline"/>
                <w:lang w:val="zh-CN"/>
                <w14:textFill>
                  <w14:solidFill>
                    <w14:schemeClr w14:val="tx1"/>
                  </w14:solidFill>
                </w14:textFill>
              </w:rPr>
            </w:pPr>
          </w:p>
        </w:tc>
      </w:tr>
      <w:tr w14:paraId="5A885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Align w:val="center"/>
          </w:tcPr>
          <w:p w14:paraId="5A1A499E">
            <w:pPr>
              <w:widowControl w:val="0"/>
              <w:spacing w:line="360" w:lineRule="auto"/>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w:t>
            </w:r>
          </w:p>
        </w:tc>
        <w:tc>
          <w:tcPr>
            <w:tcW w:w="1839" w:type="pct"/>
            <w:vAlign w:val="center"/>
          </w:tcPr>
          <w:p w14:paraId="4FC0941D">
            <w:pPr>
              <w:widowControl w:val="0"/>
              <w:spacing w:line="360" w:lineRule="auto"/>
              <w:jc w:val="center"/>
              <w:rPr>
                <w:rFonts w:hint="eastAsia" w:ascii="宋体" w:hAnsi="宋体" w:eastAsia="宋体" w:cs="宋体"/>
                <w:color w:val="000000" w:themeColor="text1"/>
                <w:sz w:val="21"/>
                <w:szCs w:val="21"/>
                <w:highlight w:val="none"/>
                <w:vertAlign w:val="baseline"/>
                <w:lang w:val="zh-CN"/>
                <w14:textFill>
                  <w14:solidFill>
                    <w14:schemeClr w14:val="tx1"/>
                  </w14:solidFill>
                </w14:textFill>
              </w:rPr>
            </w:pPr>
          </w:p>
        </w:tc>
        <w:tc>
          <w:tcPr>
            <w:tcW w:w="1173" w:type="pct"/>
            <w:vAlign w:val="center"/>
          </w:tcPr>
          <w:p w14:paraId="6970ABC1">
            <w:pPr>
              <w:widowControl w:val="0"/>
              <w:spacing w:line="360" w:lineRule="auto"/>
              <w:jc w:val="center"/>
              <w:rPr>
                <w:rFonts w:hint="eastAsia" w:ascii="宋体" w:hAnsi="宋体" w:eastAsia="宋体" w:cs="宋体"/>
                <w:color w:val="000000" w:themeColor="text1"/>
                <w:sz w:val="21"/>
                <w:szCs w:val="21"/>
                <w:highlight w:val="none"/>
                <w:vertAlign w:val="baseline"/>
                <w:lang w:val="zh-CN"/>
                <w14:textFill>
                  <w14:solidFill>
                    <w14:schemeClr w14:val="tx1"/>
                  </w14:solidFill>
                </w14:textFill>
              </w:rPr>
            </w:pPr>
          </w:p>
        </w:tc>
        <w:tc>
          <w:tcPr>
            <w:tcW w:w="1479" w:type="pct"/>
            <w:vAlign w:val="center"/>
          </w:tcPr>
          <w:p w14:paraId="07BC83FD">
            <w:pPr>
              <w:widowControl w:val="0"/>
              <w:spacing w:line="360" w:lineRule="auto"/>
              <w:jc w:val="center"/>
              <w:rPr>
                <w:rFonts w:hint="eastAsia" w:ascii="宋体" w:hAnsi="宋体" w:eastAsia="宋体" w:cs="宋体"/>
                <w:color w:val="000000" w:themeColor="text1"/>
                <w:sz w:val="21"/>
                <w:szCs w:val="21"/>
                <w:highlight w:val="none"/>
                <w:vertAlign w:val="baseline"/>
                <w:lang w:val="zh-CN"/>
                <w14:textFill>
                  <w14:solidFill>
                    <w14:schemeClr w14:val="tx1"/>
                  </w14:solidFill>
                </w14:textFill>
              </w:rPr>
            </w:pPr>
          </w:p>
        </w:tc>
      </w:tr>
    </w:tbl>
    <w:p w14:paraId="0F927D61">
      <w:pPr>
        <w:numPr>
          <w:ilvl w:val="0"/>
          <w:numId w:val="6"/>
        </w:numPr>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甲方现已有同型号、同品牌同类货物零配件/易耗品价格约定的，乙方承诺以不高于原约定价格提供。</w:t>
      </w:r>
    </w:p>
    <w:p w14:paraId="67D84C78">
      <w:pPr>
        <w:numPr>
          <w:ilvl w:val="0"/>
          <w:numId w:val="6"/>
        </w:numPr>
        <w:spacing w:line="360" w:lineRule="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lang w:val="zh-CN"/>
          <w14:textFill>
            <w14:solidFill>
              <w14:schemeClr w14:val="tx1"/>
            </w14:solidFill>
          </w14:textFill>
        </w:rPr>
        <w:t>须无偿、实时提供设备设置、调试所需密码及权限。</w:t>
      </w:r>
    </w:p>
    <w:p w14:paraId="5CE34C28">
      <w:pPr>
        <w:spacing w:line="360" w:lineRule="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lang w:val="zh-CN" w:eastAsia="zh-CN"/>
          <w14:textFill>
            <w14:solidFill>
              <w14:schemeClr w14:val="tx1"/>
            </w14:solidFill>
          </w14:textFill>
        </w:rPr>
        <w:t>）</w:t>
      </w:r>
      <w:r>
        <w:rPr>
          <w:rFonts w:hint="eastAsia" w:ascii="宋体" w:hAnsi="宋体" w:eastAsia="宋体" w:cs="宋体"/>
          <w:color w:val="000000" w:themeColor="text1"/>
          <w:sz w:val="21"/>
          <w:szCs w:val="21"/>
          <w:highlight w:val="none"/>
          <w:lang w:val="zh-CN"/>
          <w14:textFill>
            <w14:solidFill>
              <w14:schemeClr w14:val="tx1"/>
            </w14:solidFill>
          </w14:textFill>
        </w:rPr>
        <w:t>每次完成设备维修或保养后，须</w:t>
      </w:r>
      <w:r>
        <w:rPr>
          <w:rFonts w:hint="eastAsia" w:ascii="宋体" w:hAnsi="宋体" w:eastAsia="宋体" w:cs="宋体"/>
          <w:color w:val="000000" w:themeColor="text1"/>
          <w:sz w:val="21"/>
          <w:szCs w:val="21"/>
          <w:highlight w:val="none"/>
          <w:lang w:val="en-US" w:eastAsia="zh-CN"/>
          <w14:textFill>
            <w14:solidFill>
              <w14:schemeClr w14:val="tx1"/>
            </w14:solidFill>
          </w14:textFill>
        </w:rPr>
        <w:t>在7个工作日内</w:t>
      </w:r>
      <w:r>
        <w:rPr>
          <w:rFonts w:hint="eastAsia" w:ascii="宋体" w:hAnsi="宋体" w:eastAsia="宋体" w:cs="宋体"/>
          <w:color w:val="000000" w:themeColor="text1"/>
          <w:sz w:val="21"/>
          <w:szCs w:val="21"/>
          <w:highlight w:val="none"/>
          <w14:textFill>
            <w14:solidFill>
              <w14:schemeClr w14:val="tx1"/>
            </w14:solidFill>
          </w14:textFill>
        </w:rPr>
        <w:t>向</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lang w:val="zh-CN"/>
          <w14:textFill>
            <w14:solidFill>
              <w14:schemeClr w14:val="tx1"/>
            </w14:solidFill>
          </w14:textFill>
        </w:rPr>
        <w:t>提供维修及保养的报告。</w:t>
      </w:r>
    </w:p>
    <w:p w14:paraId="42B64115">
      <w:pPr>
        <w:spacing w:line="360" w:lineRule="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lang w:val="zh-CN" w:eastAsia="zh-CN"/>
          <w14:textFill>
            <w14:solidFill>
              <w14:schemeClr w14:val="tx1"/>
            </w14:solidFill>
          </w14:textFill>
        </w:rPr>
        <w:t>）提供所有软件的备份光盘、license及所有口令信息，同时提供这些软件安装、调试及相关维护所需要的所有硬件和软件工具以及上述光盘、软件、调试等说明书。不能提供上述内容的，则现场提供所有软件终生免费安装（含硬件更换后软件重新安装调试）、调试、维护服务</w:t>
      </w:r>
      <w:r>
        <w:rPr>
          <w:rFonts w:hint="eastAsia" w:ascii="宋体" w:hAnsi="宋体" w:eastAsia="宋体" w:cs="宋体"/>
          <w:color w:val="000000" w:themeColor="text1"/>
          <w:sz w:val="21"/>
          <w:szCs w:val="21"/>
          <w:highlight w:val="none"/>
          <w:lang w:val="zh-CN"/>
          <w14:textFill>
            <w14:solidFill>
              <w14:schemeClr w14:val="tx1"/>
            </w14:solidFill>
          </w14:textFill>
        </w:rPr>
        <w:t>。</w:t>
      </w:r>
    </w:p>
    <w:p w14:paraId="25232112">
      <w:pPr>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11</w:t>
      </w:r>
      <w:r>
        <w:rPr>
          <w:rFonts w:hint="eastAsia" w:ascii="宋体" w:hAnsi="宋体" w:eastAsia="宋体" w:cs="宋体"/>
          <w:color w:val="000000" w:themeColor="text1"/>
          <w:sz w:val="21"/>
          <w:szCs w:val="21"/>
          <w:highlight w:val="none"/>
          <w:lang w:val="zh-CN"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每次维修前保证将甲方存储的数据备份，维修结束后回复原状，遵守甲方机房管理制度。</w:t>
      </w:r>
    </w:p>
    <w:p w14:paraId="14DA302D">
      <w:pPr>
        <w:pStyle w:val="58"/>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420" w:lineRule="exact"/>
        <w:ind w:firstLine="420" w:firstLineChars="20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质量保证及售后服务承诺书系合同主要义务的重要组成部分。乙方未履行本条约定，构成违约，参照合同承担违约责任。</w:t>
      </w:r>
    </w:p>
    <w:p w14:paraId="5FEE2500">
      <w:pPr>
        <w:pStyle w:val="58"/>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420" w:lineRule="exact"/>
        <w:ind w:firstLine="420" w:firstLineChars="20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承诺人：本售后服务承诺书须由投标人逐条响应承诺，并加盖公章。</w:t>
      </w:r>
    </w:p>
    <w:p w14:paraId="3C19FC3D">
      <w:pPr>
        <w:keepNext w:val="0"/>
        <w:keepLines w:val="0"/>
        <w:widowControl w:val="0"/>
        <w:suppressLineNumbers w:val="0"/>
        <w:spacing w:before="0" w:beforeAutospacing="0" w:after="0" w:afterAutospacing="0"/>
        <w:ind w:left="0" w:right="0"/>
        <w:jc w:val="both"/>
        <w:rPr>
          <w:rFonts w:hint="eastAsia" w:ascii="宋体" w:hAnsi="宋体" w:eastAsia="宋体" w:cs="宋体"/>
          <w:b w:val="0"/>
          <w:bCs/>
          <w:color w:val="000000" w:themeColor="text1"/>
          <w:kern w:val="2"/>
          <w:sz w:val="21"/>
          <w:szCs w:val="21"/>
          <w:highlight w:val="none"/>
          <w:lang w:val="en-US" w:eastAsia="zh-CN" w:bidi="ar"/>
          <w14:textFill>
            <w14:solidFill>
              <w14:schemeClr w14:val="tx1"/>
            </w14:solidFill>
          </w14:textFill>
        </w:rPr>
      </w:pPr>
    </w:p>
    <w:p w14:paraId="3B85018F">
      <w:pPr>
        <w:keepNext w:val="0"/>
        <w:keepLines w:val="0"/>
        <w:widowControl w:val="0"/>
        <w:suppressLineNumbers w:val="0"/>
        <w:spacing w:before="0" w:beforeAutospacing="0" w:after="0" w:afterAutospacing="0"/>
        <w:ind w:left="0" w:right="0"/>
        <w:jc w:val="both"/>
        <w:rPr>
          <w:rFonts w:hint="eastAsia" w:ascii="宋体" w:hAnsi="宋体" w:eastAsia="宋体" w:cs="宋体"/>
          <w:b w:val="0"/>
          <w:bCs/>
          <w:color w:val="000000" w:themeColor="text1"/>
          <w:kern w:val="2"/>
          <w:sz w:val="21"/>
          <w:szCs w:val="21"/>
          <w:highlight w:val="none"/>
          <w:lang w:val="en-US" w:eastAsia="zh-CN" w:bidi="ar"/>
          <w14:textFill>
            <w14:solidFill>
              <w14:schemeClr w14:val="tx1"/>
            </w14:solidFill>
          </w14:textFill>
        </w:rPr>
      </w:pPr>
    </w:p>
    <w:p w14:paraId="3307924B">
      <w:pPr>
        <w:spacing w:line="360" w:lineRule="auto"/>
        <w:jc w:val="right"/>
        <w:rPr>
          <w:rFonts w:hint="default" w:ascii="宋体" w:hAnsi="宋体" w:eastAsia="宋体" w:cs="宋体"/>
          <w:color w:val="000000" w:themeColor="text1"/>
          <w:sz w:val="21"/>
          <w:szCs w:val="21"/>
          <w:highlight w:val="none"/>
          <w:lang w:val="zh-CN"/>
          <w14:textFill>
            <w14:solidFill>
              <w14:schemeClr w14:val="tx1"/>
            </w14:solidFill>
          </w14:textFill>
        </w:rPr>
      </w:pPr>
    </w:p>
    <w:p w14:paraId="7ABB78CD">
      <w:pPr>
        <w:spacing w:line="360" w:lineRule="auto"/>
        <w:jc w:val="righ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投标人名称（电子签章）</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p w14:paraId="61B32449">
      <w:pPr>
        <w:spacing w:line="360" w:lineRule="auto"/>
        <w:jc w:val="righ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日期：   年   月   日</w:t>
      </w:r>
    </w:p>
    <w:p w14:paraId="2D133398">
      <w:pPr>
        <w:tabs>
          <w:tab w:val="left" w:pos="6688"/>
        </w:tabs>
        <w:jc w:val="both"/>
        <w:rPr>
          <w:rFonts w:hint="default" w:eastAsia="宋体"/>
          <w:b/>
          <w:color w:val="000000" w:themeColor="text1"/>
          <w:sz w:val="28"/>
          <w:szCs w:val="28"/>
          <w:highlight w:val="none"/>
          <w:lang w:val="en-US" w:eastAsia="zh-CN"/>
          <w14:textFill>
            <w14:solidFill>
              <w14:schemeClr w14:val="tx1"/>
            </w14:solidFill>
          </w14:textFill>
        </w:rPr>
      </w:pPr>
    </w:p>
    <w:p w14:paraId="518936B5">
      <w:pPr>
        <w:keepNext w:val="0"/>
        <w:keepLines w:val="0"/>
        <w:pageBreakBefore/>
        <w:widowControl w:val="0"/>
        <w:tabs>
          <w:tab w:val="left" w:pos="6688"/>
        </w:tabs>
        <w:kinsoku/>
        <w:wordWrap/>
        <w:overflowPunct/>
        <w:topLinePunct w:val="0"/>
        <w:autoSpaceDE/>
        <w:autoSpaceDN/>
        <w:bidi w:val="0"/>
        <w:adjustRightInd w:val="0"/>
        <w:snapToGrid/>
        <w:jc w:val="center"/>
        <w:textAlignment w:val="auto"/>
        <w:rPr>
          <w:rFonts w:hint="eastAsia"/>
          <w:b/>
          <w:color w:val="000000" w:themeColor="text1"/>
          <w:sz w:val="28"/>
          <w:szCs w:val="28"/>
          <w:highlight w:val="none"/>
          <w14:textFill>
            <w14:solidFill>
              <w14:schemeClr w14:val="tx1"/>
            </w14:solidFill>
          </w14:textFill>
        </w:rPr>
      </w:pPr>
      <w:r>
        <w:rPr>
          <w:rFonts w:hint="eastAsia"/>
          <w:b/>
          <w:color w:val="000000" w:themeColor="text1"/>
          <w:sz w:val="28"/>
          <w:szCs w:val="28"/>
          <w:highlight w:val="none"/>
          <w:lang w:val="en-US" w:eastAsia="zh-CN"/>
          <w14:textFill>
            <w14:solidFill>
              <w14:schemeClr w14:val="tx1"/>
            </w14:solidFill>
          </w14:textFill>
        </w:rPr>
        <w:t>十二、</w:t>
      </w:r>
      <w:r>
        <w:rPr>
          <w:rFonts w:hint="eastAsia"/>
          <w:b/>
          <w:color w:val="000000" w:themeColor="text1"/>
          <w:sz w:val="28"/>
          <w:szCs w:val="28"/>
          <w:highlight w:val="none"/>
          <w14:textFill>
            <w14:solidFill>
              <w14:schemeClr w14:val="tx1"/>
            </w14:solidFill>
          </w14:textFill>
        </w:rPr>
        <w:t>消耗品、</w:t>
      </w:r>
      <w:r>
        <w:rPr>
          <w:rFonts w:hint="eastAsia"/>
          <w:b/>
          <w:color w:val="000000" w:themeColor="text1"/>
          <w:sz w:val="28"/>
          <w:szCs w:val="28"/>
          <w:highlight w:val="none"/>
          <w:lang w:eastAsia="zh-CN"/>
          <w14:textFill>
            <w14:solidFill>
              <w14:schemeClr w14:val="tx1"/>
            </w14:solidFill>
          </w14:textFill>
        </w:rPr>
        <w:t>易</w:t>
      </w:r>
      <w:r>
        <w:rPr>
          <w:rFonts w:hint="eastAsia"/>
          <w:b/>
          <w:color w:val="000000" w:themeColor="text1"/>
          <w:sz w:val="28"/>
          <w:szCs w:val="28"/>
          <w:highlight w:val="none"/>
          <w14:textFill>
            <w14:solidFill>
              <w14:schemeClr w14:val="tx1"/>
            </w14:solidFill>
          </w14:textFill>
        </w:rPr>
        <w:t>耗品</w:t>
      </w:r>
      <w:r>
        <w:rPr>
          <w:rFonts w:hint="eastAsia"/>
          <w:b/>
          <w:color w:val="000000" w:themeColor="text1"/>
          <w:sz w:val="28"/>
          <w:szCs w:val="28"/>
          <w:highlight w:val="none"/>
          <w:lang w:eastAsia="zh-CN"/>
          <w14:textFill>
            <w14:solidFill>
              <w14:schemeClr w14:val="tx1"/>
            </w14:solidFill>
          </w14:textFill>
        </w:rPr>
        <w:t>、</w:t>
      </w:r>
      <w:r>
        <w:rPr>
          <w:rFonts w:hint="eastAsia"/>
          <w:b/>
          <w:color w:val="000000" w:themeColor="text1"/>
          <w:sz w:val="28"/>
          <w:szCs w:val="28"/>
          <w:highlight w:val="none"/>
          <w14:textFill>
            <w14:solidFill>
              <w14:schemeClr w14:val="tx1"/>
            </w14:solidFill>
          </w14:textFill>
        </w:rPr>
        <w:t>备品备件购买价格清单</w:t>
      </w:r>
    </w:p>
    <w:p w14:paraId="18C45AE8">
      <w:pPr>
        <w:rPr>
          <w:rFonts w:hint="eastAsia"/>
          <w:color w:val="000000" w:themeColor="text1"/>
          <w:highlight w:val="none"/>
          <w14:textFill>
            <w14:solidFill>
              <w14:schemeClr w14:val="tx1"/>
            </w14:solidFill>
          </w14:textFill>
        </w:rPr>
      </w:pPr>
    </w:p>
    <w:tbl>
      <w:tblPr>
        <w:tblStyle w:val="6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25"/>
        <w:gridCol w:w="825"/>
        <w:gridCol w:w="825"/>
        <w:gridCol w:w="825"/>
        <w:gridCol w:w="826"/>
        <w:gridCol w:w="826"/>
        <w:gridCol w:w="826"/>
        <w:gridCol w:w="826"/>
        <w:gridCol w:w="826"/>
        <w:gridCol w:w="833"/>
        <w:gridCol w:w="833"/>
      </w:tblGrid>
      <w:tr w14:paraId="2C1D6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6" w:hRule="atLeast"/>
          <w:jc w:val="center"/>
        </w:trPr>
        <w:tc>
          <w:tcPr>
            <w:tcW w:w="453" w:type="pct"/>
            <w:tcBorders>
              <w:tl2br w:val="nil"/>
              <w:tr2bl w:val="nil"/>
            </w:tcBorders>
            <w:noWrap w:val="0"/>
            <w:tcMar>
              <w:top w:w="15" w:type="dxa"/>
              <w:left w:w="15" w:type="dxa"/>
              <w:bottom w:w="0" w:type="dxa"/>
              <w:right w:w="15" w:type="dxa"/>
            </w:tcMar>
            <w:vAlign w:val="center"/>
          </w:tcPr>
          <w:p w14:paraId="781BA386">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序号</w:t>
            </w:r>
          </w:p>
        </w:tc>
        <w:tc>
          <w:tcPr>
            <w:tcW w:w="453" w:type="pct"/>
            <w:tcBorders>
              <w:tl2br w:val="nil"/>
              <w:tr2bl w:val="nil"/>
            </w:tcBorders>
            <w:noWrap w:val="0"/>
            <w:tcMar>
              <w:top w:w="15" w:type="dxa"/>
              <w:left w:w="15" w:type="dxa"/>
              <w:bottom w:w="0" w:type="dxa"/>
              <w:right w:w="15" w:type="dxa"/>
            </w:tcMar>
            <w:vAlign w:val="center"/>
          </w:tcPr>
          <w:p w14:paraId="1E6452DB">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材料及部件</w:t>
            </w:r>
            <w:r>
              <w:rPr>
                <w:rFonts w:hint="eastAsia" w:ascii="宋体" w:hAnsi="宋体" w:eastAsia="宋体" w:cs="宋体"/>
                <w:color w:val="000000" w:themeColor="text1"/>
                <w:sz w:val="21"/>
                <w:szCs w:val="21"/>
                <w:highlight w:val="none"/>
                <w14:textFill>
                  <w14:solidFill>
                    <w14:schemeClr w14:val="tx1"/>
                  </w14:solidFill>
                </w14:textFill>
              </w:rPr>
              <w:t>名称</w:t>
            </w:r>
          </w:p>
        </w:tc>
        <w:tc>
          <w:tcPr>
            <w:tcW w:w="453" w:type="pct"/>
            <w:tcBorders>
              <w:tl2br w:val="nil"/>
              <w:tr2bl w:val="nil"/>
            </w:tcBorders>
            <w:noWrap w:val="0"/>
            <w:tcMar>
              <w:top w:w="15" w:type="dxa"/>
              <w:left w:w="15" w:type="dxa"/>
              <w:bottom w:w="0" w:type="dxa"/>
              <w:right w:w="15" w:type="dxa"/>
            </w:tcMar>
            <w:vAlign w:val="center"/>
          </w:tcPr>
          <w:p w14:paraId="3B2D7D2A">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数量</w:t>
            </w:r>
          </w:p>
        </w:tc>
        <w:tc>
          <w:tcPr>
            <w:tcW w:w="453" w:type="pct"/>
            <w:tcBorders>
              <w:tl2br w:val="nil"/>
              <w:tr2bl w:val="nil"/>
            </w:tcBorders>
            <w:noWrap w:val="0"/>
            <w:tcMar>
              <w:top w:w="15" w:type="dxa"/>
              <w:left w:w="15" w:type="dxa"/>
              <w:bottom w:w="0" w:type="dxa"/>
              <w:right w:w="15" w:type="dxa"/>
            </w:tcMar>
            <w:vAlign w:val="center"/>
          </w:tcPr>
          <w:p w14:paraId="51ACC628">
            <w:pPr>
              <w:snapToGrid w:val="0"/>
              <w:spacing w:before="50" w:after="50"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单位</w:t>
            </w:r>
          </w:p>
        </w:tc>
        <w:tc>
          <w:tcPr>
            <w:tcW w:w="453" w:type="pct"/>
            <w:tcBorders>
              <w:tl2br w:val="nil"/>
              <w:tr2bl w:val="nil"/>
            </w:tcBorders>
            <w:noWrap w:val="0"/>
            <w:tcMar>
              <w:top w:w="15" w:type="dxa"/>
              <w:left w:w="15" w:type="dxa"/>
              <w:bottom w:w="0" w:type="dxa"/>
              <w:right w:w="15" w:type="dxa"/>
            </w:tcMar>
            <w:vAlign w:val="center"/>
          </w:tcPr>
          <w:p w14:paraId="1265C6A0">
            <w:pPr>
              <w:snapToGrid w:val="0"/>
              <w:spacing w:before="50" w:after="50" w:line="360" w:lineRule="auto"/>
              <w:jc w:val="center"/>
              <w:rPr>
                <w:rFonts w:hint="default"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规格型号</w:t>
            </w:r>
          </w:p>
        </w:tc>
        <w:tc>
          <w:tcPr>
            <w:tcW w:w="453" w:type="pct"/>
            <w:tcBorders>
              <w:tl2br w:val="nil"/>
              <w:tr2bl w:val="nil"/>
            </w:tcBorders>
            <w:noWrap w:val="0"/>
            <w:tcMar>
              <w:top w:w="15" w:type="dxa"/>
              <w:left w:w="15" w:type="dxa"/>
              <w:bottom w:w="0" w:type="dxa"/>
              <w:right w:w="15" w:type="dxa"/>
            </w:tcMar>
            <w:vAlign w:val="center"/>
          </w:tcPr>
          <w:p w14:paraId="4E769DC4">
            <w:pPr>
              <w:snapToGrid w:val="0"/>
              <w:spacing w:before="50" w:after="50"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制造商</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产地</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品牌</w:t>
            </w:r>
          </w:p>
        </w:tc>
        <w:tc>
          <w:tcPr>
            <w:tcW w:w="453" w:type="pct"/>
            <w:tcBorders>
              <w:tl2br w:val="nil"/>
              <w:tr2bl w:val="nil"/>
            </w:tcBorders>
            <w:noWrap w:val="0"/>
            <w:tcMar>
              <w:top w:w="15" w:type="dxa"/>
              <w:left w:w="15" w:type="dxa"/>
              <w:bottom w:w="0" w:type="dxa"/>
              <w:right w:w="15" w:type="dxa"/>
            </w:tcMar>
            <w:vAlign w:val="center"/>
          </w:tcPr>
          <w:p w14:paraId="0B42AF00">
            <w:pPr>
              <w:snapToGrid w:val="0"/>
              <w:spacing w:before="50" w:after="50"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单价</w:t>
            </w:r>
          </w:p>
        </w:tc>
        <w:tc>
          <w:tcPr>
            <w:tcW w:w="453" w:type="pct"/>
            <w:tcBorders>
              <w:tl2br w:val="nil"/>
              <w:tr2bl w:val="nil"/>
            </w:tcBorders>
            <w:noWrap w:val="0"/>
            <w:tcMar>
              <w:top w:w="15" w:type="dxa"/>
              <w:left w:w="15" w:type="dxa"/>
              <w:bottom w:w="0" w:type="dxa"/>
              <w:right w:w="15" w:type="dxa"/>
            </w:tcMar>
            <w:vAlign w:val="center"/>
          </w:tcPr>
          <w:p w14:paraId="3D2127D8">
            <w:pPr>
              <w:snapToGrid w:val="0"/>
              <w:spacing w:before="50" w:after="50"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对应设备名称</w:t>
            </w:r>
          </w:p>
        </w:tc>
        <w:tc>
          <w:tcPr>
            <w:tcW w:w="453" w:type="pct"/>
            <w:tcBorders>
              <w:tl2br w:val="nil"/>
              <w:tr2bl w:val="nil"/>
            </w:tcBorders>
            <w:noWrap w:val="0"/>
            <w:tcMar>
              <w:top w:w="15" w:type="dxa"/>
              <w:left w:w="15" w:type="dxa"/>
              <w:bottom w:w="0" w:type="dxa"/>
              <w:right w:w="15" w:type="dxa"/>
            </w:tcMar>
            <w:vAlign w:val="center"/>
          </w:tcPr>
          <w:p w14:paraId="54AD8BBA">
            <w:pPr>
              <w:snapToGrid w:val="0"/>
              <w:spacing w:before="50" w:after="50"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用途</w:t>
            </w:r>
          </w:p>
        </w:tc>
        <w:tc>
          <w:tcPr>
            <w:tcW w:w="457" w:type="pct"/>
            <w:tcBorders>
              <w:tl2br w:val="nil"/>
              <w:tr2bl w:val="nil"/>
            </w:tcBorders>
            <w:noWrap w:val="0"/>
            <w:tcMar>
              <w:top w:w="15" w:type="dxa"/>
              <w:left w:w="15" w:type="dxa"/>
              <w:bottom w:w="0" w:type="dxa"/>
              <w:right w:w="15" w:type="dxa"/>
            </w:tcMar>
            <w:vAlign w:val="center"/>
          </w:tcPr>
          <w:p w14:paraId="2B91267C">
            <w:pPr>
              <w:snapToGrid w:val="0"/>
              <w:spacing w:before="50" w:after="50"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医疗器械备案/注册证号</w:t>
            </w:r>
          </w:p>
        </w:tc>
        <w:tc>
          <w:tcPr>
            <w:tcW w:w="457" w:type="pct"/>
            <w:tcBorders>
              <w:tl2br w:val="nil"/>
              <w:tr2bl w:val="nil"/>
            </w:tcBorders>
            <w:noWrap w:val="0"/>
            <w:tcMar>
              <w:top w:w="15" w:type="dxa"/>
              <w:left w:w="15" w:type="dxa"/>
              <w:bottom w:w="0" w:type="dxa"/>
              <w:right w:w="15" w:type="dxa"/>
            </w:tcMar>
            <w:vAlign w:val="center"/>
          </w:tcPr>
          <w:p w14:paraId="431B21C4">
            <w:pPr>
              <w:snapToGrid w:val="0"/>
              <w:spacing w:before="50" w:after="50" w:line="360" w:lineRule="auto"/>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两定平台产品ID</w:t>
            </w:r>
          </w:p>
        </w:tc>
      </w:tr>
      <w:tr w14:paraId="2C041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5" w:hRule="atLeast"/>
          <w:jc w:val="center"/>
        </w:trPr>
        <w:tc>
          <w:tcPr>
            <w:tcW w:w="453" w:type="pct"/>
            <w:tcBorders>
              <w:tl2br w:val="nil"/>
              <w:tr2bl w:val="nil"/>
            </w:tcBorders>
            <w:noWrap w:val="0"/>
            <w:tcMar>
              <w:top w:w="15" w:type="dxa"/>
              <w:left w:w="15" w:type="dxa"/>
              <w:bottom w:w="0" w:type="dxa"/>
              <w:right w:w="15" w:type="dxa"/>
            </w:tcMar>
            <w:vAlign w:val="center"/>
          </w:tcPr>
          <w:p w14:paraId="7AA3054A">
            <w:pPr>
              <w:snapToGrid w:val="0"/>
              <w:spacing w:before="50" w:after="50"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453" w:type="pct"/>
            <w:tcBorders>
              <w:tl2br w:val="nil"/>
              <w:tr2bl w:val="nil"/>
            </w:tcBorders>
            <w:noWrap w:val="0"/>
            <w:tcMar>
              <w:top w:w="15" w:type="dxa"/>
              <w:left w:w="15" w:type="dxa"/>
              <w:bottom w:w="0" w:type="dxa"/>
              <w:right w:w="15" w:type="dxa"/>
            </w:tcMar>
            <w:vAlign w:val="center"/>
          </w:tcPr>
          <w:p w14:paraId="66A5B280">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53" w:type="pct"/>
            <w:tcBorders>
              <w:tl2br w:val="nil"/>
              <w:tr2bl w:val="nil"/>
            </w:tcBorders>
            <w:noWrap w:val="0"/>
            <w:tcMar>
              <w:top w:w="15" w:type="dxa"/>
              <w:left w:w="15" w:type="dxa"/>
              <w:bottom w:w="0" w:type="dxa"/>
              <w:right w:w="15" w:type="dxa"/>
            </w:tcMar>
            <w:vAlign w:val="center"/>
          </w:tcPr>
          <w:p w14:paraId="591AC3FF">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53" w:type="pct"/>
            <w:tcBorders>
              <w:tl2br w:val="nil"/>
              <w:tr2bl w:val="nil"/>
            </w:tcBorders>
            <w:noWrap w:val="0"/>
            <w:tcMar>
              <w:top w:w="15" w:type="dxa"/>
              <w:left w:w="15" w:type="dxa"/>
              <w:bottom w:w="0" w:type="dxa"/>
              <w:right w:w="15" w:type="dxa"/>
            </w:tcMar>
            <w:vAlign w:val="center"/>
          </w:tcPr>
          <w:p w14:paraId="64ED8D4B">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53" w:type="pct"/>
            <w:tcBorders>
              <w:tl2br w:val="nil"/>
              <w:tr2bl w:val="nil"/>
            </w:tcBorders>
            <w:noWrap w:val="0"/>
            <w:tcMar>
              <w:top w:w="15" w:type="dxa"/>
              <w:left w:w="15" w:type="dxa"/>
              <w:bottom w:w="0" w:type="dxa"/>
              <w:right w:w="15" w:type="dxa"/>
            </w:tcMar>
            <w:vAlign w:val="center"/>
          </w:tcPr>
          <w:p w14:paraId="6D1A1BC0">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53" w:type="pct"/>
            <w:tcBorders>
              <w:tl2br w:val="nil"/>
              <w:tr2bl w:val="nil"/>
            </w:tcBorders>
            <w:noWrap w:val="0"/>
            <w:tcMar>
              <w:top w:w="15" w:type="dxa"/>
              <w:left w:w="15" w:type="dxa"/>
              <w:bottom w:w="0" w:type="dxa"/>
              <w:right w:w="15" w:type="dxa"/>
            </w:tcMar>
            <w:vAlign w:val="center"/>
          </w:tcPr>
          <w:p w14:paraId="26D92817">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53" w:type="pct"/>
            <w:tcBorders>
              <w:tl2br w:val="nil"/>
              <w:tr2bl w:val="nil"/>
            </w:tcBorders>
            <w:noWrap w:val="0"/>
            <w:tcMar>
              <w:top w:w="15" w:type="dxa"/>
              <w:left w:w="15" w:type="dxa"/>
              <w:bottom w:w="0" w:type="dxa"/>
              <w:right w:w="15" w:type="dxa"/>
            </w:tcMar>
            <w:vAlign w:val="center"/>
          </w:tcPr>
          <w:p w14:paraId="048C854C">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53" w:type="pct"/>
            <w:tcBorders>
              <w:tl2br w:val="nil"/>
              <w:tr2bl w:val="nil"/>
            </w:tcBorders>
            <w:noWrap w:val="0"/>
            <w:tcMar>
              <w:top w:w="15" w:type="dxa"/>
              <w:left w:w="15" w:type="dxa"/>
              <w:bottom w:w="0" w:type="dxa"/>
              <w:right w:w="15" w:type="dxa"/>
            </w:tcMar>
            <w:vAlign w:val="center"/>
          </w:tcPr>
          <w:p w14:paraId="505DAA0F">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53" w:type="pct"/>
            <w:tcBorders>
              <w:tl2br w:val="nil"/>
              <w:tr2bl w:val="nil"/>
            </w:tcBorders>
            <w:noWrap w:val="0"/>
            <w:tcMar>
              <w:top w:w="15" w:type="dxa"/>
              <w:left w:w="15" w:type="dxa"/>
              <w:bottom w:w="0" w:type="dxa"/>
              <w:right w:w="15" w:type="dxa"/>
            </w:tcMar>
            <w:vAlign w:val="center"/>
          </w:tcPr>
          <w:p w14:paraId="326E8E8F">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57" w:type="pct"/>
            <w:tcBorders>
              <w:tl2br w:val="nil"/>
              <w:tr2bl w:val="nil"/>
            </w:tcBorders>
            <w:noWrap w:val="0"/>
            <w:tcMar>
              <w:top w:w="15" w:type="dxa"/>
              <w:left w:w="15" w:type="dxa"/>
              <w:bottom w:w="0" w:type="dxa"/>
              <w:right w:w="15" w:type="dxa"/>
            </w:tcMar>
            <w:vAlign w:val="center"/>
          </w:tcPr>
          <w:p w14:paraId="086472C4">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57" w:type="pct"/>
            <w:tcBorders>
              <w:tl2br w:val="nil"/>
              <w:tr2bl w:val="nil"/>
            </w:tcBorders>
            <w:noWrap w:val="0"/>
            <w:tcMar>
              <w:top w:w="15" w:type="dxa"/>
              <w:left w:w="15" w:type="dxa"/>
              <w:bottom w:w="0" w:type="dxa"/>
              <w:right w:w="15" w:type="dxa"/>
            </w:tcMar>
            <w:vAlign w:val="center"/>
          </w:tcPr>
          <w:p w14:paraId="1896508B">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16D6F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5" w:hRule="atLeast"/>
          <w:jc w:val="center"/>
        </w:trPr>
        <w:tc>
          <w:tcPr>
            <w:tcW w:w="453" w:type="pct"/>
            <w:tcBorders>
              <w:tl2br w:val="nil"/>
              <w:tr2bl w:val="nil"/>
            </w:tcBorders>
            <w:noWrap w:val="0"/>
            <w:tcMar>
              <w:top w:w="15" w:type="dxa"/>
              <w:left w:w="15" w:type="dxa"/>
              <w:bottom w:w="0" w:type="dxa"/>
              <w:right w:w="15" w:type="dxa"/>
            </w:tcMar>
            <w:vAlign w:val="center"/>
          </w:tcPr>
          <w:p w14:paraId="1071F05C">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53" w:type="pct"/>
            <w:tcBorders>
              <w:tl2br w:val="nil"/>
              <w:tr2bl w:val="nil"/>
            </w:tcBorders>
            <w:noWrap w:val="0"/>
            <w:tcMar>
              <w:top w:w="15" w:type="dxa"/>
              <w:left w:w="15" w:type="dxa"/>
              <w:bottom w:w="0" w:type="dxa"/>
              <w:right w:w="15" w:type="dxa"/>
            </w:tcMar>
            <w:vAlign w:val="center"/>
          </w:tcPr>
          <w:p w14:paraId="553FE967">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53" w:type="pct"/>
            <w:tcBorders>
              <w:tl2br w:val="nil"/>
              <w:tr2bl w:val="nil"/>
            </w:tcBorders>
            <w:noWrap w:val="0"/>
            <w:tcMar>
              <w:top w:w="15" w:type="dxa"/>
              <w:left w:w="15" w:type="dxa"/>
              <w:bottom w:w="0" w:type="dxa"/>
              <w:right w:w="15" w:type="dxa"/>
            </w:tcMar>
            <w:vAlign w:val="center"/>
          </w:tcPr>
          <w:p w14:paraId="59DBB8BA">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53" w:type="pct"/>
            <w:tcBorders>
              <w:tl2br w:val="nil"/>
              <w:tr2bl w:val="nil"/>
            </w:tcBorders>
            <w:noWrap w:val="0"/>
            <w:tcMar>
              <w:top w:w="15" w:type="dxa"/>
              <w:left w:w="15" w:type="dxa"/>
              <w:bottom w:w="0" w:type="dxa"/>
              <w:right w:w="15" w:type="dxa"/>
            </w:tcMar>
            <w:vAlign w:val="center"/>
          </w:tcPr>
          <w:p w14:paraId="50681687">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53" w:type="pct"/>
            <w:tcBorders>
              <w:tl2br w:val="nil"/>
              <w:tr2bl w:val="nil"/>
            </w:tcBorders>
            <w:noWrap w:val="0"/>
            <w:tcMar>
              <w:top w:w="15" w:type="dxa"/>
              <w:left w:w="15" w:type="dxa"/>
              <w:bottom w:w="0" w:type="dxa"/>
              <w:right w:w="15" w:type="dxa"/>
            </w:tcMar>
            <w:vAlign w:val="center"/>
          </w:tcPr>
          <w:p w14:paraId="5B2EA347">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53" w:type="pct"/>
            <w:tcBorders>
              <w:tl2br w:val="nil"/>
              <w:tr2bl w:val="nil"/>
            </w:tcBorders>
            <w:noWrap w:val="0"/>
            <w:tcMar>
              <w:top w:w="15" w:type="dxa"/>
              <w:left w:w="15" w:type="dxa"/>
              <w:bottom w:w="0" w:type="dxa"/>
              <w:right w:w="15" w:type="dxa"/>
            </w:tcMar>
            <w:vAlign w:val="center"/>
          </w:tcPr>
          <w:p w14:paraId="06AE2F18">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53" w:type="pct"/>
            <w:tcBorders>
              <w:tl2br w:val="nil"/>
              <w:tr2bl w:val="nil"/>
            </w:tcBorders>
            <w:noWrap w:val="0"/>
            <w:tcMar>
              <w:top w:w="15" w:type="dxa"/>
              <w:left w:w="15" w:type="dxa"/>
              <w:bottom w:w="0" w:type="dxa"/>
              <w:right w:w="15" w:type="dxa"/>
            </w:tcMar>
            <w:vAlign w:val="center"/>
          </w:tcPr>
          <w:p w14:paraId="06C816F8">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53" w:type="pct"/>
            <w:tcBorders>
              <w:tl2br w:val="nil"/>
              <w:tr2bl w:val="nil"/>
            </w:tcBorders>
            <w:noWrap w:val="0"/>
            <w:tcMar>
              <w:top w:w="15" w:type="dxa"/>
              <w:left w:w="15" w:type="dxa"/>
              <w:bottom w:w="0" w:type="dxa"/>
              <w:right w:w="15" w:type="dxa"/>
            </w:tcMar>
            <w:vAlign w:val="center"/>
          </w:tcPr>
          <w:p w14:paraId="034376A9">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53" w:type="pct"/>
            <w:tcBorders>
              <w:tl2br w:val="nil"/>
              <w:tr2bl w:val="nil"/>
            </w:tcBorders>
            <w:noWrap w:val="0"/>
            <w:tcMar>
              <w:top w:w="15" w:type="dxa"/>
              <w:left w:w="15" w:type="dxa"/>
              <w:bottom w:w="0" w:type="dxa"/>
              <w:right w:w="15" w:type="dxa"/>
            </w:tcMar>
            <w:vAlign w:val="center"/>
          </w:tcPr>
          <w:p w14:paraId="79B747FC">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57" w:type="pct"/>
            <w:tcBorders>
              <w:tl2br w:val="nil"/>
              <w:tr2bl w:val="nil"/>
            </w:tcBorders>
            <w:noWrap w:val="0"/>
            <w:tcMar>
              <w:top w:w="15" w:type="dxa"/>
              <w:left w:w="15" w:type="dxa"/>
              <w:bottom w:w="0" w:type="dxa"/>
              <w:right w:w="15" w:type="dxa"/>
            </w:tcMar>
            <w:vAlign w:val="center"/>
          </w:tcPr>
          <w:p w14:paraId="332A8BB4">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57" w:type="pct"/>
            <w:tcBorders>
              <w:tl2br w:val="nil"/>
              <w:tr2bl w:val="nil"/>
            </w:tcBorders>
            <w:noWrap w:val="0"/>
            <w:tcMar>
              <w:top w:w="15" w:type="dxa"/>
              <w:left w:w="15" w:type="dxa"/>
              <w:bottom w:w="0" w:type="dxa"/>
              <w:right w:w="15" w:type="dxa"/>
            </w:tcMar>
            <w:vAlign w:val="center"/>
          </w:tcPr>
          <w:p w14:paraId="70AC18FE">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49E65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5" w:hRule="atLeast"/>
          <w:jc w:val="center"/>
        </w:trPr>
        <w:tc>
          <w:tcPr>
            <w:tcW w:w="453" w:type="pct"/>
            <w:tcBorders>
              <w:tl2br w:val="nil"/>
              <w:tr2bl w:val="nil"/>
            </w:tcBorders>
            <w:noWrap w:val="0"/>
            <w:tcMar>
              <w:top w:w="15" w:type="dxa"/>
              <w:left w:w="15" w:type="dxa"/>
              <w:bottom w:w="0" w:type="dxa"/>
              <w:right w:w="15" w:type="dxa"/>
            </w:tcMar>
            <w:vAlign w:val="center"/>
          </w:tcPr>
          <w:p w14:paraId="6E0C7651">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53" w:type="pct"/>
            <w:tcBorders>
              <w:tl2br w:val="nil"/>
              <w:tr2bl w:val="nil"/>
            </w:tcBorders>
            <w:noWrap w:val="0"/>
            <w:tcMar>
              <w:top w:w="15" w:type="dxa"/>
              <w:left w:w="15" w:type="dxa"/>
              <w:bottom w:w="0" w:type="dxa"/>
              <w:right w:w="15" w:type="dxa"/>
            </w:tcMar>
            <w:vAlign w:val="center"/>
          </w:tcPr>
          <w:p w14:paraId="6CBE5535">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53" w:type="pct"/>
            <w:tcBorders>
              <w:tl2br w:val="nil"/>
              <w:tr2bl w:val="nil"/>
            </w:tcBorders>
            <w:noWrap w:val="0"/>
            <w:tcMar>
              <w:top w:w="15" w:type="dxa"/>
              <w:left w:w="15" w:type="dxa"/>
              <w:bottom w:w="0" w:type="dxa"/>
              <w:right w:w="15" w:type="dxa"/>
            </w:tcMar>
            <w:vAlign w:val="center"/>
          </w:tcPr>
          <w:p w14:paraId="5EB371CE">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53" w:type="pct"/>
            <w:tcBorders>
              <w:tl2br w:val="nil"/>
              <w:tr2bl w:val="nil"/>
            </w:tcBorders>
            <w:noWrap w:val="0"/>
            <w:tcMar>
              <w:top w:w="15" w:type="dxa"/>
              <w:left w:w="15" w:type="dxa"/>
              <w:bottom w:w="0" w:type="dxa"/>
              <w:right w:w="15" w:type="dxa"/>
            </w:tcMar>
            <w:vAlign w:val="center"/>
          </w:tcPr>
          <w:p w14:paraId="39A76064">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53" w:type="pct"/>
            <w:tcBorders>
              <w:tl2br w:val="nil"/>
              <w:tr2bl w:val="nil"/>
            </w:tcBorders>
            <w:noWrap w:val="0"/>
            <w:tcMar>
              <w:top w:w="15" w:type="dxa"/>
              <w:left w:w="15" w:type="dxa"/>
              <w:bottom w:w="0" w:type="dxa"/>
              <w:right w:w="15" w:type="dxa"/>
            </w:tcMar>
            <w:vAlign w:val="center"/>
          </w:tcPr>
          <w:p w14:paraId="1FB2AD77">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53" w:type="pct"/>
            <w:tcBorders>
              <w:tl2br w:val="nil"/>
              <w:tr2bl w:val="nil"/>
            </w:tcBorders>
            <w:noWrap w:val="0"/>
            <w:tcMar>
              <w:top w:w="15" w:type="dxa"/>
              <w:left w:w="15" w:type="dxa"/>
              <w:bottom w:w="0" w:type="dxa"/>
              <w:right w:w="15" w:type="dxa"/>
            </w:tcMar>
            <w:vAlign w:val="center"/>
          </w:tcPr>
          <w:p w14:paraId="1905B12D">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53" w:type="pct"/>
            <w:tcBorders>
              <w:tl2br w:val="nil"/>
              <w:tr2bl w:val="nil"/>
            </w:tcBorders>
            <w:noWrap w:val="0"/>
            <w:tcMar>
              <w:top w:w="15" w:type="dxa"/>
              <w:left w:w="15" w:type="dxa"/>
              <w:bottom w:w="0" w:type="dxa"/>
              <w:right w:w="15" w:type="dxa"/>
            </w:tcMar>
            <w:vAlign w:val="center"/>
          </w:tcPr>
          <w:p w14:paraId="28674D8E">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53" w:type="pct"/>
            <w:tcBorders>
              <w:tl2br w:val="nil"/>
              <w:tr2bl w:val="nil"/>
            </w:tcBorders>
            <w:noWrap w:val="0"/>
            <w:tcMar>
              <w:top w:w="15" w:type="dxa"/>
              <w:left w:w="15" w:type="dxa"/>
              <w:bottom w:w="0" w:type="dxa"/>
              <w:right w:w="15" w:type="dxa"/>
            </w:tcMar>
            <w:vAlign w:val="center"/>
          </w:tcPr>
          <w:p w14:paraId="6840A553">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53" w:type="pct"/>
            <w:tcBorders>
              <w:tl2br w:val="nil"/>
              <w:tr2bl w:val="nil"/>
            </w:tcBorders>
            <w:noWrap w:val="0"/>
            <w:tcMar>
              <w:top w:w="15" w:type="dxa"/>
              <w:left w:w="15" w:type="dxa"/>
              <w:bottom w:w="0" w:type="dxa"/>
              <w:right w:w="15" w:type="dxa"/>
            </w:tcMar>
            <w:vAlign w:val="center"/>
          </w:tcPr>
          <w:p w14:paraId="3B6D5368">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57" w:type="pct"/>
            <w:tcBorders>
              <w:tl2br w:val="nil"/>
              <w:tr2bl w:val="nil"/>
            </w:tcBorders>
            <w:noWrap w:val="0"/>
            <w:tcMar>
              <w:top w:w="15" w:type="dxa"/>
              <w:left w:w="15" w:type="dxa"/>
              <w:bottom w:w="0" w:type="dxa"/>
              <w:right w:w="15" w:type="dxa"/>
            </w:tcMar>
            <w:vAlign w:val="center"/>
          </w:tcPr>
          <w:p w14:paraId="13C2872A">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57" w:type="pct"/>
            <w:tcBorders>
              <w:tl2br w:val="nil"/>
              <w:tr2bl w:val="nil"/>
            </w:tcBorders>
            <w:noWrap w:val="0"/>
            <w:tcMar>
              <w:top w:w="15" w:type="dxa"/>
              <w:left w:w="15" w:type="dxa"/>
              <w:bottom w:w="0" w:type="dxa"/>
              <w:right w:w="15" w:type="dxa"/>
            </w:tcMar>
            <w:vAlign w:val="center"/>
          </w:tcPr>
          <w:p w14:paraId="323785F2">
            <w:pPr>
              <w:snapToGrid w:val="0"/>
              <w:spacing w:before="50" w:after="5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bl>
    <w:p w14:paraId="4A273A6E">
      <w:pPr>
        <w:pStyle w:val="33"/>
        <w:rPr>
          <w:rFonts w:hint="eastAsia"/>
          <w:color w:val="000000" w:themeColor="text1"/>
          <w:highlight w:val="none"/>
          <w14:textFill>
            <w14:solidFill>
              <w14:schemeClr w14:val="tx1"/>
            </w14:solidFill>
          </w14:textFill>
        </w:rPr>
      </w:pPr>
    </w:p>
    <w:p w14:paraId="37C281A1">
      <w:pPr>
        <w:spacing w:line="360" w:lineRule="auto"/>
        <w:jc w:val="both"/>
        <w:rPr>
          <w:rFonts w:hint="eastAsia"/>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填表说明：表格可扩展</w:t>
      </w:r>
    </w:p>
    <w:p w14:paraId="37BDE91C">
      <w:pPr>
        <w:spacing w:line="360" w:lineRule="auto"/>
        <w:jc w:val="both"/>
        <w:rPr>
          <w:rFonts w:ascii="宋体" w:hAnsi="宋体" w:cs="宋体"/>
          <w:b/>
          <w:bCs/>
          <w:color w:val="000000" w:themeColor="text1"/>
          <w:sz w:val="24"/>
          <w:highlight w:val="none"/>
          <w14:textFill>
            <w14:solidFill>
              <w14:schemeClr w14:val="tx1"/>
            </w14:solidFill>
          </w14:textFill>
        </w:rPr>
        <w:sectPr>
          <w:headerReference r:id="rId19" w:type="first"/>
          <w:footerReference r:id="rId21" w:type="first"/>
          <w:headerReference r:id="rId18" w:type="default"/>
          <w:footerReference r:id="rId2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color w:val="000000" w:themeColor="text1"/>
          <w:highlight w:val="none"/>
          <w:lang w:eastAsia="zh-CN"/>
          <w14:textFill>
            <w14:solidFill>
              <w14:schemeClr w14:val="tx1"/>
            </w14:solidFill>
          </w14:textFill>
        </w:rPr>
        <w:t>乙方</w:t>
      </w:r>
      <w:r>
        <w:rPr>
          <w:rFonts w:hint="eastAsia"/>
          <w:color w:val="000000" w:themeColor="text1"/>
          <w:highlight w:val="none"/>
          <w14:textFill>
            <w14:solidFill>
              <w14:schemeClr w14:val="tx1"/>
            </w14:solidFill>
          </w14:textFill>
        </w:rPr>
        <w:t>承诺：在货物使用期内，消耗</w:t>
      </w:r>
      <w:r>
        <w:rPr>
          <w:rFonts w:hint="eastAsia" w:ascii="Times New Roman" w:hAnsi="Times New Roman" w:eastAsia="宋体" w:cs="Times New Roman"/>
          <w:color w:val="000000" w:themeColor="text1"/>
          <w:highlight w:val="none"/>
          <w14:textFill>
            <w14:solidFill>
              <w14:schemeClr w14:val="tx1"/>
            </w14:solidFill>
          </w14:textFill>
        </w:rPr>
        <w:t>品</w:t>
      </w:r>
      <w:r>
        <w:rPr>
          <w:rFonts w:hint="eastAsia" w:ascii="Times New Roman" w:hAnsi="Times New Roman" w:eastAsia="宋体" w:cs="Times New Roman"/>
          <w:color w:val="000000" w:themeColor="text1"/>
          <w:highlight w:val="none"/>
          <w:lang w:eastAsia="zh-CN"/>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备品备件供</w:t>
      </w:r>
      <w:r>
        <w:rPr>
          <w:rFonts w:hint="eastAsia"/>
          <w:color w:val="000000" w:themeColor="text1"/>
          <w:highlight w:val="none"/>
          <w14:textFill>
            <w14:solidFill>
              <w14:schemeClr w14:val="tx1"/>
            </w14:solidFill>
          </w14:textFill>
        </w:rPr>
        <w:t>应价格不高于上述价格。</w:t>
      </w:r>
    </w:p>
    <w:p w14:paraId="45A4D21C">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报价文件部分</w:t>
      </w:r>
    </w:p>
    <w:p w14:paraId="0EF06863">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14:paraId="5531C881">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14:paraId="5903A467">
      <w:pPr>
        <w:numPr>
          <w:ilvl w:val="0"/>
          <w:numId w:val="7"/>
        </w:num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开标一览表（报价表）………………………………………………………（页码）</w:t>
      </w:r>
    </w:p>
    <w:p w14:paraId="617A384A">
      <w:pPr>
        <w:snapToGrid w:val="0"/>
        <w:spacing w:line="360" w:lineRule="auto"/>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w:t>
      </w:r>
      <w:r>
        <w:rPr>
          <w:rFonts w:hint="eastAsia" w:hAnsi="仿宋_GB2312" w:cs="仿宋_GB2312"/>
          <w:b w:val="0"/>
          <w:bCs/>
          <w:snapToGrid w:val="0"/>
          <w:color w:val="000000" w:themeColor="text1"/>
          <w:kern w:val="2"/>
          <w:sz w:val="24"/>
          <w:szCs w:val="24"/>
          <w:highlight w:val="none"/>
          <w:lang w:val="en-US" w:eastAsia="zh-CN" w:bidi="ar-SA"/>
          <w14:textFill>
            <w14:solidFill>
              <w14:schemeClr w14:val="tx1"/>
            </w14:solidFill>
          </w14:textFill>
        </w:rPr>
        <w:t>报价情况说明</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（页码）</w:t>
      </w:r>
    </w:p>
    <w:p w14:paraId="373FF6B1">
      <w:pPr>
        <w:pStyle w:val="81"/>
        <w:rPr>
          <w:color w:val="000000" w:themeColor="text1"/>
          <w:highlight w:val="none"/>
          <w14:textFill>
            <w14:solidFill>
              <w14:schemeClr w14:val="tx1"/>
            </w14:solidFill>
          </w14:textFill>
        </w:rPr>
      </w:pPr>
    </w:p>
    <w:p w14:paraId="2CAFE25C">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074E0054">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2B7319C0">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1F4119C2">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350D81A0">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12DE5A96">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1951E24F">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34F19CC7">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51767183">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7EA7FC53">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622C0E83">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27F4C8CE">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0A910DE2">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2665900F">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74EF9255">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45D13697">
      <w:pPr>
        <w:pStyle w:val="694"/>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sectPr>
          <w:headerReference r:id="rId23" w:type="first"/>
          <w:footerReference r:id="rId25" w:type="first"/>
          <w:headerReference r:id="rId22" w:type="default"/>
          <w:footerReference r:id="rId2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0BA48AA">
      <w:pPr>
        <w:pStyle w:val="694"/>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一、开标一览表（报价表）</w:t>
      </w:r>
    </w:p>
    <w:p w14:paraId="23B90B44">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温州眼谷小镇运营管理有限公司</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浙江宏信项目管理有限公司</w:t>
      </w:r>
      <w:r>
        <w:rPr>
          <w:rFonts w:hint="eastAsia" w:ascii="宋体" w:hAnsi="宋体" w:cs="宋体"/>
          <w:color w:val="000000" w:themeColor="text1"/>
          <w:kern w:val="0"/>
          <w:sz w:val="24"/>
          <w:highlight w:val="none"/>
          <w:lang w:val="zh-CN"/>
          <w14:textFill>
            <w14:solidFill>
              <w14:schemeClr w14:val="tx1"/>
            </w14:solidFill>
          </w14:textFill>
        </w:rPr>
        <w:t>：</w:t>
      </w:r>
    </w:p>
    <w:p w14:paraId="2B3AE962">
      <w:pPr>
        <w:snapToGrid w:val="0"/>
        <w:spacing w:line="360" w:lineRule="auto"/>
        <w:ind w:firstLine="482"/>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cs="宋体"/>
          <w:color w:val="000000" w:themeColor="text1"/>
          <w:sz w:val="24"/>
          <w:highlight w:val="none"/>
          <w:lang w:eastAsia="zh-CN"/>
          <w14:textFill>
            <w14:solidFill>
              <w14:schemeClr w14:val="tx1"/>
            </w14:solidFill>
          </w14:textFill>
        </w:rPr>
        <w:t>龙湾区第一人民医院普通电动床、血透床、转运床、治疗车、麻醉车等设备采购项目</w:t>
      </w:r>
      <w:r>
        <w:rPr>
          <w:rFonts w:hint="eastAsia" w:ascii="宋体" w:hAnsi="宋体" w:cs="宋体"/>
          <w:color w:val="000000" w:themeColor="text1"/>
          <w:kern w:val="0"/>
          <w:sz w:val="24"/>
          <w:highlight w:val="none"/>
          <w:lang w:val="zh-CN"/>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ZJHX-2024101801</w:t>
      </w:r>
      <w:r>
        <w:rPr>
          <w:rFonts w:hint="eastAsia" w:ascii="宋体" w:hAnsi="宋体" w:cs="宋体"/>
          <w:color w:val="000000" w:themeColor="text1"/>
          <w:sz w:val="24"/>
          <w:highlight w:val="none"/>
          <w14:textFill>
            <w14:solidFill>
              <w14:schemeClr w14:val="tx1"/>
            </w14:solidFill>
          </w14:textFill>
        </w:rPr>
        <w:t>】的实施</w:t>
      </w:r>
      <w:r>
        <w:rPr>
          <w:rFonts w:hint="eastAsia" w:ascii="宋体" w:hAnsi="宋体" w:cs="宋体"/>
          <w:color w:val="000000" w:themeColor="text1"/>
          <w:kern w:val="0"/>
          <w:sz w:val="24"/>
          <w:highlight w:val="none"/>
          <w:lang w:val="zh-CN"/>
          <w14:textFill>
            <w14:solidFill>
              <w14:schemeClr w14:val="tx1"/>
            </w14:solidFill>
          </w14:textFill>
        </w:rPr>
        <w:t>。</w:t>
      </w:r>
    </w:p>
    <w:p w14:paraId="72A33C12">
      <w:pPr>
        <w:spacing w:line="360" w:lineRule="auto"/>
        <w:jc w:val="center"/>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48409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55384BCD">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417" w:type="dxa"/>
            <w:vAlign w:val="center"/>
          </w:tcPr>
          <w:p w14:paraId="3D47B3D7">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1843" w:type="dxa"/>
          </w:tcPr>
          <w:p w14:paraId="43A3795A">
            <w:pPr>
              <w:spacing w:line="360" w:lineRule="auto"/>
              <w:jc w:val="center"/>
              <w:rPr>
                <w:rFonts w:ascii="宋体" w:hAnsi="宋体" w:cs="宋体"/>
                <w:b/>
                <w:color w:val="000000" w:themeColor="text1"/>
                <w:sz w:val="24"/>
                <w:highlight w:val="none"/>
                <w14:textFill>
                  <w14:solidFill>
                    <w14:schemeClr w14:val="tx1"/>
                  </w14:solidFill>
                </w14:textFill>
              </w:rPr>
            </w:pPr>
          </w:p>
          <w:p w14:paraId="3508793F">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品牌（如果有）</w:t>
            </w:r>
          </w:p>
        </w:tc>
        <w:tc>
          <w:tcPr>
            <w:tcW w:w="3118" w:type="dxa"/>
            <w:vAlign w:val="center"/>
          </w:tcPr>
          <w:p w14:paraId="376B8336">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规格型号</w:t>
            </w:r>
          </w:p>
        </w:tc>
        <w:tc>
          <w:tcPr>
            <w:tcW w:w="993" w:type="dxa"/>
            <w:vAlign w:val="center"/>
          </w:tcPr>
          <w:p w14:paraId="7F63DE2C">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数量</w:t>
            </w:r>
          </w:p>
        </w:tc>
        <w:tc>
          <w:tcPr>
            <w:tcW w:w="1559" w:type="dxa"/>
            <w:vAlign w:val="center"/>
          </w:tcPr>
          <w:p w14:paraId="4F10A9EE">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单价</w:t>
            </w:r>
          </w:p>
        </w:tc>
        <w:tc>
          <w:tcPr>
            <w:tcW w:w="1984" w:type="dxa"/>
            <w:vAlign w:val="center"/>
          </w:tcPr>
          <w:p w14:paraId="15FADF73">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合计</w:t>
            </w:r>
          </w:p>
        </w:tc>
        <w:tc>
          <w:tcPr>
            <w:tcW w:w="3119" w:type="dxa"/>
            <w:vAlign w:val="center"/>
          </w:tcPr>
          <w:p w14:paraId="2E77B3F6">
            <w:pPr>
              <w:spacing w:line="360" w:lineRule="auto"/>
              <w:jc w:val="center"/>
              <w:rPr>
                <w:rFonts w:ascii="宋体" w:hAnsi="宋体" w:cs="宋体"/>
                <w:b/>
                <w:color w:val="000000" w:themeColor="text1"/>
                <w:sz w:val="24"/>
                <w:highlight w:val="none"/>
                <w14:textFill>
                  <w14:solidFill>
                    <w14:schemeClr w14:val="tx1"/>
                  </w14:solidFill>
                </w14:textFill>
              </w:rPr>
            </w:pPr>
          </w:p>
          <w:p w14:paraId="42CCCDC0">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备注（如果有）</w:t>
            </w:r>
          </w:p>
          <w:p w14:paraId="2CF4D2FD">
            <w:pPr>
              <w:spacing w:line="360" w:lineRule="auto"/>
              <w:jc w:val="center"/>
              <w:rPr>
                <w:rFonts w:ascii="宋体" w:hAnsi="宋体" w:cs="宋体"/>
                <w:b/>
                <w:color w:val="000000" w:themeColor="text1"/>
                <w:sz w:val="24"/>
                <w:highlight w:val="none"/>
                <w14:textFill>
                  <w14:solidFill>
                    <w14:schemeClr w14:val="tx1"/>
                  </w14:solidFill>
                </w14:textFill>
              </w:rPr>
            </w:pPr>
          </w:p>
        </w:tc>
      </w:tr>
      <w:tr w14:paraId="08988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4D3BBE02">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417" w:type="dxa"/>
            <w:vAlign w:val="center"/>
          </w:tcPr>
          <w:p w14:paraId="0EE05EE1">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X</w:t>
            </w:r>
            <w:r>
              <w:rPr>
                <w:rFonts w:ascii="宋体" w:hAnsi="宋体" w:cs="宋体"/>
                <w:color w:val="000000" w:themeColor="text1"/>
                <w:sz w:val="24"/>
                <w:highlight w:val="none"/>
                <w14:textFill>
                  <w14:solidFill>
                    <w14:schemeClr w14:val="tx1"/>
                  </w14:solidFill>
                </w14:textFill>
              </w:rPr>
              <w:t>X</w:t>
            </w:r>
          </w:p>
        </w:tc>
        <w:tc>
          <w:tcPr>
            <w:tcW w:w="1843" w:type="dxa"/>
            <w:vAlign w:val="center"/>
          </w:tcPr>
          <w:p w14:paraId="75B36BE2">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3118" w:type="dxa"/>
            <w:vAlign w:val="center"/>
          </w:tcPr>
          <w:p w14:paraId="04735C8A">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993" w:type="dxa"/>
            <w:vAlign w:val="center"/>
          </w:tcPr>
          <w:p w14:paraId="75D3B779">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559" w:type="dxa"/>
            <w:vAlign w:val="center"/>
          </w:tcPr>
          <w:p w14:paraId="3E092D99">
            <w:pPr>
              <w:spacing w:line="360" w:lineRule="auto"/>
              <w:jc w:val="center"/>
              <w:rPr>
                <w:rFonts w:ascii="宋体" w:hAnsi="宋体" w:cs="宋体"/>
                <w:color w:val="000000" w:themeColor="text1"/>
                <w:sz w:val="24"/>
                <w:highlight w:val="none"/>
                <w14:textFill>
                  <w14:solidFill>
                    <w14:schemeClr w14:val="tx1"/>
                  </w14:solidFill>
                </w14:textFill>
              </w:rPr>
            </w:pPr>
          </w:p>
        </w:tc>
        <w:tc>
          <w:tcPr>
            <w:tcW w:w="1984" w:type="dxa"/>
            <w:vAlign w:val="center"/>
          </w:tcPr>
          <w:p w14:paraId="3141D371">
            <w:pPr>
              <w:spacing w:line="360" w:lineRule="auto"/>
              <w:jc w:val="center"/>
              <w:rPr>
                <w:rFonts w:ascii="宋体" w:hAnsi="宋体" w:cs="宋体"/>
                <w:color w:val="000000" w:themeColor="text1"/>
                <w:sz w:val="24"/>
                <w:highlight w:val="none"/>
                <w14:textFill>
                  <w14:solidFill>
                    <w14:schemeClr w14:val="tx1"/>
                  </w14:solidFill>
                </w14:textFill>
              </w:rPr>
            </w:pPr>
          </w:p>
        </w:tc>
        <w:tc>
          <w:tcPr>
            <w:tcW w:w="3119" w:type="dxa"/>
            <w:vAlign w:val="center"/>
          </w:tcPr>
          <w:p w14:paraId="5DB2689B">
            <w:pPr>
              <w:spacing w:line="360" w:lineRule="auto"/>
              <w:jc w:val="center"/>
              <w:rPr>
                <w:rFonts w:ascii="宋体" w:hAnsi="宋体" w:cs="宋体"/>
                <w:color w:val="000000" w:themeColor="text1"/>
                <w:sz w:val="24"/>
                <w:highlight w:val="none"/>
                <w14:textFill>
                  <w14:solidFill>
                    <w14:schemeClr w14:val="tx1"/>
                  </w14:solidFill>
                </w14:textFill>
              </w:rPr>
            </w:pPr>
          </w:p>
        </w:tc>
      </w:tr>
      <w:tr w14:paraId="4276C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20A3145">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417" w:type="dxa"/>
            <w:vAlign w:val="center"/>
          </w:tcPr>
          <w:p w14:paraId="26826EA0">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X</w:t>
            </w:r>
            <w:r>
              <w:rPr>
                <w:rFonts w:ascii="宋体" w:hAnsi="宋体" w:cs="宋体"/>
                <w:color w:val="000000" w:themeColor="text1"/>
                <w:sz w:val="24"/>
                <w:highlight w:val="none"/>
                <w14:textFill>
                  <w14:solidFill>
                    <w14:schemeClr w14:val="tx1"/>
                  </w14:solidFill>
                </w14:textFill>
              </w:rPr>
              <w:t>X</w:t>
            </w:r>
          </w:p>
        </w:tc>
        <w:tc>
          <w:tcPr>
            <w:tcW w:w="1843" w:type="dxa"/>
            <w:vAlign w:val="center"/>
          </w:tcPr>
          <w:p w14:paraId="36A209F0">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3118" w:type="dxa"/>
            <w:vAlign w:val="center"/>
          </w:tcPr>
          <w:p w14:paraId="5332A9D6">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993" w:type="dxa"/>
            <w:vAlign w:val="center"/>
          </w:tcPr>
          <w:p w14:paraId="63AA7DA6">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559" w:type="dxa"/>
            <w:vAlign w:val="center"/>
          </w:tcPr>
          <w:p w14:paraId="4B570975">
            <w:pPr>
              <w:spacing w:line="360" w:lineRule="auto"/>
              <w:jc w:val="center"/>
              <w:rPr>
                <w:rFonts w:ascii="宋体" w:hAnsi="宋体" w:cs="宋体"/>
                <w:color w:val="000000" w:themeColor="text1"/>
                <w:sz w:val="24"/>
                <w:highlight w:val="none"/>
                <w14:textFill>
                  <w14:solidFill>
                    <w14:schemeClr w14:val="tx1"/>
                  </w14:solidFill>
                </w14:textFill>
              </w:rPr>
            </w:pPr>
          </w:p>
        </w:tc>
        <w:tc>
          <w:tcPr>
            <w:tcW w:w="1984" w:type="dxa"/>
            <w:vAlign w:val="center"/>
          </w:tcPr>
          <w:p w14:paraId="5C108D4C">
            <w:pPr>
              <w:spacing w:line="360" w:lineRule="auto"/>
              <w:jc w:val="center"/>
              <w:rPr>
                <w:rFonts w:ascii="宋体" w:hAnsi="宋体" w:cs="宋体"/>
                <w:color w:val="000000" w:themeColor="text1"/>
                <w:sz w:val="24"/>
                <w:highlight w:val="none"/>
                <w14:textFill>
                  <w14:solidFill>
                    <w14:schemeClr w14:val="tx1"/>
                  </w14:solidFill>
                </w14:textFill>
              </w:rPr>
            </w:pPr>
          </w:p>
        </w:tc>
        <w:tc>
          <w:tcPr>
            <w:tcW w:w="3119" w:type="dxa"/>
            <w:vAlign w:val="center"/>
          </w:tcPr>
          <w:p w14:paraId="67E71197">
            <w:pPr>
              <w:spacing w:line="360" w:lineRule="auto"/>
              <w:jc w:val="center"/>
              <w:rPr>
                <w:rFonts w:ascii="宋体" w:hAnsi="宋体" w:cs="宋体"/>
                <w:color w:val="000000" w:themeColor="text1"/>
                <w:sz w:val="24"/>
                <w:highlight w:val="none"/>
                <w14:textFill>
                  <w14:solidFill>
                    <w14:schemeClr w14:val="tx1"/>
                  </w14:solidFill>
                </w14:textFill>
              </w:rPr>
            </w:pPr>
          </w:p>
        </w:tc>
      </w:tr>
      <w:tr w14:paraId="286AA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10E8F38">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417" w:type="dxa"/>
            <w:vAlign w:val="center"/>
          </w:tcPr>
          <w:p w14:paraId="63A2ACE5">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Align w:val="center"/>
          </w:tcPr>
          <w:p w14:paraId="4B10443E">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3118" w:type="dxa"/>
            <w:vAlign w:val="center"/>
          </w:tcPr>
          <w:p w14:paraId="742E75CB">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993" w:type="dxa"/>
            <w:vAlign w:val="center"/>
          </w:tcPr>
          <w:p w14:paraId="0A91DFCB">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559" w:type="dxa"/>
            <w:vAlign w:val="center"/>
          </w:tcPr>
          <w:p w14:paraId="32D6089F">
            <w:pPr>
              <w:spacing w:line="360" w:lineRule="auto"/>
              <w:jc w:val="center"/>
              <w:rPr>
                <w:rFonts w:ascii="宋体" w:hAnsi="宋体" w:cs="宋体"/>
                <w:color w:val="000000" w:themeColor="text1"/>
                <w:sz w:val="24"/>
                <w:highlight w:val="none"/>
                <w14:textFill>
                  <w14:solidFill>
                    <w14:schemeClr w14:val="tx1"/>
                  </w14:solidFill>
                </w14:textFill>
              </w:rPr>
            </w:pPr>
          </w:p>
        </w:tc>
        <w:tc>
          <w:tcPr>
            <w:tcW w:w="1984" w:type="dxa"/>
            <w:vAlign w:val="center"/>
          </w:tcPr>
          <w:p w14:paraId="44622ED0">
            <w:pPr>
              <w:spacing w:line="360" w:lineRule="auto"/>
              <w:jc w:val="center"/>
              <w:rPr>
                <w:rFonts w:ascii="宋体" w:hAnsi="宋体" w:cs="宋体"/>
                <w:color w:val="000000" w:themeColor="text1"/>
                <w:sz w:val="24"/>
                <w:highlight w:val="none"/>
                <w14:textFill>
                  <w14:solidFill>
                    <w14:schemeClr w14:val="tx1"/>
                  </w14:solidFill>
                </w14:textFill>
              </w:rPr>
            </w:pPr>
          </w:p>
        </w:tc>
        <w:tc>
          <w:tcPr>
            <w:tcW w:w="3119" w:type="dxa"/>
            <w:vAlign w:val="center"/>
          </w:tcPr>
          <w:p w14:paraId="1215CAFB">
            <w:pPr>
              <w:spacing w:line="360" w:lineRule="auto"/>
              <w:jc w:val="center"/>
              <w:rPr>
                <w:rFonts w:ascii="宋体" w:hAnsi="宋体" w:cs="宋体"/>
                <w:color w:val="000000" w:themeColor="text1"/>
                <w:sz w:val="24"/>
                <w:highlight w:val="none"/>
                <w14:textFill>
                  <w14:solidFill>
                    <w14:schemeClr w14:val="tx1"/>
                  </w14:solidFill>
                </w14:textFill>
              </w:rPr>
            </w:pPr>
          </w:p>
        </w:tc>
      </w:tr>
      <w:tr w14:paraId="4E1C4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D8FB7D5">
            <w:pPr>
              <w:spacing w:line="360" w:lineRule="auto"/>
              <w:jc w:val="center"/>
              <w:rPr>
                <w:rFonts w:ascii="宋体" w:hAnsi="宋体" w:cs="宋体"/>
                <w:color w:val="000000" w:themeColor="text1"/>
                <w:sz w:val="24"/>
                <w:highlight w:val="none"/>
                <w14:textFill>
                  <w14:solidFill>
                    <w14:schemeClr w14:val="tx1"/>
                  </w14:solidFill>
                </w14:textFill>
              </w:rPr>
            </w:pPr>
          </w:p>
        </w:tc>
        <w:tc>
          <w:tcPr>
            <w:tcW w:w="1417" w:type="dxa"/>
            <w:vAlign w:val="center"/>
          </w:tcPr>
          <w:p w14:paraId="25F6F09C">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Align w:val="center"/>
          </w:tcPr>
          <w:p w14:paraId="7EA2E962">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3118" w:type="dxa"/>
            <w:vAlign w:val="center"/>
          </w:tcPr>
          <w:p w14:paraId="697CDF50">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993" w:type="dxa"/>
            <w:vAlign w:val="center"/>
          </w:tcPr>
          <w:p w14:paraId="3F1AC8E7">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559" w:type="dxa"/>
            <w:vAlign w:val="center"/>
          </w:tcPr>
          <w:p w14:paraId="562BFF9E">
            <w:pPr>
              <w:spacing w:line="360" w:lineRule="auto"/>
              <w:jc w:val="center"/>
              <w:rPr>
                <w:rFonts w:ascii="宋体" w:hAnsi="宋体" w:cs="宋体"/>
                <w:color w:val="000000" w:themeColor="text1"/>
                <w:sz w:val="24"/>
                <w:highlight w:val="none"/>
                <w14:textFill>
                  <w14:solidFill>
                    <w14:schemeClr w14:val="tx1"/>
                  </w14:solidFill>
                </w14:textFill>
              </w:rPr>
            </w:pPr>
          </w:p>
        </w:tc>
        <w:tc>
          <w:tcPr>
            <w:tcW w:w="1984" w:type="dxa"/>
            <w:vAlign w:val="center"/>
          </w:tcPr>
          <w:p w14:paraId="6AF2D844">
            <w:pPr>
              <w:spacing w:line="360" w:lineRule="auto"/>
              <w:jc w:val="center"/>
              <w:rPr>
                <w:rFonts w:ascii="宋体" w:hAnsi="宋体" w:cs="宋体"/>
                <w:color w:val="000000" w:themeColor="text1"/>
                <w:sz w:val="24"/>
                <w:highlight w:val="none"/>
                <w14:textFill>
                  <w14:solidFill>
                    <w14:schemeClr w14:val="tx1"/>
                  </w14:solidFill>
                </w14:textFill>
              </w:rPr>
            </w:pPr>
          </w:p>
        </w:tc>
        <w:tc>
          <w:tcPr>
            <w:tcW w:w="3119" w:type="dxa"/>
            <w:vAlign w:val="center"/>
          </w:tcPr>
          <w:p w14:paraId="0B603F90">
            <w:pPr>
              <w:spacing w:line="360" w:lineRule="auto"/>
              <w:jc w:val="center"/>
              <w:rPr>
                <w:rFonts w:ascii="宋体" w:hAnsi="宋体" w:cs="宋体"/>
                <w:color w:val="000000" w:themeColor="text1"/>
                <w:sz w:val="24"/>
                <w:highlight w:val="none"/>
                <w14:textFill>
                  <w14:solidFill>
                    <w14:schemeClr w14:val="tx1"/>
                  </w14:solidFill>
                </w14:textFill>
              </w:rPr>
            </w:pPr>
          </w:p>
        </w:tc>
      </w:tr>
      <w:tr w14:paraId="10B14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FD675BE">
            <w:pPr>
              <w:spacing w:line="360" w:lineRule="auto"/>
              <w:jc w:val="center"/>
              <w:rPr>
                <w:rFonts w:ascii="宋体" w:hAnsi="宋体" w:cs="宋体"/>
                <w:color w:val="000000" w:themeColor="text1"/>
                <w:sz w:val="24"/>
                <w:highlight w:val="none"/>
                <w14:textFill>
                  <w14:solidFill>
                    <w14:schemeClr w14:val="tx1"/>
                  </w14:solidFill>
                </w14:textFill>
              </w:rPr>
            </w:pPr>
          </w:p>
        </w:tc>
        <w:tc>
          <w:tcPr>
            <w:tcW w:w="1417" w:type="dxa"/>
            <w:vAlign w:val="center"/>
          </w:tcPr>
          <w:p w14:paraId="24C6E83F">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Align w:val="center"/>
          </w:tcPr>
          <w:p w14:paraId="0333B509">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3118" w:type="dxa"/>
            <w:vAlign w:val="center"/>
          </w:tcPr>
          <w:p w14:paraId="57DA38A6">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993" w:type="dxa"/>
            <w:vAlign w:val="center"/>
          </w:tcPr>
          <w:p w14:paraId="533916F2">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559" w:type="dxa"/>
            <w:vAlign w:val="center"/>
          </w:tcPr>
          <w:p w14:paraId="7BDE1010">
            <w:pPr>
              <w:spacing w:line="360" w:lineRule="auto"/>
              <w:jc w:val="center"/>
              <w:rPr>
                <w:rFonts w:ascii="宋体" w:hAnsi="宋体" w:cs="宋体"/>
                <w:color w:val="000000" w:themeColor="text1"/>
                <w:sz w:val="24"/>
                <w:highlight w:val="none"/>
                <w14:textFill>
                  <w14:solidFill>
                    <w14:schemeClr w14:val="tx1"/>
                  </w14:solidFill>
                </w14:textFill>
              </w:rPr>
            </w:pPr>
          </w:p>
        </w:tc>
        <w:tc>
          <w:tcPr>
            <w:tcW w:w="1984" w:type="dxa"/>
            <w:vAlign w:val="center"/>
          </w:tcPr>
          <w:p w14:paraId="63348C01">
            <w:pPr>
              <w:spacing w:line="360" w:lineRule="auto"/>
              <w:jc w:val="center"/>
              <w:rPr>
                <w:rFonts w:ascii="宋体" w:hAnsi="宋体" w:cs="宋体"/>
                <w:color w:val="000000" w:themeColor="text1"/>
                <w:sz w:val="24"/>
                <w:highlight w:val="none"/>
                <w14:textFill>
                  <w14:solidFill>
                    <w14:schemeClr w14:val="tx1"/>
                  </w14:solidFill>
                </w14:textFill>
              </w:rPr>
            </w:pPr>
          </w:p>
        </w:tc>
        <w:tc>
          <w:tcPr>
            <w:tcW w:w="3119" w:type="dxa"/>
            <w:vAlign w:val="center"/>
          </w:tcPr>
          <w:p w14:paraId="4D79AE15">
            <w:pPr>
              <w:spacing w:line="360" w:lineRule="auto"/>
              <w:jc w:val="center"/>
              <w:rPr>
                <w:rFonts w:ascii="宋体" w:hAnsi="宋体" w:cs="宋体"/>
                <w:color w:val="000000" w:themeColor="text1"/>
                <w:sz w:val="24"/>
                <w:highlight w:val="none"/>
                <w14:textFill>
                  <w14:solidFill>
                    <w14:schemeClr w14:val="tx1"/>
                  </w14:solidFill>
                </w14:textFill>
              </w:rPr>
            </w:pPr>
          </w:p>
        </w:tc>
      </w:tr>
      <w:tr w14:paraId="01D3E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5D41B162">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投标报价（小写）</w:t>
            </w:r>
          </w:p>
        </w:tc>
        <w:tc>
          <w:tcPr>
            <w:tcW w:w="7655" w:type="dxa"/>
            <w:gridSpan w:val="4"/>
            <w:vAlign w:val="center"/>
          </w:tcPr>
          <w:p w14:paraId="0DAA9E25">
            <w:pPr>
              <w:spacing w:line="360" w:lineRule="auto"/>
              <w:jc w:val="center"/>
              <w:rPr>
                <w:rFonts w:ascii="宋体" w:hAnsi="宋体" w:cs="宋体"/>
                <w:color w:val="000000" w:themeColor="text1"/>
                <w:sz w:val="24"/>
                <w:highlight w:val="none"/>
                <w14:textFill>
                  <w14:solidFill>
                    <w14:schemeClr w14:val="tx1"/>
                  </w14:solidFill>
                </w14:textFill>
              </w:rPr>
            </w:pPr>
          </w:p>
        </w:tc>
      </w:tr>
      <w:tr w14:paraId="00003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26D6A1D3">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投标报价（大写）</w:t>
            </w:r>
          </w:p>
        </w:tc>
        <w:tc>
          <w:tcPr>
            <w:tcW w:w="7655" w:type="dxa"/>
            <w:gridSpan w:val="4"/>
            <w:vAlign w:val="center"/>
          </w:tcPr>
          <w:p w14:paraId="49C0EE06">
            <w:pPr>
              <w:spacing w:line="360" w:lineRule="auto"/>
              <w:jc w:val="center"/>
              <w:rPr>
                <w:rFonts w:ascii="宋体" w:hAnsi="宋体" w:cs="宋体"/>
                <w:color w:val="000000" w:themeColor="text1"/>
                <w:sz w:val="24"/>
                <w:highlight w:val="none"/>
                <w14:textFill>
                  <w14:solidFill>
                    <w14:schemeClr w14:val="tx1"/>
                  </w14:solidFill>
                </w14:textFill>
              </w:rPr>
            </w:pPr>
          </w:p>
        </w:tc>
      </w:tr>
    </w:tbl>
    <w:p w14:paraId="4631142E">
      <w:pPr>
        <w:snapToGrid w:val="0"/>
        <w:spacing w:line="360" w:lineRule="auto"/>
        <w:ind w:left="480"/>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注：</w:t>
      </w:r>
    </w:p>
    <w:p w14:paraId="227E5D27">
      <w:pPr>
        <w:spacing w:line="360" w:lineRule="auto"/>
        <w:ind w:left="-2" w:leftChars="-1"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1、投标人需按本表格式填写</w:t>
      </w:r>
      <w:r>
        <w:rPr>
          <w:rFonts w:hint="eastAsia" w:ascii="宋体" w:hAnsi="宋体" w:cs="宋体"/>
          <w:b/>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14:textFill>
            <w14:solidFill>
              <w14:schemeClr w14:val="tx1"/>
            </w14:solidFill>
          </w14:textFill>
        </w:rPr>
        <w:t>否则视为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投标文件含有采购人不能接受的附加条件，投标无效</w:t>
      </w:r>
      <w:r>
        <w:rPr>
          <w:rFonts w:hint="eastAsia" w:ascii="宋体" w:hAnsi="宋体" w:cs="宋体"/>
          <w:color w:val="000000" w:themeColor="text1"/>
          <w:kern w:val="0"/>
          <w:sz w:val="24"/>
          <w:highlight w:val="none"/>
          <w:lang w:val="zh-CN"/>
          <w14:textFill>
            <w14:solidFill>
              <w14:schemeClr w14:val="tx1"/>
            </w14:solidFill>
          </w14:textFill>
        </w:rPr>
        <w:t>。</w:t>
      </w:r>
    </w:p>
    <w:p w14:paraId="2774D8A3">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2、有关本项目实施所涉及的一切费用均计入报价。</w:t>
      </w:r>
      <w:r>
        <w:rPr>
          <w:rFonts w:hint="eastAsia" w:ascii="宋体" w:hAnsi="宋体" w:cs="宋体"/>
          <w:color w:val="000000" w:themeColor="text1"/>
          <w:kern w:val="0"/>
          <w:sz w:val="24"/>
          <w:highlight w:val="none"/>
          <w:lang w:val="en-US" w:eastAsia="zh-CN"/>
          <w14:textFill>
            <w14:solidFill>
              <w14:schemeClr w14:val="tx1"/>
            </w14:solidFill>
          </w14:textFill>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000000" w:themeColor="text1"/>
          <w:kern w:val="0"/>
          <w:sz w:val="24"/>
          <w:highlight w:val="none"/>
          <w:lang w:val="en-US" w:eastAsia="zh-CN"/>
          <w14:textFill>
            <w14:solidFill>
              <w14:schemeClr w14:val="tx1"/>
            </w14:solidFill>
          </w14:textFill>
        </w:rPr>
        <w:t>签订条件；</w:t>
      </w:r>
      <w:r>
        <w:rPr>
          <w:rFonts w:hint="eastAsia" w:ascii="宋体" w:hAnsi="宋体" w:eastAsia="宋体" w:cs="宋体"/>
          <w:color w:val="000000" w:themeColor="text1"/>
          <w:spacing w:val="0"/>
          <w:kern w:val="0"/>
          <w:sz w:val="24"/>
          <w:szCs w:val="24"/>
          <w:highlight w:val="none"/>
          <w14:textFill>
            <w14:solidFill>
              <w14:schemeClr w14:val="tx1"/>
            </w14:solidFill>
          </w14:textFill>
        </w:rPr>
        <w:t>总价</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不为零</w:t>
      </w:r>
      <w:r>
        <w:rPr>
          <w:rFonts w:hint="eastAsia" w:ascii="宋体" w:hAnsi="宋体" w:eastAsia="宋体" w:cs="宋体"/>
          <w:color w:val="000000" w:themeColor="text1"/>
          <w:spacing w:val="0"/>
          <w:kern w:val="0"/>
          <w:sz w:val="24"/>
          <w:szCs w:val="24"/>
          <w:highlight w:val="none"/>
          <w14:textFill>
            <w14:solidFill>
              <w14:schemeClr w14:val="tx1"/>
            </w14:solidFill>
          </w14:textFill>
        </w:rPr>
        <w:t>，报价明细表中</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部分</w:t>
      </w:r>
      <w:r>
        <w:rPr>
          <w:rFonts w:hint="eastAsia" w:ascii="宋体" w:hAnsi="宋体" w:eastAsia="宋体" w:cs="宋体"/>
          <w:color w:val="000000" w:themeColor="text1"/>
          <w:spacing w:val="0"/>
          <w:kern w:val="0"/>
          <w:sz w:val="24"/>
          <w:szCs w:val="24"/>
          <w:highlight w:val="none"/>
          <w14:textFill>
            <w14:solidFill>
              <w14:schemeClr w14:val="tx1"/>
            </w14:solidFill>
          </w14:textFill>
        </w:rPr>
        <w:t>产品、服务单价为零的，视作已包含在总价中</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采购内容未包含在《开标一览表（报价表）》名称栏中，投标人不能作出合理解释的，</w:t>
      </w:r>
      <w:r>
        <w:rPr>
          <w:rFonts w:hint="eastAsia" w:ascii="宋体" w:hAnsi="宋体" w:cs="宋体"/>
          <w:b/>
          <w:color w:val="000000" w:themeColor="text1"/>
          <w:kern w:val="0"/>
          <w:sz w:val="24"/>
          <w:highlight w:val="none"/>
          <w14:textFill>
            <w14:solidFill>
              <w14:schemeClr w14:val="tx1"/>
            </w14:solidFill>
          </w14:textFill>
        </w:rPr>
        <w:t>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14:paraId="5BC3F04F">
      <w:pPr>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3、特别提示：采购代理机构将对项目名称和项目编号，中标供应商名称、地址和中标金额，主要中标标的名称、品牌（如果有）、规格型号、数量、单价等予以公示。</w:t>
      </w:r>
    </w:p>
    <w:p w14:paraId="2A9EC479">
      <w:pPr>
        <w:spacing w:line="360" w:lineRule="auto"/>
        <w:ind w:firstLine="482" w:firstLineChars="200"/>
        <w:rPr>
          <w:rFonts w:ascii="宋体" w:hAnsi="宋体" w:cs="宋体"/>
          <w:b/>
          <w:color w:val="000000" w:themeColor="text1"/>
          <w:kern w:val="0"/>
          <w:sz w:val="24"/>
          <w:highlight w:val="none"/>
          <w14:textFill>
            <w14:solidFill>
              <w14:schemeClr w14:val="tx1"/>
            </w14:solidFill>
          </w14:textFill>
        </w:rPr>
      </w:pPr>
    </w:p>
    <w:p w14:paraId="5F51616C">
      <w:pPr>
        <w:pStyle w:val="694"/>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pPr>
    </w:p>
    <w:p w14:paraId="33F2C5D4">
      <w:pPr>
        <w:pStyle w:val="694"/>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14:paraId="7F4967CC">
      <w:pPr>
        <w:pStyle w:val="694"/>
        <w:keepNext w:val="0"/>
        <w:pageBreakBefore w:val="0"/>
        <w:numPr>
          <w:ilvl w:val="0"/>
          <w:numId w:val="8"/>
        </w:numPr>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lang w:val="en-US" w:eastAsia="zh-CN"/>
          <w14:textFill>
            <w14:solidFill>
              <w14:schemeClr w14:val="tx1"/>
            </w14:solidFill>
          </w14:textFill>
        </w:rPr>
      </w:pPr>
      <w:r>
        <w:rPr>
          <w:rFonts w:hint="eastAsia" w:ascii="宋体" w:hAnsi="宋体" w:eastAsia="宋体" w:cs="宋体"/>
          <w:color w:val="000000" w:themeColor="text1"/>
          <w:kern w:val="2"/>
          <w:sz w:val="32"/>
          <w:szCs w:val="32"/>
          <w:highlight w:val="none"/>
          <w:lang w:val="en-US" w:eastAsia="zh-CN"/>
          <w14:textFill>
            <w14:solidFill>
              <w14:schemeClr w14:val="tx1"/>
            </w14:solidFill>
          </w14:textFill>
        </w:rPr>
        <w:t>报价情况说明（如果有）</w:t>
      </w:r>
    </w:p>
    <w:p w14:paraId="564BD83B">
      <w:pPr>
        <w:pStyle w:val="4"/>
        <w:keepNext w:val="0"/>
        <w:pageBreakBefore w:val="0"/>
        <w:numPr>
          <w:ilvl w:val="-1"/>
          <w:numId w:val="0"/>
        </w:numPr>
        <w:tabs>
          <w:tab w:val="clear" w:pos="432"/>
        </w:tabs>
        <w:snapToGrid w:val="0"/>
        <w:spacing w:before="120" w:after="120"/>
        <w:ind w:firstLine="0"/>
        <w:outlineLvl w:val="9"/>
        <w:rPr>
          <w:rFonts w:hint="default" w:ascii="宋体" w:hAnsi="宋体" w:eastAsia="宋体" w:cs="宋体"/>
          <w:color w:val="000000" w:themeColor="text1"/>
          <w:kern w:val="2"/>
          <w:sz w:val="32"/>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（如供应商报价低于项目预算50%的，应当提交本文档，详细阐述不影响产品质量或者诚信履约的具体原因</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w:t>
      </w:r>
    </w:p>
    <w:p w14:paraId="7EFAC352">
      <w:pPr>
        <w:pStyle w:val="694"/>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lang w:val="en-US" w:eastAsia="zh-CN"/>
          <w14:textFill>
            <w14:solidFill>
              <w14:schemeClr w14:val="tx1"/>
            </w14:solidFill>
          </w14:textFill>
        </w:rPr>
      </w:pPr>
    </w:p>
    <w:p w14:paraId="1139D8F5">
      <w:pPr>
        <w:pStyle w:val="694"/>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lang w:val="en-US" w:eastAsia="zh-CN"/>
          <w14:textFill>
            <w14:solidFill>
              <w14:schemeClr w14:val="tx1"/>
            </w14:solidFill>
          </w14:textFill>
        </w:rPr>
      </w:pPr>
    </w:p>
    <w:p w14:paraId="1EB0DF42">
      <w:pPr>
        <w:pStyle w:val="694"/>
        <w:keepNext w:val="0"/>
        <w:pageBreakBefore w:val="0"/>
        <w:tabs>
          <w:tab w:val="clear" w:pos="720"/>
        </w:tabs>
        <w:snapToGrid w:val="0"/>
        <w:spacing w:before="120" w:after="120"/>
        <w:ind w:firstLine="643"/>
        <w:outlineLvl w:val="9"/>
        <w:rPr>
          <w:rFonts w:ascii="宋体" w:hAnsi="宋体" w:eastAsia="宋体" w:cs="宋体"/>
          <w:b w:val="0"/>
          <w:color w:val="000000" w:themeColor="text1"/>
          <w:sz w:val="32"/>
          <w:szCs w:val="32"/>
          <w:highlight w:val="none"/>
          <w14:textFill>
            <w14:solidFill>
              <w14:schemeClr w14:val="tx1"/>
            </w14:solidFill>
          </w14:textFill>
        </w:rPr>
      </w:pPr>
    </w:p>
    <w:p w14:paraId="1B0AA39F">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000000" w:themeColor="text1"/>
          <w:highlight w:val="none"/>
          <w14:textFill>
            <w14:solidFill>
              <w14:schemeClr w14:val="tx1"/>
            </w14:solidFill>
          </w14:textFill>
        </w:rPr>
      </w:pPr>
      <w:bookmarkStart w:id="389" w:name="_Toc465665161"/>
      <w:r>
        <w:rPr>
          <w:rFonts w:hint="eastAsia" w:ascii="宋体" w:hAnsi="宋体" w:cs="宋体"/>
          <w:color w:val="000000" w:themeColor="text1"/>
          <w:highlight w:val="none"/>
          <w14:textFill>
            <w14:solidFill>
              <w14:schemeClr w14:val="tx1"/>
            </w14:solidFill>
          </w14:textFill>
        </w:rPr>
        <w:t>附件</w:t>
      </w:r>
      <w:bookmarkEnd w:id="389"/>
    </w:p>
    <w:p w14:paraId="4609651F">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w:t>
      </w:r>
      <w:r>
        <w:rPr>
          <w:rFonts w:hint="eastAsia" w:ascii="宋体" w:hAnsi="宋体" w:cs="宋体"/>
          <w:b/>
          <w:color w:val="000000" w:themeColor="text1"/>
          <w:spacing w:val="6"/>
          <w:sz w:val="32"/>
          <w:szCs w:val="32"/>
          <w:highlight w:val="none"/>
          <w:lang w:val="en-US" w:eastAsia="zh-CN"/>
          <w14:textFill>
            <w14:solidFill>
              <w14:schemeClr w14:val="tx1"/>
            </w14:solidFill>
          </w14:textFill>
        </w:rPr>
        <w:t>1</w:t>
      </w:r>
      <w:r>
        <w:rPr>
          <w:rFonts w:hint="eastAsia" w:ascii="宋体" w:hAnsi="宋体" w:cs="宋体"/>
          <w:b/>
          <w:color w:val="000000" w:themeColor="text1"/>
          <w:spacing w:val="6"/>
          <w:sz w:val="32"/>
          <w:szCs w:val="32"/>
          <w:highlight w:val="none"/>
          <w14:textFill>
            <w14:solidFill>
              <w14:schemeClr w14:val="tx1"/>
            </w14:solidFill>
          </w14:textFill>
        </w:rPr>
        <w:t>：质疑函范本及制作说明</w:t>
      </w:r>
    </w:p>
    <w:p w14:paraId="2AA74C4E">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质疑函范本</w:t>
      </w:r>
    </w:p>
    <w:p w14:paraId="6293D213">
      <w:pPr>
        <w:snapToGrid w:val="0"/>
        <w:spacing w:before="240" w:beforeLines="100"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一、质疑供应商基本信息</w:t>
      </w:r>
    </w:p>
    <w:p w14:paraId="6541F469">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质疑供应商：</w:t>
      </w:r>
      <w:r>
        <w:rPr>
          <w:rFonts w:hint="eastAsia" w:ascii="宋体" w:hAnsi="宋体" w:cs="宋体"/>
          <w:color w:val="000000" w:themeColor="text1"/>
          <w:sz w:val="24"/>
          <w:highlight w:val="none"/>
          <w:u w:val="dotted"/>
          <w14:textFill>
            <w14:solidFill>
              <w14:schemeClr w14:val="tx1"/>
            </w14:solidFill>
          </w14:textFill>
        </w:rPr>
        <w:t xml:space="preserve">                                        </w:t>
      </w:r>
    </w:p>
    <w:p w14:paraId="74F42739">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4C16E626">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3F81800A">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p>
    <w:p w14:paraId="60EE450D">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644B3BA5">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地址： </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5F9E3F1A">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二、质疑项目基本情况</w:t>
      </w:r>
    </w:p>
    <w:p w14:paraId="510C7845">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质疑项目的名称：</w:t>
      </w:r>
      <w:r>
        <w:rPr>
          <w:rFonts w:hint="eastAsia" w:ascii="宋体" w:hAnsi="宋体" w:cs="宋体"/>
          <w:color w:val="000000" w:themeColor="text1"/>
          <w:sz w:val="24"/>
          <w:highlight w:val="none"/>
          <w:u w:val="dotted"/>
          <w14:textFill>
            <w14:solidFill>
              <w14:schemeClr w14:val="tx1"/>
            </w14:solidFill>
          </w14:textFill>
        </w:rPr>
        <w:t xml:space="preserve">                                      </w:t>
      </w:r>
    </w:p>
    <w:p w14:paraId="16F7F7C8">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4F81F5D0">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p>
    <w:p w14:paraId="78733EF9">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采购文件获取日期：</w:t>
      </w:r>
      <w:r>
        <w:rPr>
          <w:rFonts w:hint="eastAsia" w:ascii="宋体" w:hAnsi="宋体" w:cs="宋体"/>
          <w:color w:val="000000" w:themeColor="text1"/>
          <w:sz w:val="24"/>
          <w:highlight w:val="none"/>
          <w:u w:val="dotted"/>
          <w14:textFill>
            <w14:solidFill>
              <w14:schemeClr w14:val="tx1"/>
            </w14:solidFill>
          </w14:textFill>
        </w:rPr>
        <w:t xml:space="preserve">                                           </w:t>
      </w:r>
    </w:p>
    <w:p w14:paraId="55104795">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三、质疑事项具体内容</w:t>
      </w:r>
    </w:p>
    <w:p w14:paraId="323C048A">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质疑事项1：</w:t>
      </w:r>
      <w:r>
        <w:rPr>
          <w:rFonts w:hint="eastAsia" w:ascii="宋体" w:hAnsi="宋体" w:cs="宋体"/>
          <w:color w:val="000000" w:themeColor="text1"/>
          <w:sz w:val="24"/>
          <w:highlight w:val="none"/>
          <w:u w:val="dotted"/>
          <w14:textFill>
            <w14:solidFill>
              <w14:schemeClr w14:val="tx1"/>
            </w14:solidFill>
          </w14:textFill>
        </w:rPr>
        <w:t xml:space="preserve">                                         </w:t>
      </w:r>
    </w:p>
    <w:p w14:paraId="36C80469">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533B8FB8">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7A70F2C3">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55750487">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048E4580">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质疑事项2</w:t>
      </w:r>
    </w:p>
    <w:p w14:paraId="16F0DD33">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32902EB8">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四、与质疑事项相关的质疑请求</w:t>
      </w:r>
    </w:p>
    <w:p w14:paraId="6EA1A776">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p>
    <w:p w14:paraId="30341BF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7FDB506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5D96C167">
      <w:pPr>
        <w:spacing w:line="360" w:lineRule="auto"/>
        <w:jc w:val="center"/>
        <w:rPr>
          <w:rFonts w:ascii="宋体" w:hAnsi="宋体" w:cs="宋体"/>
          <w:b/>
          <w:bCs/>
          <w:color w:val="000000" w:themeColor="text1"/>
          <w:sz w:val="24"/>
          <w:highlight w:val="none"/>
          <w14:textFill>
            <w14:solidFill>
              <w14:schemeClr w14:val="tx1"/>
            </w14:solidFill>
          </w14:textFill>
        </w:rPr>
      </w:pPr>
    </w:p>
    <w:p w14:paraId="410EE112">
      <w:pPr>
        <w:spacing w:line="360" w:lineRule="auto"/>
        <w:rPr>
          <w:rFonts w:ascii="宋体" w:hAnsi="宋体" w:cs="宋体"/>
          <w:b/>
          <w:color w:val="000000" w:themeColor="text1"/>
          <w:sz w:val="24"/>
          <w:highlight w:val="none"/>
          <w14:textFill>
            <w14:solidFill>
              <w14:schemeClr w14:val="tx1"/>
            </w14:solidFill>
          </w14:textFill>
        </w:rPr>
      </w:pPr>
    </w:p>
    <w:p w14:paraId="2C6282DA">
      <w:pPr>
        <w:spacing w:line="360" w:lineRule="auto"/>
        <w:rPr>
          <w:rFonts w:ascii="宋体" w:hAnsi="宋体" w:cs="宋体"/>
          <w:b/>
          <w:color w:val="000000" w:themeColor="text1"/>
          <w:sz w:val="24"/>
          <w:highlight w:val="none"/>
          <w14:textFill>
            <w14:solidFill>
              <w14:schemeClr w14:val="tx1"/>
            </w14:solidFill>
          </w14:textFill>
        </w:rPr>
      </w:pPr>
    </w:p>
    <w:p w14:paraId="6D78C789">
      <w:pPr>
        <w:spacing w:line="360" w:lineRule="auto"/>
        <w:rPr>
          <w:rFonts w:ascii="宋体" w:hAnsi="宋体" w:cs="宋体"/>
          <w:b/>
          <w:color w:val="000000" w:themeColor="text1"/>
          <w:sz w:val="24"/>
          <w:highlight w:val="none"/>
          <w14:textFill>
            <w14:solidFill>
              <w14:schemeClr w14:val="tx1"/>
            </w14:solidFill>
          </w14:textFill>
        </w:rPr>
      </w:pPr>
    </w:p>
    <w:p w14:paraId="14A68242">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质疑函制作说明：</w:t>
      </w:r>
    </w:p>
    <w:p w14:paraId="6F305CF8">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1.供应商提出质疑时，应提交质疑函和必要的证明材料。</w:t>
      </w:r>
    </w:p>
    <w:p w14:paraId="4554974D">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168DECE5">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3.质疑供应商若对项目的某一分包进行质疑，质疑函中应列明具体分包号。</w:t>
      </w:r>
    </w:p>
    <w:p w14:paraId="6C828858">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4.质疑函的质疑事项应具体、明确，并有必要的事实依据和法律依据。</w:t>
      </w:r>
    </w:p>
    <w:p w14:paraId="22D3F565">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5.质疑函的质疑请求应与质疑事项相关。</w:t>
      </w:r>
    </w:p>
    <w:p w14:paraId="1DB0A072">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66297BA9">
      <w:pPr>
        <w:widowControl/>
        <w:spacing w:line="360" w:lineRule="auto"/>
        <w:ind w:firstLine="600" w:firstLineChars="200"/>
        <w:jc w:val="left"/>
        <w:rPr>
          <w:rFonts w:ascii="宋体" w:hAnsi="宋体" w:cs="宋体"/>
          <w:color w:val="000000" w:themeColor="text1"/>
          <w:sz w:val="30"/>
          <w:szCs w:val="30"/>
          <w:highlight w:val="none"/>
          <w14:textFill>
            <w14:solidFill>
              <w14:schemeClr w14:val="tx1"/>
            </w14:solidFill>
          </w14:textFill>
        </w:rPr>
      </w:pPr>
    </w:p>
    <w:p w14:paraId="5710966C">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1BB1AE80">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29597FEE">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0F1BAD14">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5ED164BF">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775221E0">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21E40A7B">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60CCDCC2">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79DEA4FC">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70B0BA34">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5CFC541D">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4820DAFD">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p>
    <w:p w14:paraId="16AD2891">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w:t>
      </w:r>
      <w:r>
        <w:rPr>
          <w:rFonts w:hint="eastAsia" w:ascii="宋体" w:hAnsi="宋体" w:cs="宋体"/>
          <w:b/>
          <w:color w:val="000000" w:themeColor="text1"/>
          <w:spacing w:val="6"/>
          <w:sz w:val="32"/>
          <w:szCs w:val="32"/>
          <w:highlight w:val="none"/>
          <w:lang w:val="en-US" w:eastAsia="zh-CN"/>
          <w14:textFill>
            <w14:solidFill>
              <w14:schemeClr w14:val="tx1"/>
            </w14:solidFill>
          </w14:textFill>
        </w:rPr>
        <w:t>2</w:t>
      </w:r>
      <w:r>
        <w:rPr>
          <w:rFonts w:hint="eastAsia" w:ascii="宋体" w:hAnsi="宋体" w:cs="宋体"/>
          <w:b/>
          <w:color w:val="000000" w:themeColor="text1"/>
          <w:spacing w:val="6"/>
          <w:sz w:val="32"/>
          <w:szCs w:val="32"/>
          <w:highlight w:val="none"/>
          <w14:textFill>
            <w14:solidFill>
              <w14:schemeClr w14:val="tx1"/>
            </w14:solidFill>
          </w14:textFill>
        </w:rPr>
        <w:t>：投诉书范本及制作说明</w:t>
      </w:r>
    </w:p>
    <w:p w14:paraId="10D09A83">
      <w:pPr>
        <w:spacing w:line="360" w:lineRule="auto"/>
        <w:jc w:val="center"/>
        <w:rPr>
          <w:rFonts w:ascii="宋体" w:hAnsi="宋体" w:cs="宋体"/>
          <w:b/>
          <w:color w:val="000000" w:themeColor="text1"/>
          <w:sz w:val="24"/>
          <w:highlight w:val="none"/>
          <w14:textFill>
            <w14:solidFill>
              <w14:schemeClr w14:val="tx1"/>
            </w14:solidFill>
          </w14:textFill>
        </w:rPr>
      </w:pPr>
    </w:p>
    <w:p w14:paraId="36876CF6">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投诉书范本</w:t>
      </w:r>
    </w:p>
    <w:p w14:paraId="4239696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一、投诉相关主体基本情况</w:t>
      </w:r>
    </w:p>
    <w:p w14:paraId="5D9F5315">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w:t>
      </w:r>
      <w:r>
        <w:rPr>
          <w:rFonts w:hint="eastAsia" w:ascii="宋体" w:hAnsi="宋体" w:cs="宋体"/>
          <w:color w:val="000000" w:themeColor="text1"/>
          <w:sz w:val="24"/>
          <w:highlight w:val="none"/>
          <w:u w:val="dotted"/>
          <w14:textFill>
            <w14:solidFill>
              <w14:schemeClr w14:val="tx1"/>
            </w14:solidFill>
          </w14:textFill>
        </w:rPr>
        <w:t xml:space="preserve">                                               </w:t>
      </w:r>
    </w:p>
    <w:p w14:paraId="754F0BE6">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6E57C5EB">
      <w:pPr>
        <w:tabs>
          <w:tab w:val="left" w:pos="6510"/>
        </w:tabs>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法定代表人/主要负责人：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30BD004B">
      <w:pPr>
        <w:tabs>
          <w:tab w:val="left" w:pos="6510"/>
        </w:tabs>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6F06902F">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3645FBEC">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dotted"/>
          <w14:textFill>
            <w14:solidFill>
              <w14:schemeClr w14:val="tx1"/>
            </w14:solidFill>
          </w14:textFill>
        </w:rPr>
        <w:t xml:space="preserve">                   </w:t>
      </w:r>
    </w:p>
    <w:p w14:paraId="10EE843A">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被投诉人1：</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7B02505F">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27EBF1A0">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24CC081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被投诉人2</w:t>
      </w:r>
    </w:p>
    <w:p w14:paraId="3E16EEA8">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6A94C965">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相关供应商：</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10BBEA9D">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0BBDC976">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3D5462A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二、投诉项目基本情况</w:t>
      </w:r>
    </w:p>
    <w:p w14:paraId="12F2B5D4">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采购项目名称：</w:t>
      </w:r>
      <w:r>
        <w:rPr>
          <w:rFonts w:hint="eastAsia" w:ascii="宋体" w:hAnsi="宋体" w:cs="宋体"/>
          <w:color w:val="000000" w:themeColor="text1"/>
          <w:sz w:val="24"/>
          <w:highlight w:val="none"/>
          <w:u w:val="dotted"/>
          <w14:textFill>
            <w14:solidFill>
              <w14:schemeClr w14:val="tx1"/>
            </w14:solidFill>
          </w14:textFill>
        </w:rPr>
        <w:t xml:space="preserve">                                        </w:t>
      </w:r>
    </w:p>
    <w:p w14:paraId="0A04A5F0">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2E919C4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2A92A042">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代理机构名称：</w:t>
      </w:r>
      <w:r>
        <w:rPr>
          <w:rFonts w:hint="eastAsia" w:ascii="宋体" w:hAnsi="宋体" w:cs="宋体"/>
          <w:color w:val="000000" w:themeColor="text1"/>
          <w:sz w:val="24"/>
          <w:highlight w:val="none"/>
          <w:u w:val="dotted"/>
          <w14:textFill>
            <w14:solidFill>
              <w14:schemeClr w14:val="tx1"/>
            </w14:solidFill>
          </w14:textFill>
        </w:rPr>
        <w:t xml:space="preserve">                                         </w:t>
      </w:r>
    </w:p>
    <w:p w14:paraId="3A7B6D90">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14:paraId="7484E7B7">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采购结果公告: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14:paraId="313E690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三、质疑基本情况</w:t>
      </w:r>
    </w:p>
    <w:p w14:paraId="05296030">
      <w:pPr>
        <w:spacing w:line="360" w:lineRule="auto"/>
        <w:ind w:firstLine="480" w:firstLineChars="200"/>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日,向</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提出质疑，质疑事项为：</w:t>
      </w:r>
      <w:r>
        <w:rPr>
          <w:rFonts w:hint="eastAsia" w:ascii="宋体" w:hAnsi="宋体" w:cs="宋体"/>
          <w:color w:val="000000" w:themeColor="text1"/>
          <w:sz w:val="24"/>
          <w:highlight w:val="none"/>
          <w:u w:val="dotted"/>
          <w14:textFill>
            <w14:solidFill>
              <w14:schemeClr w14:val="tx1"/>
            </w14:solidFill>
          </w14:textFill>
        </w:rPr>
        <w:t xml:space="preserve">                                </w:t>
      </w:r>
    </w:p>
    <w:p w14:paraId="41B69CF2">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419A46B1">
      <w:pPr>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采购人/代理机构</w:t>
      </w:r>
      <w:r>
        <w:rPr>
          <w:rFonts w:hint="eastAsia" w:ascii="宋体" w:hAnsi="宋体" w:cs="宋体"/>
          <w:color w:val="000000" w:themeColor="text1"/>
          <w:sz w:val="24"/>
          <w:highlight w:val="none"/>
          <w14:textFill>
            <w14:solidFill>
              <w14:schemeClr w14:val="tx1"/>
            </w14:solidFill>
          </w14:textFill>
        </w:rPr>
        <w:t>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日,就质疑事项作出了答复/没有在法定期限内作出答复。</w:t>
      </w:r>
    </w:p>
    <w:p w14:paraId="62802D4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四、投诉事项具体内容</w:t>
      </w:r>
    </w:p>
    <w:p w14:paraId="49FE23D4">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 1：</w:t>
      </w:r>
      <w:r>
        <w:rPr>
          <w:rFonts w:hint="eastAsia" w:ascii="宋体" w:hAnsi="宋体" w:cs="宋体"/>
          <w:color w:val="000000" w:themeColor="text1"/>
          <w:sz w:val="24"/>
          <w:highlight w:val="none"/>
          <w:u w:val="dotted"/>
          <w14:textFill>
            <w14:solidFill>
              <w14:schemeClr w14:val="tx1"/>
            </w14:solidFill>
          </w14:textFill>
        </w:rPr>
        <w:t xml:space="preserve">                                       </w:t>
      </w:r>
    </w:p>
    <w:p w14:paraId="515F4C2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48C825F5">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175CB9FD">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067EC23A">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2ACBEF5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投诉事项2</w:t>
      </w:r>
    </w:p>
    <w:p w14:paraId="00B53C6A">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7BB7830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五、与投诉事项相关的投诉请求</w:t>
      </w:r>
    </w:p>
    <w:p w14:paraId="2D050EE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048D4D66">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009AF93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1B68FBD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7887D6A4">
      <w:pPr>
        <w:spacing w:line="360" w:lineRule="auto"/>
        <w:rPr>
          <w:rFonts w:ascii="宋体" w:hAnsi="宋体" w:cs="宋体"/>
          <w:b/>
          <w:color w:val="000000" w:themeColor="text1"/>
          <w:sz w:val="24"/>
          <w:highlight w:val="none"/>
          <w14:textFill>
            <w14:solidFill>
              <w14:schemeClr w14:val="tx1"/>
            </w14:solidFill>
          </w14:textFill>
        </w:rPr>
      </w:pPr>
    </w:p>
    <w:p w14:paraId="2F5748C4">
      <w:pPr>
        <w:spacing w:line="360" w:lineRule="auto"/>
        <w:rPr>
          <w:rFonts w:ascii="宋体" w:hAnsi="宋体" w:cs="宋体"/>
          <w:b/>
          <w:color w:val="000000" w:themeColor="text1"/>
          <w:sz w:val="24"/>
          <w:highlight w:val="none"/>
          <w14:textFill>
            <w14:solidFill>
              <w14:schemeClr w14:val="tx1"/>
            </w14:solidFill>
          </w14:textFill>
        </w:rPr>
      </w:pPr>
    </w:p>
    <w:p w14:paraId="24EB9FCD">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投诉书制作说明：</w:t>
      </w:r>
    </w:p>
    <w:p w14:paraId="0707BF58">
      <w:pPr>
        <w:widowControl/>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5C487C4D">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3A577DB8">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3.投诉人若对项目的某一分包进行投诉，投诉书应列明具体分包号。</w:t>
      </w:r>
    </w:p>
    <w:p w14:paraId="5F59ABA4">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4.投诉书应简要列明质疑事项，质疑函、质疑答复等作为附件材料提供。</w:t>
      </w:r>
    </w:p>
    <w:p w14:paraId="7B359427">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5.投诉书的投诉事项应具体、明确，并有必要的事实依据和法律依据。</w:t>
      </w:r>
    </w:p>
    <w:p w14:paraId="322A5023">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6.投诉书的投诉请求应与投诉事项相关。</w:t>
      </w:r>
    </w:p>
    <w:p w14:paraId="0059AACC">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1E8960C7">
      <w:pPr>
        <w:spacing w:line="360" w:lineRule="auto"/>
        <w:rPr>
          <w:rFonts w:ascii="宋体" w:hAnsi="宋体" w:cs="宋体"/>
          <w:b/>
          <w:color w:val="000000" w:themeColor="text1"/>
          <w:sz w:val="24"/>
          <w:highlight w:val="none"/>
          <w14:textFill>
            <w14:solidFill>
              <w14:schemeClr w14:val="tx1"/>
            </w14:solidFill>
          </w14:textFill>
        </w:rPr>
      </w:pPr>
    </w:p>
    <w:p w14:paraId="50C36376">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C942A7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30BCABF">
      <w:pPr>
        <w:autoSpaceDE w:val="0"/>
        <w:autoSpaceDN w:val="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w:t>
      </w:r>
      <w:r>
        <w:rPr>
          <w:rFonts w:hint="eastAsia" w:ascii="宋体" w:hAnsi="宋体" w:cs="宋体"/>
          <w:b/>
          <w:color w:val="000000" w:themeColor="text1"/>
          <w:spacing w:val="6"/>
          <w:sz w:val="32"/>
          <w:szCs w:val="32"/>
          <w:highlight w:val="none"/>
          <w:lang w:val="en-US" w:eastAsia="zh-CN"/>
          <w14:textFill>
            <w14:solidFill>
              <w14:schemeClr w14:val="tx1"/>
            </w14:solidFill>
          </w14:textFill>
        </w:rPr>
        <w:t>3</w:t>
      </w:r>
      <w:r>
        <w:rPr>
          <w:rFonts w:hint="eastAsia" w:ascii="宋体" w:hAnsi="宋体" w:cs="宋体"/>
          <w:b/>
          <w:color w:val="000000" w:themeColor="text1"/>
          <w:spacing w:val="6"/>
          <w:sz w:val="32"/>
          <w:szCs w:val="32"/>
          <w:highlight w:val="none"/>
          <w14:textFill>
            <w14:solidFill>
              <w14:schemeClr w14:val="tx1"/>
            </w14:solidFill>
          </w14:textFill>
        </w:rPr>
        <w:t>：</w:t>
      </w:r>
      <w:r>
        <w:rPr>
          <w:rFonts w:hint="eastAsia" w:ascii="宋体" w:hAnsi="宋体" w:cs="宋体"/>
          <w:b/>
          <w:bCs/>
          <w:color w:val="000000" w:themeColor="text1"/>
          <w:sz w:val="32"/>
          <w:szCs w:val="32"/>
          <w:highlight w:val="none"/>
          <w14:textFill>
            <w14:solidFill>
              <w14:schemeClr w14:val="tx1"/>
            </w14:solidFill>
          </w14:textFill>
        </w:rPr>
        <w:t>业务专用章使用说明函</w:t>
      </w:r>
    </w:p>
    <w:p w14:paraId="4CC4D946">
      <w:pPr>
        <w:spacing w:line="360" w:lineRule="auto"/>
        <w:rPr>
          <w:rFonts w:ascii="宋体" w:hAnsi="宋体" w:cs="宋体"/>
          <w:color w:val="000000" w:themeColor="text1"/>
          <w:sz w:val="24"/>
          <w:highlight w:val="none"/>
          <w:u w:val="single"/>
          <w14:textFill>
            <w14:solidFill>
              <w14:schemeClr w14:val="tx1"/>
            </w14:solidFill>
          </w14:textFill>
        </w:rPr>
      </w:pPr>
    </w:p>
    <w:p w14:paraId="74CA419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lang w:eastAsia="zh-CN"/>
          <w14:textFill>
            <w14:solidFill>
              <w14:schemeClr w14:val="tx1"/>
            </w14:solidFill>
          </w14:textFill>
        </w:rPr>
        <w:t>温州眼谷小镇运营管理有限公司</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u w:val="single"/>
          <w:lang w:eastAsia="zh-CN"/>
          <w14:textFill>
            <w14:solidFill>
              <w14:schemeClr w14:val="tx1"/>
            </w14:solidFill>
          </w14:textFill>
        </w:rPr>
        <w:t>浙江宏信项目管理有限公司</w:t>
      </w:r>
      <w:r>
        <w:rPr>
          <w:rFonts w:hint="eastAsia" w:ascii="宋体" w:hAnsi="宋体" w:cs="宋体"/>
          <w:color w:val="000000" w:themeColor="text1"/>
          <w:sz w:val="24"/>
          <w:highlight w:val="none"/>
          <w:u w:val="single"/>
          <w14:textFill>
            <w14:solidFill>
              <w14:schemeClr w14:val="tx1"/>
            </w14:solidFill>
          </w14:textFill>
        </w:rPr>
        <w:t>：</w:t>
      </w:r>
    </w:p>
    <w:p w14:paraId="595C589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我方</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(投标人全称)是中华人民共和国依法登记注册的合法企业，</w:t>
      </w:r>
      <w:r>
        <w:rPr>
          <w:rFonts w:hint="eastAsia" w:ascii="宋体" w:hAnsi="宋体" w:cs="宋体"/>
          <w:bCs/>
          <w:color w:val="000000" w:themeColor="text1"/>
          <w:sz w:val="24"/>
          <w:highlight w:val="none"/>
          <w14:textFill>
            <w14:solidFill>
              <w14:schemeClr w14:val="tx1"/>
            </w14:solidFill>
          </w14:textFill>
        </w:rPr>
        <w:t>在参加</w:t>
      </w:r>
      <w:r>
        <w:rPr>
          <w:rFonts w:hint="eastAsia" w:ascii="宋体" w:hAnsi="宋体" w:cs="宋体"/>
          <w:color w:val="000000" w:themeColor="text1"/>
          <w:sz w:val="24"/>
          <w:highlight w:val="none"/>
          <w14:textFill>
            <w14:solidFill>
              <w14:schemeClr w14:val="tx1"/>
            </w14:solidFill>
          </w14:textFill>
        </w:rPr>
        <w:t>你方组织的</w:t>
      </w:r>
      <w:r>
        <w:rPr>
          <w:rFonts w:hint="eastAsia" w:ascii="宋体" w:hAnsi="宋体" w:cs="宋体"/>
          <w:color w:val="000000" w:themeColor="text1"/>
          <w:sz w:val="24"/>
          <w:highlight w:val="none"/>
          <w:lang w:eastAsia="zh-CN"/>
          <w14:textFill>
            <w14:solidFill>
              <w14:schemeClr w14:val="tx1"/>
            </w14:solidFill>
          </w14:textFill>
        </w:rPr>
        <w:t>龙湾区第一人民医院普通电动床、血透床、转运床、治疗车、麻醉车等设备采购项目</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ZJHX-2024101801</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投标活动中作如下说明：</w:t>
      </w:r>
      <w:r>
        <w:rPr>
          <w:rFonts w:hint="eastAsia" w:ascii="宋体" w:hAnsi="宋体"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3AC06A2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特此说明。</w:t>
      </w:r>
    </w:p>
    <w:p w14:paraId="7E5477C1">
      <w:pPr>
        <w:spacing w:line="360" w:lineRule="auto"/>
        <w:ind w:firstLine="494"/>
        <w:rPr>
          <w:rFonts w:ascii="宋体" w:hAnsi="宋体" w:cs="宋体"/>
          <w:color w:val="000000" w:themeColor="text1"/>
          <w:sz w:val="24"/>
          <w:highlight w:val="none"/>
          <w14:textFill>
            <w14:solidFill>
              <w14:schemeClr w14:val="tx1"/>
            </w14:solidFill>
          </w14:textFill>
        </w:rPr>
      </w:pPr>
    </w:p>
    <w:p w14:paraId="31165190">
      <w:pPr>
        <w:spacing w:line="360" w:lineRule="auto"/>
        <w:ind w:firstLine="494"/>
        <w:rPr>
          <w:rFonts w:ascii="宋体" w:hAnsi="宋体" w:cs="宋体"/>
          <w:color w:val="000000" w:themeColor="text1"/>
          <w:sz w:val="24"/>
          <w:highlight w:val="none"/>
          <w14:textFill>
            <w14:solidFill>
              <w14:schemeClr w14:val="tx1"/>
            </w14:solidFill>
          </w14:textFill>
        </w:rPr>
      </w:pPr>
    </w:p>
    <w:p w14:paraId="71CA6A6D">
      <w:pPr>
        <w:spacing w:line="360" w:lineRule="auto"/>
        <w:ind w:firstLine="494"/>
        <w:rPr>
          <w:rFonts w:ascii="宋体" w:hAnsi="宋体" w:cs="宋体"/>
          <w:color w:val="000000" w:themeColor="text1"/>
          <w:sz w:val="24"/>
          <w:highlight w:val="none"/>
          <w14:textFill>
            <w14:solidFill>
              <w14:schemeClr w14:val="tx1"/>
            </w14:solidFill>
          </w14:textFill>
        </w:rPr>
      </w:pPr>
    </w:p>
    <w:p w14:paraId="21935E13">
      <w:pPr>
        <w:spacing w:line="360" w:lineRule="auto"/>
        <w:ind w:right="480" w:firstLine="4080" w:firstLineChars="17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投标单位（法定名称章）：</w:t>
      </w:r>
    </w:p>
    <w:p w14:paraId="21CCCDB7">
      <w:pPr>
        <w:ind w:right="1440" w:firstLine="494"/>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69F9AF0F">
      <w:pP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w:t>
      </w:r>
    </w:p>
    <w:p w14:paraId="2500656F">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000000" w:themeColor="text1"/>
          <w:sz w:val="24"/>
          <w:highlight w:val="none"/>
          <w14:textFill>
            <w14:solidFill>
              <w14:schemeClr w14:val="tx1"/>
            </w14:solidFill>
          </w14:textFill>
        </w:rPr>
        <w:t>投标单位法定名称章（印模）                投标单位“XX专用章”（印模）</w:t>
      </w:r>
    </w:p>
    <w:p w14:paraId="08474CBD">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D95E94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3A62A0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3F368E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39C6BAC">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C851D2F">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CD2EF14">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84BEE08">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B0894DF">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D28F488">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7DCF5E0">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E1A787C">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88B973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CBF8972">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1C1481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D718E95">
      <w:pPr>
        <w:pStyle w:val="24"/>
        <w:rPr>
          <w:rFonts w:ascii="宋体" w:hAnsi="宋体" w:cs="宋体"/>
          <w:b/>
          <w:color w:val="000000" w:themeColor="text1"/>
          <w:spacing w:val="6"/>
          <w:sz w:val="32"/>
          <w:szCs w:val="32"/>
          <w:highlight w:val="none"/>
          <w14:textFill>
            <w14:solidFill>
              <w14:schemeClr w14:val="tx1"/>
            </w14:solidFill>
          </w14:textFill>
        </w:rPr>
      </w:pPr>
    </w:p>
    <w:p w14:paraId="3672790C">
      <w:pPr>
        <w:spacing w:line="360" w:lineRule="auto"/>
        <w:rPr>
          <w:rFonts w:ascii="宋体" w:hAnsi="宋体" w:cs="宋体"/>
          <w:bCs/>
          <w:color w:val="000000" w:themeColor="text1"/>
          <w:sz w:val="24"/>
          <w:highlight w:val="none"/>
          <w14:textFill>
            <w14:solidFill>
              <w14:schemeClr w14:val="tx1"/>
            </w14:solidFill>
          </w14:textFill>
        </w:rPr>
      </w:pPr>
    </w:p>
    <w:sectPr>
      <w:headerReference r:id="rId27" w:type="first"/>
      <w:footerReference r:id="rId30" w:type="first"/>
      <w:headerReference r:id="rId26" w:type="default"/>
      <w:footerReference r:id="rId28" w:type="default"/>
      <w:footerReference r:id="rId29"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3EFB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188F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9F6AC45">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1846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4FBEE5E">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E383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B3E6B2C">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3742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ADE3531">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6CCB5">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5E451">
    <w:pPr>
      <w:pStyle w:val="40"/>
      <w:framePr w:wrap="around" w:vAnchor="text" w:hAnchor="margin" w:xAlign="right" w:y="1"/>
      <w:rPr>
        <w:rStyle w:val="73"/>
      </w:rPr>
    </w:pPr>
    <w:r>
      <w:fldChar w:fldCharType="begin"/>
    </w:r>
    <w:r>
      <w:rPr>
        <w:rStyle w:val="73"/>
      </w:rPr>
      <w:instrText xml:space="preserve">PAGE  </w:instrText>
    </w:r>
    <w:r>
      <w:fldChar w:fldCharType="end"/>
    </w:r>
  </w:p>
  <w:p w14:paraId="00DB822C">
    <w:pPr>
      <w:pStyle w:val="40"/>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AC1D6">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390" w:name="_Toc164085800"/>
    <w:bookmarkStart w:id="391" w:name="_Toc91899912"/>
    <w:bookmarkStart w:id="392" w:name="_Toc36110187"/>
    <w:bookmarkStart w:id="393" w:name="_Toc131845147"/>
    <w:r>
      <w:rPr>
        <w:rFonts w:hint="eastAsia" w:ascii="仿宋_GB2312" w:eastAsia="仿宋_GB2312"/>
        <w:kern w:val="0"/>
        <w:szCs w:val="21"/>
      </w:rPr>
      <w:t xml:space="preserve"> 页</w:t>
    </w:r>
    <w:bookmarkEnd w:id="390"/>
    <w:bookmarkEnd w:id="391"/>
    <w:bookmarkEnd w:id="392"/>
    <w:bookmarkEnd w:id="39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EEC89">
    <w:pPr>
      <w:pStyle w:val="40"/>
      <w:framePr w:wrap="around" w:vAnchor="text" w:hAnchor="margin" w:xAlign="right" w:y="1"/>
      <w:rPr>
        <w:rStyle w:val="73"/>
      </w:rPr>
    </w:pPr>
    <w:r>
      <w:fldChar w:fldCharType="begin"/>
    </w:r>
    <w:r>
      <w:rPr>
        <w:rStyle w:val="73"/>
      </w:rPr>
      <w:instrText xml:space="preserve">PAGE  </w:instrText>
    </w:r>
    <w:r>
      <w:fldChar w:fldCharType="end"/>
    </w:r>
  </w:p>
  <w:p w14:paraId="702B6472">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017A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40C4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93FCB6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E2BF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EFACBE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0432F">
    <w:pPr>
      <w:pStyle w:val="4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84F532">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984F532">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323E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98BE38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BA3E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BB262D8">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03DF1">
    <w:pPr>
      <w:pStyle w:val="4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988E59">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F988E59">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48553">
    <w:pPr>
      <w:pStyle w:val="41"/>
      <w:pBdr>
        <w:bottom w:val="single" w:color="auto" w:sz="6" w:space="4"/>
      </w:pBdr>
      <w:jc w:val="right"/>
      <w:rPr>
        <w:rFonts w:hint="eastAsia" w:eastAsia="宋体"/>
        <w:lang w:eastAsia="zh-CN"/>
      </w:rPr>
    </w:pPr>
    <w:r>
      <w:t></w:t>
    </w:r>
    <w:r>
      <w:rPr>
        <w:rFonts w:hint="eastAsia"/>
      </w:rPr>
      <w:t xml:space="preserve">            </w:t>
    </w:r>
  </w:p>
  <w:p w14:paraId="3652E8A3">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38D4C">
    <w:pPr>
      <w:pStyle w:val="41"/>
      <w:jc w:val="right"/>
      <w:rPr>
        <w:rFonts w:hint="eastAsia" w:eastAsia="宋体"/>
        <w:lang w:eastAsia="zh-CN"/>
      </w:rPr>
    </w:pPr>
    <w:r>
      <w:rPr>
        <w:rFonts w:hint="eastAsia"/>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7057C">
    <w:pPr>
      <w:pStyle w:val="41"/>
      <w:jc w:val="right"/>
      <w:rPr>
        <w:rFonts w:hint="eastAsia" w:ascii="仿宋_GB2312" w:eastAsia="宋体"/>
        <w:b/>
        <w:i/>
        <w:iCs/>
        <w:u w:val="single"/>
        <w:lang w:eastAsia="zh-CN"/>
      </w:rPr>
    </w:pPr>
    <w:r>
      <w: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75162">
    <w:pPr>
      <w:pStyle w:val="41"/>
      <w:rPr>
        <w:rFonts w:hint="eastAsia" w:eastAsia="宋体"/>
        <w:lang w:eastAsia="zh-CN"/>
      </w:rPr>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680A8">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CF33B">
    <w:pPr>
      <w:pStyle w:val="41"/>
      <w:jc w:val="right"/>
      <w:rPr>
        <w:rFonts w:hint="eastAsia" w:ascii="仿宋_GB2312" w:eastAsia="宋体"/>
        <w:b/>
        <w:i/>
        <w:u w:val="single"/>
        <w:lang w:eastAsia="zh-CN"/>
      </w:rPr>
    </w:pPr>
    <w:r>
      <w:t></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A4E0C">
    <w:pPr>
      <w:pStyle w:val="41"/>
    </w:pPr>
    <w:r>
      <w:t></w:t>
    </w:r>
    <w:r>
      <w:rPr>
        <w:rFonts w:hint="eastAsia"/>
      </w:rPr>
      <w:t xml:space="preserve">         </w:t>
    </w:r>
  </w:p>
  <w:p w14:paraId="65F27E62">
    <w:pPr>
      <w:pStyle w:val="41"/>
      <w:rPr>
        <w:rFonts w:hint="eastAsia" w:eastAsia="宋体"/>
        <w:lang w:eastAsia="zh-CN"/>
      </w:rPr>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5121A">
    <w:pPr>
      <w:pStyle w:val="41"/>
      <w:jc w:val="right"/>
      <w:rPr>
        <w:rFonts w:hint="eastAsia" w:ascii="仿宋_GB2312" w:eastAsia="宋体"/>
        <w:b/>
        <w:i/>
        <w:u w:val="single"/>
        <w:lang w:eastAsia="zh-CN"/>
      </w:rPr>
    </w:pPr>
    <w:r>
      <w:t></w:t>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01DA4">
    <w:pPr>
      <w:pStyle w:val="41"/>
    </w:pPr>
    <w:r>
      <w:t></w:t>
    </w:r>
    <w:r>
      <w:rPr>
        <w:rFonts w:hint="eastAsia"/>
      </w:rPr>
      <w:t xml:space="preserve">         </w:t>
    </w:r>
  </w:p>
  <w:p w14:paraId="3EA597E8">
    <w:pPr>
      <w:pStyle w:val="41"/>
      <w:rPr>
        <w:rFonts w:hint="eastAsia" w:eastAsia="宋体"/>
        <w:lang w:eastAsia="zh-CN"/>
      </w:rPr>
    </w:pP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5653C">
    <w:pPr>
      <w:pStyle w:val="41"/>
      <w:rPr>
        <w:rFonts w:hint="eastAsia" w:ascii="仿宋_GB2312" w:eastAsia="宋体"/>
        <w:b/>
        <w:i/>
        <w:u w:val="single"/>
        <w:lang w:eastAsia="zh-CN"/>
      </w:rPr>
    </w:pPr>
    <w:r>
      <w:t></w:t>
    </w:r>
    <w:r>
      <w:rPr>
        <w:rFonts w:hint="eastAsia"/>
      </w:rPr>
      <w:t xml:space="preserve">                                           </w:t>
    </w:r>
  </w:p>
  <w:p w14:paraId="5AA5889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A1548">
    <w:pPr>
      <w:pStyle w:val="41"/>
      <w:jc w:val="right"/>
      <w:rPr>
        <w:rFonts w:hint="eastAsia" w:eastAsia="宋体"/>
        <w:lang w:eastAsia="zh-CN"/>
      </w:rPr>
    </w:pPr>
    <w:r>
      <w:t></w:t>
    </w: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D7FBB">
    <w:pPr>
      <w:pStyle w:val="41"/>
      <w:jc w:val="right"/>
      <w:rPr>
        <w:rFonts w:hint="eastAsia" w:ascii="仿宋_GB2312" w:eastAsia="宋体"/>
        <w:b/>
        <w:i/>
        <w:u w:val="single"/>
        <w:lang w:eastAsia="zh-CN"/>
      </w:rPr>
    </w:pPr>
    <w:r>
      <w:rPr>
        <w:rFonts w:hint="eastAsia"/>
      </w:rPr>
      <w:t xml:space="preserve">                                </w:t>
    </w:r>
  </w:p>
  <w:p w14:paraId="50F25A49">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13A496"/>
    <w:multiLevelType w:val="singleLevel"/>
    <w:tmpl w:val="CF13A496"/>
    <w:lvl w:ilvl="0" w:tentative="0">
      <w:start w:val="1"/>
      <w:numFmt w:val="decimal"/>
      <w:suff w:val="nothing"/>
      <w:lvlText w:val="（%1）"/>
      <w:lvlJc w:val="left"/>
    </w:lvl>
  </w:abstractNum>
  <w:abstractNum w:abstractNumId="1">
    <w:nsid w:val="EAD614C2"/>
    <w:multiLevelType w:val="singleLevel"/>
    <w:tmpl w:val="EAD614C2"/>
    <w:lvl w:ilvl="0" w:tentative="0">
      <w:start w:val="1"/>
      <w:numFmt w:val="decimal"/>
      <w:suff w:val="nothing"/>
      <w:lvlText w:val="%1、"/>
      <w:lvlJc w:val="left"/>
    </w:lvl>
  </w:abstractNum>
  <w:abstractNum w:abstractNumId="2">
    <w:nsid w:val="F2BE2543"/>
    <w:multiLevelType w:val="singleLevel"/>
    <w:tmpl w:val="F2BE2543"/>
    <w:lvl w:ilvl="0" w:tentative="0">
      <w:start w:val="7"/>
      <w:numFmt w:val="decimal"/>
      <w:suff w:val="nothing"/>
      <w:lvlText w:val="（%1）"/>
      <w:lvlJc w:val="left"/>
    </w:lvl>
  </w:abstractNum>
  <w:abstractNum w:abstractNumId="3">
    <w:nsid w:val="11A17D0E"/>
    <w:multiLevelType w:val="singleLevel"/>
    <w:tmpl w:val="11A17D0E"/>
    <w:lvl w:ilvl="0" w:tentative="0">
      <w:start w:val="2"/>
      <w:numFmt w:val="decimal"/>
      <w:suff w:val="nothing"/>
      <w:lvlText w:val="%1、"/>
      <w:lvlJc w:val="left"/>
    </w:lvl>
  </w:abstractNum>
  <w:abstractNum w:abstractNumId="4">
    <w:nsid w:val="22F44A57"/>
    <w:multiLevelType w:val="singleLevel"/>
    <w:tmpl w:val="22F44A57"/>
    <w:lvl w:ilvl="0" w:tentative="0">
      <w:start w:val="1"/>
      <w:numFmt w:val="chineseCounting"/>
      <w:suff w:val="nothing"/>
      <w:lvlText w:val="（%1）"/>
      <w:lvlJc w:val="left"/>
      <w:rPr>
        <w:rFonts w:hint="eastAsia"/>
      </w:rPr>
    </w:lvl>
  </w:abstractNum>
  <w:abstractNum w:abstractNumId="5">
    <w:nsid w:val="250742F5"/>
    <w:multiLevelType w:val="singleLevel"/>
    <w:tmpl w:val="250742F5"/>
    <w:lvl w:ilvl="0" w:tentative="0">
      <w:start w:val="1"/>
      <w:numFmt w:val="decimal"/>
      <w:suff w:val="nothing"/>
      <w:lvlText w:val="%1、"/>
      <w:lvlJc w:val="left"/>
    </w:lvl>
  </w:abstractNum>
  <w:abstractNum w:abstractNumId="6">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5D71722"/>
    <w:multiLevelType w:val="singleLevel"/>
    <w:tmpl w:val="35D71722"/>
    <w:lvl w:ilvl="0" w:tentative="0">
      <w:start w:val="2"/>
      <w:numFmt w:val="chineseCounting"/>
      <w:suff w:val="nothing"/>
      <w:lvlText w:val="%1、"/>
      <w:lvlJc w:val="left"/>
      <w:rPr>
        <w:rFonts w:hint="eastAsia"/>
      </w:rPr>
    </w:lvl>
  </w:abstractNum>
  <w:num w:numId="1">
    <w:abstractNumId w:val="6"/>
  </w:num>
  <w:num w:numId="2">
    <w:abstractNumId w:val="4"/>
  </w:num>
  <w:num w:numId="3">
    <w:abstractNumId w:val="5"/>
  </w:num>
  <w:num w:numId="4">
    <w:abstractNumId w:val="3"/>
  </w:num>
  <w:num w:numId="5">
    <w:abstractNumId w:val="1"/>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2YzdlMjIwNGFkYTAyM2I2ODQ0MWE1YjA1YzNhMjg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1787"/>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00"/>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4E95"/>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2D0479"/>
    <w:rsid w:val="01563249"/>
    <w:rsid w:val="019F7441"/>
    <w:rsid w:val="01B37585"/>
    <w:rsid w:val="01D55165"/>
    <w:rsid w:val="01DF6BF8"/>
    <w:rsid w:val="01EC2C57"/>
    <w:rsid w:val="02563D3B"/>
    <w:rsid w:val="025F0711"/>
    <w:rsid w:val="026B2E25"/>
    <w:rsid w:val="02824D4D"/>
    <w:rsid w:val="02C40969"/>
    <w:rsid w:val="02DC4B10"/>
    <w:rsid w:val="02DD76CE"/>
    <w:rsid w:val="02EB6C3E"/>
    <w:rsid w:val="02F36323"/>
    <w:rsid w:val="02F5619C"/>
    <w:rsid w:val="0326446A"/>
    <w:rsid w:val="032D5555"/>
    <w:rsid w:val="0345193D"/>
    <w:rsid w:val="036634D2"/>
    <w:rsid w:val="038F265D"/>
    <w:rsid w:val="03DD35E4"/>
    <w:rsid w:val="04076900"/>
    <w:rsid w:val="040C0819"/>
    <w:rsid w:val="041A5A3B"/>
    <w:rsid w:val="042311BA"/>
    <w:rsid w:val="042B157A"/>
    <w:rsid w:val="047D5273"/>
    <w:rsid w:val="048F763B"/>
    <w:rsid w:val="049F330E"/>
    <w:rsid w:val="04AA775C"/>
    <w:rsid w:val="04AF1889"/>
    <w:rsid w:val="04F66F48"/>
    <w:rsid w:val="05251E14"/>
    <w:rsid w:val="053C1931"/>
    <w:rsid w:val="05413410"/>
    <w:rsid w:val="05A16594"/>
    <w:rsid w:val="05A7762D"/>
    <w:rsid w:val="060E5941"/>
    <w:rsid w:val="06110FAF"/>
    <w:rsid w:val="0623356C"/>
    <w:rsid w:val="06493CA7"/>
    <w:rsid w:val="065A6178"/>
    <w:rsid w:val="066F1CF3"/>
    <w:rsid w:val="067803E8"/>
    <w:rsid w:val="06871610"/>
    <w:rsid w:val="06930BB8"/>
    <w:rsid w:val="06C929F2"/>
    <w:rsid w:val="07245D42"/>
    <w:rsid w:val="07264C62"/>
    <w:rsid w:val="07417D06"/>
    <w:rsid w:val="07623CF0"/>
    <w:rsid w:val="0779354C"/>
    <w:rsid w:val="07A25BAF"/>
    <w:rsid w:val="07A5520D"/>
    <w:rsid w:val="07AA637F"/>
    <w:rsid w:val="07D021DC"/>
    <w:rsid w:val="07F83AE4"/>
    <w:rsid w:val="08061376"/>
    <w:rsid w:val="08452D77"/>
    <w:rsid w:val="086401F8"/>
    <w:rsid w:val="08751CAA"/>
    <w:rsid w:val="087E4C40"/>
    <w:rsid w:val="08A871D0"/>
    <w:rsid w:val="08D66AD6"/>
    <w:rsid w:val="08DA33A3"/>
    <w:rsid w:val="08E80F13"/>
    <w:rsid w:val="09335624"/>
    <w:rsid w:val="0944690F"/>
    <w:rsid w:val="09535675"/>
    <w:rsid w:val="095F057D"/>
    <w:rsid w:val="09642282"/>
    <w:rsid w:val="09662010"/>
    <w:rsid w:val="09733572"/>
    <w:rsid w:val="09772C16"/>
    <w:rsid w:val="097E1637"/>
    <w:rsid w:val="09816B42"/>
    <w:rsid w:val="098353B5"/>
    <w:rsid w:val="09A92330"/>
    <w:rsid w:val="09AD65FB"/>
    <w:rsid w:val="09B06B87"/>
    <w:rsid w:val="09C13146"/>
    <w:rsid w:val="09E04166"/>
    <w:rsid w:val="0A00672A"/>
    <w:rsid w:val="0A1C0718"/>
    <w:rsid w:val="0A2908E4"/>
    <w:rsid w:val="0A3E7710"/>
    <w:rsid w:val="0A5B7E63"/>
    <w:rsid w:val="0A736C5C"/>
    <w:rsid w:val="0A9161ED"/>
    <w:rsid w:val="0AA374A5"/>
    <w:rsid w:val="0AAB7649"/>
    <w:rsid w:val="0ABC5606"/>
    <w:rsid w:val="0ADC27FC"/>
    <w:rsid w:val="0B0948DC"/>
    <w:rsid w:val="0B1C57E6"/>
    <w:rsid w:val="0B30404E"/>
    <w:rsid w:val="0B3E315F"/>
    <w:rsid w:val="0B4C6C14"/>
    <w:rsid w:val="0B547599"/>
    <w:rsid w:val="0B631A88"/>
    <w:rsid w:val="0B683D45"/>
    <w:rsid w:val="0B7F3F11"/>
    <w:rsid w:val="0B884417"/>
    <w:rsid w:val="0BED3464"/>
    <w:rsid w:val="0BF6188C"/>
    <w:rsid w:val="0BF73C91"/>
    <w:rsid w:val="0C163F31"/>
    <w:rsid w:val="0C170175"/>
    <w:rsid w:val="0C571A41"/>
    <w:rsid w:val="0C5C1171"/>
    <w:rsid w:val="0C5C1C12"/>
    <w:rsid w:val="0C5E1CBC"/>
    <w:rsid w:val="0C615B50"/>
    <w:rsid w:val="0C8445DA"/>
    <w:rsid w:val="0C87121B"/>
    <w:rsid w:val="0CC007F7"/>
    <w:rsid w:val="0CC617AC"/>
    <w:rsid w:val="0CE618DF"/>
    <w:rsid w:val="0CF74AB8"/>
    <w:rsid w:val="0CFE707A"/>
    <w:rsid w:val="0D063BDA"/>
    <w:rsid w:val="0D08375F"/>
    <w:rsid w:val="0D184CFB"/>
    <w:rsid w:val="0D1A2A5B"/>
    <w:rsid w:val="0D4A7419"/>
    <w:rsid w:val="0D554FDF"/>
    <w:rsid w:val="0D827401"/>
    <w:rsid w:val="0D84094E"/>
    <w:rsid w:val="0D854AD0"/>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D008C6"/>
    <w:rsid w:val="103B11F4"/>
    <w:rsid w:val="10646583"/>
    <w:rsid w:val="107D4B15"/>
    <w:rsid w:val="108A3C80"/>
    <w:rsid w:val="109E7744"/>
    <w:rsid w:val="10A67900"/>
    <w:rsid w:val="10B71B0D"/>
    <w:rsid w:val="10C26171"/>
    <w:rsid w:val="10F33360"/>
    <w:rsid w:val="10FC16EA"/>
    <w:rsid w:val="110F1D40"/>
    <w:rsid w:val="111E3742"/>
    <w:rsid w:val="111E6A07"/>
    <w:rsid w:val="11266F33"/>
    <w:rsid w:val="118963A1"/>
    <w:rsid w:val="119C27EA"/>
    <w:rsid w:val="11C6522A"/>
    <w:rsid w:val="11DF131B"/>
    <w:rsid w:val="11E104CC"/>
    <w:rsid w:val="11E20309"/>
    <w:rsid w:val="11F225DB"/>
    <w:rsid w:val="11F72B09"/>
    <w:rsid w:val="11FD79F3"/>
    <w:rsid w:val="12255233"/>
    <w:rsid w:val="122A2112"/>
    <w:rsid w:val="12530213"/>
    <w:rsid w:val="127723A9"/>
    <w:rsid w:val="12862074"/>
    <w:rsid w:val="12883966"/>
    <w:rsid w:val="129E45B4"/>
    <w:rsid w:val="12C03A10"/>
    <w:rsid w:val="12D81596"/>
    <w:rsid w:val="13072A44"/>
    <w:rsid w:val="133E6515"/>
    <w:rsid w:val="135F4BE2"/>
    <w:rsid w:val="139B1A0A"/>
    <w:rsid w:val="139D25C7"/>
    <w:rsid w:val="13BF3CE4"/>
    <w:rsid w:val="13CB7DA9"/>
    <w:rsid w:val="13E8581D"/>
    <w:rsid w:val="141008D8"/>
    <w:rsid w:val="14125FE6"/>
    <w:rsid w:val="146D271E"/>
    <w:rsid w:val="14982588"/>
    <w:rsid w:val="149A5AD9"/>
    <w:rsid w:val="149C3C09"/>
    <w:rsid w:val="14A7619D"/>
    <w:rsid w:val="150536C3"/>
    <w:rsid w:val="150C1963"/>
    <w:rsid w:val="151447A0"/>
    <w:rsid w:val="15316332"/>
    <w:rsid w:val="154A6454"/>
    <w:rsid w:val="15762120"/>
    <w:rsid w:val="15815540"/>
    <w:rsid w:val="15B758DE"/>
    <w:rsid w:val="16A8729C"/>
    <w:rsid w:val="16B33777"/>
    <w:rsid w:val="16BC70A7"/>
    <w:rsid w:val="16C6339E"/>
    <w:rsid w:val="172F2D79"/>
    <w:rsid w:val="173B6FF4"/>
    <w:rsid w:val="17557BEF"/>
    <w:rsid w:val="17881003"/>
    <w:rsid w:val="1791130A"/>
    <w:rsid w:val="17D349C1"/>
    <w:rsid w:val="18244F26"/>
    <w:rsid w:val="1830729E"/>
    <w:rsid w:val="1852128A"/>
    <w:rsid w:val="1870062C"/>
    <w:rsid w:val="18817102"/>
    <w:rsid w:val="18830A15"/>
    <w:rsid w:val="18852B28"/>
    <w:rsid w:val="188B5321"/>
    <w:rsid w:val="190F0738"/>
    <w:rsid w:val="19157D18"/>
    <w:rsid w:val="19232435"/>
    <w:rsid w:val="19932372"/>
    <w:rsid w:val="19A20DD5"/>
    <w:rsid w:val="19AE03F1"/>
    <w:rsid w:val="1A071A03"/>
    <w:rsid w:val="1A1F16AE"/>
    <w:rsid w:val="1A3B5C77"/>
    <w:rsid w:val="1A4E703E"/>
    <w:rsid w:val="1A670100"/>
    <w:rsid w:val="1A984BAD"/>
    <w:rsid w:val="1AB8220E"/>
    <w:rsid w:val="1AE4166C"/>
    <w:rsid w:val="1AE469A1"/>
    <w:rsid w:val="1AF06CFB"/>
    <w:rsid w:val="1AF11B8D"/>
    <w:rsid w:val="1AFD7122"/>
    <w:rsid w:val="1B0D0CA7"/>
    <w:rsid w:val="1B11359C"/>
    <w:rsid w:val="1B2A271F"/>
    <w:rsid w:val="1B4E3B95"/>
    <w:rsid w:val="1B527002"/>
    <w:rsid w:val="1B530544"/>
    <w:rsid w:val="1B713184"/>
    <w:rsid w:val="1BA209CF"/>
    <w:rsid w:val="1BB4777D"/>
    <w:rsid w:val="1BD75AB8"/>
    <w:rsid w:val="1C0459C2"/>
    <w:rsid w:val="1C1B3B4A"/>
    <w:rsid w:val="1C420E24"/>
    <w:rsid w:val="1C5D17BA"/>
    <w:rsid w:val="1C88086E"/>
    <w:rsid w:val="1C9F0025"/>
    <w:rsid w:val="1CE7377A"/>
    <w:rsid w:val="1D266CE1"/>
    <w:rsid w:val="1D305121"/>
    <w:rsid w:val="1D3963AF"/>
    <w:rsid w:val="1D552DD9"/>
    <w:rsid w:val="1D6A673C"/>
    <w:rsid w:val="1D82779C"/>
    <w:rsid w:val="1D90796E"/>
    <w:rsid w:val="1D9247AE"/>
    <w:rsid w:val="1DB47B00"/>
    <w:rsid w:val="1DB567EC"/>
    <w:rsid w:val="1DC7696E"/>
    <w:rsid w:val="1DDB6B70"/>
    <w:rsid w:val="1DF51A98"/>
    <w:rsid w:val="1E051CD9"/>
    <w:rsid w:val="1E114835"/>
    <w:rsid w:val="1E3429EF"/>
    <w:rsid w:val="1E3D060F"/>
    <w:rsid w:val="1E3E0603"/>
    <w:rsid w:val="1E3F7D2E"/>
    <w:rsid w:val="1E4134E4"/>
    <w:rsid w:val="1E5062B3"/>
    <w:rsid w:val="1E523514"/>
    <w:rsid w:val="1E714A66"/>
    <w:rsid w:val="1E802593"/>
    <w:rsid w:val="1E8B6156"/>
    <w:rsid w:val="1EA703CC"/>
    <w:rsid w:val="1EB7330C"/>
    <w:rsid w:val="1EBF2ED8"/>
    <w:rsid w:val="1EFC2612"/>
    <w:rsid w:val="1F0A0FF3"/>
    <w:rsid w:val="1F5305DE"/>
    <w:rsid w:val="1F5771FF"/>
    <w:rsid w:val="1F64124B"/>
    <w:rsid w:val="1F947BE9"/>
    <w:rsid w:val="1FD52574"/>
    <w:rsid w:val="1FE868A9"/>
    <w:rsid w:val="1FF80CCC"/>
    <w:rsid w:val="20034907"/>
    <w:rsid w:val="20087C8F"/>
    <w:rsid w:val="20173E4B"/>
    <w:rsid w:val="202D1DEC"/>
    <w:rsid w:val="204E48BC"/>
    <w:rsid w:val="20875DE4"/>
    <w:rsid w:val="208921B3"/>
    <w:rsid w:val="20973DEB"/>
    <w:rsid w:val="20B26522"/>
    <w:rsid w:val="20B44310"/>
    <w:rsid w:val="20DB1848"/>
    <w:rsid w:val="211116EB"/>
    <w:rsid w:val="21307AC4"/>
    <w:rsid w:val="216133FC"/>
    <w:rsid w:val="21D56769"/>
    <w:rsid w:val="21E169EA"/>
    <w:rsid w:val="21E52EF3"/>
    <w:rsid w:val="21FB5D7B"/>
    <w:rsid w:val="22015E94"/>
    <w:rsid w:val="220B1C3D"/>
    <w:rsid w:val="221D1D20"/>
    <w:rsid w:val="22334A87"/>
    <w:rsid w:val="2284217A"/>
    <w:rsid w:val="22B67BD5"/>
    <w:rsid w:val="22BE6801"/>
    <w:rsid w:val="22E13401"/>
    <w:rsid w:val="22FA4032"/>
    <w:rsid w:val="233500BF"/>
    <w:rsid w:val="23377FF7"/>
    <w:rsid w:val="236B425F"/>
    <w:rsid w:val="23836192"/>
    <w:rsid w:val="23901F29"/>
    <w:rsid w:val="239378C4"/>
    <w:rsid w:val="239C0061"/>
    <w:rsid w:val="23B908A4"/>
    <w:rsid w:val="23BC326A"/>
    <w:rsid w:val="23DA5DE6"/>
    <w:rsid w:val="23E95BEF"/>
    <w:rsid w:val="23F00F0D"/>
    <w:rsid w:val="23FD0064"/>
    <w:rsid w:val="24042E63"/>
    <w:rsid w:val="2443398C"/>
    <w:rsid w:val="245375B0"/>
    <w:rsid w:val="24594AFC"/>
    <w:rsid w:val="24642C0A"/>
    <w:rsid w:val="249877BA"/>
    <w:rsid w:val="24A21573"/>
    <w:rsid w:val="24B22173"/>
    <w:rsid w:val="24B95AD9"/>
    <w:rsid w:val="24BA3C9C"/>
    <w:rsid w:val="24BE24DA"/>
    <w:rsid w:val="24CF5825"/>
    <w:rsid w:val="24D663E6"/>
    <w:rsid w:val="24D77F2B"/>
    <w:rsid w:val="25045D00"/>
    <w:rsid w:val="25757B75"/>
    <w:rsid w:val="258B00E2"/>
    <w:rsid w:val="25A917A6"/>
    <w:rsid w:val="25BE27CC"/>
    <w:rsid w:val="25F74A5C"/>
    <w:rsid w:val="25FC2044"/>
    <w:rsid w:val="2628662C"/>
    <w:rsid w:val="262D45DE"/>
    <w:rsid w:val="26871DC8"/>
    <w:rsid w:val="268F2C6B"/>
    <w:rsid w:val="26A1499A"/>
    <w:rsid w:val="26A53EF9"/>
    <w:rsid w:val="26A56238"/>
    <w:rsid w:val="26A94201"/>
    <w:rsid w:val="26AC274F"/>
    <w:rsid w:val="26F40645"/>
    <w:rsid w:val="27044A29"/>
    <w:rsid w:val="271D34C8"/>
    <w:rsid w:val="276142BF"/>
    <w:rsid w:val="27783712"/>
    <w:rsid w:val="27907362"/>
    <w:rsid w:val="28072F22"/>
    <w:rsid w:val="28333E1D"/>
    <w:rsid w:val="28454BD6"/>
    <w:rsid w:val="28455253"/>
    <w:rsid w:val="28551971"/>
    <w:rsid w:val="285B1C53"/>
    <w:rsid w:val="28924EE2"/>
    <w:rsid w:val="289E5635"/>
    <w:rsid w:val="289F7086"/>
    <w:rsid w:val="28C32028"/>
    <w:rsid w:val="28CC490F"/>
    <w:rsid w:val="28DE40AA"/>
    <w:rsid w:val="29345E77"/>
    <w:rsid w:val="29384DEE"/>
    <w:rsid w:val="294C65AD"/>
    <w:rsid w:val="29806583"/>
    <w:rsid w:val="2987431B"/>
    <w:rsid w:val="298B3C4C"/>
    <w:rsid w:val="29BF6696"/>
    <w:rsid w:val="29E15FF1"/>
    <w:rsid w:val="29F26D24"/>
    <w:rsid w:val="2A15033F"/>
    <w:rsid w:val="2A153540"/>
    <w:rsid w:val="2A1662C1"/>
    <w:rsid w:val="2A1C7367"/>
    <w:rsid w:val="2A2815FA"/>
    <w:rsid w:val="2A314286"/>
    <w:rsid w:val="2A5609E0"/>
    <w:rsid w:val="2A6D6092"/>
    <w:rsid w:val="2A7D76B4"/>
    <w:rsid w:val="2A7E3970"/>
    <w:rsid w:val="2B437463"/>
    <w:rsid w:val="2B7807EE"/>
    <w:rsid w:val="2B8B2822"/>
    <w:rsid w:val="2BA50BF7"/>
    <w:rsid w:val="2BBF00EC"/>
    <w:rsid w:val="2BC37CFD"/>
    <w:rsid w:val="2BD5237F"/>
    <w:rsid w:val="2BE536CE"/>
    <w:rsid w:val="2BE758D9"/>
    <w:rsid w:val="2BF346BB"/>
    <w:rsid w:val="2C09049E"/>
    <w:rsid w:val="2C0A653C"/>
    <w:rsid w:val="2C191F85"/>
    <w:rsid w:val="2C8E62CA"/>
    <w:rsid w:val="2CE82D6F"/>
    <w:rsid w:val="2D2A3CFB"/>
    <w:rsid w:val="2D343236"/>
    <w:rsid w:val="2D575011"/>
    <w:rsid w:val="2D5C76E6"/>
    <w:rsid w:val="2DA31068"/>
    <w:rsid w:val="2DD15014"/>
    <w:rsid w:val="2DE25FC3"/>
    <w:rsid w:val="2DF72DE4"/>
    <w:rsid w:val="2E0220AF"/>
    <w:rsid w:val="2E4B082A"/>
    <w:rsid w:val="2E530C6F"/>
    <w:rsid w:val="2E59653C"/>
    <w:rsid w:val="2E5D4E86"/>
    <w:rsid w:val="2E5D790B"/>
    <w:rsid w:val="2E9A3C18"/>
    <w:rsid w:val="2EBB0FEE"/>
    <w:rsid w:val="2EC63002"/>
    <w:rsid w:val="2F012479"/>
    <w:rsid w:val="2F0A6B38"/>
    <w:rsid w:val="2F946CCB"/>
    <w:rsid w:val="2FBE7CC1"/>
    <w:rsid w:val="2FD25781"/>
    <w:rsid w:val="2FDC745C"/>
    <w:rsid w:val="2FFA3814"/>
    <w:rsid w:val="2FFD7934"/>
    <w:rsid w:val="30075E17"/>
    <w:rsid w:val="30123B24"/>
    <w:rsid w:val="30733ACD"/>
    <w:rsid w:val="308C3862"/>
    <w:rsid w:val="309379D8"/>
    <w:rsid w:val="30A270F7"/>
    <w:rsid w:val="30DF1478"/>
    <w:rsid w:val="30EC586F"/>
    <w:rsid w:val="31207CD8"/>
    <w:rsid w:val="312863E3"/>
    <w:rsid w:val="31293F09"/>
    <w:rsid w:val="319C6071"/>
    <w:rsid w:val="31AC537E"/>
    <w:rsid w:val="31C67E9B"/>
    <w:rsid w:val="31E3679B"/>
    <w:rsid w:val="31E732FD"/>
    <w:rsid w:val="32517576"/>
    <w:rsid w:val="328627EA"/>
    <w:rsid w:val="32BE5C2C"/>
    <w:rsid w:val="32C739DA"/>
    <w:rsid w:val="32E14A9C"/>
    <w:rsid w:val="32E7407C"/>
    <w:rsid w:val="32FB6478"/>
    <w:rsid w:val="33263B3F"/>
    <w:rsid w:val="332753A2"/>
    <w:rsid w:val="33276412"/>
    <w:rsid w:val="33506981"/>
    <w:rsid w:val="336963EB"/>
    <w:rsid w:val="33816EEB"/>
    <w:rsid w:val="33C3451F"/>
    <w:rsid w:val="33EB55CD"/>
    <w:rsid w:val="33EC4C02"/>
    <w:rsid w:val="33FB1B8D"/>
    <w:rsid w:val="340D2360"/>
    <w:rsid w:val="3410665D"/>
    <w:rsid w:val="34211214"/>
    <w:rsid w:val="342E63AB"/>
    <w:rsid w:val="34950E68"/>
    <w:rsid w:val="34986E94"/>
    <w:rsid w:val="34AF62C9"/>
    <w:rsid w:val="34CB4388"/>
    <w:rsid w:val="34FA6E12"/>
    <w:rsid w:val="353D61D5"/>
    <w:rsid w:val="354D7158"/>
    <w:rsid w:val="358D5588"/>
    <w:rsid w:val="35906305"/>
    <w:rsid w:val="360F4A11"/>
    <w:rsid w:val="363A3B40"/>
    <w:rsid w:val="365302AE"/>
    <w:rsid w:val="36607A0A"/>
    <w:rsid w:val="366E227C"/>
    <w:rsid w:val="366F2E0D"/>
    <w:rsid w:val="367B6A5C"/>
    <w:rsid w:val="36A74ADA"/>
    <w:rsid w:val="36AD60D5"/>
    <w:rsid w:val="36B224F9"/>
    <w:rsid w:val="36EC0CC9"/>
    <w:rsid w:val="37202102"/>
    <w:rsid w:val="37313B18"/>
    <w:rsid w:val="3739452E"/>
    <w:rsid w:val="373F410B"/>
    <w:rsid w:val="375B7AC5"/>
    <w:rsid w:val="378739A5"/>
    <w:rsid w:val="37EE7094"/>
    <w:rsid w:val="38296C89"/>
    <w:rsid w:val="383002EB"/>
    <w:rsid w:val="38481119"/>
    <w:rsid w:val="38586797"/>
    <w:rsid w:val="385D15DF"/>
    <w:rsid w:val="389E0CFA"/>
    <w:rsid w:val="38BC0149"/>
    <w:rsid w:val="38D87D1C"/>
    <w:rsid w:val="3903434D"/>
    <w:rsid w:val="392576AC"/>
    <w:rsid w:val="393B2A2C"/>
    <w:rsid w:val="39595BD4"/>
    <w:rsid w:val="39636459"/>
    <w:rsid w:val="396B7F6C"/>
    <w:rsid w:val="398B5761"/>
    <w:rsid w:val="39B417A9"/>
    <w:rsid w:val="39D013C6"/>
    <w:rsid w:val="39FC5695"/>
    <w:rsid w:val="3A006D8E"/>
    <w:rsid w:val="3A3651E5"/>
    <w:rsid w:val="3A6B0671"/>
    <w:rsid w:val="3A744481"/>
    <w:rsid w:val="3A7F5ACC"/>
    <w:rsid w:val="3A8C7BEF"/>
    <w:rsid w:val="3A906246"/>
    <w:rsid w:val="3A920D71"/>
    <w:rsid w:val="3A95616C"/>
    <w:rsid w:val="3B0A0075"/>
    <w:rsid w:val="3B2349B7"/>
    <w:rsid w:val="3B245E6D"/>
    <w:rsid w:val="3B43382B"/>
    <w:rsid w:val="3B616CFF"/>
    <w:rsid w:val="3B6259F6"/>
    <w:rsid w:val="3B91415B"/>
    <w:rsid w:val="3B976654"/>
    <w:rsid w:val="3B9A7EDD"/>
    <w:rsid w:val="3BC01EFC"/>
    <w:rsid w:val="3BCA786A"/>
    <w:rsid w:val="3BD31E2F"/>
    <w:rsid w:val="3BF15831"/>
    <w:rsid w:val="3C105946"/>
    <w:rsid w:val="3C471448"/>
    <w:rsid w:val="3C5F759A"/>
    <w:rsid w:val="3C631C49"/>
    <w:rsid w:val="3C6C525A"/>
    <w:rsid w:val="3CCE23CB"/>
    <w:rsid w:val="3CD15B81"/>
    <w:rsid w:val="3CD17D17"/>
    <w:rsid w:val="3CD411CD"/>
    <w:rsid w:val="3D3C7F39"/>
    <w:rsid w:val="3D440F09"/>
    <w:rsid w:val="3D4504A0"/>
    <w:rsid w:val="3D8734BB"/>
    <w:rsid w:val="3D9A11D4"/>
    <w:rsid w:val="3DA16D89"/>
    <w:rsid w:val="3DA364BE"/>
    <w:rsid w:val="3DE041CB"/>
    <w:rsid w:val="3E0D48F6"/>
    <w:rsid w:val="3E1868B4"/>
    <w:rsid w:val="3E306712"/>
    <w:rsid w:val="3E377251"/>
    <w:rsid w:val="3E42664B"/>
    <w:rsid w:val="3E5A7334"/>
    <w:rsid w:val="3E742C68"/>
    <w:rsid w:val="3E754D3B"/>
    <w:rsid w:val="3E7B5D6B"/>
    <w:rsid w:val="3E843E66"/>
    <w:rsid w:val="3E8E35FE"/>
    <w:rsid w:val="3E8F51FE"/>
    <w:rsid w:val="3E926F87"/>
    <w:rsid w:val="3E9A59DE"/>
    <w:rsid w:val="3EAF39F9"/>
    <w:rsid w:val="3EAF4836"/>
    <w:rsid w:val="3EC33DFA"/>
    <w:rsid w:val="3F060E16"/>
    <w:rsid w:val="3F1D1096"/>
    <w:rsid w:val="3F2F0234"/>
    <w:rsid w:val="3F6363FE"/>
    <w:rsid w:val="3F756B8F"/>
    <w:rsid w:val="3F95482B"/>
    <w:rsid w:val="4019356B"/>
    <w:rsid w:val="40592157"/>
    <w:rsid w:val="406E1CAE"/>
    <w:rsid w:val="40A0133A"/>
    <w:rsid w:val="40C31A53"/>
    <w:rsid w:val="40C92646"/>
    <w:rsid w:val="40FF545D"/>
    <w:rsid w:val="410067C8"/>
    <w:rsid w:val="417D6FEA"/>
    <w:rsid w:val="41842BB8"/>
    <w:rsid w:val="418F0D2A"/>
    <w:rsid w:val="41970A1B"/>
    <w:rsid w:val="41B86418"/>
    <w:rsid w:val="41CF1B47"/>
    <w:rsid w:val="41D01505"/>
    <w:rsid w:val="41E73751"/>
    <w:rsid w:val="42474939"/>
    <w:rsid w:val="424C3C57"/>
    <w:rsid w:val="4250579A"/>
    <w:rsid w:val="42613FF3"/>
    <w:rsid w:val="42660D96"/>
    <w:rsid w:val="42725710"/>
    <w:rsid w:val="428667D2"/>
    <w:rsid w:val="42CD1CE0"/>
    <w:rsid w:val="42E1381E"/>
    <w:rsid w:val="42ED6459"/>
    <w:rsid w:val="42FE58DD"/>
    <w:rsid w:val="43174B3D"/>
    <w:rsid w:val="433C688A"/>
    <w:rsid w:val="434B790E"/>
    <w:rsid w:val="4360274F"/>
    <w:rsid w:val="43977AB6"/>
    <w:rsid w:val="43A3342B"/>
    <w:rsid w:val="43B9736F"/>
    <w:rsid w:val="43C77C27"/>
    <w:rsid w:val="43DE09EE"/>
    <w:rsid w:val="44002FAD"/>
    <w:rsid w:val="4400619E"/>
    <w:rsid w:val="4414033B"/>
    <w:rsid w:val="449101DD"/>
    <w:rsid w:val="44DE1391"/>
    <w:rsid w:val="451B225C"/>
    <w:rsid w:val="452410C9"/>
    <w:rsid w:val="45317DFB"/>
    <w:rsid w:val="456D3CE4"/>
    <w:rsid w:val="4579042C"/>
    <w:rsid w:val="457F0571"/>
    <w:rsid w:val="45851176"/>
    <w:rsid w:val="45C63B94"/>
    <w:rsid w:val="4603160D"/>
    <w:rsid w:val="460E7DA5"/>
    <w:rsid w:val="46422483"/>
    <w:rsid w:val="4659254A"/>
    <w:rsid w:val="465B0637"/>
    <w:rsid w:val="465E3F0D"/>
    <w:rsid w:val="466A16E6"/>
    <w:rsid w:val="46893F2B"/>
    <w:rsid w:val="46C4686E"/>
    <w:rsid w:val="46C5278B"/>
    <w:rsid w:val="46F96245"/>
    <w:rsid w:val="471A2B65"/>
    <w:rsid w:val="477B778F"/>
    <w:rsid w:val="478203EC"/>
    <w:rsid w:val="47AA7852"/>
    <w:rsid w:val="47B025FA"/>
    <w:rsid w:val="47B70069"/>
    <w:rsid w:val="47FE2D89"/>
    <w:rsid w:val="4809698F"/>
    <w:rsid w:val="4811697D"/>
    <w:rsid w:val="487A3E25"/>
    <w:rsid w:val="48845A9B"/>
    <w:rsid w:val="488B5503"/>
    <w:rsid w:val="48937E21"/>
    <w:rsid w:val="489A0361"/>
    <w:rsid w:val="48AE448D"/>
    <w:rsid w:val="48B94FF3"/>
    <w:rsid w:val="48E37AAB"/>
    <w:rsid w:val="48EE1869"/>
    <w:rsid w:val="48FD4B4C"/>
    <w:rsid w:val="490A68E0"/>
    <w:rsid w:val="491055FE"/>
    <w:rsid w:val="495E079C"/>
    <w:rsid w:val="495F5B3E"/>
    <w:rsid w:val="496F77D7"/>
    <w:rsid w:val="497654FD"/>
    <w:rsid w:val="49B22896"/>
    <w:rsid w:val="49B64211"/>
    <w:rsid w:val="49F6167F"/>
    <w:rsid w:val="4A064FA0"/>
    <w:rsid w:val="4A0F6AE2"/>
    <w:rsid w:val="4A16615C"/>
    <w:rsid w:val="4A2B2181"/>
    <w:rsid w:val="4A4424D7"/>
    <w:rsid w:val="4A77763C"/>
    <w:rsid w:val="4AB82D0F"/>
    <w:rsid w:val="4AEB7664"/>
    <w:rsid w:val="4AFD7C19"/>
    <w:rsid w:val="4B0567D1"/>
    <w:rsid w:val="4B236AAE"/>
    <w:rsid w:val="4B707271"/>
    <w:rsid w:val="4B9739F7"/>
    <w:rsid w:val="4B9E588D"/>
    <w:rsid w:val="4BEE2503"/>
    <w:rsid w:val="4C12586E"/>
    <w:rsid w:val="4C245A30"/>
    <w:rsid w:val="4C765DFD"/>
    <w:rsid w:val="4CB6685F"/>
    <w:rsid w:val="4CC367FE"/>
    <w:rsid w:val="4D077F3C"/>
    <w:rsid w:val="4D123355"/>
    <w:rsid w:val="4D2A3B31"/>
    <w:rsid w:val="4D312C52"/>
    <w:rsid w:val="4D905305"/>
    <w:rsid w:val="4D964A72"/>
    <w:rsid w:val="4D9C1254"/>
    <w:rsid w:val="4E793892"/>
    <w:rsid w:val="4E800872"/>
    <w:rsid w:val="4EC569ED"/>
    <w:rsid w:val="4ECD3D05"/>
    <w:rsid w:val="4ED50EA1"/>
    <w:rsid w:val="4EEC050C"/>
    <w:rsid w:val="4F104EC3"/>
    <w:rsid w:val="4F2951AE"/>
    <w:rsid w:val="4F351F9F"/>
    <w:rsid w:val="4F47354A"/>
    <w:rsid w:val="4F781E8C"/>
    <w:rsid w:val="4F8B6063"/>
    <w:rsid w:val="4F911C54"/>
    <w:rsid w:val="4FE625E0"/>
    <w:rsid w:val="5021480F"/>
    <w:rsid w:val="506D7517"/>
    <w:rsid w:val="506F47A4"/>
    <w:rsid w:val="50962ECB"/>
    <w:rsid w:val="50A42E38"/>
    <w:rsid w:val="50A4577F"/>
    <w:rsid w:val="50B73D1F"/>
    <w:rsid w:val="50BD5BC9"/>
    <w:rsid w:val="50C11EEE"/>
    <w:rsid w:val="50E97CFC"/>
    <w:rsid w:val="50FA4028"/>
    <w:rsid w:val="510D65B7"/>
    <w:rsid w:val="511157AB"/>
    <w:rsid w:val="512247A5"/>
    <w:rsid w:val="5142540C"/>
    <w:rsid w:val="517062B7"/>
    <w:rsid w:val="51870AAC"/>
    <w:rsid w:val="518832C8"/>
    <w:rsid w:val="519D3C50"/>
    <w:rsid w:val="51A0432A"/>
    <w:rsid w:val="51A86090"/>
    <w:rsid w:val="51B7396D"/>
    <w:rsid w:val="51E851B6"/>
    <w:rsid w:val="522E4CC3"/>
    <w:rsid w:val="5244713B"/>
    <w:rsid w:val="52615633"/>
    <w:rsid w:val="526F4DE4"/>
    <w:rsid w:val="52920DF4"/>
    <w:rsid w:val="52977FD4"/>
    <w:rsid w:val="52A25790"/>
    <w:rsid w:val="52A96B6F"/>
    <w:rsid w:val="52B45975"/>
    <w:rsid w:val="52D94AA4"/>
    <w:rsid w:val="52E02222"/>
    <w:rsid w:val="52EA3A62"/>
    <w:rsid w:val="52F50BB8"/>
    <w:rsid w:val="53097272"/>
    <w:rsid w:val="534529CD"/>
    <w:rsid w:val="534A3B3F"/>
    <w:rsid w:val="53544462"/>
    <w:rsid w:val="53660214"/>
    <w:rsid w:val="5397158E"/>
    <w:rsid w:val="53C04F7E"/>
    <w:rsid w:val="54013861"/>
    <w:rsid w:val="54487265"/>
    <w:rsid w:val="544D6070"/>
    <w:rsid w:val="54605E1E"/>
    <w:rsid w:val="549E1071"/>
    <w:rsid w:val="54B3506A"/>
    <w:rsid w:val="54CA0D16"/>
    <w:rsid w:val="54DD4057"/>
    <w:rsid w:val="54E7490F"/>
    <w:rsid w:val="55024CC4"/>
    <w:rsid w:val="550764A4"/>
    <w:rsid w:val="550B2BF6"/>
    <w:rsid w:val="55214EB5"/>
    <w:rsid w:val="55364EFD"/>
    <w:rsid w:val="553E3A4C"/>
    <w:rsid w:val="555D4828"/>
    <w:rsid w:val="557A4C8B"/>
    <w:rsid w:val="558931E1"/>
    <w:rsid w:val="55923347"/>
    <w:rsid w:val="55925180"/>
    <w:rsid w:val="55983B1B"/>
    <w:rsid w:val="559B2D78"/>
    <w:rsid w:val="559E63C4"/>
    <w:rsid w:val="55A8376B"/>
    <w:rsid w:val="55DC29B6"/>
    <w:rsid w:val="55DD4241"/>
    <w:rsid w:val="55E667FF"/>
    <w:rsid w:val="56095F34"/>
    <w:rsid w:val="56471638"/>
    <w:rsid w:val="566B6D1E"/>
    <w:rsid w:val="56B839DA"/>
    <w:rsid w:val="56B84669"/>
    <w:rsid w:val="56F75D8C"/>
    <w:rsid w:val="57032A2C"/>
    <w:rsid w:val="570F5219"/>
    <w:rsid w:val="575B2E6E"/>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83E10"/>
    <w:rsid w:val="57D95FDD"/>
    <w:rsid w:val="57E0478C"/>
    <w:rsid w:val="58917D2F"/>
    <w:rsid w:val="5894085C"/>
    <w:rsid w:val="58AE4F0C"/>
    <w:rsid w:val="58B85899"/>
    <w:rsid w:val="58E363A9"/>
    <w:rsid w:val="58FC18FF"/>
    <w:rsid w:val="59166304"/>
    <w:rsid w:val="591F5065"/>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6360E6"/>
    <w:rsid w:val="5B843A1C"/>
    <w:rsid w:val="5B873E3F"/>
    <w:rsid w:val="5BF97567"/>
    <w:rsid w:val="5C02690E"/>
    <w:rsid w:val="5C186ED1"/>
    <w:rsid w:val="5C196DA7"/>
    <w:rsid w:val="5C2A048C"/>
    <w:rsid w:val="5C80234E"/>
    <w:rsid w:val="5C8A31FF"/>
    <w:rsid w:val="5C8A680C"/>
    <w:rsid w:val="5CB255D2"/>
    <w:rsid w:val="5D0C4701"/>
    <w:rsid w:val="5D0F0395"/>
    <w:rsid w:val="5D221076"/>
    <w:rsid w:val="5D397964"/>
    <w:rsid w:val="5D4C1101"/>
    <w:rsid w:val="5D5A391C"/>
    <w:rsid w:val="5D5F10C0"/>
    <w:rsid w:val="5D891B7B"/>
    <w:rsid w:val="5D9E3405"/>
    <w:rsid w:val="5DAD38EE"/>
    <w:rsid w:val="5DC168B6"/>
    <w:rsid w:val="5DFA543E"/>
    <w:rsid w:val="5E006862"/>
    <w:rsid w:val="5E0207B9"/>
    <w:rsid w:val="5E1834A1"/>
    <w:rsid w:val="5E261785"/>
    <w:rsid w:val="5E4A7017"/>
    <w:rsid w:val="5E552BBA"/>
    <w:rsid w:val="5E611C10"/>
    <w:rsid w:val="5E7A0F3F"/>
    <w:rsid w:val="5EFC7377"/>
    <w:rsid w:val="5F06174D"/>
    <w:rsid w:val="5F182D44"/>
    <w:rsid w:val="5F3A3602"/>
    <w:rsid w:val="5F45733B"/>
    <w:rsid w:val="5F6277C6"/>
    <w:rsid w:val="5F6D0B1D"/>
    <w:rsid w:val="5F8D0B82"/>
    <w:rsid w:val="5FCC5339"/>
    <w:rsid w:val="5FE34A5B"/>
    <w:rsid w:val="5FE95E0E"/>
    <w:rsid w:val="5FFE1E36"/>
    <w:rsid w:val="60200102"/>
    <w:rsid w:val="60232584"/>
    <w:rsid w:val="603A49C4"/>
    <w:rsid w:val="604F09E7"/>
    <w:rsid w:val="607330CE"/>
    <w:rsid w:val="60825176"/>
    <w:rsid w:val="609F2AC4"/>
    <w:rsid w:val="60B30F76"/>
    <w:rsid w:val="60DD5CB1"/>
    <w:rsid w:val="60FA2EE8"/>
    <w:rsid w:val="61054A27"/>
    <w:rsid w:val="610A52BC"/>
    <w:rsid w:val="610F7448"/>
    <w:rsid w:val="611D2366"/>
    <w:rsid w:val="611D2D6D"/>
    <w:rsid w:val="61421856"/>
    <w:rsid w:val="615227C4"/>
    <w:rsid w:val="61654E3F"/>
    <w:rsid w:val="61725EFC"/>
    <w:rsid w:val="6182292A"/>
    <w:rsid w:val="6192502F"/>
    <w:rsid w:val="61972D5A"/>
    <w:rsid w:val="619F7F92"/>
    <w:rsid w:val="61B01959"/>
    <w:rsid w:val="61DC62AA"/>
    <w:rsid w:val="61F94C26"/>
    <w:rsid w:val="62000E56"/>
    <w:rsid w:val="624F3E49"/>
    <w:rsid w:val="62632286"/>
    <w:rsid w:val="62885958"/>
    <w:rsid w:val="62F12229"/>
    <w:rsid w:val="62F40B65"/>
    <w:rsid w:val="62F45876"/>
    <w:rsid w:val="62FC2CFE"/>
    <w:rsid w:val="63024505"/>
    <w:rsid w:val="633839B4"/>
    <w:rsid w:val="635600A5"/>
    <w:rsid w:val="635B1DB5"/>
    <w:rsid w:val="636C365E"/>
    <w:rsid w:val="63711FED"/>
    <w:rsid w:val="63880DDC"/>
    <w:rsid w:val="638D750D"/>
    <w:rsid w:val="63AC6CC0"/>
    <w:rsid w:val="64055776"/>
    <w:rsid w:val="64240056"/>
    <w:rsid w:val="64347F97"/>
    <w:rsid w:val="643B26F5"/>
    <w:rsid w:val="643E143A"/>
    <w:rsid w:val="64491666"/>
    <w:rsid w:val="648B6EEF"/>
    <w:rsid w:val="64C158BF"/>
    <w:rsid w:val="64CE2EAA"/>
    <w:rsid w:val="64D94955"/>
    <w:rsid w:val="653C3090"/>
    <w:rsid w:val="654C0C91"/>
    <w:rsid w:val="6555628F"/>
    <w:rsid w:val="65854376"/>
    <w:rsid w:val="658767BE"/>
    <w:rsid w:val="65892531"/>
    <w:rsid w:val="659D0447"/>
    <w:rsid w:val="65AA7ED4"/>
    <w:rsid w:val="65B80DDC"/>
    <w:rsid w:val="65EB1EBC"/>
    <w:rsid w:val="66081D64"/>
    <w:rsid w:val="66195831"/>
    <w:rsid w:val="662E75B1"/>
    <w:rsid w:val="66342C2E"/>
    <w:rsid w:val="663E784C"/>
    <w:rsid w:val="668B6A45"/>
    <w:rsid w:val="668C4743"/>
    <w:rsid w:val="672F3F24"/>
    <w:rsid w:val="673E055F"/>
    <w:rsid w:val="67551CE3"/>
    <w:rsid w:val="67A22552"/>
    <w:rsid w:val="67B22DCC"/>
    <w:rsid w:val="67BE71AA"/>
    <w:rsid w:val="67BF7E28"/>
    <w:rsid w:val="67D90273"/>
    <w:rsid w:val="67DE5875"/>
    <w:rsid w:val="67E55852"/>
    <w:rsid w:val="67EB1AB4"/>
    <w:rsid w:val="67FA1285"/>
    <w:rsid w:val="681808A7"/>
    <w:rsid w:val="68551F4F"/>
    <w:rsid w:val="687C10C9"/>
    <w:rsid w:val="68840C16"/>
    <w:rsid w:val="68876EFB"/>
    <w:rsid w:val="68884654"/>
    <w:rsid w:val="689F444F"/>
    <w:rsid w:val="68B96DBB"/>
    <w:rsid w:val="68CA2805"/>
    <w:rsid w:val="68E937A3"/>
    <w:rsid w:val="693E15D3"/>
    <w:rsid w:val="69627681"/>
    <w:rsid w:val="6977531D"/>
    <w:rsid w:val="69CC2BFF"/>
    <w:rsid w:val="69D515C5"/>
    <w:rsid w:val="69EC374B"/>
    <w:rsid w:val="69FD55B8"/>
    <w:rsid w:val="6A0B1C62"/>
    <w:rsid w:val="6A2406C8"/>
    <w:rsid w:val="6A70612A"/>
    <w:rsid w:val="6A7A48B2"/>
    <w:rsid w:val="6A965BAB"/>
    <w:rsid w:val="6ADE0BD1"/>
    <w:rsid w:val="6AE04DB2"/>
    <w:rsid w:val="6AE96859"/>
    <w:rsid w:val="6B147746"/>
    <w:rsid w:val="6B24787C"/>
    <w:rsid w:val="6B573233"/>
    <w:rsid w:val="6B5B6274"/>
    <w:rsid w:val="6B71610C"/>
    <w:rsid w:val="6B7834E8"/>
    <w:rsid w:val="6B935D53"/>
    <w:rsid w:val="6B9F44A1"/>
    <w:rsid w:val="6C0B610A"/>
    <w:rsid w:val="6C196F71"/>
    <w:rsid w:val="6C226FCB"/>
    <w:rsid w:val="6C31226F"/>
    <w:rsid w:val="6C552F0B"/>
    <w:rsid w:val="6C7B4310"/>
    <w:rsid w:val="6C88775B"/>
    <w:rsid w:val="6C8C67B7"/>
    <w:rsid w:val="6C9D744C"/>
    <w:rsid w:val="6D137C6C"/>
    <w:rsid w:val="6D167928"/>
    <w:rsid w:val="6D2146F9"/>
    <w:rsid w:val="6D26299B"/>
    <w:rsid w:val="6D2932BC"/>
    <w:rsid w:val="6D4772EC"/>
    <w:rsid w:val="6D6D737F"/>
    <w:rsid w:val="6D7E46BA"/>
    <w:rsid w:val="6D9029B1"/>
    <w:rsid w:val="6D9078AF"/>
    <w:rsid w:val="6DAA3FEF"/>
    <w:rsid w:val="6DC0172B"/>
    <w:rsid w:val="6DCB690C"/>
    <w:rsid w:val="6DD41A5B"/>
    <w:rsid w:val="6DF43C2E"/>
    <w:rsid w:val="6DF51CA3"/>
    <w:rsid w:val="6E1810F1"/>
    <w:rsid w:val="6E18665E"/>
    <w:rsid w:val="6E7F4292"/>
    <w:rsid w:val="6E8335BD"/>
    <w:rsid w:val="6E8E12EF"/>
    <w:rsid w:val="6E972936"/>
    <w:rsid w:val="6EB04D47"/>
    <w:rsid w:val="6ED446C5"/>
    <w:rsid w:val="6F094457"/>
    <w:rsid w:val="6F2A7D94"/>
    <w:rsid w:val="6F6E7E71"/>
    <w:rsid w:val="6F8331F1"/>
    <w:rsid w:val="6FAE1A09"/>
    <w:rsid w:val="6FD75BF8"/>
    <w:rsid w:val="6FE50A20"/>
    <w:rsid w:val="707723D0"/>
    <w:rsid w:val="70787AE6"/>
    <w:rsid w:val="70C2594D"/>
    <w:rsid w:val="70E707C8"/>
    <w:rsid w:val="70F5661B"/>
    <w:rsid w:val="71360107"/>
    <w:rsid w:val="713B688E"/>
    <w:rsid w:val="71940950"/>
    <w:rsid w:val="71A62431"/>
    <w:rsid w:val="71D43752"/>
    <w:rsid w:val="71F1796A"/>
    <w:rsid w:val="72154626"/>
    <w:rsid w:val="72262B5D"/>
    <w:rsid w:val="72283FF7"/>
    <w:rsid w:val="722E7212"/>
    <w:rsid w:val="723A0474"/>
    <w:rsid w:val="725923E4"/>
    <w:rsid w:val="726A7E46"/>
    <w:rsid w:val="72864BF7"/>
    <w:rsid w:val="729023FC"/>
    <w:rsid w:val="73754939"/>
    <w:rsid w:val="73781BAB"/>
    <w:rsid w:val="73C0646E"/>
    <w:rsid w:val="73D62463"/>
    <w:rsid w:val="742222F5"/>
    <w:rsid w:val="74476126"/>
    <w:rsid w:val="74687E72"/>
    <w:rsid w:val="74706664"/>
    <w:rsid w:val="747F3682"/>
    <w:rsid w:val="749C4185"/>
    <w:rsid w:val="74B66E2F"/>
    <w:rsid w:val="74D559B5"/>
    <w:rsid w:val="75067759"/>
    <w:rsid w:val="75271ADB"/>
    <w:rsid w:val="752E6DCD"/>
    <w:rsid w:val="75317A35"/>
    <w:rsid w:val="7551380D"/>
    <w:rsid w:val="75600BE5"/>
    <w:rsid w:val="7564475C"/>
    <w:rsid w:val="7577036C"/>
    <w:rsid w:val="7583797F"/>
    <w:rsid w:val="75CF2350"/>
    <w:rsid w:val="75D20F1D"/>
    <w:rsid w:val="75DA2C18"/>
    <w:rsid w:val="75E033DC"/>
    <w:rsid w:val="75F54412"/>
    <w:rsid w:val="761D08E0"/>
    <w:rsid w:val="765D347C"/>
    <w:rsid w:val="76826699"/>
    <w:rsid w:val="76C87133"/>
    <w:rsid w:val="76CD08D5"/>
    <w:rsid w:val="76DB4B92"/>
    <w:rsid w:val="76E25CB9"/>
    <w:rsid w:val="76E26914"/>
    <w:rsid w:val="76FF4ABD"/>
    <w:rsid w:val="77052AA4"/>
    <w:rsid w:val="77136511"/>
    <w:rsid w:val="77340A39"/>
    <w:rsid w:val="77351FD0"/>
    <w:rsid w:val="77472422"/>
    <w:rsid w:val="77544289"/>
    <w:rsid w:val="777F31F2"/>
    <w:rsid w:val="77D1700D"/>
    <w:rsid w:val="77EC04CC"/>
    <w:rsid w:val="78775729"/>
    <w:rsid w:val="78A42DB0"/>
    <w:rsid w:val="78A656AB"/>
    <w:rsid w:val="78AA2807"/>
    <w:rsid w:val="78B2245C"/>
    <w:rsid w:val="78E172CC"/>
    <w:rsid w:val="78EA1D1F"/>
    <w:rsid w:val="78F41CD4"/>
    <w:rsid w:val="7904172F"/>
    <w:rsid w:val="790F7E27"/>
    <w:rsid w:val="792A231A"/>
    <w:rsid w:val="79316829"/>
    <w:rsid w:val="796B2C1A"/>
    <w:rsid w:val="797E66A9"/>
    <w:rsid w:val="798518A4"/>
    <w:rsid w:val="79A97383"/>
    <w:rsid w:val="79B46254"/>
    <w:rsid w:val="79E27E8B"/>
    <w:rsid w:val="79F850CE"/>
    <w:rsid w:val="79FD443C"/>
    <w:rsid w:val="7A1D1975"/>
    <w:rsid w:val="7A3E5150"/>
    <w:rsid w:val="7A4670D6"/>
    <w:rsid w:val="7A534B63"/>
    <w:rsid w:val="7A5D1C1C"/>
    <w:rsid w:val="7A615382"/>
    <w:rsid w:val="7A67303B"/>
    <w:rsid w:val="7A682979"/>
    <w:rsid w:val="7AAB1D04"/>
    <w:rsid w:val="7ABA4368"/>
    <w:rsid w:val="7ACA48DB"/>
    <w:rsid w:val="7AD05746"/>
    <w:rsid w:val="7B257FFD"/>
    <w:rsid w:val="7B343476"/>
    <w:rsid w:val="7B597414"/>
    <w:rsid w:val="7B5A2978"/>
    <w:rsid w:val="7B5A7E4C"/>
    <w:rsid w:val="7B667AF9"/>
    <w:rsid w:val="7B7468F8"/>
    <w:rsid w:val="7BB37C24"/>
    <w:rsid w:val="7BEE0103"/>
    <w:rsid w:val="7C0A0FE4"/>
    <w:rsid w:val="7C254906"/>
    <w:rsid w:val="7C590818"/>
    <w:rsid w:val="7C7C10F6"/>
    <w:rsid w:val="7C853BEA"/>
    <w:rsid w:val="7C881368"/>
    <w:rsid w:val="7CE27788"/>
    <w:rsid w:val="7CF4612A"/>
    <w:rsid w:val="7D0C32F1"/>
    <w:rsid w:val="7D0F408D"/>
    <w:rsid w:val="7D196B5C"/>
    <w:rsid w:val="7D280C15"/>
    <w:rsid w:val="7D30630A"/>
    <w:rsid w:val="7D491C6C"/>
    <w:rsid w:val="7D5429C0"/>
    <w:rsid w:val="7D6A4C5A"/>
    <w:rsid w:val="7D6E6D43"/>
    <w:rsid w:val="7DB57A34"/>
    <w:rsid w:val="7DE60973"/>
    <w:rsid w:val="7DEF0916"/>
    <w:rsid w:val="7E1E5218"/>
    <w:rsid w:val="7E464D80"/>
    <w:rsid w:val="7E81400A"/>
    <w:rsid w:val="7E8B6C36"/>
    <w:rsid w:val="7E9A4E1F"/>
    <w:rsid w:val="7EA7723A"/>
    <w:rsid w:val="7EF56FBB"/>
    <w:rsid w:val="7F0768EB"/>
    <w:rsid w:val="7F143BEC"/>
    <w:rsid w:val="7F1C3D32"/>
    <w:rsid w:val="7F715AF2"/>
    <w:rsid w:val="7F886E69"/>
    <w:rsid w:val="7F961E7F"/>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1"/>
    <w:basedOn w:val="1"/>
    <w:qFormat/>
    <w:uiPriority w:val="0"/>
    <w:pPr>
      <w:widowControl w:val="0"/>
      <w:autoSpaceDE w:val="0"/>
      <w:autoSpaceDN w:val="0"/>
      <w:adjustRightInd w:val="0"/>
      <w:spacing w:after="120"/>
      <w:ind w:left="200" w:leftChars="200" w:firstLine="420"/>
    </w:pPr>
    <w:rPr>
      <w:rFonts w:ascii="宋体" w:cs="宋体"/>
      <w:sz w:val="24"/>
      <w:szCs w:val="21"/>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0"/>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3"/>
    <w:qFormat/>
    <w:uiPriority w:val="0"/>
    <w:pPr>
      <w:shd w:val="clear" w:color="auto" w:fill="000080"/>
    </w:pPr>
  </w:style>
  <w:style w:type="paragraph" w:styleId="20">
    <w:name w:val="annotation text"/>
    <w:basedOn w:val="1"/>
    <w:link w:val="345"/>
    <w:qFormat/>
    <w:uiPriority w:val="99"/>
    <w:pPr>
      <w:jc w:val="left"/>
    </w:pPr>
  </w:style>
  <w:style w:type="paragraph" w:styleId="21">
    <w:name w:val="Salutation"/>
    <w:basedOn w:val="1"/>
    <w:next w:val="1"/>
    <w:link w:val="299"/>
    <w:qFormat/>
    <w:uiPriority w:val="0"/>
    <w:rPr>
      <w:rFonts w:ascii="仿宋_GB2312" w:eastAsia="仿宋_GB2312"/>
      <w:sz w:val="28"/>
      <w:szCs w:val="20"/>
    </w:rPr>
  </w:style>
  <w:style w:type="paragraph" w:styleId="22">
    <w:name w:val="Body Text 3"/>
    <w:basedOn w:val="1"/>
    <w:link w:val="331"/>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1"/>
    <w:link w:val="431"/>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1"/>
    <w:link w:val="266"/>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26"/>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2"/>
    <w:qFormat/>
    <w:uiPriority w:val="0"/>
    <w:pPr>
      <w:ind w:left="100" w:leftChars="2500"/>
    </w:pPr>
    <w:rPr>
      <w:rFonts w:ascii="宋体"/>
      <w:sz w:val="24"/>
      <w:szCs w:val="21"/>
      <w:lang w:val="zh-CN"/>
    </w:rPr>
  </w:style>
  <w:style w:type="paragraph" w:styleId="37">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8">
    <w:name w:val="endnote text"/>
    <w:basedOn w:val="1"/>
    <w:link w:val="933"/>
    <w:qFormat/>
    <w:uiPriority w:val="0"/>
    <w:rPr>
      <w:lang w:val="zh-CN"/>
    </w:rPr>
  </w:style>
  <w:style w:type="paragraph" w:styleId="39">
    <w:name w:val="Balloon Text"/>
    <w:basedOn w:val="1"/>
    <w:link w:val="189"/>
    <w:qFormat/>
    <w:uiPriority w:val="0"/>
    <w:rPr>
      <w:sz w:val="18"/>
      <w:szCs w:val="18"/>
    </w:rPr>
  </w:style>
  <w:style w:type="paragraph" w:styleId="40">
    <w:name w:val="footer"/>
    <w:basedOn w:val="1"/>
    <w:link w:val="384"/>
    <w:qFormat/>
    <w:uiPriority w:val="99"/>
    <w:pPr>
      <w:tabs>
        <w:tab w:val="center" w:pos="4153"/>
        <w:tab w:val="right" w:pos="8306"/>
      </w:tabs>
      <w:snapToGrid w:val="0"/>
      <w:jc w:val="left"/>
    </w:pPr>
    <w:rPr>
      <w:sz w:val="18"/>
      <w:szCs w:val="18"/>
    </w:rPr>
  </w:style>
  <w:style w:type="paragraph" w:styleId="41">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link w:val="311"/>
    <w:qFormat/>
    <w:uiPriority w:val="0"/>
    <w:pPr>
      <w:adjustRightInd/>
      <w:snapToGrid/>
      <w:spacing w:before="60" w:after="60" w:line="300" w:lineRule="exact"/>
      <w:ind w:firstLine="0"/>
    </w:pPr>
    <w:rPr>
      <w:rFonts w:ascii="Calibri" w:hAnsi="Times New Roman" w:eastAsia="宋体" w:cs="Times New Roman"/>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3"/>
    <w:qFormat/>
    <w:uiPriority w:val="0"/>
    <w:pPr>
      <w:spacing w:after="120" w:line="480" w:lineRule="auto"/>
    </w:pPr>
  </w:style>
  <w:style w:type="paragraph" w:styleId="57">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7"/>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7"/>
    <w:qFormat/>
    <w:uiPriority w:val="0"/>
    <w:rPr>
      <w:b/>
      <w:bCs/>
    </w:rPr>
  </w:style>
  <w:style w:type="paragraph" w:styleId="61">
    <w:name w:val="Body Text First Indent"/>
    <w:basedOn w:val="24"/>
    <w:next w:val="51"/>
    <w:link w:val="322"/>
    <w:qFormat/>
    <w:uiPriority w:val="0"/>
    <w:pPr>
      <w:ind w:firstLine="420"/>
    </w:pPr>
    <w:rPr>
      <w:rFonts w:hAnsi="Calibri" w:cs="Times New Roman"/>
      <w:snapToGrid/>
      <w:szCs w:val="20"/>
    </w:rPr>
  </w:style>
  <w:style w:type="paragraph" w:styleId="62">
    <w:name w:val="Body Text First Indent 2"/>
    <w:basedOn w:val="25"/>
    <w:link w:val="122"/>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Normal Indent1"/>
    <w:basedOn w:val="1"/>
    <w:qFormat/>
    <w:uiPriority w:val="0"/>
    <w:pPr>
      <w:widowControl/>
      <w:ind w:firstLine="420"/>
      <w:jc w:val="left"/>
    </w:pPr>
    <w:rPr>
      <w:rFonts w:ascii="Times New Roman" w:hAnsi="Times New Roman"/>
      <w:kern w:val="0"/>
      <w:szCs w:val="20"/>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0"/>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2"/>
    <w:qFormat/>
    <w:uiPriority w:val="0"/>
    <w:rPr>
      <w:rFonts w:ascii="宋体" w:hAnsi="宋体"/>
      <w:kern w:val="2"/>
      <w:sz w:val="21"/>
      <w:szCs w:val="24"/>
    </w:rPr>
  </w:style>
  <w:style w:type="character" w:customStyle="1" w:styleId="123">
    <w:name w:val="font11"/>
    <w:basedOn w:val="70"/>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0"/>
    <w:qFormat/>
    <w:uiPriority w:val="0"/>
    <w:rPr>
      <w:rFonts w:ascii="Arial" w:hAnsi="Arial" w:eastAsia="黑体" w:cs="Arial"/>
      <w:snapToGrid w:val="0"/>
      <w:kern w:val="0"/>
      <w:szCs w:val="21"/>
    </w:rPr>
  </w:style>
  <w:style w:type="character" w:customStyle="1" w:styleId="126">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7"/>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4"/>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6"/>
    <w:qFormat/>
    <w:uiPriority w:val="0"/>
    <w:rPr>
      <w:rFonts w:ascii="宋体"/>
      <w:kern w:val="2"/>
      <w:sz w:val="24"/>
      <w:szCs w:val="21"/>
      <w:lang w:val="zh-CN"/>
    </w:rPr>
  </w:style>
  <w:style w:type="character" w:customStyle="1" w:styleId="183">
    <w:name w:val="标题 9 Char"/>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0"/>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39"/>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9"/>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0"/>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0"/>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7"/>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5"/>
    <w:qFormat/>
    <w:uiPriority w:val="0"/>
    <w:rPr>
      <w:rFonts w:ascii="宋体" w:hAnsi="宋体"/>
      <w:kern w:val="2"/>
      <w:sz w:val="24"/>
      <w:szCs w:val="24"/>
    </w:rPr>
  </w:style>
  <w:style w:type="character" w:customStyle="1" w:styleId="267">
    <w:name w:val="font01"/>
    <w:basedOn w:val="70"/>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3"/>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59"/>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1"/>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7"/>
    <w:qFormat/>
    <w:uiPriority w:val="0"/>
    <w:rPr>
      <w:rFonts w:ascii="黑体" w:hAnsi="Courier New" w:eastAsia="黑体"/>
    </w:rPr>
  </w:style>
  <w:style w:type="character" w:customStyle="1" w:styleId="303">
    <w:name w:val="正文文本 2 Char1"/>
    <w:link w:val="56"/>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9"/>
    <w:qFormat/>
    <w:uiPriority w:val="0"/>
    <w:rPr>
      <w:b/>
      <w:bCs/>
      <w:kern w:val="2"/>
      <w:sz w:val="24"/>
      <w:szCs w:val="24"/>
    </w:rPr>
  </w:style>
  <w:style w:type="character" w:customStyle="1" w:styleId="309">
    <w:name w:val="正文文本缩进 2 Char"/>
    <w:link w:val="37"/>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0"/>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basedOn w:val="70"/>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61"/>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6"/>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2"/>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0"/>
    <w:qFormat/>
    <w:uiPriority w:val="0"/>
    <w:rPr>
      <w:kern w:val="2"/>
      <w:sz w:val="21"/>
      <w:szCs w:val="24"/>
    </w:rPr>
  </w:style>
  <w:style w:type="character" w:customStyle="1" w:styleId="346">
    <w:name w:val="签名 Char"/>
    <w:link w:val="42"/>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0"/>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1"/>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link w:val="429"/>
    <w:qFormat/>
    <w:uiPriority w:val="0"/>
    <w:pPr>
      <w:widowControl w:val="0"/>
      <w:adjustRightInd/>
      <w:snapToGrid/>
      <w:spacing w:line="360" w:lineRule="auto"/>
      <w:ind w:firstLine="200" w:firstLineChars="200"/>
    </w:pPr>
    <w:rPr>
      <w:rFonts w:ascii="Calibri" w:hAnsi="Times New Roman" w:eastAsia="宋体" w:cs="Times New Roman"/>
      <w:snapToGrid/>
      <w:color w:val="auto"/>
      <w:kern w:val="2"/>
      <w:sz w:val="24"/>
    </w:rPr>
  </w:style>
  <w:style w:type="character" w:customStyle="1" w:styleId="431">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5"/>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5"/>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33"/>
    <w:next w:val="24"/>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qFormat/>
    <w:uiPriority w:val="0"/>
    <w:pPr>
      <w:widowControl w:val="0"/>
      <w:tabs>
        <w:tab w:val="left" w:pos="0"/>
        <w:tab w:val="left" w:pos="992"/>
      </w:tabs>
      <w:adjustRightInd/>
      <w:snapToGrid/>
      <w:spacing w:line="360" w:lineRule="auto"/>
      <w:ind w:firstLine="0"/>
    </w:pPr>
    <w:rPr>
      <w:rFonts w:ascii="黑体" w:hAnsi="Times New Roman" w:eastAsia="黑体" w:cs="Times New Roman"/>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qFormat/>
    <w:uiPriority w:val="0"/>
    <w:pPr>
      <w:adjustRightInd/>
      <w:snapToGrid/>
      <w:spacing w:before="100" w:beforeAutospacing="1" w:after="100" w:afterLines="50" w:afterAutospacing="1" w:line="360" w:lineRule="auto"/>
      <w:ind w:firstLine="480" w:firstLineChars="200"/>
      <w:jc w:val="left"/>
    </w:pPr>
    <w:rPr>
      <w:rFonts w:ascii="Times New Roman" w:hAnsi="Times New Roman" w:eastAsia="宋体" w:cs="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9"/>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8"/>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16.xml"/><Relationship Id="rId3" Type="http://schemas.openxmlformats.org/officeDocument/2006/relationships/header" Target="header1.xml"/><Relationship Id="rId29" Type="http://schemas.openxmlformats.org/officeDocument/2006/relationships/footer" Target="footer15.xml"/><Relationship Id="rId28" Type="http://schemas.openxmlformats.org/officeDocument/2006/relationships/footer" Target="footer14.xml"/><Relationship Id="rId27" Type="http://schemas.openxmlformats.org/officeDocument/2006/relationships/header" Target="header12.xml"/><Relationship Id="rId26" Type="http://schemas.openxmlformats.org/officeDocument/2006/relationships/header" Target="header1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header" Target="header10.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88</Pages>
  <Words>52224</Words>
  <Characters>56610</Characters>
  <Lines>279</Lines>
  <Paragraphs>78</Paragraphs>
  <TotalTime>18</TotalTime>
  <ScaleCrop>false</ScaleCrop>
  <LinksUpToDate>false</LinksUpToDate>
  <CharactersWithSpaces>61437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路人男。</cp:lastModifiedBy>
  <cp:lastPrinted>2024-09-18T08:08:00Z</cp:lastPrinted>
  <dcterms:modified xsi:type="dcterms:W3CDTF">2024-10-18T02:16:18Z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19F41376641246EC80B07583184D6CFE_13</vt:lpwstr>
  </property>
</Properties>
</file>