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91533">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rPr>
          <w:b/>
          <w:color w:val="auto"/>
          <w:kern w:val="0"/>
          <w:sz w:val="52"/>
          <w:highlight w:val="none"/>
        </w:rPr>
      </w:pPr>
    </w:p>
    <w:p w14:paraId="3DA8891D">
      <w:pPr>
        <w:pStyle w:val="3"/>
        <w:rPr>
          <w:color w:val="auto"/>
          <w:highlight w:val="none"/>
        </w:rPr>
      </w:pPr>
    </w:p>
    <w:p w14:paraId="2FDF050E">
      <w:pPr>
        <w:pStyle w:val="2"/>
        <w:ind w:firstLine="0" w:firstLineChars="0"/>
        <w:rPr>
          <w:color w:val="auto"/>
          <w:highlight w:val="none"/>
        </w:rPr>
      </w:pPr>
    </w:p>
    <w:p w14:paraId="351F754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b/>
          <w:color w:val="auto"/>
          <w:kern w:val="0"/>
          <w:sz w:val="52"/>
          <w:szCs w:val="52"/>
          <w:highlight w:val="none"/>
        </w:rPr>
      </w:pPr>
      <w:r>
        <w:rPr>
          <w:rFonts w:hint="eastAsia"/>
          <w:b/>
          <w:color w:val="auto"/>
          <w:kern w:val="0"/>
          <w:sz w:val="52"/>
          <w:szCs w:val="52"/>
          <w:highlight w:val="none"/>
          <w:lang w:val="en-US" w:eastAsia="zh-CN"/>
        </w:rPr>
        <w:t xml:space="preserve">    </w:t>
      </w:r>
      <w:r>
        <w:rPr>
          <w:rFonts w:hint="eastAsia"/>
          <w:b/>
          <w:color w:val="auto"/>
          <w:kern w:val="0"/>
          <w:sz w:val="72"/>
          <w:szCs w:val="72"/>
          <w:highlight w:val="none"/>
        </w:rPr>
        <w:t>竞争性磋商文件</w:t>
      </w:r>
    </w:p>
    <w:p w14:paraId="6D08C89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color w:val="auto"/>
          <w:kern w:val="0"/>
          <w:sz w:val="30"/>
          <w:szCs w:val="30"/>
          <w:highlight w:val="none"/>
        </w:rPr>
      </w:pPr>
    </w:p>
    <w:p w14:paraId="2224149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b/>
          <w:bCs/>
          <w:color w:val="auto"/>
          <w:kern w:val="0"/>
          <w:sz w:val="32"/>
          <w:szCs w:val="32"/>
          <w:highlight w:val="none"/>
        </w:rPr>
      </w:pPr>
    </w:p>
    <w:p w14:paraId="00E5E235">
      <w:pPr>
        <w:pStyle w:val="50"/>
        <w:rPr>
          <w:color w:val="auto"/>
        </w:rPr>
      </w:pPr>
    </w:p>
    <w:p w14:paraId="08FF773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color w:val="auto"/>
          <w:kern w:val="0"/>
          <w:sz w:val="30"/>
          <w:szCs w:val="30"/>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drawing>
          <wp:inline distT="0" distB="0" distL="114300" distR="114300">
            <wp:extent cx="2476500" cy="2343150"/>
            <wp:effectExtent l="0" t="0" r="0" b="0"/>
            <wp:docPr id="2"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1"/>
                    <pic:cNvPicPr>
                      <a:picLocks noChangeAspect="1"/>
                    </pic:cNvPicPr>
                  </pic:nvPicPr>
                  <pic:blipFill>
                    <a:blip r:embed="rId11" cstate="print"/>
                    <a:stretch>
                      <a:fillRect/>
                    </a:stretch>
                  </pic:blipFill>
                  <pic:spPr>
                    <a:xfrm>
                      <a:off x="0" y="0"/>
                      <a:ext cx="2476500" cy="2343150"/>
                    </a:xfrm>
                    <a:prstGeom prst="rect">
                      <a:avLst/>
                    </a:prstGeom>
                    <a:noFill/>
                    <a:ln>
                      <a:noFill/>
                    </a:ln>
                  </pic:spPr>
                </pic:pic>
              </a:graphicData>
            </a:graphic>
          </wp:inline>
        </w:drawing>
      </w:r>
    </w:p>
    <w:p w14:paraId="239ABA1C">
      <w:pPr>
        <w:pStyle w:val="50"/>
        <w:rPr>
          <w:color w:val="auto"/>
        </w:rPr>
      </w:pPr>
    </w:p>
    <w:p w14:paraId="79305DB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color w:val="auto"/>
          <w:kern w:val="0"/>
          <w:sz w:val="30"/>
          <w:szCs w:val="30"/>
          <w:highlight w:val="none"/>
        </w:rPr>
      </w:pPr>
    </w:p>
    <w:p w14:paraId="52E7A3AB">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1800" w:firstLine="840" w:firstLineChars="300"/>
        <w:textAlignment w:val="auto"/>
        <w:rPr>
          <w:rFonts w:hint="eastAsia" w:eastAsia="宋体"/>
          <w:color w:val="auto"/>
          <w:kern w:val="0"/>
          <w:sz w:val="28"/>
          <w:szCs w:val="28"/>
          <w:highlight w:val="none"/>
          <w:lang w:eastAsia="zh-CN"/>
        </w:rPr>
      </w:pPr>
      <w:r>
        <w:rPr>
          <w:rFonts w:hint="eastAsia"/>
          <w:color w:val="auto"/>
          <w:kern w:val="0"/>
          <w:sz w:val="28"/>
          <w:szCs w:val="28"/>
          <w:highlight w:val="none"/>
        </w:rPr>
        <w:t>项目编号：</w:t>
      </w:r>
      <w:r>
        <w:rPr>
          <w:rFonts w:hint="eastAsia"/>
          <w:color w:val="auto"/>
          <w:kern w:val="0"/>
          <w:sz w:val="28"/>
          <w:szCs w:val="28"/>
          <w:highlight w:val="none"/>
          <w:lang w:eastAsia="zh-CN"/>
        </w:rPr>
        <w:t>HXZX（仙）-2025-04</w:t>
      </w:r>
    </w:p>
    <w:p w14:paraId="0FCA91F2">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left="2238" w:leftChars="399" w:right="-520" w:hanging="1400" w:hangingChars="500"/>
        <w:textAlignment w:val="auto"/>
        <w:rPr>
          <w:rFonts w:hint="eastAsia" w:eastAsia="宋体"/>
          <w:color w:val="auto"/>
          <w:kern w:val="0"/>
          <w:sz w:val="28"/>
          <w:szCs w:val="28"/>
          <w:highlight w:val="none"/>
          <w:lang w:eastAsia="zh-CN"/>
        </w:rPr>
      </w:pPr>
      <w:r>
        <w:rPr>
          <w:rFonts w:hint="eastAsia"/>
          <w:color w:val="auto"/>
          <w:kern w:val="0"/>
          <w:sz w:val="28"/>
          <w:szCs w:val="28"/>
          <w:highlight w:val="none"/>
        </w:rPr>
        <w:t>采购项目：</w:t>
      </w:r>
      <w:r>
        <w:rPr>
          <w:rFonts w:hint="eastAsia"/>
          <w:color w:val="auto"/>
          <w:kern w:val="0"/>
          <w:sz w:val="28"/>
          <w:szCs w:val="28"/>
          <w:highlight w:val="none"/>
          <w:lang w:eastAsia="zh-CN"/>
        </w:rPr>
        <w:t>仙居县生态共富小流域水土流失综合治理项目（大战岙溪、桐山溪、大洪港、东坑小流域）（EPC工程总承包）（监理）</w:t>
      </w:r>
    </w:p>
    <w:p w14:paraId="7424E410">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1800" w:firstLine="840" w:firstLineChars="300"/>
        <w:textAlignment w:val="auto"/>
        <w:rPr>
          <w:color w:val="auto"/>
          <w:kern w:val="0"/>
          <w:sz w:val="30"/>
          <w:szCs w:val="30"/>
          <w:highlight w:val="none"/>
        </w:rPr>
      </w:pPr>
      <w:r>
        <w:rPr>
          <w:rFonts w:hint="eastAsia"/>
          <w:color w:val="auto"/>
          <w:kern w:val="0"/>
          <w:sz w:val="28"/>
          <w:szCs w:val="28"/>
          <w:highlight w:val="none"/>
        </w:rPr>
        <w:t>采 购 人：</w:t>
      </w:r>
      <w:r>
        <w:rPr>
          <w:rFonts w:hint="eastAsia"/>
          <w:color w:val="auto"/>
          <w:kern w:val="0"/>
          <w:sz w:val="28"/>
          <w:szCs w:val="28"/>
          <w:highlight w:val="none"/>
          <w:lang w:eastAsia="zh-CN"/>
        </w:rPr>
        <w:t>仙居县水利工程投资建设开发有限公司</w:t>
      </w:r>
    </w:p>
    <w:p w14:paraId="0DAF5B39">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9040"/>
        </w:tabs>
        <w:kinsoku/>
        <w:wordWrap/>
        <w:overflowPunct/>
        <w:topLinePunct w:val="0"/>
        <w:autoSpaceDE w:val="0"/>
        <w:autoSpaceDN w:val="0"/>
        <w:bidi w:val="0"/>
        <w:adjustRightInd w:val="0"/>
        <w:snapToGrid/>
        <w:spacing w:line="480" w:lineRule="auto"/>
        <w:ind w:right="-14"/>
        <w:jc w:val="both"/>
        <w:textAlignment w:val="auto"/>
        <w:rPr>
          <w:color w:val="auto"/>
          <w:kern w:val="0"/>
          <w:sz w:val="28"/>
          <w:szCs w:val="28"/>
          <w:highlight w:val="none"/>
        </w:rPr>
      </w:pPr>
    </w:p>
    <w:p w14:paraId="1FECC0C0">
      <w:pPr>
        <w:pStyle w:val="153"/>
        <w:rPr>
          <w:color w:val="auto"/>
        </w:rPr>
      </w:pPr>
    </w:p>
    <w:p w14:paraId="0A583AC7">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9040"/>
        </w:tabs>
        <w:kinsoku/>
        <w:wordWrap/>
        <w:overflowPunct/>
        <w:topLinePunct w:val="0"/>
        <w:autoSpaceDE w:val="0"/>
        <w:autoSpaceDN w:val="0"/>
        <w:bidi w:val="0"/>
        <w:adjustRightInd w:val="0"/>
        <w:snapToGrid/>
        <w:spacing w:line="480" w:lineRule="auto"/>
        <w:ind w:right="-11"/>
        <w:jc w:val="center"/>
        <w:textAlignment w:val="auto"/>
        <w:rPr>
          <w:color w:val="auto"/>
          <w:kern w:val="0"/>
          <w:sz w:val="28"/>
          <w:szCs w:val="28"/>
          <w:highlight w:val="none"/>
        </w:rPr>
      </w:pPr>
      <w:r>
        <w:rPr>
          <w:rFonts w:hint="eastAsia"/>
          <w:color w:val="auto"/>
          <w:kern w:val="0"/>
          <w:sz w:val="28"/>
          <w:szCs w:val="28"/>
          <w:highlight w:val="none"/>
        </w:rPr>
        <w:t>采购代理机构：仙居县鸿信工程咨询有限公司</w:t>
      </w:r>
    </w:p>
    <w:p w14:paraId="0F01D7B6">
      <w:pPr>
        <w:keepNext w:val="0"/>
        <w:keepLines w:val="0"/>
        <w:pageBreakBefore w:val="0"/>
        <w:widowControl w:val="0"/>
        <w:tabs>
          <w:tab w:val="left" w:pos="720"/>
          <w:tab w:val="left" w:pos="1440"/>
          <w:tab w:val="left" w:pos="2160"/>
          <w:tab w:val="left" w:pos="2880"/>
          <w:tab w:val="left" w:pos="3600"/>
          <w:tab w:val="left" w:pos="4320"/>
          <w:tab w:val="center" w:pos="4639"/>
          <w:tab w:val="left" w:pos="5040"/>
          <w:tab w:val="left" w:pos="5760"/>
        </w:tabs>
        <w:kinsoku/>
        <w:wordWrap/>
        <w:overflowPunct/>
        <w:topLinePunct w:val="0"/>
        <w:autoSpaceDE w:val="0"/>
        <w:autoSpaceDN w:val="0"/>
        <w:bidi w:val="0"/>
        <w:adjustRightInd w:val="0"/>
        <w:snapToGrid/>
        <w:spacing w:line="480" w:lineRule="auto"/>
        <w:ind w:right="-11"/>
        <w:jc w:val="center"/>
        <w:textAlignment w:val="auto"/>
        <w:rPr>
          <w:rFonts w:hint="eastAsia" w:eastAsia="宋体" w:cs="Arial"/>
          <w:b/>
          <w:bCs/>
          <w:color w:val="auto"/>
          <w:sz w:val="36"/>
          <w:szCs w:val="36"/>
          <w:highlight w:val="none"/>
          <w:u w:val="single" w:color="FFFFFF" w:themeColor="background1"/>
          <w:lang w:eastAsia="zh-CN"/>
        </w:rPr>
        <w:sectPr>
          <w:headerReference r:id="rId4" w:type="first"/>
          <w:footerReference r:id="rId5" w:type="first"/>
          <w:headerReference r:id="rId3" w:type="default"/>
          <w:pgSz w:w="11910" w:h="16845"/>
          <w:pgMar w:top="1414" w:right="1366" w:bottom="1276" w:left="1397" w:header="1020" w:footer="1027" w:gutter="0"/>
          <w:pgNumType w:fmt="decimal" w:start="1"/>
          <w:cols w:space="720" w:num="1"/>
        </w:sectPr>
      </w:pPr>
      <w:r>
        <w:rPr>
          <w:rFonts w:hint="eastAsia"/>
          <w:color w:val="auto"/>
          <w:sz w:val="28"/>
          <w:szCs w:val="28"/>
          <w:highlight w:val="none"/>
        </w:rPr>
        <w:t>202</w:t>
      </w:r>
      <w:r>
        <w:rPr>
          <w:rFonts w:hint="eastAsia"/>
          <w:color w:val="auto"/>
          <w:sz w:val="28"/>
          <w:szCs w:val="28"/>
          <w:highlight w:val="none"/>
          <w:lang w:val="en-US" w:eastAsia="zh-CN"/>
        </w:rPr>
        <w:t>5</w:t>
      </w:r>
      <w:r>
        <w:rPr>
          <w:rFonts w:hint="eastAsia"/>
          <w:color w:val="auto"/>
          <w:kern w:val="0"/>
          <w:sz w:val="28"/>
          <w:szCs w:val="28"/>
          <w:highlight w:val="none"/>
        </w:rPr>
        <w:t>年</w:t>
      </w:r>
      <w:r>
        <w:rPr>
          <w:rFonts w:hint="eastAsia"/>
          <w:color w:val="auto"/>
          <w:sz w:val="28"/>
          <w:szCs w:val="28"/>
          <w:highlight w:val="none"/>
          <w:lang w:val="en-US" w:eastAsia="zh-CN"/>
        </w:rPr>
        <w:t>03</w:t>
      </w:r>
      <w:r>
        <w:rPr>
          <w:rFonts w:hint="eastAsia"/>
          <w:color w:val="auto"/>
          <w:kern w:val="0"/>
          <w:sz w:val="28"/>
          <w:szCs w:val="28"/>
          <w:highlight w:val="none"/>
        </w:rPr>
        <w:t>月</w:t>
      </w:r>
      <w:r>
        <w:rPr>
          <w:rFonts w:hint="eastAsia" w:cs="Arial"/>
          <w:b/>
          <w:bCs/>
          <w:color w:val="auto"/>
          <w:sz w:val="36"/>
          <w:szCs w:val="36"/>
          <w:highlight w:val="none"/>
          <w:lang w:eastAsia="zh-CN"/>
        </w:rPr>
        <w:tab/>
      </w:r>
    </w:p>
    <w:p w14:paraId="340DC8EF">
      <w:pPr>
        <w:pStyle w:val="153"/>
        <w:rPr>
          <w:rFonts w:hint="eastAsia"/>
          <w:color w:val="auto"/>
        </w:rPr>
      </w:pPr>
    </w:p>
    <w:p w14:paraId="64BFF4AA">
      <w:pPr>
        <w:jc w:val="center"/>
        <w:rPr>
          <w:rFonts w:cs="Arial"/>
          <w:b/>
          <w:bCs/>
          <w:color w:val="auto"/>
          <w:sz w:val="36"/>
          <w:szCs w:val="36"/>
          <w:highlight w:val="none"/>
        </w:rPr>
      </w:pPr>
      <w:r>
        <w:rPr>
          <w:rFonts w:hint="eastAsia" w:cs="Arial"/>
          <w:b/>
          <w:bCs/>
          <w:color w:val="auto"/>
          <w:sz w:val="36"/>
          <w:szCs w:val="36"/>
          <w:highlight w:val="none"/>
        </w:rPr>
        <w:t>目    录</w:t>
      </w:r>
    </w:p>
    <w:p w14:paraId="0DD6D658">
      <w:pPr>
        <w:spacing w:line="360" w:lineRule="auto"/>
        <w:ind w:left="960"/>
        <w:rPr>
          <w:color w:val="auto"/>
          <w:sz w:val="10"/>
          <w:highlight w:val="none"/>
        </w:rPr>
      </w:pPr>
    </w:p>
    <w:p w14:paraId="425B8145">
      <w:pPr>
        <w:spacing w:line="360" w:lineRule="auto"/>
        <w:ind w:left="359" w:leftChars="171" w:firstLine="481" w:firstLineChars="171"/>
        <w:rPr>
          <w:rFonts w:ascii="新宋体" w:hAnsi="新宋体"/>
          <w:b/>
          <w:color w:val="auto"/>
          <w:sz w:val="28"/>
          <w:szCs w:val="28"/>
          <w:highlight w:val="none"/>
        </w:rPr>
      </w:pPr>
      <w:r>
        <w:rPr>
          <w:rFonts w:hint="eastAsia" w:ascii="新宋体" w:hAnsi="新宋体" w:eastAsia="新宋体"/>
          <w:b/>
          <w:color w:val="auto"/>
          <w:sz w:val="28"/>
          <w:szCs w:val="28"/>
          <w:highlight w:val="none"/>
        </w:rPr>
        <w:t>第一章 竞争性</w:t>
      </w:r>
      <w:r>
        <w:rPr>
          <w:b/>
          <w:color w:val="auto"/>
          <w:sz w:val="28"/>
          <w:szCs w:val="28"/>
          <w:highlight w:val="none"/>
        </w:rPr>
        <w:t>磋商</w:t>
      </w:r>
      <w:r>
        <w:rPr>
          <w:rFonts w:hint="eastAsia"/>
          <w:b/>
          <w:color w:val="auto"/>
          <w:sz w:val="28"/>
          <w:szCs w:val="28"/>
          <w:highlight w:val="none"/>
        </w:rPr>
        <w:t>公告</w:t>
      </w:r>
    </w:p>
    <w:p w14:paraId="2D7ABB86">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 xml:space="preserve">第二章 </w:t>
      </w:r>
      <w:r>
        <w:rPr>
          <w:rFonts w:hint="eastAsia" w:eastAsia="新宋体"/>
          <w:b/>
          <w:color w:val="auto"/>
          <w:kern w:val="0"/>
          <w:sz w:val="28"/>
          <w:szCs w:val="28"/>
          <w:highlight w:val="none"/>
        </w:rPr>
        <w:t>采购需求</w:t>
      </w:r>
    </w:p>
    <w:p w14:paraId="0317FF60">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第三章 供应商须知</w:t>
      </w:r>
    </w:p>
    <w:p w14:paraId="397B696E">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第四章 评审办法及评审标准</w:t>
      </w:r>
    </w:p>
    <w:p w14:paraId="4C5AAE75">
      <w:pPr>
        <w:spacing w:line="360" w:lineRule="auto"/>
        <w:ind w:firstLine="703" w:firstLineChars="250"/>
        <w:jc w:val="left"/>
        <w:rPr>
          <w:rFonts w:ascii="新宋体" w:hAnsi="新宋体" w:eastAsia="新宋体"/>
          <w:b/>
          <w:color w:val="auto"/>
          <w:sz w:val="28"/>
          <w:szCs w:val="28"/>
          <w:highlight w:val="none"/>
        </w:rPr>
      </w:pPr>
      <w:r>
        <w:rPr>
          <w:rFonts w:ascii="新宋体" w:hAnsi="新宋体" w:eastAsia="新宋体"/>
          <w:b/>
          <w:color w:val="auto"/>
          <w:sz w:val="28"/>
          <w:szCs w:val="28"/>
          <w:highlight w:val="none"/>
        </w:rPr>
        <w:t xml:space="preserve"> </w:t>
      </w:r>
      <w:r>
        <w:rPr>
          <w:rFonts w:hint="eastAsia" w:ascii="新宋体" w:hAnsi="新宋体" w:eastAsia="新宋体"/>
          <w:b/>
          <w:color w:val="auto"/>
          <w:sz w:val="28"/>
          <w:szCs w:val="28"/>
          <w:highlight w:val="none"/>
        </w:rPr>
        <w:t xml:space="preserve">第五章 </w:t>
      </w:r>
      <w:r>
        <w:rPr>
          <w:rFonts w:hint="eastAsia"/>
          <w:b/>
          <w:color w:val="auto"/>
          <w:sz w:val="28"/>
          <w:szCs w:val="28"/>
          <w:highlight w:val="none"/>
        </w:rPr>
        <w:t>拟签订的合同文本</w:t>
      </w:r>
    </w:p>
    <w:p w14:paraId="37322C68">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第六章 响应文件格式附件</w:t>
      </w:r>
    </w:p>
    <w:p w14:paraId="5818AD8D">
      <w:pPr>
        <w:spacing w:line="360" w:lineRule="auto"/>
        <w:rPr>
          <w:b/>
          <w:color w:val="auto"/>
          <w:sz w:val="28"/>
          <w:szCs w:val="28"/>
          <w:highlight w:val="none"/>
        </w:rPr>
      </w:pPr>
    </w:p>
    <w:p w14:paraId="4A3213E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auto"/>
          <w:kern w:val="0"/>
          <w:sz w:val="30"/>
          <w:szCs w:val="30"/>
          <w:highlight w:val="none"/>
        </w:rPr>
      </w:pPr>
    </w:p>
    <w:p w14:paraId="4D20C2E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auto"/>
          <w:kern w:val="0"/>
          <w:sz w:val="30"/>
          <w:szCs w:val="30"/>
          <w:highlight w:val="none"/>
        </w:rPr>
      </w:pPr>
    </w:p>
    <w:p w14:paraId="4CDF6F2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color w:val="auto"/>
          <w:kern w:val="0"/>
          <w:sz w:val="30"/>
          <w:szCs w:val="30"/>
          <w:highlight w:val="none"/>
        </w:rPr>
      </w:pPr>
    </w:p>
    <w:p w14:paraId="6D017B38">
      <w:pPr>
        <w:tabs>
          <w:tab w:val="left" w:pos="180"/>
          <w:tab w:val="left" w:pos="360"/>
          <w:tab w:val="left" w:pos="540"/>
          <w:tab w:val="left" w:pos="8280"/>
        </w:tabs>
        <w:autoSpaceDE w:val="0"/>
        <w:autoSpaceDN w:val="0"/>
        <w:adjustRightInd w:val="0"/>
        <w:spacing w:line="360" w:lineRule="auto"/>
        <w:ind w:right="23"/>
        <w:jc w:val="center"/>
        <w:rPr>
          <w:b/>
          <w:color w:val="auto"/>
          <w:kern w:val="0"/>
          <w:sz w:val="36"/>
          <w:szCs w:val="36"/>
          <w:highlight w:val="none"/>
        </w:rPr>
      </w:pPr>
    </w:p>
    <w:p w14:paraId="5A6B884E">
      <w:pPr>
        <w:tabs>
          <w:tab w:val="left" w:pos="180"/>
          <w:tab w:val="left" w:pos="360"/>
          <w:tab w:val="left" w:pos="540"/>
          <w:tab w:val="left" w:pos="8280"/>
        </w:tabs>
        <w:autoSpaceDE w:val="0"/>
        <w:autoSpaceDN w:val="0"/>
        <w:adjustRightInd w:val="0"/>
        <w:spacing w:line="360" w:lineRule="auto"/>
        <w:ind w:right="23"/>
        <w:jc w:val="center"/>
        <w:rPr>
          <w:b/>
          <w:color w:val="auto"/>
          <w:kern w:val="0"/>
          <w:sz w:val="36"/>
          <w:szCs w:val="36"/>
          <w:highlight w:val="none"/>
        </w:rPr>
      </w:pPr>
    </w:p>
    <w:p w14:paraId="171D746F">
      <w:pPr>
        <w:tabs>
          <w:tab w:val="left" w:pos="180"/>
          <w:tab w:val="left" w:pos="360"/>
          <w:tab w:val="left" w:pos="540"/>
          <w:tab w:val="left" w:pos="8280"/>
        </w:tabs>
        <w:autoSpaceDE w:val="0"/>
        <w:autoSpaceDN w:val="0"/>
        <w:adjustRightInd w:val="0"/>
        <w:spacing w:line="360" w:lineRule="auto"/>
        <w:ind w:right="23"/>
        <w:jc w:val="center"/>
        <w:rPr>
          <w:b/>
          <w:color w:val="auto"/>
          <w:kern w:val="0"/>
          <w:sz w:val="36"/>
          <w:szCs w:val="36"/>
          <w:highlight w:val="none"/>
        </w:rPr>
      </w:pPr>
    </w:p>
    <w:p w14:paraId="6BB50AFA">
      <w:pPr>
        <w:tabs>
          <w:tab w:val="left" w:pos="180"/>
          <w:tab w:val="left" w:pos="360"/>
          <w:tab w:val="left" w:pos="540"/>
          <w:tab w:val="left" w:pos="8280"/>
        </w:tabs>
        <w:autoSpaceDE w:val="0"/>
        <w:autoSpaceDN w:val="0"/>
        <w:adjustRightInd w:val="0"/>
        <w:spacing w:line="360" w:lineRule="auto"/>
        <w:ind w:right="23"/>
        <w:jc w:val="center"/>
        <w:rPr>
          <w:b/>
          <w:color w:val="auto"/>
          <w:kern w:val="0"/>
          <w:sz w:val="36"/>
          <w:szCs w:val="36"/>
          <w:highlight w:val="none"/>
        </w:rPr>
      </w:pPr>
    </w:p>
    <w:p w14:paraId="7F33A65D">
      <w:pPr>
        <w:tabs>
          <w:tab w:val="left" w:pos="180"/>
          <w:tab w:val="left" w:pos="360"/>
          <w:tab w:val="left" w:pos="540"/>
          <w:tab w:val="left" w:pos="8280"/>
        </w:tabs>
        <w:autoSpaceDE w:val="0"/>
        <w:autoSpaceDN w:val="0"/>
        <w:adjustRightInd w:val="0"/>
        <w:spacing w:line="360" w:lineRule="auto"/>
        <w:ind w:right="23"/>
        <w:jc w:val="center"/>
        <w:rPr>
          <w:b/>
          <w:color w:val="auto"/>
          <w:kern w:val="0"/>
          <w:sz w:val="36"/>
          <w:szCs w:val="36"/>
          <w:highlight w:val="none"/>
        </w:rPr>
      </w:pPr>
    </w:p>
    <w:p w14:paraId="52AEB8E4">
      <w:pPr>
        <w:pStyle w:val="50"/>
        <w:rPr>
          <w:b/>
          <w:color w:val="auto"/>
          <w:kern w:val="0"/>
          <w:sz w:val="36"/>
          <w:szCs w:val="36"/>
          <w:highlight w:val="none"/>
        </w:rPr>
      </w:pPr>
    </w:p>
    <w:p w14:paraId="62442364">
      <w:pPr>
        <w:pStyle w:val="50"/>
        <w:rPr>
          <w:b/>
          <w:color w:val="auto"/>
          <w:kern w:val="0"/>
          <w:sz w:val="36"/>
          <w:szCs w:val="36"/>
          <w:highlight w:val="none"/>
        </w:rPr>
      </w:pPr>
    </w:p>
    <w:p w14:paraId="68534B0E">
      <w:pPr>
        <w:pStyle w:val="50"/>
        <w:rPr>
          <w:b/>
          <w:color w:val="auto"/>
          <w:kern w:val="0"/>
          <w:sz w:val="36"/>
          <w:szCs w:val="36"/>
          <w:highlight w:val="none"/>
        </w:rPr>
      </w:pPr>
    </w:p>
    <w:p w14:paraId="04732A84">
      <w:pPr>
        <w:pStyle w:val="50"/>
        <w:rPr>
          <w:b/>
          <w:color w:val="auto"/>
          <w:kern w:val="0"/>
          <w:sz w:val="36"/>
          <w:szCs w:val="36"/>
          <w:highlight w:val="none"/>
        </w:rPr>
      </w:pPr>
    </w:p>
    <w:p w14:paraId="6F7DD07C">
      <w:pPr>
        <w:tabs>
          <w:tab w:val="left" w:pos="180"/>
          <w:tab w:val="left" w:pos="360"/>
          <w:tab w:val="left" w:pos="540"/>
          <w:tab w:val="left" w:pos="8280"/>
        </w:tabs>
        <w:autoSpaceDE w:val="0"/>
        <w:autoSpaceDN w:val="0"/>
        <w:adjustRightInd w:val="0"/>
        <w:spacing w:line="360" w:lineRule="auto"/>
        <w:ind w:right="23"/>
        <w:rPr>
          <w:b/>
          <w:color w:val="auto"/>
          <w:kern w:val="0"/>
          <w:sz w:val="36"/>
          <w:szCs w:val="36"/>
          <w:highlight w:val="none"/>
        </w:rPr>
      </w:pPr>
    </w:p>
    <w:p w14:paraId="7BDB3456">
      <w:pPr>
        <w:numPr>
          <w:ilvl w:val="0"/>
          <w:numId w:val="3"/>
        </w:numPr>
        <w:tabs>
          <w:tab w:val="left" w:pos="180"/>
          <w:tab w:val="left" w:pos="360"/>
          <w:tab w:val="left" w:pos="540"/>
          <w:tab w:val="left" w:pos="8280"/>
        </w:tabs>
        <w:autoSpaceDE w:val="0"/>
        <w:autoSpaceDN w:val="0"/>
        <w:adjustRightInd w:val="0"/>
        <w:spacing w:line="360" w:lineRule="auto"/>
        <w:ind w:right="23"/>
        <w:jc w:val="center"/>
        <w:rPr>
          <w:b/>
          <w:color w:val="auto"/>
          <w:sz w:val="36"/>
          <w:szCs w:val="36"/>
          <w:highlight w:val="none"/>
        </w:rPr>
      </w:pPr>
      <w:r>
        <w:rPr>
          <w:rFonts w:hint="eastAsia"/>
          <w:b/>
          <w:color w:val="auto"/>
          <w:sz w:val="36"/>
          <w:szCs w:val="36"/>
          <w:highlight w:val="none"/>
        </w:rPr>
        <w:t xml:space="preserve"> 竞争性磋商公告</w:t>
      </w:r>
    </w:p>
    <w:p w14:paraId="7492F878">
      <w:pPr>
        <w:pStyle w:val="5"/>
        <w:spacing w:before="0" w:after="0" w:line="240" w:lineRule="exact"/>
        <w:ind w:left="0" w:firstLine="0"/>
        <w:jc w:val="both"/>
        <w:rPr>
          <w:color w:val="auto"/>
          <w:highlight w:val="none"/>
        </w:rPr>
      </w:pPr>
    </w:p>
    <w:p w14:paraId="58D948EE">
      <w:pPr>
        <w:pBdr>
          <w:top w:val="single" w:color="auto" w:sz="4" w:space="1"/>
          <w:left w:val="single" w:color="auto" w:sz="4" w:space="4"/>
          <w:bottom w:val="single" w:color="auto" w:sz="4" w:space="1"/>
          <w:right w:val="single" w:color="auto" w:sz="4" w:space="4"/>
        </w:pBdr>
        <w:tabs>
          <w:tab w:val="left" w:pos="180"/>
          <w:tab w:val="left" w:pos="360"/>
          <w:tab w:val="left" w:pos="540"/>
          <w:tab w:val="left" w:pos="8280"/>
        </w:tabs>
        <w:autoSpaceDE w:val="0"/>
        <w:autoSpaceDN w:val="0"/>
        <w:adjustRightInd w:val="0"/>
        <w:spacing w:line="400" w:lineRule="exact"/>
        <w:ind w:right="23" w:firstLine="420" w:firstLineChars="200"/>
        <w:jc w:val="left"/>
        <w:rPr>
          <w:color w:val="auto"/>
          <w:kern w:val="0"/>
          <w:szCs w:val="21"/>
          <w:highlight w:val="none"/>
        </w:rPr>
      </w:pPr>
      <w:r>
        <w:rPr>
          <w:rFonts w:hint="eastAsia"/>
          <w:color w:val="auto"/>
          <w:kern w:val="0"/>
          <w:szCs w:val="21"/>
          <w:highlight w:val="none"/>
        </w:rPr>
        <w:t>项目概况</w:t>
      </w:r>
    </w:p>
    <w:p w14:paraId="1A923218">
      <w:pPr>
        <w:pBdr>
          <w:top w:val="single" w:color="auto" w:sz="4" w:space="1"/>
          <w:left w:val="single" w:color="auto" w:sz="4" w:space="4"/>
          <w:bottom w:val="single" w:color="auto" w:sz="4" w:space="1"/>
          <w:right w:val="single" w:color="auto" w:sz="4" w:space="4"/>
        </w:pBdr>
        <w:tabs>
          <w:tab w:val="left" w:pos="180"/>
          <w:tab w:val="left" w:pos="360"/>
          <w:tab w:val="left" w:pos="540"/>
          <w:tab w:val="left" w:pos="8280"/>
        </w:tabs>
        <w:autoSpaceDE w:val="0"/>
        <w:autoSpaceDN w:val="0"/>
        <w:adjustRightInd w:val="0"/>
        <w:spacing w:line="400" w:lineRule="exact"/>
        <w:ind w:right="23" w:firstLine="420" w:firstLineChars="200"/>
        <w:jc w:val="left"/>
        <w:rPr>
          <w:color w:val="auto"/>
          <w:kern w:val="0"/>
          <w:szCs w:val="21"/>
          <w:highlight w:val="none"/>
        </w:rPr>
      </w:pPr>
      <w:r>
        <w:rPr>
          <w:rFonts w:hint="eastAsia"/>
          <w:color w:val="auto"/>
          <w:szCs w:val="21"/>
          <w:highlight w:val="none"/>
          <w:u w:val="single"/>
          <w:lang w:eastAsia="zh-CN"/>
        </w:rPr>
        <w:t>仙居县生态共富小流域水土流失综合治理项目（大战岙溪、桐山溪、大洪港、东坑小流域）（EPC工程总承包）（监理）</w:t>
      </w:r>
      <w:r>
        <w:rPr>
          <w:rFonts w:hint="eastAsia"/>
          <w:color w:val="auto"/>
          <w:kern w:val="0"/>
          <w:szCs w:val="21"/>
          <w:highlight w:val="none"/>
        </w:rPr>
        <w:t>招标项目的潜在投标人应在</w:t>
      </w:r>
      <w:r>
        <w:rPr>
          <w:rFonts w:hint="eastAsia"/>
          <w:color w:val="auto"/>
          <w:kern w:val="0"/>
          <w:szCs w:val="21"/>
          <w:highlight w:val="none"/>
          <w:u w:val="single"/>
        </w:rPr>
        <w:t>浙江政府采购网（zfcg.czt.zj.gov.cn）</w:t>
      </w:r>
      <w:r>
        <w:rPr>
          <w:rFonts w:hint="eastAsia"/>
          <w:color w:val="auto"/>
          <w:kern w:val="0"/>
          <w:szCs w:val="21"/>
          <w:highlight w:val="none"/>
        </w:rPr>
        <w:t>获取（下载）磋商文件，并于202</w:t>
      </w:r>
      <w:r>
        <w:rPr>
          <w:rFonts w:hint="eastAsia"/>
          <w:color w:val="auto"/>
          <w:kern w:val="0"/>
          <w:szCs w:val="21"/>
          <w:highlight w:val="none"/>
          <w:lang w:val="en-US" w:eastAsia="zh-CN"/>
        </w:rPr>
        <w:t>5</w:t>
      </w:r>
      <w:r>
        <w:rPr>
          <w:rFonts w:hint="eastAsia"/>
          <w:color w:val="auto"/>
          <w:kern w:val="0"/>
          <w:szCs w:val="21"/>
          <w:highlight w:val="none"/>
        </w:rPr>
        <w:t>年</w:t>
      </w:r>
      <w:r>
        <w:rPr>
          <w:rFonts w:hint="eastAsia" w:cs="Arial"/>
          <w:color w:val="auto"/>
          <w:szCs w:val="21"/>
          <w:highlight w:val="none"/>
          <w:u w:val="single"/>
        </w:rPr>
        <w:t xml:space="preserve"> </w:t>
      </w:r>
      <w:r>
        <w:rPr>
          <w:rFonts w:hint="eastAsia" w:cs="Arial"/>
          <w:color w:val="auto"/>
          <w:szCs w:val="21"/>
          <w:highlight w:val="none"/>
          <w:u w:val="single"/>
          <w:lang w:val="en-US" w:eastAsia="zh-CN"/>
        </w:rPr>
        <w:t xml:space="preserve">03 </w:t>
      </w:r>
      <w:r>
        <w:rPr>
          <w:rFonts w:hint="eastAsia" w:cs="Arial"/>
          <w:color w:val="auto"/>
          <w:szCs w:val="21"/>
          <w:highlight w:val="none"/>
        </w:rPr>
        <w:t>月</w:t>
      </w:r>
      <w:r>
        <w:rPr>
          <w:rFonts w:hint="eastAsia" w:cs="Arial"/>
          <w:color w:val="auto"/>
          <w:szCs w:val="21"/>
          <w:highlight w:val="none"/>
          <w:u w:val="single"/>
        </w:rPr>
        <w:t xml:space="preserve"> </w:t>
      </w:r>
      <w:r>
        <w:rPr>
          <w:rFonts w:hint="eastAsia" w:cs="Arial"/>
          <w:color w:val="auto"/>
          <w:szCs w:val="21"/>
          <w:highlight w:val="none"/>
          <w:u w:val="single"/>
          <w:lang w:val="en-US" w:eastAsia="zh-CN"/>
        </w:rPr>
        <w:t>18</w:t>
      </w:r>
      <w:r>
        <w:rPr>
          <w:rFonts w:hint="eastAsia" w:cs="Arial"/>
          <w:color w:val="auto"/>
          <w:szCs w:val="21"/>
          <w:highlight w:val="none"/>
          <w:u w:val="single"/>
        </w:rPr>
        <w:t xml:space="preserve"> </w:t>
      </w:r>
      <w:r>
        <w:rPr>
          <w:rFonts w:hint="eastAsia" w:cs="Arial"/>
          <w:color w:val="auto"/>
          <w:szCs w:val="21"/>
          <w:highlight w:val="none"/>
        </w:rPr>
        <w:t>日</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09</w:t>
      </w:r>
      <w:r>
        <w:rPr>
          <w:rFonts w:hint="eastAsia"/>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00</w:t>
      </w:r>
      <w:r>
        <w:rPr>
          <w:rFonts w:hint="eastAsia"/>
          <w:color w:val="auto"/>
          <w:kern w:val="0"/>
          <w:szCs w:val="21"/>
          <w:highlight w:val="none"/>
          <w:u w:val="single"/>
        </w:rPr>
        <w:t xml:space="preserve"> </w:t>
      </w:r>
      <w:r>
        <w:rPr>
          <w:rFonts w:hint="eastAsia"/>
          <w:color w:val="auto"/>
          <w:kern w:val="0"/>
          <w:szCs w:val="21"/>
          <w:highlight w:val="none"/>
        </w:rPr>
        <w:t>（北京时间）前递交（上传）磋商响应文件。</w:t>
      </w:r>
    </w:p>
    <w:p w14:paraId="4DA2AF1C">
      <w:pPr>
        <w:tabs>
          <w:tab w:val="left" w:pos="180"/>
          <w:tab w:val="left" w:pos="360"/>
          <w:tab w:val="left" w:pos="540"/>
          <w:tab w:val="left" w:pos="8280"/>
        </w:tabs>
        <w:autoSpaceDE w:val="0"/>
        <w:autoSpaceDN w:val="0"/>
        <w:adjustRightInd w:val="0"/>
        <w:spacing w:line="380" w:lineRule="exact"/>
        <w:ind w:right="23"/>
        <w:jc w:val="left"/>
        <w:rPr>
          <w:b/>
          <w:color w:val="auto"/>
          <w:kern w:val="0"/>
          <w:szCs w:val="21"/>
          <w:highlight w:val="none"/>
        </w:rPr>
      </w:pPr>
      <w:r>
        <w:rPr>
          <w:rFonts w:hint="eastAsia"/>
          <w:b/>
          <w:color w:val="auto"/>
          <w:kern w:val="0"/>
          <w:szCs w:val="21"/>
          <w:highlight w:val="none"/>
        </w:rPr>
        <w:t>一、项目基本情况：</w:t>
      </w:r>
    </w:p>
    <w:p w14:paraId="497FB1F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210" w:firstLineChars="100"/>
        <w:jc w:val="left"/>
        <w:textAlignment w:val="auto"/>
        <w:rPr>
          <w:rFonts w:hint="eastAsia" w:eastAsia="宋体"/>
          <w:color w:val="auto"/>
          <w:kern w:val="0"/>
          <w:szCs w:val="21"/>
          <w:highlight w:val="none"/>
          <w:lang w:eastAsia="zh-CN"/>
        </w:rPr>
      </w:pPr>
      <w:r>
        <w:rPr>
          <w:rFonts w:hint="eastAsia"/>
          <w:color w:val="auto"/>
          <w:kern w:val="0"/>
          <w:szCs w:val="21"/>
          <w:highlight w:val="none"/>
        </w:rPr>
        <w:t>1、项目编号：</w:t>
      </w:r>
      <w:r>
        <w:rPr>
          <w:rFonts w:hint="eastAsia"/>
          <w:color w:val="auto"/>
          <w:kern w:val="0"/>
          <w:szCs w:val="21"/>
          <w:highlight w:val="none"/>
          <w:lang w:eastAsia="zh-CN"/>
        </w:rPr>
        <w:t>HXZX（仙）-2025-04</w:t>
      </w:r>
    </w:p>
    <w:p w14:paraId="1882730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210" w:firstLineChars="100"/>
        <w:jc w:val="left"/>
        <w:textAlignment w:val="auto"/>
        <w:rPr>
          <w:rFonts w:hint="eastAsia" w:eastAsia="宋体"/>
          <w:color w:val="auto"/>
          <w:kern w:val="0"/>
          <w:szCs w:val="21"/>
          <w:highlight w:val="none"/>
          <w:lang w:eastAsia="zh-CN"/>
        </w:rPr>
      </w:pPr>
      <w:r>
        <w:rPr>
          <w:rFonts w:hint="eastAsia"/>
          <w:color w:val="auto"/>
          <w:kern w:val="0"/>
          <w:szCs w:val="21"/>
          <w:highlight w:val="none"/>
        </w:rPr>
        <w:t>2、项目名称：</w:t>
      </w:r>
      <w:r>
        <w:rPr>
          <w:rFonts w:hint="eastAsia"/>
          <w:color w:val="auto"/>
          <w:kern w:val="0"/>
          <w:szCs w:val="21"/>
          <w:highlight w:val="none"/>
          <w:lang w:eastAsia="zh-CN"/>
        </w:rPr>
        <w:t>仙居县生态共富小流域水土流失综合治理项目（大战岙溪、桐山溪、大洪港、东坑小流域）（EPC工程总承包）（监理）</w:t>
      </w:r>
    </w:p>
    <w:p w14:paraId="23AB80D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210" w:firstLineChars="100"/>
        <w:jc w:val="left"/>
        <w:textAlignment w:val="auto"/>
        <w:rPr>
          <w:rFonts w:hint="eastAsia" w:ascii="宋体" w:hAnsi="宋体"/>
          <w:color w:val="auto"/>
          <w:szCs w:val="21"/>
          <w:highlight w:val="none"/>
          <w:lang w:val="en-US" w:eastAsia="zh-CN"/>
        </w:rPr>
      </w:pPr>
      <w:r>
        <w:rPr>
          <w:rFonts w:hint="eastAsia"/>
          <w:color w:val="auto"/>
          <w:kern w:val="0"/>
          <w:szCs w:val="21"/>
          <w:highlight w:val="none"/>
        </w:rPr>
        <w:t>3、招标项目概况：</w:t>
      </w:r>
      <w:r>
        <w:rPr>
          <w:rFonts w:hint="eastAsia" w:ascii="宋体" w:hAnsi="宋体"/>
          <w:color w:val="auto"/>
          <w:szCs w:val="21"/>
          <w:highlight w:val="none"/>
          <w:lang w:val="en-US" w:eastAsia="zh-CN"/>
        </w:rPr>
        <w:t>仙居县生态共富小流域水土流失综合治理项目（大战岙溪、桐山溪、大洪港、东坑小流域），项目所在区域位于朱溪镇和大战乡2个乡镇，包括大战岙溪、桐山溪、大洪港、东坑等4条生态共富小流域，主要涉及大洪村、火坦村、大战村、下叶溪村、格垟村、大战索村及温泉村等村庄，项目区面积总计170.52km2。流域内以低山丘陵为主，土地利用现状以林地和耕地为主。项目水土流失治理措施面积不小于62km2。</w:t>
      </w:r>
    </w:p>
    <w:p w14:paraId="7D105393">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主要建设内容包括封育治理工程、经济林地治理工程、生态护岸工程、拦沙堰工程、林道防护工程、堤顶道路整修工程及村庄绿化美化工程等。</w:t>
      </w:r>
    </w:p>
    <w:p w14:paraId="0CAF8410">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本次招标共</w:t>
      </w:r>
      <w:r>
        <w:rPr>
          <w:rFonts w:hint="eastAsia" w:ascii="宋体" w:hAnsi="宋体"/>
          <w:color w:val="auto"/>
          <w:szCs w:val="21"/>
          <w:highlight w:val="none"/>
          <w:u w:val="single"/>
        </w:rPr>
        <w:t xml:space="preserve"> 1 </w:t>
      </w:r>
      <w:r>
        <w:rPr>
          <w:rFonts w:hint="eastAsia" w:ascii="宋体" w:hAnsi="宋体"/>
          <w:color w:val="auto"/>
          <w:szCs w:val="21"/>
          <w:highlight w:val="none"/>
        </w:rPr>
        <w:t>个标项，具体内容如下表：</w:t>
      </w:r>
    </w:p>
    <w:tbl>
      <w:tblPr>
        <w:tblStyle w:val="3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3"/>
        <w:gridCol w:w="2432"/>
        <w:gridCol w:w="922"/>
        <w:gridCol w:w="922"/>
        <w:gridCol w:w="922"/>
        <w:gridCol w:w="924"/>
        <w:gridCol w:w="2629"/>
      </w:tblGrid>
      <w:tr w14:paraId="54CF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783" w:type="dxa"/>
            <w:vAlign w:val="center"/>
          </w:tcPr>
          <w:p w14:paraId="69037624">
            <w:pPr>
              <w:tabs>
                <w:tab w:val="left" w:pos="8280"/>
              </w:tabs>
              <w:autoSpaceDE w:val="0"/>
              <w:autoSpaceDN w:val="0"/>
              <w:adjustRightInd w:val="0"/>
              <w:ind w:right="23"/>
              <w:jc w:val="center"/>
              <w:rPr>
                <w:rFonts w:ascii="宋体"/>
                <w:b/>
                <w:color w:val="auto"/>
                <w:szCs w:val="21"/>
                <w:highlight w:val="none"/>
              </w:rPr>
            </w:pPr>
            <w:r>
              <w:rPr>
                <w:rFonts w:hint="eastAsia" w:ascii="宋体"/>
                <w:b/>
                <w:color w:val="auto"/>
                <w:szCs w:val="21"/>
                <w:highlight w:val="none"/>
              </w:rPr>
              <w:t>序号</w:t>
            </w:r>
          </w:p>
        </w:tc>
        <w:tc>
          <w:tcPr>
            <w:tcW w:w="2432" w:type="dxa"/>
            <w:vAlign w:val="center"/>
          </w:tcPr>
          <w:p w14:paraId="502383C7">
            <w:pPr>
              <w:tabs>
                <w:tab w:val="left" w:pos="8280"/>
              </w:tabs>
              <w:autoSpaceDE w:val="0"/>
              <w:autoSpaceDN w:val="0"/>
              <w:adjustRightInd w:val="0"/>
              <w:spacing w:line="440" w:lineRule="exact"/>
              <w:ind w:right="25" w:firstLine="105" w:firstLineChars="50"/>
              <w:jc w:val="center"/>
              <w:rPr>
                <w:rFonts w:ascii="宋体"/>
                <w:b/>
                <w:color w:val="auto"/>
                <w:szCs w:val="21"/>
                <w:highlight w:val="none"/>
              </w:rPr>
            </w:pPr>
            <w:r>
              <w:rPr>
                <w:rFonts w:hint="eastAsia" w:ascii="宋体"/>
                <w:b/>
                <w:color w:val="auto"/>
                <w:szCs w:val="21"/>
                <w:highlight w:val="none"/>
              </w:rPr>
              <w:t>标项名称或内容</w:t>
            </w:r>
          </w:p>
        </w:tc>
        <w:tc>
          <w:tcPr>
            <w:tcW w:w="922" w:type="dxa"/>
            <w:vAlign w:val="center"/>
          </w:tcPr>
          <w:p w14:paraId="73F5816A">
            <w:pPr>
              <w:tabs>
                <w:tab w:val="left" w:pos="8280"/>
              </w:tabs>
              <w:autoSpaceDE w:val="0"/>
              <w:autoSpaceDN w:val="0"/>
              <w:adjustRightInd w:val="0"/>
              <w:spacing w:line="440" w:lineRule="exact"/>
              <w:ind w:right="25"/>
              <w:jc w:val="center"/>
              <w:rPr>
                <w:rFonts w:ascii="宋体"/>
                <w:b/>
                <w:color w:val="auto"/>
                <w:szCs w:val="21"/>
                <w:highlight w:val="none"/>
              </w:rPr>
            </w:pPr>
            <w:r>
              <w:rPr>
                <w:rFonts w:hint="eastAsia" w:ascii="宋体"/>
                <w:b/>
                <w:color w:val="auto"/>
                <w:szCs w:val="21"/>
                <w:highlight w:val="none"/>
              </w:rPr>
              <w:t>数量</w:t>
            </w:r>
          </w:p>
        </w:tc>
        <w:tc>
          <w:tcPr>
            <w:tcW w:w="922" w:type="dxa"/>
            <w:vAlign w:val="center"/>
          </w:tcPr>
          <w:p w14:paraId="1A2CFED5">
            <w:pPr>
              <w:tabs>
                <w:tab w:val="left" w:pos="8280"/>
              </w:tabs>
              <w:autoSpaceDE w:val="0"/>
              <w:autoSpaceDN w:val="0"/>
              <w:adjustRightInd w:val="0"/>
              <w:spacing w:line="440" w:lineRule="exact"/>
              <w:ind w:right="25"/>
              <w:jc w:val="center"/>
              <w:rPr>
                <w:rFonts w:ascii="宋体"/>
                <w:b/>
                <w:color w:val="auto"/>
                <w:szCs w:val="21"/>
                <w:highlight w:val="none"/>
              </w:rPr>
            </w:pPr>
            <w:r>
              <w:rPr>
                <w:rFonts w:hint="eastAsia" w:ascii="宋体"/>
                <w:b/>
                <w:color w:val="auto"/>
                <w:szCs w:val="21"/>
                <w:highlight w:val="none"/>
              </w:rPr>
              <w:t>单位</w:t>
            </w:r>
          </w:p>
        </w:tc>
        <w:tc>
          <w:tcPr>
            <w:tcW w:w="922" w:type="dxa"/>
            <w:shd w:val="clear" w:color="auto" w:fill="auto"/>
            <w:vAlign w:val="center"/>
          </w:tcPr>
          <w:p w14:paraId="27B4D07C">
            <w:pPr>
              <w:tabs>
                <w:tab w:val="left" w:pos="8280"/>
              </w:tabs>
              <w:autoSpaceDE w:val="0"/>
              <w:autoSpaceDN w:val="0"/>
              <w:adjustRightInd w:val="0"/>
              <w:spacing w:line="32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预算金额</w:t>
            </w:r>
          </w:p>
          <w:p w14:paraId="5207C739">
            <w:pPr>
              <w:tabs>
                <w:tab w:val="left" w:pos="8280"/>
              </w:tabs>
              <w:autoSpaceDE w:val="0"/>
              <w:autoSpaceDN w:val="0"/>
              <w:adjustRightInd w:val="0"/>
              <w:spacing w:line="320" w:lineRule="exact"/>
              <w:ind w:right="23" w:right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（万元）</w:t>
            </w:r>
          </w:p>
        </w:tc>
        <w:tc>
          <w:tcPr>
            <w:tcW w:w="924" w:type="dxa"/>
            <w:vAlign w:val="center"/>
          </w:tcPr>
          <w:p w14:paraId="2AE87932">
            <w:pPr>
              <w:tabs>
                <w:tab w:val="left" w:pos="8280"/>
              </w:tabs>
              <w:autoSpaceDE w:val="0"/>
              <w:autoSpaceDN w:val="0"/>
              <w:adjustRightInd w:val="0"/>
              <w:spacing w:line="32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p w14:paraId="35ADBC5A">
            <w:pPr>
              <w:tabs>
                <w:tab w:val="left" w:pos="8280"/>
              </w:tabs>
              <w:autoSpaceDE w:val="0"/>
              <w:autoSpaceDN w:val="0"/>
              <w:adjustRightInd w:val="0"/>
              <w:spacing w:line="32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2629" w:type="dxa"/>
            <w:vAlign w:val="center"/>
          </w:tcPr>
          <w:p w14:paraId="738503E4">
            <w:pPr>
              <w:tabs>
                <w:tab w:val="left" w:pos="8280"/>
              </w:tabs>
              <w:autoSpaceDE w:val="0"/>
              <w:autoSpaceDN w:val="0"/>
              <w:adjustRightInd w:val="0"/>
              <w:spacing w:line="440" w:lineRule="exact"/>
              <w:ind w:right="25" w:rightChars="0"/>
              <w:jc w:val="center"/>
              <w:rPr>
                <w:rFonts w:ascii="宋体"/>
                <w:b/>
                <w:color w:val="auto"/>
                <w:szCs w:val="21"/>
                <w:highlight w:val="none"/>
              </w:rPr>
            </w:pPr>
            <w:r>
              <w:rPr>
                <w:rFonts w:hint="eastAsia" w:ascii="宋体" w:hAnsi="宋体" w:cs="宋体"/>
                <w:b/>
                <w:color w:val="auto"/>
                <w:szCs w:val="21"/>
                <w:highlight w:val="none"/>
              </w:rPr>
              <w:t>具体工作范围</w:t>
            </w:r>
          </w:p>
        </w:tc>
      </w:tr>
      <w:tr w14:paraId="053A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783" w:type="dxa"/>
            <w:vAlign w:val="center"/>
          </w:tcPr>
          <w:p w14:paraId="6910282E">
            <w:pPr>
              <w:tabs>
                <w:tab w:val="left" w:pos="8280"/>
              </w:tabs>
              <w:autoSpaceDE w:val="0"/>
              <w:autoSpaceDN w:val="0"/>
              <w:adjustRightInd w:val="0"/>
              <w:spacing w:line="440" w:lineRule="exact"/>
              <w:ind w:right="-18"/>
              <w:jc w:val="center"/>
              <w:rPr>
                <w:rFonts w:ascii="宋体"/>
                <w:color w:val="auto"/>
                <w:szCs w:val="21"/>
                <w:highlight w:val="none"/>
              </w:rPr>
            </w:pPr>
            <w:r>
              <w:rPr>
                <w:rFonts w:hint="eastAsia" w:ascii="宋体"/>
                <w:color w:val="auto"/>
                <w:szCs w:val="21"/>
                <w:highlight w:val="none"/>
              </w:rPr>
              <w:t>1</w:t>
            </w:r>
          </w:p>
        </w:tc>
        <w:tc>
          <w:tcPr>
            <w:tcW w:w="2432" w:type="dxa"/>
            <w:vAlign w:val="center"/>
          </w:tcPr>
          <w:p w14:paraId="0621B7BE">
            <w:pPr>
              <w:tabs>
                <w:tab w:val="left" w:pos="180"/>
                <w:tab w:val="left" w:pos="360"/>
                <w:tab w:val="left" w:pos="540"/>
                <w:tab w:val="left" w:pos="8280"/>
              </w:tabs>
              <w:autoSpaceDE w:val="0"/>
              <w:autoSpaceDN w:val="0"/>
              <w:adjustRightInd w:val="0"/>
              <w:spacing w:line="240" w:lineRule="auto"/>
              <w:ind w:right="23"/>
              <w:jc w:val="left"/>
              <w:rPr>
                <w:rFonts w:hint="eastAsia" w:ascii="宋体" w:eastAsia="宋体"/>
                <w:color w:val="auto"/>
                <w:szCs w:val="21"/>
                <w:highlight w:val="none"/>
                <w:lang w:eastAsia="zh-CN"/>
              </w:rPr>
            </w:pPr>
            <w:r>
              <w:rPr>
                <w:rFonts w:hint="eastAsia"/>
                <w:color w:val="auto"/>
                <w:kern w:val="0"/>
                <w:szCs w:val="21"/>
                <w:highlight w:val="none"/>
                <w:lang w:eastAsia="zh-CN"/>
              </w:rPr>
              <w:t>仙居县生态共富小流域水土流失综合治理项目（大战岙溪、桐山溪、大洪港、东坑小流域）（EPC工程总承包）（监理）</w:t>
            </w:r>
          </w:p>
        </w:tc>
        <w:tc>
          <w:tcPr>
            <w:tcW w:w="922" w:type="dxa"/>
            <w:vAlign w:val="center"/>
          </w:tcPr>
          <w:p w14:paraId="18FD14DE">
            <w:pPr>
              <w:tabs>
                <w:tab w:val="left" w:pos="8280"/>
              </w:tabs>
              <w:autoSpaceDE w:val="0"/>
              <w:autoSpaceDN w:val="0"/>
              <w:adjustRightInd w:val="0"/>
              <w:spacing w:line="440" w:lineRule="exact"/>
              <w:jc w:val="center"/>
              <w:rPr>
                <w:rFonts w:ascii="宋体"/>
                <w:color w:val="auto"/>
                <w:szCs w:val="21"/>
                <w:highlight w:val="none"/>
              </w:rPr>
            </w:pPr>
            <w:r>
              <w:rPr>
                <w:rFonts w:hint="eastAsia" w:ascii="宋体"/>
                <w:color w:val="auto"/>
                <w:szCs w:val="21"/>
                <w:highlight w:val="none"/>
              </w:rPr>
              <w:t>1</w:t>
            </w:r>
          </w:p>
        </w:tc>
        <w:tc>
          <w:tcPr>
            <w:tcW w:w="922" w:type="dxa"/>
            <w:vAlign w:val="center"/>
          </w:tcPr>
          <w:p w14:paraId="6357D37B">
            <w:pPr>
              <w:tabs>
                <w:tab w:val="left" w:pos="1689"/>
                <w:tab w:val="left" w:pos="8280"/>
              </w:tabs>
              <w:autoSpaceDE w:val="0"/>
              <w:autoSpaceDN w:val="0"/>
              <w:adjustRightInd w:val="0"/>
              <w:spacing w:line="440" w:lineRule="exact"/>
              <w:ind w:right="-80"/>
              <w:jc w:val="center"/>
              <w:rPr>
                <w:rFonts w:ascii="宋体"/>
                <w:color w:val="auto"/>
                <w:szCs w:val="21"/>
                <w:highlight w:val="none"/>
              </w:rPr>
            </w:pPr>
            <w:r>
              <w:rPr>
                <w:rFonts w:hint="eastAsia" w:ascii="宋体"/>
                <w:color w:val="auto"/>
                <w:szCs w:val="21"/>
                <w:highlight w:val="none"/>
              </w:rPr>
              <w:t>项</w:t>
            </w:r>
          </w:p>
        </w:tc>
        <w:tc>
          <w:tcPr>
            <w:tcW w:w="922" w:type="dxa"/>
            <w:shd w:val="clear" w:color="auto" w:fill="auto"/>
            <w:vAlign w:val="center"/>
          </w:tcPr>
          <w:p w14:paraId="451C838F">
            <w:pPr>
              <w:tabs>
                <w:tab w:val="left" w:pos="1689"/>
                <w:tab w:val="left" w:pos="8280"/>
              </w:tabs>
              <w:autoSpaceDE w:val="0"/>
              <w:autoSpaceDN w:val="0"/>
              <w:adjustRightInd w:val="0"/>
              <w:spacing w:line="300" w:lineRule="exact"/>
              <w:ind w:right="-80" w:rightChars="0"/>
              <w:jc w:val="center"/>
              <w:rPr>
                <w:rFonts w:hint="eastAsia" w:ascii="宋体" w:hAnsi="Times New Roman" w:eastAsia="宋体" w:cs="Times New Roman"/>
                <w:color w:val="auto"/>
                <w:kern w:val="2"/>
                <w:sz w:val="21"/>
                <w:szCs w:val="21"/>
                <w:highlight w:val="none"/>
                <w:lang w:val="en-US" w:eastAsia="zh-CN" w:bidi="ar-SA"/>
              </w:rPr>
            </w:pPr>
            <w:r>
              <w:rPr>
                <w:rFonts w:hint="eastAsia" w:ascii="宋体"/>
                <w:color w:val="auto"/>
                <w:szCs w:val="21"/>
                <w:highlight w:val="none"/>
                <w:lang w:val="en-US" w:eastAsia="zh-CN"/>
              </w:rPr>
              <w:t>70</w:t>
            </w:r>
          </w:p>
        </w:tc>
        <w:tc>
          <w:tcPr>
            <w:tcW w:w="924" w:type="dxa"/>
            <w:vAlign w:val="center"/>
          </w:tcPr>
          <w:p w14:paraId="57B601C0">
            <w:pPr>
              <w:tabs>
                <w:tab w:val="left" w:pos="1689"/>
                <w:tab w:val="left" w:pos="8280"/>
              </w:tabs>
              <w:autoSpaceDE w:val="0"/>
              <w:autoSpaceDN w:val="0"/>
              <w:adjustRightInd w:val="0"/>
              <w:spacing w:line="440" w:lineRule="exact"/>
              <w:ind w:right="-80"/>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70</w:t>
            </w:r>
          </w:p>
        </w:tc>
        <w:tc>
          <w:tcPr>
            <w:tcW w:w="2629" w:type="dxa"/>
            <w:vAlign w:val="center"/>
          </w:tcPr>
          <w:p w14:paraId="4FD72C39">
            <w:pPr>
              <w:tabs>
                <w:tab w:val="left" w:pos="8280"/>
              </w:tabs>
              <w:autoSpaceDE w:val="0"/>
              <w:autoSpaceDN w:val="0"/>
              <w:adjustRightInd w:val="0"/>
              <w:spacing w:line="240" w:lineRule="auto"/>
              <w:ind w:right="14" w:rightChars="0"/>
              <w:jc w:val="center"/>
              <w:rPr>
                <w:rFonts w:hint="eastAsia" w:ascii="宋体" w:eastAsia="宋体"/>
                <w:color w:val="auto"/>
                <w:szCs w:val="21"/>
                <w:highlight w:val="none"/>
                <w:lang w:val="en-US" w:eastAsia="zh-CN"/>
              </w:rPr>
            </w:pPr>
            <w:r>
              <w:rPr>
                <w:rFonts w:hint="eastAsia" w:ascii="宋体" w:hAnsi="宋体" w:eastAsia="宋体" w:cs="宋体"/>
                <w:caps w:val="0"/>
                <w:color w:val="auto"/>
                <w:spacing w:val="0"/>
                <w:sz w:val="21"/>
                <w:szCs w:val="21"/>
              </w:rPr>
              <w:t>本工程施工的全过程监理（含前期服务及后期资料整理等）及缺陷责任期监理</w:t>
            </w:r>
            <w:r>
              <w:rPr>
                <w:rFonts w:hint="eastAsia" w:ascii="宋体" w:hAnsi="宋体" w:eastAsia="宋体" w:cs="宋体"/>
                <w:caps w:val="0"/>
                <w:color w:val="auto"/>
                <w:spacing w:val="0"/>
                <w:sz w:val="21"/>
                <w:szCs w:val="21"/>
                <w:lang w:eastAsia="zh-CN"/>
              </w:rPr>
              <w:t>。</w:t>
            </w:r>
          </w:p>
        </w:tc>
      </w:tr>
    </w:tbl>
    <w:p w14:paraId="51E6AED5">
      <w:pPr>
        <w:tabs>
          <w:tab w:val="left" w:pos="180"/>
          <w:tab w:val="left" w:pos="360"/>
          <w:tab w:val="left" w:pos="540"/>
          <w:tab w:val="left" w:pos="8280"/>
        </w:tabs>
        <w:autoSpaceDE w:val="0"/>
        <w:autoSpaceDN w:val="0"/>
        <w:adjustRightInd w:val="0"/>
        <w:spacing w:beforeLines="50" w:line="380" w:lineRule="exact"/>
        <w:ind w:right="23"/>
        <w:jc w:val="left"/>
        <w:rPr>
          <w:b/>
          <w:color w:val="auto"/>
          <w:kern w:val="0"/>
          <w:szCs w:val="21"/>
          <w:highlight w:val="none"/>
        </w:rPr>
      </w:pPr>
      <w:r>
        <w:rPr>
          <w:rFonts w:hint="eastAsia"/>
          <w:b/>
          <w:color w:val="auto"/>
          <w:kern w:val="0"/>
          <w:szCs w:val="21"/>
          <w:highlight w:val="none"/>
        </w:rPr>
        <w:t>二、</w:t>
      </w:r>
      <w:r>
        <w:rPr>
          <w:rFonts w:hint="eastAsia"/>
          <w:b/>
          <w:color w:val="auto"/>
          <w:szCs w:val="21"/>
          <w:highlight w:val="none"/>
        </w:rPr>
        <w:t>申请人的资格要求：</w:t>
      </w:r>
    </w:p>
    <w:p w14:paraId="34BF6A4B">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210" w:firstLineChars="1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一）符合《中华人民共和国政府采购法》第二十二条规定的投标人应具备的资格条件和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p>
    <w:p w14:paraId="29FB27EF">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210" w:firstLineChars="100"/>
        <w:jc w:val="left"/>
        <w:textAlignment w:val="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rPr>
        <w:t>（二）本项目特定条件：</w:t>
      </w:r>
      <w:r>
        <w:rPr>
          <w:rFonts w:hint="eastAsia" w:ascii="宋体" w:hAnsi="宋体" w:eastAsia="宋体" w:cs="宋体"/>
          <w:color w:val="auto"/>
          <w:szCs w:val="21"/>
          <w:highlight w:val="none"/>
          <w:shd w:val="clear" w:color="auto" w:fill="auto"/>
        </w:rPr>
        <w:t>具备工程监理综合资质或</w:t>
      </w:r>
      <w:r>
        <w:rPr>
          <w:rFonts w:hint="eastAsia" w:ascii="宋体" w:hAnsi="宋体" w:eastAsia="宋体" w:cs="宋体"/>
          <w:color w:val="auto"/>
          <w:szCs w:val="21"/>
          <w:highlight w:val="none"/>
          <w:shd w:val="clear" w:color="auto" w:fill="auto"/>
          <w:lang w:eastAsia="zh-CN"/>
        </w:rPr>
        <w:t>具有水利工程（或水利水电工程）监理丙级及以上资质</w:t>
      </w:r>
      <w:r>
        <w:rPr>
          <w:rFonts w:hint="eastAsia" w:ascii="宋体" w:hAnsi="宋体" w:eastAsia="宋体" w:cs="宋体"/>
          <w:color w:val="auto"/>
          <w:szCs w:val="21"/>
          <w:highlight w:val="none"/>
          <w:shd w:val="clear" w:color="auto" w:fill="auto"/>
        </w:rPr>
        <w:t>（持水利工程施工监理丙级资质证书但符合《水利部关于开展水利工程建设监理单位资质行政许可有关工作的公告》（水利部公告2021年第9号）规定的，视同水利工程施工监理乙级资质）；浙江省省外企业须具有有效的《省外企业进浙承接业务备案证明》复印件或提供浙江省建筑市场监管公共服务系统已完成办理的公示信息网站截图证明</w:t>
      </w:r>
      <w:r>
        <w:rPr>
          <w:rFonts w:hint="eastAsia" w:ascii="宋体" w:hAnsi="宋体" w:cs="宋体"/>
          <w:color w:val="auto"/>
          <w:kern w:val="0"/>
          <w:szCs w:val="21"/>
          <w:highlight w:val="none"/>
          <w:shd w:val="clear" w:color="auto" w:fill="auto"/>
        </w:rPr>
        <w:t>。</w:t>
      </w:r>
    </w:p>
    <w:p w14:paraId="3183770D">
      <w:pPr>
        <w:keepNext w:val="0"/>
        <w:keepLines w:val="0"/>
        <w:pageBreakBefore w:val="0"/>
        <w:widowControl/>
        <w:kinsoku/>
        <w:wordWrap/>
        <w:overflowPunct/>
        <w:topLinePunct w:val="0"/>
        <w:bidi w:val="0"/>
        <w:snapToGrid/>
        <w:spacing w:line="360" w:lineRule="exact"/>
        <w:ind w:firstLine="210" w:firstLine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（三）本项目不允许联合体投标。</w:t>
      </w:r>
    </w:p>
    <w:p w14:paraId="658EF1A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color w:val="auto"/>
          <w:szCs w:val="21"/>
          <w:highlight w:val="none"/>
        </w:rPr>
      </w:pPr>
      <w:r>
        <w:rPr>
          <w:rFonts w:hint="eastAsia" w:ascii="宋体" w:hAnsi="宋体" w:cs="宋体"/>
          <w:color w:val="auto"/>
          <w:kern w:val="0"/>
          <w:szCs w:val="21"/>
          <w:highlight w:val="none"/>
        </w:rPr>
        <w:t>注：本项目采用资格后审方式，在评标时进行资格审查，请投标人仔细阅读以上资格条件要求并自查。投标时</w:t>
      </w:r>
      <w:r>
        <w:rPr>
          <w:rFonts w:hint="eastAsia"/>
          <w:color w:val="auto"/>
          <w:kern w:val="0"/>
          <w:szCs w:val="21"/>
          <w:highlight w:val="none"/>
        </w:rPr>
        <w:t>磋商响应文件</w:t>
      </w:r>
      <w:r>
        <w:rPr>
          <w:rFonts w:hint="eastAsia" w:ascii="宋体" w:hAnsi="宋体" w:cs="宋体"/>
          <w:color w:val="auto"/>
          <w:kern w:val="0"/>
          <w:szCs w:val="21"/>
          <w:highlight w:val="none"/>
        </w:rPr>
        <w:t>中请附磋商文件要求的所有资格证明资料。</w:t>
      </w:r>
    </w:p>
    <w:p w14:paraId="33728D3E">
      <w:pPr>
        <w:tabs>
          <w:tab w:val="left" w:pos="180"/>
          <w:tab w:val="left" w:pos="360"/>
          <w:tab w:val="left" w:pos="540"/>
          <w:tab w:val="left" w:pos="8280"/>
        </w:tabs>
        <w:autoSpaceDE w:val="0"/>
        <w:autoSpaceDN w:val="0"/>
        <w:adjustRightInd w:val="0"/>
        <w:spacing w:line="380" w:lineRule="exact"/>
        <w:ind w:right="23"/>
        <w:jc w:val="left"/>
        <w:rPr>
          <w:b/>
          <w:color w:val="auto"/>
          <w:szCs w:val="21"/>
          <w:highlight w:val="none"/>
        </w:rPr>
      </w:pPr>
      <w:r>
        <w:rPr>
          <w:rFonts w:hint="eastAsia"/>
          <w:b/>
          <w:color w:val="auto"/>
          <w:szCs w:val="21"/>
          <w:highlight w:val="none"/>
        </w:rPr>
        <w:t>三、获取（下载）采购文件：</w:t>
      </w:r>
    </w:p>
    <w:p w14:paraId="00557BFE">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cs="Arial"/>
          <w:color w:val="auto"/>
          <w:szCs w:val="21"/>
          <w:highlight w:val="none"/>
        </w:rPr>
      </w:pPr>
      <w:r>
        <w:rPr>
          <w:rFonts w:hint="eastAsia" w:cs="Arial"/>
          <w:color w:val="auto"/>
          <w:szCs w:val="21"/>
          <w:highlight w:val="none"/>
        </w:rPr>
        <w:t>1、时间：公告发布时间至投标截止时间，每天上午00:00至12:00 ，下午12:00至23:59（北京时间，线上获取法定节假日均可，线下获取文件法定节假日除外）。</w:t>
      </w:r>
    </w:p>
    <w:p w14:paraId="0B7ACD1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cs="Arial"/>
          <w:color w:val="auto"/>
          <w:szCs w:val="21"/>
          <w:highlight w:val="none"/>
        </w:rPr>
      </w:pPr>
      <w:r>
        <w:rPr>
          <w:rFonts w:hint="eastAsia" w:cs="Arial"/>
          <w:color w:val="auto"/>
          <w:szCs w:val="21"/>
          <w:highlight w:val="none"/>
        </w:rPr>
        <w:t>2、地点（网址）：浙江政府采购网（</w:t>
      </w:r>
      <w:r>
        <w:rPr>
          <w:color w:val="auto"/>
          <w:szCs w:val="21"/>
          <w:highlight w:val="none"/>
        </w:rPr>
        <w:t>http://zfcg.czt.zj.gov.cn</w:t>
      </w:r>
      <w:r>
        <w:rPr>
          <w:rFonts w:hint="eastAsia" w:cs="Arial"/>
          <w:color w:val="auto"/>
          <w:szCs w:val="21"/>
          <w:highlight w:val="none"/>
        </w:rPr>
        <w:t>）</w:t>
      </w:r>
    </w:p>
    <w:p w14:paraId="53916C0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cs="Arial"/>
          <w:bCs/>
          <w:color w:val="auto"/>
          <w:szCs w:val="21"/>
          <w:highlight w:val="none"/>
        </w:rPr>
      </w:pPr>
      <w:r>
        <w:rPr>
          <w:rFonts w:hint="eastAsia" w:cs="Arial"/>
          <w:color w:val="auto"/>
          <w:szCs w:val="21"/>
          <w:highlight w:val="none"/>
        </w:rPr>
        <w:t>3、</w:t>
      </w:r>
      <w:r>
        <w:rPr>
          <w:rFonts w:hint="eastAsia" w:cs="Arial"/>
          <w:bCs/>
          <w:color w:val="auto"/>
          <w:szCs w:val="21"/>
          <w:highlight w:val="none"/>
        </w:rPr>
        <w:t>方式：供应商通过乐采云平台线上获取或在项目招标公告附件获取，本项目不提供纸制版采购文件；供应商只有在乐采云平台中完成获取采购文件申请并下载采购文件后才视作依法获取采购文件（法律法规所指的供应商获取采购文件时间以供应商完成获取采购文件申请后下载采购文件的时间为准）。通过项目招标公告下方附件获取的采购文件仅供浏览，不视作依法获取采购文件。</w:t>
      </w:r>
    </w:p>
    <w:p w14:paraId="6AE4B9B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cs="Arial"/>
          <w:bCs/>
          <w:color w:val="auto"/>
          <w:szCs w:val="21"/>
          <w:highlight w:val="none"/>
        </w:rPr>
      </w:pPr>
      <w:r>
        <w:rPr>
          <w:rFonts w:hint="eastAsia" w:cs="Arial"/>
          <w:color w:val="auto"/>
          <w:szCs w:val="21"/>
          <w:highlight w:val="none"/>
        </w:rPr>
        <w:t>4、</w:t>
      </w:r>
      <w:r>
        <w:rPr>
          <w:rFonts w:hint="eastAsia"/>
          <w:color w:val="auto"/>
          <w:szCs w:val="21"/>
          <w:highlight w:val="none"/>
        </w:rPr>
        <w:t>售价（元）</w:t>
      </w:r>
      <w:r>
        <w:rPr>
          <w:rFonts w:hint="eastAsia" w:cs="Arial"/>
          <w:color w:val="auto"/>
          <w:szCs w:val="21"/>
          <w:highlight w:val="none"/>
        </w:rPr>
        <w:t>：</w:t>
      </w:r>
      <w:r>
        <w:rPr>
          <w:rFonts w:hint="eastAsia" w:cs="Arial"/>
          <w:bCs/>
          <w:color w:val="auto"/>
          <w:szCs w:val="21"/>
          <w:highlight w:val="none"/>
        </w:rPr>
        <w:t>0</w:t>
      </w:r>
    </w:p>
    <w:p w14:paraId="2FBBCBB5">
      <w:pPr>
        <w:widowControl/>
        <w:spacing w:line="38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四、投标保证金：</w:t>
      </w:r>
    </w:p>
    <w:p w14:paraId="3372D723">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投标保证金：人民币</w:t>
      </w:r>
      <w:r>
        <w:rPr>
          <w:rFonts w:hint="eastAsia" w:ascii="宋体" w:hAnsi="宋体" w:cs="宋体"/>
          <w:b/>
          <w:bCs/>
          <w:color w:val="auto"/>
          <w:szCs w:val="21"/>
          <w:highlight w:val="none"/>
          <w:u w:val="single"/>
          <w:lang w:val="en-US" w:eastAsia="zh-CN"/>
        </w:rPr>
        <w:t>壹</w:t>
      </w:r>
      <w:r>
        <w:rPr>
          <w:rFonts w:hint="eastAsia" w:ascii="宋体" w:hAnsi="宋体" w:cs="宋体"/>
          <w:b/>
          <w:bCs/>
          <w:color w:val="auto"/>
          <w:szCs w:val="21"/>
          <w:highlight w:val="none"/>
          <w:u w:val="single"/>
        </w:rPr>
        <w:t>万元</w:t>
      </w:r>
      <w:r>
        <w:rPr>
          <w:rFonts w:hint="eastAsia" w:ascii="宋体" w:hAnsi="宋体" w:cs="宋体"/>
          <w:b/>
          <w:bCs/>
          <w:color w:val="auto"/>
          <w:szCs w:val="21"/>
          <w:highlight w:val="none"/>
          <w:u w:val="single"/>
          <w:lang w:val="en-US" w:eastAsia="zh-CN"/>
        </w:rPr>
        <w:t>整</w:t>
      </w:r>
      <w:r>
        <w:rPr>
          <w:rFonts w:hint="eastAsia" w:ascii="宋体" w:hAnsi="宋体" w:cs="宋体"/>
          <w:color w:val="auto"/>
          <w:szCs w:val="21"/>
          <w:highlight w:val="none"/>
        </w:rPr>
        <w:t>。交付方式：采用电汇或转账方式缴纳投标保证金的投标人应以投标单位名义从其账户汇入仙居县鸿信工程咨询有限公司指定账户，并注明项目名称，必须确保投标保证金在投标截止时间前汇入仙居县鸿信工程咨询有限公司指定账户，同时按投标文件组成要求将汇款（或转账）凭证附入资格证明文件中；采用保函（包括银行保函、保险机构保证保险保单和融资担保公司保函）缴纳的须按响应文件组成要求将保函影印件或扫描件附入资格证明文件中</w:t>
      </w:r>
      <w:r>
        <w:rPr>
          <w:rFonts w:hint="eastAsia" w:ascii="宋体" w:hAnsi="宋体" w:cs="宋体"/>
          <w:color w:val="auto"/>
          <w:szCs w:val="21"/>
          <w:highlight w:val="none"/>
          <w:lang w:val="en-US" w:eastAsia="zh-CN"/>
        </w:rPr>
        <w:t>；</w:t>
      </w:r>
    </w:p>
    <w:p w14:paraId="24A23A33">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收款单位：仙居县鸿信工程咨询有限公司；</w:t>
      </w:r>
    </w:p>
    <w:p w14:paraId="6761D179">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开户银行：中国建设银行仙居庆丰支行；</w:t>
      </w:r>
    </w:p>
    <w:p w14:paraId="4592DBBD">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账号：33050166756409000162 。</w:t>
      </w:r>
    </w:p>
    <w:p w14:paraId="3105CA35">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注：投标保证金须在</w:t>
      </w:r>
      <w:r>
        <w:rPr>
          <w:rFonts w:hint="eastAsia" w:ascii="宋体" w:hAnsi="宋体" w:cs="宋体"/>
          <w:color w:val="auto"/>
          <w:szCs w:val="21"/>
          <w:highlight w:val="none"/>
        </w:rPr>
        <w:t>投标截止时间前递交</w:t>
      </w:r>
      <w:r>
        <w:rPr>
          <w:rFonts w:hint="eastAsia" w:ascii="宋体" w:hAnsi="宋体" w:cs="宋体"/>
          <w:color w:val="auto"/>
          <w:szCs w:val="21"/>
          <w:highlight w:val="none"/>
          <w:lang w:val="en-US" w:eastAsia="zh-CN"/>
        </w:rPr>
        <w:t>并将缴纳凭证附入资格证明文件中，</w:t>
      </w:r>
      <w:r>
        <w:rPr>
          <w:rFonts w:hint="eastAsia" w:ascii="宋体" w:hAnsi="宋体" w:cs="宋体"/>
          <w:color w:val="auto"/>
          <w:szCs w:val="21"/>
          <w:highlight w:val="none"/>
        </w:rPr>
        <w:t>否则将视为未响应招标文件提交投标保证金要求而拒绝其投标。</w:t>
      </w:r>
    </w:p>
    <w:p w14:paraId="1A70536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jc w:val="left"/>
        <w:rPr>
          <w:b/>
          <w:color w:val="auto"/>
          <w:kern w:val="0"/>
          <w:szCs w:val="21"/>
          <w:highlight w:val="none"/>
        </w:rPr>
      </w:pPr>
      <w:r>
        <w:rPr>
          <w:rFonts w:hint="eastAsia"/>
          <w:b/>
          <w:bCs/>
          <w:color w:val="auto"/>
          <w:szCs w:val="21"/>
          <w:highlight w:val="none"/>
        </w:rPr>
        <w:t>五、响应文件提交（上传）</w:t>
      </w:r>
    </w:p>
    <w:p w14:paraId="305CDE76">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cs="Arial"/>
          <w:color w:val="auto"/>
          <w:szCs w:val="21"/>
          <w:highlight w:val="none"/>
        </w:rPr>
      </w:pPr>
      <w:r>
        <w:rPr>
          <w:rFonts w:hint="eastAsia" w:cs="Arial"/>
          <w:color w:val="auto"/>
          <w:szCs w:val="21"/>
          <w:highlight w:val="none"/>
        </w:rPr>
        <w:t>1、截止时间：202</w:t>
      </w:r>
      <w:r>
        <w:rPr>
          <w:rFonts w:hint="eastAsia" w:cs="Arial"/>
          <w:color w:val="auto"/>
          <w:szCs w:val="21"/>
          <w:highlight w:val="none"/>
          <w:lang w:val="en-US" w:eastAsia="zh-CN"/>
        </w:rPr>
        <w:t>5</w:t>
      </w:r>
      <w:r>
        <w:rPr>
          <w:rFonts w:hint="eastAsia" w:cs="Arial"/>
          <w:color w:val="auto"/>
          <w:szCs w:val="21"/>
          <w:highlight w:val="none"/>
        </w:rPr>
        <w:t>年</w:t>
      </w:r>
      <w:r>
        <w:rPr>
          <w:rFonts w:hint="eastAsia" w:cs="Arial"/>
          <w:color w:val="auto"/>
          <w:szCs w:val="21"/>
          <w:highlight w:val="none"/>
          <w:u w:val="single"/>
          <w:lang w:val="en-US" w:eastAsia="zh-CN"/>
        </w:rPr>
        <w:t xml:space="preserve"> 03 </w:t>
      </w:r>
      <w:r>
        <w:rPr>
          <w:rFonts w:hint="eastAsia" w:cs="Arial"/>
          <w:color w:val="auto"/>
          <w:szCs w:val="21"/>
          <w:highlight w:val="none"/>
        </w:rPr>
        <w:t>月</w:t>
      </w:r>
      <w:r>
        <w:rPr>
          <w:rFonts w:hint="eastAsia" w:cs="Arial"/>
          <w:color w:val="auto"/>
          <w:szCs w:val="21"/>
          <w:highlight w:val="none"/>
          <w:u w:val="single"/>
          <w:lang w:val="en-US" w:eastAsia="zh-CN"/>
        </w:rPr>
        <w:t xml:space="preserve"> 18 </w:t>
      </w:r>
      <w:r>
        <w:rPr>
          <w:rFonts w:hint="eastAsia" w:cs="Arial"/>
          <w:color w:val="auto"/>
          <w:szCs w:val="21"/>
          <w:highlight w:val="none"/>
        </w:rPr>
        <w:t>日</w:t>
      </w:r>
      <w:r>
        <w:rPr>
          <w:rFonts w:hint="eastAsia" w:cs="Arial"/>
          <w:color w:val="auto"/>
          <w:szCs w:val="21"/>
          <w:highlight w:val="none"/>
          <w:u w:val="single"/>
        </w:rPr>
        <w:t xml:space="preserve"> </w:t>
      </w:r>
      <w:r>
        <w:rPr>
          <w:rFonts w:hint="eastAsia" w:cs="Arial"/>
          <w:color w:val="auto"/>
          <w:szCs w:val="21"/>
          <w:highlight w:val="none"/>
          <w:u w:val="single"/>
          <w:lang w:val="en-US" w:eastAsia="zh-CN"/>
        </w:rPr>
        <w:t>09</w:t>
      </w:r>
      <w:r>
        <w:rPr>
          <w:rFonts w:hint="eastAsia" w:cs="Arial"/>
          <w:color w:val="auto"/>
          <w:szCs w:val="21"/>
          <w:highlight w:val="none"/>
          <w:u w:val="single"/>
        </w:rPr>
        <w:t xml:space="preserve"> </w:t>
      </w:r>
      <w:r>
        <w:rPr>
          <w:rFonts w:hint="eastAsia" w:cs="Arial"/>
          <w:color w:val="auto"/>
          <w:szCs w:val="21"/>
          <w:highlight w:val="none"/>
        </w:rPr>
        <w:t>时</w:t>
      </w:r>
      <w:r>
        <w:rPr>
          <w:rFonts w:hint="eastAsia" w:cs="Arial"/>
          <w:color w:val="auto"/>
          <w:szCs w:val="21"/>
          <w:highlight w:val="none"/>
          <w:u w:val="single"/>
        </w:rPr>
        <w:t xml:space="preserve"> </w:t>
      </w:r>
      <w:r>
        <w:rPr>
          <w:rFonts w:hint="eastAsia" w:cs="Arial"/>
          <w:color w:val="auto"/>
          <w:szCs w:val="21"/>
          <w:highlight w:val="none"/>
          <w:u w:val="single"/>
          <w:lang w:val="en-US" w:eastAsia="zh-CN"/>
        </w:rPr>
        <w:t>00</w:t>
      </w:r>
      <w:r>
        <w:rPr>
          <w:rFonts w:hint="eastAsia" w:cs="Arial"/>
          <w:color w:val="auto"/>
          <w:szCs w:val="21"/>
          <w:highlight w:val="none"/>
          <w:u w:val="single"/>
        </w:rPr>
        <w:t xml:space="preserve"> </w:t>
      </w:r>
      <w:r>
        <w:rPr>
          <w:rFonts w:hint="eastAsia" w:cs="Arial"/>
          <w:color w:val="auto"/>
          <w:szCs w:val="21"/>
          <w:highlight w:val="none"/>
        </w:rPr>
        <w:t>分(北京时间)</w:t>
      </w:r>
    </w:p>
    <w:p w14:paraId="137A9043">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cs="Arial"/>
          <w:color w:val="auto"/>
          <w:szCs w:val="21"/>
          <w:highlight w:val="none"/>
        </w:rPr>
      </w:pPr>
      <w:r>
        <w:rPr>
          <w:rFonts w:hint="eastAsia" w:cs="Arial"/>
          <w:color w:val="auto"/>
          <w:szCs w:val="21"/>
          <w:highlight w:val="none"/>
        </w:rPr>
        <w:t>2、地点（网址）：</w:t>
      </w:r>
      <w:r>
        <w:rPr>
          <w:rFonts w:hint="eastAsia" w:ascii="宋体" w:hAnsi="宋体" w:cs="宋体"/>
          <w:color w:val="auto"/>
          <w:szCs w:val="21"/>
          <w:highlight w:val="none"/>
        </w:rPr>
        <w:t>（1）电子加密标书：在“乐采云平台”上传提交。（2）电子备份标书：投标人自行确定是否提交。若提交请在提交</w:t>
      </w:r>
      <w:r>
        <w:rPr>
          <w:rFonts w:hint="eastAsia"/>
          <w:color w:val="auto"/>
          <w:kern w:val="0"/>
          <w:szCs w:val="21"/>
          <w:highlight w:val="none"/>
        </w:rPr>
        <w:t>磋商响应文件</w:t>
      </w:r>
      <w:r>
        <w:rPr>
          <w:rFonts w:hint="eastAsia" w:ascii="宋体" w:hAnsi="宋体" w:cs="宋体"/>
          <w:color w:val="auto"/>
          <w:szCs w:val="21"/>
          <w:highlight w:val="none"/>
        </w:rPr>
        <w:t>截止时间前将电子备份标书打包压缩加密（未加密造成泄密的由投标人自行承担）后以电子邮件的形式发送至</w:t>
      </w:r>
      <w:r>
        <w:rPr>
          <w:rFonts w:hint="eastAsia" w:ascii="宋体" w:hAnsi="宋体" w:cs="宋体"/>
          <w:color w:val="auto"/>
          <w:szCs w:val="21"/>
          <w:highlight w:val="none"/>
          <w:lang w:eastAsia="zh-CN"/>
        </w:rPr>
        <w:t>109678775</w:t>
      </w:r>
      <w:r>
        <w:rPr>
          <w:rFonts w:hint="eastAsia" w:ascii="宋体" w:hAnsi="宋体" w:cs="宋体"/>
          <w:color w:val="auto"/>
          <w:szCs w:val="21"/>
          <w:highlight w:val="none"/>
        </w:rPr>
        <w:t>@qq.com。电子备份标书在“电子加密标书”发生解密异常时使用，否则不予启用。</w:t>
      </w:r>
    </w:p>
    <w:p w14:paraId="5CA99A9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jc w:val="left"/>
        <w:rPr>
          <w:b/>
          <w:color w:val="auto"/>
          <w:kern w:val="0"/>
          <w:szCs w:val="21"/>
          <w:highlight w:val="none"/>
        </w:rPr>
      </w:pPr>
      <w:r>
        <w:rPr>
          <w:rFonts w:hint="eastAsia"/>
          <w:b/>
          <w:color w:val="auto"/>
          <w:kern w:val="0"/>
          <w:szCs w:val="21"/>
          <w:highlight w:val="none"/>
        </w:rPr>
        <w:t>六、响应文件开启：</w:t>
      </w:r>
    </w:p>
    <w:p w14:paraId="330A3BC6">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rFonts w:cs="Arial"/>
          <w:color w:val="auto"/>
          <w:szCs w:val="21"/>
          <w:highlight w:val="none"/>
        </w:rPr>
      </w:pPr>
      <w:r>
        <w:rPr>
          <w:rFonts w:hint="eastAsia" w:cs="Arial"/>
          <w:color w:val="auto"/>
          <w:szCs w:val="21"/>
          <w:highlight w:val="none"/>
        </w:rPr>
        <w:t>1、开启时间：202</w:t>
      </w:r>
      <w:r>
        <w:rPr>
          <w:rFonts w:hint="eastAsia" w:cs="Arial"/>
          <w:color w:val="auto"/>
          <w:szCs w:val="21"/>
          <w:highlight w:val="none"/>
          <w:lang w:val="en-US" w:eastAsia="zh-CN"/>
        </w:rPr>
        <w:t>5</w:t>
      </w:r>
      <w:r>
        <w:rPr>
          <w:rFonts w:hint="eastAsia" w:cs="Arial"/>
          <w:color w:val="auto"/>
          <w:szCs w:val="21"/>
          <w:highlight w:val="none"/>
        </w:rPr>
        <w:t>年</w:t>
      </w:r>
      <w:r>
        <w:rPr>
          <w:rFonts w:hint="eastAsia" w:cs="Arial"/>
          <w:color w:val="auto"/>
          <w:szCs w:val="21"/>
          <w:highlight w:val="none"/>
          <w:u w:val="single"/>
          <w:lang w:val="en-US" w:eastAsia="zh-CN"/>
        </w:rPr>
        <w:t xml:space="preserve"> 03 </w:t>
      </w:r>
      <w:r>
        <w:rPr>
          <w:rFonts w:hint="eastAsia" w:cs="Arial"/>
          <w:color w:val="auto"/>
          <w:szCs w:val="21"/>
          <w:highlight w:val="none"/>
        </w:rPr>
        <w:t>月</w:t>
      </w:r>
      <w:r>
        <w:rPr>
          <w:rFonts w:hint="eastAsia" w:cs="Arial"/>
          <w:color w:val="auto"/>
          <w:szCs w:val="21"/>
          <w:highlight w:val="none"/>
          <w:u w:val="single"/>
          <w:lang w:val="en-US" w:eastAsia="zh-CN"/>
        </w:rPr>
        <w:t xml:space="preserve"> 18 </w:t>
      </w:r>
      <w:r>
        <w:rPr>
          <w:rFonts w:hint="eastAsia" w:cs="Arial"/>
          <w:color w:val="auto"/>
          <w:szCs w:val="21"/>
          <w:highlight w:val="none"/>
        </w:rPr>
        <w:t>日</w:t>
      </w:r>
      <w:r>
        <w:rPr>
          <w:rFonts w:hint="eastAsia" w:cs="Arial"/>
          <w:color w:val="auto"/>
          <w:szCs w:val="21"/>
          <w:highlight w:val="none"/>
          <w:u w:val="single"/>
        </w:rPr>
        <w:t xml:space="preserve"> </w:t>
      </w:r>
      <w:r>
        <w:rPr>
          <w:rFonts w:hint="eastAsia" w:cs="Arial"/>
          <w:color w:val="auto"/>
          <w:szCs w:val="21"/>
          <w:highlight w:val="none"/>
          <w:u w:val="single"/>
          <w:lang w:val="en-US" w:eastAsia="zh-CN"/>
        </w:rPr>
        <w:t>09</w:t>
      </w:r>
      <w:r>
        <w:rPr>
          <w:rFonts w:hint="eastAsia" w:cs="Arial"/>
          <w:color w:val="auto"/>
          <w:szCs w:val="21"/>
          <w:highlight w:val="none"/>
          <w:u w:val="single"/>
        </w:rPr>
        <w:t xml:space="preserve"> </w:t>
      </w:r>
      <w:r>
        <w:rPr>
          <w:rFonts w:hint="eastAsia" w:cs="Arial"/>
          <w:color w:val="auto"/>
          <w:szCs w:val="21"/>
          <w:highlight w:val="none"/>
        </w:rPr>
        <w:t>时</w:t>
      </w:r>
      <w:r>
        <w:rPr>
          <w:rFonts w:hint="eastAsia" w:cs="Arial"/>
          <w:color w:val="auto"/>
          <w:szCs w:val="21"/>
          <w:highlight w:val="none"/>
          <w:u w:val="single"/>
        </w:rPr>
        <w:t xml:space="preserve"> </w:t>
      </w:r>
      <w:r>
        <w:rPr>
          <w:rFonts w:hint="eastAsia" w:cs="Arial"/>
          <w:color w:val="auto"/>
          <w:szCs w:val="21"/>
          <w:highlight w:val="none"/>
          <w:u w:val="single"/>
          <w:lang w:val="en-US" w:eastAsia="zh-CN"/>
        </w:rPr>
        <w:t>00</w:t>
      </w:r>
      <w:r>
        <w:rPr>
          <w:rFonts w:hint="eastAsia" w:cs="Arial"/>
          <w:color w:val="auto"/>
          <w:szCs w:val="21"/>
          <w:highlight w:val="none"/>
          <w:u w:val="single"/>
        </w:rPr>
        <w:t xml:space="preserve"> </w:t>
      </w:r>
      <w:r>
        <w:rPr>
          <w:rFonts w:hint="eastAsia" w:cs="Arial"/>
          <w:color w:val="auto"/>
          <w:szCs w:val="21"/>
          <w:highlight w:val="none"/>
        </w:rPr>
        <w:t>分(北京时间)</w:t>
      </w:r>
    </w:p>
    <w:p w14:paraId="695CEFF1">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exact"/>
        <w:ind w:right="23" w:firstLine="420" w:firstLineChars="200"/>
        <w:jc w:val="left"/>
        <w:textAlignment w:val="auto"/>
        <w:rPr>
          <w:color w:val="auto"/>
          <w:szCs w:val="21"/>
          <w:highlight w:val="none"/>
        </w:rPr>
      </w:pPr>
      <w:r>
        <w:rPr>
          <w:rFonts w:hint="eastAsia" w:cs="Arial"/>
          <w:color w:val="auto"/>
          <w:szCs w:val="21"/>
          <w:highlight w:val="none"/>
        </w:rPr>
        <w:t>2、地点（网址）：</w:t>
      </w:r>
      <w:r>
        <w:rPr>
          <w:rFonts w:hint="eastAsia" w:ascii="宋体" w:hAnsi="宋体" w:cs="宋体"/>
          <w:color w:val="auto"/>
          <w:szCs w:val="21"/>
          <w:highlight w:val="none"/>
        </w:rPr>
        <w:t>仙居县鸿信工程咨询有限公司开标室（仙居县庆丰街173号三楼）（本项目采用乐采云平台线上开标，不要求供应商代表参加现场开标活动，届时将在乐采云平台(</w:t>
      </w:r>
      <w:r>
        <w:rPr>
          <w:color w:val="auto"/>
          <w:szCs w:val="21"/>
          <w:highlight w:val="none"/>
        </w:rPr>
        <w:t>www.lecaiyun.com/</w:t>
      </w:r>
      <w:r>
        <w:rPr>
          <w:rFonts w:hint="eastAsia" w:ascii="宋体" w:hAnsi="宋体" w:cs="宋体"/>
          <w:color w:val="auto"/>
          <w:szCs w:val="21"/>
          <w:highlight w:val="none"/>
        </w:rPr>
        <w:t>)上开启</w:t>
      </w:r>
      <w:r>
        <w:rPr>
          <w:rFonts w:hint="eastAsia"/>
          <w:color w:val="auto"/>
          <w:kern w:val="0"/>
          <w:szCs w:val="21"/>
          <w:highlight w:val="none"/>
        </w:rPr>
        <w:t>磋商响应文件</w:t>
      </w:r>
      <w:r>
        <w:rPr>
          <w:rFonts w:hint="eastAsia" w:ascii="宋体" w:hAnsi="宋体" w:cs="宋体"/>
          <w:color w:val="auto"/>
          <w:szCs w:val="21"/>
          <w:highlight w:val="none"/>
        </w:rPr>
        <w:t>，同时邀请供应商准时在线参加开标活动。</w:t>
      </w:r>
    </w:p>
    <w:p w14:paraId="75541135">
      <w:pPr>
        <w:snapToGrid w:val="0"/>
        <w:spacing w:line="380" w:lineRule="exact"/>
        <w:rPr>
          <w:rFonts w:cs="Arial"/>
          <w:color w:val="auto"/>
          <w:szCs w:val="21"/>
          <w:highlight w:val="none"/>
        </w:rPr>
      </w:pPr>
      <w:r>
        <w:rPr>
          <w:rFonts w:hint="eastAsia"/>
          <w:b/>
          <w:color w:val="auto"/>
          <w:kern w:val="0"/>
          <w:szCs w:val="21"/>
          <w:highlight w:val="none"/>
        </w:rPr>
        <w:t>七、公告期限：</w:t>
      </w:r>
      <w:r>
        <w:rPr>
          <w:rFonts w:hint="eastAsia" w:cs="Arial"/>
          <w:color w:val="auto"/>
          <w:szCs w:val="21"/>
          <w:highlight w:val="none"/>
        </w:rPr>
        <w:t>自本公告发布之日起3个工作日。</w:t>
      </w:r>
    </w:p>
    <w:p w14:paraId="7F026FD2">
      <w:pPr>
        <w:snapToGrid w:val="0"/>
        <w:spacing w:line="380" w:lineRule="exact"/>
        <w:rPr>
          <w:rFonts w:cs="Arial"/>
          <w:color w:val="auto"/>
          <w:szCs w:val="21"/>
          <w:highlight w:val="none"/>
        </w:rPr>
      </w:pPr>
      <w:r>
        <w:rPr>
          <w:rFonts w:hint="eastAsia" w:cs="Arial"/>
          <w:b/>
          <w:bCs/>
          <w:color w:val="auto"/>
          <w:szCs w:val="21"/>
          <w:highlight w:val="none"/>
        </w:rPr>
        <w:t>八</w:t>
      </w:r>
      <w:r>
        <w:rPr>
          <w:rFonts w:cs="Arial"/>
          <w:b/>
          <w:bCs/>
          <w:color w:val="auto"/>
          <w:szCs w:val="21"/>
          <w:highlight w:val="none"/>
        </w:rPr>
        <w:t>、</w:t>
      </w:r>
      <w:r>
        <w:rPr>
          <w:rFonts w:hint="eastAsia" w:cs="Arial"/>
          <w:b/>
          <w:color w:val="auto"/>
          <w:szCs w:val="21"/>
          <w:highlight w:val="none"/>
        </w:rPr>
        <w:t>其他补充事宜：</w:t>
      </w:r>
    </w:p>
    <w:p w14:paraId="7FDF9C3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cs="Arial"/>
          <w:color w:val="auto"/>
          <w:szCs w:val="21"/>
          <w:highlight w:val="none"/>
        </w:rPr>
      </w:pPr>
      <w:r>
        <w:rPr>
          <w:rFonts w:hint="eastAsia" w:cs="Arial"/>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r>
        <w:rPr>
          <w:rFonts w:hint="eastAsia" w:ascii="宋体" w:hAnsi="宋体" w:cs="宋体"/>
          <w:color w:val="auto"/>
          <w:szCs w:val="21"/>
          <w:highlight w:val="none"/>
        </w:rPr>
        <w:t>供应商应在法定质疑期内一次性提出针对同一采购程序环节的质疑。</w:t>
      </w:r>
    </w:p>
    <w:p w14:paraId="258E220D">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cs="Arial"/>
          <w:b/>
          <w:color w:val="auto"/>
          <w:szCs w:val="21"/>
          <w:highlight w:val="none"/>
        </w:rPr>
      </w:pPr>
      <w:r>
        <w:rPr>
          <w:rFonts w:hint="eastAsia" w:cs="Arial"/>
          <w:b/>
          <w:color w:val="auto"/>
          <w:szCs w:val="21"/>
          <w:highlight w:val="none"/>
        </w:rPr>
        <w:t>2、其他事项：</w:t>
      </w:r>
    </w:p>
    <w:p w14:paraId="5B91303A">
      <w:pPr>
        <w:keepNext w:val="0"/>
        <w:keepLines w:val="0"/>
        <w:pageBreakBefore w:val="0"/>
        <w:kinsoku/>
        <w:wordWrap/>
        <w:overflowPunct/>
        <w:topLinePunct w:val="0"/>
        <w:autoSpaceDE/>
        <w:autoSpaceDN/>
        <w:bidi w:val="0"/>
        <w:adjustRightInd/>
        <w:snapToGrid w:val="0"/>
        <w:spacing w:line="360" w:lineRule="exact"/>
        <w:ind w:firstLine="210" w:firstLineChars="100"/>
        <w:textAlignment w:val="auto"/>
        <w:rPr>
          <w:rFonts w:cs="Arial"/>
          <w:color w:val="auto"/>
          <w:szCs w:val="21"/>
          <w:highlight w:val="none"/>
        </w:rPr>
      </w:pPr>
      <w:r>
        <w:rPr>
          <w:rFonts w:hint="eastAsia" w:cs="Arial"/>
          <w:color w:val="auto"/>
          <w:szCs w:val="21"/>
          <w:highlight w:val="none"/>
        </w:rPr>
        <w:t>（1）本项目通过“乐采云平台”实行电子投标，供应商应通过“乐采云平台”电子投标工具制作</w:t>
      </w:r>
      <w:r>
        <w:rPr>
          <w:rFonts w:hint="eastAsia"/>
          <w:color w:val="auto"/>
          <w:kern w:val="0"/>
          <w:szCs w:val="21"/>
          <w:highlight w:val="none"/>
        </w:rPr>
        <w:t>磋商响应文件</w:t>
      </w:r>
      <w:r>
        <w:rPr>
          <w:rFonts w:hint="eastAsia" w:cs="Arial"/>
          <w:color w:val="auto"/>
          <w:szCs w:val="21"/>
          <w:highlight w:val="none"/>
        </w:rPr>
        <w:t>，电子投标工具请自行前往浙江政府采购网下载并安装（“乐采云电子交易客户端”下载网址：http://zfcg.czt.zj.gov.cn/bidClientTemplate/2019-09-24/12975.html，具体以浙江政府采购网最新网址为准），电子投标（【浙江省】供应商-政府采购项目电子交易操作指南）具体流程详见网址：https://service.zcygov.cn/#/help/superior，具体以乐采云平台最新网址为准，联系电话：</w:t>
      </w:r>
      <w:r>
        <w:rPr>
          <w:rFonts w:hint="eastAsia" w:cs="Arial"/>
          <w:color w:val="auto"/>
          <w:szCs w:val="21"/>
          <w:highlight w:val="none"/>
          <w:lang w:eastAsia="zh-CN"/>
        </w:rPr>
        <w:t>95763</w:t>
      </w:r>
      <w:r>
        <w:rPr>
          <w:rFonts w:cs="Arial"/>
          <w:color w:val="auto"/>
          <w:szCs w:val="21"/>
          <w:highlight w:val="none"/>
        </w:rPr>
        <w:t xml:space="preserve"> 。</w:t>
      </w:r>
    </w:p>
    <w:p w14:paraId="0F85FF1B">
      <w:pPr>
        <w:keepNext w:val="0"/>
        <w:keepLines w:val="0"/>
        <w:pageBreakBefore w:val="0"/>
        <w:kinsoku/>
        <w:wordWrap/>
        <w:overflowPunct/>
        <w:topLinePunct w:val="0"/>
        <w:autoSpaceDE/>
        <w:autoSpaceDN/>
        <w:bidi w:val="0"/>
        <w:adjustRightInd/>
        <w:snapToGrid w:val="0"/>
        <w:spacing w:line="360" w:lineRule="exact"/>
        <w:ind w:firstLine="210" w:firstLineChars="100"/>
        <w:textAlignment w:val="auto"/>
        <w:rPr>
          <w:rFonts w:cs="Arial"/>
          <w:color w:val="auto"/>
          <w:szCs w:val="21"/>
          <w:highlight w:val="none"/>
        </w:rPr>
      </w:pPr>
      <w:r>
        <w:rPr>
          <w:rFonts w:hint="eastAsia" w:cs="Arial"/>
          <w:color w:val="auto"/>
          <w:szCs w:val="21"/>
          <w:highlight w:val="none"/>
        </w:rPr>
        <w:t>（2）为确保投标的合法、有效和安全，供应商应当在投标截止时间前完成电子交易所需的</w:t>
      </w:r>
      <w:r>
        <w:rPr>
          <w:rFonts w:cs="Arial"/>
          <w:color w:val="auto"/>
          <w:szCs w:val="21"/>
          <w:highlight w:val="none"/>
        </w:rPr>
        <w:t>CA数字证书办理（制作电子投标文件时需使用</w:t>
      </w:r>
      <w:r>
        <w:rPr>
          <w:rFonts w:hint="eastAsia" w:cs="Arial"/>
          <w:color w:val="auto"/>
          <w:szCs w:val="21"/>
          <w:highlight w:val="none"/>
        </w:rPr>
        <w:t>CA数字证书，具体</w:t>
      </w:r>
      <w:r>
        <w:rPr>
          <w:rFonts w:cs="Arial"/>
          <w:color w:val="auto"/>
          <w:szCs w:val="21"/>
          <w:highlight w:val="none"/>
        </w:rPr>
        <w:t>办理流程详见“浙江政府采购网”的“下载专区-电子交易客户端-CA驱动和申领流程”</w:t>
      </w:r>
      <w:r>
        <w:rPr>
          <w:rFonts w:hint="eastAsia" w:cs="Arial"/>
          <w:color w:val="auto"/>
          <w:szCs w:val="21"/>
          <w:highlight w:val="none"/>
        </w:rPr>
        <w:t>，</w:t>
      </w:r>
      <w:r>
        <w:rPr>
          <w:rFonts w:hint="eastAsia"/>
          <w:color w:val="auto"/>
          <w:szCs w:val="21"/>
          <w:highlight w:val="none"/>
        </w:rPr>
        <w:t xml:space="preserve"> </w:t>
      </w:r>
      <w:r>
        <w:rPr>
          <w:rFonts w:hint="eastAsia" w:cs="Arial"/>
          <w:color w:val="auto"/>
          <w:szCs w:val="21"/>
          <w:highlight w:val="none"/>
        </w:rPr>
        <w:t>因未办理</w:t>
      </w:r>
      <w:r>
        <w:rPr>
          <w:rFonts w:cs="Arial"/>
          <w:color w:val="auto"/>
          <w:szCs w:val="21"/>
          <w:highlight w:val="none"/>
        </w:rPr>
        <w:t>CA数字证书等原因造成无法投标或投标失败等后果由供应商自行承担）。</w:t>
      </w:r>
      <w:r>
        <w:rPr>
          <w:rFonts w:cs="Arial"/>
          <w:b/>
          <w:color w:val="auto"/>
          <w:szCs w:val="21"/>
          <w:highlight w:val="none"/>
        </w:rPr>
        <w:t>完成</w:t>
      </w:r>
      <w:r>
        <w:rPr>
          <w:rFonts w:hint="eastAsia" w:cs="Arial"/>
          <w:b/>
          <w:color w:val="auto"/>
          <w:szCs w:val="21"/>
          <w:highlight w:val="none"/>
        </w:rPr>
        <w:t>CA数字证书办理时间预计需一周左右，建议各供应商抓紧办理。</w:t>
      </w:r>
    </w:p>
    <w:p w14:paraId="4B31AA95">
      <w:pPr>
        <w:keepNext w:val="0"/>
        <w:keepLines w:val="0"/>
        <w:pageBreakBefore w:val="0"/>
        <w:kinsoku/>
        <w:wordWrap/>
        <w:overflowPunct/>
        <w:topLinePunct w:val="0"/>
        <w:autoSpaceDE/>
        <w:autoSpaceDN/>
        <w:bidi w:val="0"/>
        <w:adjustRightInd/>
        <w:snapToGrid w:val="0"/>
        <w:spacing w:line="360" w:lineRule="exact"/>
        <w:ind w:firstLine="210" w:firstLineChars="100"/>
        <w:textAlignment w:val="auto"/>
        <w:rPr>
          <w:rFonts w:cs="Arial"/>
          <w:color w:val="auto"/>
          <w:szCs w:val="21"/>
          <w:highlight w:val="none"/>
        </w:rPr>
      </w:pPr>
      <w:r>
        <w:rPr>
          <w:rFonts w:hint="eastAsia" w:cs="Arial"/>
          <w:color w:val="auto"/>
          <w:szCs w:val="21"/>
          <w:highlight w:val="none"/>
        </w:rPr>
        <w:t>（3）供应商须通过乐采云平台的乐采云电子交易客户端制作</w:t>
      </w:r>
      <w:r>
        <w:rPr>
          <w:rFonts w:hint="eastAsia"/>
          <w:color w:val="auto"/>
          <w:kern w:val="0"/>
          <w:szCs w:val="21"/>
          <w:highlight w:val="none"/>
        </w:rPr>
        <w:t>磋商响应文件</w:t>
      </w:r>
      <w:r>
        <w:rPr>
          <w:rFonts w:hint="eastAsia" w:cs="Arial"/>
          <w:color w:val="auto"/>
          <w:szCs w:val="21"/>
          <w:highlight w:val="none"/>
        </w:rPr>
        <w:t>，乐采云电子交易客户端请供应商自行前往浙江政府采购网下载并安装（客户端下载地址：“浙江政府采购网”的“下载专区</w:t>
      </w:r>
      <w:r>
        <w:rPr>
          <w:rFonts w:cs="Arial"/>
          <w:color w:val="auto"/>
          <w:szCs w:val="21"/>
          <w:highlight w:val="none"/>
        </w:rPr>
        <w:t>-电子交易客户端-</w:t>
      </w:r>
      <w:r>
        <w:rPr>
          <w:rFonts w:hint="eastAsia" w:cs="Arial"/>
          <w:color w:val="auto"/>
          <w:szCs w:val="21"/>
          <w:highlight w:val="none"/>
        </w:rPr>
        <w:t>乐采云</w:t>
      </w:r>
      <w:r>
        <w:rPr>
          <w:rFonts w:cs="Arial"/>
          <w:color w:val="auto"/>
          <w:szCs w:val="21"/>
          <w:highlight w:val="none"/>
        </w:rPr>
        <w:t>电子交易客户端”，电子投标相关操作详见https://service.zcygov.cn/#/help/superior）。</w:t>
      </w:r>
    </w:p>
    <w:p w14:paraId="65B2408B">
      <w:pPr>
        <w:keepNext w:val="0"/>
        <w:keepLines w:val="0"/>
        <w:pageBreakBefore w:val="0"/>
        <w:tabs>
          <w:tab w:val="left" w:pos="1260"/>
        </w:tabs>
        <w:kinsoku/>
        <w:wordWrap/>
        <w:overflowPunct/>
        <w:topLinePunct w:val="0"/>
        <w:autoSpaceDE/>
        <w:autoSpaceDN/>
        <w:bidi w:val="0"/>
        <w:adjustRightInd/>
        <w:snapToGrid w:val="0"/>
        <w:spacing w:line="360" w:lineRule="exact"/>
        <w:ind w:firstLine="210" w:firstLineChars="100"/>
        <w:textAlignment w:val="auto"/>
        <w:rPr>
          <w:rFonts w:cs="Arial"/>
          <w:color w:val="auto"/>
          <w:szCs w:val="21"/>
          <w:highlight w:val="none"/>
        </w:rPr>
      </w:pPr>
      <w:r>
        <w:rPr>
          <w:rFonts w:hint="eastAsia" w:cs="Arial"/>
          <w:bCs/>
          <w:color w:val="auto"/>
          <w:szCs w:val="21"/>
          <w:highlight w:val="none"/>
        </w:rPr>
        <w:t>（4）本项目所有公告发布网站：“浙江政府采购网”（http://zfcg.czt.zj.gov.cn）和“仙居县公共资源交易网”（</w:t>
      </w:r>
      <w:r>
        <w:rPr>
          <w:rFonts w:cs="Arial"/>
          <w:bCs/>
          <w:color w:val="auto"/>
          <w:szCs w:val="21"/>
          <w:highlight w:val="none"/>
        </w:rPr>
        <w:t>http://www.zjxj.</w:t>
      </w:r>
      <w:r>
        <w:rPr>
          <w:rFonts w:cs="Arial"/>
          <w:color w:val="auto"/>
          <w:szCs w:val="21"/>
          <w:highlight w:val="none"/>
        </w:rPr>
        <w:t>gov.cn/col/col1229347417/index.html</w:t>
      </w:r>
      <w:r>
        <w:rPr>
          <w:rFonts w:hint="eastAsia" w:cs="Arial"/>
          <w:color w:val="auto"/>
          <w:szCs w:val="21"/>
          <w:highlight w:val="none"/>
        </w:rPr>
        <w:t>）。项目如有更正或澄清公告，请各供应商自行及时登录上述网站查看，采购代理机构不再作出书面通知。</w:t>
      </w:r>
    </w:p>
    <w:p w14:paraId="2B5C3D9B">
      <w:pPr>
        <w:keepNext w:val="0"/>
        <w:keepLines w:val="0"/>
        <w:pageBreakBefore w:val="0"/>
        <w:kinsoku/>
        <w:wordWrap/>
        <w:overflowPunct/>
        <w:topLinePunct w:val="0"/>
        <w:autoSpaceDE/>
        <w:autoSpaceDN/>
        <w:bidi w:val="0"/>
        <w:adjustRightInd/>
        <w:spacing w:line="360" w:lineRule="exact"/>
        <w:textAlignment w:val="auto"/>
        <w:rPr>
          <w:b/>
          <w:color w:val="auto"/>
          <w:szCs w:val="21"/>
          <w:highlight w:val="none"/>
        </w:rPr>
      </w:pPr>
      <w:r>
        <w:rPr>
          <w:rFonts w:hint="eastAsia"/>
          <w:b/>
          <w:color w:val="auto"/>
          <w:szCs w:val="21"/>
          <w:highlight w:val="none"/>
        </w:rPr>
        <w:t>九、</w:t>
      </w:r>
      <w:r>
        <w:rPr>
          <w:rFonts w:hint="eastAsia" w:ascii="宋体" w:hAnsi="宋体" w:cs="宋体"/>
          <w:b/>
          <w:bCs/>
          <w:color w:val="auto"/>
          <w:kern w:val="0"/>
          <w:szCs w:val="21"/>
          <w:highlight w:val="none"/>
        </w:rPr>
        <w:t>联系方式</w:t>
      </w:r>
    </w:p>
    <w:p w14:paraId="1E44E156">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1、采购单位：</w:t>
      </w:r>
      <w:r>
        <w:rPr>
          <w:rFonts w:hint="eastAsia" w:ascii="宋体" w:hAnsi="宋体" w:cs="宋体"/>
          <w:color w:val="auto"/>
          <w:kern w:val="0"/>
          <w:szCs w:val="21"/>
          <w:highlight w:val="none"/>
          <w:lang w:eastAsia="zh-CN"/>
        </w:rPr>
        <w:t>仙居县水利工程投资建设开发有限公司</w:t>
      </w:r>
    </w:p>
    <w:p w14:paraId="4D9CC5C0">
      <w:pPr>
        <w:keepNext w:val="0"/>
        <w:keepLines w:val="0"/>
        <w:pageBreakBefore w:val="0"/>
        <w:widowControl/>
        <w:kinsoku/>
        <w:wordWrap/>
        <w:overflowPunct/>
        <w:topLinePunct w:val="0"/>
        <w:autoSpaceDE/>
        <w:autoSpaceDN/>
        <w:bidi w:val="0"/>
        <w:adjustRightInd/>
        <w:spacing w:line="360" w:lineRule="exac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徐  祥</w:t>
      </w:r>
    </w:p>
    <w:p w14:paraId="3ECAA496">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联系电话：0576-</w:t>
      </w:r>
      <w:r>
        <w:rPr>
          <w:rFonts w:hint="eastAsia" w:ascii="宋体" w:hAnsi="宋体" w:cs="宋体"/>
          <w:color w:val="auto"/>
          <w:kern w:val="0"/>
          <w:szCs w:val="21"/>
          <w:highlight w:val="none"/>
          <w:lang w:val="en-US" w:eastAsia="zh-CN"/>
        </w:rPr>
        <w:t xml:space="preserve">87761817 </w:t>
      </w:r>
    </w:p>
    <w:p w14:paraId="1F1AE503">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color w:val="auto"/>
          <w:highlight w:val="none"/>
          <w:lang w:eastAsia="zh-CN"/>
        </w:rPr>
        <w:t>仙居县市民中心商务写字楼七楼西面</w:t>
      </w:r>
    </w:p>
    <w:p w14:paraId="4174554D">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2、采购代理机构：仙居县鸿信工程咨询有限公司</w:t>
      </w:r>
    </w:p>
    <w:p w14:paraId="4C824300">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联系人：柯文韬</w:t>
      </w:r>
    </w:p>
    <w:p w14:paraId="4F7EBE66">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联系电话：0576-87728818</w:t>
      </w:r>
    </w:p>
    <w:p w14:paraId="28A77092">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地址： 仙居县庆丰街173号三楼</w:t>
      </w:r>
    </w:p>
    <w:p w14:paraId="62AEE427">
      <w:pPr>
        <w:keepNext w:val="0"/>
        <w:keepLines w:val="0"/>
        <w:pageBreakBefore w:val="0"/>
        <w:widowControl/>
        <w:kinsoku/>
        <w:wordWrap/>
        <w:overflowPunct/>
        <w:topLinePunct w:val="0"/>
        <w:autoSpaceDE/>
        <w:autoSpaceDN/>
        <w:bidi w:val="0"/>
        <w:adjustRightInd/>
        <w:spacing w:line="36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3、监督管理部门名称：仙居县国资工作中心</w:t>
      </w:r>
    </w:p>
    <w:p w14:paraId="480D12A0">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徐女士</w:t>
      </w:r>
    </w:p>
    <w:p w14:paraId="20BB22C5">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联系电话：0576-</w:t>
      </w:r>
      <w:r>
        <w:rPr>
          <w:rFonts w:hint="eastAsia" w:ascii="宋体" w:hAnsi="宋体" w:cs="宋体"/>
          <w:color w:val="auto"/>
          <w:kern w:val="0"/>
          <w:szCs w:val="21"/>
          <w:highlight w:val="none"/>
          <w:lang w:eastAsia="zh-CN"/>
        </w:rPr>
        <w:t>87772238</w:t>
      </w:r>
    </w:p>
    <w:p w14:paraId="58FE4E13">
      <w:pPr>
        <w:keepNext w:val="0"/>
        <w:keepLines w:val="0"/>
        <w:pageBreakBefore w:val="0"/>
        <w:widowControl/>
        <w:kinsoku/>
        <w:wordWrap/>
        <w:overflowPunct/>
        <w:topLinePunct w:val="0"/>
        <w:autoSpaceDE/>
        <w:autoSpaceDN/>
        <w:bidi w:val="0"/>
        <w:adjustRightInd/>
        <w:spacing w:line="360" w:lineRule="exact"/>
        <w:textAlignment w:val="auto"/>
        <w:rPr>
          <w:b/>
          <w:bCs/>
          <w:color w:val="auto"/>
          <w:sz w:val="21"/>
          <w:szCs w:val="21"/>
          <w:highlight w:val="none"/>
        </w:rPr>
      </w:pPr>
      <w:r>
        <w:rPr>
          <w:rFonts w:hint="eastAsia" w:ascii="宋体" w:hAnsi="宋体" w:cs="宋体"/>
          <w:color w:val="auto"/>
          <w:kern w:val="0"/>
          <w:szCs w:val="21"/>
          <w:highlight w:val="none"/>
        </w:rPr>
        <w:t>地址：仙居县环城南路500号（原税务局大楼）6楼</w:t>
      </w:r>
    </w:p>
    <w:p w14:paraId="171D61E5">
      <w:pPr>
        <w:pStyle w:val="34"/>
        <w:widowControl w:val="0"/>
        <w:spacing w:before="0" w:beforeAutospacing="0" w:after="0" w:afterAutospacing="0" w:line="360" w:lineRule="exact"/>
        <w:jc w:val="both"/>
        <w:rPr>
          <w:b/>
          <w:bCs/>
          <w:color w:val="auto"/>
          <w:sz w:val="21"/>
          <w:szCs w:val="21"/>
          <w:highlight w:val="none"/>
        </w:rPr>
      </w:pPr>
    </w:p>
    <w:p w14:paraId="5A5AD7DA">
      <w:pPr>
        <w:pStyle w:val="34"/>
        <w:widowControl w:val="0"/>
        <w:spacing w:before="0" w:beforeAutospacing="0" w:after="0" w:afterAutospacing="0" w:line="360" w:lineRule="exact"/>
        <w:jc w:val="both"/>
        <w:rPr>
          <w:b/>
          <w:bCs/>
          <w:color w:val="auto"/>
          <w:sz w:val="21"/>
          <w:szCs w:val="21"/>
          <w:highlight w:val="none"/>
        </w:rPr>
      </w:pPr>
      <w:r>
        <w:rPr>
          <w:b/>
          <w:bCs/>
          <w:color w:val="auto"/>
          <w:sz w:val="21"/>
          <w:szCs w:val="21"/>
          <w:highlight w:val="none"/>
        </w:rPr>
        <w:t>友情提醒：</w:t>
      </w:r>
    </w:p>
    <w:p w14:paraId="66A8B7A2">
      <w:pPr>
        <w:pStyle w:val="34"/>
        <w:widowControl w:val="0"/>
        <w:spacing w:before="0" w:beforeAutospacing="0" w:after="0" w:afterAutospacing="0" w:line="360" w:lineRule="exact"/>
        <w:jc w:val="both"/>
        <w:rPr>
          <w:b/>
          <w:bCs/>
          <w:color w:val="auto"/>
          <w:sz w:val="21"/>
          <w:szCs w:val="21"/>
          <w:highlight w:val="none"/>
        </w:rPr>
      </w:pPr>
      <w:r>
        <w:rPr>
          <w:b/>
          <w:bCs/>
          <w:color w:val="auto"/>
          <w:sz w:val="21"/>
          <w:szCs w:val="21"/>
          <w:highlight w:val="none"/>
        </w:rPr>
        <w:t>1.</w:t>
      </w:r>
      <w:r>
        <w:rPr>
          <w:rFonts w:hint="eastAsia"/>
          <w:b/>
          <w:bCs/>
          <w:color w:val="auto"/>
          <w:sz w:val="21"/>
          <w:szCs w:val="21"/>
          <w:highlight w:val="none"/>
          <w:lang w:val="en-US" w:eastAsia="zh-CN"/>
        </w:rPr>
        <w:t>政</w:t>
      </w:r>
      <w:r>
        <w:rPr>
          <w:b/>
          <w:bCs/>
          <w:color w:val="auto"/>
          <w:sz w:val="21"/>
          <w:szCs w:val="21"/>
          <w:highlight w:val="none"/>
        </w:rPr>
        <w:t>采云正式供应商可直接登录乐采云，其他供应商在乐采云平台注册成为正式供应商后方可登录。</w:t>
      </w:r>
    </w:p>
    <w:p w14:paraId="5CB08280">
      <w:pPr>
        <w:pStyle w:val="34"/>
        <w:widowControl w:val="0"/>
        <w:spacing w:before="0" w:beforeAutospacing="0" w:after="0" w:afterAutospacing="0" w:line="360" w:lineRule="exact"/>
        <w:jc w:val="both"/>
        <w:rPr>
          <w:b/>
          <w:bCs/>
          <w:color w:val="auto"/>
          <w:sz w:val="21"/>
          <w:szCs w:val="21"/>
          <w:highlight w:val="none"/>
        </w:rPr>
      </w:pPr>
      <w:r>
        <w:rPr>
          <w:b/>
          <w:bCs/>
          <w:color w:val="auto"/>
          <w:sz w:val="21"/>
          <w:szCs w:val="21"/>
          <w:highlight w:val="none"/>
        </w:rPr>
        <w:t>2.若对项目采购电子交易系统操作有疑问，可登录乐采云（https://www.lecaiyun.com/），点击右侧咨询小采，获取采小蜜智能服务管家帮助，或拨打服务热线95763获取热线服务帮助。</w:t>
      </w:r>
    </w:p>
    <w:p w14:paraId="7575852B">
      <w:pPr>
        <w:pStyle w:val="34"/>
        <w:widowControl w:val="0"/>
        <w:spacing w:before="0" w:beforeAutospacing="0" w:after="0" w:afterAutospacing="0" w:line="360" w:lineRule="exact"/>
        <w:jc w:val="both"/>
        <w:rPr>
          <w:b/>
          <w:bCs/>
          <w:color w:val="auto"/>
          <w:sz w:val="21"/>
          <w:szCs w:val="21"/>
          <w:highlight w:val="none"/>
        </w:rPr>
      </w:pPr>
      <w:r>
        <w:rPr>
          <w:b/>
          <w:bCs/>
          <w:color w:val="auto"/>
          <w:sz w:val="21"/>
          <w:szCs w:val="21"/>
          <w:highlight w:val="none"/>
        </w:rPr>
        <w:t>3.CA问题联系电话（人工）：汇信CA 400-888-4636；天谷CA 400-087-8198。</w:t>
      </w:r>
    </w:p>
    <w:p w14:paraId="2CFE77B1">
      <w:pPr>
        <w:pStyle w:val="153"/>
        <w:ind w:left="0" w:leftChars="0" w:firstLine="0" w:firstLineChars="0"/>
        <w:rPr>
          <w:rFonts w:hint="eastAsia"/>
          <w:color w:val="auto"/>
        </w:rPr>
      </w:pPr>
    </w:p>
    <w:p w14:paraId="79C805FC">
      <w:pPr>
        <w:pStyle w:val="153"/>
        <w:ind w:left="0" w:leftChars="0" w:firstLine="0" w:firstLineChars="0"/>
        <w:rPr>
          <w:rFonts w:hint="eastAsia"/>
          <w:color w:val="auto"/>
        </w:rPr>
      </w:pPr>
    </w:p>
    <w:p w14:paraId="358F91C1">
      <w:pPr>
        <w:spacing w:line="360" w:lineRule="auto"/>
        <w:jc w:val="center"/>
        <w:rPr>
          <w:rFonts w:hint="eastAsia" w:ascii="宋体" w:hAnsi="宋体" w:eastAsia="宋体" w:cs="宋体"/>
          <w:b/>
          <w:color w:val="auto"/>
          <w:kern w:val="0"/>
          <w:sz w:val="21"/>
          <w:szCs w:val="21"/>
          <w:highlight w:val="none"/>
          <w:lang w:val="en-US" w:eastAsia="zh-CN"/>
        </w:rPr>
      </w:pPr>
      <w:r>
        <w:rPr>
          <w:rFonts w:hint="eastAsia"/>
          <w:b/>
          <w:color w:val="auto"/>
          <w:sz w:val="36"/>
          <w:szCs w:val="36"/>
          <w:highlight w:val="none"/>
        </w:rPr>
        <w:t>第二章 采购需求</w:t>
      </w:r>
    </w:p>
    <w:p w14:paraId="7590EDEB">
      <w:pPr>
        <w:keepNext w:val="0"/>
        <w:keepLines w:val="0"/>
        <w:pageBreakBefore w:val="0"/>
        <w:widowControl w:val="0"/>
        <w:kinsoku/>
        <w:wordWrap/>
        <w:overflowPunct/>
        <w:topLinePunct w:val="0"/>
        <w:bidi w:val="0"/>
        <w:spacing w:after="120" w:line="360" w:lineRule="auto"/>
        <w:ind w:left="0" w:leftChars="0" w:right="0" w:right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特别说明：</w:t>
      </w:r>
    </w:p>
    <w:p w14:paraId="727E2C77">
      <w:pPr>
        <w:keepNext w:val="0"/>
        <w:keepLines w:val="0"/>
        <w:pageBreakBefore w:val="0"/>
        <w:widowControl w:val="0"/>
        <w:kinsoku/>
        <w:wordWrap/>
        <w:overflowPunct/>
        <w:topLinePunct w:val="0"/>
        <w:bidi w:val="0"/>
        <w:spacing w:after="120" w:line="360" w:lineRule="auto"/>
        <w:ind w:left="0" w:leftChars="0" w:right="0" w:rightChars="0" w:firstLine="422" w:firstLineChars="200"/>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▲1、中标单位在签订合同时，若坚持提出附加条件和不合理要求，成交资格将被取消，该中标人对由此产生的一切后果负责。</w:t>
      </w:r>
    </w:p>
    <w:p w14:paraId="798D05C9">
      <w:pPr>
        <w:keepNext w:val="0"/>
        <w:keepLines w:val="0"/>
        <w:pageBreakBefore w:val="0"/>
        <w:widowControl w:val="0"/>
        <w:kinsoku/>
        <w:wordWrap/>
        <w:overflowPunct/>
        <w:topLinePunct w:val="0"/>
        <w:bidi w:val="0"/>
        <w:spacing w:line="360" w:lineRule="auto"/>
        <w:ind w:firstLine="422" w:firstLineChars="200"/>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2"/>
          <w:sz w:val="21"/>
          <w:szCs w:val="21"/>
          <w:lang w:val="en-US" w:eastAsia="zh-CN" w:bidi="ar-SA"/>
        </w:rPr>
        <w:t>▲2、加“▲”的服务要求和商务要求为实质性要求，投标人应特别注意，所提供的服务承诺必须完全满足或优于这些要求，投标人在响应文件中须有清晰描述，否则视为不满足。不满足实质性要求的响应文件将按无效标处理。</w:t>
      </w:r>
    </w:p>
    <w:p w14:paraId="682475F2">
      <w:pPr>
        <w:keepNext w:val="0"/>
        <w:keepLines w:val="0"/>
        <w:pageBreakBefore w:val="0"/>
        <w:widowControl w:val="0"/>
        <w:kinsoku/>
        <w:wordWrap/>
        <w:overflowPunct/>
        <w:topLinePunct w:val="0"/>
        <w:bidi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一、招标项目一览表</w:t>
      </w:r>
    </w:p>
    <w:p w14:paraId="471B468D">
      <w:pPr>
        <w:tabs>
          <w:tab w:val="left" w:pos="180"/>
          <w:tab w:val="left" w:pos="360"/>
          <w:tab w:val="left" w:pos="540"/>
          <w:tab w:val="left" w:pos="8280"/>
        </w:tabs>
        <w:autoSpaceDE w:val="0"/>
        <w:autoSpaceDN w:val="0"/>
        <w:adjustRightInd w:val="0"/>
        <w:spacing w:line="440" w:lineRule="exact"/>
        <w:ind w:right="23" w:firstLine="420" w:firstLineChars="200"/>
        <w:jc w:val="left"/>
        <w:rPr>
          <w:rFonts w:ascii="宋体" w:hAnsi="宋体" w:cs="宋体"/>
          <w:color w:val="auto"/>
          <w:kern w:val="0"/>
          <w:szCs w:val="21"/>
          <w:highlight w:val="none"/>
        </w:rPr>
      </w:pPr>
      <w:r>
        <w:rPr>
          <w:rFonts w:hint="eastAsia" w:ascii="宋体" w:hAnsi="宋体"/>
          <w:color w:val="auto"/>
          <w:szCs w:val="21"/>
          <w:highlight w:val="none"/>
        </w:rPr>
        <w:t>本次招标共</w:t>
      </w:r>
      <w:r>
        <w:rPr>
          <w:rFonts w:hint="eastAsia" w:ascii="宋体" w:hAnsi="宋体"/>
          <w:color w:val="auto"/>
          <w:szCs w:val="21"/>
          <w:highlight w:val="none"/>
          <w:u w:val="single"/>
        </w:rPr>
        <w:t xml:space="preserve"> 1 </w:t>
      </w:r>
      <w:r>
        <w:rPr>
          <w:rFonts w:hint="eastAsia" w:ascii="宋体" w:hAnsi="宋体"/>
          <w:color w:val="auto"/>
          <w:szCs w:val="21"/>
          <w:highlight w:val="none"/>
        </w:rPr>
        <w:t>个标项，具体内容如下表：</w:t>
      </w:r>
    </w:p>
    <w:tbl>
      <w:tblPr>
        <w:tblStyle w:val="38"/>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3"/>
        <w:gridCol w:w="2432"/>
        <w:gridCol w:w="922"/>
        <w:gridCol w:w="922"/>
        <w:gridCol w:w="922"/>
        <w:gridCol w:w="924"/>
        <w:gridCol w:w="2629"/>
      </w:tblGrid>
      <w:tr w14:paraId="7FC2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783" w:type="dxa"/>
            <w:vAlign w:val="center"/>
          </w:tcPr>
          <w:p w14:paraId="4230CD47">
            <w:pPr>
              <w:tabs>
                <w:tab w:val="left" w:pos="8280"/>
              </w:tabs>
              <w:autoSpaceDE w:val="0"/>
              <w:autoSpaceDN w:val="0"/>
              <w:adjustRightInd w:val="0"/>
              <w:ind w:right="23"/>
              <w:jc w:val="center"/>
              <w:rPr>
                <w:rFonts w:ascii="宋体"/>
                <w:b/>
                <w:color w:val="auto"/>
                <w:szCs w:val="21"/>
                <w:highlight w:val="none"/>
              </w:rPr>
            </w:pPr>
            <w:r>
              <w:rPr>
                <w:rFonts w:hint="eastAsia" w:ascii="宋体"/>
                <w:b/>
                <w:color w:val="auto"/>
                <w:szCs w:val="21"/>
                <w:highlight w:val="none"/>
              </w:rPr>
              <w:t>序号</w:t>
            </w:r>
          </w:p>
        </w:tc>
        <w:tc>
          <w:tcPr>
            <w:tcW w:w="2432" w:type="dxa"/>
            <w:vAlign w:val="center"/>
          </w:tcPr>
          <w:p w14:paraId="2E89F893">
            <w:pPr>
              <w:tabs>
                <w:tab w:val="left" w:pos="8280"/>
              </w:tabs>
              <w:autoSpaceDE w:val="0"/>
              <w:autoSpaceDN w:val="0"/>
              <w:adjustRightInd w:val="0"/>
              <w:spacing w:line="440" w:lineRule="exact"/>
              <w:ind w:right="25" w:firstLine="105" w:firstLineChars="50"/>
              <w:jc w:val="center"/>
              <w:rPr>
                <w:rFonts w:ascii="宋体"/>
                <w:b/>
                <w:color w:val="auto"/>
                <w:szCs w:val="21"/>
                <w:highlight w:val="none"/>
              </w:rPr>
            </w:pPr>
            <w:r>
              <w:rPr>
                <w:rFonts w:hint="eastAsia" w:ascii="宋体"/>
                <w:b/>
                <w:color w:val="auto"/>
                <w:szCs w:val="21"/>
                <w:highlight w:val="none"/>
              </w:rPr>
              <w:t>标项名称或内容</w:t>
            </w:r>
          </w:p>
        </w:tc>
        <w:tc>
          <w:tcPr>
            <w:tcW w:w="922" w:type="dxa"/>
            <w:vAlign w:val="center"/>
          </w:tcPr>
          <w:p w14:paraId="3A17C490">
            <w:pPr>
              <w:tabs>
                <w:tab w:val="left" w:pos="8280"/>
              </w:tabs>
              <w:autoSpaceDE w:val="0"/>
              <w:autoSpaceDN w:val="0"/>
              <w:adjustRightInd w:val="0"/>
              <w:spacing w:line="440" w:lineRule="exact"/>
              <w:ind w:right="25"/>
              <w:jc w:val="center"/>
              <w:rPr>
                <w:rFonts w:ascii="宋体"/>
                <w:b/>
                <w:color w:val="auto"/>
                <w:szCs w:val="21"/>
                <w:highlight w:val="none"/>
              </w:rPr>
            </w:pPr>
            <w:r>
              <w:rPr>
                <w:rFonts w:hint="eastAsia" w:ascii="宋体"/>
                <w:b/>
                <w:color w:val="auto"/>
                <w:szCs w:val="21"/>
                <w:highlight w:val="none"/>
              </w:rPr>
              <w:t>数量</w:t>
            </w:r>
          </w:p>
        </w:tc>
        <w:tc>
          <w:tcPr>
            <w:tcW w:w="922" w:type="dxa"/>
            <w:vAlign w:val="center"/>
          </w:tcPr>
          <w:p w14:paraId="7D3C3211">
            <w:pPr>
              <w:tabs>
                <w:tab w:val="left" w:pos="8280"/>
              </w:tabs>
              <w:autoSpaceDE w:val="0"/>
              <w:autoSpaceDN w:val="0"/>
              <w:adjustRightInd w:val="0"/>
              <w:spacing w:line="440" w:lineRule="exact"/>
              <w:ind w:right="25"/>
              <w:jc w:val="center"/>
              <w:rPr>
                <w:rFonts w:ascii="宋体"/>
                <w:b/>
                <w:color w:val="auto"/>
                <w:szCs w:val="21"/>
                <w:highlight w:val="none"/>
              </w:rPr>
            </w:pPr>
            <w:r>
              <w:rPr>
                <w:rFonts w:hint="eastAsia" w:ascii="宋体"/>
                <w:b/>
                <w:color w:val="auto"/>
                <w:szCs w:val="21"/>
                <w:highlight w:val="none"/>
              </w:rPr>
              <w:t>单位</w:t>
            </w:r>
          </w:p>
        </w:tc>
        <w:tc>
          <w:tcPr>
            <w:tcW w:w="922" w:type="dxa"/>
            <w:shd w:val="clear" w:color="auto" w:fill="auto"/>
            <w:vAlign w:val="center"/>
          </w:tcPr>
          <w:p w14:paraId="6E0651B0">
            <w:pPr>
              <w:tabs>
                <w:tab w:val="left" w:pos="8280"/>
              </w:tabs>
              <w:autoSpaceDE w:val="0"/>
              <w:autoSpaceDN w:val="0"/>
              <w:adjustRightInd w:val="0"/>
              <w:spacing w:line="32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预算金额</w:t>
            </w:r>
          </w:p>
          <w:p w14:paraId="650384E7">
            <w:pPr>
              <w:tabs>
                <w:tab w:val="left" w:pos="8280"/>
              </w:tabs>
              <w:autoSpaceDE w:val="0"/>
              <w:autoSpaceDN w:val="0"/>
              <w:adjustRightInd w:val="0"/>
              <w:spacing w:line="320" w:lineRule="exact"/>
              <w:ind w:right="23" w:right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rPr>
              <w:t>（万元）</w:t>
            </w:r>
          </w:p>
        </w:tc>
        <w:tc>
          <w:tcPr>
            <w:tcW w:w="924" w:type="dxa"/>
            <w:vAlign w:val="center"/>
          </w:tcPr>
          <w:p w14:paraId="59ED54B8">
            <w:pPr>
              <w:tabs>
                <w:tab w:val="left" w:pos="8280"/>
              </w:tabs>
              <w:autoSpaceDE w:val="0"/>
              <w:autoSpaceDN w:val="0"/>
              <w:adjustRightInd w:val="0"/>
              <w:spacing w:line="32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p w14:paraId="77F7D292">
            <w:pPr>
              <w:tabs>
                <w:tab w:val="left" w:pos="8280"/>
              </w:tabs>
              <w:autoSpaceDE w:val="0"/>
              <w:autoSpaceDN w:val="0"/>
              <w:adjustRightInd w:val="0"/>
              <w:spacing w:line="32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2629" w:type="dxa"/>
            <w:vAlign w:val="center"/>
          </w:tcPr>
          <w:p w14:paraId="0DF0DDCF">
            <w:pPr>
              <w:tabs>
                <w:tab w:val="left" w:pos="8280"/>
              </w:tabs>
              <w:autoSpaceDE w:val="0"/>
              <w:autoSpaceDN w:val="0"/>
              <w:adjustRightInd w:val="0"/>
              <w:spacing w:line="440" w:lineRule="exact"/>
              <w:ind w:right="25" w:rightChars="0"/>
              <w:jc w:val="center"/>
              <w:rPr>
                <w:rFonts w:ascii="宋体"/>
                <w:b/>
                <w:color w:val="auto"/>
                <w:szCs w:val="21"/>
                <w:highlight w:val="none"/>
              </w:rPr>
            </w:pPr>
            <w:r>
              <w:rPr>
                <w:rFonts w:hint="eastAsia" w:ascii="宋体" w:hAnsi="宋体" w:cs="宋体"/>
                <w:b/>
                <w:color w:val="auto"/>
                <w:szCs w:val="21"/>
                <w:highlight w:val="none"/>
              </w:rPr>
              <w:t>具体工作范围</w:t>
            </w:r>
          </w:p>
        </w:tc>
      </w:tr>
      <w:tr w14:paraId="60D4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783" w:type="dxa"/>
            <w:vAlign w:val="center"/>
          </w:tcPr>
          <w:p w14:paraId="5B38B305">
            <w:pPr>
              <w:tabs>
                <w:tab w:val="left" w:pos="8280"/>
              </w:tabs>
              <w:autoSpaceDE w:val="0"/>
              <w:autoSpaceDN w:val="0"/>
              <w:adjustRightInd w:val="0"/>
              <w:spacing w:line="440" w:lineRule="exact"/>
              <w:ind w:right="-18"/>
              <w:jc w:val="center"/>
              <w:rPr>
                <w:rFonts w:ascii="宋体"/>
                <w:color w:val="auto"/>
                <w:szCs w:val="21"/>
                <w:highlight w:val="none"/>
              </w:rPr>
            </w:pPr>
            <w:r>
              <w:rPr>
                <w:rFonts w:hint="eastAsia" w:ascii="宋体"/>
                <w:color w:val="auto"/>
                <w:szCs w:val="21"/>
                <w:highlight w:val="none"/>
              </w:rPr>
              <w:t>1</w:t>
            </w:r>
          </w:p>
        </w:tc>
        <w:tc>
          <w:tcPr>
            <w:tcW w:w="2432" w:type="dxa"/>
            <w:vAlign w:val="center"/>
          </w:tcPr>
          <w:p w14:paraId="02FC61A4">
            <w:pPr>
              <w:tabs>
                <w:tab w:val="left" w:pos="180"/>
                <w:tab w:val="left" w:pos="360"/>
                <w:tab w:val="left" w:pos="540"/>
                <w:tab w:val="left" w:pos="8280"/>
              </w:tabs>
              <w:autoSpaceDE w:val="0"/>
              <w:autoSpaceDN w:val="0"/>
              <w:adjustRightInd w:val="0"/>
              <w:spacing w:line="240" w:lineRule="auto"/>
              <w:ind w:right="23"/>
              <w:jc w:val="left"/>
              <w:rPr>
                <w:rFonts w:hint="eastAsia" w:ascii="宋体" w:eastAsia="宋体"/>
                <w:color w:val="auto"/>
                <w:szCs w:val="21"/>
                <w:highlight w:val="none"/>
                <w:lang w:eastAsia="zh-CN"/>
              </w:rPr>
            </w:pPr>
            <w:r>
              <w:rPr>
                <w:rFonts w:hint="eastAsia"/>
                <w:color w:val="auto"/>
                <w:kern w:val="0"/>
                <w:szCs w:val="21"/>
                <w:highlight w:val="none"/>
                <w:lang w:eastAsia="zh-CN"/>
              </w:rPr>
              <w:t>仙居县生态共富小流域水土流失综合治理项目（大战岙溪、桐山溪、大洪港、东坑小流域）（EPC工程总承包）（监理）</w:t>
            </w:r>
          </w:p>
        </w:tc>
        <w:tc>
          <w:tcPr>
            <w:tcW w:w="922" w:type="dxa"/>
            <w:vAlign w:val="center"/>
          </w:tcPr>
          <w:p w14:paraId="47987441">
            <w:pPr>
              <w:tabs>
                <w:tab w:val="left" w:pos="8280"/>
              </w:tabs>
              <w:autoSpaceDE w:val="0"/>
              <w:autoSpaceDN w:val="0"/>
              <w:adjustRightInd w:val="0"/>
              <w:spacing w:line="440" w:lineRule="exact"/>
              <w:jc w:val="center"/>
              <w:rPr>
                <w:rFonts w:ascii="宋体"/>
                <w:color w:val="auto"/>
                <w:szCs w:val="21"/>
                <w:highlight w:val="none"/>
              </w:rPr>
            </w:pPr>
            <w:r>
              <w:rPr>
                <w:rFonts w:hint="eastAsia" w:ascii="宋体"/>
                <w:color w:val="auto"/>
                <w:szCs w:val="21"/>
                <w:highlight w:val="none"/>
              </w:rPr>
              <w:t>1</w:t>
            </w:r>
          </w:p>
        </w:tc>
        <w:tc>
          <w:tcPr>
            <w:tcW w:w="922" w:type="dxa"/>
            <w:vAlign w:val="center"/>
          </w:tcPr>
          <w:p w14:paraId="37344350">
            <w:pPr>
              <w:tabs>
                <w:tab w:val="left" w:pos="1689"/>
                <w:tab w:val="left" w:pos="8280"/>
              </w:tabs>
              <w:autoSpaceDE w:val="0"/>
              <w:autoSpaceDN w:val="0"/>
              <w:adjustRightInd w:val="0"/>
              <w:spacing w:line="440" w:lineRule="exact"/>
              <w:ind w:right="-80"/>
              <w:jc w:val="center"/>
              <w:rPr>
                <w:rFonts w:ascii="宋体"/>
                <w:color w:val="auto"/>
                <w:szCs w:val="21"/>
                <w:highlight w:val="none"/>
              </w:rPr>
            </w:pPr>
            <w:r>
              <w:rPr>
                <w:rFonts w:hint="eastAsia" w:ascii="宋体"/>
                <w:color w:val="auto"/>
                <w:szCs w:val="21"/>
                <w:highlight w:val="none"/>
              </w:rPr>
              <w:t>项</w:t>
            </w:r>
          </w:p>
        </w:tc>
        <w:tc>
          <w:tcPr>
            <w:tcW w:w="922" w:type="dxa"/>
            <w:shd w:val="clear" w:color="auto" w:fill="auto"/>
            <w:vAlign w:val="center"/>
          </w:tcPr>
          <w:p w14:paraId="2F0924D0">
            <w:pPr>
              <w:tabs>
                <w:tab w:val="left" w:pos="1689"/>
                <w:tab w:val="left" w:pos="8280"/>
              </w:tabs>
              <w:autoSpaceDE w:val="0"/>
              <w:autoSpaceDN w:val="0"/>
              <w:adjustRightInd w:val="0"/>
              <w:spacing w:line="300" w:lineRule="exact"/>
              <w:ind w:right="-80" w:rightChars="0"/>
              <w:jc w:val="center"/>
              <w:rPr>
                <w:rFonts w:hint="eastAsia" w:ascii="宋体" w:hAnsi="Times New Roman" w:eastAsia="宋体" w:cs="Times New Roman"/>
                <w:color w:val="auto"/>
                <w:kern w:val="2"/>
                <w:sz w:val="21"/>
                <w:szCs w:val="21"/>
                <w:highlight w:val="none"/>
                <w:lang w:val="en-US" w:eastAsia="zh-CN" w:bidi="ar-SA"/>
              </w:rPr>
            </w:pPr>
            <w:r>
              <w:rPr>
                <w:rFonts w:hint="eastAsia" w:ascii="宋体"/>
                <w:color w:val="auto"/>
                <w:szCs w:val="21"/>
                <w:highlight w:val="none"/>
                <w:lang w:val="en-US" w:eastAsia="zh-CN"/>
              </w:rPr>
              <w:t>70</w:t>
            </w:r>
          </w:p>
        </w:tc>
        <w:tc>
          <w:tcPr>
            <w:tcW w:w="924" w:type="dxa"/>
            <w:vAlign w:val="center"/>
          </w:tcPr>
          <w:p w14:paraId="052BF886">
            <w:pPr>
              <w:tabs>
                <w:tab w:val="left" w:pos="1689"/>
                <w:tab w:val="left" w:pos="8280"/>
              </w:tabs>
              <w:autoSpaceDE w:val="0"/>
              <w:autoSpaceDN w:val="0"/>
              <w:adjustRightInd w:val="0"/>
              <w:spacing w:line="440" w:lineRule="exact"/>
              <w:ind w:right="-80"/>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70</w:t>
            </w:r>
          </w:p>
        </w:tc>
        <w:tc>
          <w:tcPr>
            <w:tcW w:w="2629" w:type="dxa"/>
            <w:vAlign w:val="center"/>
          </w:tcPr>
          <w:p w14:paraId="5C3031F7">
            <w:pPr>
              <w:tabs>
                <w:tab w:val="left" w:pos="8280"/>
              </w:tabs>
              <w:autoSpaceDE w:val="0"/>
              <w:autoSpaceDN w:val="0"/>
              <w:adjustRightInd w:val="0"/>
              <w:spacing w:line="240" w:lineRule="auto"/>
              <w:ind w:right="14" w:rightChars="0"/>
              <w:jc w:val="center"/>
              <w:rPr>
                <w:rFonts w:hint="eastAsia" w:ascii="宋体" w:eastAsia="宋体"/>
                <w:color w:val="auto"/>
                <w:szCs w:val="21"/>
                <w:highlight w:val="none"/>
                <w:lang w:val="en-US" w:eastAsia="zh-CN"/>
              </w:rPr>
            </w:pPr>
            <w:r>
              <w:rPr>
                <w:rFonts w:hint="eastAsia" w:ascii="宋体" w:hAnsi="宋体" w:eastAsia="宋体" w:cs="宋体"/>
                <w:caps w:val="0"/>
                <w:color w:val="auto"/>
                <w:spacing w:val="0"/>
                <w:sz w:val="21"/>
                <w:szCs w:val="21"/>
              </w:rPr>
              <w:t>本工程施工的全过程监理（含前期服务及后期资料整理等）及缺陷责任期监理</w:t>
            </w:r>
            <w:r>
              <w:rPr>
                <w:rFonts w:hint="eastAsia" w:ascii="宋体" w:hAnsi="宋体" w:eastAsia="宋体" w:cs="宋体"/>
                <w:caps w:val="0"/>
                <w:color w:val="auto"/>
                <w:spacing w:val="0"/>
                <w:sz w:val="21"/>
                <w:szCs w:val="21"/>
                <w:lang w:eastAsia="zh-CN"/>
              </w:rPr>
              <w:t>。</w:t>
            </w:r>
          </w:p>
        </w:tc>
      </w:tr>
    </w:tbl>
    <w:p w14:paraId="4486A28D">
      <w:pPr>
        <w:keepNext w:val="0"/>
        <w:keepLines w:val="0"/>
        <w:pageBreakBefore w:val="0"/>
        <w:widowControl w:val="0"/>
        <w:kinsoku/>
        <w:wordWrap/>
        <w:overflowPunct/>
        <w:topLinePunct w:val="0"/>
        <w:bidi w:val="0"/>
        <w:spacing w:line="360" w:lineRule="auto"/>
        <w:rPr>
          <w:rFonts w:hint="eastAsia" w:ascii="宋体" w:hAnsi="宋体" w:eastAsia="宋体" w:cs="宋体"/>
          <w:b/>
          <w:color w:val="auto"/>
          <w:kern w:val="0"/>
          <w:sz w:val="21"/>
          <w:szCs w:val="21"/>
          <w:highlight w:val="none"/>
          <w:lang w:val="en-US" w:eastAsia="zh-CN"/>
        </w:rPr>
      </w:pPr>
    </w:p>
    <w:p w14:paraId="1506467E">
      <w:pPr>
        <w:keepNext w:val="0"/>
        <w:keepLines w:val="0"/>
        <w:pageBreakBefore w:val="0"/>
        <w:widowControl w:val="0"/>
        <w:kinsoku/>
        <w:wordWrap/>
        <w:overflowPunct/>
        <w:topLinePunct w:val="0"/>
        <w:bidi w:val="0"/>
        <w:spacing w:line="360" w:lineRule="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项目概况</w:t>
      </w:r>
    </w:p>
    <w:p w14:paraId="3777585F">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宋体" w:hAnsi="宋体"/>
          <w:color w:val="auto"/>
          <w:szCs w:val="21"/>
          <w:highlight w:val="none"/>
          <w:lang w:val="en-US" w:eastAsia="zh-CN"/>
        </w:rPr>
      </w:pPr>
      <w:bookmarkStart w:id="0" w:name="_Toc28561"/>
      <w:bookmarkStart w:id="1" w:name="_Toc19170"/>
      <w:bookmarkStart w:id="2" w:name="_Toc16905"/>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工程概况</w:t>
      </w:r>
      <w:r>
        <w:rPr>
          <w:rFonts w:hint="eastAsia" w:ascii="宋体" w:hAnsi="宋体" w:eastAsia="宋体" w:cs="宋体"/>
          <w:color w:val="auto"/>
          <w:szCs w:val="21"/>
          <w:highlight w:val="none"/>
        </w:rPr>
        <w:t>：</w:t>
      </w:r>
      <w:r>
        <w:rPr>
          <w:rFonts w:hint="eastAsia" w:ascii="宋体" w:hAnsi="宋体"/>
          <w:color w:val="auto"/>
          <w:szCs w:val="21"/>
          <w:highlight w:val="none"/>
          <w:lang w:val="en-US" w:eastAsia="zh-CN"/>
        </w:rPr>
        <w:t>仙居县生态共富小流域水土流失综合治理项目（大战岙溪、桐山溪、大洪港、东坑小流域），项目所在区域位于朱溪镇和大战乡2个乡镇，包括大战岙溪、桐山溪、大洪港、东坑等4条生态共富小流域，主要涉及大洪村、火坦村、大战村、下叶溪村、格垟村、大战索村及温泉村等村庄，项目区面积总计170.52km2。流域内以低山丘陵为主，土地利用现状以林地和耕地为主。项目水土流失治理措施面积不小于62km2。</w:t>
      </w:r>
    </w:p>
    <w:p w14:paraId="2E50562A">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2、项目建设内容包括封育治理工程、经济林地治理工程、生态护岸工程、拦沙堰工程、林道防护工程、堤顶道路整修工程及村庄绿化美化工程等。具体详见初步设计内容。</w:t>
      </w:r>
      <w:bookmarkEnd w:id="0"/>
      <w:bookmarkEnd w:id="1"/>
      <w:bookmarkEnd w:id="2"/>
    </w:p>
    <w:p w14:paraId="01E57600">
      <w:pPr>
        <w:ind w:firstLine="211" w:firstLineChars="100"/>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Cs w:val="21"/>
          <w:highlight w:val="none"/>
          <w:lang w:val="en-US" w:eastAsia="zh-CN"/>
        </w:rPr>
        <w:t>监理</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eastAsia="zh-CN"/>
        </w:rPr>
        <w:t>：不少于24个月（本工程施工的全过程监理及缺陷责任期12个月的监理 ）</w:t>
      </w:r>
      <w:r>
        <w:rPr>
          <w:rFonts w:hint="eastAsia" w:ascii="宋体" w:hAnsi="宋体" w:eastAsia="宋体" w:cs="宋体"/>
          <w:color w:val="auto"/>
          <w:sz w:val="21"/>
          <w:szCs w:val="21"/>
          <w:highlight w:val="none"/>
          <w:lang w:val="en-US" w:eastAsia="zh-CN"/>
        </w:rPr>
        <w:t>。</w:t>
      </w:r>
    </w:p>
    <w:p w14:paraId="152C32E7">
      <w:pPr>
        <w:keepNext w:val="0"/>
        <w:keepLines w:val="0"/>
        <w:pageBreakBefore w:val="0"/>
        <w:widowControl w:val="0"/>
        <w:tabs>
          <w:tab w:val="left" w:pos="8280"/>
        </w:tabs>
        <w:kinsoku/>
        <w:wordWrap/>
        <w:overflowPunct/>
        <w:topLinePunct w:val="0"/>
        <w:autoSpaceDE w:val="0"/>
        <w:autoSpaceDN w:val="0"/>
        <w:bidi w:val="0"/>
        <w:adjustRightInd w:val="0"/>
        <w:spacing w:line="380" w:lineRule="exact"/>
        <w:ind w:right="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注：如在服务期内已委托的监理项目，在服务期满时未结束的，监理单位必须服务至该项目质量保修期满。服务期内，如监理不到位出现工程质量不符合法律法规等相关规定及工程事故的，采购方有权单方面解除合同，监理单位必须承担由此给采购方造成的损失。</w:t>
      </w:r>
    </w:p>
    <w:p w14:paraId="325A31D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80" w:lineRule="exact"/>
        <w:ind w:right="23"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Cs w:val="21"/>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2A4062E">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、服务内容及要求</w:t>
      </w:r>
    </w:p>
    <w:p w14:paraId="5430E020">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1、工程监理工作范围（包含但不限于）：</w:t>
      </w:r>
    </w:p>
    <w:p w14:paraId="1D452C9D">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w:t>
      </w:r>
      <w:r>
        <w:rPr>
          <w:rFonts w:hint="eastAsia" w:ascii="宋体" w:hAnsi="宋体" w:eastAsia="宋体" w:cs="宋体"/>
          <w:bCs/>
          <w:color w:val="auto"/>
          <w:sz w:val="21"/>
          <w:szCs w:val="21"/>
          <w:highlight w:val="none"/>
        </w:rPr>
        <w:t>(GB/T50319-2013)、本招标需求的专用监理要求及相关法律、法规要求</w:t>
      </w:r>
      <w:r>
        <w:rPr>
          <w:rFonts w:hint="eastAsia" w:ascii="宋体" w:hAnsi="宋体" w:eastAsia="宋体" w:cs="宋体"/>
          <w:color w:val="auto"/>
          <w:sz w:val="21"/>
          <w:szCs w:val="21"/>
          <w:highlight w:val="none"/>
        </w:rPr>
        <w:t>组织实施。具体监理项目根据采购人委托确认。</w:t>
      </w:r>
    </w:p>
    <w:p w14:paraId="2BE8163A">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2、工程监理服务内容（包含但不限于）：</w:t>
      </w:r>
    </w:p>
    <w:p w14:paraId="15670493">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751494BE">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2.2监理工作人员不得与承包本工程的有关承包人及其施工管理人员及材料设备供应商发生经济利益关系。</w:t>
      </w:r>
    </w:p>
    <w:p w14:paraId="393B145B">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2.3监理人应配备经验丰富的专业技术人员审核施工图纸的设计质量，对设计存在的不合理、不完整、不准确、不安全等情况应及时书面向建设单位和设计单位提出修正意见。</w:t>
      </w:r>
    </w:p>
    <w:p w14:paraId="359309B7">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5157E53D">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2.5协助建设单位审核施工图的设计和概(预)算,参与主持组织图纸会审,做好记录,写出会审纪要。</w:t>
      </w:r>
    </w:p>
    <w:p w14:paraId="2DCBFFD0">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2.6参与建设单位与施工承包商签订施工承包合同,审核施工进度计划，并在实施过程中检查、督促承包商严格按合同和施工规范、工程技术标准、设计要求进行施工，监督承包商现场施工管理。</w:t>
      </w:r>
    </w:p>
    <w:p w14:paraId="325BA9BA">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2.7协助建设单位做好开工前准备，审批开工报告，复核灰线，经业主同意下达开工令。</w:t>
      </w:r>
    </w:p>
    <w:p w14:paraId="7E43E970">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2.8审查承包商采购清单及样品的品牌、质量和价格，检查工程使用材料、构件、设备的规格、质量与数量。督促承包商编制材料的供需计划，协助业主安排甲供材料的供应计划。</w:t>
      </w:r>
    </w:p>
    <w:p w14:paraId="76A01B08">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2.9按建设单位意见，办理设计与施工变更联系单，把好监理关，并负责对施工变更的签证、复核，主持施工图交底，参与设计变更的签证。工程变更的签证须经监理人拟派的注册造价师审核，并由总监签字确认。</w:t>
      </w:r>
    </w:p>
    <w:p w14:paraId="4F941445">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2.10主持召开工程协调会议，并做好会议纪要，调解有关工程建设各种合同争议，处理索赔事项。</w:t>
      </w:r>
    </w:p>
    <w:p w14:paraId="39DB657B">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2.11检查安全防护措施和文明施工,检查督促工程进度、施工质量。</w:t>
      </w:r>
    </w:p>
    <w:p w14:paraId="08972CD7">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2.12督促施工方及时整理技术资料及竣工验收资料。</w:t>
      </w:r>
    </w:p>
    <w:p w14:paraId="331061E0">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2.13协助建设单位对工程投资进行控制，对施工单位提出的付款申请进行审核签发，参加审核工程结算，协助建设单位审核工程造价，努力降低工程费用。</w:t>
      </w:r>
    </w:p>
    <w:p w14:paraId="1F0A0EC7">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2.14做好工程项目监理总结，及时提供完整的监理资料（一式二份原件），定期编制监理简报。</w:t>
      </w:r>
    </w:p>
    <w:p w14:paraId="1C714E65">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2.15负责隐蔽工程、分部、分项工程和工程计量工作，协助建设单位组织竣工初验和竣工验收，提交竣工验收报告。</w:t>
      </w:r>
    </w:p>
    <w:p w14:paraId="6EC6E24E">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2.16负责各种技术资料资料的收集、整理工作，及时提供完整的施工技术档案资料一式三份原件。</w:t>
      </w:r>
    </w:p>
    <w:p w14:paraId="5159E7D0">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0CEEF226">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2.18完成监理规范要求的其他工作内容。</w:t>
      </w:r>
    </w:p>
    <w:p w14:paraId="5623A62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3、项目成果</w:t>
      </w:r>
    </w:p>
    <w:p w14:paraId="3DE210C0">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3.1成果报告：质量评估报告、监理合同、监理会议纪要、监理日志、采购人及建设单位要求提供的有关文件及资料。</w:t>
      </w:r>
    </w:p>
    <w:p w14:paraId="3DCC36B4">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3.2成果报告份数：具体文件、资料、份数等成果及数量以采购人及建设单位实际要求为准。</w:t>
      </w:r>
    </w:p>
    <w:p w14:paraId="3F711DAA">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、其它要求</w:t>
      </w:r>
    </w:p>
    <w:p w14:paraId="6A67AEFD">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1、监理单位应组建满足工作需要的项目监理机构，配备必要的检测设备。项目监理机构的主要人员应具有相应的资格条件。</w:t>
      </w:r>
    </w:p>
    <w:p w14:paraId="1D7DA64C">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07391FC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3、因工程项目进展需要，采购人提出增加管理人员时，监理方必须保证及时补充符合要求的监理人员。</w:t>
      </w:r>
    </w:p>
    <w:p w14:paraId="7C5AE18B">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4DF95D8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单位在监理过程中不得使用施工单位的任何仪器、设备，不得使用施工单位的任何技术资料，不得与施工单位送到同一检测中心（站）进行检测。施工过程中的各类测量复核、设备安装等检测工作，均应按国家相关规定组织实施，监理单位与施工单位的数据不得相互套用。</w:t>
      </w:r>
    </w:p>
    <w:p w14:paraId="7F970BDB">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6、监理单位提供的资料应符合《建设工程监理规范》</w:t>
      </w:r>
      <w:r>
        <w:rPr>
          <w:rFonts w:hint="eastAsia" w:ascii="宋体" w:hAnsi="宋体" w:eastAsia="宋体" w:cs="宋体"/>
          <w:bCs/>
          <w:color w:val="auto"/>
          <w:sz w:val="21"/>
          <w:szCs w:val="21"/>
          <w:highlight w:val="none"/>
        </w:rPr>
        <w:t>(GB/T50319-2013)</w:t>
      </w:r>
      <w:r>
        <w:rPr>
          <w:rFonts w:hint="eastAsia" w:ascii="宋体" w:hAnsi="宋体" w:eastAsia="宋体" w:cs="宋体"/>
          <w:color w:val="auto"/>
          <w:sz w:val="21"/>
          <w:szCs w:val="21"/>
          <w:highlight w:val="none"/>
        </w:rPr>
        <w:t>之规定，同时需满足采购人针对工程档案资料提交的相关要求与规定。</w:t>
      </w:r>
    </w:p>
    <w:p w14:paraId="48E83C1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7、如因监理单位过失而造成采购人的经济损失，应当向采购人进行赔偿。</w:t>
      </w:r>
    </w:p>
    <w:p w14:paraId="6EEEFD2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8、如监理单位对施工单位上报的已完工作量未能准确复核，并签署了与实际不符的工作量的工程进度付款凭证，采购人将追究其责任，对由此造成的损失应当向采购人进行赔偿。</w:t>
      </w:r>
    </w:p>
    <w:p w14:paraId="5ABF21F0">
      <w:pPr>
        <w:keepNext w:val="0"/>
        <w:keepLines w:val="0"/>
        <w:pageBreakBefore w:val="0"/>
        <w:widowControl w:val="0"/>
        <w:kinsoku/>
        <w:wordWrap/>
        <w:overflowPunct/>
        <w:topLinePunct w:val="0"/>
        <w:bidi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9、人员要求</w:t>
      </w:r>
    </w:p>
    <w:p w14:paraId="26E71370">
      <w:pPr>
        <w:keepNext w:val="0"/>
        <w:keepLines w:val="0"/>
        <w:pageBreakBefore w:val="0"/>
        <w:widowControl w:val="0"/>
        <w:kinsoku/>
        <w:wordWrap/>
        <w:overflowPunct/>
        <w:topLinePunct w:val="0"/>
        <w:bidi w:val="0"/>
        <w:spacing w:line="380" w:lineRule="exact"/>
        <w:ind w:firstLine="207" w:firstLineChars="98"/>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 w:val="21"/>
          <w:szCs w:val="21"/>
          <w:highlight w:val="none"/>
        </w:rPr>
        <w:t>9.1供应商拟派总监理工程师至少1名</w:t>
      </w:r>
      <w:r>
        <w:rPr>
          <w:rFonts w:hint="eastAsia" w:ascii="宋体" w:hAnsi="宋体" w:eastAsia="宋体" w:cs="宋体"/>
          <w:b/>
          <w:bCs/>
          <w:color w:val="auto"/>
          <w:szCs w:val="21"/>
          <w:highlight w:val="none"/>
          <w:lang w:val="en-US" w:eastAsia="zh-CN"/>
        </w:rPr>
        <w:t>应</w:t>
      </w:r>
      <w:r>
        <w:rPr>
          <w:rFonts w:hint="eastAsia" w:ascii="宋体" w:hAnsi="宋体" w:cs="宋体"/>
          <w:b/>
          <w:bCs/>
          <w:color w:val="auto"/>
          <w:szCs w:val="21"/>
          <w:highlight w:val="none"/>
          <w:lang w:val="en-US" w:eastAsia="zh-CN"/>
        </w:rPr>
        <w:t>同时具备（①和②）：</w:t>
      </w:r>
      <w:r>
        <w:rPr>
          <w:rFonts w:hint="eastAsia" w:ascii="宋体" w:hAnsi="宋体" w:eastAsia="宋体" w:cs="宋体"/>
          <w:color w:val="auto"/>
          <w:szCs w:val="21"/>
          <w:highlight w:val="none"/>
          <w:lang w:val="en-US" w:eastAsia="zh-CN"/>
        </w:rPr>
        <w:t>①须持有登记在投标人的水利部（或中国水利工程协会）水利工程建设监理工程师（水工建筑专业）执业资格证书或建设部颁发的国家注册监理工程师（水利水电工程专业）执业资格证书</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②须持有高级及以上工程师职称证书</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（注：商务技术文件中需提供人员相关证书复印件以及供应商为其缴纳的近三个月内任意一个月的社保证明（社保缴纳证明以社保机构出具的社保证明为准</w:t>
      </w:r>
      <w:r>
        <w:rPr>
          <w:rFonts w:hint="eastAsia" w:ascii="宋体" w:hAnsi="宋体" w:cs="宋体"/>
          <w:color w:val="auto"/>
          <w:sz w:val="21"/>
          <w:szCs w:val="21"/>
          <w:highlight w:val="none"/>
          <w:lang w:eastAsia="zh-CN"/>
        </w:rPr>
        <w:t>，</w:t>
      </w:r>
      <w:r>
        <w:rPr>
          <w:rFonts w:hint="eastAsia" w:ascii="宋体" w:hAnsi="宋体" w:cs="宋体"/>
          <w:b/>
          <w:bCs/>
          <w:color w:val="auto"/>
        </w:rPr>
        <w:t>如为退休人员，提供劳务合同</w:t>
      </w:r>
      <w:r>
        <w:rPr>
          <w:rFonts w:hint="eastAsia" w:ascii="宋体" w:hAnsi="宋体" w:cs="宋体"/>
          <w:b/>
          <w:bCs/>
          <w:color w:val="auto"/>
          <w:lang w:val="en-US" w:eastAsia="zh-CN"/>
        </w:rPr>
        <w:t>复印件</w:t>
      </w:r>
      <w:r>
        <w:rPr>
          <w:rFonts w:hint="eastAsia" w:ascii="宋体" w:hAnsi="宋体" w:cs="宋体"/>
          <w:b/>
          <w:bCs/>
          <w:color w:val="auto"/>
        </w:rPr>
        <w:t>即可</w:t>
      </w:r>
      <w:r>
        <w:rPr>
          <w:rFonts w:hint="eastAsia" w:ascii="宋体" w:hAnsi="宋体" w:cs="宋体"/>
          <w:b/>
          <w:bCs/>
          <w:color w:val="auto"/>
          <w:lang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并加盖供应商公章—CA签章</w:t>
      </w:r>
      <w:r>
        <w:rPr>
          <w:rFonts w:hint="eastAsia" w:ascii="宋体" w:hAnsi="宋体" w:eastAsia="宋体" w:cs="宋体"/>
          <w:b/>
          <w:bCs/>
          <w:color w:val="auto"/>
          <w:sz w:val="21"/>
          <w:szCs w:val="21"/>
          <w:highlight w:val="none"/>
        </w:rPr>
        <w:t>）</w:t>
      </w:r>
    </w:p>
    <w:p w14:paraId="31889D4D">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Cs w:val="21"/>
          <w:highlight w:val="none"/>
        </w:rPr>
        <w:t>▲</w:t>
      </w:r>
      <w:r>
        <w:rPr>
          <w:rFonts w:hint="eastAsia" w:ascii="宋体" w:hAnsi="宋体" w:eastAsia="宋体" w:cs="宋体"/>
          <w:color w:val="auto"/>
          <w:sz w:val="21"/>
          <w:szCs w:val="21"/>
          <w:highlight w:val="none"/>
        </w:rPr>
        <w:t>9.2供应商拟派其他人员（总监理工程师除外）：具备水利工程专业监理工程师至少</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名、水利工程监理员至少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注：每项人员不得重复。商务技术文件中需提供人员相关证书复印件以及供应商为其缴纳的近三个月内任意一个月的社保证明（社保缴纳证明以社保机构出具的社保证明为准</w:t>
      </w:r>
      <w:r>
        <w:rPr>
          <w:rFonts w:hint="eastAsia" w:ascii="宋体" w:hAnsi="宋体" w:cs="宋体"/>
          <w:color w:val="auto"/>
          <w:sz w:val="21"/>
          <w:szCs w:val="21"/>
          <w:highlight w:val="none"/>
          <w:lang w:eastAsia="zh-CN"/>
        </w:rPr>
        <w:t>，</w:t>
      </w:r>
      <w:r>
        <w:rPr>
          <w:rFonts w:hint="eastAsia" w:ascii="宋体" w:hAnsi="宋体" w:cs="宋体"/>
          <w:b/>
          <w:bCs/>
          <w:color w:val="auto"/>
        </w:rPr>
        <w:t>如为退休人员，提供劳务合同</w:t>
      </w:r>
      <w:r>
        <w:rPr>
          <w:rFonts w:hint="eastAsia" w:ascii="宋体" w:hAnsi="宋体" w:cs="宋体"/>
          <w:b/>
          <w:bCs/>
          <w:color w:val="auto"/>
          <w:lang w:val="en-US" w:eastAsia="zh-CN"/>
        </w:rPr>
        <w:t>复印件</w:t>
      </w:r>
      <w:r>
        <w:rPr>
          <w:rFonts w:hint="eastAsia" w:ascii="宋体" w:hAnsi="宋体" w:cs="宋体"/>
          <w:b/>
          <w:bCs/>
          <w:color w:val="auto"/>
        </w:rPr>
        <w:t>即可</w:t>
      </w:r>
      <w:r>
        <w:rPr>
          <w:rFonts w:hint="eastAsia" w:ascii="宋体" w:hAnsi="宋体" w:cs="宋体"/>
          <w:b/>
          <w:bCs/>
          <w:color w:val="auto"/>
          <w:lang w:eastAsia="zh-CN"/>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并加盖供应商公章—CA签章</w:t>
      </w:r>
      <w:r>
        <w:rPr>
          <w:rFonts w:hint="eastAsia" w:ascii="宋体" w:hAnsi="宋体" w:cs="宋体"/>
          <w:color w:val="auto"/>
          <w:sz w:val="21"/>
          <w:szCs w:val="21"/>
          <w:highlight w:val="none"/>
          <w:lang w:eastAsia="zh-CN"/>
        </w:rPr>
        <w:t>】</w:t>
      </w:r>
    </w:p>
    <w:p w14:paraId="6604F08A">
      <w:pPr>
        <w:keepNext w:val="0"/>
        <w:keepLines w:val="0"/>
        <w:pageBreakBefore w:val="0"/>
        <w:widowControl w:val="0"/>
        <w:kinsoku/>
        <w:wordWrap/>
        <w:overflowPunct/>
        <w:topLinePunct w:val="0"/>
        <w:bidi w:val="0"/>
        <w:spacing w:line="380" w:lineRule="exact"/>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 w:val="21"/>
          <w:szCs w:val="21"/>
          <w:highlight w:val="none"/>
        </w:rPr>
        <w:t>9.3供应商拟派总监理工程师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在建项目（注：“在建项目”的起止时间界定：监理合同段中标（成交）通知书发出之日（不通过招标等公开采购方式，开始时间为合同签订之日）起至监理合同所辖施工标段均通过交工验收之日（或监理合同解除之日）止；镇乡（街道）、部门（国企）等年度监理项目视作“在建项目”；预中标（成交）项目（包含年度监理项目）视作“在建项目”）。（注：商务技术文件中需提供满足要求（拟派总监理工程师均无在建项目）的相关</w:t>
      </w:r>
      <w:r>
        <w:rPr>
          <w:rFonts w:hint="eastAsia" w:ascii="宋体" w:hAnsi="宋体" w:eastAsia="宋体" w:cs="宋体"/>
          <w:b/>
          <w:i/>
          <w:color w:val="auto"/>
          <w:sz w:val="21"/>
          <w:szCs w:val="21"/>
          <w:highlight w:val="none"/>
        </w:rPr>
        <w:t>承诺函（格式自拟）</w:t>
      </w:r>
      <w:r>
        <w:rPr>
          <w:rFonts w:hint="eastAsia" w:ascii="宋体" w:hAnsi="宋体" w:eastAsia="宋体" w:cs="宋体"/>
          <w:color w:val="auto"/>
          <w:sz w:val="21"/>
          <w:szCs w:val="21"/>
          <w:highlight w:val="none"/>
        </w:rPr>
        <w:t>并加盖供应商公章-CA签章。）</w:t>
      </w:r>
    </w:p>
    <w:p w14:paraId="1A0C9A30">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9.4以上9.1及9.2所述为本项目最低人员配备要求。为满足实际监理需要，供应商应根据实际采购人委托项目工程内容、规模、工期等特点及时补充调整监理项目班子人员，以保障工程项目监理工作的顺利实施。</w:t>
      </w:r>
    </w:p>
    <w:p w14:paraId="3FF07AA1">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10、监理人管理要求：</w:t>
      </w:r>
    </w:p>
    <w:p w14:paraId="0D4725E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项目监理机构人员必须严格按照国家、行业及有关要求履行职责，必须严格实行指纹考勤制度，保证人员到岗到位。施工期间，专业监理人员必须到岗，实行指纹考勤与抽查相结合的办法，出勤率不得低于采购单位要求，否则每缺勤一天按以下方式进行罚款：总监理工程师为500元/天、专业监理工程师及其他监理人员为300元/天，以上所有人员在项目监理期内累计缺勤达到5次（含）以上10次（含）以下的扣除该监理项目总监理费的20%，超过10次（不含）的扣除该监理项目总监理费的50%且采购单位有权解除合同。</w:t>
      </w:r>
    </w:p>
    <w:p w14:paraId="48E881B4">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10.2在工程中对工程质量、造价、进度等监理时弄虚作假损害业主利益的，一经查实，每发现一例，即扣除监理项目监理费总额的10%。</w:t>
      </w:r>
    </w:p>
    <w:p w14:paraId="46EC39D6">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加强对施工中安全问题的监督，如施工中发现安全隐患，应及时向业主报告，并及时要求施工单位整改。因监理工作不到位引起施工安全问题的，每起扣除监理费1000—5000元不等，如造成施工安全事故的，则除扣除全部监理费外将提请建设行政主管部门依法处理。</w:t>
      </w:r>
    </w:p>
    <w:p w14:paraId="5F9017C2">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罚监理费1000-20000元，如监理工程师没有按要求进行旁站的每查到一次：第一次罚款1000元；第二次罚款2000元；第三次罚款3000元；三次（不含）以上采购人有权解除监理合同，并由监理人承担一切责任。</w:t>
      </w:r>
    </w:p>
    <w:p w14:paraId="567143CA">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监理到岗人员必须与响应文件中的人员相一致，未经采购人书面同意，监理人不得私自调换。监理人应派遣响应文件中承诺的监理人员进驻现场，除非采购人另有要求或其它不可抗力，监理人不得以任何理由更换响应文件中拟定的总监理工程师、专业监理工程师等主要监理人员，否则将被视为监理单位违约。项目监理期间，若监理人因特殊要求更换人员，必须事先取得采购人的书面批准同意以后，才能替换监理人员，否则按擅自更换人员处理：擅自更换监理员的每人次罚款1000元，擅自更换专业监理工程师的每一人次罚款5000元，擅自更换总监的每一人次罚款10000元。</w:t>
      </w:r>
    </w:p>
    <w:p w14:paraId="36DF6005">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扣罚款累计超过监理项目合同价的50%的，采购人有权解除合同，并且由此造成的损失由监理人承担一切责任。</w:t>
      </w:r>
    </w:p>
    <w:p w14:paraId="3F471A81">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监理人不得以任何形式向采购人工作人员或与监理项目工程相关的管理单位人员赠送各种礼品、礼券或现金，也不得接受承包人或与监理项目工程有利益关系人赠送的各种礼品、礼券、卡、现金或任何其他形式的馈赠，不得接受承包人或与监理项目工程有利益关系人的招待、宴请等，否则，每发生一次，罚款 2000元，累计罚款次数达到5次的，采购人有权解除合同并且由此造成的损失由监理人承担一切责任。</w:t>
      </w:r>
    </w:p>
    <w:p w14:paraId="4476F060">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四、验收</w:t>
      </w:r>
    </w:p>
    <w:p w14:paraId="487C0419">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严格遵循国家和行业质量验收相关规范、标准执行。</w:t>
      </w:r>
    </w:p>
    <w:p w14:paraId="648544BE">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五、报价要求</w:t>
      </w:r>
    </w:p>
    <w:p w14:paraId="5679A7EF">
      <w:pPr>
        <w:pStyle w:val="123"/>
        <w:keepNext w:val="0"/>
        <w:keepLines w:val="0"/>
        <w:pageBreakBefore w:val="0"/>
        <w:widowControl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监理服务费采用总价承包，一次包干，与工程实施中造价的调整无关。</w:t>
      </w:r>
    </w:p>
    <w:p w14:paraId="6CAC72F3">
      <w:pPr>
        <w:keepNext w:val="0"/>
        <w:keepLines w:val="0"/>
        <w:pageBreakBefore w:val="0"/>
        <w:widowControl w:val="0"/>
        <w:kinsoku/>
        <w:wordWrap/>
        <w:overflowPunct/>
        <w:topLinePunct w:val="0"/>
        <w:bidi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投标总</w:t>
      </w:r>
      <w:r>
        <w:rPr>
          <w:rFonts w:hint="eastAsia" w:ascii="宋体" w:hAnsi="宋体" w:eastAsia="宋体" w:cs="宋体"/>
          <w:color w:val="auto"/>
          <w:spacing w:val="-6"/>
          <w:sz w:val="21"/>
          <w:szCs w:val="21"/>
          <w:highlight w:val="none"/>
        </w:rPr>
        <w:t>报价是完全履行招标内容及要求的价格体现，报价中须包含所有一切人员工资、各种加班费、节假日补贴、各种社会保险、安全保险、食宿与交通、材料费、机械费、人工费、辅助材料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eastAsia="宋体" w:cs="宋体"/>
          <w:color w:val="auto"/>
          <w:sz w:val="21"/>
          <w:szCs w:val="21"/>
          <w:highlight w:val="none"/>
          <w:lang w:val="zh-CN"/>
        </w:rPr>
        <w:t>。</w:t>
      </w:r>
    </w:p>
    <w:p w14:paraId="0849B13B">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六、履约保证金、付款方式</w:t>
      </w:r>
    </w:p>
    <w:p w14:paraId="26AB70B4">
      <w:pPr>
        <w:pStyle w:val="154"/>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olor w:val="auto"/>
          <w:szCs w:val="20"/>
          <w:highlight w:val="none"/>
        </w:rPr>
      </w:pPr>
      <w:r>
        <w:rPr>
          <w:rFonts w:hint="eastAsia" w:ascii="宋体" w:hAnsi="宋体" w:eastAsia="宋体"/>
          <w:color w:val="auto"/>
          <w:szCs w:val="20"/>
          <w:highlight w:val="none"/>
        </w:rPr>
        <w:t>1、履约保证金：</w:t>
      </w:r>
    </w:p>
    <w:p w14:paraId="189369E4">
      <w:pPr>
        <w:pStyle w:val="154"/>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olor w:val="auto"/>
          <w:szCs w:val="20"/>
          <w:highlight w:val="none"/>
        </w:rPr>
      </w:pPr>
      <w:r>
        <w:rPr>
          <w:rFonts w:hint="eastAsia" w:ascii="宋体" w:hAnsi="宋体" w:eastAsia="宋体"/>
          <w:color w:val="auto"/>
          <w:szCs w:val="20"/>
          <w:highlight w:val="none"/>
        </w:rPr>
        <w:t>1）成交供应商向采购人提供履约担保，担保方式为： 转账、及采购人认可的包含形式（如银行保函、保险机构保证保险保单和融资担保公司保函 ），担保合同作为合同附件。担保额度：合同价的</w:t>
      </w:r>
      <w:r>
        <w:rPr>
          <w:rFonts w:hint="eastAsia" w:ascii="宋体" w:hAnsi="宋体" w:eastAsia="宋体"/>
          <w:color w:val="auto"/>
          <w:szCs w:val="20"/>
          <w:highlight w:val="none"/>
          <w:lang w:val="en-US" w:eastAsia="zh-CN"/>
        </w:rPr>
        <w:t>5</w:t>
      </w:r>
      <w:r>
        <w:rPr>
          <w:rFonts w:hint="eastAsia" w:ascii="宋体" w:hAnsi="宋体" w:eastAsia="宋体"/>
          <w:color w:val="auto"/>
          <w:szCs w:val="20"/>
          <w:highlight w:val="none"/>
        </w:rPr>
        <w:t>%。成交供应商应按合同规定向采购人提交履约保证金。</w:t>
      </w:r>
    </w:p>
    <w:p w14:paraId="299A07BD">
      <w:pPr>
        <w:pStyle w:val="154"/>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olor w:val="auto"/>
          <w:szCs w:val="20"/>
          <w:highlight w:val="none"/>
        </w:rPr>
      </w:pPr>
      <w:r>
        <w:rPr>
          <w:rFonts w:hint="eastAsia" w:ascii="宋体" w:hAnsi="宋体" w:eastAsia="宋体"/>
          <w:color w:val="auto"/>
          <w:szCs w:val="20"/>
          <w:highlight w:val="none"/>
        </w:rPr>
        <w:t>2）成交供应商能够正确履行合同所规定的全部义务，待合同期满后及时退还</w:t>
      </w:r>
      <w:r>
        <w:rPr>
          <w:rFonts w:hint="eastAsia" w:ascii="宋体" w:hAnsi="宋体" w:eastAsia="宋体"/>
          <w:color w:val="auto"/>
          <w:szCs w:val="20"/>
          <w:highlight w:val="none"/>
          <w:lang w:eastAsia="zh-CN"/>
        </w:rPr>
        <w:t>（</w:t>
      </w:r>
      <w:r>
        <w:rPr>
          <w:rFonts w:hint="eastAsia" w:ascii="宋体" w:hAnsi="宋体" w:eastAsia="宋体"/>
          <w:color w:val="auto"/>
          <w:szCs w:val="20"/>
          <w:highlight w:val="none"/>
          <w:lang w:val="en-US" w:eastAsia="zh-CN"/>
        </w:rPr>
        <w:t>不计息</w:t>
      </w:r>
      <w:r>
        <w:rPr>
          <w:rFonts w:hint="eastAsia" w:ascii="宋体" w:hAnsi="宋体" w:eastAsia="宋体"/>
          <w:color w:val="auto"/>
          <w:szCs w:val="20"/>
          <w:highlight w:val="none"/>
          <w:lang w:eastAsia="zh-CN"/>
        </w:rPr>
        <w:t>）</w:t>
      </w:r>
      <w:r>
        <w:rPr>
          <w:rFonts w:hint="eastAsia" w:ascii="宋体" w:hAnsi="宋体" w:eastAsia="宋体"/>
          <w:color w:val="auto"/>
          <w:szCs w:val="20"/>
          <w:highlight w:val="none"/>
        </w:rPr>
        <w:t>；如成交供应商原因造成合同中止，履约担保金不返还；如成交供应商不能按磋商承诺和合同要求履约，采购人将有权扣除相应甚至全部履约保证金。</w:t>
      </w:r>
    </w:p>
    <w:p w14:paraId="33D5225F">
      <w:pPr>
        <w:keepNext w:val="0"/>
        <w:keepLines w:val="0"/>
        <w:pageBreakBefore w:val="0"/>
        <w:widowControl w:val="0"/>
        <w:kinsoku/>
        <w:wordWrap/>
        <w:overflowPunct/>
        <w:topLinePunct w:val="0"/>
        <w:bidi w:val="0"/>
        <w:spacing w:line="380"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Cs/>
          <w:color w:val="auto"/>
          <w:sz w:val="21"/>
          <w:szCs w:val="21"/>
          <w:highlight w:val="none"/>
        </w:rPr>
        <w:t>2、付款方式：</w:t>
      </w:r>
    </w:p>
    <w:p w14:paraId="64057447">
      <w:pPr>
        <w:pStyle w:val="154"/>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olor w:val="auto"/>
          <w:szCs w:val="20"/>
          <w:highlight w:val="none"/>
        </w:rPr>
      </w:pPr>
      <w:r>
        <w:rPr>
          <w:rFonts w:hint="eastAsia" w:ascii="宋体" w:hAnsi="宋体" w:eastAsia="宋体"/>
          <w:color w:val="auto"/>
          <w:szCs w:val="20"/>
          <w:highlight w:val="none"/>
        </w:rPr>
        <w:t>1）监理范围内的项目开工后</w:t>
      </w:r>
      <w:r>
        <w:rPr>
          <w:rFonts w:hint="eastAsia" w:ascii="宋体" w:hAnsi="宋体" w:eastAsia="宋体"/>
          <w:color w:val="auto"/>
          <w:szCs w:val="20"/>
          <w:highlight w:val="none"/>
          <w:lang w:val="en-US" w:eastAsia="zh-CN"/>
        </w:rPr>
        <w:t>7个工作日</w:t>
      </w:r>
      <w:r>
        <w:rPr>
          <w:rFonts w:hint="eastAsia" w:ascii="宋体" w:hAnsi="宋体" w:eastAsia="宋体"/>
          <w:color w:val="auto"/>
          <w:szCs w:val="20"/>
          <w:highlight w:val="none"/>
        </w:rPr>
        <w:t>内，支付监理服务酬金为</w:t>
      </w:r>
      <w:r>
        <w:rPr>
          <w:rFonts w:hint="eastAsia" w:ascii="宋体" w:hAnsi="宋体" w:eastAsia="宋体" w:cs="???|CS?o｡ﾀ?"/>
          <w:color w:val="auto"/>
          <w:szCs w:val="20"/>
          <w:highlight w:val="none"/>
        </w:rPr>
        <w:t>合同正常监理服务酬金</w:t>
      </w:r>
      <w:r>
        <w:rPr>
          <w:rFonts w:hint="eastAsia" w:ascii="宋体" w:hAnsi="宋体" w:eastAsia="宋体"/>
          <w:color w:val="auto"/>
          <w:szCs w:val="20"/>
          <w:highlight w:val="none"/>
        </w:rPr>
        <w:t>的</w:t>
      </w:r>
      <w:r>
        <w:rPr>
          <w:rFonts w:hint="eastAsia" w:ascii="宋体" w:hAnsi="宋体" w:eastAsia="宋体"/>
          <w:color w:val="auto"/>
          <w:szCs w:val="20"/>
          <w:highlight w:val="none"/>
          <w:lang w:val="en-US" w:eastAsia="zh-CN"/>
        </w:rPr>
        <w:t>2</w:t>
      </w:r>
      <w:r>
        <w:rPr>
          <w:rFonts w:hint="eastAsia" w:ascii="宋体" w:hAnsi="宋体" w:eastAsia="宋体"/>
          <w:color w:val="auto"/>
          <w:szCs w:val="20"/>
          <w:highlight w:val="none"/>
        </w:rPr>
        <w:t>0%（预付款）。</w:t>
      </w:r>
    </w:p>
    <w:p w14:paraId="7EA833EA">
      <w:pPr>
        <w:pStyle w:val="154"/>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CS?o｡ﾀ?"/>
          <w:color w:val="auto"/>
          <w:szCs w:val="20"/>
          <w:highlight w:val="none"/>
          <w:lang w:eastAsia="zh-CN"/>
        </w:rPr>
      </w:pPr>
      <w:r>
        <w:rPr>
          <w:rFonts w:hint="eastAsia" w:ascii="宋体" w:hAnsi="宋体" w:eastAsia="宋体"/>
          <w:color w:val="auto"/>
          <w:szCs w:val="20"/>
          <w:highlight w:val="none"/>
        </w:rPr>
        <w:t>2）在工程进展顺利的前提下，监理费</w:t>
      </w:r>
      <w:r>
        <w:rPr>
          <w:rFonts w:hint="eastAsia" w:ascii="宋体" w:hAnsi="宋体" w:eastAsia="宋体" w:cs="???|CS?o｡ﾀ?"/>
          <w:color w:val="auto"/>
          <w:szCs w:val="20"/>
          <w:highlight w:val="none"/>
        </w:rPr>
        <w:t>每季度支付一次，监理人在每季度末月</w:t>
      </w:r>
      <w:r>
        <w:rPr>
          <w:rFonts w:ascii="宋体" w:hAnsi="宋体" w:eastAsia="宋体"/>
          <w:color w:val="auto"/>
          <w:szCs w:val="20"/>
          <w:highlight w:val="none"/>
        </w:rPr>
        <w:t>25</w:t>
      </w:r>
      <w:r>
        <w:rPr>
          <w:rFonts w:hint="eastAsia" w:ascii="宋体" w:hAnsi="宋体" w:eastAsia="宋体" w:cs="???|CS?o｡ﾀ?"/>
          <w:color w:val="auto"/>
          <w:szCs w:val="20"/>
          <w:highlight w:val="none"/>
        </w:rPr>
        <w:t>日前，根据监理费提出付款申请，并附委托人确认的《监理人员出勤考核表》，委托人在</w:t>
      </w:r>
      <w:r>
        <w:rPr>
          <w:rFonts w:hint="eastAsia" w:ascii="宋体" w:hAnsi="宋体" w:eastAsia="宋体"/>
          <w:color w:val="auto"/>
          <w:szCs w:val="20"/>
          <w:highlight w:val="none"/>
        </w:rPr>
        <w:t>1</w:t>
      </w:r>
      <w:r>
        <w:rPr>
          <w:rFonts w:ascii="宋体" w:hAnsi="宋体" w:eastAsia="宋体"/>
          <w:color w:val="auto"/>
          <w:szCs w:val="20"/>
          <w:highlight w:val="none"/>
        </w:rPr>
        <w:t>4</w:t>
      </w:r>
      <w:r>
        <w:rPr>
          <w:rFonts w:hint="eastAsia" w:ascii="宋体" w:hAnsi="宋体" w:eastAsia="宋体" w:cs="???|CS?o｡ﾀ?"/>
          <w:color w:val="auto"/>
          <w:szCs w:val="20"/>
          <w:highlight w:val="none"/>
        </w:rPr>
        <w:t>天内支付当季应付监理费的</w:t>
      </w:r>
      <w:r>
        <w:rPr>
          <w:rFonts w:ascii="宋体" w:hAnsi="宋体" w:eastAsia="宋体"/>
          <w:color w:val="auto"/>
          <w:szCs w:val="20"/>
          <w:highlight w:val="none"/>
        </w:rPr>
        <w:t>80%</w:t>
      </w:r>
      <w:r>
        <w:rPr>
          <w:rFonts w:hint="eastAsia" w:ascii="宋体" w:hAnsi="宋体" w:eastAsia="宋体"/>
          <w:color w:val="auto"/>
          <w:szCs w:val="20"/>
          <w:highlight w:val="none"/>
        </w:rPr>
        <w:t>（</w:t>
      </w:r>
      <w:r>
        <w:rPr>
          <w:rFonts w:hint="eastAsia" w:ascii="宋体" w:hAnsi="宋体" w:eastAsia="宋体"/>
          <w:color w:val="auto"/>
          <w:szCs w:val="20"/>
          <w:highlight w:val="none"/>
          <w:lang w:val="en-US" w:eastAsia="zh-CN"/>
        </w:rPr>
        <w:t>含预付款</w:t>
      </w:r>
      <w:r>
        <w:rPr>
          <w:rFonts w:hint="eastAsia" w:ascii="宋体" w:hAnsi="宋体" w:eastAsia="宋体"/>
          <w:color w:val="auto"/>
          <w:szCs w:val="20"/>
          <w:highlight w:val="none"/>
        </w:rPr>
        <w:t>）</w:t>
      </w:r>
      <w:r>
        <w:rPr>
          <w:rFonts w:hint="eastAsia" w:ascii="宋体" w:hAnsi="宋体" w:eastAsia="宋体" w:cs="???|CS?o｡ﾀ?"/>
          <w:color w:val="auto"/>
          <w:szCs w:val="20"/>
          <w:highlight w:val="none"/>
        </w:rPr>
        <w:t>。</w:t>
      </w:r>
      <w:r>
        <w:rPr>
          <w:rFonts w:hint="eastAsia" w:ascii="宋体" w:hAnsi="宋体" w:eastAsia="宋体"/>
          <w:color w:val="auto"/>
          <w:szCs w:val="20"/>
          <w:highlight w:val="none"/>
        </w:rPr>
        <w:t>本监理标范围内的全部工程通过完工验收合格且经审计（价）后14天内付至监理报酬的98.5%。</w:t>
      </w:r>
      <w:r>
        <w:rPr>
          <w:rFonts w:hint="eastAsia" w:ascii="宋体" w:hAnsi="宋体" w:eastAsia="宋体" w:cs="宋体"/>
          <w:color w:val="auto"/>
          <w:szCs w:val="21"/>
          <w:highlight w:val="none"/>
          <w:lang w:val="en-US" w:eastAsia="zh-CN"/>
        </w:rPr>
        <w:t>监理</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满</w:t>
      </w:r>
      <w:r>
        <w:rPr>
          <w:rFonts w:hint="eastAsia" w:ascii="宋体" w:hAnsi="宋体" w:eastAsia="宋体"/>
          <w:color w:val="auto"/>
          <w:szCs w:val="20"/>
          <w:highlight w:val="none"/>
        </w:rPr>
        <w:t>后</w:t>
      </w:r>
      <w:r>
        <w:rPr>
          <w:rFonts w:hint="eastAsia" w:ascii="宋体" w:hAnsi="宋体" w:eastAsia="宋体"/>
          <w:color w:val="auto"/>
          <w:szCs w:val="20"/>
          <w:highlight w:val="none"/>
          <w:lang w:val="en-US" w:eastAsia="zh-CN"/>
        </w:rPr>
        <w:t>7个工作日</w:t>
      </w:r>
      <w:r>
        <w:rPr>
          <w:rFonts w:hint="eastAsia" w:ascii="宋体" w:hAnsi="宋体" w:eastAsia="宋体"/>
          <w:color w:val="auto"/>
          <w:szCs w:val="20"/>
          <w:highlight w:val="none"/>
        </w:rPr>
        <w:t>内付清余款（如有剩余）</w:t>
      </w:r>
      <w:r>
        <w:rPr>
          <w:rFonts w:hint="eastAsia" w:ascii="宋体" w:hAnsi="宋体" w:eastAsia="宋体"/>
          <w:color w:val="auto"/>
          <w:szCs w:val="20"/>
          <w:highlight w:val="none"/>
          <w:lang w:eastAsia="zh-CN"/>
        </w:rPr>
        <w:t>，</w:t>
      </w:r>
      <w:r>
        <w:rPr>
          <w:rFonts w:hint="eastAsia" w:ascii="宋体" w:hAnsi="宋体" w:eastAsia="宋体"/>
          <w:color w:val="auto"/>
          <w:szCs w:val="20"/>
          <w:highlight w:val="none"/>
        </w:rPr>
        <w:t>停工期间不计取酬金</w:t>
      </w:r>
      <w:r>
        <w:rPr>
          <w:rFonts w:hint="eastAsia" w:ascii="宋体" w:hAnsi="宋体" w:eastAsia="宋体"/>
          <w:color w:val="auto"/>
          <w:szCs w:val="20"/>
          <w:highlight w:val="none"/>
          <w:lang w:eastAsia="zh-CN"/>
        </w:rPr>
        <w:t>。</w:t>
      </w:r>
    </w:p>
    <w:p w14:paraId="0262F0E7">
      <w:pPr>
        <w:spacing w:line="360" w:lineRule="auto"/>
        <w:ind w:firstLine="723" w:firstLineChars="200"/>
        <w:jc w:val="left"/>
        <w:rPr>
          <w:rFonts w:hint="eastAsia"/>
          <w:b/>
          <w:color w:val="auto"/>
          <w:sz w:val="36"/>
          <w:szCs w:val="36"/>
          <w:highlight w:val="none"/>
        </w:rPr>
      </w:pPr>
    </w:p>
    <w:p w14:paraId="0A438153">
      <w:pPr>
        <w:spacing w:line="360" w:lineRule="auto"/>
        <w:jc w:val="center"/>
        <w:rPr>
          <w:rFonts w:hint="eastAsia"/>
          <w:b/>
          <w:color w:val="auto"/>
          <w:sz w:val="36"/>
          <w:szCs w:val="36"/>
          <w:highlight w:val="none"/>
        </w:rPr>
      </w:pPr>
    </w:p>
    <w:p w14:paraId="484FBE84">
      <w:pPr>
        <w:pStyle w:val="2"/>
        <w:rPr>
          <w:rFonts w:hint="eastAsia"/>
          <w:b/>
          <w:color w:val="auto"/>
          <w:sz w:val="36"/>
          <w:szCs w:val="36"/>
          <w:highlight w:val="none"/>
        </w:rPr>
      </w:pPr>
    </w:p>
    <w:p w14:paraId="7E96EC64">
      <w:pPr>
        <w:pStyle w:val="4"/>
        <w:rPr>
          <w:rFonts w:hint="eastAsia"/>
          <w:b/>
          <w:color w:val="auto"/>
          <w:sz w:val="36"/>
          <w:szCs w:val="36"/>
          <w:highlight w:val="none"/>
        </w:rPr>
      </w:pPr>
    </w:p>
    <w:p w14:paraId="3120715D">
      <w:pPr>
        <w:spacing w:line="360" w:lineRule="auto"/>
        <w:jc w:val="center"/>
        <w:rPr>
          <w:b/>
          <w:color w:val="auto"/>
          <w:sz w:val="36"/>
          <w:szCs w:val="36"/>
          <w:highlight w:val="none"/>
        </w:rPr>
      </w:pPr>
      <w:r>
        <w:rPr>
          <w:rFonts w:hint="eastAsia"/>
          <w:b/>
          <w:color w:val="auto"/>
          <w:sz w:val="36"/>
          <w:szCs w:val="36"/>
          <w:highlight w:val="none"/>
        </w:rPr>
        <w:t>第三章  供应商须知</w:t>
      </w:r>
    </w:p>
    <w:p w14:paraId="7DCCA9F9">
      <w:pPr>
        <w:spacing w:line="360" w:lineRule="auto"/>
        <w:jc w:val="center"/>
        <w:rPr>
          <w:b/>
          <w:color w:val="auto"/>
          <w:sz w:val="32"/>
          <w:szCs w:val="32"/>
          <w:highlight w:val="none"/>
        </w:rPr>
      </w:pPr>
      <w:r>
        <w:rPr>
          <w:rFonts w:hint="eastAsia"/>
          <w:b/>
          <w:color w:val="auto"/>
          <w:sz w:val="32"/>
          <w:szCs w:val="32"/>
          <w:highlight w:val="none"/>
        </w:rPr>
        <w:t>前附表</w:t>
      </w:r>
    </w:p>
    <w:tbl>
      <w:tblPr>
        <w:tblStyle w:val="3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667"/>
        <w:gridCol w:w="6230"/>
      </w:tblGrid>
      <w:tr w14:paraId="73E8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7F389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67" w:type="dxa"/>
            <w:tcBorders>
              <w:top w:val="single" w:color="auto" w:sz="4" w:space="0"/>
              <w:left w:val="single" w:color="auto" w:sz="4" w:space="0"/>
              <w:bottom w:val="single" w:color="auto" w:sz="4" w:space="0"/>
              <w:right w:val="single" w:color="auto" w:sz="4" w:space="0"/>
            </w:tcBorders>
            <w:vAlign w:val="center"/>
          </w:tcPr>
          <w:p w14:paraId="5FEBD6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230" w:type="dxa"/>
            <w:tcBorders>
              <w:top w:val="single" w:color="auto" w:sz="4" w:space="0"/>
              <w:left w:val="single" w:color="auto" w:sz="4" w:space="0"/>
              <w:bottom w:val="single" w:color="auto" w:sz="4" w:space="0"/>
              <w:right w:val="single" w:color="auto" w:sz="4" w:space="0"/>
            </w:tcBorders>
            <w:vAlign w:val="center"/>
          </w:tcPr>
          <w:p w14:paraId="298A62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5E9B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539C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67" w:type="dxa"/>
            <w:tcBorders>
              <w:top w:val="single" w:color="auto" w:sz="4" w:space="0"/>
              <w:left w:val="single" w:color="auto" w:sz="4" w:space="0"/>
              <w:bottom w:val="single" w:color="auto" w:sz="4" w:space="0"/>
              <w:right w:val="single" w:color="auto" w:sz="4" w:space="0"/>
            </w:tcBorders>
            <w:vAlign w:val="center"/>
          </w:tcPr>
          <w:p w14:paraId="263FAE8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230" w:type="dxa"/>
            <w:tcBorders>
              <w:top w:val="single" w:color="auto" w:sz="4" w:space="0"/>
              <w:left w:val="single" w:color="auto" w:sz="4" w:space="0"/>
              <w:bottom w:val="single" w:color="auto" w:sz="4" w:space="0"/>
              <w:right w:val="single" w:color="auto" w:sz="4" w:space="0"/>
            </w:tcBorders>
            <w:vAlign w:val="center"/>
          </w:tcPr>
          <w:p w14:paraId="5FF6498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符合竞争性磋商公告资格要求的供应商</w:t>
            </w:r>
          </w:p>
        </w:tc>
      </w:tr>
      <w:tr w14:paraId="36C3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E05D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67" w:type="dxa"/>
            <w:tcBorders>
              <w:top w:val="single" w:color="auto" w:sz="4" w:space="0"/>
              <w:left w:val="single" w:color="auto" w:sz="4" w:space="0"/>
              <w:bottom w:val="single" w:color="auto" w:sz="4" w:space="0"/>
              <w:right w:val="single" w:color="auto" w:sz="4" w:space="0"/>
            </w:tcBorders>
            <w:vAlign w:val="center"/>
          </w:tcPr>
          <w:p w14:paraId="25822C1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答疑会或</w:t>
            </w:r>
            <w:r>
              <w:rPr>
                <w:rFonts w:hint="eastAsia" w:ascii="宋体" w:hAnsi="宋体" w:eastAsia="宋体" w:cs="宋体"/>
                <w:color w:val="auto"/>
                <w:sz w:val="21"/>
                <w:szCs w:val="21"/>
                <w:highlight w:val="none"/>
              </w:rPr>
              <w:t>现场踏勘</w:t>
            </w:r>
          </w:p>
        </w:tc>
        <w:tc>
          <w:tcPr>
            <w:tcW w:w="6230" w:type="dxa"/>
            <w:tcBorders>
              <w:top w:val="single" w:color="auto" w:sz="4" w:space="0"/>
              <w:left w:val="single" w:color="auto" w:sz="4" w:space="0"/>
              <w:bottom w:val="single" w:color="auto" w:sz="4" w:space="0"/>
              <w:right w:val="single" w:color="auto" w:sz="4" w:space="0"/>
            </w:tcBorders>
            <w:vAlign w:val="center"/>
          </w:tcPr>
          <w:p w14:paraId="48093CCD">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169F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69996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67" w:type="dxa"/>
            <w:tcBorders>
              <w:top w:val="single" w:color="auto" w:sz="4" w:space="0"/>
              <w:left w:val="single" w:color="auto" w:sz="4" w:space="0"/>
              <w:bottom w:val="single" w:color="auto" w:sz="4" w:space="0"/>
              <w:right w:val="single" w:color="auto" w:sz="4" w:space="0"/>
            </w:tcBorders>
            <w:vAlign w:val="center"/>
          </w:tcPr>
          <w:p w14:paraId="02717BB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磋商响应文件包装要求</w:t>
            </w:r>
          </w:p>
        </w:tc>
        <w:tc>
          <w:tcPr>
            <w:tcW w:w="6230" w:type="dxa"/>
            <w:tcBorders>
              <w:top w:val="single" w:color="auto" w:sz="4" w:space="0"/>
              <w:left w:val="single" w:color="auto" w:sz="4" w:space="0"/>
              <w:bottom w:val="single" w:color="auto" w:sz="4" w:space="0"/>
              <w:right w:val="single" w:color="auto" w:sz="4" w:space="0"/>
            </w:tcBorders>
            <w:vAlign w:val="center"/>
          </w:tcPr>
          <w:p w14:paraId="0C900921">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▲1、本项目实行电子招投标，各供应商应按照本项目磋商文件和乐采云平台的相关要求编制、加密并提交磋商响应文件，即电子加密标书（在“乐采云平台”上传提交）。</w:t>
            </w:r>
          </w:p>
          <w:p w14:paraId="604FDC83">
            <w:pPr>
              <w:keepNext w:val="0"/>
              <w:keepLines w:val="0"/>
              <w:pageBreakBefore w:val="0"/>
              <w:widowControl w:val="0"/>
              <w:kinsoku/>
              <w:wordWrap/>
              <w:overflowPunct/>
              <w:topLinePunct w:val="0"/>
              <w:bidi w:val="0"/>
              <w:snapToGrid/>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保证项目顺利开展，建议各供应商同时制作并在投标截止时间前递交电子备份标书（后缀名为“.bfbs”），投标人自行确定是否提交。若提交请在提交磋商响应文件截止时间前将电子备份标书打包压缩加密（未加密造成泄密的由投标人自行承担）后以电子邮件的形式发送至</w:t>
            </w:r>
            <w:r>
              <w:rPr>
                <w:rFonts w:hint="eastAsia" w:ascii="宋体" w:hAnsi="宋体" w:eastAsia="宋体" w:cs="宋体"/>
                <w:color w:val="auto"/>
                <w:sz w:val="21"/>
                <w:szCs w:val="21"/>
                <w:highlight w:val="none"/>
                <w:lang w:eastAsia="zh-CN"/>
              </w:rPr>
              <w:t>109678775</w:t>
            </w:r>
            <w:r>
              <w:rPr>
                <w:rFonts w:hint="eastAsia" w:ascii="宋体" w:hAnsi="宋体" w:eastAsia="宋体" w:cs="宋体"/>
                <w:color w:val="auto"/>
                <w:sz w:val="21"/>
                <w:szCs w:val="21"/>
                <w:highlight w:val="none"/>
              </w:rPr>
              <w:t>@qq.com。电子备份标书在“电子加密标书”发生解密异常时使用，否则不予启用。</w:t>
            </w:r>
          </w:p>
        </w:tc>
      </w:tr>
      <w:tr w14:paraId="6412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D2DCA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67" w:type="dxa"/>
            <w:tcBorders>
              <w:top w:val="single" w:color="auto" w:sz="4" w:space="0"/>
              <w:left w:val="single" w:color="auto" w:sz="4" w:space="0"/>
              <w:bottom w:val="single" w:color="auto" w:sz="4" w:space="0"/>
              <w:right w:val="single" w:color="auto" w:sz="4" w:space="0"/>
            </w:tcBorders>
            <w:vAlign w:val="center"/>
          </w:tcPr>
          <w:p w14:paraId="7120D65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230" w:type="dxa"/>
            <w:tcBorders>
              <w:top w:val="single" w:color="auto" w:sz="4" w:space="0"/>
              <w:left w:val="single" w:color="auto" w:sz="4" w:space="0"/>
              <w:bottom w:val="single" w:color="auto" w:sz="4" w:space="0"/>
              <w:right w:val="single" w:color="auto" w:sz="4" w:space="0"/>
            </w:tcBorders>
            <w:vAlign w:val="center"/>
          </w:tcPr>
          <w:p w14:paraId="47A8275B">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317C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CE2B1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67" w:type="dxa"/>
            <w:tcBorders>
              <w:top w:val="single" w:color="auto" w:sz="4" w:space="0"/>
              <w:left w:val="single" w:color="auto" w:sz="4" w:space="0"/>
              <w:bottom w:val="single" w:color="auto" w:sz="4" w:space="0"/>
              <w:right w:val="single" w:color="auto" w:sz="4" w:space="0"/>
            </w:tcBorders>
            <w:vAlign w:val="center"/>
          </w:tcPr>
          <w:p w14:paraId="3E42108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230" w:type="dxa"/>
            <w:tcBorders>
              <w:top w:val="single" w:color="auto" w:sz="4" w:space="0"/>
              <w:left w:val="single" w:color="auto" w:sz="4" w:space="0"/>
              <w:bottom w:val="single" w:color="auto" w:sz="4" w:space="0"/>
              <w:right w:val="single" w:color="auto" w:sz="4" w:space="0"/>
            </w:tcBorders>
            <w:vAlign w:val="center"/>
          </w:tcPr>
          <w:p w14:paraId="7E45DECB">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截止时间：北京时间</w:t>
            </w:r>
            <w:r>
              <w:rPr>
                <w:rFonts w:hint="eastAsia" w:cs="Arial"/>
                <w:color w:val="auto"/>
                <w:szCs w:val="21"/>
                <w:highlight w:val="none"/>
              </w:rPr>
              <w:t>202</w:t>
            </w:r>
            <w:r>
              <w:rPr>
                <w:rFonts w:hint="eastAsia" w:cs="Arial"/>
                <w:color w:val="auto"/>
                <w:szCs w:val="21"/>
                <w:highlight w:val="none"/>
                <w:lang w:val="en-US" w:eastAsia="zh-CN"/>
              </w:rPr>
              <w:t>5</w:t>
            </w:r>
            <w:r>
              <w:rPr>
                <w:rFonts w:hint="eastAsia" w:cs="Arial"/>
                <w:color w:val="auto"/>
                <w:szCs w:val="21"/>
                <w:highlight w:val="none"/>
              </w:rPr>
              <w:t>年</w:t>
            </w:r>
            <w:r>
              <w:rPr>
                <w:rFonts w:hint="eastAsia" w:cs="Arial"/>
                <w:color w:val="auto"/>
                <w:szCs w:val="21"/>
                <w:highlight w:val="none"/>
                <w:u w:val="single"/>
                <w:lang w:val="en-US" w:eastAsia="zh-CN"/>
              </w:rPr>
              <w:t xml:space="preserve"> 03 </w:t>
            </w:r>
            <w:r>
              <w:rPr>
                <w:rFonts w:hint="eastAsia" w:cs="Arial"/>
                <w:color w:val="auto"/>
                <w:szCs w:val="21"/>
                <w:highlight w:val="none"/>
              </w:rPr>
              <w:t>月</w:t>
            </w:r>
            <w:r>
              <w:rPr>
                <w:rFonts w:hint="eastAsia" w:cs="Arial"/>
                <w:color w:val="auto"/>
                <w:szCs w:val="21"/>
                <w:highlight w:val="none"/>
                <w:u w:val="single"/>
                <w:lang w:val="en-US" w:eastAsia="zh-CN"/>
              </w:rPr>
              <w:t xml:space="preserve"> 18 </w:t>
            </w:r>
            <w:r>
              <w:rPr>
                <w:rFonts w:hint="eastAsia" w:cs="Arial"/>
                <w:color w:val="auto"/>
                <w:szCs w:val="21"/>
                <w:highlight w:val="none"/>
              </w:rPr>
              <w:t>日</w:t>
            </w:r>
            <w:r>
              <w:rPr>
                <w:rFonts w:hint="eastAsia" w:cs="Arial"/>
                <w:color w:val="auto"/>
                <w:szCs w:val="21"/>
                <w:highlight w:val="none"/>
                <w:u w:val="single"/>
              </w:rPr>
              <w:t xml:space="preserve"> </w:t>
            </w:r>
            <w:r>
              <w:rPr>
                <w:rFonts w:hint="eastAsia" w:cs="Arial"/>
                <w:color w:val="auto"/>
                <w:szCs w:val="21"/>
                <w:highlight w:val="none"/>
                <w:u w:val="single"/>
                <w:lang w:val="en-US" w:eastAsia="zh-CN"/>
              </w:rPr>
              <w:t>09</w:t>
            </w:r>
            <w:r>
              <w:rPr>
                <w:rFonts w:hint="eastAsia" w:cs="Arial"/>
                <w:color w:val="auto"/>
                <w:szCs w:val="21"/>
                <w:highlight w:val="none"/>
                <w:u w:val="single"/>
              </w:rPr>
              <w:t xml:space="preserve"> </w:t>
            </w:r>
            <w:r>
              <w:rPr>
                <w:rFonts w:hint="eastAsia" w:cs="Arial"/>
                <w:color w:val="auto"/>
                <w:szCs w:val="21"/>
                <w:highlight w:val="none"/>
              </w:rPr>
              <w:t>时</w:t>
            </w:r>
            <w:r>
              <w:rPr>
                <w:rFonts w:hint="eastAsia" w:cs="Arial"/>
                <w:color w:val="auto"/>
                <w:szCs w:val="21"/>
                <w:highlight w:val="none"/>
                <w:u w:val="single"/>
              </w:rPr>
              <w:t xml:space="preserve"> </w:t>
            </w:r>
            <w:r>
              <w:rPr>
                <w:rFonts w:hint="eastAsia" w:cs="Arial"/>
                <w:color w:val="auto"/>
                <w:szCs w:val="21"/>
                <w:highlight w:val="none"/>
                <w:u w:val="single"/>
                <w:lang w:val="en-US" w:eastAsia="zh-CN"/>
              </w:rPr>
              <w:t>00</w:t>
            </w:r>
            <w:r>
              <w:rPr>
                <w:rFonts w:hint="eastAsia" w:cs="Arial"/>
                <w:color w:val="auto"/>
                <w:szCs w:val="21"/>
                <w:highlight w:val="none"/>
                <w:u w:val="single"/>
              </w:rPr>
              <w:t xml:space="preserve"> </w:t>
            </w:r>
            <w:r>
              <w:rPr>
                <w:rFonts w:hint="eastAsia" w:cs="Arial"/>
                <w:color w:val="auto"/>
                <w:szCs w:val="21"/>
                <w:highlight w:val="none"/>
              </w:rPr>
              <w:t>分</w:t>
            </w:r>
            <w:r>
              <w:rPr>
                <w:rFonts w:hint="eastAsia" w:ascii="宋体" w:hAnsi="宋体" w:eastAsia="宋体" w:cs="宋体"/>
                <w:color w:val="auto"/>
                <w:sz w:val="21"/>
                <w:szCs w:val="21"/>
                <w:highlight w:val="none"/>
              </w:rPr>
              <w:t>；</w:t>
            </w:r>
          </w:p>
          <w:p w14:paraId="230CC417">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1）电子加密标书：在“乐采云平台”上传提交。（2）电子备份标书：投标人自行确定是否提交。若提交请在提交磋商响应文件截止时间前将电子备份标书打包压缩加密（未加密造成泄密的由投标人自行承担）后以电子邮件的形式发送至</w:t>
            </w:r>
            <w:r>
              <w:rPr>
                <w:rFonts w:hint="eastAsia" w:ascii="宋体" w:hAnsi="宋体" w:eastAsia="宋体" w:cs="宋体"/>
                <w:color w:val="auto"/>
                <w:sz w:val="21"/>
                <w:szCs w:val="21"/>
                <w:highlight w:val="none"/>
                <w:lang w:eastAsia="zh-CN"/>
              </w:rPr>
              <w:t>109678775</w:t>
            </w:r>
            <w:r>
              <w:rPr>
                <w:rFonts w:hint="eastAsia" w:ascii="宋体" w:hAnsi="宋体" w:eastAsia="宋体" w:cs="宋体"/>
                <w:color w:val="auto"/>
                <w:sz w:val="21"/>
                <w:szCs w:val="21"/>
                <w:highlight w:val="none"/>
              </w:rPr>
              <w:t>@qq.com。电子备份标书在“电子加密标书”发生解密异常时使用，否则不予启用。</w:t>
            </w:r>
          </w:p>
        </w:tc>
      </w:tr>
      <w:tr w14:paraId="6C58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569FB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67" w:type="dxa"/>
            <w:tcBorders>
              <w:top w:val="single" w:color="auto" w:sz="4" w:space="0"/>
              <w:left w:val="single" w:color="auto" w:sz="4" w:space="0"/>
              <w:bottom w:val="single" w:color="auto" w:sz="4" w:space="0"/>
              <w:right w:val="single" w:color="auto" w:sz="4" w:space="0"/>
            </w:tcBorders>
            <w:vAlign w:val="center"/>
          </w:tcPr>
          <w:p w14:paraId="780FABB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230" w:type="dxa"/>
            <w:tcBorders>
              <w:top w:val="single" w:color="auto" w:sz="4" w:space="0"/>
              <w:left w:val="single" w:color="auto" w:sz="4" w:space="0"/>
              <w:bottom w:val="single" w:color="auto" w:sz="4" w:space="0"/>
              <w:right w:val="single" w:color="auto" w:sz="4" w:space="0"/>
            </w:tcBorders>
            <w:vAlign w:val="center"/>
          </w:tcPr>
          <w:p w14:paraId="55D411EA">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时间：北京时间</w:t>
            </w:r>
            <w:r>
              <w:rPr>
                <w:rFonts w:hint="eastAsia" w:cs="Arial"/>
                <w:color w:val="auto"/>
                <w:szCs w:val="21"/>
                <w:highlight w:val="none"/>
              </w:rPr>
              <w:t>202</w:t>
            </w:r>
            <w:r>
              <w:rPr>
                <w:rFonts w:hint="eastAsia" w:cs="Arial"/>
                <w:color w:val="auto"/>
                <w:szCs w:val="21"/>
                <w:highlight w:val="none"/>
                <w:lang w:val="en-US" w:eastAsia="zh-CN"/>
              </w:rPr>
              <w:t>5</w:t>
            </w:r>
            <w:r>
              <w:rPr>
                <w:rFonts w:hint="eastAsia" w:cs="Arial"/>
                <w:color w:val="auto"/>
                <w:szCs w:val="21"/>
                <w:highlight w:val="none"/>
              </w:rPr>
              <w:t>年</w:t>
            </w:r>
            <w:r>
              <w:rPr>
                <w:rFonts w:hint="eastAsia" w:cs="Arial"/>
                <w:color w:val="auto"/>
                <w:szCs w:val="21"/>
                <w:highlight w:val="none"/>
                <w:u w:val="single"/>
                <w:lang w:val="en-US" w:eastAsia="zh-CN"/>
              </w:rPr>
              <w:t xml:space="preserve"> 03 </w:t>
            </w:r>
            <w:r>
              <w:rPr>
                <w:rFonts w:hint="eastAsia" w:cs="Arial"/>
                <w:color w:val="auto"/>
                <w:szCs w:val="21"/>
                <w:highlight w:val="none"/>
              </w:rPr>
              <w:t>月</w:t>
            </w:r>
            <w:r>
              <w:rPr>
                <w:rFonts w:hint="eastAsia" w:cs="Arial"/>
                <w:color w:val="auto"/>
                <w:szCs w:val="21"/>
                <w:highlight w:val="none"/>
                <w:u w:val="single"/>
                <w:lang w:val="en-US" w:eastAsia="zh-CN"/>
              </w:rPr>
              <w:t xml:space="preserve"> 18 </w:t>
            </w:r>
            <w:r>
              <w:rPr>
                <w:rFonts w:hint="eastAsia" w:cs="Arial"/>
                <w:color w:val="auto"/>
                <w:szCs w:val="21"/>
                <w:highlight w:val="none"/>
              </w:rPr>
              <w:t>日</w:t>
            </w:r>
            <w:r>
              <w:rPr>
                <w:rFonts w:hint="eastAsia" w:cs="Arial"/>
                <w:color w:val="auto"/>
                <w:szCs w:val="21"/>
                <w:highlight w:val="none"/>
                <w:u w:val="single"/>
              </w:rPr>
              <w:t xml:space="preserve"> </w:t>
            </w:r>
            <w:r>
              <w:rPr>
                <w:rFonts w:hint="eastAsia" w:cs="Arial"/>
                <w:color w:val="auto"/>
                <w:szCs w:val="21"/>
                <w:highlight w:val="none"/>
                <w:u w:val="single"/>
                <w:lang w:val="en-US" w:eastAsia="zh-CN"/>
              </w:rPr>
              <w:t>09</w:t>
            </w:r>
            <w:r>
              <w:rPr>
                <w:rFonts w:hint="eastAsia" w:cs="Arial"/>
                <w:color w:val="auto"/>
                <w:szCs w:val="21"/>
                <w:highlight w:val="none"/>
                <w:u w:val="single"/>
              </w:rPr>
              <w:t xml:space="preserve"> </w:t>
            </w:r>
            <w:r>
              <w:rPr>
                <w:rFonts w:hint="eastAsia" w:cs="Arial"/>
                <w:color w:val="auto"/>
                <w:szCs w:val="21"/>
                <w:highlight w:val="none"/>
              </w:rPr>
              <w:t>时</w:t>
            </w:r>
            <w:r>
              <w:rPr>
                <w:rFonts w:hint="eastAsia" w:cs="Arial"/>
                <w:color w:val="auto"/>
                <w:szCs w:val="21"/>
                <w:highlight w:val="none"/>
                <w:u w:val="single"/>
              </w:rPr>
              <w:t xml:space="preserve"> </w:t>
            </w:r>
            <w:r>
              <w:rPr>
                <w:rFonts w:hint="eastAsia" w:cs="Arial"/>
                <w:color w:val="auto"/>
                <w:szCs w:val="21"/>
                <w:highlight w:val="none"/>
                <w:u w:val="single"/>
                <w:lang w:val="en-US" w:eastAsia="zh-CN"/>
              </w:rPr>
              <w:t>00</w:t>
            </w:r>
            <w:r>
              <w:rPr>
                <w:rFonts w:hint="eastAsia" w:cs="Arial"/>
                <w:color w:val="auto"/>
                <w:szCs w:val="21"/>
                <w:highlight w:val="none"/>
                <w:u w:val="single"/>
              </w:rPr>
              <w:t xml:space="preserve"> </w:t>
            </w:r>
            <w:r>
              <w:rPr>
                <w:rFonts w:hint="eastAsia" w:cs="Arial"/>
                <w:color w:val="auto"/>
                <w:szCs w:val="21"/>
                <w:highlight w:val="none"/>
              </w:rPr>
              <w:t>分</w:t>
            </w:r>
            <w:r>
              <w:rPr>
                <w:rFonts w:hint="eastAsia" w:ascii="宋体" w:hAnsi="宋体" w:eastAsia="宋体" w:cs="宋体"/>
                <w:color w:val="auto"/>
                <w:sz w:val="21"/>
                <w:szCs w:val="21"/>
                <w:highlight w:val="none"/>
              </w:rPr>
              <w:t>；</w:t>
            </w:r>
          </w:p>
          <w:p w14:paraId="6CFD294A">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仙居县鸿信工程咨询有限公司开标室（仙居县庆丰街173号三楼）（本项目采用乐采云平台线上开标，不要求供应商代表参加现场开标活动，届时将在乐采云平台(www.lecaiyun.com/)上开启磋商响应文件，同时邀请供应商准时在线参加开标活动。</w:t>
            </w:r>
          </w:p>
        </w:tc>
      </w:tr>
      <w:tr w14:paraId="131D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92DD7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67" w:type="dxa"/>
            <w:tcBorders>
              <w:top w:val="single" w:color="auto" w:sz="4" w:space="0"/>
              <w:left w:val="single" w:color="auto" w:sz="4" w:space="0"/>
              <w:bottom w:val="single" w:color="auto" w:sz="4" w:space="0"/>
              <w:right w:val="single" w:color="auto" w:sz="4" w:space="0"/>
            </w:tcBorders>
            <w:vAlign w:val="center"/>
          </w:tcPr>
          <w:p w14:paraId="304AD27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p>
          <w:p w14:paraId="61DBC543">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即投标保证金</w:t>
            </w:r>
            <w:r>
              <w:rPr>
                <w:rFonts w:hint="eastAsia" w:ascii="宋体" w:hAnsi="宋体" w:eastAsia="宋体" w:cs="宋体"/>
                <w:color w:val="auto"/>
                <w:sz w:val="21"/>
                <w:szCs w:val="21"/>
                <w:highlight w:val="none"/>
                <w:lang w:eastAsia="zh-CN"/>
              </w:rPr>
              <w:t>）</w:t>
            </w:r>
          </w:p>
        </w:tc>
        <w:tc>
          <w:tcPr>
            <w:tcW w:w="6230" w:type="dxa"/>
            <w:tcBorders>
              <w:top w:val="single" w:color="auto" w:sz="4" w:space="0"/>
              <w:left w:val="single" w:color="auto" w:sz="4" w:space="0"/>
              <w:bottom w:val="single" w:color="auto" w:sz="4" w:space="0"/>
              <w:right w:val="single" w:color="auto" w:sz="4" w:space="0"/>
            </w:tcBorders>
            <w:vAlign w:val="center"/>
          </w:tcPr>
          <w:p w14:paraId="459F0F1C">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万元。按照磋商公告规定方式交纳。</w:t>
            </w:r>
          </w:p>
        </w:tc>
      </w:tr>
      <w:tr w14:paraId="2799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3473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667" w:type="dxa"/>
            <w:tcBorders>
              <w:top w:val="single" w:color="auto" w:sz="4" w:space="0"/>
              <w:left w:val="single" w:color="auto" w:sz="4" w:space="0"/>
              <w:bottom w:val="single" w:color="auto" w:sz="4" w:space="0"/>
              <w:right w:val="single" w:color="auto" w:sz="4" w:space="0"/>
            </w:tcBorders>
            <w:vAlign w:val="center"/>
          </w:tcPr>
          <w:p w14:paraId="06B1A63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30" w:type="dxa"/>
            <w:tcBorders>
              <w:top w:val="single" w:color="auto" w:sz="4" w:space="0"/>
              <w:left w:val="single" w:color="auto" w:sz="4" w:space="0"/>
              <w:bottom w:val="single" w:color="auto" w:sz="4" w:space="0"/>
              <w:right w:val="single" w:color="auto" w:sz="4" w:space="0"/>
            </w:tcBorders>
            <w:vAlign w:val="center"/>
          </w:tcPr>
          <w:p w14:paraId="615CF398">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按合同总价的5%计取，缴纳至采购人，缴纳方式为：转账以及采购人认可的形式（如银行保函、保险机构保证保险保单和融资担保公司保函等）。</w:t>
            </w:r>
          </w:p>
        </w:tc>
      </w:tr>
      <w:tr w14:paraId="25E9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CD12D6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667" w:type="dxa"/>
            <w:tcBorders>
              <w:top w:val="single" w:color="auto" w:sz="4" w:space="0"/>
              <w:left w:val="single" w:color="auto" w:sz="4" w:space="0"/>
              <w:bottom w:val="single" w:color="auto" w:sz="4" w:space="0"/>
              <w:right w:val="single" w:color="auto" w:sz="4" w:space="0"/>
            </w:tcBorders>
            <w:vAlign w:val="center"/>
          </w:tcPr>
          <w:p w14:paraId="03235BFC">
            <w:pPr>
              <w:autoSpaceDE w:val="0"/>
              <w:autoSpaceDN w:val="0"/>
              <w:adjustRightInd w:val="0"/>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230" w:type="dxa"/>
            <w:tcBorders>
              <w:top w:val="single" w:color="auto" w:sz="4" w:space="0"/>
              <w:left w:val="single" w:color="auto" w:sz="4" w:space="0"/>
              <w:bottom w:val="single" w:color="auto" w:sz="4" w:space="0"/>
              <w:right w:val="single" w:color="auto" w:sz="4" w:space="0"/>
            </w:tcBorders>
            <w:vAlign w:val="center"/>
          </w:tcPr>
          <w:p w14:paraId="18F55D0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文件须作出实质性响应，否则作无效响应处理，并终止磋商。</w:t>
            </w:r>
          </w:p>
        </w:tc>
      </w:tr>
      <w:tr w14:paraId="3AA4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E25C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67" w:type="dxa"/>
            <w:tcBorders>
              <w:top w:val="single" w:color="auto" w:sz="4" w:space="0"/>
              <w:left w:val="single" w:color="auto" w:sz="4" w:space="0"/>
              <w:bottom w:val="single" w:color="auto" w:sz="4" w:space="0"/>
              <w:right w:val="single" w:color="auto" w:sz="4" w:space="0"/>
            </w:tcBorders>
            <w:vAlign w:val="center"/>
          </w:tcPr>
          <w:p w14:paraId="3B8295FC">
            <w:pPr>
              <w:autoSpaceDE w:val="0"/>
              <w:autoSpaceDN w:val="0"/>
              <w:adjustRightInd w:val="0"/>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▲项目最高限价</w:t>
            </w:r>
          </w:p>
        </w:tc>
        <w:tc>
          <w:tcPr>
            <w:tcW w:w="6230" w:type="dxa"/>
            <w:tcBorders>
              <w:top w:val="single" w:color="auto" w:sz="4" w:space="0"/>
              <w:left w:val="single" w:color="auto" w:sz="4" w:space="0"/>
              <w:bottom w:val="single" w:color="auto" w:sz="4" w:space="0"/>
              <w:right w:val="single" w:color="auto" w:sz="4" w:space="0"/>
            </w:tcBorders>
            <w:vAlign w:val="center"/>
          </w:tcPr>
          <w:p w14:paraId="1AA6FAA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sz w:val="21"/>
                <w:szCs w:val="21"/>
                <w:highlight w:val="none"/>
              </w:rPr>
              <w:t>本项目最高限价为</w:t>
            </w:r>
            <w:r>
              <w:rPr>
                <w:rFonts w:hint="eastAsia" w:ascii="宋体" w:hAnsi="宋体" w:eastAsia="宋体" w:cs="宋体"/>
                <w:b/>
                <w:color w:val="auto"/>
                <w:sz w:val="21"/>
                <w:szCs w:val="21"/>
                <w:highlight w:val="none"/>
                <w:u w:val="single"/>
                <w:lang w:val="en-US" w:eastAsia="zh-CN"/>
              </w:rPr>
              <w:t xml:space="preserve"> 70</w:t>
            </w:r>
            <w:r>
              <w:rPr>
                <w:rFonts w:hint="eastAsia" w:ascii="宋体" w:hAnsi="宋体" w:eastAsia="宋体" w:cs="宋体"/>
                <w:b/>
                <w:color w:val="auto"/>
                <w:sz w:val="21"/>
                <w:szCs w:val="21"/>
                <w:highlight w:val="none"/>
              </w:rPr>
              <w:t>万元。如投标人的投标报价超过最高限价，其投标文件作无效标处理。</w:t>
            </w:r>
          </w:p>
        </w:tc>
      </w:tr>
      <w:tr w14:paraId="50C6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32D9B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667" w:type="dxa"/>
            <w:tcBorders>
              <w:top w:val="single" w:color="auto" w:sz="4" w:space="0"/>
              <w:left w:val="single" w:color="auto" w:sz="4" w:space="0"/>
              <w:bottom w:val="single" w:color="auto" w:sz="4" w:space="0"/>
              <w:right w:val="single" w:color="auto" w:sz="4" w:space="0"/>
            </w:tcBorders>
            <w:vAlign w:val="center"/>
          </w:tcPr>
          <w:p w14:paraId="755BF153">
            <w:pPr>
              <w:autoSpaceDE w:val="0"/>
              <w:autoSpaceDN w:val="0"/>
              <w:adjustRightInd w:val="0"/>
              <w:spacing w:line="44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代理服务费</w:t>
            </w:r>
          </w:p>
        </w:tc>
        <w:tc>
          <w:tcPr>
            <w:tcW w:w="6230" w:type="dxa"/>
            <w:tcBorders>
              <w:top w:val="single" w:color="auto" w:sz="4" w:space="0"/>
              <w:left w:val="single" w:color="auto" w:sz="4" w:space="0"/>
              <w:bottom w:val="single" w:color="auto" w:sz="4" w:space="0"/>
              <w:right w:val="single" w:color="auto" w:sz="4" w:space="0"/>
            </w:tcBorders>
            <w:vAlign w:val="center"/>
          </w:tcPr>
          <w:p w14:paraId="349552B5">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rPr>
              <w:t>招标代理服务费按</w:t>
            </w:r>
            <w:r>
              <w:rPr>
                <w:rFonts w:hint="eastAsia" w:ascii="宋体" w:hAnsi="宋体" w:cs="宋体"/>
                <w:color w:val="auto"/>
                <w:sz w:val="21"/>
                <w:szCs w:val="21"/>
                <w:highlight w:val="none"/>
                <w:lang w:val="en-US" w:eastAsia="zh-CN"/>
              </w:rPr>
              <w:t>人民币6000元整计取</w:t>
            </w:r>
            <w:r>
              <w:rPr>
                <w:rFonts w:hint="eastAsia" w:ascii="宋体" w:hAnsi="宋体" w:eastAsia="宋体" w:cs="宋体"/>
                <w:color w:val="auto"/>
                <w:sz w:val="21"/>
                <w:szCs w:val="21"/>
                <w:highlight w:val="none"/>
              </w:rPr>
              <w:t>，由中标供应商</w:t>
            </w:r>
            <w:r>
              <w:rPr>
                <w:rFonts w:hint="eastAsia" w:ascii="宋体" w:hAnsi="宋体" w:cs="宋体"/>
                <w:color w:val="auto"/>
                <w:sz w:val="21"/>
                <w:szCs w:val="21"/>
                <w:highlight w:val="none"/>
                <w:lang w:val="en-US" w:eastAsia="zh-CN"/>
              </w:rPr>
              <w:t>在领取中标通知书时</w:t>
            </w:r>
            <w:r>
              <w:rPr>
                <w:rFonts w:hint="eastAsia" w:ascii="宋体" w:hAnsi="宋体" w:eastAsia="宋体" w:cs="宋体"/>
                <w:color w:val="auto"/>
                <w:sz w:val="21"/>
                <w:szCs w:val="21"/>
                <w:highlight w:val="none"/>
              </w:rPr>
              <w:t>一次性支付</w:t>
            </w:r>
            <w:r>
              <w:rPr>
                <w:rFonts w:hint="eastAsia" w:ascii="宋体" w:hAnsi="宋体" w:eastAsia="宋体" w:cs="宋体"/>
                <w:color w:val="auto"/>
                <w:sz w:val="21"/>
                <w:szCs w:val="21"/>
                <w:highlight w:val="none"/>
                <w:lang w:val="en-US" w:eastAsia="zh-CN"/>
              </w:rPr>
              <w:t>。</w:t>
            </w:r>
          </w:p>
        </w:tc>
      </w:tr>
      <w:tr w14:paraId="3593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4A232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667" w:type="dxa"/>
            <w:tcBorders>
              <w:top w:val="single" w:color="auto" w:sz="4" w:space="0"/>
              <w:left w:val="single" w:color="auto" w:sz="4" w:space="0"/>
              <w:bottom w:val="single" w:color="auto" w:sz="4" w:space="0"/>
              <w:right w:val="single" w:color="auto" w:sz="4" w:space="0"/>
            </w:tcBorders>
            <w:vAlign w:val="center"/>
          </w:tcPr>
          <w:p w14:paraId="4464A71F">
            <w:pPr>
              <w:autoSpaceDE w:val="0"/>
              <w:autoSpaceDN w:val="0"/>
              <w:adjustRightIn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230" w:type="dxa"/>
            <w:tcBorders>
              <w:top w:val="single" w:color="auto" w:sz="4" w:space="0"/>
              <w:left w:val="single" w:color="auto" w:sz="4" w:space="0"/>
              <w:bottom w:val="single" w:color="auto" w:sz="4" w:space="0"/>
              <w:right w:val="single" w:color="auto" w:sz="4" w:space="0"/>
            </w:tcBorders>
            <w:vAlign w:val="center"/>
          </w:tcPr>
          <w:p w14:paraId="3E2F8E0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本磋商文件解释权属于采购人和采购代理机构。</w:t>
            </w:r>
          </w:p>
        </w:tc>
      </w:tr>
    </w:tbl>
    <w:p w14:paraId="66B77756">
      <w:pPr>
        <w:pStyle w:val="21"/>
        <w:keepNext w:val="0"/>
        <w:keepLines w:val="0"/>
        <w:pageBreakBefore w:val="0"/>
        <w:kinsoku/>
        <w:wordWrap/>
        <w:overflowPunct/>
        <w:topLinePunct w:val="0"/>
        <w:bidi w:val="0"/>
        <w:snapToGrid w:val="0"/>
        <w:spacing w:line="380" w:lineRule="exact"/>
        <w:jc w:val="left"/>
        <w:textAlignment w:val="auto"/>
        <w:rPr>
          <w:rFonts w:hint="eastAsia" w:ascii="宋体" w:hAnsi="宋体" w:eastAsia="宋体" w:cs="宋体"/>
          <w:b/>
          <w:color w:val="auto"/>
          <w:sz w:val="21"/>
          <w:szCs w:val="21"/>
          <w:highlight w:val="none"/>
        </w:rPr>
      </w:pPr>
    </w:p>
    <w:p w14:paraId="46976F5C">
      <w:pPr>
        <w:pStyle w:val="21"/>
        <w:keepNext w:val="0"/>
        <w:keepLines w:val="0"/>
        <w:pageBreakBefore w:val="0"/>
        <w:kinsoku/>
        <w:wordWrap/>
        <w:overflowPunct/>
        <w:topLinePunct w:val="0"/>
        <w:bidi w:val="0"/>
        <w:snapToGrid w:val="0"/>
        <w:spacing w:line="38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14:paraId="3401ED68">
      <w:pPr>
        <w:pStyle w:val="21"/>
        <w:keepNext w:val="0"/>
        <w:keepLines w:val="0"/>
        <w:pageBreakBefore w:val="0"/>
        <w:kinsoku/>
        <w:wordWrap/>
        <w:overflowPunct/>
        <w:topLinePunct w:val="0"/>
        <w:bidi w:val="0"/>
        <w:snapToGrid w:val="0"/>
        <w:spacing w:line="380" w:lineRule="exact"/>
        <w:ind w:firstLine="316" w:firstLineChars="15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59ACA023">
      <w:pPr>
        <w:keepNext w:val="0"/>
        <w:keepLines w:val="0"/>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适用于</w:t>
      </w:r>
      <w:r>
        <w:rPr>
          <w:rFonts w:hint="eastAsia" w:ascii="宋体" w:hAnsi="宋体" w:eastAsia="宋体" w:cs="宋体"/>
          <w:bCs/>
          <w:color w:val="auto"/>
          <w:sz w:val="21"/>
          <w:szCs w:val="21"/>
          <w:highlight w:val="none"/>
        </w:rPr>
        <w:t>本次</w:t>
      </w:r>
      <w:r>
        <w:rPr>
          <w:rFonts w:hint="eastAsia" w:ascii="宋体" w:hAnsi="宋体" w:eastAsia="宋体" w:cs="宋体"/>
          <w:color w:val="auto"/>
          <w:sz w:val="21"/>
          <w:szCs w:val="21"/>
          <w:highlight w:val="none"/>
        </w:rPr>
        <w:t>项目的磋商、</w:t>
      </w:r>
      <w:r>
        <w:rPr>
          <w:rFonts w:hint="eastAsia" w:ascii="宋体" w:hAnsi="宋体" w:eastAsia="宋体" w:cs="宋体"/>
          <w:bCs/>
          <w:color w:val="auto"/>
          <w:sz w:val="21"/>
          <w:szCs w:val="21"/>
          <w:highlight w:val="none"/>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4FCDAB9B">
      <w:pPr>
        <w:keepNext w:val="0"/>
        <w:keepLines w:val="0"/>
        <w:pageBreakBefore w:val="0"/>
        <w:kinsoku/>
        <w:wordWrap/>
        <w:overflowPunct/>
        <w:topLinePunct w:val="0"/>
        <w:bidi w:val="0"/>
        <w:snapToGrid w:val="0"/>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（二）定义</w:t>
      </w:r>
    </w:p>
    <w:p w14:paraId="7E220FEE">
      <w:pPr>
        <w:keepNext w:val="0"/>
        <w:keepLines w:val="0"/>
        <w:pageBreakBefore w:val="0"/>
        <w:kinsoku/>
        <w:wordWrap/>
        <w:overflowPunct/>
        <w:topLinePunct w:val="0"/>
        <w:bidi w:val="0"/>
        <w:snapToGrid w:val="0"/>
        <w:spacing w:line="380" w:lineRule="exact"/>
        <w:ind w:firstLine="495" w:firstLineChars="23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1、“采购人”：是指委托采购代理机构采购本次项目的</w:t>
      </w:r>
      <w:r>
        <w:rPr>
          <w:rFonts w:hint="eastAsia" w:ascii="宋体" w:hAnsi="宋体" w:eastAsia="宋体" w:cs="宋体"/>
          <w:color w:val="auto"/>
          <w:sz w:val="21"/>
          <w:szCs w:val="21"/>
          <w:highlight w:val="none"/>
          <w:lang w:eastAsia="zh-CN"/>
        </w:rPr>
        <w:t>仙居县水利工程投资建设开发有限公司</w:t>
      </w:r>
      <w:r>
        <w:rPr>
          <w:rFonts w:hint="eastAsia" w:ascii="宋体" w:hAnsi="宋体" w:eastAsia="宋体" w:cs="宋体"/>
          <w:color w:val="auto"/>
          <w:sz w:val="21"/>
          <w:szCs w:val="21"/>
          <w:highlight w:val="none"/>
        </w:rPr>
        <w:t>。</w:t>
      </w:r>
    </w:p>
    <w:p w14:paraId="3B7F6389">
      <w:pPr>
        <w:keepNext w:val="0"/>
        <w:keepLines w:val="0"/>
        <w:pageBreakBefore w:val="0"/>
        <w:kinsoku/>
        <w:wordWrap/>
        <w:overflowPunct/>
        <w:topLinePunct w:val="0"/>
        <w:bidi w:val="0"/>
        <w:snapToGrid w:val="0"/>
        <w:spacing w:line="380" w:lineRule="exact"/>
        <w:ind w:firstLine="495" w:firstLineChars="23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2、“采购代理机构”：是</w:t>
      </w:r>
      <w:r>
        <w:rPr>
          <w:rFonts w:hint="eastAsia" w:ascii="宋体" w:hAnsi="宋体" w:eastAsia="宋体" w:cs="宋体"/>
          <w:color w:val="auto"/>
          <w:sz w:val="21"/>
          <w:szCs w:val="21"/>
          <w:highlight w:val="none"/>
          <w:lang w:val="zh-CN"/>
        </w:rPr>
        <w:t>指采购人委托组织磋商的仙居县鸿信工程咨询有限公司。</w:t>
      </w:r>
    </w:p>
    <w:p w14:paraId="0597C24D">
      <w:pPr>
        <w:keepNext w:val="0"/>
        <w:keepLines w:val="0"/>
        <w:pageBreakBefore w:val="0"/>
        <w:kinsoku/>
        <w:wordWrap/>
        <w:overflowPunct/>
        <w:topLinePunct w:val="0"/>
        <w:bidi w:val="0"/>
        <w:snapToGrid w:val="0"/>
        <w:spacing w:line="380" w:lineRule="exact"/>
        <w:ind w:left="424" w:leftChars="202" w:firstLine="123" w:firstLineChars="59"/>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3、“磋商供应商”：是指向采购人和采购代理机构提交磋商响应文件的单位。</w:t>
      </w:r>
    </w:p>
    <w:p w14:paraId="315E7371">
      <w:pPr>
        <w:keepNext w:val="0"/>
        <w:keepLines w:val="0"/>
        <w:pageBreakBefore w:val="0"/>
        <w:kinsoku/>
        <w:wordWrap/>
        <w:overflowPunct/>
        <w:topLinePunct w:val="0"/>
        <w:bidi w:val="0"/>
        <w:snapToGrid w:val="0"/>
        <w:spacing w:line="380" w:lineRule="exact"/>
        <w:ind w:left="424" w:leftChars="202" w:firstLine="143"/>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0B2A2858">
      <w:pPr>
        <w:keepNext w:val="0"/>
        <w:keepLines w:val="0"/>
        <w:pageBreakBefore w:val="0"/>
        <w:kinsoku/>
        <w:wordWrap/>
        <w:overflowPunct/>
        <w:topLinePunct w:val="0"/>
        <w:bidi w:val="0"/>
        <w:snapToGrid w:val="0"/>
        <w:spacing w:line="380" w:lineRule="exact"/>
        <w:ind w:firstLine="495" w:firstLineChars="236"/>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5、“服务”：是指除货物和工程以外的采购对象，包括各类专业服务、信息网络开发服务、金融保险服务、运输服务，以及维修与维护服务等。</w:t>
      </w:r>
    </w:p>
    <w:p w14:paraId="5D2D970E">
      <w:pPr>
        <w:keepNext w:val="0"/>
        <w:keepLines w:val="0"/>
        <w:pageBreakBefore w:val="0"/>
        <w:kinsoku/>
        <w:wordWrap/>
        <w:overflowPunct/>
        <w:topLinePunct w:val="0"/>
        <w:bidi w:val="0"/>
        <w:snapToGrid w:val="0"/>
        <w:spacing w:line="380" w:lineRule="exact"/>
        <w:ind w:firstLine="495" w:firstLineChars="2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6、“项目”：是指投标人按磋商文件规定向采购人提供的产品或服务。</w:t>
      </w:r>
    </w:p>
    <w:p w14:paraId="16881C8D">
      <w:pPr>
        <w:keepNext w:val="0"/>
        <w:keepLines w:val="0"/>
        <w:pageBreakBefore w:val="0"/>
        <w:kinsoku/>
        <w:wordWrap/>
        <w:overflowPunct/>
        <w:topLinePunct w:val="0"/>
        <w:bidi w:val="0"/>
        <w:snapToGrid w:val="0"/>
        <w:spacing w:line="380" w:lineRule="exact"/>
        <w:ind w:firstLine="495" w:firstLineChars="2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7、“书面形式”：包括电子文件、信函、传真等。</w:t>
      </w:r>
    </w:p>
    <w:p w14:paraId="38C8359C">
      <w:pPr>
        <w:keepNext w:val="0"/>
        <w:keepLines w:val="0"/>
        <w:pageBreakBefore w:val="0"/>
        <w:kinsoku/>
        <w:wordWrap/>
        <w:overflowPunct/>
        <w:topLinePunct w:val="0"/>
        <w:bidi w:val="0"/>
        <w:snapToGrid w:val="0"/>
        <w:spacing w:line="380" w:lineRule="exact"/>
        <w:ind w:firstLine="495" w:firstLineChars="236"/>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8、打“▲”的条款系指实质性要求条款。</w:t>
      </w:r>
    </w:p>
    <w:p w14:paraId="3CD34F1D">
      <w:pPr>
        <w:keepNext w:val="0"/>
        <w:keepLines w:val="0"/>
        <w:pageBreakBefore w:val="0"/>
        <w:kinsoku/>
        <w:wordWrap/>
        <w:overflowPunct/>
        <w:topLinePunct w:val="0"/>
        <w:bidi w:val="0"/>
        <w:snapToGrid w:val="0"/>
        <w:spacing w:line="380" w:lineRule="exact"/>
        <w:ind w:firstLine="413" w:firstLineChars="196"/>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（三）磋商费用</w:t>
      </w:r>
    </w:p>
    <w:p w14:paraId="7BD5A4A6">
      <w:pPr>
        <w:keepNext w:val="0"/>
        <w:keepLines w:val="0"/>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1、不论磋商结果如何，供应商均应自行承担所有与磋商有关的全部费用（</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有相关规定除外）。</w:t>
      </w:r>
    </w:p>
    <w:p w14:paraId="1BB86AA2">
      <w:pPr>
        <w:keepNext w:val="0"/>
        <w:keepLines w:val="0"/>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2、本项目招标代理服务费由中标单位承担，具体收费标准见前附表。</w:t>
      </w:r>
    </w:p>
    <w:p w14:paraId="42831321">
      <w:pPr>
        <w:pStyle w:val="21"/>
        <w:keepNext w:val="0"/>
        <w:keepLines w:val="0"/>
        <w:pageBreakBefore w:val="0"/>
        <w:kinsoku/>
        <w:wordWrap/>
        <w:overflowPunct/>
        <w:topLinePunct w:val="0"/>
        <w:bidi w:val="0"/>
        <w:snapToGrid w:val="0"/>
        <w:spacing w:line="380" w:lineRule="exact"/>
        <w:ind w:left="2" w:leftChars="1"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（四）联合体投标</w:t>
      </w:r>
    </w:p>
    <w:p w14:paraId="039F991A">
      <w:pPr>
        <w:pStyle w:val="21"/>
        <w:keepNext w:val="0"/>
        <w:keepLines w:val="0"/>
        <w:pageBreakBefore w:val="0"/>
        <w:kinsoku/>
        <w:wordWrap/>
        <w:overflowPunct/>
        <w:topLinePunct w:val="0"/>
        <w:bidi w:val="0"/>
        <w:snapToGrid w:val="0"/>
        <w:spacing w:line="380" w:lineRule="exact"/>
        <w:ind w:left="2" w:leftChars="1"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本项目不接受联合体投标。</w:t>
      </w:r>
    </w:p>
    <w:p w14:paraId="285E0603">
      <w:pPr>
        <w:pStyle w:val="21"/>
        <w:keepNext w:val="0"/>
        <w:keepLines w:val="0"/>
        <w:pageBreakBefore w:val="0"/>
        <w:kinsoku/>
        <w:wordWrap/>
        <w:overflowPunct/>
        <w:topLinePunct w:val="0"/>
        <w:bidi w:val="0"/>
        <w:snapToGrid w:val="0"/>
        <w:spacing w:line="380" w:lineRule="exact"/>
        <w:ind w:left="2" w:leftChars="1"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（五）特别说明</w:t>
      </w:r>
    </w:p>
    <w:p w14:paraId="4F187153">
      <w:pPr>
        <w:pStyle w:val="21"/>
        <w:keepNext w:val="0"/>
        <w:keepLines w:val="0"/>
        <w:pageBreakBefore w:val="0"/>
        <w:kinsoku/>
        <w:wordWrap/>
        <w:overflowPunct/>
        <w:topLinePunct w:val="0"/>
        <w:bidi w:val="0"/>
        <w:snapToGrid w:val="0"/>
        <w:spacing w:line="38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1、供应商磋商所使用的资格、信誉、荣誉、业绩与企业认证必须为本法人所拥有。供应商磋商所使用的采购项目实施人员必须为本法人员工（指必须为本法人或控股公司正式员工）。</w:t>
      </w:r>
    </w:p>
    <w:p w14:paraId="14E24A7E">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活动中提供任何虚假材料,其投标无效，并报监管部门查处；中标后发现的，参照《中华人民共和国政府采购法》第七十七条第一款第一项之规定，处以采购金额千分之五以上千分之十以下的罚款，列入仙居国企招标的不良行为记录名单，在一至三年内禁止参加采购活动，有违法所得的，并处没收违法所得，情节严重的，由工商行政管理机关吊销营业执照；构成犯罪的，依法追究刑事责任。</w:t>
      </w:r>
    </w:p>
    <w:p w14:paraId="21D487B0">
      <w:pPr>
        <w:pStyle w:val="108"/>
        <w:keepNext w:val="0"/>
        <w:keepLines w:val="0"/>
        <w:pageBreakBefore w:val="0"/>
        <w:kinsoku/>
        <w:wordWrap/>
        <w:overflowPunct/>
        <w:topLinePunct w:val="0"/>
        <w:bidi w:val="0"/>
        <w:snapToGrid w:val="0"/>
        <w:spacing w:line="38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、供应商不得相互串通磋商报价，不得妨碍其他供应商的公平竞争，不得损害采购人或其他供应商的合法权益，供应商不得以向采购人、磋商小组成员行贿或者采取其他不正当手段谋取成交。</w:t>
      </w:r>
    </w:p>
    <w:p w14:paraId="54DFC330">
      <w:pPr>
        <w:pStyle w:val="108"/>
        <w:keepNext w:val="0"/>
        <w:keepLines w:val="0"/>
        <w:pageBreakBefore w:val="0"/>
        <w:kinsoku/>
        <w:wordWrap/>
        <w:overflowPunct/>
        <w:topLinePunct w:val="0"/>
        <w:bidi w:val="0"/>
        <w:snapToGrid w:val="0"/>
        <w:spacing w:line="38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、为采购项目提供整体设计、规范编制或者项目管理、监理、检测等服务的供应商，不得再参加该采购项目的其他采购活动。</w:t>
      </w:r>
    </w:p>
    <w:p w14:paraId="7146B86E">
      <w:pPr>
        <w:pStyle w:val="108"/>
        <w:keepNext w:val="0"/>
        <w:keepLines w:val="0"/>
        <w:pageBreakBefore w:val="0"/>
        <w:kinsoku/>
        <w:wordWrap/>
        <w:overflowPunct/>
        <w:topLinePunct w:val="0"/>
        <w:bidi w:val="0"/>
        <w:snapToGrid w:val="0"/>
        <w:spacing w:line="38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、磋商响应文件格式中的表格式样可以根据项目差别做适当调整,但应当保持表格样式基本形态不变。</w:t>
      </w:r>
    </w:p>
    <w:p w14:paraId="0D910733">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、单位负责人为同一人或者存在直接控股、管理关系的不同供应商，不得参加同一合同项下的采购活动。</w:t>
      </w:r>
    </w:p>
    <w:p w14:paraId="38B8DBAB">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、本项目不允许分包或转包。</w:t>
      </w:r>
    </w:p>
    <w:p w14:paraId="738F3829">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Cs w:val="0"/>
          <w:color w:val="auto"/>
          <w:sz w:val="21"/>
          <w:szCs w:val="21"/>
          <w:highlight w:val="none"/>
        </w:rPr>
        <w:t>投标人信用信息查询渠道及截止时点、信用信息查询记录和证据留存的具体方式、信用信息的使用规则：</w:t>
      </w:r>
    </w:p>
    <w:p w14:paraId="69D32270">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①查询渠道：“信用中国”（www.creditchina.gov.cn）、中国政府采购网（www.ccgp.gov.cn）。</w:t>
      </w:r>
    </w:p>
    <w:p w14:paraId="23D3901A">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②截止时间：开标后评标前。</w:t>
      </w:r>
    </w:p>
    <w:p w14:paraId="1575D091">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③信用信息查询记录和证据留存的具体方式：将在规定查询时间内打印信用信息查询记录及相关证据，并将与其他采购文件一并保存。</w:t>
      </w:r>
    </w:p>
    <w:p w14:paraId="6B8A9C7E">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④使用规则：对列入失信被执行人、重大税收违法案件当事人名单、政府采购严重违法失信行为记录名单的供应商，拒绝其参与采购活动。</w:t>
      </w:r>
    </w:p>
    <w:p w14:paraId="1C274C1E">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w:t>
      </w:r>
      <w:r>
        <w:rPr>
          <w:rFonts w:hint="eastAsia" w:ascii="宋体" w:hAnsi="宋体" w:eastAsia="宋体" w:cs="宋体"/>
          <w:b w:val="0"/>
          <w:bCs w:val="0"/>
          <w:color w:val="auto"/>
          <w:sz w:val="21"/>
          <w:szCs w:val="21"/>
          <w:highlight w:val="none"/>
        </w:rPr>
        <w:t>质疑与投诉</w:t>
      </w:r>
    </w:p>
    <w:p w14:paraId="74FF72B2">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认为采购文件、采购过程、中标或者成交结果使自己的权益受到损害的，可以在知道或者应知其权益受到损害之日起7个工作日内，以书面形式向采购人、采购代理机构提出质疑。投标人对招标采购单位的质疑答复不满意或者招标采购单位未在规定时间内作出答复的，可以在答复期满后15个工作日内向监管部门投诉。供应商应在法定质疑期内一次性提出针对同一采购程序环节的质疑。</w:t>
      </w:r>
    </w:p>
    <w:p w14:paraId="3AFFB52A">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（2）质疑书、投诉书均应明确阐述磋商文件、招标过程和中标结果中使自己合法权益受到损害的实质性内容，提供相关事实、依据和证据及其来源或线索，便于有关单位调查、答复和处理。</w:t>
      </w:r>
    </w:p>
    <w:p w14:paraId="3C01FBE8">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80" w:lineRule="exact"/>
        <w:ind w:right="1800" w:firstLine="211" w:firstLineChars="1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二、磋商文件</w:t>
      </w:r>
    </w:p>
    <w:p w14:paraId="460FF33E">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（一）磋商文件由目录所列内容组成。</w:t>
      </w:r>
    </w:p>
    <w:p w14:paraId="09A0A1F1">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（二）磋商文件的澄清或修改</w:t>
      </w:r>
    </w:p>
    <w:p w14:paraId="5CAE8A40">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采购组织机构可视采购具体情况对已发出的磋商文件进行必要的澄清或者修改。澄清或者修改的内容可能影响磋商响应文件编制的，采购人或者采购组织机构应当在提交首次响应文件截止之日3个工作日前，在原公告发布媒体上发布澄清公告，澄清或者修改的内容为磋商文件的组成部分；不足3个工作日的，采购人或者采购组织机构应当顺延提交响应文件的截止时间。</w:t>
      </w:r>
    </w:p>
    <w:p w14:paraId="6A6A20C8">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2、当磋商文件与磋商文件的澄清、修改、补充等在同一内容的表述上不一致时，以最后发出的书面文件为准。</w:t>
      </w:r>
    </w:p>
    <w:p w14:paraId="3ACA85CD">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3、投标人在规定的时间内未对磋商文件提出疑问、质疑或要求澄清的，将视其为无异议。对磋商文件中描述有歧义或前后不一致的地方，评标委员会有权进行评判，但对同一条款的评判应适用于每个投标人。</w:t>
      </w:r>
    </w:p>
    <w:p w14:paraId="696FB0C0">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80" w:lineRule="exact"/>
        <w:ind w:right="1800" w:firstLine="310" w:firstLineChars="147"/>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三、磋商响应文件</w:t>
      </w:r>
    </w:p>
    <w:p w14:paraId="3D55320F">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80" w:lineRule="exact"/>
        <w:ind w:right="1800" w:firstLine="310" w:firstLineChars="147"/>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w:t>
      </w:r>
      <w:r>
        <w:rPr>
          <w:rFonts w:hint="eastAsia" w:ascii="宋体" w:hAnsi="宋体" w:eastAsia="宋体" w:cs="宋体"/>
          <w:b/>
          <w:bCs/>
          <w:color w:val="auto"/>
          <w:kern w:val="0"/>
          <w:sz w:val="21"/>
          <w:szCs w:val="21"/>
          <w:highlight w:val="none"/>
        </w:rPr>
        <w:t>投标文件的形式</w:t>
      </w:r>
      <w:r>
        <w:rPr>
          <w:rFonts w:hint="eastAsia" w:ascii="宋体" w:hAnsi="宋体" w:eastAsia="宋体" w:cs="宋体"/>
          <w:b/>
          <w:color w:val="auto"/>
          <w:sz w:val="21"/>
          <w:szCs w:val="21"/>
          <w:highlight w:val="none"/>
        </w:rPr>
        <w:t>和使用规则</w:t>
      </w:r>
    </w:p>
    <w:p w14:paraId="25976794">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、本项目实行电子招投标，各供应商应按照本项目磋商文件和乐采云平台的相关要求编制、加密并提交磋商响应文件，即电子加密标书（在“乐采云平台”上传提交）。</w:t>
      </w:r>
    </w:p>
    <w:p w14:paraId="600C1326">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2、为保证项目顺利开展，建议各供应商同时制作并在投标截止时间前递交电子备份标书（后缀名为“.bfbs”），投标人自行确定是否提交。若提交请在提交磋商响应文件截止时间前将电子备份标书打包压缩加密（未加密造成泄密的由投标人自行承担）后以电子邮件的形式发送至109678775@qq.com。电子备份标书在“电子加密标书”发生解密异常时使用，否则不予启用。</w:t>
      </w:r>
    </w:p>
    <w:p w14:paraId="3F2F4A95">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rPr>
        <w:t>各供应商须在乐采云平台线上完成解密电子加密标书，若有供应商发生解密异常时，可以申请由采购代理机构使用电子备份标书上传处理，供应商递交的电子加密标书和电子备份标书解密均失败或逾期解密的，响应文件将作无效标处理。</w:t>
      </w:r>
    </w:p>
    <w:p w14:paraId="76C7849E">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80" w:lineRule="exact"/>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若供应商未在投标截止时间前在电子交易系统中完成电子加密标书上传的，其电子备份标书也将无效。在下一顺位的磋商响应文件启用时，前一顺位的磋商响应文件自动失效。</w:t>
      </w:r>
    </w:p>
    <w:p w14:paraId="5AA90DAC">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80" w:lineRule="exact"/>
        <w:ind w:right="1800" w:firstLine="310" w:firstLineChars="147"/>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（二）磋商响应文件的组成</w:t>
      </w:r>
    </w:p>
    <w:p w14:paraId="6C04CAA8">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供应商应仔细阅读磋商采购文件的所有内容，按磋商文件的要求，详细编制磋商响应文件</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磋商响应文件应由资格证明文件、商务与技术文件、报价文件三</w:t>
      </w:r>
      <w:r>
        <w:rPr>
          <w:rFonts w:hint="eastAsia" w:ascii="宋体" w:hAnsi="宋体" w:eastAsia="宋体" w:cs="宋体"/>
          <w:color w:val="auto"/>
          <w:szCs w:val="21"/>
          <w:highlight w:val="none"/>
        </w:rPr>
        <w:t>部分组成。</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u w:val="single"/>
          <w:lang w:val="zh-CN"/>
        </w:rPr>
        <w:t>特别提示：①</w:t>
      </w:r>
      <w:r>
        <w:rPr>
          <w:rFonts w:hint="eastAsia" w:ascii="宋体" w:hAnsi="宋体" w:eastAsia="宋体" w:cs="宋体"/>
          <w:b/>
          <w:color w:val="auto"/>
          <w:kern w:val="0"/>
          <w:sz w:val="21"/>
          <w:szCs w:val="21"/>
          <w:highlight w:val="none"/>
          <w:u w:val="single"/>
          <w:lang w:val="zh-CN"/>
        </w:rPr>
        <w:t>磋商响应文件中</w:t>
      </w:r>
      <w:r>
        <w:rPr>
          <w:rFonts w:hint="eastAsia" w:ascii="宋体" w:hAnsi="宋体" w:eastAsia="宋体" w:cs="宋体"/>
          <w:b/>
          <w:color w:val="auto"/>
          <w:kern w:val="0"/>
          <w:szCs w:val="21"/>
          <w:highlight w:val="none"/>
          <w:u w:val="single"/>
          <w:lang w:val="zh-CN"/>
        </w:rPr>
        <w:t>所有证书证件等证明材料</w:t>
      </w:r>
      <w:r>
        <w:rPr>
          <w:rFonts w:hint="eastAsia" w:ascii="宋体" w:hAnsi="宋体" w:eastAsia="宋体" w:cs="宋体"/>
          <w:b/>
          <w:color w:val="auto"/>
          <w:kern w:val="0"/>
          <w:sz w:val="21"/>
          <w:szCs w:val="21"/>
          <w:highlight w:val="none"/>
          <w:u w:val="single"/>
          <w:lang w:val="zh-CN"/>
        </w:rPr>
        <w:t>影印件或扫描件均应加盖单位公章，否则可能影响评分</w:t>
      </w:r>
      <w:r>
        <w:rPr>
          <w:rFonts w:hint="eastAsia" w:ascii="宋体" w:hAnsi="宋体" w:eastAsia="宋体" w:cs="宋体"/>
          <w:color w:val="auto"/>
          <w:kern w:val="0"/>
          <w:szCs w:val="21"/>
          <w:highlight w:val="none"/>
          <w:lang w:val="zh-CN"/>
        </w:rPr>
        <w:t>】</w:t>
      </w:r>
    </w:p>
    <w:p w14:paraId="48FDB56E">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▲1、资格证明文件的组成：</w:t>
      </w:r>
    </w:p>
    <w:p w14:paraId="0D89730A">
      <w:pPr>
        <w:keepNext w:val="0"/>
        <w:keepLines w:val="0"/>
        <w:pageBreakBefore w:val="0"/>
        <w:widowControl/>
        <w:kinsoku/>
        <w:wordWrap/>
        <w:overflowPunct/>
        <w:topLinePunct w:val="0"/>
        <w:bidi w:val="0"/>
        <w:spacing w:line="380" w:lineRule="exact"/>
        <w:ind w:right="60"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（1）磋商声明书（格式见附件）；</w:t>
      </w:r>
    </w:p>
    <w:p w14:paraId="68E36331">
      <w:pPr>
        <w:keepNext w:val="0"/>
        <w:keepLines w:val="0"/>
        <w:pageBreakBefore w:val="0"/>
        <w:widowControl/>
        <w:kinsoku/>
        <w:wordWrap/>
        <w:overflowPunct/>
        <w:topLinePunct w:val="0"/>
        <w:bidi w:val="0"/>
        <w:spacing w:line="380" w:lineRule="exact"/>
        <w:ind w:right="60"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（2）法定代表人资格证明书或法定代表人授权委托书（格式见附件，如法定代表人亲自办理投标事宜的，则提供法定代表人资格证明书；如委托代理人办理的则提供授权委托书）；</w:t>
      </w:r>
    </w:p>
    <w:p w14:paraId="1A1BF2FC">
      <w:pPr>
        <w:keepNext w:val="0"/>
        <w:keepLines w:val="0"/>
        <w:pageBreakBefore w:val="0"/>
        <w:widowControl/>
        <w:kinsoku/>
        <w:wordWrap/>
        <w:overflowPunct/>
        <w:topLinePunct w:val="0"/>
        <w:bidi w:val="0"/>
        <w:spacing w:line="380" w:lineRule="exact"/>
        <w:ind w:right="60"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（3）投标人具备履行合同所必需的设备和专业技术能力的承诺书（格式见附件）；</w:t>
      </w:r>
    </w:p>
    <w:p w14:paraId="6CDA14E9">
      <w:pPr>
        <w:keepNext w:val="0"/>
        <w:keepLines w:val="0"/>
        <w:pageBreakBefore w:val="0"/>
        <w:widowControl/>
        <w:kinsoku/>
        <w:wordWrap/>
        <w:overflowPunct/>
        <w:topLinePunct w:val="0"/>
        <w:bidi w:val="0"/>
        <w:spacing w:line="380" w:lineRule="exact"/>
        <w:ind w:right="60"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（4）投标人具备健全的财务会计制度的承诺函（格式见附件）；</w:t>
      </w:r>
    </w:p>
    <w:p w14:paraId="2854EBB1">
      <w:pPr>
        <w:keepNext w:val="0"/>
        <w:keepLines w:val="0"/>
        <w:pageBreakBefore w:val="0"/>
        <w:widowControl/>
        <w:kinsoku/>
        <w:wordWrap/>
        <w:overflowPunct/>
        <w:topLinePunct w:val="0"/>
        <w:bidi w:val="0"/>
        <w:spacing w:line="380" w:lineRule="exact"/>
        <w:ind w:right="60" w:firstLine="420" w:firstLineChars="200"/>
        <w:jc w:val="left"/>
        <w:textAlignment w:val="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（5）投标人无税收缴纳、社会保障等方面的失信记录的承诺（格式见附件）；</w:t>
      </w:r>
    </w:p>
    <w:p w14:paraId="70448153">
      <w:pPr>
        <w:keepNext w:val="0"/>
        <w:keepLines w:val="0"/>
        <w:pageBreakBefore w:val="0"/>
        <w:kinsoku/>
        <w:wordWrap/>
        <w:overflowPunct/>
        <w:topLinePunct w:val="0"/>
        <w:autoSpaceDE w:val="0"/>
        <w:autoSpaceDN w:val="0"/>
        <w:bidi w:val="0"/>
        <w:adjustRightInd w:val="0"/>
        <w:snapToGrid w:val="0"/>
        <w:spacing w:line="38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（6）投标人营业执照复印件；</w:t>
      </w:r>
      <w:r>
        <w:rPr>
          <w:rFonts w:hint="eastAsia" w:ascii="宋体" w:hAnsi="宋体" w:eastAsia="宋体" w:cs="宋体"/>
          <w:color w:val="auto"/>
          <w:szCs w:val="21"/>
          <w:highlight w:val="none"/>
          <w:lang w:val="zh-CN"/>
        </w:rPr>
        <w:t>如事业单位参加磋商的，则提供有效的《事业单位法人证书》复印件；</w:t>
      </w:r>
    </w:p>
    <w:p w14:paraId="6B71CC1C">
      <w:pPr>
        <w:keepNext w:val="0"/>
        <w:keepLines w:val="0"/>
        <w:pageBreakBefore w:val="0"/>
        <w:kinsoku/>
        <w:wordWrap/>
        <w:overflowPunct/>
        <w:topLinePunct w:val="0"/>
        <w:autoSpaceDE w:val="0"/>
        <w:autoSpaceDN w:val="0"/>
        <w:bidi w:val="0"/>
        <w:adjustRightInd w:val="0"/>
        <w:snapToGrid w:val="0"/>
        <w:spacing w:line="38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投标人有效的资质证书、浙江省省外企业须具有有效的《省外企业进浙承接业务备案证明》复印件或提供浙江省建筑市场监管公共服务系统已完成办理的公示信息网站截图证明；以及需要说明的其他资料；</w:t>
      </w:r>
    </w:p>
    <w:p w14:paraId="2405385E">
      <w:pPr>
        <w:keepNext w:val="0"/>
        <w:keepLines w:val="0"/>
        <w:pageBreakBefore w:val="0"/>
        <w:widowControl/>
        <w:kinsoku/>
        <w:wordWrap/>
        <w:overflowPunct/>
        <w:topLinePunct w:val="0"/>
        <w:bidi w:val="0"/>
        <w:spacing w:line="380" w:lineRule="exact"/>
        <w:ind w:right="60" w:firstLine="420" w:firstLineChars="200"/>
        <w:jc w:val="left"/>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）投标保证金缴纳凭证影印件或扫描件</w:t>
      </w:r>
      <w:r>
        <w:rPr>
          <w:rFonts w:hint="eastAsia" w:ascii="宋体" w:hAnsi="宋体" w:eastAsia="宋体" w:cs="宋体"/>
          <w:color w:val="auto"/>
          <w:sz w:val="21"/>
          <w:szCs w:val="21"/>
          <w:highlight w:val="none"/>
          <w:lang w:val="en-US" w:eastAsia="zh-CN"/>
        </w:rPr>
        <w:t>或复印件</w:t>
      </w:r>
      <w:r>
        <w:rPr>
          <w:rFonts w:hint="eastAsia" w:ascii="宋体" w:hAnsi="宋体" w:eastAsia="宋体" w:cs="宋体"/>
          <w:color w:val="auto"/>
          <w:sz w:val="21"/>
          <w:szCs w:val="21"/>
          <w:highlight w:val="none"/>
        </w:rPr>
        <w:t>（加盖单位公章）</w:t>
      </w:r>
      <w:r>
        <w:rPr>
          <w:rFonts w:hint="eastAsia" w:ascii="宋体" w:hAnsi="宋体" w:cs="宋体"/>
          <w:color w:val="auto"/>
          <w:sz w:val="21"/>
          <w:szCs w:val="21"/>
          <w:highlight w:val="none"/>
          <w:lang w:val="en-US" w:eastAsia="zh-CN"/>
        </w:rPr>
        <w:t>。</w:t>
      </w:r>
    </w:p>
    <w:p w14:paraId="11C13668">
      <w:pPr>
        <w:keepNext w:val="0"/>
        <w:keepLines w:val="0"/>
        <w:pageBreakBefore w:val="0"/>
        <w:kinsoku/>
        <w:wordWrap/>
        <w:overflowPunct/>
        <w:topLinePunct w:val="0"/>
        <w:bidi w:val="0"/>
        <w:snapToGrid w:val="0"/>
        <w:spacing w:line="380" w:lineRule="exact"/>
        <w:ind w:firstLine="624" w:firstLineChars="296"/>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上述资格证明文件是磋商小组对供应商资格进行合格性审查的评审依据，供应商应上传上述资料。未按要求出具上述证明材料或出具的证明材料不完整的，资格性审查均不予通过。</w:t>
      </w:r>
    </w:p>
    <w:p w14:paraId="3A8B624D">
      <w:pPr>
        <w:keepNext w:val="0"/>
        <w:keepLines w:val="0"/>
        <w:pageBreakBefore w:val="0"/>
        <w:kinsoku/>
        <w:wordWrap/>
        <w:overflowPunct/>
        <w:topLinePunct w:val="0"/>
        <w:bidi w:val="0"/>
        <w:snapToGrid w:val="0"/>
        <w:spacing w:line="380" w:lineRule="exact"/>
        <w:ind w:firstLine="624" w:firstLineChars="2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2、商务与技术文件的组成：</w:t>
      </w:r>
    </w:p>
    <w:p w14:paraId="703BFC2F">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专家评分索引表（格式见附件）；</w:t>
      </w:r>
    </w:p>
    <w:p w14:paraId="6117207D">
      <w:pPr>
        <w:keepNext w:val="0"/>
        <w:keepLines w:val="0"/>
        <w:pageBreakBefore w:val="0"/>
        <w:kinsoku/>
        <w:wordWrap/>
        <w:overflowPunct/>
        <w:topLinePunct w:val="0"/>
        <w:bidi w:val="0"/>
        <w:snapToGrid w:val="0"/>
        <w:spacing w:line="380" w:lineRule="exact"/>
        <w:ind w:firstLine="210" w:firstLineChars="100"/>
        <w:textAlignment w:val="auto"/>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cs="宋体"/>
          <w:color w:val="auto"/>
          <w:sz w:val="21"/>
          <w:szCs w:val="21"/>
          <w:highlight w:val="none"/>
        </w:rPr>
        <w:t>商务响应承诺函</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格式</w:t>
      </w:r>
      <w:r>
        <w:rPr>
          <w:rFonts w:hint="eastAsia" w:ascii="宋体" w:hAnsi="宋体" w:eastAsia="宋体" w:cs="宋体"/>
          <w:color w:val="auto"/>
          <w:szCs w:val="21"/>
          <w:highlight w:val="none"/>
          <w:lang w:val="zh-CN"/>
        </w:rPr>
        <w:t>见附件）</w:t>
      </w:r>
      <w:r>
        <w:rPr>
          <w:rFonts w:hint="eastAsia" w:ascii="宋体" w:hAnsi="宋体" w:eastAsia="宋体" w:cs="宋体"/>
          <w:color w:val="auto"/>
          <w:szCs w:val="21"/>
          <w:highlight w:val="none"/>
        </w:rPr>
        <w:t>；</w:t>
      </w:r>
    </w:p>
    <w:p w14:paraId="09661F7A">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）类似项目实施情况一览表（</w:t>
      </w:r>
      <w:r>
        <w:rPr>
          <w:rFonts w:hint="eastAsia" w:ascii="宋体" w:hAnsi="宋体" w:eastAsia="宋体" w:cs="宋体"/>
          <w:color w:val="auto"/>
          <w:szCs w:val="21"/>
          <w:highlight w:val="none"/>
        </w:rPr>
        <w:t>格式</w:t>
      </w:r>
      <w:r>
        <w:rPr>
          <w:rFonts w:hint="eastAsia" w:ascii="宋体" w:hAnsi="宋体" w:eastAsia="宋体" w:cs="宋体"/>
          <w:color w:val="auto"/>
          <w:szCs w:val="21"/>
          <w:highlight w:val="none"/>
          <w:lang w:val="zh-CN"/>
        </w:rPr>
        <w:t>见附件）；</w:t>
      </w:r>
    </w:p>
    <w:p w14:paraId="56DCD715">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）总监理工程师简历表（</w:t>
      </w:r>
      <w:r>
        <w:rPr>
          <w:rFonts w:hint="eastAsia" w:ascii="宋体" w:hAnsi="宋体" w:eastAsia="宋体" w:cs="宋体"/>
          <w:color w:val="auto"/>
          <w:szCs w:val="21"/>
          <w:highlight w:val="none"/>
        </w:rPr>
        <w:t>格式</w:t>
      </w:r>
      <w:r>
        <w:rPr>
          <w:rFonts w:hint="eastAsia" w:ascii="宋体" w:hAnsi="宋体" w:eastAsia="宋体" w:cs="宋体"/>
          <w:color w:val="auto"/>
          <w:szCs w:val="21"/>
          <w:highlight w:val="none"/>
          <w:lang w:val="zh-CN"/>
        </w:rPr>
        <w:t>见附件）；</w:t>
      </w:r>
    </w:p>
    <w:p w14:paraId="7FC39C6D">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）项目管理机构</w:t>
      </w:r>
      <w:r>
        <w:rPr>
          <w:rFonts w:hint="eastAsia" w:ascii="宋体" w:hAnsi="宋体" w:eastAsia="宋体" w:cs="宋体"/>
          <w:color w:val="auto"/>
          <w:szCs w:val="21"/>
          <w:highlight w:val="none"/>
          <w:lang w:val="en-US" w:eastAsia="zh-CN"/>
        </w:rPr>
        <w:t>人员</w:t>
      </w:r>
      <w:r>
        <w:rPr>
          <w:rFonts w:hint="eastAsia" w:ascii="宋体" w:hAnsi="宋体" w:eastAsia="宋体" w:cs="宋体"/>
          <w:color w:val="auto"/>
          <w:szCs w:val="21"/>
          <w:highlight w:val="none"/>
          <w:lang w:val="zh-CN"/>
        </w:rPr>
        <w:t>配备情况表（</w:t>
      </w:r>
      <w:r>
        <w:rPr>
          <w:rFonts w:hint="eastAsia" w:ascii="宋体" w:hAnsi="宋体" w:eastAsia="宋体" w:cs="宋体"/>
          <w:color w:val="auto"/>
          <w:szCs w:val="21"/>
          <w:highlight w:val="none"/>
        </w:rPr>
        <w:t>格式</w:t>
      </w:r>
      <w:r>
        <w:rPr>
          <w:rFonts w:hint="eastAsia" w:ascii="宋体" w:hAnsi="宋体" w:eastAsia="宋体" w:cs="宋体"/>
          <w:color w:val="auto"/>
          <w:szCs w:val="21"/>
          <w:highlight w:val="none"/>
          <w:lang w:val="zh-CN"/>
        </w:rPr>
        <w:t>见附件）；</w:t>
      </w:r>
    </w:p>
    <w:p w14:paraId="00B390AF">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拟投入的主要施工设备</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格式</w:t>
      </w:r>
      <w:r>
        <w:rPr>
          <w:rFonts w:hint="eastAsia" w:ascii="宋体" w:hAnsi="宋体" w:eastAsia="宋体" w:cs="宋体"/>
          <w:color w:val="auto"/>
          <w:szCs w:val="21"/>
          <w:highlight w:val="none"/>
          <w:lang w:val="zh-CN"/>
        </w:rPr>
        <w:t>见附件）；</w:t>
      </w:r>
    </w:p>
    <w:p w14:paraId="1D57ABD1">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供应商认为需要提供的其他资料（包括可能影响供应商商务资信技术文件评分的各类证明材料）。</w:t>
      </w:r>
    </w:p>
    <w:p w14:paraId="26A0AD8B">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zh-CN"/>
        </w:rPr>
        <w:t>注：①建议商务与技术文件的页数（封面、封底、目录除外）不得超过1</w:t>
      </w:r>
      <w:r>
        <w:rPr>
          <w:rFonts w:hint="eastAsia" w:ascii="宋体" w:hAnsi="宋体" w:eastAsia="宋体" w:cs="宋体"/>
          <w:b/>
          <w:color w:val="auto"/>
          <w:szCs w:val="21"/>
          <w:highlight w:val="none"/>
        </w:rPr>
        <w:t>0</w:t>
      </w:r>
      <w:r>
        <w:rPr>
          <w:rFonts w:hint="eastAsia" w:ascii="宋体" w:hAnsi="宋体" w:eastAsia="宋体" w:cs="宋体"/>
          <w:b/>
          <w:color w:val="auto"/>
          <w:szCs w:val="21"/>
          <w:highlight w:val="none"/>
          <w:lang w:val="zh-CN"/>
        </w:rPr>
        <w:t>0页；②建议商务与技术文件正文字体为四号宋体，行距为1.5倍）</w:t>
      </w:r>
      <w:r>
        <w:rPr>
          <w:rFonts w:hint="eastAsia" w:ascii="宋体" w:hAnsi="宋体" w:eastAsia="宋体" w:cs="宋体"/>
          <w:b/>
          <w:bCs/>
          <w:color w:val="auto"/>
          <w:sz w:val="21"/>
          <w:szCs w:val="21"/>
          <w:highlight w:val="none"/>
        </w:rPr>
        <w:t>。</w:t>
      </w:r>
    </w:p>
    <w:p w14:paraId="1BAE4CF4">
      <w:pPr>
        <w:keepNext w:val="0"/>
        <w:keepLines w:val="0"/>
        <w:pageBreakBefore w:val="0"/>
        <w:kinsoku/>
        <w:wordWrap/>
        <w:overflowPunct/>
        <w:topLinePunct w:val="0"/>
        <w:autoSpaceDE w:val="0"/>
        <w:autoSpaceDN w:val="0"/>
        <w:bidi w:val="0"/>
        <w:adjustRightInd w:val="0"/>
        <w:spacing w:line="380" w:lineRule="exact"/>
        <w:ind w:left="426" w:firstLine="266" w:firstLineChars="12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3、报价文件的组成：</w:t>
      </w:r>
    </w:p>
    <w:p w14:paraId="56B20B53">
      <w:pPr>
        <w:keepNext w:val="0"/>
        <w:keepLines w:val="0"/>
        <w:pageBreakBefore w:val="0"/>
        <w:kinsoku/>
        <w:wordWrap/>
        <w:overflowPunct/>
        <w:topLinePunct w:val="0"/>
        <w:autoSpaceDE w:val="0"/>
        <w:autoSpaceDN w:val="0"/>
        <w:bidi w:val="0"/>
        <w:adjustRightInd w:val="0"/>
        <w:spacing w:line="380" w:lineRule="exact"/>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▲（1）首次报价一览表（格式见附件）；</w:t>
      </w:r>
    </w:p>
    <w:p w14:paraId="43BD41C5">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（2）投标人针对报价需要说明的其他文件和说明（如有，格式自拟）。</w:t>
      </w:r>
    </w:p>
    <w:p w14:paraId="37CBF74F">
      <w:pPr>
        <w:keepNext w:val="0"/>
        <w:keepLines w:val="0"/>
        <w:pageBreakBefore w:val="0"/>
        <w:kinsoku/>
        <w:wordWrap/>
        <w:overflowPunct/>
        <w:topLinePunct w:val="0"/>
        <w:autoSpaceDE w:val="0"/>
        <w:autoSpaceDN w:val="0"/>
        <w:bidi w:val="0"/>
        <w:adjustRightInd w:val="0"/>
        <w:spacing w:line="380" w:lineRule="exact"/>
        <w:ind w:firstLine="310" w:firstLineChars="147"/>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（三）投标报价</w:t>
      </w:r>
    </w:p>
    <w:p w14:paraId="6D9AD5A2">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highlight w:val="none"/>
        </w:rPr>
      </w:pPr>
    </w:p>
    <w:p w14:paraId="03459872">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highlight w:val="none"/>
        </w:rPr>
      </w:pPr>
      <w:bookmarkStart w:id="39" w:name="_GoBack"/>
      <w:bookmarkEnd w:id="39"/>
      <w:r>
        <w:rPr>
          <w:rFonts w:hint="eastAsia" w:ascii="宋体" w:hAnsi="宋体" w:eastAsia="宋体" w:cs="宋体"/>
          <w:color w:val="auto"/>
          <w:kern w:val="0"/>
          <w:sz w:val="21"/>
          <w:szCs w:val="21"/>
          <w:highlight w:val="none"/>
        </w:rPr>
        <w:t>（1）投标计量单位，磋商文件已有明确规定的，使用磋商文件规定的计量单位；磋商文件没有规定的，应采用中华人民共和国法定计量单位（货币单位：人民币元）。</w:t>
      </w:r>
    </w:p>
    <w:p w14:paraId="5CF2A459">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Cs w:val="21"/>
          <w:highlight w:val="none"/>
          <w:lang w:val="zh-CN"/>
        </w:rPr>
        <w:t>投标报价是完全履行招标内容及要求的价格体现，报价中须包含所有一切人员工资、各种加班费、节假日补贴、各种社会保险、安全保险、食宿与交通、材料费、机械费、人工费、辅助材料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eastAsia="宋体" w:cs="宋体"/>
          <w:color w:val="auto"/>
          <w:kern w:val="0"/>
          <w:sz w:val="21"/>
          <w:szCs w:val="21"/>
          <w:highlight w:val="none"/>
          <w:lang w:val="zh-CN"/>
        </w:rPr>
        <w:t>。</w:t>
      </w:r>
    </w:p>
    <w:p w14:paraId="3CF8891E">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）磋商报价分</w:t>
      </w:r>
      <w:r>
        <w:rPr>
          <w:rFonts w:hint="eastAsia" w:ascii="宋体" w:hAnsi="宋体" w:eastAsia="宋体" w:cs="宋体"/>
          <w:color w:val="auto"/>
          <w:kern w:val="0"/>
          <w:sz w:val="21"/>
          <w:szCs w:val="21"/>
          <w:highlight w:val="none"/>
        </w:rPr>
        <w:t>两</w:t>
      </w:r>
      <w:r>
        <w:rPr>
          <w:rFonts w:hint="eastAsia" w:ascii="宋体" w:hAnsi="宋体" w:eastAsia="宋体" w:cs="宋体"/>
          <w:color w:val="auto"/>
          <w:kern w:val="0"/>
          <w:sz w:val="21"/>
          <w:szCs w:val="21"/>
          <w:highlight w:val="none"/>
          <w:lang w:val="zh-CN"/>
        </w:rPr>
        <w:t>次进行，首次报价在磋商响应文件中体现；最后报价在磋商结束后由所有参加磋商的响应供应商在规定的时间内在乐采云系统平台中填报。</w:t>
      </w:r>
      <w:r>
        <w:rPr>
          <w:rFonts w:hint="eastAsia" w:ascii="宋体" w:hAnsi="宋体" w:eastAsia="宋体" w:cs="宋体"/>
          <w:b/>
          <w:color w:val="auto"/>
          <w:kern w:val="0"/>
          <w:sz w:val="21"/>
          <w:szCs w:val="21"/>
          <w:highlight w:val="none"/>
          <w:lang w:val="zh-CN"/>
        </w:rPr>
        <w:t>注：</w:t>
      </w:r>
      <w:r>
        <w:rPr>
          <w:rFonts w:hint="eastAsia" w:ascii="宋体" w:hAnsi="宋体" w:eastAsia="宋体" w:cs="宋体"/>
          <w:b/>
          <w:color w:val="auto"/>
          <w:sz w:val="21"/>
          <w:szCs w:val="21"/>
          <w:highlight w:val="none"/>
        </w:rPr>
        <w:t>最后报价原则上不得高于首次报价，否则视为放弃磋商，其磋商响应文件作无效标处理，但采购需求中的技术、服务要求发生实质性变动的情况除外。未提交最后报价的视为放弃磋商，其磋商响应文件将作无效标处理。</w:t>
      </w:r>
    </w:p>
    <w:p w14:paraId="49842F14">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相关报价表如有错漏必须修改，修改处须由同一签署人签字或盖章。不满足上述要求或由于字迹模糊或表达不清引起的后果由供应商自行承担。</w:t>
      </w:r>
    </w:p>
    <w:p w14:paraId="13D74E3D">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报价有关表格应按磋商文件中相关附表格式填写，明细中出现“0”元，视同赠送。</w:t>
      </w:r>
    </w:p>
    <w:p w14:paraId="65940E0E">
      <w:pPr>
        <w:keepNext w:val="0"/>
        <w:keepLines w:val="0"/>
        <w:pageBreakBefore w:val="0"/>
        <w:kinsoku/>
        <w:wordWrap/>
        <w:overflowPunct/>
        <w:topLinePunct w:val="0"/>
        <w:bidi w:val="0"/>
        <w:snapToGrid w:val="0"/>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6</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项目最高限价：</w:t>
      </w:r>
      <w:r>
        <w:rPr>
          <w:rFonts w:hint="eastAsia" w:ascii="宋体" w:hAnsi="宋体" w:eastAsia="宋体" w:cs="宋体"/>
          <w:b/>
          <w:color w:val="auto"/>
          <w:sz w:val="21"/>
          <w:szCs w:val="21"/>
          <w:highlight w:val="none"/>
        </w:rPr>
        <w:t>最高限价为</w:t>
      </w:r>
      <w:r>
        <w:rPr>
          <w:rFonts w:hint="eastAsia" w:ascii="宋体" w:hAnsi="宋体" w:eastAsia="宋体" w:cs="宋体"/>
          <w:b/>
          <w:color w:val="auto"/>
          <w:sz w:val="21"/>
          <w:szCs w:val="21"/>
          <w:highlight w:val="none"/>
          <w:u w:val="single"/>
          <w:lang w:val="en-US" w:eastAsia="zh-CN"/>
        </w:rPr>
        <w:t>70</w:t>
      </w:r>
      <w:r>
        <w:rPr>
          <w:rFonts w:hint="eastAsia" w:ascii="宋体" w:hAnsi="宋体" w:eastAsia="宋体" w:cs="宋体"/>
          <w:b/>
          <w:color w:val="auto"/>
          <w:sz w:val="21"/>
          <w:szCs w:val="21"/>
          <w:highlight w:val="none"/>
        </w:rPr>
        <w:t>万元。</w:t>
      </w:r>
      <w:r>
        <w:rPr>
          <w:rFonts w:hint="eastAsia" w:ascii="宋体" w:hAnsi="宋体" w:eastAsia="宋体" w:cs="宋体"/>
          <w:b/>
          <w:color w:val="auto"/>
          <w:kern w:val="0"/>
          <w:sz w:val="21"/>
          <w:szCs w:val="21"/>
          <w:highlight w:val="none"/>
          <w:lang w:val="zh-CN"/>
        </w:rPr>
        <w:t>如投标人的投标报价超过最高限价，其响应文件作无效标处理。</w:t>
      </w:r>
    </w:p>
    <w:p w14:paraId="5C8F6661">
      <w:pPr>
        <w:keepNext w:val="0"/>
        <w:keepLines w:val="0"/>
        <w:pageBreakBefore w:val="0"/>
        <w:kinsoku/>
        <w:wordWrap/>
        <w:overflowPunct/>
        <w:topLinePunct w:val="0"/>
        <w:bidi w:val="0"/>
        <w:snapToGrid w:val="0"/>
        <w:spacing w:line="380" w:lineRule="exact"/>
        <w:ind w:firstLine="207" w:firstLineChars="98"/>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四</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磋商响应文件的制作、封装及递交要求</w:t>
      </w:r>
    </w:p>
    <w:p w14:paraId="061C0619">
      <w:pPr>
        <w:keepNext w:val="0"/>
        <w:keepLines w:val="0"/>
        <w:pageBreakBefore w:val="0"/>
        <w:kinsoku/>
        <w:wordWrap/>
        <w:overflowPunct/>
        <w:topLinePunct w:val="0"/>
        <w:autoSpaceDE w:val="0"/>
        <w:autoSpaceDN w:val="0"/>
        <w:bidi w:val="0"/>
        <w:adjustRightInd w:val="0"/>
        <w:spacing w:line="38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54FFD4ED">
      <w:pPr>
        <w:keepNext w:val="0"/>
        <w:keepLines w:val="0"/>
        <w:pageBreakBefore w:val="0"/>
        <w:kinsoku/>
        <w:wordWrap/>
        <w:overflowPunct/>
        <w:topLinePunct w:val="0"/>
        <w:autoSpaceDE w:val="0"/>
        <w:autoSpaceDN w:val="0"/>
        <w:bidi w:val="0"/>
        <w:adjustRightInd w:val="0"/>
        <w:spacing w:line="38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（1）供应商应按照磋商响应文件组成内容及项目磋商需求和乐采云平台的相关要求制作磋商响应文件，</w:t>
      </w:r>
      <w:r>
        <w:rPr>
          <w:rFonts w:hint="eastAsia" w:ascii="宋体" w:hAnsi="宋体" w:eastAsia="宋体" w:cs="宋体"/>
          <w:color w:val="auto"/>
          <w:kern w:val="0"/>
          <w:sz w:val="21"/>
          <w:szCs w:val="21"/>
          <w:highlight w:val="none"/>
        </w:rPr>
        <w:t>不按要求制作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46719C44">
      <w:pPr>
        <w:keepNext w:val="0"/>
        <w:keepLines w:val="0"/>
        <w:pageBreakBefore w:val="0"/>
        <w:kinsoku/>
        <w:wordWrap/>
        <w:overflowPunct/>
        <w:topLinePunct w:val="0"/>
        <w:autoSpaceDE w:val="0"/>
        <w:autoSpaceDN w:val="0"/>
        <w:bidi w:val="0"/>
        <w:adjustRightInd w:val="0"/>
        <w:spacing w:line="38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电子投标文件部分：投标人应根据“供应商-政府采购项目电子交易操作指南”及本</w:t>
      </w:r>
      <w:r>
        <w:rPr>
          <w:rFonts w:hint="eastAsia" w:ascii="宋体" w:hAnsi="宋体" w:eastAsia="宋体" w:cs="宋体"/>
          <w:color w:val="auto"/>
          <w:sz w:val="21"/>
          <w:szCs w:val="21"/>
          <w:highlight w:val="none"/>
        </w:rPr>
        <w:t>磋商文件</w:t>
      </w:r>
      <w:r>
        <w:rPr>
          <w:rFonts w:hint="eastAsia" w:ascii="宋体" w:hAnsi="宋体" w:eastAsia="宋体" w:cs="宋体"/>
          <w:bCs/>
          <w:color w:val="auto"/>
          <w:sz w:val="21"/>
          <w:szCs w:val="21"/>
          <w:highlight w:val="none"/>
        </w:rPr>
        <w:t>规定的格式和顺序编制电子投标文件并进行关联定位。</w:t>
      </w:r>
    </w:p>
    <w:p w14:paraId="1D3A7EDE">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供应商应对所提供的全部资料的真实性承担法律责任，磋商文件给定的磋商响应文件格式</w:t>
      </w:r>
      <w:r>
        <w:rPr>
          <w:rFonts w:hint="eastAsia" w:ascii="宋体" w:hAnsi="宋体" w:eastAsia="宋体" w:cs="宋体"/>
          <w:color w:val="auto"/>
          <w:kern w:val="0"/>
          <w:sz w:val="21"/>
          <w:szCs w:val="21"/>
          <w:highlight w:val="none"/>
          <w:lang w:val="zh-CN"/>
        </w:rPr>
        <w:t>内容中有要求盖章或签字的地方，应按要求盖章或签字</w:t>
      </w:r>
      <w:r>
        <w:rPr>
          <w:rFonts w:hint="eastAsia" w:ascii="宋体" w:hAnsi="宋体" w:eastAsia="宋体" w:cs="宋体"/>
          <w:color w:val="auto"/>
          <w:sz w:val="21"/>
          <w:szCs w:val="21"/>
          <w:highlight w:val="none"/>
        </w:rPr>
        <w:t>，其中电子投标文件中所需盖章部分均采用CA签章</w:t>
      </w:r>
      <w:r>
        <w:rPr>
          <w:rFonts w:hint="eastAsia" w:ascii="宋体" w:hAnsi="宋体" w:eastAsia="宋体" w:cs="宋体"/>
          <w:color w:val="auto"/>
          <w:kern w:val="0"/>
          <w:sz w:val="21"/>
          <w:szCs w:val="21"/>
          <w:highlight w:val="none"/>
          <w:lang w:val="zh-CN"/>
        </w:rPr>
        <w:t>。</w:t>
      </w:r>
    </w:p>
    <w:p w14:paraId="23F46368">
      <w:pPr>
        <w:keepNext w:val="0"/>
        <w:keepLines w:val="0"/>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14:paraId="7ED72E4E">
      <w:pPr>
        <w:keepNext w:val="0"/>
        <w:keepLines w:val="0"/>
        <w:pageBreakBefore w:val="0"/>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39781ABA">
      <w:pPr>
        <w:keepNext w:val="0"/>
        <w:keepLines w:val="0"/>
        <w:pageBreakBefore w:val="0"/>
        <w:kinsoku/>
        <w:wordWrap/>
        <w:overflowPunct/>
        <w:topLinePunct w:val="0"/>
        <w:autoSpaceDE w:val="0"/>
        <w:autoSpaceDN w:val="0"/>
        <w:bidi w:val="0"/>
        <w:adjustRightInd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（5）若磋商供应商不按磋商文件的要求提供资格审查材料，其风险由磋商供应商自行承担。</w:t>
      </w:r>
    </w:p>
    <w:p w14:paraId="48E22C87">
      <w:pPr>
        <w:keepNext w:val="0"/>
        <w:keepLines w:val="0"/>
        <w:pageBreakBefore w:val="0"/>
        <w:kinsoku/>
        <w:wordWrap/>
        <w:overflowPunct/>
        <w:topLinePunct w:val="0"/>
        <w:autoSpaceDE w:val="0"/>
        <w:autoSpaceDN w:val="0"/>
        <w:bidi w:val="0"/>
        <w:adjustRightInd w:val="0"/>
        <w:spacing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w:t>
      </w:r>
    </w:p>
    <w:p w14:paraId="726AFFCB">
      <w:pPr>
        <w:keepNext w:val="0"/>
        <w:keepLines w:val="0"/>
        <w:pageBreakBefore w:val="0"/>
        <w:kinsoku/>
        <w:wordWrap/>
        <w:overflowPunct/>
        <w:topLinePunct w:val="0"/>
        <w:autoSpaceDE w:val="0"/>
        <w:autoSpaceDN w:val="0"/>
        <w:bidi w:val="0"/>
        <w:adjustRightInd w:val="0"/>
        <w:spacing w:line="380" w:lineRule="exact"/>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2、磋商响应文件的封装要求</w:t>
      </w:r>
    </w:p>
    <w:p w14:paraId="28EBDD64">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（1）磋商响应文件份数：</w:t>
      </w:r>
    </w:p>
    <w:p w14:paraId="67F685D2">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① 电子加密标书（在“乐采云平台”上传提交）。</w:t>
      </w:r>
    </w:p>
    <w:p w14:paraId="7CBBE9D7">
      <w:pPr>
        <w:keepNext w:val="0"/>
        <w:keepLines w:val="0"/>
        <w:pageBreakBefore w:val="0"/>
        <w:kinsoku/>
        <w:wordWrap/>
        <w:overflowPunct/>
        <w:topLinePunct w:val="0"/>
        <w:autoSpaceDE w:val="0"/>
        <w:autoSpaceDN w:val="0"/>
        <w:bidi w:val="0"/>
        <w:adjustRightInd w:val="0"/>
        <w:spacing w:line="380" w:lineRule="exact"/>
        <w:ind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 电子备份标书（后缀名为“.bfbs”）</w:t>
      </w:r>
      <w:r>
        <w:rPr>
          <w:rFonts w:hint="eastAsia" w:ascii="宋体" w:hAnsi="宋体" w:eastAsia="宋体" w:cs="宋体"/>
          <w:color w:val="auto"/>
          <w:sz w:val="21"/>
          <w:szCs w:val="21"/>
          <w:highlight w:val="none"/>
        </w:rPr>
        <w:t>，若递交请在提交响应文件截止时间前将电子备份标书打包压缩加密（未加密造成泄密的由投标人自行承担）后以电子邮件的形式发送至</w:t>
      </w:r>
      <w:r>
        <w:rPr>
          <w:rFonts w:hint="eastAsia" w:ascii="宋体" w:hAnsi="宋体" w:eastAsia="宋体" w:cs="宋体"/>
          <w:color w:val="auto"/>
          <w:sz w:val="21"/>
          <w:szCs w:val="21"/>
          <w:highlight w:val="none"/>
          <w:lang w:eastAsia="zh-CN"/>
        </w:rPr>
        <w:t>109678775</w:t>
      </w:r>
      <w:r>
        <w:rPr>
          <w:rFonts w:hint="eastAsia" w:ascii="宋体" w:hAnsi="宋体" w:eastAsia="宋体" w:cs="宋体"/>
          <w:color w:val="auto"/>
          <w:sz w:val="21"/>
          <w:szCs w:val="21"/>
          <w:highlight w:val="none"/>
        </w:rPr>
        <w:t>@qq.com。电子备份标书在“电子加密标书”发生解密异常时使用，否则不予启用。</w:t>
      </w:r>
    </w:p>
    <w:p w14:paraId="6D5118E0">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34E72D69">
      <w:pPr>
        <w:keepNext w:val="0"/>
        <w:keepLines w:val="0"/>
        <w:pageBreakBefore w:val="0"/>
        <w:kinsoku/>
        <w:wordWrap/>
        <w:overflowPunct/>
        <w:topLinePunct w:val="0"/>
        <w:autoSpaceDE w:val="0"/>
        <w:autoSpaceDN w:val="0"/>
        <w:bidi w:val="0"/>
        <w:adjustRightInd w:val="0"/>
        <w:spacing w:line="380" w:lineRule="exact"/>
        <w:ind w:firstLine="210" w:firstLineChars="1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rPr>
        <w:t>（3）项目如分标项，各标项磋商响应文件必须分开编制。</w:t>
      </w:r>
    </w:p>
    <w:p w14:paraId="38715697">
      <w:pPr>
        <w:keepNext w:val="0"/>
        <w:keepLines w:val="0"/>
        <w:pageBreakBefore w:val="0"/>
        <w:kinsoku/>
        <w:wordWrap/>
        <w:overflowPunct/>
        <w:topLinePunct w:val="0"/>
        <w:autoSpaceDE w:val="0"/>
        <w:autoSpaceDN w:val="0"/>
        <w:bidi w:val="0"/>
        <w:adjustRightInd w:val="0"/>
        <w:spacing w:line="38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sz w:val="21"/>
          <w:szCs w:val="21"/>
          <w:highlight w:val="none"/>
        </w:rPr>
        <w:t>磋商响应文件的递交要求</w:t>
      </w:r>
    </w:p>
    <w:p w14:paraId="2C68BE37">
      <w:pPr>
        <w:keepNext w:val="0"/>
        <w:keepLines w:val="0"/>
        <w:pageBreakBefore w:val="0"/>
        <w:tabs>
          <w:tab w:val="left" w:pos="1418"/>
        </w:tabs>
        <w:kinsoku/>
        <w:wordWrap/>
        <w:overflowPunct/>
        <w:topLinePunct w:val="0"/>
        <w:autoSpaceDE w:val="0"/>
        <w:autoSpaceDN w:val="0"/>
        <w:bidi w:val="0"/>
        <w:adjustRightInd w:val="0"/>
        <w:spacing w:line="380" w:lineRule="exact"/>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color w:val="auto"/>
          <w:sz w:val="21"/>
          <w:szCs w:val="21"/>
          <w:highlight w:val="none"/>
        </w:rPr>
        <w:t>供应商应当在投标截止时间前完成电子投标文件（即电子加密标书）的上传，为保证项目顺利开展，建议各供应商同时制作并在</w:t>
      </w:r>
      <w:r>
        <w:rPr>
          <w:rFonts w:hint="eastAsia" w:ascii="宋体" w:hAnsi="宋体" w:eastAsia="宋体" w:cs="宋体"/>
          <w:b/>
          <w:color w:val="auto"/>
          <w:kern w:val="0"/>
          <w:sz w:val="21"/>
          <w:szCs w:val="21"/>
          <w:highlight w:val="none"/>
        </w:rPr>
        <w:t>投标截止时间前提供电子备份标书（后缀名为“.bfbs”），投标人自行确定是否提交。若提交请在提交响应文件截止时间前将电子备份标书打包压缩加密（未加密造成泄密的由投标人自行承担）后以电子邮件的形式发送至</w:t>
      </w:r>
      <w:r>
        <w:rPr>
          <w:rFonts w:hint="eastAsia" w:ascii="宋体" w:hAnsi="宋体" w:eastAsia="宋体" w:cs="宋体"/>
          <w:b/>
          <w:color w:val="auto"/>
          <w:kern w:val="0"/>
          <w:sz w:val="21"/>
          <w:szCs w:val="21"/>
          <w:highlight w:val="none"/>
          <w:lang w:eastAsia="zh-CN"/>
        </w:rPr>
        <w:t>109678775</w:t>
      </w:r>
      <w:r>
        <w:rPr>
          <w:rFonts w:hint="eastAsia" w:ascii="宋体" w:hAnsi="宋体" w:eastAsia="宋体" w:cs="宋体"/>
          <w:b/>
          <w:color w:val="auto"/>
          <w:kern w:val="0"/>
          <w:sz w:val="21"/>
          <w:szCs w:val="21"/>
          <w:highlight w:val="none"/>
        </w:rPr>
        <w:t>@qq.com。若供应商未在投标截止时间前在电子交易系统中完成电子</w:t>
      </w:r>
      <w:r>
        <w:rPr>
          <w:rFonts w:hint="eastAsia" w:ascii="宋体" w:hAnsi="宋体" w:eastAsia="宋体" w:cs="宋体"/>
          <w:b/>
          <w:color w:val="auto"/>
          <w:sz w:val="21"/>
          <w:szCs w:val="21"/>
          <w:highlight w:val="none"/>
        </w:rPr>
        <w:t>加密标书</w:t>
      </w:r>
      <w:r>
        <w:rPr>
          <w:rFonts w:hint="eastAsia" w:ascii="宋体" w:hAnsi="宋体" w:eastAsia="宋体" w:cs="宋体"/>
          <w:b/>
          <w:color w:val="auto"/>
          <w:kern w:val="0"/>
          <w:sz w:val="21"/>
          <w:szCs w:val="21"/>
          <w:highlight w:val="none"/>
        </w:rPr>
        <w:t>上传的，其电子备份标书也将无效。</w:t>
      </w:r>
    </w:p>
    <w:p w14:paraId="44CF861A">
      <w:pPr>
        <w:keepNext w:val="0"/>
        <w:keepLines w:val="0"/>
        <w:pageBreakBefore w:val="0"/>
        <w:tabs>
          <w:tab w:val="left" w:pos="1418"/>
        </w:tabs>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（2）如有特殊情况，采购组织机构延长截止时间和磋商时间，采购组织机构和供应商的权利和义务将受到新的截止时间和磋商时间的约束。</w:t>
      </w:r>
    </w:p>
    <w:p w14:paraId="6650C9EE">
      <w:pPr>
        <w:keepNext w:val="0"/>
        <w:keepLines w:val="0"/>
        <w:pageBreakBefore w:val="0"/>
        <w:tabs>
          <w:tab w:val="left" w:pos="1898"/>
        </w:tabs>
        <w:kinsoku/>
        <w:wordWrap/>
        <w:overflowPunct/>
        <w:topLinePunct w:val="0"/>
        <w:autoSpaceDE w:val="0"/>
        <w:autoSpaceDN w:val="0"/>
        <w:bidi w:val="0"/>
        <w:adjustRightInd w:val="0"/>
        <w:spacing w:line="38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4、磋商响应文件的补充、修改和撤回。</w:t>
      </w:r>
    </w:p>
    <w:p w14:paraId="0EF04ACC">
      <w:pPr>
        <w:keepNext w:val="0"/>
        <w:keepLines w:val="0"/>
        <w:pageBreakBefore w:val="0"/>
        <w:tabs>
          <w:tab w:val="left" w:pos="960"/>
          <w:tab w:val="left" w:pos="1418"/>
        </w:tabs>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投标截止时间前可以补充、修改或者撤回电子投标文件。补充或者修改电子投标文件的，应当先行撤回原文件，补充、修改后重新上传。投标截止时间前未完成重新上传的，视为放弃投标。</w:t>
      </w:r>
      <w:r>
        <w:rPr>
          <w:rFonts w:hint="eastAsia" w:ascii="宋体" w:hAnsi="宋体" w:eastAsia="宋体" w:cs="宋体"/>
          <w:color w:val="auto"/>
          <w:kern w:val="0"/>
          <w:sz w:val="21"/>
          <w:szCs w:val="21"/>
          <w:highlight w:val="none"/>
        </w:rPr>
        <w:t>投标截止时间后，投标人不得撤回、修改电子投标文件。</w:t>
      </w:r>
    </w:p>
    <w:p w14:paraId="42894D8F">
      <w:pPr>
        <w:keepNext w:val="0"/>
        <w:keepLines w:val="0"/>
        <w:pageBreakBefore w:val="0"/>
        <w:tabs>
          <w:tab w:val="left" w:pos="1418"/>
        </w:tabs>
        <w:kinsoku/>
        <w:wordWrap/>
        <w:overflowPunct/>
        <w:topLinePunct w:val="0"/>
        <w:autoSpaceDE w:val="0"/>
        <w:autoSpaceDN w:val="0"/>
        <w:bidi w:val="0"/>
        <w:adjustRightInd w:val="0"/>
        <w:spacing w:line="380" w:lineRule="exact"/>
        <w:ind w:left="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（五）磋商响应文件的有效期</w:t>
      </w:r>
    </w:p>
    <w:p w14:paraId="0D13744B">
      <w:pPr>
        <w:pStyle w:val="10"/>
        <w:keepNext w:val="0"/>
        <w:keepLines w:val="0"/>
        <w:pageBreakBefore w:val="0"/>
        <w:widowControl w:val="0"/>
        <w:numPr>
          <w:ilvl w:val="0"/>
          <w:numId w:val="0"/>
        </w:numPr>
        <w:tabs>
          <w:tab w:val="left" w:pos="0"/>
          <w:tab w:val="left" w:pos="1200"/>
          <w:tab w:val="clear" w:pos="454"/>
        </w:tabs>
        <w:kinsoku/>
        <w:wordWrap/>
        <w:overflowPunct/>
        <w:topLinePunct w:val="0"/>
        <w:bidi w:val="0"/>
        <w:snapToGrid w:val="0"/>
        <w:spacing w:afterLines="0" w:line="380" w:lineRule="exact"/>
        <w:ind w:firstLine="420" w:firstLineChars="200"/>
        <w:textAlignment w:val="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自磋商响应截止日起90天磋商响应文件应保持有效。有效期不足的磋商响应文件将被拒绝。</w:t>
      </w:r>
    </w:p>
    <w:p w14:paraId="5333D2E4">
      <w:pPr>
        <w:pStyle w:val="10"/>
        <w:keepNext w:val="0"/>
        <w:keepLines w:val="0"/>
        <w:pageBreakBefore w:val="0"/>
        <w:widowControl w:val="0"/>
        <w:numPr>
          <w:ilvl w:val="0"/>
          <w:numId w:val="0"/>
        </w:numPr>
        <w:tabs>
          <w:tab w:val="left" w:pos="0"/>
          <w:tab w:val="left" w:pos="1200"/>
          <w:tab w:val="clear" w:pos="454"/>
        </w:tabs>
        <w:kinsoku/>
        <w:wordWrap/>
        <w:overflowPunct/>
        <w:topLinePunct w:val="0"/>
        <w:bidi w:val="0"/>
        <w:snapToGrid w:val="0"/>
        <w:spacing w:afterLines="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12F43470">
      <w:pPr>
        <w:pStyle w:val="10"/>
        <w:keepNext w:val="0"/>
        <w:keepLines w:val="0"/>
        <w:pageBreakBefore w:val="0"/>
        <w:widowControl w:val="0"/>
        <w:numPr>
          <w:ilvl w:val="0"/>
          <w:numId w:val="0"/>
        </w:numPr>
        <w:tabs>
          <w:tab w:val="left" w:pos="0"/>
          <w:tab w:val="left" w:pos="1200"/>
          <w:tab w:val="clear" w:pos="454"/>
        </w:tabs>
        <w:kinsoku/>
        <w:wordWrap/>
        <w:overflowPunct/>
        <w:topLinePunct w:val="0"/>
        <w:bidi w:val="0"/>
        <w:snapToGrid w:val="0"/>
        <w:spacing w:afterLines="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3、磋商供应商可拒绝接受延期要求。同意延长有效期的磋商供应商不能修改磋商响应文件。</w:t>
      </w:r>
    </w:p>
    <w:p w14:paraId="539601C7">
      <w:pPr>
        <w:pStyle w:val="10"/>
        <w:keepNext w:val="0"/>
        <w:keepLines w:val="0"/>
        <w:pageBreakBefore w:val="0"/>
        <w:widowControl w:val="0"/>
        <w:numPr>
          <w:ilvl w:val="0"/>
          <w:numId w:val="0"/>
        </w:numPr>
        <w:tabs>
          <w:tab w:val="left" w:pos="0"/>
          <w:tab w:val="left" w:pos="1200"/>
          <w:tab w:val="clear" w:pos="454"/>
        </w:tabs>
        <w:kinsoku/>
        <w:wordWrap/>
        <w:overflowPunct/>
        <w:topLinePunct w:val="0"/>
        <w:bidi w:val="0"/>
        <w:snapToGrid w:val="0"/>
        <w:spacing w:afterLines="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4、成交供应商的磋商响应文件自磋商之日起至合同履行完毕均应保持有效。</w:t>
      </w:r>
    </w:p>
    <w:p w14:paraId="4D02D191">
      <w:pPr>
        <w:keepNext w:val="0"/>
        <w:keepLines w:val="0"/>
        <w:pageBreakBefore w:val="0"/>
        <w:tabs>
          <w:tab w:val="left" w:pos="1418"/>
        </w:tabs>
        <w:kinsoku/>
        <w:wordWrap/>
        <w:overflowPunct/>
        <w:topLinePunct w:val="0"/>
        <w:autoSpaceDE w:val="0"/>
        <w:autoSpaceDN w:val="0"/>
        <w:bidi w:val="0"/>
        <w:adjustRightInd w:val="0"/>
        <w:spacing w:line="38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四、磋商保证金</w:t>
      </w:r>
    </w:p>
    <w:p w14:paraId="5D28C9A6">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投标保证金：</w:t>
      </w:r>
      <w:r>
        <w:rPr>
          <w:rFonts w:hint="eastAsia" w:ascii="宋体" w:hAnsi="宋体" w:cs="宋体"/>
          <w:color w:val="auto"/>
          <w:szCs w:val="21"/>
          <w:highlight w:val="none"/>
        </w:rPr>
        <w:t>人民币</w:t>
      </w:r>
      <w:r>
        <w:rPr>
          <w:rFonts w:hint="eastAsia" w:ascii="宋体" w:hAnsi="宋体" w:cs="宋体"/>
          <w:b/>
          <w:bCs/>
          <w:color w:val="auto"/>
          <w:szCs w:val="21"/>
          <w:highlight w:val="none"/>
          <w:u w:val="single"/>
          <w:lang w:val="en-US" w:eastAsia="zh-CN"/>
        </w:rPr>
        <w:t>壹</w:t>
      </w:r>
      <w:r>
        <w:rPr>
          <w:rFonts w:hint="eastAsia" w:ascii="宋体" w:hAnsi="宋体" w:cs="宋体"/>
          <w:b/>
          <w:bCs/>
          <w:color w:val="auto"/>
          <w:szCs w:val="21"/>
          <w:highlight w:val="none"/>
          <w:u w:val="single"/>
        </w:rPr>
        <w:t>万元</w:t>
      </w:r>
      <w:r>
        <w:rPr>
          <w:rFonts w:hint="eastAsia" w:ascii="宋体" w:hAnsi="宋体" w:cs="宋体"/>
          <w:b/>
          <w:bCs/>
          <w:color w:val="auto"/>
          <w:szCs w:val="21"/>
          <w:highlight w:val="none"/>
          <w:u w:val="single"/>
          <w:lang w:val="en-US" w:eastAsia="zh-CN"/>
        </w:rPr>
        <w:t>整</w:t>
      </w:r>
      <w:r>
        <w:rPr>
          <w:rFonts w:hint="eastAsia" w:ascii="宋体" w:hAnsi="宋体" w:cs="宋体"/>
          <w:color w:val="auto"/>
          <w:szCs w:val="21"/>
          <w:highlight w:val="none"/>
        </w:rPr>
        <w:t>。交付方式：采用电汇或转账方式缴纳投标保证金的投标人应以投标单位名义从其账户汇入仙居县鸿信工程咨询有限公司指定账户，并注明项目名称，必须确保投标保证金在投标截止时间前汇入仙居县鸿信工程咨询有限公司指定账户，同时按投标文件组成要求将汇款（或转账）凭证附入资格证明文件中；采用保函（包括银行保函、保险机构保证保险保单和融资担保公司保函）缴纳的须按响应文件组成要求将保函影印件或扫描件附入资格证明文件中</w:t>
      </w:r>
      <w:r>
        <w:rPr>
          <w:rFonts w:hint="eastAsia" w:ascii="宋体" w:hAnsi="宋体" w:cs="宋体"/>
          <w:color w:val="auto"/>
          <w:szCs w:val="21"/>
          <w:highlight w:val="none"/>
          <w:lang w:val="en-US" w:eastAsia="zh-CN"/>
        </w:rPr>
        <w:t>；</w:t>
      </w:r>
    </w:p>
    <w:p w14:paraId="7A9041C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收款单位：仙居县鸿信工程咨询有限公司；</w:t>
      </w:r>
    </w:p>
    <w:p w14:paraId="0A1F847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开户银行：中国建设银行仙居庆丰支行；</w:t>
      </w:r>
    </w:p>
    <w:p w14:paraId="6008E08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账号：33050166756409000162 。</w:t>
      </w:r>
    </w:p>
    <w:p w14:paraId="4F24778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80" w:lineRule="exact"/>
        <w:ind w:right="23"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注：投标保证金须在</w:t>
      </w:r>
      <w:r>
        <w:rPr>
          <w:rFonts w:hint="eastAsia" w:ascii="宋体" w:hAnsi="宋体" w:eastAsia="宋体" w:cs="宋体"/>
          <w:color w:val="auto"/>
          <w:sz w:val="21"/>
          <w:szCs w:val="21"/>
          <w:highlight w:val="none"/>
        </w:rPr>
        <w:t>投标截止时间前递交</w:t>
      </w:r>
      <w:r>
        <w:rPr>
          <w:rFonts w:hint="eastAsia" w:ascii="宋体" w:hAnsi="宋体" w:eastAsia="宋体" w:cs="宋体"/>
          <w:color w:val="auto"/>
          <w:sz w:val="21"/>
          <w:szCs w:val="21"/>
          <w:highlight w:val="none"/>
          <w:lang w:val="en-US" w:eastAsia="zh-CN"/>
        </w:rPr>
        <w:t>并将缴纳凭证附入资格证明文件中，</w:t>
      </w:r>
      <w:r>
        <w:rPr>
          <w:rFonts w:hint="eastAsia" w:ascii="宋体" w:hAnsi="宋体" w:eastAsia="宋体" w:cs="宋体"/>
          <w:color w:val="auto"/>
          <w:sz w:val="21"/>
          <w:szCs w:val="21"/>
          <w:highlight w:val="none"/>
        </w:rPr>
        <w:t>否则将视为未响应招标文件提交投标保证金要求而拒绝其投标</w:t>
      </w:r>
      <w:r>
        <w:rPr>
          <w:rFonts w:hint="eastAsia" w:ascii="宋体" w:hAnsi="宋体" w:eastAsia="宋体" w:cs="宋体"/>
          <w:bCs/>
          <w:color w:val="auto"/>
          <w:kern w:val="0"/>
          <w:sz w:val="21"/>
          <w:szCs w:val="21"/>
          <w:highlight w:val="none"/>
        </w:rPr>
        <w:t>。</w:t>
      </w:r>
    </w:p>
    <w:p w14:paraId="18922E89">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除磋商文件规定不予退还投标保证金情形外，投标人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制，在质疑（投诉）处理完毕后退还。</w:t>
      </w:r>
    </w:p>
    <w:p w14:paraId="3D72137A">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3、下列情况，投标保证金将不予退还：</w:t>
      </w:r>
    </w:p>
    <w:p w14:paraId="3A67697A">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（1）投标人在投标有效期内撤回投标文件的；</w:t>
      </w:r>
    </w:p>
    <w:p w14:paraId="1EF2A13A">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（2）投标人未按规定提交履约保证金的；</w:t>
      </w:r>
    </w:p>
    <w:p w14:paraId="072BF11C">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（3）投标人在投标过程中弄虚作假，提供虚假材料的；</w:t>
      </w:r>
    </w:p>
    <w:p w14:paraId="5BE8553B">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（4）中标人未按规定的时间、地点与采购人签订合同或未支付招标代理服务费的；</w:t>
      </w:r>
    </w:p>
    <w:p w14:paraId="69AB4092">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（5）将中标项目转让给他人，或者在投标文件中未说明且未经采购人同意，将中标项目分包给他人的；</w:t>
      </w:r>
    </w:p>
    <w:p w14:paraId="75CEADF8">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（6）拒绝履行合同义务的；</w:t>
      </w:r>
    </w:p>
    <w:p w14:paraId="7666AB5B">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（7）其他严重扰乱招投标程序的；</w:t>
      </w:r>
    </w:p>
    <w:p w14:paraId="759E5714">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（8）法律、法规明确规定的其他行为。</w:t>
      </w:r>
    </w:p>
    <w:p w14:paraId="485816BF">
      <w:pPr>
        <w:keepNext w:val="0"/>
        <w:keepLines w:val="0"/>
        <w:pageBreakBefore w:val="0"/>
        <w:tabs>
          <w:tab w:val="left" w:pos="1418"/>
        </w:tabs>
        <w:kinsoku/>
        <w:wordWrap/>
        <w:overflowPunct/>
        <w:topLinePunct w:val="0"/>
        <w:autoSpaceDE w:val="0"/>
        <w:autoSpaceDN w:val="0"/>
        <w:bidi w:val="0"/>
        <w:adjustRightInd w:val="0"/>
        <w:spacing w:line="38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五、磋商</w:t>
      </w:r>
    </w:p>
    <w:p w14:paraId="765F714E">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47D1B2D9">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采购组织机构在“磋商公告”规定的时间和地点公开开标，</w:t>
      </w:r>
      <w:r>
        <w:rPr>
          <w:rFonts w:hint="eastAsia" w:ascii="宋体" w:hAnsi="宋体" w:eastAsia="宋体" w:cs="宋体"/>
          <w:color w:val="auto"/>
          <w:sz w:val="21"/>
          <w:szCs w:val="21"/>
          <w:highlight w:val="none"/>
        </w:rPr>
        <w:t>本项目采用乐采云平台线上开标，不要求供应商代表参加现场开标活动，届时将在乐采云平台（www.lecaiyun.com/）上开启响应文件，同时邀请供应商准时在线参加开标活动</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未准时参加线上开标的供应商视同放弃开标监督权利、认可开标结果，事后不得对采购相关人员、项目开标过程和评标结果提出异议。</w:t>
      </w:r>
      <w:r>
        <w:rPr>
          <w:rFonts w:hint="eastAsia" w:ascii="宋体" w:hAnsi="宋体" w:eastAsia="宋体" w:cs="宋体"/>
          <w:bCs/>
          <w:color w:val="auto"/>
          <w:sz w:val="21"/>
          <w:szCs w:val="21"/>
          <w:highlight w:val="none"/>
        </w:rPr>
        <w:t>评标委员会成员不得参加开标活动。</w:t>
      </w:r>
    </w:p>
    <w:p w14:paraId="6AC159E6">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（二）磋商程序</w:t>
      </w:r>
    </w:p>
    <w:p w14:paraId="24CF66DA">
      <w:pPr>
        <w:keepNext w:val="0"/>
        <w:keepLines w:val="0"/>
        <w:pageBreakBefore w:val="0"/>
        <w:kinsoku/>
        <w:wordWrap/>
        <w:overflowPunct/>
        <w:topLinePunct w:val="0"/>
        <w:autoSpaceDE w:val="0"/>
        <w:autoSpaceDN w:val="0"/>
        <w:bidi w:val="0"/>
        <w:adjustRightInd w:val="0"/>
        <w:spacing w:line="380" w:lineRule="exact"/>
        <w:ind w:firstLine="415" w:firstLineChars="19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到达开标时间，在采购代理机构开启解密标书的指令后，各供应商须在60分钟内自行在乐采云平台上完成在线解密电子加密标书，若有供应商发生解密异常时，可以申请由采购代理机构使用电子备份标书上传处理，供应商的电子解密标书和电子备份标书解密均失败或逾期解密的，响应文件将作无效标处理。</w:t>
      </w:r>
    </w:p>
    <w:p w14:paraId="34127A06">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必须按照客观、公正、审慎的原则，根据磋商文件规定的评审程序、评审方法和评审标准进行独立评审。未实质性响应磋商文件的响应文件按无效响应处理，磋商小组应当告知提交响应文件的供应商。</w:t>
      </w:r>
    </w:p>
    <w:p w14:paraId="675FFF3C">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3、磋商小组所有成员集中与单一供应商分别进行磋商，并给予所有参加磋商的供应商平等的磋商机会。</w:t>
      </w:r>
    </w:p>
    <w:p w14:paraId="7ECFE83E">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w:t>
      </w: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sz w:val="21"/>
          <w:szCs w:val="21"/>
          <w:highlight w:val="none"/>
        </w:rPr>
        <w:t>或授权代表签字或者加盖公章。</w:t>
      </w:r>
    </w:p>
    <w:p w14:paraId="3F7ED3CE">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5、磋商文件能够详细列明采购标的的技术、服务要求的，磋商结束后，磋商小组将要求所有实质性响应的供应商在规定时间内提交最后报价，最后报价是供应商磋商响应文件的有效组成部分。</w:t>
      </w:r>
      <w:r>
        <w:rPr>
          <w:rFonts w:hint="eastAsia" w:ascii="宋体" w:hAnsi="宋体" w:eastAsia="宋体" w:cs="宋体"/>
          <w:b/>
          <w:color w:val="auto"/>
          <w:sz w:val="21"/>
          <w:szCs w:val="21"/>
          <w:highlight w:val="none"/>
        </w:rPr>
        <w:t>最后报价原则上不得高于首次报价，否则视为放弃磋商，其磋商响应文件作无效标处理</w:t>
      </w:r>
      <w:r>
        <w:rPr>
          <w:rFonts w:hint="eastAsia" w:ascii="宋体" w:hAnsi="宋体" w:eastAsia="宋体" w:cs="宋体"/>
          <w:color w:val="auto"/>
          <w:sz w:val="21"/>
          <w:szCs w:val="21"/>
          <w:highlight w:val="none"/>
        </w:rPr>
        <w:t>，但采购需求中的技术、服务要求发生实质性变动的情况除外。</w:t>
      </w:r>
      <w:r>
        <w:rPr>
          <w:rFonts w:hint="eastAsia" w:ascii="宋体" w:hAnsi="宋体" w:eastAsia="宋体" w:cs="宋体"/>
          <w:b/>
          <w:color w:val="auto"/>
          <w:sz w:val="21"/>
          <w:szCs w:val="21"/>
          <w:highlight w:val="none"/>
        </w:rPr>
        <w:t>未提交最后报价的视为放弃磋商，其磋商响应文件将作无效标处理。</w:t>
      </w:r>
    </w:p>
    <w:p w14:paraId="1E2E44DE">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6、经磋商确定最终采购需求和提交最后报价的供应商后，由磋商小组采用综合评分法对提交最后报价的供应商的响应文件和最后报价进行综合评分。</w:t>
      </w:r>
    </w:p>
    <w:p w14:paraId="17E404FC">
      <w:pPr>
        <w:pStyle w:val="21"/>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7、磋商小组根据综合评分情况，按照评审得分由高到低顺序确定预成交供应商，编写评审报告。</w:t>
      </w:r>
    </w:p>
    <w:p w14:paraId="0F7F8B93">
      <w:pPr>
        <w:pStyle w:val="21"/>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8、采购组织机构对磋商小组专家成员进行评价；</w:t>
      </w:r>
    </w:p>
    <w:p w14:paraId="2B1C9CC2">
      <w:pPr>
        <w:pStyle w:val="21"/>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9、公布磋商结果（含最后报价、报价得分、总得分以及中标候选人排序名单），磋商采购会议结束。</w:t>
      </w:r>
    </w:p>
    <w:p w14:paraId="4F7A240C">
      <w:pPr>
        <w:pStyle w:val="21"/>
        <w:keepNext w:val="0"/>
        <w:keepLines w:val="0"/>
        <w:pageBreakBefore w:val="0"/>
        <w:kinsoku/>
        <w:wordWrap/>
        <w:overflowPunct/>
        <w:topLinePunct w:val="0"/>
        <w:bidi w:val="0"/>
        <w:snapToGrid w:val="0"/>
        <w:spacing w:line="380" w:lineRule="exact"/>
        <w:ind w:left="690" w:leftChars="228" w:hanging="211" w:hanging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（三）澄清问题的形式</w:t>
      </w:r>
    </w:p>
    <w:p w14:paraId="30B6BF49">
      <w:pPr>
        <w:pStyle w:val="21"/>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评审过程中若需要供应商对响应文件作出澄清、说明或者补正的，评审小组可要求供应商在合理期限内通过线上询标澄清或电子邮件（675642008@qq.com）等书面形式的方式作出澄清、说明或者补正，但不得超出磋商响应文件的范围或者改变磋商响应文件的实质性内容。评审小组给予供应商提交澄清、说明或补正的时间不得少于半小时，供应商已经明确表示澄清、说明或补正完毕的除外。请各供应商授权代表在开标期间保持电话畅通，如未及时接听电话或超出澄清、说明或补正时间的，视为放弃澄清、说明或补正的权利。"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评审过程中若需要供应商对响应文件作出澄清、说明或者补正的，评审小组可要求供应商在合理期限内通过线上询标澄清或电子邮件（</w:t>
      </w:r>
      <w:r>
        <w:rPr>
          <w:rFonts w:hint="eastAsia" w:ascii="宋体" w:hAnsi="宋体" w:eastAsia="宋体" w:cs="宋体"/>
          <w:color w:val="auto"/>
          <w:sz w:val="21"/>
          <w:szCs w:val="21"/>
          <w:highlight w:val="none"/>
          <w:lang w:eastAsia="zh-CN"/>
        </w:rPr>
        <w:t>109678775</w:t>
      </w:r>
      <w:r>
        <w:rPr>
          <w:rFonts w:hint="eastAsia" w:ascii="宋体" w:hAnsi="宋体" w:eastAsia="宋体" w:cs="宋体"/>
          <w:color w:val="auto"/>
          <w:sz w:val="21"/>
          <w:szCs w:val="21"/>
          <w:highlight w:val="none"/>
        </w:rPr>
        <w:t>@qq.com）等书面形式的方式作出澄清、说明或者补正。</w:t>
      </w:r>
      <w:r>
        <w:rPr>
          <w:rFonts w:hint="eastAsia" w:ascii="宋体" w:hAnsi="宋体" w:eastAsia="宋体" w:cs="宋体"/>
          <w:b/>
          <w:color w:val="auto"/>
          <w:sz w:val="21"/>
          <w:szCs w:val="21"/>
          <w:highlight w:val="none"/>
        </w:rPr>
        <w:t>评审小组给予供应商提交澄清、说明或补正的时间不得少于半小时，供应商已经明确表示澄清、说明或补正完毕的除外</w:t>
      </w:r>
      <w:r>
        <w:rPr>
          <w:rFonts w:hint="eastAsia" w:ascii="宋体" w:hAnsi="宋体" w:eastAsia="宋体" w:cs="宋体"/>
          <w:color w:val="auto"/>
          <w:sz w:val="21"/>
          <w:szCs w:val="21"/>
          <w:highlight w:val="none"/>
        </w:rPr>
        <w:t>。请各供应商授权代表在开标期间保持电话畅通，如未及时接听电话或超出澄清、说明或补正时间的，视为放弃澄清、说明或补正的权利。</w:t>
      </w:r>
      <w:r>
        <w:rPr>
          <w:rFonts w:hint="eastAsia" w:ascii="宋体" w:hAnsi="宋体" w:eastAsia="宋体" w:cs="宋体"/>
          <w:color w:val="auto"/>
          <w:sz w:val="21"/>
          <w:szCs w:val="21"/>
          <w:highlight w:val="none"/>
        </w:rPr>
        <w:fldChar w:fldCharType="end"/>
      </w:r>
    </w:p>
    <w:p w14:paraId="54FDBA28">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（四）错误修正</w:t>
      </w:r>
    </w:p>
    <w:p w14:paraId="7D6182A1">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rPr>
        <w:t>磋商文件</w:t>
      </w:r>
      <w:r>
        <w:rPr>
          <w:rFonts w:hint="eastAsia" w:ascii="宋体" w:hAnsi="宋体" w:eastAsia="宋体" w:cs="宋体"/>
          <w:color w:val="auto"/>
          <w:sz w:val="21"/>
          <w:szCs w:val="21"/>
          <w:highlight w:val="none"/>
        </w:rPr>
        <w:t>另有规定外，按照下列规定修正：</w:t>
      </w:r>
    </w:p>
    <w:p w14:paraId="6C8962E3">
      <w:pPr>
        <w:pStyle w:val="34"/>
        <w:keepNext w:val="0"/>
        <w:keepLines w:val="0"/>
        <w:pageBreakBefore w:val="0"/>
        <w:kinsoku/>
        <w:wordWrap/>
        <w:overflowPunct/>
        <w:topLinePunct w:val="0"/>
        <w:bidi w:val="0"/>
        <w:spacing w:before="0" w:beforeAutospacing="0" w:after="0" w:afterAutospacing="0" w:line="3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、大写金额和小写金额不一致的，以大写金额为准；</w:t>
      </w:r>
    </w:p>
    <w:p w14:paraId="54F31980">
      <w:pPr>
        <w:pStyle w:val="34"/>
        <w:keepNext w:val="0"/>
        <w:keepLines w:val="0"/>
        <w:pageBreakBefore w:val="0"/>
        <w:kinsoku/>
        <w:wordWrap/>
        <w:overflowPunct/>
        <w:topLinePunct w:val="0"/>
        <w:bidi w:val="0"/>
        <w:spacing w:before="0" w:beforeAutospacing="0" w:after="0" w:afterAutospacing="0" w:line="380" w:lineRule="exact"/>
        <w:ind w:firstLine="465"/>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、总价金额与按单价汇总金额不一致的，以单价金额计算结果为准。</w:t>
      </w:r>
    </w:p>
    <w:p w14:paraId="217046BA">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同时出现两种以上不一致的，按照前款规定的顺序修正。修正应在电子交易系统平台中进行。修正后的报价经磋商供应商确认后产生约束力，磋商供应商不确认的，将终止磋商。</w:t>
      </w:r>
    </w:p>
    <w:p w14:paraId="0610C406">
      <w:pPr>
        <w:pStyle w:val="34"/>
        <w:keepNext w:val="0"/>
        <w:keepLines w:val="0"/>
        <w:pageBreakBefore w:val="0"/>
        <w:kinsoku/>
        <w:wordWrap/>
        <w:overflowPunct/>
        <w:topLinePunct w:val="0"/>
        <w:bidi w:val="0"/>
        <w:spacing w:before="0" w:beforeAutospacing="0" w:after="0" w:afterAutospacing="0" w:line="38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
          <w:color w:val="auto"/>
          <w:sz w:val="21"/>
          <w:szCs w:val="21"/>
          <w:highlight w:val="none"/>
        </w:rPr>
        <w:t>磋商供应商存在下列情况之一的，响应无效，终止磋商</w:t>
      </w:r>
    </w:p>
    <w:p w14:paraId="4BA9C99D">
      <w:pPr>
        <w:keepNext w:val="0"/>
        <w:keepLines w:val="0"/>
        <w:pageBreakBefore w:val="0"/>
        <w:tabs>
          <w:tab w:val="left" w:pos="1898"/>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1、未在规定时间内上传</w:t>
      </w:r>
      <w:r>
        <w:rPr>
          <w:rFonts w:hint="eastAsia" w:ascii="宋体" w:hAnsi="宋体" w:eastAsia="宋体" w:cs="宋体"/>
          <w:color w:val="auto"/>
          <w:sz w:val="21"/>
          <w:szCs w:val="21"/>
          <w:highlight w:val="none"/>
        </w:rPr>
        <w:t>电子加密标书</w:t>
      </w:r>
      <w:r>
        <w:rPr>
          <w:rFonts w:hint="eastAsia" w:ascii="宋体" w:hAnsi="宋体" w:eastAsia="宋体" w:cs="宋体"/>
          <w:color w:val="auto"/>
          <w:kern w:val="0"/>
          <w:sz w:val="21"/>
          <w:szCs w:val="21"/>
          <w:highlight w:val="none"/>
        </w:rPr>
        <w:t>，或者非系统平台自身解密异常情况下电子加密标书和电子备份标书均解密失败或未按时解密的。</w:t>
      </w:r>
    </w:p>
    <w:p w14:paraId="7DF74D0C">
      <w:pPr>
        <w:keepNext w:val="0"/>
        <w:keepLines w:val="0"/>
        <w:pageBreakBefore w:val="0"/>
        <w:tabs>
          <w:tab w:val="left" w:pos="1898"/>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2、不具备磋商文件中规定的资格要求或资格审查资料提供不全的。</w:t>
      </w:r>
    </w:p>
    <w:p w14:paraId="7FC0FF44">
      <w:pPr>
        <w:keepNext w:val="0"/>
        <w:keepLines w:val="0"/>
        <w:pageBreakBefore w:val="0"/>
        <w:tabs>
          <w:tab w:val="left" w:pos="1898"/>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3、项目工期（或服务期限）、付款方式等实质性商务条款不能满足磋商文件要求的。</w:t>
      </w:r>
    </w:p>
    <w:p w14:paraId="708C0C13">
      <w:pPr>
        <w:pStyle w:val="34"/>
        <w:keepNext w:val="0"/>
        <w:keepLines w:val="0"/>
        <w:pageBreakBefore w:val="0"/>
        <w:kinsoku/>
        <w:wordWrap/>
        <w:overflowPunct/>
        <w:topLinePunct w:val="0"/>
        <w:bidi w:val="0"/>
        <w:adjustRightInd w:val="0"/>
        <w:snapToGrid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4、磋商响应文件含有采购人不能接受的附加条件的。</w:t>
      </w:r>
    </w:p>
    <w:p w14:paraId="580CEABB">
      <w:pPr>
        <w:pStyle w:val="34"/>
        <w:keepNext w:val="0"/>
        <w:keepLines w:val="0"/>
        <w:pageBreakBefore w:val="0"/>
        <w:kinsoku/>
        <w:wordWrap/>
        <w:overflowPunct/>
        <w:topLinePunct w:val="0"/>
        <w:bidi w:val="0"/>
        <w:adjustRightInd w:val="0"/>
        <w:snapToGrid w:val="0"/>
        <w:spacing w:before="0" w:beforeAutospacing="0" w:after="0" w:afterAutospacing="0"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536C88B">
      <w:pPr>
        <w:pStyle w:val="34"/>
        <w:keepNext w:val="0"/>
        <w:keepLines w:val="0"/>
        <w:pageBreakBefore w:val="0"/>
        <w:kinsoku/>
        <w:wordWrap/>
        <w:overflowPunct/>
        <w:topLinePunct w:val="0"/>
        <w:bidi w:val="0"/>
        <w:adjustRightInd w:val="0"/>
        <w:snapToGrid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6、报价超过磋商采购文件中规定的预算金额/最高限价。</w:t>
      </w:r>
    </w:p>
    <w:p w14:paraId="355A87A4">
      <w:pPr>
        <w:pStyle w:val="34"/>
        <w:keepNext w:val="0"/>
        <w:keepLines w:val="0"/>
        <w:pageBreakBefore w:val="0"/>
        <w:kinsoku/>
        <w:wordWrap/>
        <w:overflowPunct/>
        <w:topLinePunct w:val="0"/>
        <w:bidi w:val="0"/>
        <w:adjustRightInd w:val="0"/>
        <w:snapToGrid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7、最后报价高于首次报价（采购需求中的技术、服务要求发生实质性变动的情况除外）。</w:t>
      </w:r>
    </w:p>
    <w:p w14:paraId="5C8BF6B0">
      <w:pPr>
        <w:pStyle w:val="34"/>
        <w:keepNext w:val="0"/>
        <w:keepLines w:val="0"/>
        <w:pageBreakBefore w:val="0"/>
        <w:kinsoku/>
        <w:wordWrap/>
        <w:overflowPunct/>
        <w:topLinePunct w:val="0"/>
        <w:bidi w:val="0"/>
        <w:adjustRightInd w:val="0"/>
        <w:snapToGrid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8、未提交最后报价，视为放弃磋商的。</w:t>
      </w:r>
    </w:p>
    <w:p w14:paraId="3897D579">
      <w:pPr>
        <w:keepNext w:val="0"/>
        <w:keepLines w:val="0"/>
        <w:pageBreakBefore w:val="0"/>
        <w:kinsoku/>
        <w:wordWrap/>
        <w:overflowPunct/>
        <w:topLinePunct w:val="0"/>
        <w:bidi w:val="0"/>
        <w:adjustRightInd w:val="0"/>
        <w:snapToGrid w:val="0"/>
        <w:spacing w:line="380" w:lineRule="exact"/>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9、报价文件中报价的货物跟商务与技术文件中的投标货物出现重大偏差的。</w:t>
      </w:r>
    </w:p>
    <w:p w14:paraId="73B5D90B">
      <w:pPr>
        <w:pStyle w:val="34"/>
        <w:keepNext w:val="0"/>
        <w:keepLines w:val="0"/>
        <w:pageBreakBefore w:val="0"/>
        <w:kinsoku/>
        <w:wordWrap/>
        <w:overflowPunct/>
        <w:topLinePunct w:val="0"/>
        <w:bidi w:val="0"/>
        <w:adjustRightInd w:val="0"/>
        <w:snapToGrid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10、主要性能参数指标（或服务要求）（打“▲”的）存在负偏离的。</w:t>
      </w:r>
    </w:p>
    <w:p w14:paraId="2360BBA9">
      <w:pPr>
        <w:keepNext w:val="0"/>
        <w:keepLines w:val="0"/>
        <w:pageBreakBefore w:val="0"/>
        <w:tabs>
          <w:tab w:val="left" w:pos="1898"/>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11、磋商参数未如实填写，完全复制粘贴磋商采购参数的。</w:t>
      </w:r>
    </w:p>
    <w:p w14:paraId="03CB6545">
      <w:pPr>
        <w:keepNext w:val="0"/>
        <w:keepLines w:val="0"/>
        <w:pageBreakBefore w:val="0"/>
        <w:tabs>
          <w:tab w:val="left" w:pos="1898"/>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12、磋商响应文件提供虚假材料的。</w:t>
      </w:r>
    </w:p>
    <w:p w14:paraId="52F56B9D">
      <w:pPr>
        <w:keepNext w:val="0"/>
        <w:keepLines w:val="0"/>
        <w:pageBreakBefore w:val="0"/>
        <w:tabs>
          <w:tab w:val="left" w:pos="1898"/>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sz w:val="21"/>
          <w:szCs w:val="21"/>
          <w:highlight w:val="none"/>
        </w:rPr>
        <w:t>不同供应商的磋商响应文件由同一单位或者个人编制，或者不同供应商的磋商响应文件从同一个IP地址制作或上传。</w:t>
      </w:r>
    </w:p>
    <w:p w14:paraId="6C8E4D4D">
      <w:pPr>
        <w:pStyle w:val="34"/>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14、不同供应商委托同一单位或者个人办理磋商事宜。</w:t>
      </w:r>
    </w:p>
    <w:p w14:paraId="33033540">
      <w:pPr>
        <w:pStyle w:val="34"/>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15、不同供应商的磋商响应文件载明的项目管理成员或者联系人员为同一人。</w:t>
      </w:r>
    </w:p>
    <w:p w14:paraId="589CE868">
      <w:pPr>
        <w:pStyle w:val="34"/>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16、不同供应商的磋商响应文件异常一致或者报价呈规律性差异。</w:t>
      </w:r>
    </w:p>
    <w:p w14:paraId="42ABBEC7">
      <w:pPr>
        <w:pStyle w:val="34"/>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17、不同供应商的磋商响应文件相互混装。</w:t>
      </w:r>
    </w:p>
    <w:p w14:paraId="360515BC">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18、不符合法律、法规和磋商采购文件中规定的其他实质性要求的（磋商采购文件中打“▲”内容及被拒绝的条款）。</w:t>
      </w:r>
    </w:p>
    <w:p w14:paraId="47215671">
      <w:pPr>
        <w:pStyle w:val="34"/>
        <w:keepNext w:val="0"/>
        <w:keepLines w:val="0"/>
        <w:pageBreakBefore w:val="0"/>
        <w:shd w:val="clear" w:color="auto" w:fill="FFFFFF"/>
        <w:kinsoku/>
        <w:wordWrap/>
        <w:overflowPunct/>
        <w:topLinePunct w:val="0"/>
        <w:bidi w:val="0"/>
        <w:spacing w:before="0" w:beforeAutospacing="0" w:after="0" w:afterAutospacing="0" w:line="380" w:lineRule="exact"/>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bCs/>
          <w:color w:val="auto"/>
          <w:kern w:val="2"/>
          <w:sz w:val="21"/>
          <w:szCs w:val="21"/>
          <w:highlight w:val="none"/>
        </w:rPr>
        <w:t>（六）采购过程中出现以下情形，导致电子交易平台无法正常运行，或者无法保证电子交易的公平、公正和安全时，采购组织机构可中止电子交易活动：</w:t>
      </w:r>
    </w:p>
    <w:p w14:paraId="233A3BCC">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 </w:t>
      </w:r>
    </w:p>
    <w:p w14:paraId="485F5F13">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5B4B24D2">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35417CFC">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 </w:t>
      </w:r>
    </w:p>
    <w:p w14:paraId="23B87052">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32A74D1C">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出现上述情形，在不影响采购公平、公正性的前提下，采购组织机构可以待上述情形消除后继续组织电子交易活动，也可以决定某些环节以纸质形式进行。</w:t>
      </w:r>
    </w:p>
    <w:p w14:paraId="419FFBEE">
      <w:pPr>
        <w:keepNext w:val="0"/>
        <w:keepLines w:val="0"/>
        <w:pageBreakBefore w:val="0"/>
        <w:kinsoku/>
        <w:wordWrap/>
        <w:overflowPunct/>
        <w:topLinePunct w:val="0"/>
        <w:autoSpaceDE w:val="0"/>
        <w:autoSpaceDN w:val="0"/>
        <w:bidi w:val="0"/>
        <w:adjustRightInd w:val="0"/>
        <w:spacing w:line="38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（七）有下列情况之一的，本次磋商终止。</w:t>
      </w:r>
    </w:p>
    <w:p w14:paraId="451EC7F8">
      <w:pPr>
        <w:pStyle w:val="34"/>
        <w:keepNext w:val="0"/>
        <w:keepLines w:val="0"/>
        <w:pageBreakBefore w:val="0"/>
        <w:kinsoku/>
        <w:wordWrap/>
        <w:overflowPunct/>
        <w:topLinePunct w:val="0"/>
        <w:bidi w:val="0"/>
        <w:spacing w:before="0" w:beforeAutospacing="0" w:after="0" w:afterAutospacing="0" w:line="38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1EB7F334">
      <w:pPr>
        <w:pStyle w:val="34"/>
        <w:keepNext w:val="0"/>
        <w:keepLines w:val="0"/>
        <w:pageBreakBefore w:val="0"/>
        <w:kinsoku/>
        <w:wordWrap/>
        <w:overflowPunct/>
        <w:topLinePunct w:val="0"/>
        <w:bidi w:val="0"/>
        <w:spacing w:before="0" w:beforeAutospacing="0" w:after="0" w:afterAutospacing="0" w:line="38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73047C1">
      <w:pPr>
        <w:pStyle w:val="34"/>
        <w:keepNext w:val="0"/>
        <w:keepLines w:val="0"/>
        <w:pageBreakBefore w:val="0"/>
        <w:kinsoku/>
        <w:wordWrap/>
        <w:overflowPunct/>
        <w:topLinePunct w:val="0"/>
        <w:bidi w:val="0"/>
        <w:spacing w:before="0" w:beforeAutospacing="0" w:after="0" w:afterAutospacing="0" w:line="38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DC3F886">
      <w:pPr>
        <w:pStyle w:val="34"/>
        <w:keepNext w:val="0"/>
        <w:keepLines w:val="0"/>
        <w:pageBreakBefore w:val="0"/>
        <w:kinsoku/>
        <w:wordWrap/>
        <w:overflowPunct/>
        <w:topLinePunct w:val="0"/>
        <w:bidi w:val="0"/>
        <w:spacing w:before="0" w:beforeAutospacing="0" w:after="0" w:afterAutospacing="0" w:line="38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1189D965">
      <w:pPr>
        <w:pStyle w:val="34"/>
        <w:keepNext w:val="0"/>
        <w:keepLines w:val="0"/>
        <w:pageBreakBefore w:val="0"/>
        <w:kinsoku/>
        <w:wordWrap/>
        <w:overflowPunct/>
        <w:topLinePunct w:val="0"/>
        <w:bidi w:val="0"/>
        <w:spacing w:before="0" w:beforeAutospacing="0" w:after="0" w:afterAutospacing="0" w:line="380" w:lineRule="exact"/>
        <w:ind w:firstLine="314" w:firstLineChars="149"/>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（八）磋商原则和方法</w:t>
      </w:r>
    </w:p>
    <w:p w14:paraId="19148B80">
      <w:pPr>
        <w:pStyle w:val="21"/>
        <w:keepNext w:val="0"/>
        <w:keepLines w:val="0"/>
        <w:pageBreakBefore w:val="0"/>
        <w:kinsoku/>
        <w:wordWrap/>
        <w:overflowPunct/>
        <w:topLinePunct w:val="0"/>
        <w:bidi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32D9DD4">
      <w:pPr>
        <w:pStyle w:val="21"/>
        <w:keepNext w:val="0"/>
        <w:keepLines w:val="0"/>
        <w:pageBreakBefore w:val="0"/>
        <w:kinsoku/>
        <w:wordWrap/>
        <w:overflowPunct/>
        <w:topLinePunct w:val="0"/>
        <w:bidi w:val="0"/>
        <w:snapToGrid w:val="0"/>
        <w:spacing w:line="380" w:lineRule="exact"/>
        <w:ind w:left="359" w:leftChars="171"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2、磋商办法。具体磋商内容及评分标准等详见《第四章：评审方法及评分标准》。</w:t>
      </w:r>
    </w:p>
    <w:p w14:paraId="6ADAD616">
      <w:pPr>
        <w:pStyle w:val="21"/>
        <w:keepNext w:val="0"/>
        <w:keepLines w:val="0"/>
        <w:pageBreakBefore w:val="0"/>
        <w:kinsoku/>
        <w:wordWrap/>
        <w:overflowPunct/>
        <w:topLinePunct w:val="0"/>
        <w:bidi w:val="0"/>
        <w:snapToGrid w:val="0"/>
        <w:spacing w:line="380" w:lineRule="exact"/>
        <w:ind w:left="359" w:leftChars="171"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（九）评审过程的监控</w:t>
      </w:r>
    </w:p>
    <w:p w14:paraId="5492234B">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1、本项目评审过程实行全程录音、录像监控，监管部门视情进行现场监督，供应商在评审过程中所进行的试图影响评审结果的不公正活动，可能导致其被拒绝磋商。</w:t>
      </w:r>
    </w:p>
    <w:p w14:paraId="0FAF8CA3">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2、评审过程中出现录音录像采集设备不能正常运行的，应当立即封存评审资料、中止评审活动，直至设备（或替代设备）运转正常或转移至符合条件的场所后继续进行评审工作。</w:t>
      </w:r>
    </w:p>
    <w:p w14:paraId="205CDF45">
      <w:pPr>
        <w:pStyle w:val="34"/>
        <w:keepNext w:val="0"/>
        <w:keepLines w:val="0"/>
        <w:pageBreakBefore w:val="0"/>
        <w:kinsoku/>
        <w:wordWrap/>
        <w:overflowPunct/>
        <w:topLinePunct w:val="0"/>
        <w:bidi w:val="0"/>
        <w:spacing w:before="0" w:beforeAutospacing="0" w:after="0" w:afterAutospacing="0" w:line="380" w:lineRule="exact"/>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六、磋商结果确定</w:t>
      </w:r>
    </w:p>
    <w:p w14:paraId="60CEBCC3">
      <w:pPr>
        <w:pStyle w:val="34"/>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4B28D41">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2、发布成交结果公告。采购组织机构应当在成交供应商确定后2个工作日内，在“浙江政府采购网”和“仙居县公共资源</w:t>
      </w:r>
      <w:r>
        <w:rPr>
          <w:rFonts w:hint="eastAsia" w:ascii="宋体" w:hAnsi="宋体" w:eastAsia="宋体" w:cs="宋体"/>
          <w:bCs/>
          <w:color w:val="auto"/>
          <w:sz w:val="21"/>
          <w:szCs w:val="21"/>
          <w:highlight w:val="none"/>
        </w:rPr>
        <w:t>交易网</w:t>
      </w:r>
      <w:r>
        <w:rPr>
          <w:rFonts w:hint="eastAsia" w:ascii="宋体" w:hAnsi="宋体" w:eastAsia="宋体" w:cs="宋体"/>
          <w:color w:val="auto"/>
          <w:kern w:val="0"/>
          <w:sz w:val="21"/>
          <w:szCs w:val="21"/>
          <w:highlight w:val="none"/>
        </w:rPr>
        <w:t>”上公告成交结果，成交结果公告将包括中标人名称、地址和中标金额，主要中标标的的名称、规格型号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、数量、单价、服务要求以及评审专家名单等内容。</w:t>
      </w:r>
      <w:r>
        <w:rPr>
          <w:rFonts w:hint="eastAsia" w:ascii="宋体" w:hAnsi="宋体" w:eastAsia="宋体" w:cs="宋体"/>
          <w:color w:val="auto"/>
          <w:kern w:val="0"/>
          <w:sz w:val="21"/>
          <w:szCs w:val="21"/>
          <w:highlight w:val="none"/>
          <w:u w:val="single"/>
        </w:rPr>
        <w:t>因中标结果公告需要，评审结果排名第一的中标候选人在评审结束后1个工作日内将《中标供应商公告内容》填写完整后，以电子文档形式提交给采购代理机构项目负责人（或者发送至电子邮箱：</w:t>
      </w:r>
      <w:r>
        <w:rPr>
          <w:rFonts w:hint="eastAsia" w:ascii="宋体" w:hAnsi="宋体" w:eastAsia="宋体" w:cs="宋体"/>
          <w:color w:val="auto"/>
          <w:kern w:val="0"/>
          <w:sz w:val="21"/>
          <w:szCs w:val="21"/>
          <w:highlight w:val="none"/>
          <w:u w:val="single"/>
          <w:lang w:eastAsia="zh-CN"/>
        </w:rPr>
        <w:t>109678775</w:t>
      </w:r>
      <w:r>
        <w:rPr>
          <w:rFonts w:hint="eastAsia" w:ascii="宋体" w:hAnsi="宋体" w:eastAsia="宋体" w:cs="宋体"/>
          <w:color w:val="auto"/>
          <w:kern w:val="0"/>
          <w:sz w:val="21"/>
          <w:szCs w:val="21"/>
          <w:highlight w:val="none"/>
          <w:u w:val="single"/>
        </w:rPr>
        <w:t>@qq.com）。未按时提供所造成的后果由供应商自行承担。</w:t>
      </w:r>
    </w:p>
    <w:p w14:paraId="07A594CA">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3、发出成交通知书。采购组织机构在发布成交结果同时，向成交供应商发出成交通知书。</w:t>
      </w:r>
    </w:p>
    <w:p w14:paraId="5D2F65A8">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27A16E66">
      <w:pPr>
        <w:keepNext w:val="0"/>
        <w:keepLines w:val="0"/>
        <w:pageBreakBefore w:val="0"/>
        <w:kinsoku/>
        <w:wordWrap/>
        <w:overflowPunct/>
        <w:topLinePunct w:val="0"/>
        <w:bidi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5、各参加</w:t>
      </w:r>
      <w:r>
        <w:rPr>
          <w:rFonts w:hint="eastAsia" w:ascii="宋体" w:hAnsi="宋体" w:eastAsia="宋体" w:cs="宋体"/>
          <w:color w:val="auto"/>
          <w:sz w:val="21"/>
          <w:szCs w:val="21"/>
          <w:highlight w:val="none"/>
        </w:rPr>
        <w:t>采购</w:t>
      </w:r>
      <w:r>
        <w:rPr>
          <w:rFonts w:hint="eastAsia" w:ascii="宋体" w:hAnsi="宋体" w:eastAsia="宋体" w:cs="宋体"/>
          <w:color w:val="auto"/>
          <w:kern w:val="0"/>
          <w:sz w:val="21"/>
          <w:szCs w:val="21"/>
          <w:highlight w:val="none"/>
        </w:rPr>
        <w:t>活动的供应商认为该中标/成交结果和采购过程等使自己的权益受到损害的，可以自结果公告期限届满之日（结果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37EEB124">
      <w:pPr>
        <w:keepNext w:val="0"/>
        <w:keepLines w:val="0"/>
        <w:pageBreakBefore w:val="0"/>
        <w:kinsoku/>
        <w:wordWrap/>
        <w:overflowPunct/>
        <w:topLinePunct w:val="0"/>
        <w:bidi w:val="0"/>
        <w:spacing w:line="38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七、合同签订及公告</w:t>
      </w:r>
    </w:p>
    <w:p w14:paraId="090541CE">
      <w:pPr>
        <w:pStyle w:val="16"/>
        <w:keepNext w:val="0"/>
        <w:keepLines w:val="0"/>
        <w:pageBreakBefore w:val="0"/>
        <w:kinsoku/>
        <w:wordWrap/>
        <w:overflowPunct/>
        <w:topLinePunct w:val="0"/>
        <w:bidi w:val="0"/>
        <w:spacing w:after="0"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3CF00557">
      <w:pPr>
        <w:pStyle w:val="16"/>
        <w:keepNext w:val="0"/>
        <w:keepLines w:val="0"/>
        <w:pageBreakBefore w:val="0"/>
        <w:kinsoku/>
        <w:wordWrap/>
        <w:overflowPunct/>
        <w:topLinePunct w:val="0"/>
        <w:bidi w:val="0"/>
        <w:spacing w:after="0" w:line="3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应当自成交通知书发出之日起30天内，按照磋商文件和中标人磋商响应文件的规定，与中标人签订书面合同，具体签约时间以采购人通知为准。所签订的合同不得对磋商文件确定的事项和中标人磋商响应文件作实质性修改。</w:t>
      </w:r>
    </w:p>
    <w:p w14:paraId="1EA96B52">
      <w:pPr>
        <w:pStyle w:val="34"/>
        <w:keepNext w:val="0"/>
        <w:keepLines w:val="0"/>
        <w:pageBreakBefore w:val="0"/>
        <w:kinsoku/>
        <w:wordWrap/>
        <w:overflowPunct/>
        <w:topLinePunct w:val="0"/>
        <w:bidi w:val="0"/>
        <w:spacing w:before="0" w:beforeAutospacing="0" w:after="0" w:afterAutospacing="0" w:line="38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w:t>
      </w:r>
    </w:p>
    <w:p w14:paraId="1D44FA7F">
      <w:pPr>
        <w:pStyle w:val="34"/>
        <w:keepNext w:val="0"/>
        <w:keepLines w:val="0"/>
        <w:pageBreakBefore w:val="0"/>
        <w:kinsoku/>
        <w:wordWrap/>
        <w:overflowPunct/>
        <w:topLinePunct w:val="0"/>
        <w:bidi w:val="0"/>
        <w:spacing w:before="0" w:beforeAutospacing="0" w:after="0" w:afterAutospacing="0" w:line="38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3、成交供应商无故拖延、拒签合同的，将被扣罚投标保证金并取消中标资格。同时，拒绝与采购人签订合同的供应商，将由监管部门作出处理。</w:t>
      </w:r>
    </w:p>
    <w:p w14:paraId="66FC3C18">
      <w:pPr>
        <w:pStyle w:val="34"/>
        <w:keepNext w:val="0"/>
        <w:keepLines w:val="0"/>
        <w:pageBreakBefore w:val="0"/>
        <w:kinsoku/>
        <w:wordWrap/>
        <w:overflowPunct/>
        <w:topLinePunct w:val="0"/>
        <w:bidi w:val="0"/>
        <w:spacing w:before="0" w:beforeAutospacing="0" w:after="0" w:afterAutospacing="0" w:line="380" w:lineRule="exact"/>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4、成交供应商拒绝与采购人签订合同的，则采购人另行组织采购活动。同时，拒绝与采购人签订合同的供应商，由监管部门依法作出处理。</w:t>
      </w:r>
    </w:p>
    <w:p w14:paraId="737C07F9">
      <w:pPr>
        <w:pStyle w:val="34"/>
        <w:keepNext w:val="0"/>
        <w:keepLines w:val="0"/>
        <w:pageBreakBefore w:val="0"/>
        <w:kinsoku/>
        <w:wordWrap/>
        <w:overflowPunct/>
        <w:topLinePunct w:val="0"/>
        <w:bidi w:val="0"/>
        <w:spacing w:before="0" w:beforeAutospacing="0" w:after="0" w:afterAutospacing="0"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3CBD3A18">
      <w:pPr>
        <w:pStyle w:val="34"/>
        <w:keepNext w:val="0"/>
        <w:keepLines w:val="0"/>
        <w:pageBreakBefore w:val="0"/>
        <w:kinsoku/>
        <w:wordWrap/>
        <w:overflowPunct/>
        <w:topLinePunct w:val="0"/>
        <w:bidi w:val="0"/>
        <w:spacing w:before="0" w:beforeAutospacing="0" w:after="0" w:afterAutospacing="0"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应当自采购合同签订之日起2个工作日内，将采购合同在浙江省政府采购网公告，但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14:paraId="454C4B70">
      <w:pPr>
        <w:pStyle w:val="34"/>
        <w:keepNext w:val="0"/>
        <w:keepLines w:val="0"/>
        <w:pageBreakBefore w:val="0"/>
        <w:kinsoku/>
        <w:wordWrap/>
        <w:overflowPunct/>
        <w:topLinePunct w:val="0"/>
        <w:bidi w:val="0"/>
        <w:spacing w:before="0" w:beforeAutospacing="0" w:after="0" w:afterAutospacing="0" w:line="38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7、如中标供应商为非浙江省政府采购正式注册入库供应商的，供应商必须根据浙江省财政厅《关于印发浙江省政府采购供应商注册及诚信管理暂行办法的通知》【浙财采监字〔2009〕28号】规定，在浙江政府采购网上进行正式注册入库，否则因此造成的后果由该供应商承担。</w:t>
      </w:r>
    </w:p>
    <w:p w14:paraId="6B5F06C5">
      <w:pPr>
        <w:pStyle w:val="34"/>
        <w:keepNext w:val="0"/>
        <w:keepLines w:val="0"/>
        <w:pageBreakBefore w:val="0"/>
        <w:kinsoku/>
        <w:wordWrap/>
        <w:overflowPunct/>
        <w:topLinePunct w:val="0"/>
        <w:bidi w:val="0"/>
        <w:spacing w:before="0" w:beforeAutospacing="0" w:after="0" w:afterAutospacing="0" w:line="380" w:lineRule="exact"/>
        <w:ind w:firstLine="527" w:firstLineChars="2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（二）履约保证金</w:t>
      </w:r>
    </w:p>
    <w:p w14:paraId="151A237E">
      <w:pPr>
        <w:pStyle w:val="16"/>
        <w:keepNext w:val="0"/>
        <w:keepLines w:val="0"/>
        <w:pageBreakBefore w:val="0"/>
        <w:kinsoku/>
        <w:wordWrap/>
        <w:overflowPunct/>
        <w:topLinePunct w:val="0"/>
        <w:bidi w:val="0"/>
        <w:spacing w:after="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1、中标人应按磋商文件投标人须知前附表中规定的金额，向采购人交纳的履约保证金。</w:t>
      </w:r>
    </w:p>
    <w:p w14:paraId="523A8896">
      <w:pPr>
        <w:pStyle w:val="16"/>
        <w:keepNext w:val="0"/>
        <w:keepLines w:val="0"/>
        <w:pageBreakBefore w:val="0"/>
        <w:kinsoku/>
        <w:wordWrap/>
        <w:overflowPunct/>
        <w:topLinePunct w:val="0"/>
        <w:bidi w:val="0"/>
        <w:spacing w:after="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2、签订合同后，如中标人不按双方签订合同约定履约或者产品质量验收不合格的，则不予返还其全部履约保证金，履约保证金不足以赔偿损失的，按实际损失赔偿。</w:t>
      </w:r>
    </w:p>
    <w:p w14:paraId="4256A00C">
      <w:pPr>
        <w:pStyle w:val="16"/>
        <w:keepNext w:val="0"/>
        <w:keepLines w:val="0"/>
        <w:pageBreakBefore w:val="0"/>
        <w:kinsoku/>
        <w:wordWrap/>
        <w:overflowPunct/>
        <w:topLinePunct w:val="0"/>
        <w:bidi w:val="0"/>
        <w:spacing w:after="0"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3、履约保证金将在中标供应商完成供货（或服务）并经采购人验收合格后15日内，凭合法收据向采购人申请无息退还（出现违约情况除外）。</w:t>
      </w:r>
    </w:p>
    <w:p w14:paraId="4BFEBA18">
      <w:pPr>
        <w:pStyle w:val="34"/>
        <w:keepNext w:val="0"/>
        <w:keepLines w:val="0"/>
        <w:pageBreakBefore w:val="0"/>
        <w:kinsoku/>
        <w:wordWrap/>
        <w:overflowPunct/>
        <w:topLinePunct w:val="0"/>
        <w:bidi w:val="0"/>
        <w:spacing w:before="0" w:beforeAutospacing="0" w:after="0" w:afterAutospacing="0" w:line="380" w:lineRule="exact"/>
        <w:ind w:firstLine="527" w:firstLineChars="2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（三）采购代理服务费</w:t>
      </w:r>
    </w:p>
    <w:p w14:paraId="4679563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spacing w:line="380" w:lineRule="exact"/>
        <w:ind w:left="239" w:leftChars="114" w:firstLine="210" w:firstLineChars="1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1、本次采购代理服务费</w:t>
      </w:r>
      <w:r>
        <w:rPr>
          <w:rFonts w:hint="eastAsia" w:ascii="宋体" w:hAnsi="宋体" w:eastAsia="宋体" w:cs="宋体"/>
          <w:color w:val="auto"/>
          <w:sz w:val="21"/>
          <w:szCs w:val="21"/>
          <w:highlight w:val="none"/>
        </w:rPr>
        <w:t>按“投标人须知前附表”规定收取。</w:t>
      </w:r>
    </w:p>
    <w:p w14:paraId="19A7234B">
      <w:pPr>
        <w:spacing w:line="360" w:lineRule="auto"/>
        <w:jc w:val="center"/>
        <w:rPr>
          <w:rFonts w:hint="eastAsia"/>
          <w:b/>
          <w:color w:val="auto"/>
          <w:sz w:val="36"/>
          <w:szCs w:val="36"/>
          <w:highlight w:val="none"/>
        </w:rPr>
      </w:pPr>
    </w:p>
    <w:p w14:paraId="0AF010B0">
      <w:pPr>
        <w:spacing w:line="360" w:lineRule="auto"/>
        <w:jc w:val="center"/>
        <w:rPr>
          <w:rFonts w:hint="eastAsia"/>
          <w:b/>
          <w:color w:val="auto"/>
          <w:sz w:val="36"/>
          <w:szCs w:val="36"/>
          <w:highlight w:val="none"/>
        </w:rPr>
      </w:pPr>
    </w:p>
    <w:p w14:paraId="6DFE50A3">
      <w:pPr>
        <w:pStyle w:val="153"/>
        <w:rPr>
          <w:rFonts w:hint="eastAsia"/>
          <w:b/>
          <w:color w:val="auto"/>
          <w:sz w:val="36"/>
          <w:szCs w:val="36"/>
          <w:highlight w:val="none"/>
        </w:rPr>
      </w:pPr>
    </w:p>
    <w:p w14:paraId="327E60DE">
      <w:pPr>
        <w:pStyle w:val="153"/>
        <w:rPr>
          <w:rFonts w:hint="eastAsia"/>
          <w:b/>
          <w:color w:val="auto"/>
          <w:sz w:val="36"/>
          <w:szCs w:val="36"/>
          <w:highlight w:val="none"/>
        </w:rPr>
      </w:pPr>
    </w:p>
    <w:p w14:paraId="7AC41F5C">
      <w:pPr>
        <w:pStyle w:val="153"/>
        <w:rPr>
          <w:rFonts w:hint="eastAsia"/>
          <w:b/>
          <w:color w:val="auto"/>
          <w:sz w:val="36"/>
          <w:szCs w:val="36"/>
          <w:highlight w:val="none"/>
        </w:rPr>
      </w:pPr>
    </w:p>
    <w:p w14:paraId="1B9517D5">
      <w:pPr>
        <w:pStyle w:val="153"/>
        <w:rPr>
          <w:rFonts w:hint="eastAsia"/>
          <w:b/>
          <w:color w:val="auto"/>
          <w:sz w:val="36"/>
          <w:szCs w:val="36"/>
          <w:highlight w:val="none"/>
        </w:rPr>
      </w:pPr>
    </w:p>
    <w:p w14:paraId="6DC7A1DB">
      <w:pPr>
        <w:pStyle w:val="153"/>
        <w:rPr>
          <w:rFonts w:hint="eastAsia"/>
          <w:b/>
          <w:color w:val="auto"/>
          <w:sz w:val="36"/>
          <w:szCs w:val="36"/>
          <w:highlight w:val="none"/>
        </w:rPr>
      </w:pPr>
    </w:p>
    <w:p w14:paraId="3778DCE3">
      <w:pPr>
        <w:pStyle w:val="153"/>
        <w:rPr>
          <w:rFonts w:hint="eastAsia"/>
          <w:b/>
          <w:color w:val="auto"/>
          <w:sz w:val="36"/>
          <w:szCs w:val="36"/>
          <w:highlight w:val="none"/>
        </w:rPr>
      </w:pPr>
    </w:p>
    <w:p w14:paraId="6BF29CE5">
      <w:pPr>
        <w:pStyle w:val="153"/>
        <w:rPr>
          <w:rFonts w:hint="eastAsia"/>
          <w:b/>
          <w:color w:val="auto"/>
          <w:sz w:val="36"/>
          <w:szCs w:val="36"/>
          <w:highlight w:val="none"/>
        </w:rPr>
      </w:pPr>
    </w:p>
    <w:p w14:paraId="72933575">
      <w:pPr>
        <w:pStyle w:val="153"/>
        <w:rPr>
          <w:rFonts w:hint="eastAsia"/>
          <w:b/>
          <w:color w:val="auto"/>
          <w:sz w:val="36"/>
          <w:szCs w:val="36"/>
          <w:highlight w:val="none"/>
        </w:rPr>
      </w:pPr>
    </w:p>
    <w:p w14:paraId="6230B6D9">
      <w:pPr>
        <w:pStyle w:val="153"/>
        <w:rPr>
          <w:rFonts w:hint="eastAsia"/>
          <w:b/>
          <w:color w:val="auto"/>
          <w:sz w:val="36"/>
          <w:szCs w:val="36"/>
          <w:highlight w:val="none"/>
        </w:rPr>
      </w:pPr>
    </w:p>
    <w:p w14:paraId="1916BE06">
      <w:pPr>
        <w:pStyle w:val="153"/>
        <w:rPr>
          <w:rFonts w:hint="eastAsia"/>
          <w:b/>
          <w:color w:val="auto"/>
          <w:sz w:val="36"/>
          <w:szCs w:val="36"/>
          <w:highlight w:val="none"/>
        </w:rPr>
      </w:pPr>
    </w:p>
    <w:p w14:paraId="0D24DEB2">
      <w:pPr>
        <w:pStyle w:val="2"/>
        <w:ind w:left="0" w:leftChars="0" w:firstLine="0" w:firstLineChars="0"/>
        <w:rPr>
          <w:rFonts w:hint="eastAsia"/>
          <w:color w:val="auto"/>
        </w:rPr>
      </w:pPr>
    </w:p>
    <w:p w14:paraId="1B5DD9EA">
      <w:pPr>
        <w:pStyle w:val="4"/>
        <w:rPr>
          <w:rFonts w:hint="eastAsia"/>
          <w:color w:val="auto"/>
        </w:rPr>
      </w:pPr>
    </w:p>
    <w:p w14:paraId="54D0A019">
      <w:pPr>
        <w:rPr>
          <w:rFonts w:hint="eastAsia"/>
          <w:color w:val="auto"/>
        </w:rPr>
      </w:pPr>
    </w:p>
    <w:p w14:paraId="25442FD2">
      <w:pPr>
        <w:pStyle w:val="2"/>
        <w:rPr>
          <w:rFonts w:hint="eastAsia"/>
          <w:color w:val="auto"/>
        </w:rPr>
      </w:pPr>
    </w:p>
    <w:p w14:paraId="58E0E0C5">
      <w:pPr>
        <w:spacing w:line="360" w:lineRule="auto"/>
        <w:jc w:val="center"/>
        <w:rPr>
          <w:color w:val="auto"/>
          <w:kern w:val="0"/>
          <w:sz w:val="36"/>
          <w:szCs w:val="36"/>
          <w:highlight w:val="none"/>
        </w:rPr>
      </w:pPr>
      <w:r>
        <w:rPr>
          <w:rFonts w:hint="eastAsia"/>
          <w:b/>
          <w:color w:val="auto"/>
          <w:sz w:val="36"/>
          <w:szCs w:val="36"/>
          <w:highlight w:val="none"/>
        </w:rPr>
        <w:t>第四章　评审办法及评审标准</w:t>
      </w:r>
    </w:p>
    <w:p w14:paraId="066D577A">
      <w:pPr>
        <w:autoSpaceDE w:val="0"/>
        <w:autoSpaceDN w:val="0"/>
        <w:spacing w:line="420" w:lineRule="exact"/>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进行综合评审。</w:t>
      </w:r>
    </w:p>
    <w:p w14:paraId="3B7CB52D">
      <w:pPr>
        <w:autoSpaceDE w:val="0"/>
        <w:autoSpaceDN w:val="0"/>
        <w:adjustRightIn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，总计100分（商务资信技术分为</w:t>
      </w:r>
      <w:r>
        <w:rPr>
          <w:rFonts w:hint="eastAsia" w:ascii="宋体" w:hAnsi="宋体" w:cs="宋体"/>
          <w:color w:val="auto"/>
          <w:kern w:val="0"/>
          <w:sz w:val="21"/>
          <w:szCs w:val="21"/>
          <w:highlight w:val="none"/>
          <w:lang w:val="en-US" w:eastAsia="zh-CN"/>
        </w:rPr>
        <w:t>75</w:t>
      </w:r>
      <w:r>
        <w:rPr>
          <w:rFonts w:hint="eastAsia" w:ascii="宋体" w:hAnsi="宋体" w:eastAsia="宋体" w:cs="宋体"/>
          <w:color w:val="auto"/>
          <w:kern w:val="0"/>
          <w:sz w:val="21"/>
          <w:szCs w:val="21"/>
          <w:highlight w:val="none"/>
        </w:rPr>
        <w:t>分，报价分为</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分）。各投标人的综合得分为其商务与技术文件得分与报价文件得分之和，即</w:t>
      </w:r>
      <w:r>
        <w:rPr>
          <w:rFonts w:hint="eastAsia" w:ascii="宋体" w:hAnsi="宋体" w:eastAsia="宋体" w:cs="宋体"/>
          <w:color w:val="auto"/>
          <w:kern w:val="0"/>
          <w:sz w:val="21"/>
          <w:szCs w:val="21"/>
          <w:highlight w:val="none"/>
          <w:u w:val="single"/>
        </w:rPr>
        <w:t>综合得分=商务与技术文件得分+ 报价文件得分</w:t>
      </w:r>
      <w:r>
        <w:rPr>
          <w:rFonts w:hint="eastAsia" w:ascii="宋体" w:hAnsi="宋体" w:eastAsia="宋体" w:cs="宋体"/>
          <w:color w:val="auto"/>
          <w:kern w:val="0"/>
          <w:sz w:val="21"/>
          <w:szCs w:val="21"/>
          <w:highlight w:val="none"/>
        </w:rPr>
        <w:t>。</w:t>
      </w:r>
    </w:p>
    <w:p w14:paraId="0A599922">
      <w:pPr>
        <w:autoSpaceDE w:val="0"/>
        <w:autoSpaceDN w:val="0"/>
        <w:adjustRightInd w:val="0"/>
        <w:spacing w:line="420" w:lineRule="exact"/>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（一）商务与技术文件中的各项评分由磋商小组在磋商文件评分细则规定的分值内单独评定打分。各磋商供应商的商务与技术文件得分</w:t>
      </w:r>
      <w:r>
        <w:rPr>
          <w:rFonts w:hint="eastAsia" w:ascii="宋体" w:hAnsi="宋体" w:eastAsia="宋体" w:cs="宋体"/>
          <w:color w:val="auto"/>
          <w:kern w:val="0"/>
          <w:sz w:val="21"/>
          <w:szCs w:val="21"/>
          <w:highlight w:val="none"/>
          <w:lang w:val="zh-CN"/>
        </w:rPr>
        <w:t>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员的独立评分结果汇总后的算术平均分计算，计算公式为：</w:t>
      </w:r>
      <w:r>
        <w:rPr>
          <w:rFonts w:hint="eastAsia" w:ascii="宋体" w:hAnsi="宋体" w:eastAsia="宋体" w:cs="宋体"/>
          <w:bCs/>
          <w:color w:val="auto"/>
          <w:sz w:val="21"/>
          <w:szCs w:val="21"/>
          <w:highlight w:val="none"/>
          <w:u w:val="single"/>
          <w:lang w:val="zh-CN"/>
        </w:rPr>
        <w:t>商务与技术文件得分=</w:t>
      </w:r>
      <w:r>
        <w:rPr>
          <w:rFonts w:hint="eastAsia" w:ascii="宋体" w:hAnsi="宋体" w:eastAsia="宋体" w:cs="宋体"/>
          <w:color w:val="auto"/>
          <w:sz w:val="21"/>
          <w:szCs w:val="21"/>
          <w:highlight w:val="none"/>
          <w:u w:val="single"/>
        </w:rPr>
        <w:t>磋商小组</w:t>
      </w:r>
      <w:r>
        <w:rPr>
          <w:rFonts w:hint="eastAsia" w:ascii="宋体" w:hAnsi="宋体" w:eastAsia="宋体" w:cs="宋体"/>
          <w:bCs/>
          <w:color w:val="auto"/>
          <w:sz w:val="21"/>
          <w:szCs w:val="21"/>
          <w:highlight w:val="none"/>
          <w:u w:val="single"/>
          <w:lang w:val="zh-CN"/>
        </w:rPr>
        <w:t>所有成员评分合计数</w:t>
      </w:r>
      <w:r>
        <w:rPr>
          <w:rFonts w:hint="eastAsia" w:ascii="宋体" w:hAnsi="宋体" w:eastAsia="宋体" w:cs="宋体"/>
          <w:b/>
          <w:color w:val="auto"/>
          <w:sz w:val="21"/>
          <w:szCs w:val="21"/>
          <w:highlight w:val="none"/>
          <w:u w:val="single"/>
          <w:lang w:val="zh-CN"/>
        </w:rPr>
        <w:t>/</w:t>
      </w:r>
      <w:r>
        <w:rPr>
          <w:rFonts w:hint="eastAsia" w:ascii="宋体" w:hAnsi="宋体" w:eastAsia="宋体" w:cs="宋体"/>
          <w:color w:val="auto"/>
          <w:sz w:val="21"/>
          <w:szCs w:val="21"/>
          <w:highlight w:val="none"/>
          <w:u w:val="single"/>
        </w:rPr>
        <w:t>磋商小组</w:t>
      </w:r>
      <w:r>
        <w:rPr>
          <w:rFonts w:hint="eastAsia" w:ascii="宋体" w:hAnsi="宋体" w:eastAsia="宋体" w:cs="宋体"/>
          <w:bCs/>
          <w:color w:val="auto"/>
          <w:sz w:val="21"/>
          <w:szCs w:val="21"/>
          <w:highlight w:val="none"/>
          <w:u w:val="single"/>
          <w:lang w:val="zh-CN"/>
        </w:rPr>
        <w:t>组成人员数。</w:t>
      </w:r>
    </w:p>
    <w:p w14:paraId="7E19E810">
      <w:pPr>
        <w:autoSpaceDE w:val="0"/>
        <w:autoSpaceDN w:val="0"/>
        <w:adjustRightInd w:val="0"/>
        <w:spacing w:line="420" w:lineRule="exact"/>
        <w:ind w:right="85"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（二）</w:t>
      </w:r>
      <w:r>
        <w:rPr>
          <w:rFonts w:hint="eastAsia" w:ascii="宋体" w:hAnsi="宋体" w:eastAsia="宋体" w:cs="宋体"/>
          <w:color w:val="auto"/>
          <w:kern w:val="0"/>
          <w:sz w:val="21"/>
          <w:szCs w:val="21"/>
          <w:highlight w:val="none"/>
        </w:rPr>
        <w:t>报价文件</w:t>
      </w:r>
      <w:r>
        <w:rPr>
          <w:rFonts w:hint="eastAsia" w:ascii="宋体" w:hAnsi="宋体" w:eastAsia="宋体" w:cs="宋体"/>
          <w:color w:val="auto"/>
          <w:sz w:val="21"/>
          <w:szCs w:val="21"/>
          <w:highlight w:val="none"/>
          <w:lang w:val="zh-CN"/>
        </w:rPr>
        <w:t>评分</w:t>
      </w:r>
      <w:r>
        <w:rPr>
          <w:rFonts w:hint="eastAsia" w:ascii="宋体" w:hAnsi="宋体" w:eastAsia="宋体" w:cs="宋体"/>
          <w:color w:val="auto"/>
          <w:sz w:val="21"/>
          <w:szCs w:val="21"/>
          <w:highlight w:val="none"/>
        </w:rPr>
        <w:t>统一</w:t>
      </w:r>
      <w:r>
        <w:rPr>
          <w:rFonts w:hint="eastAsia" w:ascii="宋体" w:hAnsi="宋体" w:eastAsia="宋体" w:cs="宋体"/>
          <w:color w:val="auto"/>
          <w:sz w:val="21"/>
          <w:szCs w:val="21"/>
          <w:highlight w:val="none"/>
          <w:lang w:val="zh-CN"/>
        </w:rPr>
        <w:t>采用低价优先法计算，即满足磋商文件实质性要求且最后报价最低的供应商的价格作为磋商基准价，其报价得满分。其他供应商的价格分统一按照下列公式计算：</w:t>
      </w: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rPr>
        <w:t>。评分结果采用四舍五入法，并保留小数2位，以乐采云系统计算为准。</w:t>
      </w:r>
    </w:p>
    <w:p w14:paraId="119F6F31">
      <w:pPr>
        <w:autoSpaceDE w:val="0"/>
        <w:autoSpaceDN w:val="0"/>
        <w:adjustRightInd w:val="0"/>
        <w:spacing w:line="420" w:lineRule="exact"/>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综合得分最高的供应商为成交候选供应商。供应商排序按评审后综合得分由高到低顺序排列。如综合得分相同，最后报价低者为先；如综合得分且最后报价相同的，以技术部分得分较高者为先。</w:t>
      </w:r>
    </w:p>
    <w:p w14:paraId="36F7470A">
      <w:pPr>
        <w:autoSpaceDE w:val="0"/>
        <w:autoSpaceDN w:val="0"/>
        <w:adjustRightInd w:val="0"/>
        <w:spacing w:line="420" w:lineRule="exact"/>
        <w:ind w:right="85"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kern w:val="0"/>
          <w:sz w:val="21"/>
          <w:szCs w:val="21"/>
          <w:highlight w:val="none"/>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1E906DCA">
      <w:pPr>
        <w:autoSpaceDE w:val="0"/>
        <w:autoSpaceDN w:val="0"/>
        <w:adjustRightInd w:val="0"/>
        <w:spacing w:afterLines="50" w:line="3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rPr>
        <w:t>五、本次评分具体分值细化条款如下表：</w:t>
      </w:r>
    </w:p>
    <w:tbl>
      <w:tblPr>
        <w:tblStyle w:val="38"/>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5"/>
        <w:gridCol w:w="7938"/>
        <w:gridCol w:w="674"/>
      </w:tblGrid>
      <w:tr w14:paraId="1FF1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33" w:type="dxa"/>
            <w:noWrap w:val="0"/>
            <w:vAlign w:val="center"/>
          </w:tcPr>
          <w:p w14:paraId="2F85CB17">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45" w:type="dxa"/>
            <w:noWrap w:val="0"/>
            <w:vAlign w:val="center"/>
          </w:tcPr>
          <w:p w14:paraId="05B8180D">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7938" w:type="dxa"/>
            <w:noWrap w:val="0"/>
            <w:vAlign w:val="center"/>
          </w:tcPr>
          <w:p w14:paraId="128D7868">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74" w:type="dxa"/>
            <w:noWrap w:val="0"/>
            <w:vAlign w:val="center"/>
          </w:tcPr>
          <w:p w14:paraId="2792DFD4">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517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716" w:type="dxa"/>
            <w:gridSpan w:val="3"/>
            <w:noWrap w:val="0"/>
            <w:vAlign w:val="center"/>
          </w:tcPr>
          <w:p w14:paraId="3201DBEF">
            <w:pPr>
              <w:pStyle w:val="32"/>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bCs/>
                <w:color w:val="auto"/>
                <w:sz w:val="21"/>
                <w:szCs w:val="21"/>
                <w:highlight w:val="none"/>
                <w:lang w:val="en-US" w:eastAsia="zh-CN"/>
              </w:rPr>
              <w:t>商务资信分</w:t>
            </w:r>
          </w:p>
        </w:tc>
        <w:tc>
          <w:tcPr>
            <w:tcW w:w="674" w:type="dxa"/>
            <w:noWrap w:val="0"/>
            <w:vAlign w:val="center"/>
          </w:tcPr>
          <w:p w14:paraId="7FDACF19">
            <w:pPr>
              <w:pStyle w:val="32"/>
              <w:keepNext w:val="0"/>
              <w:keepLines w:val="0"/>
              <w:pageBreakBefore w:val="0"/>
              <w:kinsoku/>
              <w:wordWrap/>
              <w:overflowPunct/>
              <w:topLinePunct w:val="0"/>
              <w:autoSpaceDE/>
              <w:autoSpaceDN/>
              <w:bidi w:val="0"/>
              <w:adjustRightInd/>
              <w:spacing w:line="340" w:lineRule="exact"/>
              <w:ind w:left="0" w:left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25</w:t>
            </w:r>
            <w:r>
              <w:rPr>
                <w:rFonts w:hint="eastAsia" w:ascii="宋体" w:hAnsi="宋体" w:eastAsia="宋体" w:cs="宋体"/>
                <w:b/>
                <w:color w:val="auto"/>
                <w:sz w:val="21"/>
                <w:szCs w:val="21"/>
                <w:highlight w:val="none"/>
                <w:lang w:val="en-US" w:eastAsia="zh-CN"/>
              </w:rPr>
              <w:t>分</w:t>
            </w:r>
          </w:p>
        </w:tc>
      </w:tr>
      <w:tr w14:paraId="141C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33" w:type="dxa"/>
            <w:noWrap w:val="0"/>
            <w:vAlign w:val="center"/>
          </w:tcPr>
          <w:p w14:paraId="35D5CFBD">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1245" w:type="dxa"/>
            <w:noWrap w:val="0"/>
            <w:vAlign w:val="center"/>
          </w:tcPr>
          <w:p w14:paraId="50A7613E">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000000" w:fill="FFFFFF"/>
              </w:rPr>
              <w:t>响应文件质量</w:t>
            </w:r>
          </w:p>
        </w:tc>
        <w:tc>
          <w:tcPr>
            <w:tcW w:w="7938" w:type="dxa"/>
            <w:noWrap w:val="0"/>
            <w:vAlign w:val="center"/>
          </w:tcPr>
          <w:p w14:paraId="1D33B82D">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编制的完整性、电子</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关联点设置是否定位准确、</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内容简洁明确程度及针对性等情况酌情评分，对于各个评分指标，</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应阐述明确，最高得2分；</w:t>
            </w:r>
          </w:p>
          <w:p w14:paraId="35A96B4C">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注：标书应条理清晰，严格按照</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的顺序响应，响应标书时不得打乱条款顺序，谋求鱼目混珠以骗取得分。若</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中出现内容顺序混乱、前后矛盾、或与招标文件要求不一致，</w:t>
            </w:r>
            <w:r>
              <w:rPr>
                <w:rFonts w:hint="eastAsia" w:ascii="宋体" w:hAnsi="宋体" w:eastAsia="宋体" w:cs="宋体"/>
                <w:b/>
                <w:bCs/>
                <w:color w:val="auto"/>
                <w:szCs w:val="21"/>
                <w:highlight w:val="none"/>
              </w:rPr>
              <w:t>该项由评委酌情</w:t>
            </w:r>
            <w:r>
              <w:rPr>
                <w:rFonts w:hint="eastAsia" w:ascii="宋体" w:hAnsi="宋体" w:eastAsia="宋体" w:cs="宋体"/>
                <w:b/>
                <w:color w:val="auto"/>
                <w:szCs w:val="21"/>
                <w:highlight w:val="none"/>
                <w:lang w:bidi="ar"/>
              </w:rPr>
              <w:t>评分</w:t>
            </w:r>
            <w:r>
              <w:rPr>
                <w:rFonts w:hint="eastAsia" w:ascii="宋体" w:hAnsi="宋体" w:eastAsia="宋体" w:cs="宋体"/>
                <w:b/>
                <w:bCs/>
                <w:color w:val="auto"/>
                <w:szCs w:val="21"/>
                <w:highlight w:val="none"/>
              </w:rPr>
              <w:t>。</w:t>
            </w:r>
          </w:p>
        </w:tc>
        <w:tc>
          <w:tcPr>
            <w:tcW w:w="674" w:type="dxa"/>
            <w:noWrap w:val="0"/>
            <w:vAlign w:val="center"/>
          </w:tcPr>
          <w:p w14:paraId="2723A3E6">
            <w:pPr>
              <w:pStyle w:val="32"/>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2</w:t>
            </w:r>
          </w:p>
        </w:tc>
      </w:tr>
      <w:tr w14:paraId="7219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3" w:type="dxa"/>
            <w:noWrap w:val="0"/>
            <w:vAlign w:val="center"/>
          </w:tcPr>
          <w:p w14:paraId="0482370A">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w:t>
            </w:r>
          </w:p>
        </w:tc>
        <w:tc>
          <w:tcPr>
            <w:tcW w:w="1245" w:type="dxa"/>
            <w:noWrap w:val="0"/>
            <w:vAlign w:val="center"/>
          </w:tcPr>
          <w:p w14:paraId="62BC5869">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bCs w:val="0"/>
                <w:color w:val="auto"/>
                <w:sz w:val="21"/>
                <w:szCs w:val="21"/>
                <w:highlight w:val="none"/>
                <w:shd w:val="clear" w:color="000000" w:fill="FFFFFF"/>
              </w:rPr>
            </w:pPr>
            <w:r>
              <w:rPr>
                <w:rFonts w:hint="eastAsia" w:ascii="宋体" w:hAnsi="宋体" w:eastAsia="宋体" w:cs="宋体"/>
                <w:b/>
                <w:bCs w:val="0"/>
                <w:color w:val="auto"/>
                <w:sz w:val="21"/>
                <w:szCs w:val="21"/>
                <w:highlight w:val="none"/>
                <w:shd w:val="clear" w:color="000000" w:fill="FFFFFF"/>
              </w:rPr>
              <w:t>认证证书</w:t>
            </w:r>
          </w:p>
        </w:tc>
        <w:tc>
          <w:tcPr>
            <w:tcW w:w="7938" w:type="dxa"/>
            <w:noWrap w:val="0"/>
            <w:vAlign w:val="center"/>
          </w:tcPr>
          <w:p w14:paraId="5EC6E0AE">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1.供应商提供职业健康安全管理体系认证证书的得1分；</w:t>
            </w:r>
          </w:p>
          <w:p w14:paraId="03CD8D7F">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2.供应商提供质量管理体系认证证书的得1分；</w:t>
            </w:r>
          </w:p>
          <w:p w14:paraId="0B710283">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3.供应商提供环境体系认证证书的得1分。</w:t>
            </w:r>
          </w:p>
          <w:p w14:paraId="684FAFCD">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注：所有证书须在有效期内，认证范围须与本项目相关，证书复印件或扫描件</w:t>
            </w:r>
            <w:r>
              <w:rPr>
                <w:rFonts w:hint="eastAsia" w:ascii="宋体" w:hAnsi="宋体" w:eastAsia="宋体" w:cs="宋体"/>
                <w:b/>
                <w:bCs/>
                <w:color w:val="auto"/>
                <w:sz w:val="21"/>
                <w:szCs w:val="21"/>
                <w:highlight w:val="none"/>
              </w:rPr>
              <w:t>编入</w:t>
            </w:r>
            <w:r>
              <w:rPr>
                <w:rFonts w:hint="eastAsia" w:ascii="宋体" w:hAnsi="宋体" w:eastAsia="宋体" w:cs="宋体"/>
                <w:b/>
                <w:bCs/>
                <w:color w:val="auto"/>
                <w:sz w:val="21"/>
                <w:szCs w:val="21"/>
                <w:highlight w:val="none"/>
                <w:lang w:eastAsia="zh-CN"/>
              </w:rPr>
              <w:t>商务与技术</w:t>
            </w:r>
            <w:r>
              <w:rPr>
                <w:rFonts w:hint="eastAsia" w:ascii="宋体" w:hAnsi="宋体" w:eastAsia="宋体" w:cs="宋体"/>
                <w:b/>
                <w:bCs/>
                <w:color w:val="auto"/>
                <w:sz w:val="21"/>
                <w:szCs w:val="21"/>
                <w:highlight w:val="none"/>
                <w:lang w:val="en-US" w:eastAsia="zh-CN"/>
              </w:rPr>
              <w:t>文件</w:t>
            </w:r>
            <w:r>
              <w:rPr>
                <w:rFonts w:hint="eastAsia" w:ascii="宋体" w:hAnsi="宋体" w:eastAsia="宋体" w:cs="宋体"/>
                <w:b/>
                <w:bCs/>
                <w:color w:val="auto"/>
                <w:sz w:val="21"/>
                <w:szCs w:val="21"/>
                <w:highlight w:val="none"/>
                <w:lang w:eastAsia="zh-CN"/>
              </w:rPr>
              <w:t>，否则不得分。</w:t>
            </w:r>
          </w:p>
        </w:tc>
        <w:tc>
          <w:tcPr>
            <w:tcW w:w="674" w:type="dxa"/>
            <w:noWrap w:val="0"/>
            <w:vAlign w:val="center"/>
          </w:tcPr>
          <w:p w14:paraId="5F9AB053">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1081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3" w:type="dxa"/>
            <w:noWrap w:val="0"/>
            <w:vAlign w:val="center"/>
          </w:tcPr>
          <w:p w14:paraId="7F3AC9F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3</w:t>
            </w:r>
          </w:p>
        </w:tc>
        <w:tc>
          <w:tcPr>
            <w:tcW w:w="1245" w:type="dxa"/>
            <w:noWrap w:val="0"/>
            <w:vAlign w:val="center"/>
          </w:tcPr>
          <w:p w14:paraId="73581480">
            <w:pPr>
              <w:pStyle w:val="3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企业类似项目业绩</w:t>
            </w:r>
          </w:p>
        </w:tc>
        <w:tc>
          <w:tcPr>
            <w:tcW w:w="7938" w:type="dxa"/>
            <w:noWrap w:val="0"/>
            <w:vAlign w:val="center"/>
          </w:tcPr>
          <w:p w14:paraId="1AD4A4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供应商</w:t>
            </w:r>
            <w:r>
              <w:rPr>
                <w:rFonts w:hint="eastAsia" w:ascii="宋体" w:hAnsi="宋体" w:cs="宋体"/>
                <w:b w:val="0"/>
                <w:bCs/>
                <w:color w:val="auto"/>
                <w:kern w:val="2"/>
                <w:sz w:val="21"/>
                <w:szCs w:val="21"/>
                <w:highlight w:val="none"/>
                <w:lang w:val="en-US" w:eastAsia="zh-CN" w:bidi="ar-SA"/>
              </w:rPr>
              <w:t>2020</w:t>
            </w:r>
            <w:r>
              <w:rPr>
                <w:rFonts w:hint="eastAsia" w:ascii="宋体" w:hAnsi="宋体" w:eastAsia="宋体" w:cs="宋体"/>
                <w:b w:val="0"/>
                <w:bCs/>
                <w:color w:val="auto"/>
                <w:kern w:val="2"/>
                <w:sz w:val="21"/>
                <w:szCs w:val="21"/>
                <w:highlight w:val="none"/>
                <w:lang w:val="en-US" w:eastAsia="zh-CN" w:bidi="ar-SA"/>
              </w:rPr>
              <w:t>年1月1日至投标截止时间〔</w:t>
            </w:r>
            <w:r>
              <w:rPr>
                <w:rFonts w:hint="eastAsia" w:ascii="宋体" w:hAnsi="宋体" w:eastAsia="宋体" w:cs="宋体"/>
                <w:b/>
                <w:bCs w:val="0"/>
                <w:color w:val="auto"/>
                <w:kern w:val="2"/>
                <w:sz w:val="21"/>
                <w:szCs w:val="21"/>
                <w:highlight w:val="none"/>
                <w:lang w:val="en-US" w:eastAsia="zh-CN" w:bidi="ar-SA"/>
              </w:rPr>
              <w:t>日期以完工（竣工）验收鉴定书或工程质量（安全）监督报告中明确的完工（竣工）日期为准</w:t>
            </w:r>
            <w:r>
              <w:rPr>
                <w:rFonts w:hint="eastAsia" w:ascii="宋体" w:hAnsi="宋体" w:eastAsia="宋体" w:cs="宋体"/>
                <w:b w:val="0"/>
                <w:bCs/>
                <w:color w:val="auto"/>
                <w:kern w:val="2"/>
                <w:sz w:val="21"/>
                <w:szCs w:val="21"/>
                <w:highlight w:val="none"/>
                <w:lang w:val="en-US" w:eastAsia="zh-CN" w:bidi="ar-SA"/>
              </w:rPr>
              <w:t>〕，完成过单个</w:t>
            </w:r>
            <w:r>
              <w:rPr>
                <w:rFonts w:hint="eastAsia" w:ascii="宋体" w:hAnsi="宋体" w:eastAsia="宋体" w:cs="宋体"/>
                <w:b w:val="0"/>
                <w:bCs/>
                <w:color w:val="auto"/>
                <w:kern w:val="2"/>
                <w:sz w:val="21"/>
                <w:szCs w:val="21"/>
                <w:highlight w:val="none"/>
                <w:u w:val="single"/>
                <w:lang w:val="en-US" w:eastAsia="zh-CN" w:bidi="ar-SA"/>
              </w:rPr>
              <w:t>水利工程监理业绩的</w:t>
            </w:r>
            <w:r>
              <w:rPr>
                <w:rFonts w:hint="eastAsia" w:ascii="宋体" w:hAnsi="宋体" w:eastAsia="宋体" w:cs="宋体"/>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1"/>
                <w:highlight w:val="none"/>
                <w:lang w:val="en-US" w:eastAsia="zh-CN" w:bidi="ar-SA"/>
              </w:rPr>
              <w:t>每</w:t>
            </w:r>
            <w:r>
              <w:rPr>
                <w:rFonts w:hint="eastAsia" w:ascii="Times New Roman" w:hAnsi="Times New Roman" w:eastAsia="宋体" w:cs="Times New Roman"/>
                <w:b w:val="0"/>
                <w:bCs/>
                <w:color w:val="auto"/>
                <w:kern w:val="2"/>
                <w:sz w:val="21"/>
                <w:szCs w:val="21"/>
                <w:highlight w:val="none"/>
                <w:lang w:val="en-US" w:eastAsia="zh-CN" w:bidi="ar-SA"/>
              </w:rPr>
              <w:t>提</w:t>
            </w:r>
            <w:r>
              <w:rPr>
                <w:rFonts w:hint="eastAsia" w:ascii="宋体" w:hAnsi="宋体" w:eastAsia="宋体" w:cs="宋体"/>
                <w:b w:val="0"/>
                <w:bCs/>
                <w:color w:val="auto"/>
                <w:kern w:val="2"/>
                <w:sz w:val="21"/>
                <w:szCs w:val="21"/>
                <w:highlight w:val="none"/>
                <w:lang w:val="en-US" w:eastAsia="zh-CN" w:bidi="ar-SA"/>
              </w:rPr>
              <w:t>供一个得2分；累计最高得4分。</w:t>
            </w:r>
          </w:p>
          <w:p w14:paraId="2F754A2B">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类似</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业绩证明材料指：</w:t>
            </w:r>
            <w:r>
              <w:rPr>
                <w:rFonts w:hint="eastAsia" w:ascii="宋体" w:hAnsi="宋体" w:eastAsia="宋体" w:cs="宋体"/>
                <w:b/>
                <w:bCs/>
                <w:color w:val="auto"/>
                <w:spacing w:val="4"/>
                <w:sz w:val="21"/>
                <w:szCs w:val="21"/>
              </w:rPr>
              <w:t>（1）</w:t>
            </w:r>
            <w:r>
              <w:rPr>
                <w:rFonts w:hint="eastAsia" w:ascii="宋体" w:hAnsi="宋体" w:eastAsia="宋体" w:cs="宋体"/>
                <w:b/>
                <w:bCs/>
                <w:color w:val="auto"/>
                <w:spacing w:val="4"/>
                <w:sz w:val="21"/>
                <w:szCs w:val="21"/>
                <w:lang w:val="en-US" w:eastAsia="zh-CN"/>
              </w:rPr>
              <w:t>中标通知书；（2）</w:t>
            </w:r>
            <w:r>
              <w:rPr>
                <w:rFonts w:hint="eastAsia" w:ascii="宋体" w:hAnsi="宋体" w:eastAsia="宋体" w:cs="宋体"/>
                <w:b/>
                <w:bCs/>
                <w:color w:val="auto"/>
                <w:spacing w:val="4"/>
                <w:sz w:val="21"/>
                <w:szCs w:val="21"/>
              </w:rPr>
              <w:t>合同</w:t>
            </w:r>
            <w:r>
              <w:rPr>
                <w:rFonts w:hint="eastAsia" w:ascii="宋体" w:hAnsi="宋体" w:eastAsia="宋体" w:cs="宋体"/>
                <w:b/>
                <w:bCs/>
                <w:color w:val="auto"/>
                <w:spacing w:val="4"/>
                <w:sz w:val="21"/>
                <w:szCs w:val="21"/>
                <w:lang w:val="en-US" w:eastAsia="zh-CN"/>
              </w:rPr>
              <w:t>；</w:t>
            </w:r>
            <w:r>
              <w:rPr>
                <w:rFonts w:hint="eastAsia" w:ascii="宋体" w:hAnsi="宋体" w:eastAsia="宋体" w:cs="宋体"/>
                <w:b/>
                <w:bCs/>
                <w:color w:val="auto"/>
                <w:spacing w:val="4"/>
                <w:sz w:val="21"/>
                <w:szCs w:val="21"/>
                <w:lang w:eastAsia="zh-CN"/>
              </w:rPr>
              <w:t>（</w:t>
            </w:r>
            <w:r>
              <w:rPr>
                <w:rFonts w:hint="eastAsia" w:ascii="宋体" w:hAnsi="宋体" w:eastAsia="宋体" w:cs="宋体"/>
                <w:b/>
                <w:bCs/>
                <w:color w:val="auto"/>
                <w:spacing w:val="4"/>
                <w:sz w:val="21"/>
                <w:szCs w:val="21"/>
                <w:lang w:val="en-US" w:eastAsia="zh-CN"/>
              </w:rPr>
              <w:t>3</w:t>
            </w:r>
            <w:r>
              <w:rPr>
                <w:rFonts w:hint="eastAsia" w:ascii="宋体" w:hAnsi="宋体" w:eastAsia="宋体" w:cs="宋体"/>
                <w:b/>
                <w:bCs/>
                <w:color w:val="auto"/>
                <w:spacing w:val="4"/>
                <w:sz w:val="21"/>
                <w:szCs w:val="21"/>
                <w:lang w:eastAsia="zh-CN"/>
              </w:rPr>
              <w:t>）</w:t>
            </w:r>
            <w:r>
              <w:rPr>
                <w:rFonts w:hint="eastAsia" w:ascii="宋体" w:hAnsi="宋体" w:eastAsia="宋体" w:cs="宋体"/>
                <w:b/>
                <w:bCs/>
                <w:color w:val="auto"/>
                <w:spacing w:val="4"/>
                <w:sz w:val="21"/>
                <w:szCs w:val="21"/>
              </w:rPr>
              <w:t>项目法人或行政主管部门出具的完工（竣工）验收鉴定书〔或质量监督机构出具对应的完工（竣工）质量（安全）监督报告〕</w:t>
            </w:r>
            <w:r>
              <w:rPr>
                <w:rFonts w:hint="eastAsia" w:ascii="宋体" w:hAnsi="宋体" w:eastAsia="宋体" w:cs="宋体"/>
                <w:b/>
                <w:bCs/>
                <w:color w:val="auto"/>
                <w:spacing w:val="4"/>
                <w:sz w:val="21"/>
                <w:szCs w:val="21"/>
                <w:highlight w:val="none"/>
                <w:lang w:eastAsia="zh-CN"/>
              </w:rPr>
              <w:t>。</w:t>
            </w:r>
            <w:r>
              <w:rPr>
                <w:rFonts w:hint="eastAsia" w:ascii="宋体" w:hAnsi="宋体" w:eastAsia="宋体" w:cs="宋体"/>
                <w:b/>
                <w:bCs/>
                <w:color w:val="auto"/>
                <w:sz w:val="21"/>
                <w:szCs w:val="21"/>
                <w:highlight w:val="none"/>
              </w:rPr>
              <w:t>上述</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项须同时提供</w:t>
            </w:r>
            <w:r>
              <w:rPr>
                <w:rFonts w:hint="eastAsia" w:ascii="宋体" w:hAnsi="宋体" w:eastAsia="宋体" w:cs="宋体"/>
                <w:b/>
                <w:bCs w:val="0"/>
                <w:color w:val="auto"/>
                <w:kern w:val="2"/>
                <w:sz w:val="21"/>
                <w:szCs w:val="21"/>
                <w:highlight w:val="none"/>
                <w:lang w:val="en-US" w:eastAsia="zh-CN" w:bidi="ar-SA"/>
              </w:rPr>
              <w:t>并加盖供应商公章，否则不得分。同一合同不重复计分。</w:t>
            </w:r>
          </w:p>
        </w:tc>
        <w:tc>
          <w:tcPr>
            <w:tcW w:w="674" w:type="dxa"/>
            <w:noWrap w:val="0"/>
            <w:vAlign w:val="center"/>
          </w:tcPr>
          <w:p w14:paraId="0D696D25">
            <w:pPr>
              <w:pStyle w:val="32"/>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4</w:t>
            </w:r>
          </w:p>
        </w:tc>
      </w:tr>
      <w:tr w14:paraId="65D5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33" w:type="dxa"/>
            <w:vMerge w:val="restart"/>
            <w:noWrap w:val="0"/>
            <w:vAlign w:val="center"/>
          </w:tcPr>
          <w:p w14:paraId="289D165F">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cs="宋体"/>
                <w:b/>
                <w:bCs w:val="0"/>
                <w:color w:val="auto"/>
                <w:sz w:val="21"/>
                <w:szCs w:val="21"/>
                <w:highlight w:val="none"/>
                <w:lang w:val="en-US" w:eastAsia="zh-CN"/>
              </w:rPr>
              <w:t>4</w:t>
            </w:r>
          </w:p>
        </w:tc>
        <w:tc>
          <w:tcPr>
            <w:tcW w:w="1245" w:type="dxa"/>
            <w:vMerge w:val="restart"/>
            <w:noWrap w:val="0"/>
            <w:vAlign w:val="center"/>
          </w:tcPr>
          <w:p w14:paraId="78D902F6">
            <w:pPr>
              <w:pStyle w:val="32"/>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val="0"/>
                <w:color w:val="auto"/>
                <w:sz w:val="21"/>
                <w:szCs w:val="21"/>
                <w:highlight w:val="none"/>
                <w:shd w:val="clear" w:color="000000" w:fill="FFFFFF"/>
              </w:rPr>
            </w:pPr>
            <w:r>
              <w:rPr>
                <w:rFonts w:hint="eastAsia" w:ascii="宋体" w:hAnsi="宋体" w:eastAsia="宋体" w:cs="宋体"/>
                <w:b/>
                <w:bCs w:val="0"/>
                <w:color w:val="auto"/>
                <w:kern w:val="2"/>
                <w:sz w:val="21"/>
                <w:szCs w:val="21"/>
                <w:highlight w:val="none"/>
                <w:lang w:val="en-US" w:eastAsia="zh-CN" w:bidi="ar-SA"/>
              </w:rPr>
              <w:t>项目团队实力</w:t>
            </w:r>
          </w:p>
        </w:tc>
        <w:tc>
          <w:tcPr>
            <w:tcW w:w="7938" w:type="dxa"/>
            <w:noWrap w:val="0"/>
            <w:vAlign w:val="center"/>
          </w:tcPr>
          <w:p w14:paraId="4DCAEC60">
            <w:pPr>
              <w:pStyle w:val="4"/>
              <w:keepNext w:val="0"/>
              <w:keepLines w:val="0"/>
              <w:pageBreakBefore w:val="0"/>
              <w:kinsoku/>
              <w:wordWrap/>
              <w:overflowPunct/>
              <w:topLinePunct w:val="0"/>
              <w:autoSpaceDE/>
              <w:autoSpaceDN/>
              <w:bidi w:val="0"/>
              <w:adjustRightInd/>
              <w:spacing w:line="3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1拟派</w:t>
            </w:r>
            <w:r>
              <w:rPr>
                <w:rFonts w:hint="eastAsia" w:ascii="宋体" w:hAnsi="宋体" w:eastAsia="宋体" w:cs="宋体"/>
                <w:color w:val="auto"/>
                <w:szCs w:val="21"/>
                <w:highlight w:val="none"/>
                <w:lang w:val="zh-CN"/>
              </w:rPr>
              <w:t>项目管理机构</w:t>
            </w:r>
            <w:r>
              <w:rPr>
                <w:rFonts w:hint="eastAsia" w:ascii="宋体" w:hAnsi="宋体" w:eastAsia="宋体" w:cs="宋体"/>
                <w:color w:val="auto"/>
                <w:szCs w:val="21"/>
                <w:highlight w:val="none"/>
                <w:lang w:val="en-US" w:eastAsia="zh-CN"/>
              </w:rPr>
              <w:t>人员</w:t>
            </w:r>
            <w:r>
              <w:rPr>
                <w:rFonts w:hint="eastAsia" w:ascii="宋体" w:hAnsi="宋体" w:eastAsia="宋体" w:cs="宋体"/>
                <w:color w:val="auto"/>
                <w:szCs w:val="21"/>
                <w:highlight w:val="none"/>
                <w:lang w:val="zh-CN"/>
              </w:rPr>
              <w:t>配备</w:t>
            </w:r>
            <w:r>
              <w:rPr>
                <w:rFonts w:hint="eastAsia" w:ascii="宋体" w:hAnsi="宋体" w:eastAsia="宋体" w:cs="宋体"/>
                <w:color w:val="auto"/>
                <w:highlight w:val="none"/>
                <w:lang w:val="en-US" w:eastAsia="zh-CN"/>
              </w:rPr>
              <w:t>（总监理工程师除外）：具有水利水电工程相关专业中级及以上工程师职称的，每人得2分，同一人不重复计分，最高得6分。</w:t>
            </w:r>
          </w:p>
          <w:p w14:paraId="0A15EBD5">
            <w:pPr>
              <w:pStyle w:val="4"/>
              <w:keepNext w:val="0"/>
              <w:keepLines w:val="0"/>
              <w:pageBreakBefore w:val="0"/>
              <w:kinsoku/>
              <w:wordWrap/>
              <w:overflowPunct/>
              <w:topLinePunct w:val="0"/>
              <w:autoSpaceDE/>
              <w:autoSpaceDN/>
              <w:bidi w:val="0"/>
              <w:adjustRightInd/>
              <w:spacing w:line="3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注：须提供人员相关证书复印件以及供应商为其缴纳的近三个月内任意一个月的社保证明（社保缴纳证明以社保机构出具的社保证明为准）</w:t>
            </w:r>
            <w:r>
              <w:rPr>
                <w:rFonts w:hint="eastAsia" w:ascii="宋体" w:hAnsi="宋体" w:cs="宋体"/>
                <w:b/>
                <w:bCs/>
                <w:color w:val="auto"/>
                <w:highlight w:val="none"/>
                <w:lang w:val="en-US" w:eastAsia="zh-CN"/>
              </w:rPr>
              <w:t>，</w:t>
            </w:r>
            <w:r>
              <w:rPr>
                <w:rFonts w:hint="eastAsia" w:ascii="宋体" w:hAnsi="宋体" w:cs="宋体"/>
                <w:b/>
                <w:bCs/>
                <w:color w:val="auto"/>
              </w:rPr>
              <w:t>如为退休人员，提供劳务合同</w:t>
            </w:r>
            <w:r>
              <w:rPr>
                <w:rFonts w:hint="eastAsia" w:ascii="宋体" w:hAnsi="宋体" w:cs="宋体"/>
                <w:b/>
                <w:bCs/>
                <w:color w:val="auto"/>
                <w:lang w:val="en-US" w:eastAsia="zh-CN"/>
              </w:rPr>
              <w:t>复印件</w:t>
            </w:r>
            <w:r>
              <w:rPr>
                <w:rFonts w:hint="eastAsia" w:ascii="宋体" w:hAnsi="宋体" w:cs="宋体"/>
                <w:b/>
                <w:bCs/>
                <w:color w:val="auto"/>
              </w:rPr>
              <w:t>即可</w:t>
            </w:r>
            <w:r>
              <w:rPr>
                <w:rFonts w:hint="eastAsia" w:ascii="宋体" w:hAnsi="宋体"/>
                <w:b/>
                <w:bCs/>
                <w:color w:val="auto"/>
                <w:szCs w:val="21"/>
                <w:lang w:val="zh-CN"/>
              </w:rPr>
              <w:t>。</w:t>
            </w:r>
            <w:r>
              <w:rPr>
                <w:rFonts w:hint="eastAsia" w:ascii="宋体" w:hAnsi="宋体"/>
                <w:b/>
                <w:bCs/>
                <w:color w:val="auto"/>
                <w:szCs w:val="21"/>
                <w:lang w:val="en-US" w:eastAsia="zh-CN"/>
              </w:rPr>
              <w:t>以上相关证明材料的复印件均须</w:t>
            </w:r>
            <w:r>
              <w:rPr>
                <w:rFonts w:hint="eastAsia" w:ascii="宋体" w:hAnsi="宋体" w:eastAsia="宋体" w:cs="宋体"/>
                <w:b/>
                <w:bCs/>
                <w:color w:val="auto"/>
                <w:highlight w:val="none"/>
                <w:lang w:val="en-US" w:eastAsia="zh-CN"/>
              </w:rPr>
              <w:t>加盖供应商公章，未提供或提供不全的不得分</w:t>
            </w:r>
            <w:r>
              <w:rPr>
                <w:rFonts w:hint="eastAsia" w:ascii="宋体" w:hAnsi="宋体"/>
                <w:b/>
                <w:bCs/>
                <w:color w:val="auto"/>
                <w:szCs w:val="21"/>
                <w:lang w:val="zh-CN"/>
              </w:rPr>
              <w:t>。</w:t>
            </w:r>
          </w:p>
        </w:tc>
        <w:tc>
          <w:tcPr>
            <w:tcW w:w="674" w:type="dxa"/>
            <w:noWrap w:val="0"/>
            <w:vAlign w:val="center"/>
          </w:tcPr>
          <w:p w14:paraId="34A9D3F2">
            <w:pPr>
              <w:pStyle w:val="32"/>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4485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33" w:type="dxa"/>
            <w:vMerge w:val="continue"/>
            <w:noWrap w:val="0"/>
            <w:vAlign w:val="center"/>
          </w:tcPr>
          <w:p w14:paraId="61A4D6BA">
            <w:pPr>
              <w:keepNext w:val="0"/>
              <w:keepLines w:val="0"/>
              <w:pageBreakBefore w:val="0"/>
              <w:kinsoku/>
              <w:wordWrap/>
              <w:overflowPunct/>
              <w:topLinePunct w:val="0"/>
              <w:autoSpaceDE/>
              <w:autoSpaceDN/>
              <w:bidi w:val="0"/>
              <w:adjustRightInd/>
              <w:snapToGrid w:val="0"/>
              <w:spacing w:line="340" w:lineRule="exact"/>
              <w:jc w:val="center"/>
              <w:textAlignment w:val="auto"/>
              <w:rPr>
                <w:rFonts w:hint="default" w:ascii="宋体" w:hAnsi="宋体" w:eastAsia="宋体" w:cs="宋体"/>
                <w:b/>
                <w:bCs w:val="0"/>
                <w:color w:val="auto"/>
                <w:sz w:val="21"/>
                <w:szCs w:val="21"/>
                <w:highlight w:val="none"/>
                <w:lang w:val="en-US" w:eastAsia="zh-CN"/>
              </w:rPr>
            </w:pPr>
          </w:p>
        </w:tc>
        <w:tc>
          <w:tcPr>
            <w:tcW w:w="1245" w:type="dxa"/>
            <w:vMerge w:val="continue"/>
            <w:noWrap w:val="0"/>
            <w:vAlign w:val="center"/>
          </w:tcPr>
          <w:p w14:paraId="616B14C4">
            <w:pPr>
              <w:pStyle w:val="32"/>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938" w:type="dxa"/>
            <w:noWrap w:val="0"/>
            <w:vAlign w:val="center"/>
          </w:tcPr>
          <w:p w14:paraId="51A95A50">
            <w:pPr>
              <w:pStyle w:val="4"/>
              <w:keepNext w:val="0"/>
              <w:keepLines w:val="0"/>
              <w:pageBreakBefore w:val="0"/>
              <w:kinsoku/>
              <w:wordWrap/>
              <w:overflowPunct/>
              <w:topLinePunct w:val="0"/>
              <w:autoSpaceDE/>
              <w:autoSpaceDN/>
              <w:bidi w:val="0"/>
              <w:adjustRightInd/>
              <w:spacing w:line="300" w:lineRule="exact"/>
              <w:ind w:left="0" w:leftChars="0" w:firstLine="0" w:firstLineChars="0"/>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.2</w:t>
            </w:r>
            <w:r>
              <w:rPr>
                <w:rFonts w:hint="eastAsia" w:ascii="宋体" w:hAnsi="宋体" w:eastAsia="宋体" w:cs="宋体"/>
                <w:b w:val="0"/>
                <w:bCs w:val="0"/>
                <w:color w:val="auto"/>
                <w:highlight w:val="none"/>
                <w:lang w:val="en-US" w:eastAsia="zh-CN"/>
              </w:rPr>
              <w:t>拟派项目水利专业注册一级造价工程师，提供一个的得3分，最高得3分。</w:t>
            </w:r>
          </w:p>
          <w:p w14:paraId="11658AF9">
            <w:pPr>
              <w:pStyle w:val="4"/>
              <w:keepNext w:val="0"/>
              <w:keepLines w:val="0"/>
              <w:pageBreakBefore w:val="0"/>
              <w:kinsoku/>
              <w:wordWrap/>
              <w:overflowPunct/>
              <w:topLinePunct w:val="0"/>
              <w:autoSpaceDE/>
              <w:autoSpaceDN/>
              <w:bidi w:val="0"/>
              <w:adjustRightInd/>
              <w:spacing w:line="3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注：须提供执业资格证书复印件以及供应商为其缴纳的近三个月内任意一个月的社保证明（社保缴纳证明以社保机构出具的社保证明为准）</w:t>
            </w:r>
            <w:r>
              <w:rPr>
                <w:rFonts w:hint="eastAsia" w:ascii="宋体" w:hAnsi="宋体" w:cs="宋体"/>
                <w:b/>
                <w:bCs/>
                <w:color w:val="auto"/>
                <w:highlight w:val="none"/>
                <w:lang w:val="en-US" w:eastAsia="zh-CN"/>
              </w:rPr>
              <w:t>，</w:t>
            </w:r>
            <w:r>
              <w:rPr>
                <w:rFonts w:hint="eastAsia" w:ascii="宋体" w:hAnsi="宋体" w:cs="宋体"/>
                <w:b/>
                <w:bCs/>
                <w:color w:val="auto"/>
              </w:rPr>
              <w:t>如为退休人员，提供劳务合同</w:t>
            </w:r>
            <w:r>
              <w:rPr>
                <w:rFonts w:hint="eastAsia" w:ascii="宋体" w:hAnsi="宋体" w:cs="宋体"/>
                <w:b/>
                <w:bCs/>
                <w:color w:val="auto"/>
                <w:lang w:val="en-US" w:eastAsia="zh-CN"/>
              </w:rPr>
              <w:t>复印件</w:t>
            </w:r>
            <w:r>
              <w:rPr>
                <w:rFonts w:hint="eastAsia" w:ascii="宋体" w:hAnsi="宋体" w:cs="宋体"/>
                <w:b/>
                <w:bCs/>
                <w:color w:val="auto"/>
              </w:rPr>
              <w:t>即可</w:t>
            </w:r>
            <w:r>
              <w:rPr>
                <w:rFonts w:hint="eastAsia" w:ascii="宋体" w:hAnsi="宋体"/>
                <w:b/>
                <w:bCs/>
                <w:color w:val="auto"/>
                <w:szCs w:val="21"/>
                <w:lang w:val="zh-CN"/>
              </w:rPr>
              <w:t>。</w:t>
            </w:r>
            <w:r>
              <w:rPr>
                <w:rFonts w:hint="eastAsia" w:ascii="宋体" w:hAnsi="宋体"/>
                <w:b/>
                <w:bCs/>
                <w:color w:val="auto"/>
                <w:szCs w:val="21"/>
                <w:lang w:val="en-US" w:eastAsia="zh-CN"/>
              </w:rPr>
              <w:t>以上相关证明材料的复印件均须</w:t>
            </w:r>
            <w:r>
              <w:rPr>
                <w:rFonts w:hint="eastAsia" w:ascii="宋体" w:hAnsi="宋体" w:eastAsia="宋体" w:cs="宋体"/>
                <w:b/>
                <w:bCs/>
                <w:color w:val="auto"/>
                <w:highlight w:val="none"/>
                <w:lang w:val="en-US" w:eastAsia="zh-CN"/>
              </w:rPr>
              <w:t>加盖供应商公章，未提供或提供不全的不得分</w:t>
            </w:r>
            <w:r>
              <w:rPr>
                <w:rFonts w:hint="eastAsia" w:ascii="宋体" w:hAnsi="宋体"/>
                <w:b/>
                <w:bCs/>
                <w:color w:val="auto"/>
                <w:szCs w:val="21"/>
                <w:lang w:val="zh-CN"/>
              </w:rPr>
              <w:t>。</w:t>
            </w:r>
          </w:p>
        </w:tc>
        <w:tc>
          <w:tcPr>
            <w:tcW w:w="674" w:type="dxa"/>
            <w:noWrap w:val="0"/>
            <w:vAlign w:val="center"/>
          </w:tcPr>
          <w:p w14:paraId="25E78294">
            <w:pPr>
              <w:pStyle w:val="32"/>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1622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33" w:type="dxa"/>
            <w:vMerge w:val="continue"/>
            <w:shd w:val="clear" w:color="auto" w:fill="auto"/>
            <w:noWrap w:val="0"/>
            <w:vAlign w:val="center"/>
          </w:tcPr>
          <w:p w14:paraId="2501FDE3">
            <w:pPr>
              <w:keepNext w:val="0"/>
              <w:keepLines w:val="0"/>
              <w:pageBreakBefore w:val="0"/>
              <w:kinsoku/>
              <w:wordWrap/>
              <w:overflowPunct/>
              <w:topLinePunct w:val="0"/>
              <w:autoSpaceDE/>
              <w:autoSpaceDN/>
              <w:bidi w:val="0"/>
              <w:adjustRightInd/>
              <w:snapToGrid w:val="0"/>
              <w:spacing w:line="340" w:lineRule="exact"/>
              <w:jc w:val="center"/>
              <w:textAlignment w:val="auto"/>
              <w:rPr>
                <w:rFonts w:hint="default" w:ascii="宋体" w:hAnsi="宋体" w:eastAsia="宋体" w:cs="宋体"/>
                <w:b/>
                <w:bCs w:val="0"/>
                <w:color w:val="auto"/>
                <w:kern w:val="2"/>
                <w:sz w:val="21"/>
                <w:szCs w:val="21"/>
                <w:highlight w:val="none"/>
                <w:lang w:val="en-US" w:eastAsia="zh-CN" w:bidi="ar-SA"/>
              </w:rPr>
            </w:pPr>
          </w:p>
        </w:tc>
        <w:tc>
          <w:tcPr>
            <w:tcW w:w="1245" w:type="dxa"/>
            <w:vMerge w:val="continue"/>
            <w:noWrap w:val="0"/>
            <w:vAlign w:val="center"/>
          </w:tcPr>
          <w:p w14:paraId="2323CE55">
            <w:pPr>
              <w:pStyle w:val="32"/>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938" w:type="dxa"/>
            <w:noWrap w:val="0"/>
            <w:vAlign w:val="center"/>
          </w:tcPr>
          <w:p w14:paraId="66C750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rPr>
                <w:rFonts w:ascii="宋体" w:hAnsi="宋体"/>
                <w:color w:val="auto"/>
                <w:szCs w:val="21"/>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3</w:t>
            </w:r>
            <w:r>
              <w:rPr>
                <w:rFonts w:hint="eastAsia" w:ascii="宋体" w:hAnsi="宋体"/>
                <w:color w:val="auto"/>
                <w:szCs w:val="21"/>
              </w:rPr>
              <w:t>在采购需求最低人员基本要求上，每增派一名专业监理工程师的得1分，每增派一名监理员的，得0.5分。最高得</w:t>
            </w:r>
            <w:r>
              <w:rPr>
                <w:rFonts w:hint="eastAsia" w:ascii="宋体" w:hAnsi="宋体"/>
                <w:color w:val="auto"/>
                <w:szCs w:val="21"/>
                <w:lang w:val="en-US" w:eastAsia="zh-CN"/>
              </w:rPr>
              <w:t>4</w:t>
            </w:r>
            <w:r>
              <w:rPr>
                <w:rFonts w:hint="eastAsia" w:ascii="宋体" w:hAnsi="宋体"/>
                <w:color w:val="auto"/>
                <w:szCs w:val="21"/>
              </w:rPr>
              <w:t>分。</w:t>
            </w:r>
          </w:p>
          <w:p w14:paraId="415360D3">
            <w:pPr>
              <w:pStyle w:val="4"/>
              <w:keepNext w:val="0"/>
              <w:keepLines w:val="0"/>
              <w:pageBreakBefore w:val="0"/>
              <w:kinsoku/>
              <w:wordWrap/>
              <w:overflowPunct/>
              <w:topLinePunct w:val="0"/>
              <w:autoSpaceDE/>
              <w:autoSpaceDN/>
              <w:bidi w:val="0"/>
              <w:adjustRightInd/>
              <w:spacing w:line="300" w:lineRule="exact"/>
              <w:ind w:left="0" w:leftChars="0" w:firstLine="0" w:firstLineChars="0"/>
              <w:textAlignment w:val="auto"/>
              <w:rPr>
                <w:rFonts w:hint="default" w:ascii="宋体" w:hAnsi="宋体" w:eastAsia="宋体" w:cs="宋体"/>
                <w:b/>
                <w:bCs/>
                <w:color w:val="auto"/>
                <w:highlight w:val="none"/>
                <w:lang w:val="en-US" w:eastAsia="zh-CN"/>
              </w:rPr>
            </w:pPr>
            <w:r>
              <w:rPr>
                <w:rFonts w:hint="eastAsia" w:ascii="宋体" w:hAnsi="宋体"/>
                <w:b/>
                <w:bCs/>
                <w:color w:val="auto"/>
                <w:szCs w:val="21"/>
                <w:lang w:val="zh-CN"/>
              </w:rPr>
              <w:t>注：</w:t>
            </w:r>
            <w:r>
              <w:rPr>
                <w:rFonts w:hint="eastAsia" w:ascii="宋体" w:hAnsi="宋体" w:eastAsia="宋体" w:cs="宋体"/>
                <w:b/>
                <w:bCs/>
                <w:color w:val="auto"/>
                <w:highlight w:val="none"/>
                <w:lang w:val="en-US" w:eastAsia="zh-CN"/>
              </w:rPr>
              <w:t>须提供人员相关证书复印件以及供应商为其缴纳的近三个月内任意一个月的社保证明（社保缴纳证明以社保机构出具的社保证明为准）</w:t>
            </w:r>
            <w:r>
              <w:rPr>
                <w:rFonts w:hint="eastAsia" w:ascii="宋体" w:hAnsi="宋体" w:cs="宋体"/>
                <w:b/>
                <w:bCs/>
                <w:color w:val="auto"/>
                <w:highlight w:val="none"/>
                <w:lang w:val="en-US" w:eastAsia="zh-CN"/>
              </w:rPr>
              <w:t>，</w:t>
            </w:r>
            <w:r>
              <w:rPr>
                <w:rFonts w:hint="eastAsia" w:ascii="宋体" w:hAnsi="宋体" w:cs="宋体"/>
                <w:b/>
                <w:bCs/>
                <w:color w:val="auto"/>
              </w:rPr>
              <w:t>如为退休人员，提供劳务合同</w:t>
            </w:r>
            <w:r>
              <w:rPr>
                <w:rFonts w:hint="eastAsia" w:ascii="宋体" w:hAnsi="宋体" w:cs="宋体"/>
                <w:b/>
                <w:bCs/>
                <w:color w:val="auto"/>
                <w:lang w:val="en-US" w:eastAsia="zh-CN"/>
              </w:rPr>
              <w:t>复印件</w:t>
            </w:r>
            <w:r>
              <w:rPr>
                <w:rFonts w:hint="eastAsia" w:ascii="宋体" w:hAnsi="宋体" w:cs="宋体"/>
                <w:b/>
                <w:bCs/>
                <w:color w:val="auto"/>
              </w:rPr>
              <w:t>即可</w:t>
            </w:r>
            <w:r>
              <w:rPr>
                <w:rFonts w:hint="eastAsia" w:ascii="宋体" w:hAnsi="宋体"/>
                <w:b/>
                <w:bCs/>
                <w:color w:val="auto"/>
                <w:szCs w:val="21"/>
                <w:lang w:val="zh-CN"/>
              </w:rPr>
              <w:t>。</w:t>
            </w:r>
            <w:r>
              <w:rPr>
                <w:rFonts w:hint="eastAsia" w:ascii="宋体" w:hAnsi="宋体"/>
                <w:b/>
                <w:bCs/>
                <w:color w:val="auto"/>
                <w:szCs w:val="21"/>
                <w:lang w:val="en-US" w:eastAsia="zh-CN"/>
              </w:rPr>
              <w:t>以上相关证明材料的复印件均须</w:t>
            </w:r>
            <w:r>
              <w:rPr>
                <w:rFonts w:hint="eastAsia" w:ascii="宋体" w:hAnsi="宋体" w:eastAsia="宋体" w:cs="宋体"/>
                <w:b/>
                <w:bCs/>
                <w:color w:val="auto"/>
                <w:highlight w:val="none"/>
                <w:lang w:val="en-US" w:eastAsia="zh-CN"/>
              </w:rPr>
              <w:t>加盖供应商公章，未提供或提供不全的不得分</w:t>
            </w:r>
            <w:r>
              <w:rPr>
                <w:rFonts w:hint="eastAsia" w:ascii="宋体" w:hAnsi="宋体"/>
                <w:b/>
                <w:bCs/>
                <w:color w:val="auto"/>
                <w:szCs w:val="21"/>
                <w:lang w:val="zh-CN"/>
              </w:rPr>
              <w:t>。</w:t>
            </w:r>
          </w:p>
        </w:tc>
        <w:tc>
          <w:tcPr>
            <w:tcW w:w="674" w:type="dxa"/>
            <w:noWrap w:val="0"/>
            <w:vAlign w:val="center"/>
          </w:tcPr>
          <w:p w14:paraId="079D4F79">
            <w:pPr>
              <w:pStyle w:val="32"/>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111C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533" w:type="dxa"/>
            <w:noWrap w:val="0"/>
            <w:vAlign w:val="center"/>
          </w:tcPr>
          <w:p w14:paraId="31605832">
            <w:pPr>
              <w:keepNext w:val="0"/>
              <w:keepLines w:val="0"/>
              <w:pageBreakBefore w:val="0"/>
              <w:kinsoku/>
              <w:wordWrap/>
              <w:overflowPunct/>
              <w:topLinePunct w:val="0"/>
              <w:autoSpaceDE/>
              <w:autoSpaceDN/>
              <w:bidi w:val="0"/>
              <w:adjustRightInd/>
              <w:snapToGrid w:val="0"/>
              <w:spacing w:line="340" w:lineRule="exact"/>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5</w:t>
            </w:r>
          </w:p>
        </w:tc>
        <w:tc>
          <w:tcPr>
            <w:tcW w:w="1245" w:type="dxa"/>
            <w:noWrap w:val="0"/>
            <w:vAlign w:val="center"/>
          </w:tcPr>
          <w:p w14:paraId="68F48F99">
            <w:pPr>
              <w:pStyle w:val="32"/>
              <w:spacing w:after="0" w:line="360" w:lineRule="exact"/>
              <w:ind w:left="0" w:leftChars="0"/>
              <w:jc w:val="center"/>
              <w:textAlignment w:val="baseline"/>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color w:val="auto"/>
                <w:spacing w:val="-2"/>
                <w:sz w:val="21"/>
                <w:szCs w:val="21"/>
                <w:highlight w:val="none"/>
                <w:lang w:val="en-US" w:eastAsia="zh-CN"/>
              </w:rPr>
              <w:t>本地化服务</w:t>
            </w:r>
          </w:p>
        </w:tc>
        <w:tc>
          <w:tcPr>
            <w:tcW w:w="7938" w:type="dxa"/>
            <w:noWrap w:val="0"/>
            <w:vAlign w:val="center"/>
          </w:tcPr>
          <w:p w14:paraId="57D8FE37">
            <w:pPr>
              <w:keepNext w:val="0"/>
              <w:keepLines w:val="0"/>
              <w:pageBreakBefore w:val="0"/>
              <w:widowControl/>
              <w:kinsoku/>
              <w:wordWrap/>
              <w:overflowPunct/>
              <w:topLinePunct w:val="0"/>
              <w:autoSpaceDE/>
              <w:autoSpaceDN/>
              <w:bidi w:val="0"/>
              <w:adjustRightInd/>
              <w:spacing w:line="300" w:lineRule="exact"/>
              <w:ind w:right="145" w:rightChars="69"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w:t>
            </w:r>
            <w:r>
              <w:rPr>
                <w:rFonts w:hint="eastAsia" w:ascii="宋体" w:hAnsi="宋体" w:eastAsia="宋体" w:cs="宋体"/>
                <w:b w:val="0"/>
                <w:bCs/>
                <w:color w:val="auto"/>
                <w:kern w:val="2"/>
                <w:sz w:val="21"/>
                <w:szCs w:val="21"/>
                <w:highlight w:val="none"/>
                <w:lang w:val="en-US" w:eastAsia="zh-CN" w:bidi="ar-SA"/>
              </w:rPr>
              <w:t>供应商</w:t>
            </w:r>
            <w:r>
              <w:rPr>
                <w:rFonts w:hint="eastAsia" w:ascii="宋体" w:hAnsi="宋体" w:eastAsia="宋体" w:cs="宋体"/>
                <w:b w:val="0"/>
                <w:bCs w:val="0"/>
                <w:color w:val="auto"/>
                <w:sz w:val="21"/>
                <w:szCs w:val="21"/>
                <w:highlight w:val="none"/>
              </w:rPr>
              <w:t>在本项目所在县区域范围内设有固定售后服务网点或承诺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承诺书格式自拟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中标后一个月内在本项目所在县区域范围设立固定售后服务网点的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14:paraId="58EEFDB7">
            <w:pPr>
              <w:pStyle w:val="2"/>
              <w:keepNext w:val="0"/>
              <w:keepLines w:val="0"/>
              <w:pageBreakBefore w:val="0"/>
              <w:kinsoku/>
              <w:wordWrap/>
              <w:overflowPunct/>
              <w:topLinePunct w:val="0"/>
              <w:autoSpaceDE/>
              <w:autoSpaceDN/>
              <w:bidi w:val="0"/>
              <w:adjustRightInd/>
              <w:spacing w:after="0" w:line="300" w:lineRule="exact"/>
              <w:ind w:firstLine="211" w:firstLineChars="1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注：已经设立固定售后服务网点的须提供网点营业执照影印件或扫描件</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承诺中标后设立固定售后服务网点的须提供加盖投标供应商公章的承诺书（若中标后无法履行承诺，将被视为虚假承诺而取消其中标资格），否则不得分。</w:t>
            </w:r>
          </w:p>
        </w:tc>
        <w:tc>
          <w:tcPr>
            <w:tcW w:w="674" w:type="dxa"/>
            <w:noWrap w:val="0"/>
            <w:vAlign w:val="center"/>
          </w:tcPr>
          <w:p w14:paraId="732798A0">
            <w:pPr>
              <w:spacing w:line="33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p>
        </w:tc>
      </w:tr>
      <w:tr w14:paraId="25C0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6" w:type="dxa"/>
            <w:gridSpan w:val="3"/>
            <w:noWrap w:val="0"/>
            <w:vAlign w:val="center"/>
          </w:tcPr>
          <w:p w14:paraId="4F944A05">
            <w:pPr>
              <w:pStyle w:val="32"/>
              <w:keepNext w:val="0"/>
              <w:keepLines w:val="0"/>
              <w:pageBreakBefore w:val="0"/>
              <w:kinsoku/>
              <w:wordWrap/>
              <w:overflowPunct/>
              <w:topLinePunct w:val="0"/>
              <w:autoSpaceDE/>
              <w:autoSpaceDN/>
              <w:bidi w:val="0"/>
              <w:adjustRightInd/>
              <w:spacing w:after="0" w:line="300" w:lineRule="exact"/>
              <w:ind w:firstLine="482"/>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二、技术分</w:t>
            </w:r>
          </w:p>
        </w:tc>
        <w:tc>
          <w:tcPr>
            <w:tcW w:w="674" w:type="dxa"/>
            <w:noWrap w:val="0"/>
            <w:vAlign w:val="center"/>
          </w:tcPr>
          <w:p w14:paraId="02F60A7D">
            <w:pPr>
              <w:pStyle w:val="32"/>
              <w:keepNext w:val="0"/>
              <w:keepLines w:val="0"/>
              <w:pageBreakBefore w:val="0"/>
              <w:kinsoku/>
              <w:wordWrap/>
              <w:overflowPunct/>
              <w:topLinePunct w:val="0"/>
              <w:autoSpaceDE/>
              <w:autoSpaceDN/>
              <w:bidi w:val="0"/>
              <w:adjustRightInd/>
              <w:spacing w:line="340" w:lineRule="exact"/>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50</w:t>
            </w:r>
            <w:r>
              <w:rPr>
                <w:rFonts w:hint="eastAsia" w:ascii="宋体" w:hAnsi="宋体" w:eastAsia="宋体" w:cs="宋体"/>
                <w:b/>
                <w:bCs/>
                <w:color w:val="auto"/>
                <w:sz w:val="21"/>
                <w:szCs w:val="21"/>
                <w:highlight w:val="none"/>
                <w:lang w:val="en-US" w:eastAsia="zh-CN"/>
              </w:rPr>
              <w:t>分</w:t>
            </w:r>
          </w:p>
        </w:tc>
      </w:tr>
      <w:tr w14:paraId="7930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3" w:type="dxa"/>
            <w:vMerge w:val="restart"/>
            <w:noWrap w:val="0"/>
            <w:vAlign w:val="center"/>
          </w:tcPr>
          <w:p w14:paraId="20BEDC1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6</w:t>
            </w:r>
          </w:p>
        </w:tc>
        <w:tc>
          <w:tcPr>
            <w:tcW w:w="1245" w:type="dxa"/>
            <w:vMerge w:val="restart"/>
            <w:noWrap w:val="0"/>
            <w:vAlign w:val="center"/>
          </w:tcPr>
          <w:p w14:paraId="5003586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整体监理服务方案</w:t>
            </w:r>
          </w:p>
        </w:tc>
        <w:tc>
          <w:tcPr>
            <w:tcW w:w="7938" w:type="dxa"/>
            <w:noWrap w:val="0"/>
            <w:vAlign w:val="center"/>
          </w:tcPr>
          <w:p w14:paraId="3BBF0FB6">
            <w:pPr>
              <w:keepNext w:val="0"/>
              <w:keepLines w:val="0"/>
              <w:pageBreakBefore w:val="0"/>
              <w:kinsoku/>
              <w:wordWrap/>
              <w:overflowPunct/>
              <w:topLinePunct w:val="0"/>
              <w:autoSpaceDE/>
              <w:autoSpaceDN/>
              <w:bidi w:val="0"/>
              <w:adjustRightInd/>
              <w:spacing w:line="300" w:lineRule="exact"/>
              <w:jc w:val="left"/>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整体监理服务方案与需求的吻合程度以及方案的优势情况，包括施工各阶段监理工作程序、流程是否详细明确、合理可行进行综合打分。</w:t>
            </w:r>
            <w:r>
              <w:rPr>
                <w:rFonts w:hint="eastAsia" w:ascii="宋体" w:hAnsi="宋体" w:eastAsia="宋体" w:cs="宋体"/>
                <w:b/>
                <w:bCs w:val="0"/>
                <w:color w:val="auto"/>
                <w:sz w:val="21"/>
                <w:szCs w:val="21"/>
                <w:highlight w:val="none"/>
                <w:lang w:val="en-US" w:eastAsia="zh-CN"/>
              </w:rPr>
              <w:t>本小项最高得分</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lang w:val="en-US" w:eastAsia="zh-CN"/>
              </w:rPr>
              <w:t>分；</w:t>
            </w:r>
          </w:p>
          <w:p w14:paraId="6CC6ACF6">
            <w:pPr>
              <w:pStyle w:val="2"/>
              <w:keepNext w:val="0"/>
              <w:keepLines w:val="0"/>
              <w:pageBreakBefore w:val="0"/>
              <w:kinsoku/>
              <w:wordWrap/>
              <w:overflowPunct/>
              <w:topLinePunct w:val="0"/>
              <w:autoSpaceDE/>
              <w:autoSpaceDN/>
              <w:bidi w:val="0"/>
              <w:adjustRightInd/>
              <w:spacing w:after="0" w:line="300" w:lineRule="exact"/>
              <w:ind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539EE3E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6394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533" w:type="dxa"/>
            <w:vMerge w:val="continue"/>
            <w:noWrap w:val="0"/>
            <w:vAlign w:val="center"/>
          </w:tcPr>
          <w:p w14:paraId="3759C8C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kern w:val="2"/>
                <w:sz w:val="21"/>
                <w:szCs w:val="21"/>
                <w:highlight w:val="none"/>
                <w:lang w:val="en-US" w:eastAsia="zh-CN" w:bidi="ar-SA"/>
              </w:rPr>
            </w:pPr>
          </w:p>
        </w:tc>
        <w:tc>
          <w:tcPr>
            <w:tcW w:w="1245" w:type="dxa"/>
            <w:vMerge w:val="continue"/>
            <w:noWrap w:val="0"/>
            <w:vAlign w:val="center"/>
          </w:tcPr>
          <w:p w14:paraId="37C0514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rPr>
            </w:pPr>
          </w:p>
        </w:tc>
        <w:tc>
          <w:tcPr>
            <w:tcW w:w="7938" w:type="dxa"/>
            <w:noWrap w:val="0"/>
            <w:vAlign w:val="center"/>
          </w:tcPr>
          <w:p w14:paraId="71C73289">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响应方案是否具有一定的前瞻性，对项目建设思路、原则、特点、技术要求的理解和监理要点情况，对技术方案的表述是否详细准确，条理是否合理可行，由评委进行综合打分。</w:t>
            </w:r>
            <w:r>
              <w:rPr>
                <w:rFonts w:hint="eastAsia" w:ascii="宋体" w:hAnsi="宋体" w:eastAsia="宋体" w:cs="宋体"/>
                <w:b/>
                <w:bCs w:val="0"/>
                <w:color w:val="auto"/>
                <w:sz w:val="21"/>
                <w:szCs w:val="21"/>
                <w:highlight w:val="none"/>
                <w:lang w:val="en-US" w:eastAsia="zh-CN"/>
              </w:rPr>
              <w:t>本小项最高得分</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lang w:val="en-US" w:eastAsia="zh-CN"/>
              </w:rPr>
              <w:t>分；</w:t>
            </w:r>
          </w:p>
          <w:p w14:paraId="0D3724B9">
            <w:pPr>
              <w:pStyle w:val="2"/>
              <w:keepNext w:val="0"/>
              <w:keepLines w:val="0"/>
              <w:pageBreakBefore w:val="0"/>
              <w:kinsoku/>
              <w:wordWrap/>
              <w:overflowPunct/>
              <w:topLinePunct w:val="0"/>
              <w:autoSpaceDE/>
              <w:autoSpaceDN/>
              <w:bidi w:val="0"/>
              <w:adjustRightInd/>
              <w:spacing w:after="0" w:line="300" w:lineRule="exact"/>
              <w:ind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36B813E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2B4C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533" w:type="dxa"/>
            <w:vMerge w:val="continue"/>
            <w:noWrap w:val="0"/>
            <w:vAlign w:val="center"/>
          </w:tcPr>
          <w:p w14:paraId="0172E48E">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kern w:val="2"/>
                <w:sz w:val="21"/>
                <w:szCs w:val="21"/>
                <w:highlight w:val="none"/>
                <w:lang w:val="en-US" w:eastAsia="zh-CN" w:bidi="ar-SA"/>
              </w:rPr>
            </w:pPr>
          </w:p>
        </w:tc>
        <w:tc>
          <w:tcPr>
            <w:tcW w:w="1245" w:type="dxa"/>
            <w:vMerge w:val="continue"/>
            <w:noWrap w:val="0"/>
            <w:vAlign w:val="center"/>
          </w:tcPr>
          <w:p w14:paraId="1D7833B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rPr>
            </w:pPr>
          </w:p>
        </w:tc>
        <w:tc>
          <w:tcPr>
            <w:tcW w:w="7938" w:type="dxa"/>
            <w:noWrap w:val="0"/>
            <w:vAlign w:val="center"/>
          </w:tcPr>
          <w:p w14:paraId="41CDCFE6">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监理日常各项工作制度、监理人员权利和责任是否详细明确、合理可行进行综合打分。</w:t>
            </w:r>
            <w:r>
              <w:rPr>
                <w:rFonts w:hint="eastAsia" w:ascii="宋体" w:hAnsi="宋体" w:eastAsia="宋体" w:cs="宋体"/>
                <w:b/>
                <w:bCs w:val="0"/>
                <w:color w:val="auto"/>
                <w:sz w:val="21"/>
                <w:szCs w:val="21"/>
                <w:highlight w:val="none"/>
                <w:lang w:val="en-US" w:eastAsia="zh-CN"/>
              </w:rPr>
              <w:t>本小项最高得分</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lang w:val="en-US" w:eastAsia="zh-CN"/>
              </w:rPr>
              <w:t>分；</w:t>
            </w:r>
          </w:p>
          <w:p w14:paraId="14BE9213">
            <w:pPr>
              <w:pStyle w:val="2"/>
              <w:keepNext w:val="0"/>
              <w:keepLines w:val="0"/>
              <w:pageBreakBefore w:val="0"/>
              <w:kinsoku/>
              <w:wordWrap/>
              <w:overflowPunct/>
              <w:topLinePunct w:val="0"/>
              <w:autoSpaceDE/>
              <w:autoSpaceDN/>
              <w:bidi w:val="0"/>
              <w:adjustRightInd/>
              <w:spacing w:after="0" w:line="300" w:lineRule="exact"/>
              <w:ind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04FD518B">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68DF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33" w:type="dxa"/>
            <w:shd w:val="clear" w:color="auto" w:fill="auto"/>
            <w:noWrap w:val="0"/>
            <w:vAlign w:val="center"/>
          </w:tcPr>
          <w:p w14:paraId="6D75575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7</w:t>
            </w:r>
          </w:p>
        </w:tc>
        <w:tc>
          <w:tcPr>
            <w:tcW w:w="1245" w:type="dxa"/>
            <w:noWrap w:val="0"/>
            <w:vAlign w:val="center"/>
          </w:tcPr>
          <w:p w14:paraId="5C479CB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质量控制方案</w:t>
            </w:r>
          </w:p>
        </w:tc>
        <w:tc>
          <w:tcPr>
            <w:tcW w:w="7938" w:type="dxa"/>
            <w:noWrap w:val="0"/>
            <w:vAlign w:val="center"/>
          </w:tcPr>
          <w:p w14:paraId="12A04862">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根据供应商提供的质量控制方案内容的全面性、完整性，以及提出的质量控制方法和措施的合理性和可行性，由评委进行综合打分。</w:t>
            </w:r>
          </w:p>
          <w:p w14:paraId="5005CE40">
            <w:pPr>
              <w:keepNext w:val="0"/>
              <w:keepLines w:val="0"/>
              <w:pageBreakBefore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48218F0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56EC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33" w:type="dxa"/>
            <w:shd w:val="clear" w:color="auto" w:fill="auto"/>
            <w:noWrap w:val="0"/>
            <w:vAlign w:val="center"/>
          </w:tcPr>
          <w:p w14:paraId="2909740B">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8</w:t>
            </w:r>
          </w:p>
        </w:tc>
        <w:tc>
          <w:tcPr>
            <w:tcW w:w="1245" w:type="dxa"/>
            <w:noWrap w:val="0"/>
            <w:vAlign w:val="center"/>
          </w:tcPr>
          <w:p w14:paraId="17EDA46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进度控制方案</w:t>
            </w:r>
          </w:p>
        </w:tc>
        <w:tc>
          <w:tcPr>
            <w:tcW w:w="7938" w:type="dxa"/>
            <w:noWrap w:val="0"/>
            <w:vAlign w:val="center"/>
          </w:tcPr>
          <w:p w14:paraId="483BC666">
            <w:pPr>
              <w:pStyle w:val="2"/>
              <w:keepNext w:val="0"/>
              <w:keepLines w:val="0"/>
              <w:pageBreakBefore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根据供应商提供的进度控制方案内容的全面性、完整性，针对施工进度提供的进度控制措施是否合理可行，由评委进行综合打分。</w:t>
            </w:r>
          </w:p>
          <w:p w14:paraId="70511796">
            <w:pPr>
              <w:keepNext w:val="0"/>
              <w:keepLines w:val="0"/>
              <w:pageBreakBefore w:val="0"/>
              <w:kinsoku/>
              <w:wordWrap/>
              <w:overflowPunct/>
              <w:topLinePunct w:val="0"/>
              <w:autoSpaceDE/>
              <w:autoSpaceDN/>
              <w:bidi w:val="0"/>
              <w:adjustRightInd/>
              <w:spacing w:line="300" w:lineRule="exact"/>
              <w:textAlignment w:val="auto"/>
              <w:rPr>
                <w:rFonts w:hint="eastAsia"/>
                <w:color w:val="auto"/>
                <w:kern w:val="2"/>
                <w:sz w:val="21"/>
                <w:szCs w:val="24"/>
                <w:highlight w:val="none"/>
                <w:lang w:val="en-US" w:eastAsia="zh-CN" w:bidi="ar-SA"/>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6A660FC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10B7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533" w:type="dxa"/>
            <w:shd w:val="clear" w:color="auto" w:fill="auto"/>
            <w:noWrap w:val="0"/>
            <w:vAlign w:val="center"/>
          </w:tcPr>
          <w:p w14:paraId="6B5C5FD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9</w:t>
            </w:r>
          </w:p>
        </w:tc>
        <w:tc>
          <w:tcPr>
            <w:tcW w:w="1245" w:type="dxa"/>
            <w:noWrap w:val="0"/>
            <w:vAlign w:val="center"/>
          </w:tcPr>
          <w:p w14:paraId="18FADB2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投资控制方案</w:t>
            </w:r>
          </w:p>
        </w:tc>
        <w:tc>
          <w:tcPr>
            <w:tcW w:w="7938" w:type="dxa"/>
            <w:noWrap w:val="0"/>
            <w:vAlign w:val="center"/>
          </w:tcPr>
          <w:p w14:paraId="7E3829E4">
            <w:pPr>
              <w:pStyle w:val="2"/>
              <w:keepNext w:val="0"/>
              <w:keepLines w:val="0"/>
              <w:pageBreakBefore w:val="0"/>
              <w:kinsoku/>
              <w:wordWrap/>
              <w:overflowPunct/>
              <w:topLinePunct w:val="0"/>
              <w:autoSpaceDE/>
              <w:autoSpaceDN/>
              <w:bidi w:val="0"/>
              <w:adjustRightInd/>
              <w:spacing w:after="0" w:line="3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根据供应商提供的投资控制方案内容全面性、完整性，以及针对本项目有可能存在的风险分析和制定防范性对策的合理性、可行性，由评委进行综合打分。</w:t>
            </w:r>
          </w:p>
          <w:p w14:paraId="46F1A30B">
            <w:pPr>
              <w:keepNext w:val="0"/>
              <w:keepLines w:val="0"/>
              <w:pageBreakBefore w:val="0"/>
              <w:kinsoku/>
              <w:wordWrap/>
              <w:overflowPunct/>
              <w:topLinePunct w:val="0"/>
              <w:autoSpaceDE/>
              <w:autoSpaceDN/>
              <w:bidi w:val="0"/>
              <w:adjustRightInd/>
              <w:spacing w:line="300" w:lineRule="exact"/>
              <w:textAlignment w:val="auto"/>
              <w:rPr>
                <w:rFonts w:hint="eastAsia"/>
                <w:color w:val="auto"/>
                <w:kern w:val="2"/>
                <w:sz w:val="21"/>
                <w:szCs w:val="24"/>
                <w:highlight w:val="none"/>
                <w:lang w:val="en-US" w:eastAsia="zh-CN" w:bidi="ar-SA"/>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198C0520">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r>
      <w:tr w14:paraId="0682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533" w:type="dxa"/>
            <w:shd w:val="clear" w:color="auto" w:fill="auto"/>
            <w:noWrap w:val="0"/>
            <w:vAlign w:val="center"/>
          </w:tcPr>
          <w:p w14:paraId="05489FB4">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10</w:t>
            </w:r>
          </w:p>
        </w:tc>
        <w:tc>
          <w:tcPr>
            <w:tcW w:w="1245" w:type="dxa"/>
            <w:noWrap w:val="0"/>
            <w:vAlign w:val="center"/>
          </w:tcPr>
          <w:p w14:paraId="25411DD0">
            <w:pPr>
              <w:widowControl/>
              <w:ind w:right="145" w:rightChars="69"/>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变更控制方案</w:t>
            </w:r>
          </w:p>
        </w:tc>
        <w:tc>
          <w:tcPr>
            <w:tcW w:w="7938" w:type="dxa"/>
            <w:noWrap w:val="0"/>
            <w:vAlign w:val="center"/>
          </w:tcPr>
          <w:p w14:paraId="420282C7">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根据响应方对工作范围进行严格把关和控制，对合理变更进行规范化管理，管理措施得当并能提供合理化建议等内容，</w:t>
            </w:r>
            <w:r>
              <w:rPr>
                <w:rFonts w:hint="eastAsia" w:ascii="宋体" w:hAnsi="宋体" w:eastAsia="宋体" w:cs="宋体"/>
                <w:color w:val="auto"/>
                <w:sz w:val="21"/>
                <w:szCs w:val="21"/>
                <w:highlight w:val="none"/>
              </w:rPr>
              <w:t>由评委进行综合打分</w:t>
            </w:r>
            <w:r>
              <w:rPr>
                <w:rFonts w:hint="eastAsia" w:ascii="宋体" w:hAnsi="宋体" w:eastAsia="宋体" w:cs="宋体"/>
                <w:color w:val="auto"/>
                <w:kern w:val="2"/>
                <w:sz w:val="21"/>
                <w:szCs w:val="21"/>
                <w:highlight w:val="none"/>
                <w:lang w:val="en-US" w:eastAsia="zh-CN" w:bidi="ar-SA"/>
              </w:rPr>
              <w:t>。</w:t>
            </w:r>
          </w:p>
          <w:p w14:paraId="07BEECE5">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5BEBC4B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22F6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533" w:type="dxa"/>
            <w:shd w:val="clear" w:color="auto" w:fill="auto"/>
            <w:noWrap w:val="0"/>
            <w:vAlign w:val="center"/>
          </w:tcPr>
          <w:p w14:paraId="3FE0A19D">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11</w:t>
            </w:r>
          </w:p>
        </w:tc>
        <w:tc>
          <w:tcPr>
            <w:tcW w:w="1245" w:type="dxa"/>
            <w:noWrap w:val="0"/>
            <w:vAlign w:val="center"/>
          </w:tcPr>
          <w:p w14:paraId="1A65C76C">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合同管理方案</w:t>
            </w:r>
          </w:p>
        </w:tc>
        <w:tc>
          <w:tcPr>
            <w:tcW w:w="7938" w:type="dxa"/>
            <w:noWrap w:val="0"/>
            <w:vAlign w:val="center"/>
          </w:tcPr>
          <w:p w14:paraId="4F68A8E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根据承包商违约的处理及日常合同的管理，配合业主办理申报手续和专项验收手续措施，</w:t>
            </w:r>
            <w:r>
              <w:rPr>
                <w:rFonts w:hint="eastAsia" w:ascii="宋体" w:hAnsi="宋体" w:eastAsia="宋体" w:cs="宋体"/>
                <w:color w:val="auto"/>
                <w:sz w:val="21"/>
                <w:szCs w:val="21"/>
                <w:highlight w:val="none"/>
              </w:rPr>
              <w:t>由评委进行综合打分</w:t>
            </w:r>
            <w:r>
              <w:rPr>
                <w:rFonts w:hint="eastAsia" w:ascii="宋体" w:hAnsi="宋体" w:eastAsia="宋体" w:cs="宋体"/>
                <w:color w:val="auto"/>
                <w:kern w:val="2"/>
                <w:sz w:val="21"/>
                <w:szCs w:val="21"/>
                <w:highlight w:val="none"/>
                <w:lang w:val="en-US" w:eastAsia="zh-CN" w:bidi="ar-SA"/>
              </w:rPr>
              <w:t>。</w:t>
            </w:r>
          </w:p>
          <w:p w14:paraId="784D416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5E27071B">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r>
      <w:tr w14:paraId="14D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533" w:type="dxa"/>
            <w:shd w:val="clear" w:color="auto" w:fill="auto"/>
            <w:noWrap w:val="0"/>
            <w:vAlign w:val="center"/>
          </w:tcPr>
          <w:p w14:paraId="3F4F7E4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12</w:t>
            </w:r>
          </w:p>
        </w:tc>
        <w:tc>
          <w:tcPr>
            <w:tcW w:w="1245" w:type="dxa"/>
            <w:noWrap w:val="0"/>
            <w:vAlign w:val="center"/>
          </w:tcPr>
          <w:p w14:paraId="0A13D852">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档案、</w:t>
            </w:r>
            <w:r>
              <w:rPr>
                <w:rFonts w:hint="default" w:ascii="宋体" w:hAnsi="宋体" w:eastAsia="宋体" w:cs="宋体"/>
                <w:b/>
                <w:bCs/>
                <w:color w:val="auto"/>
                <w:kern w:val="0"/>
                <w:sz w:val="21"/>
                <w:szCs w:val="21"/>
                <w:highlight w:val="none"/>
                <w:lang w:val="en-US" w:eastAsia="zh-CN"/>
              </w:rPr>
              <w:t>信息管理方案</w:t>
            </w:r>
          </w:p>
        </w:tc>
        <w:tc>
          <w:tcPr>
            <w:tcW w:w="7938" w:type="dxa"/>
            <w:noWrap w:val="0"/>
            <w:vAlign w:val="center"/>
          </w:tcPr>
          <w:p w14:paraId="15F5F0F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根据供应商提供的针对本项目档案、数据信息安全控制措施的合理性和可行性，由评委进行综合打分。</w:t>
            </w:r>
          </w:p>
          <w:p w14:paraId="1163E35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0028352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p>
        </w:tc>
      </w:tr>
      <w:tr w14:paraId="58BA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33" w:type="dxa"/>
            <w:shd w:val="clear" w:color="auto" w:fill="auto"/>
            <w:noWrap w:val="0"/>
            <w:vAlign w:val="center"/>
          </w:tcPr>
          <w:p w14:paraId="534215C1">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13</w:t>
            </w:r>
          </w:p>
        </w:tc>
        <w:tc>
          <w:tcPr>
            <w:tcW w:w="1245" w:type="dxa"/>
            <w:noWrap w:val="0"/>
            <w:vAlign w:val="center"/>
          </w:tcPr>
          <w:p w14:paraId="490BFBF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现场安全、文明施工控制方案</w:t>
            </w:r>
          </w:p>
        </w:tc>
        <w:tc>
          <w:tcPr>
            <w:tcW w:w="7938" w:type="dxa"/>
            <w:noWrap w:val="0"/>
            <w:vAlign w:val="center"/>
          </w:tcPr>
          <w:p w14:paraId="1975678B">
            <w:pPr>
              <w:pStyle w:val="2"/>
              <w:keepNext w:val="0"/>
              <w:keepLines w:val="0"/>
              <w:pageBreakBefore w:val="0"/>
              <w:kinsoku/>
              <w:wordWrap/>
              <w:overflowPunct/>
              <w:topLinePunct w:val="0"/>
              <w:autoSpaceDE/>
              <w:autoSpaceDN/>
              <w:bidi w:val="0"/>
              <w:adjustRightInd/>
              <w:spacing w:after="0" w:line="3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根据供应商提供的现场安全、文明施工控制方案内容全面性、完整性，控制手段和措施的合理性和可行性，由评委进行综合打分。</w:t>
            </w:r>
          </w:p>
          <w:p w14:paraId="74D0B0E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宋体"/>
                <w:color w:val="auto"/>
                <w:kern w:val="2"/>
                <w:sz w:val="24"/>
                <w:szCs w:val="24"/>
                <w:highlight w:val="none"/>
                <w:lang w:val="en-US" w:eastAsia="zh-CN" w:bidi="ar-SA"/>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294295C7">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p>
        </w:tc>
      </w:tr>
      <w:tr w14:paraId="6A59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33" w:type="dxa"/>
            <w:noWrap w:val="0"/>
            <w:vAlign w:val="center"/>
          </w:tcPr>
          <w:p w14:paraId="6A271D9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14</w:t>
            </w:r>
          </w:p>
        </w:tc>
        <w:tc>
          <w:tcPr>
            <w:tcW w:w="1245" w:type="dxa"/>
            <w:noWrap w:val="0"/>
            <w:vAlign w:val="center"/>
          </w:tcPr>
          <w:p w14:paraId="6625861F">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应急响应方案</w:t>
            </w:r>
          </w:p>
        </w:tc>
        <w:tc>
          <w:tcPr>
            <w:tcW w:w="7938" w:type="dxa"/>
            <w:noWrap w:val="0"/>
            <w:vAlign w:val="center"/>
          </w:tcPr>
          <w:p w14:paraId="1E34831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根据供应商针对本项目采购单位提出的应急响应方案，包括应急响应时效、人员应急安排等应急保障措施情况的合理程度及完备程度进行综合打分。</w:t>
            </w:r>
          </w:p>
          <w:p w14:paraId="53B79E7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宋体"/>
                <w:color w:val="auto"/>
                <w:kern w:val="2"/>
                <w:sz w:val="24"/>
                <w:szCs w:val="24"/>
                <w:highlight w:val="none"/>
                <w:lang w:val="en-US" w:eastAsia="zh-CN" w:bidi="ar-SA"/>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评委根据阐述详尽</w:t>
            </w:r>
            <w:r>
              <w:rPr>
                <w:rFonts w:hint="eastAsia" w:ascii="宋体" w:hAnsi="宋体" w:eastAsia="宋体" w:cs="宋体"/>
                <w:b/>
                <w:color w:val="auto"/>
                <w:sz w:val="21"/>
                <w:szCs w:val="21"/>
                <w:highlight w:val="none"/>
                <w:lang w:val="en-US" w:eastAsia="zh-CN"/>
              </w:rPr>
              <w:t>程度</w:t>
            </w:r>
            <w:r>
              <w:rPr>
                <w:rFonts w:hint="eastAsia" w:ascii="宋体" w:hAnsi="宋体" w:eastAsia="宋体" w:cs="宋体"/>
                <w:b/>
                <w:color w:val="auto"/>
                <w:sz w:val="21"/>
                <w:szCs w:val="21"/>
                <w:highlight w:val="none"/>
              </w:rPr>
              <w:t>、准确且合理可行的等方面进行评分</w:t>
            </w:r>
          </w:p>
        </w:tc>
        <w:tc>
          <w:tcPr>
            <w:tcW w:w="674" w:type="dxa"/>
            <w:noWrap w:val="0"/>
            <w:vAlign w:val="center"/>
          </w:tcPr>
          <w:p w14:paraId="1B1FEAE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r>
      <w:tr w14:paraId="7F94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exact"/>
          <w:jc w:val="center"/>
        </w:trPr>
        <w:tc>
          <w:tcPr>
            <w:tcW w:w="533" w:type="dxa"/>
            <w:noWrap w:val="0"/>
            <w:vAlign w:val="center"/>
          </w:tcPr>
          <w:p w14:paraId="0B34E8F4">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c>
          <w:tcPr>
            <w:tcW w:w="9857" w:type="dxa"/>
            <w:gridSpan w:val="3"/>
            <w:noWrap w:val="0"/>
            <w:vAlign w:val="center"/>
          </w:tcPr>
          <w:p w14:paraId="0708E6FB">
            <w:pPr>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注：1、</w:t>
            </w:r>
            <w:r>
              <w:rPr>
                <w:rFonts w:hint="eastAsia" w:ascii="宋体" w:hAnsi="宋体" w:eastAsia="宋体" w:cs="宋体"/>
                <w:b/>
                <w:color w:val="auto"/>
                <w:kern w:val="0"/>
                <w:sz w:val="21"/>
                <w:szCs w:val="21"/>
                <w:highlight w:val="none"/>
              </w:rPr>
              <w:t>以上需提供的证书、证件及证明材料复印件</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或扫描件或打印件或网页截图</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均需加盖</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单位公章</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或CA签章</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w:t>
            </w:r>
          </w:p>
          <w:p w14:paraId="41A72681">
            <w:pPr>
              <w:keepNext w:val="0"/>
              <w:keepLines w:val="0"/>
              <w:pageBreakBefore w:val="0"/>
              <w:numPr>
                <w:ilvl w:val="0"/>
                <w:numId w:val="4"/>
              </w:numPr>
              <w:kinsoku/>
              <w:wordWrap/>
              <w:overflowPunct/>
              <w:topLinePunct w:val="0"/>
              <w:autoSpaceDE/>
              <w:autoSpaceDN/>
              <w:bidi w:val="0"/>
              <w:adjustRightInd/>
              <w:spacing w:line="3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评委打分小数点后最多保留一位。</w:t>
            </w:r>
          </w:p>
          <w:p w14:paraId="29B61807">
            <w:pPr>
              <w:keepNext w:val="0"/>
              <w:keepLines w:val="0"/>
              <w:pageBreakBefore w:val="0"/>
              <w:numPr>
                <w:ilvl w:val="0"/>
                <w:numId w:val="4"/>
              </w:numPr>
              <w:kinsoku/>
              <w:wordWrap/>
              <w:overflowPunct/>
              <w:topLinePunct w:val="0"/>
              <w:autoSpaceDE/>
              <w:autoSpaceDN/>
              <w:bidi w:val="0"/>
              <w:adjustRightInd/>
              <w:spacing w:line="3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水利水电工程相关专业职称包括水利水电工程建筑、水利工程施工、农田水利工程、水电站动力设备、电力系统及自动化、水力学及河流动力学、水文与水资源、工程地质及水文地质、水利机械等水利水电类相关专业职称。</w:t>
            </w:r>
          </w:p>
        </w:tc>
      </w:tr>
    </w:tbl>
    <w:p w14:paraId="5248B20D">
      <w:pPr>
        <w:rPr>
          <w:color w:val="auto"/>
        </w:rPr>
      </w:pPr>
    </w:p>
    <w:p w14:paraId="40C8E818">
      <w:pPr>
        <w:rPr>
          <w:color w:val="auto"/>
        </w:rPr>
      </w:pPr>
    </w:p>
    <w:p w14:paraId="45216692">
      <w:pPr>
        <w:rPr>
          <w:color w:val="auto"/>
        </w:rPr>
      </w:pPr>
    </w:p>
    <w:p w14:paraId="02959AD6">
      <w:pPr>
        <w:rPr>
          <w:color w:val="auto"/>
        </w:rPr>
      </w:pPr>
    </w:p>
    <w:p w14:paraId="6962FCD5">
      <w:pPr>
        <w:rPr>
          <w:color w:val="auto"/>
        </w:rPr>
      </w:pPr>
    </w:p>
    <w:p w14:paraId="71B60B46">
      <w:pPr>
        <w:spacing w:line="360" w:lineRule="auto"/>
        <w:jc w:val="center"/>
        <w:rPr>
          <w:rFonts w:hint="eastAsia"/>
          <w:b/>
          <w:color w:val="auto"/>
          <w:sz w:val="36"/>
          <w:szCs w:val="36"/>
          <w:highlight w:val="none"/>
        </w:rPr>
      </w:pPr>
    </w:p>
    <w:p w14:paraId="20875661">
      <w:pPr>
        <w:spacing w:line="360" w:lineRule="auto"/>
        <w:jc w:val="center"/>
        <w:rPr>
          <w:rFonts w:hint="eastAsia"/>
          <w:b/>
          <w:color w:val="auto"/>
          <w:sz w:val="36"/>
          <w:szCs w:val="36"/>
          <w:highlight w:val="none"/>
        </w:rPr>
      </w:pPr>
    </w:p>
    <w:p w14:paraId="14E2EF1E">
      <w:pPr>
        <w:pStyle w:val="2"/>
        <w:rPr>
          <w:rFonts w:hint="eastAsia"/>
          <w:b/>
          <w:color w:val="auto"/>
          <w:sz w:val="36"/>
          <w:szCs w:val="36"/>
          <w:highlight w:val="none"/>
        </w:rPr>
      </w:pPr>
    </w:p>
    <w:p w14:paraId="42B9DAC7">
      <w:pPr>
        <w:pStyle w:val="4"/>
        <w:rPr>
          <w:rFonts w:hint="eastAsia"/>
          <w:color w:val="auto"/>
        </w:rPr>
      </w:pPr>
    </w:p>
    <w:p w14:paraId="6C600808">
      <w:pPr>
        <w:spacing w:line="360" w:lineRule="auto"/>
        <w:jc w:val="center"/>
        <w:rPr>
          <w:rFonts w:hint="eastAsia"/>
          <w:b/>
          <w:color w:val="auto"/>
          <w:sz w:val="36"/>
          <w:szCs w:val="36"/>
          <w:highlight w:val="none"/>
        </w:rPr>
      </w:pPr>
    </w:p>
    <w:p w14:paraId="544CDC40">
      <w:pPr>
        <w:spacing w:line="360" w:lineRule="auto"/>
        <w:jc w:val="center"/>
        <w:rPr>
          <w:b/>
          <w:color w:val="auto"/>
          <w:sz w:val="36"/>
          <w:szCs w:val="36"/>
          <w:highlight w:val="none"/>
        </w:rPr>
      </w:pPr>
      <w:r>
        <w:rPr>
          <w:rFonts w:hint="eastAsia"/>
          <w:b/>
          <w:color w:val="auto"/>
          <w:sz w:val="36"/>
          <w:szCs w:val="36"/>
          <w:highlight w:val="none"/>
        </w:rPr>
        <w:t>第五章　</w:t>
      </w:r>
      <w:r>
        <w:rPr>
          <w:rFonts w:hint="eastAsia" w:ascii="宋体" w:hAnsi="宋体" w:eastAsia="宋体" w:cs="宋体"/>
          <w:b/>
          <w:color w:val="auto"/>
          <w:sz w:val="36"/>
          <w:szCs w:val="36"/>
          <w:highlight w:val="none"/>
        </w:rPr>
        <w:t>合同基本条款</w:t>
      </w:r>
    </w:p>
    <w:p w14:paraId="582BC278">
      <w:pPr>
        <w:pStyle w:val="37"/>
        <w:rPr>
          <w:rFonts w:hint="eastAsia"/>
          <w:color w:val="auto"/>
        </w:rPr>
      </w:pPr>
    </w:p>
    <w:p w14:paraId="6C268143">
      <w:pPr>
        <w:widowControl/>
        <w:shd w:val="clear" w:color="auto" w:fill="FFFFFF"/>
        <w:spacing w:after="150" w:line="42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注：该合同样本仅做参考，成交后，以采购人与供应商签订的正式合同为准。</w:t>
      </w:r>
    </w:p>
    <w:p w14:paraId="6D890158">
      <w:pPr>
        <w:pStyle w:val="6"/>
        <w:tabs>
          <w:tab w:val="left" w:pos="4046"/>
        </w:tabs>
        <w:spacing w:after="120"/>
        <w:ind w:left="0" w:firstLine="0"/>
        <w:jc w:val="center"/>
        <w:rPr>
          <w:rFonts w:hint="eastAsia" w:ascii="宋体" w:hAnsi="宋体" w:eastAsia="宋体" w:cs="宋体"/>
          <w:b w:val="0"/>
          <w:bCs w:val="0"/>
          <w:snapToGrid w:val="0"/>
          <w:color w:val="auto"/>
          <w:kern w:val="0"/>
          <w:sz w:val="36"/>
          <w:szCs w:val="20"/>
          <w:highlight w:val="none"/>
          <w:lang w:val="en-US" w:eastAsia="zh-CN" w:bidi="ar-SA"/>
        </w:rPr>
      </w:pPr>
      <w:bookmarkStart w:id="3" w:name="_Toc9979"/>
      <w:r>
        <w:rPr>
          <w:rFonts w:hint="eastAsia" w:ascii="宋体" w:hAnsi="宋体" w:eastAsia="宋体" w:cs="宋体"/>
          <w:b w:val="0"/>
          <w:bCs w:val="0"/>
          <w:snapToGrid w:val="0"/>
          <w:color w:val="auto"/>
          <w:kern w:val="0"/>
          <w:sz w:val="36"/>
          <w:szCs w:val="20"/>
          <w:highlight w:val="none"/>
          <w:lang w:val="en-US" w:eastAsia="zh-CN" w:bidi="ar-SA"/>
        </w:rPr>
        <w:t>水利工程施工监理合同书</w:t>
      </w:r>
      <w:bookmarkEnd w:id="3"/>
    </w:p>
    <w:p w14:paraId="7F12FACF">
      <w:pPr>
        <w:widowControl/>
        <w:jc w:val="center"/>
        <w:rPr>
          <w:rFonts w:hint="eastAsia" w:ascii="宋体" w:hAnsi="宋体" w:eastAsia="宋体" w:cs="宋体"/>
          <w:b/>
          <w:snapToGrid w:val="0"/>
          <w:color w:val="auto"/>
          <w:kern w:val="0"/>
          <w:sz w:val="24"/>
          <w:highlight w:val="none"/>
        </w:rPr>
      </w:pPr>
    </w:p>
    <w:p w14:paraId="69C2F3C3">
      <w:pPr>
        <w:pStyle w:val="34"/>
        <w:widowControl w:val="0"/>
        <w:adjustRightInd w:val="0"/>
        <w:snapToGrid w:val="0"/>
        <w:spacing w:before="0" w:beforeAutospacing="0" w:after="0" w:afterAutospacing="0" w:line="360" w:lineRule="auto"/>
        <w:ind w:left="361" w:leftChars="172" w:firstLine="2"/>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委托人：</w:t>
      </w:r>
      <w:r>
        <w:rPr>
          <w:rFonts w:hint="eastAsia" w:ascii="宋体" w:hAnsi="宋体" w:eastAsia="宋体" w:cs="宋体"/>
          <w:snapToGrid w:val="0"/>
          <w:color w:val="auto"/>
          <w:sz w:val="21"/>
          <w:szCs w:val="21"/>
          <w:highlight w:val="none"/>
          <w:u w:val="single"/>
          <w:lang w:eastAsia="zh-CN"/>
        </w:rPr>
        <w:t>仙居县水利工程投资建设开发有限公司</w:t>
      </w:r>
    </w:p>
    <w:p w14:paraId="029FA95A">
      <w:pPr>
        <w:pStyle w:val="34"/>
        <w:widowControl w:val="0"/>
        <w:adjustRightInd w:val="0"/>
        <w:snapToGrid w:val="0"/>
        <w:spacing w:before="0" w:beforeAutospacing="0" w:after="0" w:afterAutospacing="0" w:line="360" w:lineRule="auto"/>
        <w:ind w:left="361" w:leftChars="172" w:firstLine="2"/>
        <w:rPr>
          <w:rFonts w:hint="eastAsia" w:ascii="宋体" w:hAnsi="宋体" w:eastAsia="宋体" w:cs="宋体"/>
          <w:color w:val="auto"/>
          <w:sz w:val="21"/>
          <w:szCs w:val="21"/>
          <w:highlight w:val="none"/>
          <w:u w:val="single"/>
        </w:rPr>
      </w:pPr>
      <w:r>
        <w:rPr>
          <w:rFonts w:hint="eastAsia" w:ascii="宋体" w:hAnsi="宋体" w:eastAsia="宋体" w:cs="宋体"/>
          <w:snapToGrid w:val="0"/>
          <w:color w:val="auto"/>
          <w:sz w:val="21"/>
          <w:szCs w:val="21"/>
          <w:highlight w:val="none"/>
        </w:rPr>
        <w:t>监理人：</w:t>
      </w:r>
      <w:r>
        <w:rPr>
          <w:rFonts w:hint="eastAsia" w:ascii="宋体" w:hAnsi="宋体" w:eastAsia="宋体" w:cs="宋体"/>
          <w:snapToGrid w:val="0"/>
          <w:color w:val="auto"/>
          <w:sz w:val="21"/>
          <w:szCs w:val="21"/>
          <w:highlight w:val="none"/>
          <w:u w:val="single"/>
        </w:rPr>
        <w:t xml:space="preserve">                               。</w:t>
      </w:r>
    </w:p>
    <w:p w14:paraId="62F66995">
      <w:pPr>
        <w:pStyle w:val="34"/>
        <w:widowControl w:val="0"/>
        <w:adjustRightInd w:val="0"/>
        <w:snapToGrid w:val="0"/>
        <w:spacing w:before="0" w:beforeAutospacing="0" w:after="0" w:afterAutospacing="0" w:line="360" w:lineRule="auto"/>
        <w:ind w:left="361" w:leftChars="172" w:firstLine="2"/>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合同编号：</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lang w:val="en-US" w:eastAsia="zh-CN"/>
        </w:rPr>
        <w:t xml:space="preserve">          </w:t>
      </w:r>
      <w:r>
        <w:rPr>
          <w:rFonts w:hint="eastAsia" w:ascii="宋体" w:hAnsi="宋体" w:eastAsia="宋体" w:cs="宋体"/>
          <w:snapToGrid w:val="0"/>
          <w:color w:val="auto"/>
          <w:sz w:val="21"/>
          <w:szCs w:val="21"/>
          <w:highlight w:val="none"/>
          <w:u w:val="single"/>
        </w:rPr>
        <w:t xml:space="preserve">    。</w:t>
      </w:r>
    </w:p>
    <w:p w14:paraId="3FF62ECF">
      <w:pPr>
        <w:pStyle w:val="34"/>
        <w:widowControl w:val="0"/>
        <w:adjustRightInd w:val="0"/>
        <w:snapToGrid w:val="0"/>
        <w:spacing w:before="0" w:beforeAutospacing="0" w:after="0" w:afterAutospacing="0" w:line="360" w:lineRule="auto"/>
        <w:ind w:left="361" w:leftChars="172" w:firstLine="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合同名称：</w:t>
      </w:r>
      <w:r>
        <w:rPr>
          <w:rFonts w:hint="eastAsia" w:ascii="宋体" w:hAnsi="宋体" w:eastAsia="宋体" w:cs="宋体"/>
          <w:snapToGrid w:val="0"/>
          <w:color w:val="auto"/>
          <w:sz w:val="21"/>
          <w:szCs w:val="21"/>
          <w:highlight w:val="none"/>
          <w:u w:val="single"/>
          <w:lang w:eastAsia="zh-CN"/>
        </w:rPr>
        <w:t>仙居县生态共富小流域水土流失综合治理项目（大战岙溪、桐山溪、大洪港、东坑小流域）（EPC工程总承包）（监理）</w:t>
      </w:r>
      <w:r>
        <w:rPr>
          <w:rFonts w:hint="eastAsia" w:ascii="宋体" w:hAnsi="宋体" w:eastAsia="宋体" w:cs="宋体"/>
          <w:snapToGrid w:val="0"/>
          <w:color w:val="auto"/>
          <w:sz w:val="21"/>
          <w:szCs w:val="21"/>
          <w:highlight w:val="none"/>
          <w:u w:val="single"/>
        </w:rPr>
        <w:t>委托合同</w:t>
      </w:r>
    </w:p>
    <w:p w14:paraId="6F35B801">
      <w:pPr>
        <w:pStyle w:val="34"/>
        <w:widowControl w:val="0"/>
        <w:adjustRightInd w:val="0"/>
        <w:snapToGrid w:val="0"/>
        <w:spacing w:before="0" w:beforeAutospacing="0" w:after="0" w:afterAutospacing="0" w:line="360" w:lineRule="auto"/>
        <w:ind w:firstLine="56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依据国家有关法律、法规，</w:t>
      </w:r>
      <w:r>
        <w:rPr>
          <w:rFonts w:hint="eastAsia" w:ascii="宋体" w:hAnsi="宋体" w:eastAsia="宋体" w:cs="宋体"/>
          <w:snapToGrid w:val="0"/>
          <w:color w:val="auto"/>
          <w:sz w:val="21"/>
          <w:szCs w:val="21"/>
          <w:highlight w:val="none"/>
          <w:u w:val="single"/>
          <w:lang w:eastAsia="zh-CN"/>
        </w:rPr>
        <w:t>仙居县水利工程投资建设开发有限公司</w:t>
      </w:r>
      <w:r>
        <w:rPr>
          <w:rFonts w:hint="eastAsia" w:ascii="宋体" w:hAnsi="宋体" w:eastAsia="宋体" w:cs="宋体"/>
          <w:snapToGrid w:val="0"/>
          <w:color w:val="auto"/>
          <w:sz w:val="21"/>
          <w:szCs w:val="21"/>
          <w:highlight w:val="none"/>
        </w:rPr>
        <w:t>（以下简称委托人）, 委托</w:t>
      </w:r>
      <w:r>
        <w:rPr>
          <w:rFonts w:hint="eastAsia" w:ascii="宋体" w:hAnsi="宋体" w:eastAsia="宋体" w:cs="宋体"/>
          <w:snapToGrid w:val="0"/>
          <w:color w:val="auto"/>
          <w:sz w:val="21"/>
          <w:szCs w:val="21"/>
          <w:highlight w:val="none"/>
          <w:u w:val="single"/>
        </w:rPr>
        <w:t xml:space="preserve">    （监理人名称） </w:t>
      </w:r>
      <w:r>
        <w:rPr>
          <w:rFonts w:hint="eastAsia" w:ascii="宋体" w:hAnsi="宋体" w:eastAsia="宋体" w:cs="宋体"/>
          <w:snapToGrid w:val="0"/>
          <w:color w:val="auto"/>
          <w:sz w:val="21"/>
          <w:szCs w:val="21"/>
          <w:highlight w:val="none"/>
        </w:rPr>
        <w:t>（以下简称监理人）提供</w:t>
      </w:r>
      <w:r>
        <w:rPr>
          <w:rFonts w:hint="eastAsia" w:ascii="宋体" w:hAnsi="宋体" w:eastAsia="宋体" w:cs="宋体"/>
          <w:snapToGrid w:val="0"/>
          <w:color w:val="auto"/>
          <w:sz w:val="21"/>
          <w:szCs w:val="21"/>
          <w:highlight w:val="none"/>
          <w:u w:val="single"/>
          <w:lang w:eastAsia="zh-CN"/>
        </w:rPr>
        <w:t>仙居县生态共富小流域水土流失综合治理项目（大战岙溪、桐山溪、大洪港、东坑小流域）（EPC工程总承包）（监理）</w:t>
      </w:r>
      <w:r>
        <w:rPr>
          <w:rFonts w:hint="eastAsia" w:ascii="宋体" w:hAnsi="宋体" w:eastAsia="宋体" w:cs="宋体"/>
          <w:snapToGrid w:val="0"/>
          <w:color w:val="auto"/>
          <w:sz w:val="21"/>
          <w:szCs w:val="21"/>
          <w:highlight w:val="none"/>
          <w:u w:val="none"/>
          <w:lang w:eastAsia="zh-CN"/>
        </w:rPr>
        <w:t>监理</w:t>
      </w:r>
      <w:r>
        <w:rPr>
          <w:rFonts w:hint="eastAsia" w:ascii="宋体" w:hAnsi="宋体" w:eastAsia="宋体" w:cs="宋体"/>
          <w:snapToGrid w:val="0"/>
          <w:color w:val="auto"/>
          <w:sz w:val="21"/>
          <w:szCs w:val="21"/>
          <w:highlight w:val="none"/>
        </w:rPr>
        <w:t>服务，经双方协商一致，订立本合同。</w:t>
      </w:r>
    </w:p>
    <w:p w14:paraId="01E9CCAF">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一、工程概况</w:t>
      </w:r>
    </w:p>
    <w:p w14:paraId="3FB86B31">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u w:val="single"/>
          <w:lang w:val="en-US" w:eastAsia="zh-CN"/>
        </w:rPr>
      </w:pPr>
      <w:r>
        <w:rPr>
          <w:rFonts w:hint="eastAsia" w:ascii="宋体" w:hAnsi="宋体" w:eastAsia="宋体" w:cs="宋体"/>
          <w:snapToGrid w:val="0"/>
          <w:color w:val="auto"/>
          <w:sz w:val="21"/>
          <w:szCs w:val="21"/>
          <w:highlight w:val="none"/>
        </w:rPr>
        <w:t>1、工程名称：</w:t>
      </w:r>
      <w:r>
        <w:rPr>
          <w:rFonts w:hint="eastAsia" w:ascii="宋体" w:hAnsi="宋体" w:eastAsia="宋体" w:cs="宋体"/>
          <w:snapToGrid w:val="0"/>
          <w:color w:val="auto"/>
          <w:sz w:val="21"/>
          <w:szCs w:val="21"/>
          <w:highlight w:val="none"/>
          <w:u w:val="single"/>
          <w:lang w:eastAsia="zh-CN"/>
        </w:rPr>
        <w:t>仙居县生态共富小流域水土流失综合治理项目（大战岙溪、桐山溪、大洪港、东坑小流域）（EPC工程总承包）（监理）</w:t>
      </w:r>
    </w:p>
    <w:p w14:paraId="33D604D4">
      <w:pPr>
        <w:pStyle w:val="34"/>
        <w:widowControl w:val="0"/>
        <w:adjustRightInd w:val="0"/>
        <w:snapToGrid w:val="0"/>
        <w:spacing w:before="0" w:beforeAutospacing="0" w:after="0" w:afterAutospacing="0" w:line="360" w:lineRule="auto"/>
        <w:ind w:firstLine="552"/>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2、建设地点：</w:t>
      </w:r>
      <w:r>
        <w:rPr>
          <w:rFonts w:hint="eastAsia" w:ascii="宋体" w:hAnsi="宋体" w:eastAsia="宋体" w:cs="宋体"/>
          <w:snapToGrid w:val="0"/>
          <w:color w:val="auto"/>
          <w:sz w:val="21"/>
          <w:szCs w:val="21"/>
          <w:highlight w:val="none"/>
          <w:u w:val="single"/>
        </w:rPr>
        <w:t>项目所在区域位于朱溪镇和大战乡2个乡镇</w:t>
      </w:r>
    </w:p>
    <w:p w14:paraId="40F8B5ED">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3、工程等别（级）:</w:t>
      </w:r>
      <w:r>
        <w:rPr>
          <w:rFonts w:hint="eastAsia" w:ascii="宋体" w:hAnsi="宋体" w:eastAsia="宋体" w:cs="宋体"/>
          <w:snapToGrid w:val="0"/>
          <w:color w:val="auto"/>
          <w:sz w:val="21"/>
          <w:szCs w:val="21"/>
          <w:highlight w:val="none"/>
          <w:u w:val="single"/>
        </w:rPr>
        <w:t xml:space="preserve"> 本工程等别为Ⅴ等，护岸建筑物级别为5级，临时建筑物（施工围堰等）为5级，建筑物级别为5 级，合理使用年限为20年。</w:t>
      </w:r>
    </w:p>
    <w:p w14:paraId="0F856C8F">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4、工程总投资（人民币，下同）:</w:t>
      </w:r>
      <w:r>
        <w:rPr>
          <w:rFonts w:hint="eastAsia" w:ascii="宋体" w:hAnsi="宋体" w:eastAsia="宋体" w:cs="宋体"/>
          <w:snapToGrid w:val="0"/>
          <w:color w:val="auto"/>
          <w:sz w:val="21"/>
          <w:szCs w:val="21"/>
          <w:highlight w:val="none"/>
          <w:u w:val="single"/>
          <w:lang w:val="en-US" w:eastAsia="zh-CN"/>
        </w:rPr>
        <w:t xml:space="preserve">                </w:t>
      </w:r>
      <w:r>
        <w:rPr>
          <w:rFonts w:hint="eastAsia" w:ascii="宋体" w:hAnsi="宋体" w:eastAsia="宋体" w:cs="宋体"/>
          <w:snapToGrid w:val="0"/>
          <w:color w:val="auto"/>
          <w:sz w:val="21"/>
          <w:szCs w:val="21"/>
          <w:highlight w:val="none"/>
          <w:u w:val="single"/>
        </w:rPr>
        <w:t>万元</w:t>
      </w:r>
    </w:p>
    <w:p w14:paraId="7CB05E56">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5、施工工期：</w:t>
      </w:r>
      <w:r>
        <w:rPr>
          <w:rFonts w:hint="eastAsia" w:ascii="宋体" w:hAnsi="宋体" w:eastAsia="宋体" w:cs="宋体"/>
          <w:snapToGrid w:val="0"/>
          <w:color w:val="auto"/>
          <w:sz w:val="21"/>
          <w:szCs w:val="21"/>
          <w:highlight w:val="none"/>
          <w:u w:val="single"/>
          <w:lang w:val="en-US" w:eastAsia="zh-CN"/>
        </w:rPr>
        <w:t xml:space="preserve"> 总工期不超过24 个月（开工令签发之日至完工之日）【其中：（设计工期：开工令签发之日起30日历天内完成施工图送审稿。本工程预算在施工图审查合格后30日历天内完成）】，缺陷责任期12个月</w:t>
      </w:r>
      <w:r>
        <w:rPr>
          <w:rFonts w:hint="eastAsia" w:ascii="宋体" w:hAnsi="宋体" w:eastAsia="宋体" w:cs="宋体"/>
          <w:snapToGrid w:val="0"/>
          <w:color w:val="auto"/>
          <w:sz w:val="21"/>
          <w:szCs w:val="21"/>
          <w:highlight w:val="none"/>
          <w:u w:val="single"/>
        </w:rPr>
        <w:t>。</w:t>
      </w:r>
    </w:p>
    <w:p w14:paraId="32F479ED">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二、监理范围</w:t>
      </w:r>
    </w:p>
    <w:p w14:paraId="764AEF18">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u w:val="single"/>
          <w:lang w:val="en-US" w:eastAsia="zh-CN"/>
        </w:rPr>
      </w:pPr>
      <w:r>
        <w:rPr>
          <w:rFonts w:hint="eastAsia" w:ascii="宋体" w:hAnsi="宋体" w:eastAsia="宋体" w:cs="宋体"/>
          <w:snapToGrid w:val="0"/>
          <w:color w:val="auto"/>
          <w:sz w:val="21"/>
          <w:szCs w:val="21"/>
          <w:highlight w:val="none"/>
        </w:rPr>
        <w:t>1、监理项目名称：</w:t>
      </w:r>
      <w:r>
        <w:rPr>
          <w:rFonts w:hint="eastAsia" w:ascii="宋体" w:hAnsi="宋体" w:eastAsia="宋体" w:cs="宋体"/>
          <w:snapToGrid w:val="0"/>
          <w:color w:val="auto"/>
          <w:sz w:val="21"/>
          <w:szCs w:val="21"/>
          <w:highlight w:val="none"/>
          <w:u w:val="single"/>
          <w:lang w:eastAsia="zh-CN"/>
        </w:rPr>
        <w:t>仙居县生态共富小流域水土流失综合治理项目（大战岙溪、桐山溪、大洪港、东坑小流域）（EPC工程总承包）（监理）</w:t>
      </w:r>
    </w:p>
    <w:p w14:paraId="273F939C">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u w:val="single"/>
          <w:lang w:val="en-US" w:eastAsia="zh-CN"/>
        </w:rPr>
      </w:pPr>
      <w:r>
        <w:rPr>
          <w:rFonts w:hint="eastAsia" w:ascii="宋体" w:hAnsi="宋体" w:eastAsia="宋体" w:cs="宋体"/>
          <w:snapToGrid w:val="0"/>
          <w:color w:val="auto"/>
          <w:sz w:val="21"/>
          <w:szCs w:val="21"/>
          <w:highlight w:val="none"/>
        </w:rPr>
        <w:t>2、监理项目内容及主要特性参数:</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sz w:val="21"/>
          <w:szCs w:val="21"/>
          <w:highlight w:val="none"/>
          <w:u w:val="single"/>
          <w:lang w:eastAsia="zh-CN"/>
        </w:rPr>
        <w:t>主要建设内容包括封育治理工程、经济林地治理工程、生态护岸工程、拦沙堰工程、林道防护工程、堤顶道路整修工程及村庄绿化美化工程等。包括大战岙溪、桐山溪、大洪港、东坑等4条生态共富小流域，主要涉及大洪村、火坦村、大战村、下叶溪村、格垟村、大战索村及温泉村等村庄，项目区面积总计170.52km2。流域内以低山丘陵为主，土地利用现状以林地和耕地为主。项目水土流失治理措施面积不小于62km2。</w:t>
      </w:r>
      <w:r>
        <w:rPr>
          <w:rFonts w:hint="eastAsia" w:ascii="宋体" w:hAnsi="宋体" w:eastAsia="宋体" w:cs="宋体"/>
          <w:snapToGrid w:val="0"/>
          <w:color w:val="auto"/>
          <w:sz w:val="21"/>
          <w:szCs w:val="21"/>
          <w:highlight w:val="none"/>
          <w:u w:val="single"/>
          <w:lang w:val="en-US" w:eastAsia="zh-CN"/>
        </w:rPr>
        <w:t xml:space="preserve"> </w:t>
      </w:r>
    </w:p>
    <w:p w14:paraId="392B4EAD">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3、监理项目投资：</w:t>
      </w:r>
      <w:r>
        <w:rPr>
          <w:rFonts w:hint="eastAsia" w:ascii="宋体" w:hAnsi="宋体" w:eastAsia="宋体" w:cs="宋体"/>
          <w:snapToGrid w:val="0"/>
          <w:color w:val="auto"/>
          <w:sz w:val="21"/>
          <w:szCs w:val="21"/>
          <w:highlight w:val="none"/>
          <w:u w:val="single"/>
          <w:lang w:val="en-US" w:eastAsia="zh-CN"/>
        </w:rPr>
        <w:t xml:space="preserve">            </w:t>
      </w:r>
      <w:r>
        <w:rPr>
          <w:rFonts w:hint="eastAsia" w:ascii="宋体" w:hAnsi="宋体" w:eastAsia="宋体" w:cs="宋体"/>
          <w:snapToGrid w:val="0"/>
          <w:color w:val="auto"/>
          <w:sz w:val="21"/>
          <w:szCs w:val="21"/>
          <w:highlight w:val="none"/>
          <w:u w:val="single"/>
        </w:rPr>
        <w:t>。</w:t>
      </w:r>
    </w:p>
    <w:p w14:paraId="03FC0CA7">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三、监理服务内容、期限</w:t>
      </w:r>
    </w:p>
    <w:p w14:paraId="7749F30B">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l、监理服务内容：</w:t>
      </w:r>
      <w:r>
        <w:rPr>
          <w:rFonts w:hint="eastAsia" w:ascii="宋体" w:hAnsi="宋体" w:eastAsia="宋体" w:cs="宋体"/>
          <w:snapToGrid w:val="0"/>
          <w:color w:val="auto"/>
          <w:sz w:val="21"/>
          <w:szCs w:val="21"/>
          <w:highlight w:val="none"/>
          <w:u w:val="single"/>
        </w:rPr>
        <w:t>施工期、缺陷责任期</w:t>
      </w:r>
      <w:r>
        <w:rPr>
          <w:rFonts w:hint="eastAsia" w:ascii="宋体" w:hAnsi="宋体" w:eastAsia="宋体" w:cs="宋体"/>
          <w:snapToGrid w:val="0"/>
          <w:color w:val="auto"/>
          <w:sz w:val="21"/>
          <w:szCs w:val="21"/>
          <w:highlight w:val="none"/>
          <w:u w:val="single"/>
          <w:lang w:eastAsia="zh-CN"/>
        </w:rPr>
        <w:t>（</w:t>
      </w:r>
      <w:r>
        <w:rPr>
          <w:rFonts w:hint="eastAsia" w:ascii="宋体" w:hAnsi="宋体" w:eastAsia="宋体" w:cs="宋体"/>
          <w:color w:val="auto"/>
          <w:sz w:val="21"/>
          <w:szCs w:val="21"/>
          <w:highlight w:val="none"/>
          <w:u w:val="single"/>
        </w:rPr>
        <w:t>前期准备工作及后期资料整理等也属监理工作内容，但不计入服务期</w:t>
      </w:r>
      <w:r>
        <w:rPr>
          <w:rFonts w:hint="eastAsia" w:ascii="宋体" w:hAnsi="宋体" w:eastAsia="宋体" w:cs="宋体"/>
          <w:color w:val="auto"/>
          <w:sz w:val="21"/>
          <w:szCs w:val="21"/>
          <w:highlight w:val="none"/>
          <w:u w:val="single"/>
          <w:lang w:eastAsia="zh-CN"/>
        </w:rPr>
        <w:t>）</w:t>
      </w:r>
      <w:r>
        <w:rPr>
          <w:rFonts w:hint="eastAsia" w:ascii="宋体" w:hAnsi="宋体" w:eastAsia="宋体" w:cs="宋体"/>
          <w:snapToGrid w:val="0"/>
          <w:color w:val="auto"/>
          <w:sz w:val="21"/>
          <w:szCs w:val="21"/>
          <w:highlight w:val="none"/>
          <w:u w:val="none"/>
        </w:rPr>
        <w:t>。</w:t>
      </w:r>
    </w:p>
    <w:p w14:paraId="099AAFBA">
      <w:pPr>
        <w:pStyle w:val="34"/>
        <w:widowControl w:val="0"/>
        <w:adjustRightInd w:val="0"/>
        <w:snapToGrid w:val="0"/>
        <w:spacing w:before="0" w:beforeAutospacing="0" w:after="0" w:afterAutospacing="0" w:line="360" w:lineRule="auto"/>
        <w:ind w:firstLine="552"/>
        <w:rPr>
          <w:rFonts w:hint="eastAsia" w:ascii="宋体" w:hAnsi="宋体" w:eastAsia="宋体" w:cs="宋体"/>
          <w:color w:val="auto"/>
          <w:sz w:val="21"/>
          <w:szCs w:val="21"/>
          <w:highlight w:val="none"/>
          <w:u w:val="single"/>
        </w:rPr>
      </w:pPr>
      <w:r>
        <w:rPr>
          <w:rFonts w:hint="eastAsia" w:ascii="宋体" w:hAnsi="宋体" w:eastAsia="宋体" w:cs="宋体"/>
          <w:snapToGrid w:val="0"/>
          <w:color w:val="auto"/>
          <w:sz w:val="21"/>
          <w:szCs w:val="21"/>
          <w:highlight w:val="none"/>
        </w:rPr>
        <w:t>2、监理服务期限：</w:t>
      </w:r>
      <w:r>
        <w:rPr>
          <w:rFonts w:hint="eastAsia" w:ascii="宋体" w:hAnsi="宋体" w:eastAsia="宋体" w:cs="宋体"/>
          <w:color w:val="auto"/>
          <w:sz w:val="21"/>
          <w:szCs w:val="21"/>
          <w:highlight w:val="none"/>
          <w:u w:val="single"/>
        </w:rPr>
        <w:t>不少于24个月</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本工程施工的全过程监理及缺陷责任期12个月的监理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w:t>
      </w:r>
    </w:p>
    <w:p w14:paraId="04C1E289">
      <w:pPr>
        <w:pStyle w:val="34"/>
        <w:widowControl w:val="0"/>
        <w:adjustRightInd w:val="0"/>
        <w:snapToGrid w:val="0"/>
        <w:spacing w:before="0" w:beforeAutospacing="0" w:after="0" w:afterAutospacing="0" w:line="360" w:lineRule="auto"/>
        <w:ind w:firstLine="420" w:firstLineChars="200"/>
        <w:rPr>
          <w:rFonts w:hint="eastAsia" w:ascii="宋体" w:hAnsi="宋体" w:eastAsia="宋体" w:cs="宋体"/>
          <w:snapToGrid w:val="0"/>
          <w:color w:val="auto"/>
          <w:sz w:val="21"/>
          <w:szCs w:val="21"/>
          <w:highlight w:val="none"/>
          <w:u w:val="single"/>
        </w:rPr>
      </w:pPr>
      <w:r>
        <w:rPr>
          <w:rFonts w:hint="eastAsia" w:ascii="宋体" w:hAnsi="宋体" w:eastAsia="宋体" w:cs="宋体"/>
          <w:color w:val="auto"/>
          <w:sz w:val="21"/>
          <w:szCs w:val="21"/>
          <w:highlight w:val="none"/>
        </w:rPr>
        <w:t>3、总监理工程师：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，技术职称：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执业证书：</w:t>
      </w:r>
      <w:r>
        <w:rPr>
          <w:rFonts w:hint="eastAsia" w:ascii="宋体" w:hAnsi="宋体" w:eastAsia="宋体" w:cs="宋体"/>
          <w:color w:val="auto"/>
          <w:sz w:val="21"/>
          <w:szCs w:val="21"/>
          <w:highlight w:val="none"/>
          <w:u w:val="single"/>
        </w:rPr>
        <w:t xml:space="preserve">          。</w:t>
      </w:r>
    </w:p>
    <w:p w14:paraId="0B889F30">
      <w:pPr>
        <w:pStyle w:val="34"/>
        <w:widowControl w:val="0"/>
        <w:adjustRightInd w:val="0"/>
        <w:snapToGrid w:val="0"/>
        <w:spacing w:before="0" w:beforeAutospacing="0" w:after="0" w:afterAutospacing="0" w:line="360" w:lineRule="auto"/>
        <w:ind w:firstLine="552"/>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四、监理服务酬金</w:t>
      </w:r>
    </w:p>
    <w:p w14:paraId="3C310899">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本合同的监理正常服务酬金为（大写）</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元</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小写</w:t>
      </w:r>
      <w:r>
        <w:rPr>
          <w:rFonts w:hint="eastAsia" w:ascii="宋体" w:hAnsi="宋体" w:eastAsia="宋体" w:cs="宋体"/>
          <w:b/>
          <w:bCs/>
          <w:color w:val="auto"/>
          <w:sz w:val="24"/>
          <w:highlight w:val="none"/>
        </w:rPr>
        <w:t>¥：</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元</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b/>
          <w:bCs/>
          <w:snapToGrid w:val="0"/>
          <w:color w:val="auto"/>
          <w:sz w:val="21"/>
          <w:szCs w:val="21"/>
          <w:highlight w:val="none"/>
          <w:lang w:eastAsia="zh-CN"/>
        </w:rPr>
        <w:t>，监理服务酬金采用总价承包，一次包干，与工程实施中造价的调整无关</w:t>
      </w:r>
      <w:r>
        <w:rPr>
          <w:rFonts w:hint="eastAsia" w:ascii="宋体" w:hAnsi="宋体" w:eastAsia="宋体" w:cs="宋体"/>
          <w:b/>
          <w:bCs/>
          <w:snapToGrid w:val="0"/>
          <w:color w:val="auto"/>
          <w:sz w:val="21"/>
          <w:szCs w:val="21"/>
          <w:highlight w:val="none"/>
        </w:rPr>
        <w:t>。</w:t>
      </w:r>
    </w:p>
    <w:p w14:paraId="7DB16FB7">
      <w:pPr>
        <w:pStyle w:val="34"/>
        <w:widowControl w:val="0"/>
        <w:adjustRightInd w:val="0"/>
        <w:snapToGrid w:val="0"/>
        <w:spacing w:before="0" w:beforeAutospacing="0" w:after="0" w:afterAutospacing="0" w:line="360" w:lineRule="auto"/>
        <w:ind w:firstLine="581" w:firstLineChars="2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五、监理合同的组成文件及解释顺序</w:t>
      </w:r>
    </w:p>
    <w:p w14:paraId="1A4E61D5">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l、监理合同书（含补充协议）; </w:t>
      </w:r>
    </w:p>
    <w:p w14:paraId="4EBAD380">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2、中标通知书；</w:t>
      </w:r>
    </w:p>
    <w:p w14:paraId="33A66930">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3、投标报价书；</w:t>
      </w:r>
    </w:p>
    <w:p w14:paraId="3398427E">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4、专用合同条款；</w:t>
      </w:r>
    </w:p>
    <w:p w14:paraId="72815E68">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5、通用合同条款；</w:t>
      </w:r>
    </w:p>
    <w:p w14:paraId="60BE1B8C">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6、监理大纲：</w:t>
      </w:r>
    </w:p>
    <w:p w14:paraId="45144A2B">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7、双方确认需进入合同的其他文件。</w:t>
      </w:r>
    </w:p>
    <w:p w14:paraId="523A53C2">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六、本合同书经双方法定代表人或其授权代表人签名并加盖本单位公章后生效。</w:t>
      </w:r>
    </w:p>
    <w:p w14:paraId="78616226">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七、</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玖</w:t>
      </w:r>
      <w:r>
        <w:rPr>
          <w:rFonts w:hint="eastAsia" w:ascii="宋体" w:hAnsi="宋体" w:eastAsia="宋体" w:cs="宋体"/>
          <w:color w:val="auto"/>
          <w:sz w:val="21"/>
          <w:szCs w:val="21"/>
          <w:highlight w:val="none"/>
        </w:rPr>
        <w:t>份，具有同等法律效力，双方各执正本</w:t>
      </w: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叁</w:t>
      </w:r>
      <w:r>
        <w:rPr>
          <w:rFonts w:hint="eastAsia" w:ascii="宋体" w:hAnsi="宋体" w:eastAsia="宋体" w:cs="宋体"/>
          <w:color w:val="auto"/>
          <w:sz w:val="21"/>
          <w:szCs w:val="21"/>
          <w:highlight w:val="none"/>
        </w:rPr>
        <w:t>份，其它分送相关部门备案。</w:t>
      </w:r>
    </w:p>
    <w:p w14:paraId="6AEFEA4F">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color w:val="auto"/>
          <w:sz w:val="21"/>
          <w:szCs w:val="21"/>
          <w:highlight w:val="none"/>
        </w:rPr>
      </w:pPr>
    </w:p>
    <w:p w14:paraId="5238E477">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（盖章）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监理人：</w:t>
      </w:r>
      <w:r>
        <w:rPr>
          <w:rFonts w:hint="eastAsia" w:ascii="宋体" w:hAnsi="宋体" w:eastAsia="宋体" w:cs="宋体"/>
          <w:color w:val="auto"/>
          <w:szCs w:val="21"/>
          <w:highlight w:val="none"/>
          <w:u w:val="single"/>
        </w:rPr>
        <w:t xml:space="preserve">               （盖章）</w:t>
      </w:r>
    </w:p>
    <w:p w14:paraId="5CE722B0">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（签名）</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（签名）</w:t>
      </w:r>
    </w:p>
    <w:p w14:paraId="31383352">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或授权代表人：</w:t>
      </w:r>
      <w:r>
        <w:rPr>
          <w:rFonts w:hint="eastAsia" w:ascii="宋体" w:hAnsi="宋体" w:eastAsia="宋体" w:cs="宋体"/>
          <w:color w:val="auto"/>
          <w:szCs w:val="21"/>
          <w:highlight w:val="none"/>
          <w:u w:val="single"/>
        </w:rPr>
        <w:t xml:space="preserve">               （签名）</w:t>
      </w:r>
      <w:r>
        <w:rPr>
          <w:rFonts w:hint="eastAsia" w:ascii="宋体" w:hAnsi="宋体" w:eastAsia="宋体" w:cs="宋体"/>
          <w:color w:val="auto"/>
          <w:szCs w:val="21"/>
          <w:highlight w:val="none"/>
        </w:rPr>
        <w:t xml:space="preserve">         或授权代表人：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（签名）</w:t>
      </w:r>
    </w:p>
    <w:p w14:paraId="0254671A">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单位地址：</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u w:val="single"/>
          <w:lang w:val="en-US" w:eastAsia="zh-CN"/>
        </w:rPr>
        <w:t xml:space="preserve">     </w:t>
      </w:r>
    </w:p>
    <w:p w14:paraId="7EE51CAC">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w:t>
      </w:r>
      <w:r>
        <w:rPr>
          <w:rFonts w:hint="eastAsia" w:ascii="宋体" w:hAnsi="宋体" w:eastAsia="宋体" w:cs="宋体"/>
          <w:color w:val="auto"/>
          <w:szCs w:val="21"/>
          <w:highlight w:val="none"/>
          <w:u w:val="none"/>
        </w:rPr>
        <w:t xml:space="preserve">编码：  </w:t>
      </w:r>
      <w:r>
        <w:rPr>
          <w:rFonts w:hint="eastAsia" w:ascii="宋体" w:hAnsi="宋体" w:eastAsia="宋体" w:cs="宋体"/>
          <w:color w:val="auto"/>
          <w:szCs w:val="21"/>
          <w:highlight w:val="none"/>
          <w:u w:val="none"/>
          <w:lang w:val="en-US" w:eastAsia="zh-CN"/>
        </w:rPr>
        <w:tab/>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DC7918">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u w:val="single"/>
        </w:rPr>
        <w:t xml:space="preserve">                          </w:t>
      </w:r>
    </w:p>
    <w:p w14:paraId="0AAEB8A7">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ab/>
      </w:r>
      <w:r>
        <w:rPr>
          <w:rFonts w:hint="eastAsia" w:ascii="宋体" w:hAnsi="宋体" w:eastAsia="宋体" w:cs="宋体"/>
          <w:color w:val="auto"/>
          <w:szCs w:val="21"/>
          <w:highlight w:val="none"/>
          <w:u w:val="single"/>
        </w:rPr>
        <w:t xml:space="preserve">                     </w:t>
      </w:r>
    </w:p>
    <w:p w14:paraId="5A0B700A">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ab/>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36BE9A04">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ab/>
      </w:r>
      <w:r>
        <w:rPr>
          <w:rFonts w:hint="eastAsia" w:ascii="宋体" w:hAnsi="宋体" w:eastAsia="宋体" w:cs="宋体"/>
          <w:color w:val="auto"/>
          <w:szCs w:val="21"/>
          <w:highlight w:val="none"/>
          <w:u w:val="single"/>
        </w:rPr>
        <w:t xml:space="preserve">                    </w:t>
      </w:r>
    </w:p>
    <w:p w14:paraId="5534613C">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u w:val="single"/>
        </w:rPr>
        <w:t xml:space="preserve">                         </w:t>
      </w:r>
    </w:p>
    <w:p w14:paraId="21829386">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EF670A1">
      <w:pPr>
        <w:keepNext w:val="0"/>
        <w:keepLines w:val="0"/>
        <w:pageBreakBefore w:val="0"/>
        <w:widowControl w:val="0"/>
        <w:tabs>
          <w:tab w:val="left" w:leader="underscore" w:pos="8820"/>
        </w:tabs>
        <w:kinsoku/>
        <w:wordWrap/>
        <w:overflowPunct/>
        <w:topLinePunct w:val="0"/>
        <w:autoSpaceDE/>
        <w:autoSpaceDN/>
        <w:bidi w:val="0"/>
        <w:adjustRightInd/>
        <w:snapToGrid/>
        <w:spacing w:line="360" w:lineRule="auto"/>
        <w:ind w:left="403" w:leftChars="192"/>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签订时间：  年   月  日</w:t>
      </w:r>
    </w:p>
    <w:p w14:paraId="00B6B8D9">
      <w:pPr>
        <w:pStyle w:val="34"/>
        <w:widowControl w:val="0"/>
        <w:adjustRightInd w:val="0"/>
        <w:snapToGrid w:val="0"/>
        <w:spacing w:before="0" w:beforeAutospacing="0" w:after="0" w:afterAutospacing="0" w:line="360" w:lineRule="auto"/>
        <w:ind w:firstLine="371" w:firstLineChars="177"/>
        <w:rPr>
          <w:rFonts w:hint="eastAsia" w:ascii="宋体" w:hAnsi="宋体" w:eastAsia="宋体" w:cs="宋体"/>
          <w:color w:val="auto"/>
          <w:sz w:val="21"/>
          <w:szCs w:val="21"/>
          <w:highlight w:val="none"/>
        </w:rPr>
      </w:pPr>
    </w:p>
    <w:p w14:paraId="0AEDAB4D">
      <w:pPr>
        <w:pStyle w:val="34"/>
        <w:widowControl w:val="0"/>
        <w:adjustRightInd w:val="0"/>
        <w:snapToGrid w:val="0"/>
        <w:spacing w:before="0" w:beforeAutospacing="0" w:after="0" w:afterAutospacing="0" w:line="360" w:lineRule="auto"/>
        <w:rPr>
          <w:rFonts w:hint="eastAsia" w:ascii="宋体" w:hAnsi="宋体" w:eastAsia="宋体" w:cs="宋体"/>
          <w:color w:val="auto"/>
          <w:sz w:val="21"/>
          <w:szCs w:val="21"/>
          <w:highlight w:val="none"/>
        </w:rPr>
      </w:pPr>
    </w:p>
    <w:p w14:paraId="75E4F745">
      <w:pPr>
        <w:pStyle w:val="6"/>
        <w:tabs>
          <w:tab w:val="left" w:pos="4046"/>
        </w:tabs>
        <w:spacing w:after="120"/>
        <w:ind w:left="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4" w:name="_Toc452473912"/>
      <w:bookmarkStart w:id="5" w:name="_Toc21554"/>
      <w:bookmarkStart w:id="6" w:name="_Toc529955282"/>
      <w:bookmarkStart w:id="7" w:name="_Toc530734032"/>
      <w:bookmarkStart w:id="8" w:name="_Toc452565799"/>
      <w:r>
        <w:rPr>
          <w:rFonts w:hint="eastAsia" w:ascii="宋体" w:hAnsi="宋体" w:eastAsia="宋体" w:cs="宋体"/>
          <w:b/>
          <w:bCs w:val="0"/>
          <w:color w:val="auto"/>
          <w:kern w:val="0"/>
          <w:sz w:val="24"/>
          <w:szCs w:val="21"/>
          <w:highlight w:val="none"/>
          <w:lang w:val="en-US" w:eastAsia="zh-CN" w:bidi="ar-SA"/>
        </w:rPr>
        <w:t>第一部分 通用合同条款</w:t>
      </w:r>
      <w:bookmarkEnd w:id="4"/>
      <w:bookmarkEnd w:id="5"/>
      <w:bookmarkEnd w:id="6"/>
      <w:bookmarkEnd w:id="7"/>
      <w:bookmarkEnd w:id="8"/>
    </w:p>
    <w:p w14:paraId="1314F81F">
      <w:pPr>
        <w:pStyle w:val="34"/>
        <w:widowControl w:val="0"/>
        <w:adjustRightInd w:val="0"/>
        <w:snapToGrid w:val="0"/>
        <w:spacing w:before="0" w:beforeAutospacing="0" w:after="0" w:afterAutospacing="0" w:line="360" w:lineRule="auto"/>
        <w:ind w:firstLine="506" w:firstLineChars="21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（说明：本通用合同条款全文引用水利部和国家工商行政管理总局联合颁发的《水利工程建设监理合同示范文本》（GF-2007-0211），如有出入，以范本为准）。</w:t>
      </w:r>
    </w:p>
    <w:p w14:paraId="2724EC2F">
      <w:pPr>
        <w:pStyle w:val="34"/>
        <w:widowControl w:val="0"/>
        <w:adjustRightInd w:val="0"/>
        <w:snapToGrid w:val="0"/>
        <w:spacing w:before="0" w:beforeAutospacing="0" w:after="0" w:afterAutospacing="0" w:line="360" w:lineRule="auto"/>
        <w:ind w:firstLine="443" w:firstLineChars="210"/>
        <w:jc w:val="center"/>
        <w:rPr>
          <w:rFonts w:hint="eastAsia" w:ascii="宋体" w:hAnsi="宋体" w:eastAsia="宋体" w:cs="宋体"/>
          <w:b/>
          <w:snapToGrid w:val="0"/>
          <w:color w:val="auto"/>
          <w:sz w:val="21"/>
          <w:szCs w:val="21"/>
          <w:highlight w:val="none"/>
        </w:rPr>
      </w:pPr>
    </w:p>
    <w:p w14:paraId="06EF0FC2">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词语涵义及适用语言</w:t>
      </w:r>
    </w:p>
    <w:p w14:paraId="55DCED0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第一条 下列名词和用语，除上下文另有约定外，具有本条所赋予的涵义：</w:t>
      </w:r>
    </w:p>
    <w:p w14:paraId="2C261986">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一、“委托人”指承担工程建设项目直接建设管理责任，委托监理业务的法人或其合法继承人。</w:t>
      </w:r>
    </w:p>
    <w:p w14:paraId="6EAA9F4E">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二、“监理人”指受委托人委托，提供监理服务的法人或其合法继承人。</w:t>
      </w:r>
    </w:p>
    <w:p w14:paraId="1AF7FDF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三、“承包人”指与委托人（发包人）签订了施工合同，承担工程施工的法人或其合法继承人。</w:t>
      </w:r>
    </w:p>
    <w:p w14:paraId="66F33BE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四、“监理机构”指监理人派驻工程现场直接开展监理业务的组织，由总监理工程师、监理工程师和监理员以及其他人员组成。</w:t>
      </w:r>
    </w:p>
    <w:p w14:paraId="4CBD59A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五、“监理项目”是指委托人委托监理人实施建设监理的工程建设项目。</w:t>
      </w:r>
    </w:p>
    <w:p w14:paraId="266D8F17">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六、“服务”是指监理人根据监理合同约定所承担的各项工作，包括正常服务和附加服务。</w:t>
      </w:r>
    </w:p>
    <w:p w14:paraId="5C08DB6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七、“正常服务”指监理人按照合同约定的监理范围、内容和期限所提供的服务。</w:t>
      </w:r>
    </w:p>
    <w:p w14:paraId="286201E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八、“附加服务”指监理人为委托人提供正常服务以外的服务。</w:t>
      </w:r>
    </w:p>
    <w:p w14:paraId="6BC09F6B">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九、“服务酬金”指本合同中监理人完成“正常服务”、“附加服务”应得到的正常服务酬金和附加服务酬金。</w:t>
      </w:r>
    </w:p>
    <w:p w14:paraId="33E6C70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十、“天”指日历天。</w:t>
      </w:r>
    </w:p>
    <w:p w14:paraId="1843D60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十一、“现场”指监理项目实施的场所。</w:t>
      </w:r>
    </w:p>
    <w:p w14:paraId="30BEB12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第二条 本合同适用的语言文字为汉语文字。</w:t>
      </w:r>
    </w:p>
    <w:p w14:paraId="4C8B9847">
      <w:pPr>
        <w:pStyle w:val="34"/>
        <w:widowControl w:val="0"/>
        <w:adjustRightInd w:val="0"/>
        <w:snapToGrid w:val="0"/>
        <w:spacing w:before="0" w:beforeAutospacing="0" w:after="0" w:afterAutospacing="0" w:line="360" w:lineRule="auto"/>
        <w:ind w:firstLine="443" w:firstLineChars="210"/>
        <w:rPr>
          <w:rFonts w:hint="eastAsia" w:ascii="宋体" w:hAnsi="宋体" w:eastAsia="宋体" w:cs="宋体"/>
          <w:b/>
          <w:snapToGrid w:val="0"/>
          <w:color w:val="auto"/>
          <w:sz w:val="21"/>
          <w:szCs w:val="21"/>
          <w:highlight w:val="none"/>
        </w:rPr>
      </w:pPr>
    </w:p>
    <w:p w14:paraId="1D636314">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监理依据</w:t>
      </w:r>
    </w:p>
    <w:p w14:paraId="2D89A15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第三条  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5CC77D79">
      <w:pPr>
        <w:pStyle w:val="34"/>
        <w:widowControl w:val="0"/>
        <w:adjustRightInd w:val="0"/>
        <w:snapToGrid w:val="0"/>
        <w:spacing w:before="0" w:beforeAutospacing="0" w:after="0" w:afterAutospacing="0" w:line="360" w:lineRule="auto"/>
        <w:ind w:firstLine="443" w:firstLineChars="210"/>
        <w:rPr>
          <w:rFonts w:hint="eastAsia" w:ascii="宋体" w:hAnsi="宋体" w:eastAsia="宋体" w:cs="宋体"/>
          <w:b/>
          <w:snapToGrid w:val="0"/>
          <w:color w:val="auto"/>
          <w:sz w:val="21"/>
          <w:szCs w:val="21"/>
          <w:highlight w:val="none"/>
        </w:rPr>
      </w:pPr>
    </w:p>
    <w:p w14:paraId="44B4B197">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通知和联系</w:t>
      </w:r>
    </w:p>
    <w:p w14:paraId="4563D791">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第四条  委托人应指定一名联系人，负责与监理机构联系。更换联系人时，应提前通知监理人。</w:t>
      </w:r>
    </w:p>
    <w:p w14:paraId="50D96050">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第五条  在监理合同实施过程中，双方的联系均应以书面函件为准。在不做出紧急处理即可能导致安全、质量事故的情况下，可先以口头形式通知，并在48 小时内补做书面通知。</w:t>
      </w:r>
    </w:p>
    <w:p w14:paraId="6F7B836F">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第六条  委托人对委托监理范围内工程项目实施的意见和决策，应通过监理机构下达，法律、法规另有规定的除外。</w:t>
      </w:r>
    </w:p>
    <w:p w14:paraId="2FA777F7">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6399F9EC">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委托人的权利</w:t>
      </w:r>
    </w:p>
    <w:p w14:paraId="135B05E6">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第七条  委托人享有如下权利：</w:t>
      </w:r>
    </w:p>
    <w:p w14:paraId="48314A2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一、对监理工作进行监督、检查，并提出撤换不能胜任监理工作人员的建议或要求；</w:t>
      </w:r>
    </w:p>
    <w:p w14:paraId="2E7576C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二、对工程建设中质量、安全、投资、进度方面的重大问题的决策权；</w:t>
      </w:r>
    </w:p>
    <w:p w14:paraId="6623154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三、核定监理人签发的工程计量、付款凭证；</w:t>
      </w:r>
    </w:p>
    <w:p w14:paraId="6CCFC79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四、要求监理人提交监理月报、监理专题报告、监理工作报告和监理工作总结报告；</w:t>
      </w:r>
    </w:p>
    <w:p w14:paraId="11E932A0">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五、当监理人发生本合同专用条款约定的违约情形时，有权解除本合同。</w:t>
      </w:r>
    </w:p>
    <w:p w14:paraId="490A88B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b/>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r>
        <w:rPr>
          <w:rFonts w:hint="eastAsia" w:ascii="宋体" w:hAnsi="宋体" w:eastAsia="宋体" w:cs="宋体"/>
          <w:b/>
          <w:snapToGrid w:val="0"/>
          <w:color w:val="auto"/>
          <w:sz w:val="21"/>
          <w:szCs w:val="21"/>
          <w:highlight w:val="none"/>
        </w:rPr>
        <w:t xml:space="preserve"> </w:t>
      </w:r>
    </w:p>
    <w:p w14:paraId="53F8EA11">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监理人的权利</w:t>
      </w:r>
    </w:p>
    <w:p w14:paraId="665901A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第八条 委托人赋予监理人如下权利：</w:t>
      </w:r>
    </w:p>
    <w:p w14:paraId="2D90D2A7">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一、审查承包人拟选择的分包项目和分包人，报委托人批准；</w:t>
      </w:r>
    </w:p>
    <w:p w14:paraId="727B501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二、审查承包人提交的施工组织设计、安全技术措施及专项施工方案等各类文件；</w:t>
      </w:r>
    </w:p>
    <w:p w14:paraId="77CAECD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三、核查并签发施工图纸;</w:t>
      </w:r>
    </w:p>
    <w:p w14:paraId="0F4F9ED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四、签发合同项目开工令、暂停施工指示，但应事先征得委托人同意；签发进场通知、复工通知；</w:t>
      </w:r>
    </w:p>
    <w:p w14:paraId="527BF88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五、审核和签发工程计量、付款凭证；</w:t>
      </w:r>
    </w:p>
    <w:p w14:paraId="642A4D7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六、核查承包人现场工作人员数量及相应岗位资格，有权要求承包人撤换不称职的现场工作人员；</w:t>
      </w:r>
    </w:p>
    <w:p w14:paraId="32BAF1B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七、发现承包人使用的施工设备影响工程质量或进度时，有权要求承包人增加或更换施工设备；</w:t>
      </w:r>
    </w:p>
    <w:p w14:paraId="7F42B3D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八、当委托人发生本合同专用条款约定的违约情形时，有权解除本合同；</w:t>
      </w:r>
    </w:p>
    <w:p w14:paraId="5DC664B2">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九、专用合同条款约定的其他权利。</w:t>
      </w:r>
    </w:p>
    <w:p w14:paraId="392D725F">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275A13C8">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委托人的义务</w:t>
      </w:r>
    </w:p>
    <w:p w14:paraId="5508BFF7">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第九条  工程建设外部环境的协调工作。</w:t>
      </w:r>
    </w:p>
    <w:p w14:paraId="2783ABA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第十条  按专用合同条款约定的时间、数量、方式，免费向监理机构提供开展监理服务的有关本工程建设的资料。</w:t>
      </w:r>
    </w:p>
    <w:p w14:paraId="0FD6629B">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第十一条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14:paraId="67AE978E">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第十二条  与承包人签订的施工合同中明确其赋予监理人的权限，并在工程开工前将监理单位、总监理工程师通知承包人。</w:t>
      </w:r>
    </w:p>
    <w:p w14:paraId="51D8E2D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第十三条  提供监理人员在现场的工作和生活条件，具体内容在专用合同条款中明确。如果不能提供上述条件的，应按实际发生费用给予监理人补偿。</w:t>
      </w:r>
    </w:p>
    <w:p w14:paraId="1BD82F7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第十四条  按本合同约定及时、足额支付监理服务酬金。</w:t>
      </w:r>
    </w:p>
    <w:p w14:paraId="0B113F7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第十五条  为监理机构指定具有检验、试验资质的机构并承担检验、试验相关费用。</w:t>
      </w:r>
    </w:p>
    <w:p w14:paraId="2BC55636">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第十六条  维护监理机构工作的独立性，不干涉监理机构正常开展监理业务，不擅自作出有悖于监理机构在合同授权范围内所作出的指示的决定；未经监理机构签字确认，不得支付工程款。</w:t>
      </w:r>
    </w:p>
    <w:p w14:paraId="4113EF08">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第十七条  为监理人员投保人身意外伤害险和第三者责任险。如要求监理人自己投保，则应同意监理人将投保的费用计入报价中。</w:t>
      </w:r>
    </w:p>
    <w:p w14:paraId="60134C7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第十八条  将投保工程险的保险合同提供给监理人作为工程合同管理的一部分。</w:t>
      </w:r>
    </w:p>
    <w:p w14:paraId="61D0426F">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第十九条  未经监理人同意，不得将监理人用于本工程监理服务的任何文件直接或间接用于其他工程建设之中。</w:t>
      </w:r>
    </w:p>
    <w:p w14:paraId="671DCE91">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5CC9D8A4">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监理人的义务</w:t>
      </w:r>
    </w:p>
    <w:p w14:paraId="102D636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第二十条  本着“守法、诚信、公正、科学”的原则，按专用合同条款约定的监理服务内容为委托人提供优质服务。</w:t>
      </w:r>
    </w:p>
    <w:p w14:paraId="1997AC1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第二十一条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0085C41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第二十二条  发现设计文件不符合有关规定或合同约定时，应向委托人报告。</w:t>
      </w:r>
    </w:p>
    <w:p w14:paraId="5A6078A2">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第二十三条  核验建筑材料、建筑构配件和设备质量，检查、检验并确认工程的施工质量；检查施工安全生产情况。发现存在质量、安全事故隐患，或发生质量、安全事故，应按有关规定及时采取相应的监理措施。</w:t>
      </w:r>
    </w:p>
    <w:p w14:paraId="4011801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第二十四条  监督、检查工程施工进度。</w:t>
      </w:r>
    </w:p>
    <w:p w14:paraId="0A63491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第二十五条  按照委托人签订的工程保险合同，做好施工现场工程保险合同的管理。协助委托人向保险公司及时提供一切必要的材料和证据。</w:t>
      </w:r>
    </w:p>
    <w:p w14:paraId="1E3CBDC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第二十六条  协调施工合同各方之间的关系。</w:t>
      </w:r>
    </w:p>
    <w:p w14:paraId="5E6D54A8">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第二十七条  按照施工作业程序，采取旁站、巡视、跟踪检测和平行检测等方法实施监理。需要旁站的重要部位和关键工序在专用合同条款中约定。</w:t>
      </w:r>
    </w:p>
    <w:p w14:paraId="04220638">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第二十八条  及时做好工程施工过程各种监理信息的收集、整理和归档，并保证现场记录、试验、检验、检查等资料的完整和真实。</w:t>
      </w:r>
    </w:p>
    <w:p w14:paraId="7CF3A5E7">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第二十九条  编制《 监理日志》，并向委托人提交监理月报、监理专题报告、监理工作报告和监理工作总结报告。</w:t>
      </w:r>
    </w:p>
    <w:p w14:paraId="23BBEEA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第三十条  按有关规定参加工程验收，做好相关配合工作。委托人委托监理人主持的分部工程验收由专用合同条款约定。</w:t>
      </w:r>
    </w:p>
    <w:p w14:paraId="7158CED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第三十一条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14:paraId="11822C9F">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22C7864B">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监理服务酬金</w:t>
      </w:r>
    </w:p>
    <w:p w14:paraId="3760D591">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第三十二条  监理正常服务酬金的支付时间和支付方式在专用合同条款中约定。</w:t>
      </w:r>
    </w:p>
    <w:p w14:paraId="04DDA6F7">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第三十三条  除不可抗力外，有下列情形之一且由此引起监理工作量增加或服务期限延长，均应视为监理机构的附加服务，监理人应得到监理附加服务酬金：</w:t>
      </w:r>
    </w:p>
    <w:p w14:paraId="4D20BF2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一、由于委托人、第三方责任、设计变更及不良地质条件等非监理人原因致使正常的监理服务受到阻碍或延误；</w:t>
      </w:r>
    </w:p>
    <w:p w14:paraId="183A00B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二、在本合同履行过程中，委托人要求监理机构完成监理合同约定范围和内容以外的服务；</w:t>
      </w:r>
    </w:p>
    <w:p w14:paraId="5A610728">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三、由于非监理人原因暂停或终止监理业务时，其善后工作或恢复执行监理业务的工作。</w:t>
      </w:r>
    </w:p>
    <w:p w14:paraId="180BF912">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监理人完成附加服务应得到的酬金，按专用合同条款约定的方法或监理补充协议计取和支付。</w:t>
      </w:r>
    </w:p>
    <w:p w14:paraId="0235203E">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第三十四条  国家有关法律、法规、规章和监理酬金标准发生变化时，应按有关规定调整监理服务酬金。</w:t>
      </w:r>
    </w:p>
    <w:p w14:paraId="5C2F595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第三十五条  委托人对监理人申请支付的监理酬金项目及金额有异议时，应当在收到监理人支付申请书后7 天内向监理人发出异议通知，由双方协商解决。7天内未发出异议通知，则按通用合同条款第三十二条、第三十三条、第三十四条的约定支付。</w:t>
      </w:r>
    </w:p>
    <w:p w14:paraId="05C2D860">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667E3DF8">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合同变更与终止</w:t>
      </w:r>
    </w:p>
    <w:p w14:paraId="1C718FD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第三十六条  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7D80A29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第三十七条  当发生法律或本合同约定的解除合同的情形时，有权解除合同的一方要求解除合同的，应书面通知对方；若通知送达后28 天未收到对方的答复，可发出终止监理合同的通知，本合同即行终止。因解除合同遭受损失的，除依法可以免除责任的外，应由责任方赔偿损失。</w:t>
      </w:r>
    </w:p>
    <w:p w14:paraId="445CB7AB">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第三十八条  在监理服务期内，由于国家政策致使工程建设计划重大调整，或不可抗力致使合同不能履行时，双方协商解决因合同终止所产生的遗留问题。</w:t>
      </w:r>
    </w:p>
    <w:p w14:paraId="2486258B">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第三十九条  本合同在监理期限届满并结清监理服务酬金后即终止。</w:t>
      </w:r>
    </w:p>
    <w:p w14:paraId="1682ECC6">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7C1DD0AE">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违约责任</w:t>
      </w:r>
    </w:p>
    <w:p w14:paraId="1E75B85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第四十条  委托人未履行合同条款第十条、第十一条、第十三条、第十四条、第十五条，第十六条、第十七条、第十九条约定的义务和责任，除按专用合同条款向监理人支付违约金外，还应继续履行合同约定的义务和责任。</w:t>
      </w:r>
    </w:p>
    <w:p w14:paraId="7BFD73B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第四十一条  委托人未按合同条款第三十二条、第三十三条、第三十四条约定支付监理服务酬金，除按专用合同条款约定向监理人支付逾期付款违约金外，还应继续履行合同约定的支付义务。</w:t>
      </w:r>
    </w:p>
    <w:p w14:paraId="3FF9AFD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第四十二条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6319157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34B6713A">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争议的解决</w:t>
      </w:r>
    </w:p>
    <w:p w14:paraId="3B72D462">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第四十三条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3CFE057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第四十四条  在争议协商、调解、仲裁或起诉过程中，双力仍应继续履行本合同约定的责任和义务。</w:t>
      </w:r>
    </w:p>
    <w:p w14:paraId="4199C1B0">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759AF31C">
      <w:pPr>
        <w:pStyle w:val="34"/>
        <w:widowControl w:val="0"/>
        <w:adjustRightInd w:val="0"/>
        <w:snapToGrid w:val="0"/>
        <w:spacing w:before="0" w:beforeAutospacing="0" w:after="0" w:afterAutospacing="0" w:line="360" w:lineRule="auto"/>
        <w:jc w:val="center"/>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其他</w:t>
      </w:r>
    </w:p>
    <w:p w14:paraId="72513271">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第四十五条  委托人可以对监理人提出并落实的合理化建议给予奖励。奖励办法在专用合同条款中约定。</w:t>
      </w:r>
    </w:p>
    <w:p w14:paraId="770384DE">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1BF41BB4">
      <w:pPr>
        <w:pStyle w:val="6"/>
        <w:numPr>
          <w:ilvl w:val="0"/>
          <w:numId w:val="5"/>
        </w:numPr>
        <w:tabs>
          <w:tab w:val="left" w:pos="4046"/>
        </w:tabs>
        <w:spacing w:after="120"/>
        <w:ind w:left="0" w:firstLine="443" w:firstLineChars="210"/>
        <w:jc w:val="center"/>
        <w:rPr>
          <w:rFonts w:hint="eastAsia" w:ascii="宋体" w:hAnsi="宋体" w:eastAsia="宋体" w:cs="宋体"/>
          <w:b/>
          <w:bCs w:val="0"/>
          <w:color w:val="auto"/>
          <w:kern w:val="2"/>
          <w:sz w:val="28"/>
          <w:szCs w:val="32"/>
          <w:highlight w:val="none"/>
          <w:lang w:val="en-US" w:eastAsia="zh-CN" w:bidi="ar-SA"/>
        </w:rPr>
      </w:pPr>
      <w:bookmarkStart w:id="9" w:name="_Toc452473913"/>
      <w:r>
        <w:rPr>
          <w:rFonts w:hint="eastAsia" w:ascii="宋体" w:hAnsi="宋体" w:eastAsia="宋体" w:cs="宋体"/>
          <w:color w:val="auto"/>
          <w:sz w:val="21"/>
          <w:szCs w:val="21"/>
          <w:highlight w:val="none"/>
        </w:rPr>
        <w:br w:type="page"/>
      </w:r>
      <w:bookmarkStart w:id="10" w:name="_Toc452565800"/>
      <w:bookmarkStart w:id="11" w:name="_Toc529955283"/>
      <w:bookmarkStart w:id="12" w:name="_Toc1445"/>
      <w:bookmarkStart w:id="13" w:name="_Toc530734033"/>
      <w:r>
        <w:rPr>
          <w:rFonts w:hint="eastAsia" w:ascii="宋体" w:hAnsi="宋体" w:eastAsia="宋体" w:cs="宋体"/>
          <w:b/>
          <w:bCs w:val="0"/>
          <w:color w:val="auto"/>
          <w:kern w:val="2"/>
          <w:sz w:val="28"/>
          <w:szCs w:val="32"/>
          <w:highlight w:val="none"/>
          <w:lang w:val="en-US" w:eastAsia="zh-CN" w:bidi="ar-SA"/>
        </w:rPr>
        <w:t>专用合同条款</w:t>
      </w:r>
      <w:bookmarkEnd w:id="9"/>
      <w:bookmarkEnd w:id="10"/>
      <w:bookmarkEnd w:id="11"/>
      <w:bookmarkEnd w:id="12"/>
      <w:bookmarkEnd w:id="13"/>
      <w:bookmarkStart w:id="14" w:name="_Toc13749"/>
    </w:p>
    <w:p w14:paraId="47600AA8">
      <w:pPr>
        <w:pStyle w:val="6"/>
        <w:numPr>
          <w:ilvl w:val="0"/>
          <w:numId w:val="0"/>
        </w:numPr>
        <w:tabs>
          <w:tab w:val="left" w:pos="4046"/>
        </w:tabs>
        <w:spacing w:after="120"/>
        <w:ind w:leftChars="210"/>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监理依据</w:t>
      </w:r>
      <w:bookmarkEnd w:id="14"/>
    </w:p>
    <w:p w14:paraId="36B770BD">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第三条  本合同的监理依据为：</w:t>
      </w:r>
    </w:p>
    <w:p w14:paraId="378B4B7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u w:val="single"/>
        </w:rPr>
        <w:t>《中华人民共和国民法典》、《中华人民共和国建筑法》、《中华人民共和国</w:t>
      </w:r>
      <w:r>
        <w:rPr>
          <w:rFonts w:hint="eastAsia" w:ascii="宋体" w:hAnsi="宋体" w:eastAsia="宋体" w:cs="宋体"/>
          <w:snapToGrid w:val="0"/>
          <w:color w:val="auto"/>
          <w:sz w:val="21"/>
          <w:szCs w:val="21"/>
          <w:highlight w:val="none"/>
          <w:u w:val="single"/>
          <w:lang w:val="en-US" w:eastAsia="zh-CN"/>
        </w:rPr>
        <w:t>产品</w:t>
      </w:r>
      <w:r>
        <w:rPr>
          <w:rFonts w:hint="eastAsia" w:ascii="宋体" w:hAnsi="宋体" w:eastAsia="宋体" w:cs="宋体"/>
          <w:snapToGrid w:val="0"/>
          <w:color w:val="auto"/>
          <w:sz w:val="21"/>
          <w:szCs w:val="21"/>
          <w:highlight w:val="none"/>
          <w:u w:val="single"/>
        </w:rPr>
        <w:t>质量法》、《中华人民共和国安全生产法》、《建设工程质量管理条例》（国务院令第279号）、《水利工程建设安全生产管理规定》、《水利工程建设监理规定》（中华人民共和国水利部令第28号）、《水利工程建设项目施工监理规范》（SL288-2014）、《水利工程设备制造监理规范》（SL 472-2010）、《水利工程设备制造监理技术导则》（SL 544-2011）、《设备工程监理规范》（GB/T 26429-2010）、《水土保持工程施工监理规范》（SL 523-2011）、《水利工程施工环境保护监理规范》（T/CWEA E3-2017）、《水电工程环境监理规范》（NBT 35063-2015）、《建设项目竣工环境保护验收技术规范 水利水电》（HJ 464－2009）、《浙江省建设工程监理管理条例》、《房屋建筑和市政基础设施工程竣工验收规定》、《施工旁站监理管理办法》、工程建设合同、勘测设计合同及监理合同、上级有关主管部门对本工程的有关指示文件或批件、设计文件、技术要求和图纸、发包人制定的适合本工程的有关制度、办法和规定。当以上法律、法规、规章制度、规范有变化时，以现行有效的为准。</w:t>
      </w:r>
    </w:p>
    <w:p w14:paraId="573FEAAC">
      <w:pPr>
        <w:pStyle w:val="7"/>
        <w:spacing w:line="360" w:lineRule="auto"/>
        <w:jc w:val="center"/>
        <w:rPr>
          <w:rFonts w:hint="eastAsia" w:ascii="宋体" w:hAnsi="宋体" w:eastAsia="宋体" w:cs="宋体"/>
          <w:b/>
          <w:bCs w:val="0"/>
          <w:color w:val="auto"/>
          <w:highlight w:val="none"/>
        </w:rPr>
      </w:pPr>
      <w:bookmarkStart w:id="15" w:name="_Toc18751"/>
      <w:r>
        <w:rPr>
          <w:rFonts w:hint="eastAsia" w:ascii="宋体" w:hAnsi="宋体" w:eastAsia="宋体" w:cs="宋体"/>
          <w:b/>
          <w:bCs w:val="0"/>
          <w:color w:val="auto"/>
          <w:highlight w:val="none"/>
        </w:rPr>
        <w:t>委托人的权利</w:t>
      </w:r>
      <w:bookmarkEnd w:id="15"/>
    </w:p>
    <w:p w14:paraId="3CBC6E0D">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第七条</w:t>
      </w:r>
    </w:p>
    <w:p w14:paraId="4D937871">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五、当监理人发生下列违约情形时，委托人有权解除合同；</w:t>
      </w:r>
    </w:p>
    <w:p w14:paraId="0B3A5FCB">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1、监理人资质不再符合本合同要求时；</w:t>
      </w:r>
    </w:p>
    <w:p w14:paraId="176808EF">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2、监理人已强制性破产、企业清理或解散（为合并或重组而进行的自动清理除外）；</w:t>
      </w:r>
    </w:p>
    <w:p w14:paraId="48AF0860">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3、未经委托人同意，入驻工地的总监理工程师与投标文件不一致；</w:t>
      </w:r>
    </w:p>
    <w:p w14:paraId="60CB26E3">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lang w:val="en-US" w:eastAsia="zh-CN"/>
        </w:rPr>
        <w:t>4</w:t>
      </w:r>
      <w:r>
        <w:rPr>
          <w:rFonts w:hint="eastAsia" w:ascii="宋体" w:hAnsi="宋体" w:eastAsia="宋体" w:cs="宋体"/>
          <w:snapToGrid w:val="0"/>
          <w:color w:val="auto"/>
          <w:kern w:val="0"/>
          <w:szCs w:val="21"/>
          <w:highlight w:val="none"/>
          <w:u w:val="single"/>
        </w:rPr>
        <w:t>、未经委托人同意，擅自更换总监理工程师的；</w:t>
      </w:r>
    </w:p>
    <w:p w14:paraId="2AD2AD5B">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lang w:val="en-US" w:eastAsia="zh-CN"/>
        </w:rPr>
        <w:t>5</w:t>
      </w:r>
      <w:r>
        <w:rPr>
          <w:rFonts w:hint="eastAsia" w:ascii="宋体" w:hAnsi="宋体" w:eastAsia="宋体" w:cs="宋体"/>
          <w:snapToGrid w:val="0"/>
          <w:color w:val="auto"/>
          <w:kern w:val="0"/>
          <w:szCs w:val="21"/>
          <w:highlight w:val="none"/>
          <w:u w:val="single"/>
        </w:rPr>
        <w:t>、总监理工程师连续三个月驻工地时间未达到招标文件要求的；</w:t>
      </w:r>
    </w:p>
    <w:p w14:paraId="42EDC0FD">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u w:val="single"/>
          <w:lang w:val="en-US" w:eastAsia="zh-CN"/>
        </w:rPr>
        <w:t>6、因监理人原因给工程造成严重损失或工期严重延误的；</w:t>
      </w:r>
    </w:p>
    <w:p w14:paraId="4243743A">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7、发现监理人转让监理项目的；</w:t>
      </w:r>
    </w:p>
    <w:p w14:paraId="1B038194">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8、发现监理人弄虚作假、串通施工单位损害发包人利益的；</w:t>
      </w:r>
    </w:p>
    <w:p w14:paraId="6B72D95D">
      <w:pPr>
        <w:pStyle w:val="156"/>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9、其他国家法律法规规定情形的。</w:t>
      </w:r>
    </w:p>
    <w:p w14:paraId="64606A51">
      <w:pPr>
        <w:pStyle w:val="34"/>
        <w:widowControl w:val="0"/>
        <w:adjustRightInd w:val="0"/>
        <w:snapToGrid w:val="0"/>
        <w:spacing w:before="0" w:beforeAutospacing="0" w:after="0" w:afterAutospacing="0" w:line="360" w:lineRule="auto"/>
        <w:ind w:firstLine="443" w:firstLineChars="210"/>
        <w:rPr>
          <w:rFonts w:hint="eastAsia" w:ascii="宋体" w:hAnsi="宋体" w:eastAsia="宋体" w:cs="宋体"/>
          <w:snapToGrid w:val="0"/>
          <w:color w:val="auto"/>
          <w:sz w:val="21"/>
          <w:szCs w:val="21"/>
          <w:highlight w:val="none"/>
        </w:rPr>
      </w:pPr>
      <w:r>
        <w:rPr>
          <w:rFonts w:hint="eastAsia" w:ascii="宋体" w:hAnsi="宋体" w:eastAsia="宋体" w:cs="宋体"/>
          <w:b/>
          <w:bCs/>
          <w:snapToGrid w:val="0"/>
          <w:color w:val="auto"/>
          <w:sz w:val="21"/>
          <w:szCs w:val="21"/>
          <w:highlight w:val="none"/>
          <w:u w:val="single"/>
        </w:rPr>
        <w:t>六、施工过程中，若委托人认为监理人员和专业不能满足监理服务要求，有权要求监理人增加人员，但不增加费用。</w:t>
      </w:r>
    </w:p>
    <w:p w14:paraId="4AFDF990">
      <w:pPr>
        <w:pStyle w:val="7"/>
        <w:spacing w:line="360" w:lineRule="auto"/>
        <w:jc w:val="center"/>
        <w:rPr>
          <w:rFonts w:hint="eastAsia" w:ascii="宋体" w:hAnsi="宋体" w:eastAsia="宋体" w:cs="宋体"/>
          <w:b/>
          <w:bCs w:val="0"/>
          <w:color w:val="auto"/>
          <w:highlight w:val="none"/>
        </w:rPr>
      </w:pPr>
      <w:bookmarkStart w:id="16" w:name="_Toc4259"/>
      <w:r>
        <w:rPr>
          <w:rFonts w:hint="eastAsia" w:ascii="宋体" w:hAnsi="宋体" w:eastAsia="宋体" w:cs="宋体"/>
          <w:b/>
          <w:bCs w:val="0"/>
          <w:color w:val="auto"/>
          <w:highlight w:val="none"/>
        </w:rPr>
        <w:t>监理人的权利</w:t>
      </w:r>
      <w:bookmarkEnd w:id="16"/>
    </w:p>
    <w:p w14:paraId="61853DA0">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第八条</w:t>
      </w:r>
    </w:p>
    <w:p w14:paraId="2668D2E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八、当委托人发生下列违约情形时，监理人有权解除合同：</w:t>
      </w:r>
    </w:p>
    <w:p w14:paraId="38D1D469">
      <w:pPr>
        <w:pStyle w:val="34"/>
        <w:adjustRightInd w:val="0"/>
        <w:snapToGrid w:val="0"/>
        <w:spacing w:before="0" w:beforeAutospacing="0" w:after="0" w:afterAutospacing="0" w:line="360" w:lineRule="auto"/>
        <w:ind w:firstLine="420" w:firstLineChars="200"/>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u w:val="single"/>
        </w:rPr>
        <w:t>1、支付监理服务费超过合同规定时间3个月以上 ；</w:t>
      </w:r>
    </w:p>
    <w:p w14:paraId="6971A42B">
      <w:pPr>
        <w:pStyle w:val="34"/>
        <w:widowControl w:val="0"/>
        <w:adjustRightInd w:val="0"/>
        <w:snapToGrid w:val="0"/>
        <w:spacing w:before="0" w:beforeAutospacing="0" w:after="0" w:afterAutospacing="0" w:line="360" w:lineRule="auto"/>
        <w:ind w:firstLine="420" w:firstLineChars="200"/>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u w:val="single"/>
        </w:rPr>
        <w:t>2、其他国家法律法规规定情形的。</w:t>
      </w:r>
    </w:p>
    <w:p w14:paraId="3DE1E50C">
      <w:pPr>
        <w:snapToGrid w:val="0"/>
        <w:spacing w:line="360" w:lineRule="auto"/>
        <w:ind w:firstLine="441" w:firstLineChars="210"/>
        <w:rPr>
          <w:rFonts w:hint="eastAsia" w:ascii="宋体" w:hAnsi="宋体" w:eastAsia="宋体" w:cs="宋体"/>
          <w:color w:val="auto"/>
          <w:szCs w:val="21"/>
          <w:highlight w:val="none"/>
        </w:rPr>
      </w:pPr>
      <w:bookmarkStart w:id="17" w:name="_Toc175023236"/>
      <w:bookmarkStart w:id="18" w:name="_Toc233450609"/>
      <w:r>
        <w:rPr>
          <w:rFonts w:hint="eastAsia" w:ascii="宋体" w:hAnsi="宋体" w:eastAsia="宋体" w:cs="宋体"/>
          <w:color w:val="auto"/>
          <w:szCs w:val="21"/>
          <w:highlight w:val="none"/>
        </w:rPr>
        <w:t>九、委托人赋予监理人的其他权利：</w:t>
      </w:r>
      <w:bookmarkEnd w:id="17"/>
      <w:bookmarkEnd w:id="18"/>
    </w:p>
    <w:p w14:paraId="1C273A62">
      <w:pPr>
        <w:pStyle w:val="15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1、签发工程移交证书：</w:t>
      </w:r>
      <w:r>
        <w:rPr>
          <w:rFonts w:hint="eastAsia" w:ascii="宋体" w:hAnsi="宋体" w:eastAsia="宋体" w:cs="宋体"/>
          <w:b/>
          <w:bCs/>
          <w:color w:val="auto"/>
          <w:szCs w:val="21"/>
          <w:highlight w:val="none"/>
          <w:u w:val="single"/>
        </w:rPr>
        <w:t>须发包人签发方能生效</w:t>
      </w:r>
      <w:r>
        <w:rPr>
          <w:rFonts w:hint="eastAsia" w:ascii="宋体" w:hAnsi="宋体" w:eastAsia="宋体" w:cs="宋体"/>
          <w:color w:val="auto"/>
          <w:szCs w:val="21"/>
          <w:highlight w:val="none"/>
        </w:rPr>
        <w:t xml:space="preserve">； </w:t>
      </w:r>
    </w:p>
    <w:p w14:paraId="76E8395A">
      <w:pPr>
        <w:pStyle w:val="15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2、签发缺陷责任终止证书：</w:t>
      </w:r>
      <w:r>
        <w:rPr>
          <w:rFonts w:hint="eastAsia" w:ascii="宋体" w:hAnsi="宋体" w:eastAsia="宋体" w:cs="宋体"/>
          <w:b/>
          <w:bCs/>
          <w:color w:val="auto"/>
          <w:szCs w:val="21"/>
          <w:highlight w:val="none"/>
          <w:u w:val="single"/>
        </w:rPr>
        <w:t>须发包人签发方能生效</w:t>
      </w:r>
      <w:r>
        <w:rPr>
          <w:rFonts w:hint="eastAsia" w:ascii="宋体" w:hAnsi="宋体" w:eastAsia="宋体" w:cs="宋体"/>
          <w:color w:val="auto"/>
          <w:szCs w:val="21"/>
          <w:highlight w:val="none"/>
        </w:rPr>
        <w:t>；</w:t>
      </w:r>
    </w:p>
    <w:p w14:paraId="36B94769">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监理机构具有设计变更现场的建议权，涉及工程造价的增减，监理机构必须及时向委托人呈报并详细说明原因（建议和意见）。紧急情况下，监理机构行使设计变更现场的紧急处置权，但必须立刻以电话通知委托人设计人及承建人，并且在24小时内向委托人呈报并详细说明原因（建议和意见）。</w:t>
      </w:r>
    </w:p>
    <w:p w14:paraId="0A7F4E61">
      <w:pPr>
        <w:pStyle w:val="15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4、监理人在行使下列权利前，必须得到委托人的批准。</w:t>
      </w:r>
    </w:p>
    <w:p w14:paraId="13023585">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（1）批准工程的分包；</w:t>
      </w:r>
    </w:p>
    <w:p w14:paraId="51B71600">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（2）确定延长完工期限；</w:t>
      </w:r>
    </w:p>
    <w:p w14:paraId="51672691">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（3）作出变更决定；</w:t>
      </w:r>
    </w:p>
    <w:p w14:paraId="4F1F3102">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（4）作出涉及造价调整的工作联系单决定；</w:t>
      </w:r>
    </w:p>
    <w:p w14:paraId="6301B01B">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（5）作出估价决定；</w:t>
      </w:r>
    </w:p>
    <w:p w14:paraId="33316404">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（6）批准暂列金额（备用金）的使用；</w:t>
      </w:r>
    </w:p>
    <w:p w14:paraId="19CD2264">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（7）作出采用新技术、新材料、新工艺的决定；</w:t>
      </w:r>
    </w:p>
    <w:p w14:paraId="0805AA88">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（8）对承包人未能在监理人所发通知中规定的时间内修正某项缺陷，监理人对该缺陷的修正费用做出估算，并在支付款中扣留这笔款项；</w:t>
      </w:r>
    </w:p>
    <w:p w14:paraId="3B8128BC">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（9）对不适合在本工程工作的承包人的职员或工人，监理人要求承包人将其调离；</w:t>
      </w:r>
    </w:p>
    <w:p w14:paraId="65EC85FD">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（10）审批施工月、季度、年和总进度计划或投资计划；</w:t>
      </w:r>
    </w:p>
    <w:p w14:paraId="1A853B4D">
      <w:pPr>
        <w:pStyle w:val="156"/>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（11）批准为合同永久工程施工需要进行的补充地质勘探。</w:t>
      </w:r>
    </w:p>
    <w:p w14:paraId="31861F77">
      <w:pPr>
        <w:pStyle w:val="15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监理人的职责和权利，以进场后委托人的书面通知为准。</w:t>
      </w:r>
    </w:p>
    <w:p w14:paraId="5021C38A">
      <w:pPr>
        <w:pStyle w:val="15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尽管有以上规定，但当监理人认为出现了危及生命、工程及财产安全的紧急事件时，即使没有委托人的事先批准，监理人可以指示承包方实施为消除或减少这种危险所必须进行的工作。并通知承包方和抄送委托方。</w:t>
      </w:r>
      <w:bookmarkStart w:id="19" w:name="_Toc11486"/>
    </w:p>
    <w:p w14:paraId="7F166476">
      <w:pPr>
        <w:pStyle w:val="7"/>
        <w:spacing w:line="36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委托人的义务</w:t>
      </w:r>
      <w:bookmarkEnd w:id="19"/>
    </w:p>
    <w:p w14:paraId="656C951E">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第十条   委托人向监理机构免费提供的资料为：</w:t>
      </w:r>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09"/>
        <w:gridCol w:w="1842"/>
        <w:gridCol w:w="851"/>
        <w:gridCol w:w="2693"/>
        <w:gridCol w:w="2552"/>
      </w:tblGrid>
      <w:tr w14:paraId="75A65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809" w:type="dxa"/>
            <w:tcBorders>
              <w:top w:val="single" w:color="auto" w:sz="8" w:space="0"/>
              <w:left w:val="single" w:color="auto" w:sz="8" w:space="0"/>
              <w:bottom w:val="single" w:color="auto" w:sz="4" w:space="0"/>
              <w:right w:val="single" w:color="auto" w:sz="4" w:space="0"/>
            </w:tcBorders>
            <w:noWrap w:val="0"/>
            <w:vAlign w:val="center"/>
          </w:tcPr>
          <w:p w14:paraId="1AAF1E6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42" w:type="dxa"/>
            <w:tcBorders>
              <w:top w:val="single" w:color="auto" w:sz="8" w:space="0"/>
              <w:left w:val="single" w:color="auto" w:sz="4" w:space="0"/>
              <w:bottom w:val="single" w:color="auto" w:sz="4" w:space="0"/>
              <w:right w:val="single" w:color="auto" w:sz="4" w:space="0"/>
            </w:tcBorders>
            <w:noWrap w:val="0"/>
            <w:vAlign w:val="center"/>
          </w:tcPr>
          <w:p w14:paraId="26CAB7A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资料名称</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60D3348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份数</w:t>
            </w:r>
          </w:p>
        </w:tc>
        <w:tc>
          <w:tcPr>
            <w:tcW w:w="2693" w:type="dxa"/>
            <w:tcBorders>
              <w:top w:val="single" w:color="auto" w:sz="8" w:space="0"/>
              <w:left w:val="single" w:color="auto" w:sz="4" w:space="0"/>
              <w:bottom w:val="single" w:color="auto" w:sz="4" w:space="0"/>
              <w:right w:val="single" w:color="auto" w:sz="4" w:space="0"/>
            </w:tcBorders>
            <w:noWrap w:val="0"/>
            <w:vAlign w:val="center"/>
          </w:tcPr>
          <w:p w14:paraId="494D84B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提供时间</w:t>
            </w:r>
          </w:p>
        </w:tc>
        <w:tc>
          <w:tcPr>
            <w:tcW w:w="2552" w:type="dxa"/>
            <w:tcBorders>
              <w:top w:val="single" w:color="auto" w:sz="8" w:space="0"/>
              <w:left w:val="single" w:color="auto" w:sz="4" w:space="0"/>
              <w:bottom w:val="single" w:color="auto" w:sz="4" w:space="0"/>
              <w:right w:val="single" w:color="auto" w:sz="8" w:space="0"/>
            </w:tcBorders>
            <w:noWrap w:val="0"/>
            <w:vAlign w:val="center"/>
          </w:tcPr>
          <w:p w14:paraId="591342A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保存和保密要求</w:t>
            </w:r>
          </w:p>
        </w:tc>
      </w:tr>
      <w:tr w14:paraId="3465C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809" w:type="dxa"/>
            <w:tcBorders>
              <w:top w:val="single" w:color="auto" w:sz="4" w:space="0"/>
              <w:left w:val="single" w:color="auto" w:sz="8" w:space="0"/>
              <w:bottom w:val="single" w:color="auto" w:sz="4" w:space="0"/>
              <w:right w:val="single" w:color="auto" w:sz="4" w:space="0"/>
            </w:tcBorders>
            <w:noWrap w:val="0"/>
            <w:tcMar>
              <w:top w:w="0" w:type="dxa"/>
              <w:left w:w="85" w:type="dxa"/>
              <w:bottom w:w="0" w:type="dxa"/>
              <w:right w:w="85" w:type="dxa"/>
            </w:tcMar>
            <w:vAlign w:val="center"/>
          </w:tcPr>
          <w:p w14:paraId="7CC6665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2"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0DBC35A4">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施工招标文件</w:t>
            </w:r>
          </w:p>
        </w:tc>
        <w:tc>
          <w:tcPr>
            <w:tcW w:w="851"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489629E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00DA91BB">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根据招标进度提供</w:t>
            </w:r>
          </w:p>
        </w:tc>
        <w:tc>
          <w:tcPr>
            <w:tcW w:w="2552" w:type="dxa"/>
            <w:tcBorders>
              <w:top w:val="single" w:color="auto" w:sz="4" w:space="0"/>
              <w:left w:val="single" w:color="auto" w:sz="4" w:space="0"/>
              <w:bottom w:val="single" w:color="auto" w:sz="4" w:space="0"/>
              <w:right w:val="single" w:color="auto" w:sz="8" w:space="0"/>
            </w:tcBorders>
            <w:noWrap w:val="0"/>
            <w:tcMar>
              <w:top w:w="0" w:type="dxa"/>
              <w:left w:w="85" w:type="dxa"/>
              <w:bottom w:w="0" w:type="dxa"/>
              <w:right w:w="85" w:type="dxa"/>
            </w:tcMar>
            <w:vAlign w:val="center"/>
          </w:tcPr>
          <w:p w14:paraId="390C07B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保存完整，不得泄露</w:t>
            </w:r>
          </w:p>
        </w:tc>
      </w:tr>
      <w:tr w14:paraId="53A38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809" w:type="dxa"/>
            <w:tcBorders>
              <w:top w:val="single" w:color="auto" w:sz="4" w:space="0"/>
              <w:left w:val="single" w:color="auto" w:sz="8" w:space="0"/>
              <w:bottom w:val="single" w:color="auto" w:sz="4" w:space="0"/>
              <w:right w:val="single" w:color="auto" w:sz="4" w:space="0"/>
            </w:tcBorders>
            <w:noWrap w:val="0"/>
            <w:tcMar>
              <w:top w:w="0" w:type="dxa"/>
              <w:left w:w="85" w:type="dxa"/>
              <w:bottom w:w="0" w:type="dxa"/>
              <w:right w:w="85" w:type="dxa"/>
            </w:tcMar>
            <w:vAlign w:val="center"/>
          </w:tcPr>
          <w:p w14:paraId="6FE58DA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42"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75752472">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施工投标文件</w:t>
            </w:r>
          </w:p>
        </w:tc>
        <w:tc>
          <w:tcPr>
            <w:tcW w:w="851"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2195129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3"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0134AAC5">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根据招标进度提供</w:t>
            </w:r>
          </w:p>
        </w:tc>
        <w:tc>
          <w:tcPr>
            <w:tcW w:w="2552" w:type="dxa"/>
            <w:tcBorders>
              <w:top w:val="single" w:color="auto" w:sz="4" w:space="0"/>
              <w:left w:val="single" w:color="auto" w:sz="4" w:space="0"/>
              <w:bottom w:val="single" w:color="auto" w:sz="4" w:space="0"/>
              <w:right w:val="single" w:color="auto" w:sz="8" w:space="0"/>
            </w:tcBorders>
            <w:noWrap w:val="0"/>
            <w:tcMar>
              <w:top w:w="0" w:type="dxa"/>
              <w:left w:w="85" w:type="dxa"/>
              <w:bottom w:w="0" w:type="dxa"/>
              <w:right w:w="85" w:type="dxa"/>
            </w:tcMar>
            <w:vAlign w:val="center"/>
          </w:tcPr>
          <w:p w14:paraId="2548D9D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保存完整，不得泄露</w:t>
            </w:r>
          </w:p>
        </w:tc>
      </w:tr>
      <w:tr w14:paraId="47355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809" w:type="dxa"/>
            <w:tcBorders>
              <w:top w:val="single" w:color="auto" w:sz="4" w:space="0"/>
              <w:left w:val="single" w:color="auto" w:sz="8" w:space="0"/>
              <w:bottom w:val="single" w:color="auto" w:sz="4" w:space="0"/>
              <w:right w:val="single" w:color="auto" w:sz="4" w:space="0"/>
            </w:tcBorders>
            <w:noWrap w:val="0"/>
            <w:tcMar>
              <w:top w:w="0" w:type="dxa"/>
              <w:left w:w="85" w:type="dxa"/>
              <w:bottom w:w="0" w:type="dxa"/>
              <w:right w:w="85" w:type="dxa"/>
            </w:tcMar>
            <w:vAlign w:val="center"/>
          </w:tcPr>
          <w:p w14:paraId="7C58664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42"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1AC004A4">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施工图</w:t>
            </w:r>
          </w:p>
        </w:tc>
        <w:tc>
          <w:tcPr>
            <w:tcW w:w="851"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51D88BC9">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14:paraId="65E5ABE0">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根据工程进度，逐步提供</w:t>
            </w:r>
          </w:p>
        </w:tc>
        <w:tc>
          <w:tcPr>
            <w:tcW w:w="2552" w:type="dxa"/>
            <w:tcBorders>
              <w:top w:val="single" w:color="auto" w:sz="4" w:space="0"/>
              <w:left w:val="single" w:color="auto" w:sz="4" w:space="0"/>
              <w:bottom w:val="single" w:color="auto" w:sz="4" w:space="0"/>
              <w:right w:val="single" w:color="auto" w:sz="8" w:space="0"/>
            </w:tcBorders>
            <w:noWrap w:val="0"/>
            <w:tcMar>
              <w:top w:w="0" w:type="dxa"/>
              <w:left w:w="85" w:type="dxa"/>
              <w:bottom w:w="0" w:type="dxa"/>
              <w:right w:w="85" w:type="dxa"/>
            </w:tcMar>
            <w:vAlign w:val="center"/>
          </w:tcPr>
          <w:p w14:paraId="074AAE6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保存完整，不得泄露</w:t>
            </w:r>
          </w:p>
        </w:tc>
      </w:tr>
      <w:tr w14:paraId="1E4FE9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809" w:type="dxa"/>
            <w:tcBorders>
              <w:top w:val="single" w:color="auto" w:sz="4" w:space="0"/>
              <w:left w:val="single" w:color="auto" w:sz="8" w:space="0"/>
              <w:bottom w:val="single" w:color="auto" w:sz="8" w:space="0"/>
              <w:right w:val="single" w:color="auto" w:sz="4" w:space="0"/>
            </w:tcBorders>
            <w:noWrap w:val="0"/>
            <w:tcMar>
              <w:top w:w="0" w:type="dxa"/>
              <w:left w:w="85" w:type="dxa"/>
              <w:bottom w:w="0" w:type="dxa"/>
              <w:right w:w="85" w:type="dxa"/>
            </w:tcMar>
            <w:vAlign w:val="center"/>
          </w:tcPr>
          <w:p w14:paraId="532CE79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42" w:type="dxa"/>
            <w:tcBorders>
              <w:top w:val="single" w:color="auto" w:sz="4" w:space="0"/>
              <w:left w:val="single" w:color="auto" w:sz="4" w:space="0"/>
              <w:bottom w:val="single" w:color="auto" w:sz="8" w:space="0"/>
              <w:right w:val="single" w:color="auto" w:sz="4" w:space="0"/>
            </w:tcBorders>
            <w:noWrap w:val="0"/>
            <w:tcMar>
              <w:top w:w="0" w:type="dxa"/>
              <w:left w:w="85" w:type="dxa"/>
              <w:bottom w:w="0" w:type="dxa"/>
              <w:right w:w="85" w:type="dxa"/>
            </w:tcMar>
            <w:vAlign w:val="center"/>
          </w:tcPr>
          <w:p w14:paraId="00743A12">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施工承包合同</w:t>
            </w:r>
          </w:p>
        </w:tc>
        <w:tc>
          <w:tcPr>
            <w:tcW w:w="851" w:type="dxa"/>
            <w:tcBorders>
              <w:top w:val="single" w:color="auto" w:sz="4" w:space="0"/>
              <w:left w:val="single" w:color="auto" w:sz="4" w:space="0"/>
              <w:bottom w:val="single" w:color="auto" w:sz="8" w:space="0"/>
              <w:right w:val="single" w:color="auto" w:sz="4" w:space="0"/>
            </w:tcBorders>
            <w:noWrap w:val="0"/>
            <w:tcMar>
              <w:top w:w="0" w:type="dxa"/>
              <w:left w:w="85" w:type="dxa"/>
              <w:bottom w:w="0" w:type="dxa"/>
              <w:right w:w="85" w:type="dxa"/>
            </w:tcMar>
            <w:vAlign w:val="center"/>
          </w:tcPr>
          <w:p w14:paraId="1B07624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3" w:type="dxa"/>
            <w:tcBorders>
              <w:top w:val="single" w:color="auto" w:sz="4" w:space="0"/>
              <w:left w:val="single" w:color="auto" w:sz="4" w:space="0"/>
              <w:bottom w:val="single" w:color="auto" w:sz="8" w:space="0"/>
              <w:right w:val="single" w:color="auto" w:sz="4" w:space="0"/>
            </w:tcBorders>
            <w:noWrap w:val="0"/>
            <w:tcMar>
              <w:top w:w="0" w:type="dxa"/>
              <w:left w:w="85" w:type="dxa"/>
              <w:bottom w:w="0" w:type="dxa"/>
              <w:right w:w="85" w:type="dxa"/>
            </w:tcMar>
            <w:vAlign w:val="center"/>
          </w:tcPr>
          <w:p w14:paraId="79D4F50F">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签订施工合同后7天</w:t>
            </w:r>
          </w:p>
        </w:tc>
        <w:tc>
          <w:tcPr>
            <w:tcW w:w="2552" w:type="dxa"/>
            <w:tcBorders>
              <w:top w:val="single" w:color="auto" w:sz="4" w:space="0"/>
              <w:left w:val="single" w:color="auto" w:sz="4" w:space="0"/>
              <w:bottom w:val="single" w:color="auto" w:sz="8" w:space="0"/>
              <w:right w:val="single" w:color="auto" w:sz="8" w:space="0"/>
            </w:tcBorders>
            <w:noWrap w:val="0"/>
            <w:tcMar>
              <w:top w:w="0" w:type="dxa"/>
              <w:left w:w="85" w:type="dxa"/>
              <w:bottom w:w="0" w:type="dxa"/>
              <w:right w:w="85" w:type="dxa"/>
            </w:tcMar>
            <w:vAlign w:val="center"/>
          </w:tcPr>
          <w:p w14:paraId="3101E75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保存完整，不得泄露</w:t>
            </w:r>
          </w:p>
        </w:tc>
      </w:tr>
    </w:tbl>
    <w:p w14:paraId="613D5A07">
      <w:pPr>
        <w:pStyle w:val="156"/>
        <w:spacing w:line="360" w:lineRule="auto"/>
        <w:ind w:firstLine="403" w:firstLineChars="192"/>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9F22BCA">
      <w:pPr>
        <w:pStyle w:val="156"/>
        <w:spacing w:line="48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    第十一条 委托人对监理机构书面提交并要求作出决定的事宜作出书面决定并送达的时限：</w:t>
      </w:r>
      <w:r>
        <w:rPr>
          <w:rFonts w:hint="eastAsia" w:ascii="宋体" w:hAnsi="宋体" w:eastAsia="宋体" w:cs="宋体"/>
          <w:color w:val="auto"/>
          <w:szCs w:val="21"/>
          <w:highlight w:val="none"/>
        </w:rPr>
        <w:t>一般文件14天；紧急事项</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天；变更文件</w:t>
      </w:r>
      <w:r>
        <w:rPr>
          <w:rFonts w:hint="eastAsia"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天。</w:t>
      </w:r>
    </w:p>
    <w:p w14:paraId="30F4AF68">
      <w:pPr>
        <w:pStyle w:val="156"/>
        <w:spacing w:line="480" w:lineRule="exact"/>
        <w:ind w:left="680" w:hanging="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第十三条 委托人无偿向监理机构提供的工作、生活条件为：</w:t>
      </w:r>
    </w:p>
    <w:p w14:paraId="7AF4A7F3">
      <w:pPr>
        <w:pStyle w:val="154"/>
        <w:tabs>
          <w:tab w:val="left" w:pos="-180"/>
        </w:tabs>
        <w:spacing w:line="360" w:lineRule="auto"/>
        <w:ind w:firstLine="420" w:firstLineChars="200"/>
        <w:rPr>
          <w:rFonts w:hint="eastAsia" w:ascii="宋体" w:hAnsi="宋体" w:eastAsia="宋体" w:cs="宋体"/>
          <w:snapToGrid w:val="0"/>
          <w:color w:val="auto"/>
          <w:szCs w:val="20"/>
          <w:highlight w:val="none"/>
        </w:rPr>
      </w:pPr>
      <w:r>
        <w:rPr>
          <w:rFonts w:hint="eastAsia" w:ascii="宋体" w:hAnsi="宋体" w:eastAsia="宋体" w:cs="宋体"/>
          <w:snapToGrid w:val="0"/>
          <w:color w:val="auto"/>
          <w:szCs w:val="20"/>
          <w:highlight w:val="none"/>
        </w:rPr>
        <w:t xml:space="preserve">本条更改为： </w:t>
      </w:r>
    </w:p>
    <w:p w14:paraId="7D8F9093">
      <w:pPr>
        <w:pStyle w:val="154"/>
        <w:tabs>
          <w:tab w:val="left" w:pos="-180"/>
        </w:tabs>
        <w:spacing w:line="360" w:lineRule="auto"/>
        <w:ind w:firstLine="422" w:firstLineChars="200"/>
        <w:rPr>
          <w:rFonts w:hint="eastAsia" w:ascii="宋体" w:hAnsi="宋体" w:eastAsia="宋体" w:cs="宋体"/>
          <w:b/>
          <w:bCs/>
          <w:snapToGrid w:val="0"/>
          <w:color w:val="auto"/>
          <w:szCs w:val="20"/>
          <w:highlight w:val="none"/>
        </w:rPr>
      </w:pPr>
      <w:bookmarkStart w:id="20" w:name="_Hlk57241546"/>
      <w:r>
        <w:rPr>
          <w:rFonts w:hint="eastAsia" w:ascii="宋体" w:hAnsi="宋体" w:eastAsia="宋体" w:cs="宋体"/>
          <w:b/>
          <w:bCs/>
          <w:snapToGrid w:val="0"/>
          <w:color w:val="auto"/>
          <w:szCs w:val="20"/>
          <w:highlight w:val="none"/>
        </w:rPr>
        <w:t>监理机构的生活、办公用房、必要的通信、交通设施（为保证监理质量，应至少配备一辆汽车作为用于施工现场的交通工具）均由监理人自行解决，所有费用包含在报价中。</w:t>
      </w:r>
      <w:bookmarkEnd w:id="20"/>
    </w:p>
    <w:p w14:paraId="203AB89D">
      <w:pPr>
        <w:pStyle w:val="154"/>
        <w:tabs>
          <w:tab w:val="left" w:pos="-180"/>
        </w:tabs>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bCs/>
          <w:snapToGrid w:val="0"/>
          <w:color w:val="auto"/>
          <w:szCs w:val="20"/>
          <w:highlight w:val="none"/>
        </w:rPr>
        <w:t>第十五条 本条款细化为：本工程平行检测和第三方检测由委托人另行委托并承担费用。跟踪检测由监理人实施，费用包含在报价中。</w:t>
      </w:r>
    </w:p>
    <w:p w14:paraId="5EDDAE48">
      <w:pPr>
        <w:pStyle w:val="154"/>
        <w:tabs>
          <w:tab w:val="left" w:pos="-180"/>
        </w:tabs>
        <w:spacing w:line="360" w:lineRule="auto"/>
        <w:ind w:firstLine="422" w:firstLineChars="200"/>
        <w:rPr>
          <w:rFonts w:hint="eastAsia" w:ascii="宋体" w:hAnsi="宋体" w:eastAsia="宋体" w:cs="宋体"/>
          <w:snapToGrid w:val="0"/>
          <w:color w:val="auto"/>
          <w:szCs w:val="21"/>
          <w:highlight w:val="none"/>
        </w:rPr>
      </w:pPr>
      <w:r>
        <w:rPr>
          <w:rFonts w:hint="eastAsia" w:ascii="宋体" w:hAnsi="宋体" w:eastAsia="宋体" w:cs="宋体"/>
          <w:b/>
          <w:color w:val="auto"/>
          <w:szCs w:val="20"/>
          <w:highlight w:val="none"/>
        </w:rPr>
        <w:t>第十七条</w:t>
      </w:r>
      <w:r>
        <w:rPr>
          <w:rFonts w:hint="eastAsia" w:ascii="宋体" w:hAnsi="宋体" w:eastAsia="宋体" w:cs="宋体"/>
          <w:color w:val="auto"/>
          <w:szCs w:val="20"/>
          <w:highlight w:val="none"/>
        </w:rPr>
        <w:t xml:space="preserve">  监理人员人身意外伤害险和第三者责任险由监理人自己投保，投保的费用已包含在报价中，不单独列出。</w:t>
      </w:r>
    </w:p>
    <w:p w14:paraId="7C860673">
      <w:pPr>
        <w:pStyle w:val="7"/>
        <w:spacing w:line="360" w:lineRule="auto"/>
        <w:jc w:val="center"/>
        <w:rPr>
          <w:rFonts w:hint="eastAsia" w:ascii="宋体" w:hAnsi="宋体" w:eastAsia="宋体" w:cs="宋体"/>
          <w:b/>
          <w:bCs w:val="0"/>
          <w:color w:val="auto"/>
          <w:highlight w:val="none"/>
        </w:rPr>
      </w:pPr>
      <w:bookmarkStart w:id="21" w:name="_Toc22443"/>
      <w:r>
        <w:rPr>
          <w:rFonts w:hint="eastAsia" w:ascii="宋体" w:hAnsi="宋体" w:eastAsia="宋体" w:cs="宋体"/>
          <w:b/>
          <w:bCs w:val="0"/>
          <w:color w:val="auto"/>
          <w:highlight w:val="none"/>
        </w:rPr>
        <w:t>监理人的义务</w:t>
      </w:r>
      <w:bookmarkEnd w:id="21"/>
    </w:p>
    <w:p w14:paraId="10E001F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第二十条  监理服务内容：</w:t>
      </w:r>
    </w:p>
    <w:p w14:paraId="5C19DEF4">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13A009EA">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2.监理工作人员不得与承包本工程的有关承包人及其施工管理人员及材料设备供应商发生经济利益关系。</w:t>
      </w:r>
    </w:p>
    <w:p w14:paraId="40D6693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.监理人应配备经验丰富的专业技术人员审核施工图纸的设计质量，对设计存在的不合理、不完整、不准确、不安全等情况应及时书面向建设单位和设计单位提出修正意见。</w:t>
      </w:r>
    </w:p>
    <w:p w14:paraId="00C4C44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72DCB05B">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.协助建设单位审核施工图的设计和概(预)算,参与主持组织图纸会审,做好记录,写出会审纪要。</w:t>
      </w:r>
    </w:p>
    <w:p w14:paraId="3FA71CB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.参与建设单位与施工承包商签订施工承包合同,审核施工进度计划，并在实施过程中检查、督促承包商严格按合同和施工规范、工程技术标准、设计要求进行施工，监督承包商现场施工管理。</w:t>
      </w:r>
    </w:p>
    <w:p w14:paraId="6BA1230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协助建设单位做好开工前准备，审批开工报告，复核灰线，经业主同意下达开工令。</w:t>
      </w:r>
    </w:p>
    <w:p w14:paraId="25D52DC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审查承包商采购清单及样品的品牌、质量和价格，检查工程使用材料、构件、设备的规格、质量与数量。督促承包商编制材料的供需计划，协助业主安排甲供材料的供应计划。</w:t>
      </w:r>
    </w:p>
    <w:p w14:paraId="218961C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按建设单位意见，办理设计与施工变更联系单，把好监理关，并负责对施工变更的签证、复核，主持施工图交底，参与设计变更的签证。工程变更的签证须经监理人拟派的注册造价师审核，并由总监签字确认。</w:t>
      </w:r>
    </w:p>
    <w:p w14:paraId="679883E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主持召开工程协调会议，并做好会议纪要，调解有关工程建设各种合同争议，处理索赔事项。</w:t>
      </w:r>
    </w:p>
    <w:p w14:paraId="29DEFAA8">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检查安全防护措施和文明施工,检查督促工程进度、施工质量。</w:t>
      </w:r>
    </w:p>
    <w:p w14:paraId="468C3761">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督促施工方及时整理技术资料及竣工验收资料。</w:t>
      </w:r>
    </w:p>
    <w:p w14:paraId="6AC19B20">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协助建设单位对工程投资进行控制，对施工单位提出的付款申请进行审核签发，参加审核工程结算，协助建设单位审核工程造价，努力降低工程费用。</w:t>
      </w:r>
    </w:p>
    <w:p w14:paraId="45EF6F2E">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做好工程项目监理总结，及时提供完整的监理资料（一式二份原件），定期编制监理简报。</w:t>
      </w:r>
    </w:p>
    <w:p w14:paraId="5E00F90C">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负责隐蔽工程、分部、分项工程和工程计量工作，协助建设单位组织竣工初验和竣工验收，提交竣工验收报告。</w:t>
      </w:r>
    </w:p>
    <w:p w14:paraId="0DE91927">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负责各种技术资料资料的收集、整理工作，及时提供完整的施工技术档案资料一式三份原件。</w:t>
      </w:r>
    </w:p>
    <w:p w14:paraId="2F019732">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保修期内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4213E8B4">
      <w:pPr>
        <w:spacing w:line="360" w:lineRule="auto"/>
        <w:ind w:firstLine="480"/>
        <w:rPr>
          <w:rFonts w:hint="eastAsia" w:ascii="宋体" w:hAnsi="宋体" w:eastAsia="宋体" w:cs="宋体"/>
          <w:snapToGrid w:val="0"/>
          <w:color w:val="auto"/>
          <w:sz w:val="21"/>
          <w:szCs w:val="21"/>
          <w:highlight w:val="none"/>
          <w:u w:val="singl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完成监理规范要求的其他工作内容。</w:t>
      </w:r>
    </w:p>
    <w:p w14:paraId="08F9548C">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color w:val="auto"/>
          <w:sz w:val="18"/>
          <w:szCs w:val="18"/>
          <w:highlight w:val="none"/>
        </w:rPr>
      </w:pPr>
      <w:r>
        <w:rPr>
          <w:rFonts w:hint="eastAsia" w:ascii="宋体" w:hAnsi="宋体" w:eastAsia="宋体" w:cs="宋体"/>
          <w:snapToGrid w:val="0"/>
          <w:color w:val="auto"/>
          <w:sz w:val="21"/>
          <w:szCs w:val="21"/>
          <w:highlight w:val="none"/>
        </w:rPr>
        <w:t xml:space="preserve">第二十一条  </w:t>
      </w:r>
      <w:r>
        <w:rPr>
          <w:rFonts w:hint="eastAsia" w:ascii="宋体" w:hAnsi="宋体" w:eastAsia="宋体" w:cs="宋体"/>
          <w:color w:val="auto"/>
          <w:sz w:val="21"/>
          <w:szCs w:val="21"/>
          <w:highlight w:val="none"/>
        </w:rPr>
        <w:t>监理人应当在本合同生效后</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天内组建监理机构并提供监理规划，</w:t>
      </w:r>
      <w:r>
        <w:rPr>
          <w:rFonts w:hint="eastAsia" w:ascii="宋体" w:hAnsi="宋体" w:eastAsia="宋体" w:cs="宋体"/>
          <w:b/>
          <w:bCs/>
          <w:color w:val="auto"/>
          <w:sz w:val="21"/>
          <w:szCs w:val="21"/>
          <w:highlight w:val="none"/>
        </w:rPr>
        <w:t>监理人员必须根据标段开工情况按投标承诺要求进驻现场；每个项目开工前7天内提供监理细则。</w:t>
      </w:r>
    </w:p>
    <w:p w14:paraId="6F1421B3">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本条补充以下内容：</w:t>
      </w:r>
    </w:p>
    <w:p w14:paraId="6A641688">
      <w:pPr>
        <w:adjustRightInd w:val="0"/>
        <w:snapToGrid w:val="0"/>
        <w:spacing w:line="360" w:lineRule="auto"/>
        <w:ind w:firstLine="573" w:firstLineChars="273"/>
        <w:rPr>
          <w:rFonts w:hint="eastAsia" w:ascii="宋体" w:hAnsi="宋体" w:eastAsia="宋体" w:cs="宋体"/>
          <w:b w:val="0"/>
          <w:bCs/>
          <w:color w:val="auto"/>
          <w:szCs w:val="21"/>
          <w:highlight w:val="none"/>
        </w:rPr>
      </w:pPr>
      <w:bookmarkStart w:id="22" w:name="_Hlk102651547"/>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监理人管理要求：</w:t>
      </w:r>
    </w:p>
    <w:p w14:paraId="3026632A">
      <w:pPr>
        <w:adjustRightInd w:val="0"/>
        <w:snapToGrid w:val="0"/>
        <w:spacing w:line="360" w:lineRule="auto"/>
        <w:ind w:firstLine="573" w:firstLineChars="273"/>
        <w:rPr>
          <w:rFonts w:hint="eastAsia" w:ascii="宋体" w:hAnsi="宋体" w:eastAsia="宋体" w:cs="宋体"/>
          <w:b/>
          <w:bCs w:val="0"/>
          <w:color w:val="auto"/>
          <w:szCs w:val="21"/>
          <w:highlight w:val="none"/>
        </w:rPr>
      </w:pPr>
      <w:r>
        <w:rPr>
          <w:rFonts w:hint="eastAsia" w:ascii="宋体" w:hAnsi="宋体" w:eastAsia="宋体" w:cs="宋体"/>
          <w:b w:val="0"/>
          <w:bCs/>
          <w:color w:val="auto"/>
          <w:szCs w:val="21"/>
          <w:highlight w:val="none"/>
          <w:lang w:eastAsia="zh-CN"/>
        </w:rPr>
        <w:t>①</w:t>
      </w:r>
      <w:r>
        <w:rPr>
          <w:rFonts w:hint="eastAsia" w:ascii="宋体" w:hAnsi="宋体" w:eastAsia="宋体" w:cs="宋体"/>
          <w:b w:val="0"/>
          <w:bCs/>
          <w:color w:val="auto"/>
          <w:szCs w:val="21"/>
          <w:highlight w:val="none"/>
        </w:rPr>
        <w:t>监理人员到岗以天为统计单位，总监理工程师月到岗不足22天的（批准请假除外），每天扣除监理费</w:t>
      </w:r>
      <w:r>
        <w:rPr>
          <w:rFonts w:hint="eastAsia" w:ascii="宋体" w:hAnsi="宋体" w:eastAsia="宋体" w:cs="宋体"/>
          <w:b w:val="0"/>
          <w:bCs/>
          <w:color w:val="auto"/>
          <w:szCs w:val="21"/>
          <w:highlight w:val="none"/>
          <w:lang w:val="en-US" w:eastAsia="zh-CN"/>
        </w:rPr>
        <w:t>500</w:t>
      </w:r>
      <w:r>
        <w:rPr>
          <w:rFonts w:hint="eastAsia" w:ascii="宋体" w:hAnsi="宋体" w:eastAsia="宋体" w:cs="宋体"/>
          <w:b w:val="0"/>
          <w:bCs/>
          <w:color w:val="auto"/>
          <w:szCs w:val="21"/>
          <w:highlight w:val="none"/>
        </w:rPr>
        <w:t>元；水利工程施工监理工程师、水利专业监理员、专职现场管理人员月到岗不足22天的（批准请假除外），每人每天扣除监理费</w:t>
      </w:r>
      <w:r>
        <w:rPr>
          <w:rFonts w:hint="eastAsia" w:ascii="宋体" w:hAnsi="宋体" w:eastAsia="宋体" w:cs="宋体"/>
          <w:b w:val="0"/>
          <w:bCs/>
          <w:color w:val="auto"/>
          <w:szCs w:val="21"/>
          <w:highlight w:val="none"/>
          <w:lang w:val="en-US" w:eastAsia="zh-CN"/>
        </w:rPr>
        <w:t>300</w:t>
      </w:r>
      <w:r>
        <w:rPr>
          <w:rFonts w:hint="eastAsia" w:ascii="宋体" w:hAnsi="宋体" w:eastAsia="宋体" w:cs="宋体"/>
          <w:b w:val="0"/>
          <w:bCs/>
          <w:color w:val="auto"/>
          <w:szCs w:val="21"/>
          <w:highlight w:val="none"/>
        </w:rPr>
        <w:t>元。</w:t>
      </w:r>
      <w:r>
        <w:rPr>
          <w:rFonts w:hint="eastAsia" w:ascii="宋体" w:hAnsi="宋体" w:eastAsia="宋体" w:cs="宋体"/>
          <w:b/>
          <w:bCs w:val="0"/>
          <w:color w:val="auto"/>
          <w:szCs w:val="21"/>
          <w:highlight w:val="none"/>
        </w:rPr>
        <w:t>以上所有人员在项目监理期内累计缺勤达到5次（含）以上10次（含）以下的扣除该监理项目总监理费的20%，超过10次（不含）的扣除该监理项目总监理费的50%且采购单位有权解除合同。</w:t>
      </w:r>
    </w:p>
    <w:p w14:paraId="197B7736">
      <w:pPr>
        <w:adjustRightInd w:val="0"/>
        <w:snapToGrid w:val="0"/>
        <w:spacing w:line="360" w:lineRule="auto"/>
        <w:ind w:firstLine="573" w:firstLineChars="273"/>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上述违约金在当期监理服务费中直接扣除，在工地工作天数以发包人实际考勤记录为准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（具体考勤办法由发包人指定）。</w:t>
      </w:r>
      <w:r>
        <w:rPr>
          <w:rFonts w:hint="eastAsia" w:ascii="宋体" w:hAnsi="宋体" w:eastAsia="宋体" w:cs="宋体"/>
          <w:b w:val="0"/>
          <w:bCs/>
          <w:color w:val="auto"/>
          <w:szCs w:val="21"/>
          <w:highlight w:val="none"/>
          <w:lang w:val="en-US" w:eastAsia="zh-CN"/>
        </w:rPr>
        <w:t>总监理工程师在发包人指定的系统考勤，考勤记录以视频考核为准。</w:t>
      </w:r>
    </w:p>
    <w:p w14:paraId="7D3EA7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在工程中对工程质量、造价、进度等监理时弄虚作假损害业主利益的，一经查实，每发现一例，即扣除监理项目监理费总额的10%。</w:t>
      </w:r>
    </w:p>
    <w:p w14:paraId="07A748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加强对施工中安全问题的监督，如施工中发现安全隐患，应及时向业主报告，并及时要求施工单位整改。因监理工作不到位引起施工安全问题的，每起扣除监理费1000—5000元不等，如造成施工安全事故的，则除扣除全部监理费外将提请建设行政主管部门依法处理。</w:t>
      </w:r>
    </w:p>
    <w:p w14:paraId="700EB6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rPr>
        <w:t>根据监理规范必须旁站的关键部位及关键工序须有专业监理工程师或总监进行旁站，并做好旁站、隐蔽工程记录及监理日记，记录可用文字及影像的形式。专业监理工程师除了每天必须进行巡查外，须督促施工单位严格按图施工，发现问题及时处理，并报总监及发包人现场管理人员。如没有做好相关记录的视情扣罚监理费1000-20000元，如监理工程师没有按要求进行旁站的每查到一次：第一次罚款1000元；第二次罚款2000元；第三次罚款3000元；三次（不含）以上采购人有权解除监理合同，并由监理人承担一切责任。</w:t>
      </w:r>
    </w:p>
    <w:p w14:paraId="337353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⑤</w:t>
      </w:r>
      <w:r>
        <w:rPr>
          <w:rFonts w:hint="eastAsia" w:ascii="宋体" w:hAnsi="宋体" w:eastAsia="宋体" w:cs="宋体"/>
          <w:color w:val="auto"/>
          <w:sz w:val="21"/>
          <w:szCs w:val="21"/>
          <w:highlight w:val="none"/>
        </w:rPr>
        <w:t>监理到岗人员必须与响应文件中的人员相一致，未经采购人书面同意，监理人不得私自调换。监理人应派遣响应文件中承诺的监理人员进驻现场，除非采购人另有要求或其它不可抗力，监理人不得以任何理由更换响应文件中拟定的总监理工程师、专业监理工程师等主要监理人员，否则将被视为监理单位违约。项目监理期间，若监理人因特殊要求更换人员，必须事先取得采购人的书面批准同意以后，才能替换监理人员，否则按擅自更换人员处理：擅自更换监理员的每人次罚款1000元，擅自更换专业监理工程师的每一人次罚款5000元，擅自更换总监的每一人次罚款10000元。</w:t>
      </w:r>
    </w:p>
    <w:p w14:paraId="52350B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⑥</w:t>
      </w:r>
      <w:r>
        <w:rPr>
          <w:rFonts w:hint="eastAsia" w:ascii="宋体" w:hAnsi="宋体" w:eastAsia="宋体" w:cs="宋体"/>
          <w:color w:val="auto"/>
          <w:sz w:val="21"/>
          <w:szCs w:val="21"/>
          <w:highlight w:val="none"/>
        </w:rPr>
        <w:t>监理人员在审核工程洽商、设计变更单、工程变更单时应及时认真对照招标文件、施工合同、施工图纸、现场监理记录、预算及市场价格等，确保工程量属实，工程费用合理合规。监理人必须督促施工单位及时上报工程洽商、工程变更单，一般的洽商、变更必须在施工单位上报后7天内签署或提出意见，否则每发生一次扣除监理费1000元，若由于监理人员工作疏忽导致核定的变更明显有误或不合理的，一经认定，每发生一例，即扣除监理费1000元。扣罚款累计超过监理项目合同价的50%的，采购人有权解除合同，并且由此造成的损失由监理人承担一切责任。</w:t>
      </w:r>
    </w:p>
    <w:p w14:paraId="70FA9E6F">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color w:val="auto"/>
          <w:sz w:val="21"/>
          <w:szCs w:val="21"/>
          <w:highlight w:val="none"/>
          <w:lang w:eastAsia="zh-CN"/>
        </w:rPr>
        <w:t>⑦</w:t>
      </w:r>
      <w:r>
        <w:rPr>
          <w:rFonts w:hint="eastAsia" w:ascii="宋体" w:hAnsi="宋体" w:eastAsia="宋体" w:cs="宋体"/>
          <w:color w:val="auto"/>
          <w:sz w:val="21"/>
          <w:szCs w:val="21"/>
          <w:highlight w:val="none"/>
        </w:rPr>
        <w:t>监理人不得以任何形式向采购人工作人员或与监理项目工程相关的管理单位人员赠送各种礼品、礼券或现金，也不得接受承包人或与监理项目工程有利益关系人赠送的各种礼品、礼券、卡、现金或任何其他形式的馈赠，不得接受承包人或与监理项目工程有利益关系人的招待、宴请等，否则，每发生一次，罚款 2000元，累计罚款次数达到5次的，采购人有权解除合同并且由此造成的损失由监理人承担一切责任。</w:t>
      </w:r>
    </w:p>
    <w:p w14:paraId="6738896D">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（2）监理人须在施工现场设置项目监理部，项目监理部的办公、交通、通讯、生活设施及检测设备按照投标承诺及实际工作需要配置齐全。</w:t>
      </w:r>
    </w:p>
    <w:p w14:paraId="494072E2">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（3）委托的建设工程监理所必要的监理人员外出考察、订购材料设备监制，其费用已包含在合同价内，委托人不再另行支付。</w:t>
      </w:r>
    </w:p>
    <w:p w14:paraId="572F002C">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（4）隐蔽工程验收时，监理方必须会同委托人一起验收，并经监理方、委托人代表签字盖章确认后，方可进行下道工序施工。</w:t>
      </w:r>
    </w:p>
    <w:p w14:paraId="2A628091">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14:paraId="6D1D55C4">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（6）监理人须协助委托人做好工程前期准备工作，包括总承包、各专业工程、设备材料招标、办理各项手续等工作。</w:t>
      </w:r>
    </w:p>
    <w:p w14:paraId="1511718D">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7）总监在处理以下事项时，须按施工合同约定的时限内完成，且必须经委托人审查同意、书面签认后，方可将确认结果回复予承包人：1、工程计量；2、工程价款（包括工程预付款、进度款、结算款）的确认和支付</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须经拟派一级注册造价工程师盖章确认</w:t>
      </w:r>
      <w:r>
        <w:rPr>
          <w:rFonts w:hint="eastAsia" w:ascii="宋体" w:hAnsi="宋体" w:eastAsia="宋体" w:cs="宋体"/>
          <w:b w:val="0"/>
          <w:bCs/>
          <w:color w:val="auto"/>
          <w:szCs w:val="21"/>
          <w:highlight w:val="none"/>
        </w:rPr>
        <w:t>；3、工程变更和价格调整；4、竣工结算；5、工期确认（包括开工日期、竣工日期、工期延误的确认）；6、索赔处理。</w:t>
      </w:r>
    </w:p>
    <w:p w14:paraId="29D026E6">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8）因管理原因发生重大安全事故不适合再任、因生病住院、终止劳动合同关系（提供相关部门或单位证明材料）、被责令停止执业、羁押或判刑、连续停工超过120天及以上情形而更换之外的，如监理人要求更换人员，须经委托人认可，同时，总监每更换一人次扣除监理合同价的10%；监理工程师每更换一人次扣除监理合同价的5%；其他关键岗位人员每更换一人次扣除监理合同价的2% 。</w:t>
      </w:r>
    </w:p>
    <w:p w14:paraId="160D8D3B">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因委托人原因，工地停工致监理人监理工作中断超出3个月的，监理人可向委托人提出更换项目组成员，原项目组成员有备案主管部门的，还应征得备案主管部门同意，且更换后的人员不得低于原投标承诺人员所具有的资格和业绩条件。上述更换不受前款扣除监理费的约束。</w:t>
      </w:r>
    </w:p>
    <w:p w14:paraId="27B2C164">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9）监理人应公正行使监理职责，督促监理人员严格遵守监理职业道德，如监理人员违反《工程监理廉政责任书》中的乙方责任条款（该条款的相关单位包括受监理单位），委托人有权要求其更换项目监理人员并罚除监理人监理服务费签约合同价的3%～5%。</w:t>
      </w:r>
    </w:p>
    <w:p w14:paraId="0963D86B">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10）如发现监理人有与施工方（或生产厂家）合谋，偷工减料、弄虚作假、以次代好的现象，委托人有权立即停止施工，查明情况后，根据情节轻重每次罚除监理人监理服务费签约合同价的3%。如造成委托人损失的，赔偿损失。</w:t>
      </w:r>
    </w:p>
    <w:p w14:paraId="45FC7CA0">
      <w:pPr>
        <w:adjustRightInd w:val="0"/>
        <w:snapToGrid w:val="0"/>
        <w:spacing w:line="360" w:lineRule="auto"/>
        <w:ind w:firstLine="573" w:firstLineChars="27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（11）如监理人在本项目有违反廉政规定并被纪检部门或司法机关查处的，则监理人向委托人支付监理服务费签约合同价10%的违约金。</w:t>
      </w:r>
    </w:p>
    <w:p w14:paraId="24B49B31">
      <w:pPr>
        <w:adjustRightInd w:val="0"/>
        <w:snapToGrid w:val="0"/>
        <w:spacing w:line="360" w:lineRule="auto"/>
        <w:ind w:firstLine="573" w:firstLineChars="273"/>
        <w:rPr>
          <w:rFonts w:hint="eastAsia"/>
          <w:color w:val="auto"/>
          <w:highlight w:val="none"/>
        </w:rPr>
      </w:pPr>
      <w:r>
        <w:rPr>
          <w:rFonts w:hint="eastAsia" w:ascii="宋体" w:hAnsi="宋体" w:eastAsia="宋体" w:cs="宋体"/>
          <w:b w:val="0"/>
          <w:bCs/>
          <w:color w:val="auto"/>
          <w:szCs w:val="21"/>
          <w:highlight w:val="none"/>
        </w:rPr>
        <w:t>违反以上条款，给委托人造成损失的或者累计处罚金达到监理服务费签约合同价的10%，委托人有权终止合同，监理人还应依法承担相应赔偿责任。</w:t>
      </w:r>
    </w:p>
    <w:p w14:paraId="49D417D1">
      <w:pPr>
        <w:adjustRightInd w:val="0"/>
        <w:snapToGrid w:val="0"/>
        <w:spacing w:line="360" w:lineRule="auto"/>
        <w:ind w:firstLine="576" w:firstLineChars="27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本监理合同监理机构的最低配置要求如下：</w:t>
      </w:r>
    </w:p>
    <w:bookmarkEnd w:id="22"/>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7"/>
        <w:gridCol w:w="2971"/>
        <w:gridCol w:w="1995"/>
        <w:gridCol w:w="2305"/>
      </w:tblGrid>
      <w:tr w14:paraId="06610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47" w:type="dxa"/>
            <w:noWrap w:val="0"/>
            <w:vAlign w:val="center"/>
          </w:tcPr>
          <w:p w14:paraId="02BAA4C1">
            <w:pPr>
              <w:pStyle w:val="35"/>
              <w:adjustRightInd w:val="0"/>
              <w:snapToGrid w:val="0"/>
              <w:spacing w:before="0"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姓名</w:t>
            </w:r>
          </w:p>
        </w:tc>
        <w:tc>
          <w:tcPr>
            <w:tcW w:w="2971" w:type="dxa"/>
            <w:noWrap w:val="0"/>
            <w:vAlign w:val="center"/>
          </w:tcPr>
          <w:p w14:paraId="472D57A5">
            <w:pPr>
              <w:pStyle w:val="35"/>
              <w:adjustRightInd w:val="0"/>
              <w:snapToGrid w:val="0"/>
              <w:spacing w:before="0"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w:t>
            </w:r>
          </w:p>
        </w:tc>
        <w:tc>
          <w:tcPr>
            <w:tcW w:w="1995" w:type="dxa"/>
            <w:noWrap w:val="0"/>
            <w:vAlign w:val="center"/>
          </w:tcPr>
          <w:p w14:paraId="2AD85722">
            <w:pPr>
              <w:pStyle w:val="35"/>
              <w:adjustRightInd w:val="0"/>
              <w:snapToGrid w:val="0"/>
              <w:spacing w:before="0"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证书编号</w:t>
            </w:r>
          </w:p>
        </w:tc>
        <w:tc>
          <w:tcPr>
            <w:tcW w:w="2305" w:type="dxa"/>
            <w:noWrap w:val="0"/>
            <w:vAlign w:val="center"/>
          </w:tcPr>
          <w:p w14:paraId="5F10D3D7">
            <w:pPr>
              <w:pStyle w:val="35"/>
              <w:adjustRightInd w:val="0"/>
              <w:snapToGrid w:val="0"/>
              <w:spacing w:before="0"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2FBA2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47" w:type="dxa"/>
            <w:noWrap w:val="0"/>
            <w:vAlign w:val="center"/>
          </w:tcPr>
          <w:p w14:paraId="52A28B4B">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971" w:type="dxa"/>
            <w:noWrap w:val="0"/>
            <w:vAlign w:val="center"/>
          </w:tcPr>
          <w:p w14:paraId="6C1E7485">
            <w:pPr>
              <w:pStyle w:val="35"/>
              <w:adjustRightInd w:val="0"/>
              <w:snapToGrid w:val="0"/>
              <w:spacing w:before="0"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总监理工程师</w:t>
            </w:r>
          </w:p>
        </w:tc>
        <w:tc>
          <w:tcPr>
            <w:tcW w:w="1995" w:type="dxa"/>
            <w:noWrap w:val="0"/>
            <w:vAlign w:val="center"/>
          </w:tcPr>
          <w:p w14:paraId="31AB24D5">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305" w:type="dxa"/>
            <w:noWrap w:val="0"/>
            <w:vAlign w:val="center"/>
          </w:tcPr>
          <w:p w14:paraId="2744ACF3">
            <w:pPr>
              <w:pStyle w:val="35"/>
              <w:adjustRightInd w:val="0"/>
              <w:snapToGrid w:val="0"/>
              <w:spacing w:before="0"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常驻</w:t>
            </w:r>
          </w:p>
        </w:tc>
      </w:tr>
      <w:tr w14:paraId="3893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47" w:type="dxa"/>
            <w:noWrap w:val="0"/>
            <w:vAlign w:val="center"/>
          </w:tcPr>
          <w:p w14:paraId="0FF63512">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971" w:type="dxa"/>
            <w:noWrap w:val="0"/>
            <w:vAlign w:val="center"/>
          </w:tcPr>
          <w:p w14:paraId="37B0F011">
            <w:pPr>
              <w:pStyle w:val="35"/>
              <w:adjustRightInd w:val="0"/>
              <w:snapToGrid w:val="0"/>
              <w:spacing w:before="0"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水工建筑专业监理工程师</w:t>
            </w:r>
          </w:p>
        </w:tc>
        <w:tc>
          <w:tcPr>
            <w:tcW w:w="1995" w:type="dxa"/>
            <w:noWrap w:val="0"/>
            <w:vAlign w:val="center"/>
          </w:tcPr>
          <w:p w14:paraId="212D4761">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305" w:type="dxa"/>
            <w:noWrap w:val="0"/>
            <w:vAlign w:val="center"/>
          </w:tcPr>
          <w:p w14:paraId="70E12FFF">
            <w:pPr>
              <w:pStyle w:val="35"/>
              <w:adjustRightInd w:val="0"/>
              <w:snapToGrid w:val="0"/>
              <w:spacing w:before="0"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常驻</w:t>
            </w:r>
          </w:p>
        </w:tc>
      </w:tr>
      <w:tr w14:paraId="0F67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947" w:type="dxa"/>
            <w:noWrap w:val="0"/>
            <w:vAlign w:val="center"/>
          </w:tcPr>
          <w:p w14:paraId="5A3EDA47">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971" w:type="dxa"/>
            <w:noWrap w:val="0"/>
            <w:vAlign w:val="center"/>
          </w:tcPr>
          <w:p w14:paraId="7ED3AB38">
            <w:pPr>
              <w:pStyle w:val="35"/>
              <w:adjustRightInd w:val="0"/>
              <w:snapToGrid w:val="0"/>
              <w:spacing w:before="0" w:after="0"/>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水工建筑专业监理工程师</w:t>
            </w:r>
          </w:p>
        </w:tc>
        <w:tc>
          <w:tcPr>
            <w:tcW w:w="1995" w:type="dxa"/>
            <w:noWrap w:val="0"/>
            <w:vAlign w:val="center"/>
          </w:tcPr>
          <w:p w14:paraId="410AB722">
            <w:pPr>
              <w:pStyle w:val="35"/>
              <w:adjustRightInd w:val="0"/>
              <w:snapToGrid w:val="0"/>
              <w:spacing w:before="0" w:after="0"/>
              <w:jc w:val="both"/>
              <w:rPr>
                <w:rFonts w:hint="eastAsia" w:ascii="宋体" w:hAnsi="宋体" w:eastAsia="宋体" w:cs="宋体"/>
                <w:b/>
                <w:color w:val="auto"/>
                <w:kern w:val="0"/>
                <w:sz w:val="21"/>
                <w:szCs w:val="21"/>
                <w:highlight w:val="none"/>
                <w:lang w:val="en-US" w:eastAsia="zh-CN" w:bidi="ar-SA"/>
              </w:rPr>
            </w:pPr>
          </w:p>
        </w:tc>
        <w:tc>
          <w:tcPr>
            <w:tcW w:w="2305" w:type="dxa"/>
            <w:noWrap w:val="0"/>
            <w:vAlign w:val="center"/>
          </w:tcPr>
          <w:p w14:paraId="1AE0825D">
            <w:pPr>
              <w:pStyle w:val="35"/>
              <w:adjustRightInd w:val="0"/>
              <w:snapToGrid w:val="0"/>
              <w:spacing w:before="0" w:after="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常驻</w:t>
            </w:r>
          </w:p>
        </w:tc>
      </w:tr>
      <w:tr w14:paraId="47DE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47" w:type="dxa"/>
            <w:noWrap w:val="0"/>
            <w:vAlign w:val="center"/>
          </w:tcPr>
          <w:p w14:paraId="4AA190E7">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971" w:type="dxa"/>
            <w:noWrap w:val="0"/>
            <w:vAlign w:val="center"/>
          </w:tcPr>
          <w:p w14:paraId="3080937D">
            <w:pPr>
              <w:pStyle w:val="35"/>
              <w:adjustRightInd w:val="0"/>
              <w:snapToGrid w:val="0"/>
              <w:spacing w:before="0" w:after="0"/>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水利专业监理员</w:t>
            </w:r>
          </w:p>
        </w:tc>
        <w:tc>
          <w:tcPr>
            <w:tcW w:w="1995" w:type="dxa"/>
            <w:noWrap w:val="0"/>
            <w:vAlign w:val="center"/>
          </w:tcPr>
          <w:p w14:paraId="2251536A">
            <w:pPr>
              <w:pStyle w:val="35"/>
              <w:adjustRightInd w:val="0"/>
              <w:snapToGrid w:val="0"/>
              <w:spacing w:before="0" w:after="0"/>
              <w:jc w:val="both"/>
              <w:rPr>
                <w:rFonts w:hint="eastAsia" w:ascii="宋体" w:hAnsi="宋体" w:eastAsia="宋体" w:cs="宋体"/>
                <w:b/>
                <w:color w:val="auto"/>
                <w:kern w:val="0"/>
                <w:sz w:val="21"/>
                <w:szCs w:val="21"/>
                <w:highlight w:val="none"/>
                <w:lang w:val="en-US" w:eastAsia="zh-CN" w:bidi="ar-SA"/>
              </w:rPr>
            </w:pPr>
          </w:p>
        </w:tc>
        <w:tc>
          <w:tcPr>
            <w:tcW w:w="2305" w:type="dxa"/>
            <w:noWrap w:val="0"/>
            <w:vAlign w:val="center"/>
          </w:tcPr>
          <w:p w14:paraId="6CE6A386">
            <w:pPr>
              <w:pStyle w:val="35"/>
              <w:adjustRightInd w:val="0"/>
              <w:snapToGrid w:val="0"/>
              <w:spacing w:before="0" w:after="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常驻</w:t>
            </w:r>
          </w:p>
        </w:tc>
      </w:tr>
      <w:tr w14:paraId="6801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47" w:type="dxa"/>
            <w:noWrap w:val="0"/>
            <w:vAlign w:val="center"/>
          </w:tcPr>
          <w:p w14:paraId="6880FB0D">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971" w:type="dxa"/>
            <w:noWrap w:val="0"/>
            <w:vAlign w:val="center"/>
          </w:tcPr>
          <w:p w14:paraId="7FD7148D">
            <w:pPr>
              <w:pStyle w:val="35"/>
              <w:adjustRightInd w:val="0"/>
              <w:snapToGrid w:val="0"/>
              <w:spacing w:before="0" w:after="0"/>
              <w:jc w:val="center"/>
              <w:rPr>
                <w:rFonts w:hint="eastAsia" w:ascii="宋体" w:hAnsi="宋体" w:eastAsia="宋体" w:cs="宋体"/>
                <w:color w:val="auto"/>
                <w:sz w:val="21"/>
                <w:szCs w:val="21"/>
                <w:highlight w:val="none"/>
                <w:lang w:val="en-US" w:eastAsia="zh-CN"/>
              </w:rPr>
            </w:pPr>
          </w:p>
        </w:tc>
        <w:tc>
          <w:tcPr>
            <w:tcW w:w="1995" w:type="dxa"/>
            <w:noWrap w:val="0"/>
            <w:vAlign w:val="center"/>
          </w:tcPr>
          <w:p w14:paraId="1CAB21BA">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305" w:type="dxa"/>
            <w:noWrap w:val="0"/>
            <w:vAlign w:val="center"/>
          </w:tcPr>
          <w:p w14:paraId="7387A8BE">
            <w:pPr>
              <w:pStyle w:val="35"/>
              <w:adjustRightInd w:val="0"/>
              <w:snapToGrid w:val="0"/>
              <w:spacing w:before="0" w:after="0"/>
              <w:rPr>
                <w:rFonts w:hint="eastAsia" w:ascii="宋体" w:hAnsi="宋体" w:eastAsia="宋体" w:cs="宋体"/>
                <w:color w:val="auto"/>
                <w:sz w:val="21"/>
                <w:szCs w:val="21"/>
                <w:highlight w:val="none"/>
                <w:lang w:val="en-US" w:eastAsia="zh-CN"/>
              </w:rPr>
            </w:pPr>
          </w:p>
        </w:tc>
      </w:tr>
      <w:tr w14:paraId="2CB82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47" w:type="dxa"/>
            <w:noWrap w:val="0"/>
            <w:vAlign w:val="center"/>
          </w:tcPr>
          <w:p w14:paraId="5E32B3DF">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971" w:type="dxa"/>
            <w:noWrap w:val="0"/>
            <w:vAlign w:val="center"/>
          </w:tcPr>
          <w:p w14:paraId="74B15739">
            <w:pPr>
              <w:pStyle w:val="35"/>
              <w:adjustRightInd w:val="0"/>
              <w:snapToGrid w:val="0"/>
              <w:spacing w:before="0" w:after="0"/>
              <w:jc w:val="both"/>
              <w:rPr>
                <w:rFonts w:hint="eastAsia" w:ascii="宋体" w:hAnsi="宋体" w:eastAsia="宋体" w:cs="宋体"/>
                <w:b/>
                <w:bCs/>
                <w:color w:val="auto"/>
                <w:kern w:val="2"/>
                <w:sz w:val="21"/>
                <w:szCs w:val="21"/>
                <w:highlight w:val="none"/>
                <w:lang w:val="en-US" w:eastAsia="zh-CN" w:bidi="ar-SA"/>
              </w:rPr>
            </w:pPr>
          </w:p>
        </w:tc>
        <w:tc>
          <w:tcPr>
            <w:tcW w:w="1995" w:type="dxa"/>
            <w:noWrap w:val="0"/>
            <w:vAlign w:val="center"/>
          </w:tcPr>
          <w:p w14:paraId="341CB161">
            <w:pPr>
              <w:pStyle w:val="35"/>
              <w:adjustRightInd w:val="0"/>
              <w:snapToGrid w:val="0"/>
              <w:spacing w:before="0" w:after="0"/>
              <w:jc w:val="both"/>
              <w:rPr>
                <w:rFonts w:hint="eastAsia" w:ascii="宋体" w:hAnsi="宋体" w:eastAsia="宋体" w:cs="宋体"/>
                <w:b/>
                <w:bCs/>
                <w:color w:val="auto"/>
                <w:kern w:val="2"/>
                <w:sz w:val="21"/>
                <w:szCs w:val="21"/>
                <w:highlight w:val="none"/>
                <w:lang w:val="en-US" w:eastAsia="zh-CN" w:bidi="ar-SA"/>
              </w:rPr>
            </w:pPr>
          </w:p>
        </w:tc>
        <w:tc>
          <w:tcPr>
            <w:tcW w:w="2305" w:type="dxa"/>
            <w:noWrap w:val="0"/>
            <w:vAlign w:val="center"/>
          </w:tcPr>
          <w:p w14:paraId="52B903B2">
            <w:pPr>
              <w:pStyle w:val="35"/>
              <w:adjustRightInd w:val="0"/>
              <w:snapToGrid w:val="0"/>
              <w:spacing w:before="0" w:after="0"/>
              <w:rPr>
                <w:rFonts w:hint="eastAsia" w:ascii="宋体" w:hAnsi="宋体" w:eastAsia="宋体" w:cs="宋体"/>
                <w:b/>
                <w:bCs/>
                <w:color w:val="auto"/>
                <w:kern w:val="2"/>
                <w:sz w:val="21"/>
                <w:szCs w:val="21"/>
                <w:highlight w:val="none"/>
                <w:lang w:val="en-US" w:eastAsia="zh-CN" w:bidi="ar-SA"/>
              </w:rPr>
            </w:pPr>
          </w:p>
        </w:tc>
      </w:tr>
      <w:tr w14:paraId="75870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47" w:type="dxa"/>
            <w:noWrap w:val="0"/>
            <w:vAlign w:val="center"/>
          </w:tcPr>
          <w:p w14:paraId="05AAF25D">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971" w:type="dxa"/>
            <w:noWrap w:val="0"/>
            <w:vAlign w:val="center"/>
          </w:tcPr>
          <w:p w14:paraId="79D2AC39">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1995" w:type="dxa"/>
            <w:noWrap w:val="0"/>
            <w:vAlign w:val="center"/>
          </w:tcPr>
          <w:p w14:paraId="0CB68E2F">
            <w:pPr>
              <w:pStyle w:val="35"/>
              <w:adjustRightInd w:val="0"/>
              <w:snapToGrid w:val="0"/>
              <w:spacing w:before="0" w:after="0"/>
              <w:jc w:val="both"/>
              <w:rPr>
                <w:rFonts w:hint="eastAsia" w:ascii="宋体" w:hAnsi="宋体" w:eastAsia="宋体" w:cs="宋体"/>
                <w:color w:val="auto"/>
                <w:sz w:val="21"/>
                <w:szCs w:val="21"/>
                <w:highlight w:val="none"/>
                <w:lang w:val="en-US" w:eastAsia="zh-CN"/>
              </w:rPr>
            </w:pPr>
          </w:p>
        </w:tc>
        <w:tc>
          <w:tcPr>
            <w:tcW w:w="2305" w:type="dxa"/>
            <w:noWrap w:val="0"/>
            <w:vAlign w:val="center"/>
          </w:tcPr>
          <w:p w14:paraId="62F2A635">
            <w:pPr>
              <w:pStyle w:val="35"/>
              <w:adjustRightInd w:val="0"/>
              <w:snapToGrid w:val="0"/>
              <w:spacing w:before="0" w:after="0"/>
              <w:rPr>
                <w:rFonts w:hint="eastAsia" w:ascii="宋体" w:hAnsi="宋体" w:eastAsia="宋体" w:cs="宋体"/>
                <w:color w:val="auto"/>
                <w:sz w:val="21"/>
                <w:szCs w:val="21"/>
                <w:highlight w:val="none"/>
                <w:lang w:val="en-US" w:eastAsia="zh-CN"/>
              </w:rPr>
            </w:pPr>
          </w:p>
        </w:tc>
      </w:tr>
    </w:tbl>
    <w:p w14:paraId="5E43842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第二十七条  需旁站监理的工程重要部位是：</w:t>
      </w:r>
      <w:r>
        <w:rPr>
          <w:rFonts w:hint="eastAsia" w:ascii="宋体" w:hAnsi="宋体" w:eastAsia="宋体" w:cs="宋体"/>
          <w:snapToGrid w:val="0"/>
          <w:color w:val="auto"/>
          <w:sz w:val="21"/>
          <w:szCs w:val="21"/>
          <w:highlight w:val="none"/>
          <w:u w:val="single"/>
        </w:rPr>
        <w:t>本工程所含的主要单元工程等。</w:t>
      </w:r>
    </w:p>
    <w:p w14:paraId="3A220ED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需旁站监理的关键工序是（包括但不限于）：</w:t>
      </w:r>
      <w:r>
        <w:rPr>
          <w:rFonts w:hint="eastAsia" w:ascii="宋体" w:hAnsi="宋体" w:eastAsia="宋体" w:cs="宋体"/>
          <w:snapToGrid w:val="0"/>
          <w:color w:val="auto"/>
          <w:sz w:val="21"/>
          <w:szCs w:val="21"/>
          <w:highlight w:val="none"/>
          <w:u w:val="single"/>
        </w:rPr>
        <w:t>1</w:t>
      </w:r>
      <w:r>
        <w:rPr>
          <w:rFonts w:hint="eastAsia" w:ascii="宋体" w:hAnsi="宋体" w:eastAsia="宋体" w:cs="宋体"/>
          <w:snapToGrid w:val="0"/>
          <w:color w:val="auto"/>
          <w:sz w:val="21"/>
          <w:szCs w:val="21"/>
          <w:highlight w:val="none"/>
          <w:u w:val="single"/>
          <w:lang w:eastAsia="zh-CN"/>
        </w:rPr>
        <w:t>、</w:t>
      </w:r>
      <w:r>
        <w:rPr>
          <w:rFonts w:hint="eastAsia" w:ascii="宋体" w:hAnsi="宋体" w:eastAsia="宋体" w:cs="宋体"/>
          <w:snapToGrid w:val="0"/>
          <w:color w:val="auto"/>
          <w:sz w:val="21"/>
          <w:szCs w:val="21"/>
          <w:highlight w:val="none"/>
          <w:u w:val="single"/>
        </w:rPr>
        <w:t>钢筋工程；2、混凝土工程；</w:t>
      </w:r>
      <w:r>
        <w:rPr>
          <w:rFonts w:hint="eastAsia" w:ascii="宋体" w:hAnsi="宋体" w:eastAsia="宋体" w:cs="宋体"/>
          <w:snapToGrid w:val="0"/>
          <w:color w:val="auto"/>
          <w:sz w:val="21"/>
          <w:szCs w:val="21"/>
          <w:highlight w:val="none"/>
          <w:u w:val="single"/>
          <w:lang w:val="en-US" w:eastAsia="zh-CN"/>
        </w:rPr>
        <w:t>3</w:t>
      </w:r>
      <w:r>
        <w:rPr>
          <w:rFonts w:hint="eastAsia" w:ascii="宋体" w:hAnsi="宋体" w:eastAsia="宋体" w:cs="宋体"/>
          <w:snapToGrid w:val="0"/>
          <w:color w:val="auto"/>
          <w:sz w:val="21"/>
          <w:szCs w:val="21"/>
          <w:highlight w:val="none"/>
          <w:u w:val="single"/>
        </w:rPr>
        <w:t>、灌浆；</w:t>
      </w:r>
      <w:r>
        <w:rPr>
          <w:rFonts w:hint="eastAsia" w:ascii="宋体" w:hAnsi="宋体" w:eastAsia="宋体" w:cs="宋体"/>
          <w:snapToGrid w:val="0"/>
          <w:color w:val="auto"/>
          <w:sz w:val="21"/>
          <w:szCs w:val="21"/>
          <w:highlight w:val="none"/>
          <w:u w:val="single"/>
          <w:lang w:val="en-US" w:eastAsia="zh-CN"/>
        </w:rPr>
        <w:t>4</w:t>
      </w:r>
      <w:r>
        <w:rPr>
          <w:rFonts w:hint="eastAsia" w:ascii="宋体" w:hAnsi="宋体" w:eastAsia="宋体" w:cs="宋体"/>
          <w:snapToGrid w:val="0"/>
          <w:color w:val="auto"/>
          <w:sz w:val="21"/>
          <w:szCs w:val="21"/>
          <w:highlight w:val="none"/>
          <w:u w:val="single"/>
        </w:rPr>
        <w:t>、基础工程；</w:t>
      </w:r>
      <w:r>
        <w:rPr>
          <w:rFonts w:hint="eastAsia" w:ascii="宋体" w:hAnsi="宋体" w:eastAsia="宋体" w:cs="宋体"/>
          <w:snapToGrid w:val="0"/>
          <w:color w:val="auto"/>
          <w:sz w:val="21"/>
          <w:szCs w:val="21"/>
          <w:highlight w:val="none"/>
          <w:u w:val="single"/>
          <w:lang w:val="en-US" w:eastAsia="zh-CN"/>
        </w:rPr>
        <w:t>5</w:t>
      </w:r>
      <w:r>
        <w:rPr>
          <w:rFonts w:hint="eastAsia" w:ascii="宋体" w:hAnsi="宋体" w:eastAsia="宋体" w:cs="宋体"/>
          <w:snapToGrid w:val="0"/>
          <w:color w:val="auto"/>
          <w:sz w:val="21"/>
          <w:szCs w:val="21"/>
          <w:highlight w:val="none"/>
          <w:u w:val="single"/>
        </w:rPr>
        <w:t>、其他关键部位、关键工序、其他隐蔽工程；</w:t>
      </w:r>
      <w:r>
        <w:rPr>
          <w:rFonts w:hint="eastAsia" w:ascii="宋体" w:hAnsi="宋体" w:eastAsia="宋体" w:cs="宋体"/>
          <w:snapToGrid w:val="0"/>
          <w:color w:val="auto"/>
          <w:sz w:val="21"/>
          <w:szCs w:val="21"/>
          <w:highlight w:val="none"/>
          <w:u w:val="single"/>
          <w:lang w:val="en-US" w:eastAsia="zh-CN"/>
        </w:rPr>
        <w:t>6</w:t>
      </w:r>
      <w:r>
        <w:rPr>
          <w:rFonts w:hint="eastAsia" w:ascii="宋体" w:hAnsi="宋体" w:eastAsia="宋体" w:cs="宋体"/>
          <w:snapToGrid w:val="0"/>
          <w:color w:val="auto"/>
          <w:sz w:val="21"/>
          <w:szCs w:val="21"/>
          <w:highlight w:val="none"/>
          <w:u w:val="single"/>
        </w:rPr>
        <w:t>、规范规定必须旁站的工序。</w:t>
      </w:r>
    </w:p>
    <w:p w14:paraId="2CBDA43E">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第三十条  委托人委托监理人主持的分部工程验收：</w:t>
      </w:r>
      <w:r>
        <w:rPr>
          <w:rFonts w:hint="eastAsia" w:ascii="宋体" w:hAnsi="宋体" w:eastAsia="宋体" w:cs="宋体"/>
          <w:snapToGrid w:val="0"/>
          <w:color w:val="auto"/>
          <w:sz w:val="21"/>
          <w:szCs w:val="21"/>
          <w:highlight w:val="none"/>
          <w:u w:val="single"/>
        </w:rPr>
        <w:t xml:space="preserve"> 所有分部工程。</w:t>
      </w:r>
    </w:p>
    <w:p w14:paraId="2521A285">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第三十一条  在本合同终止后</w:t>
      </w:r>
      <w:r>
        <w:rPr>
          <w:rFonts w:hint="eastAsia" w:ascii="宋体" w:hAnsi="宋体" w:eastAsia="宋体" w:cs="宋体"/>
          <w:snapToGrid w:val="0"/>
          <w:color w:val="auto"/>
          <w:sz w:val="21"/>
          <w:szCs w:val="21"/>
          <w:highlight w:val="none"/>
          <w:u w:val="single"/>
        </w:rPr>
        <w:t>365</w:t>
      </w:r>
      <w:r>
        <w:rPr>
          <w:rFonts w:hint="eastAsia" w:ascii="宋体" w:hAnsi="宋体" w:eastAsia="宋体" w:cs="宋体"/>
          <w:snapToGrid w:val="0"/>
          <w:color w:val="auto"/>
          <w:sz w:val="21"/>
          <w:szCs w:val="21"/>
          <w:highlight w:val="none"/>
        </w:rPr>
        <w:t>天内，未征得委托人同意，不得泄露与本合同业务有关的技术、商务等秘密。</w:t>
      </w:r>
    </w:p>
    <w:p w14:paraId="24533FEA">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p>
    <w:p w14:paraId="5A6A3DB9">
      <w:pPr>
        <w:pStyle w:val="7"/>
        <w:spacing w:line="360" w:lineRule="auto"/>
        <w:jc w:val="center"/>
        <w:rPr>
          <w:rFonts w:hint="eastAsia" w:ascii="宋体" w:hAnsi="宋体" w:eastAsia="宋体" w:cs="宋体"/>
          <w:b/>
          <w:bCs w:val="0"/>
          <w:color w:val="auto"/>
          <w:highlight w:val="none"/>
        </w:rPr>
      </w:pPr>
      <w:bookmarkStart w:id="23" w:name="_Toc5304"/>
      <w:r>
        <w:rPr>
          <w:rFonts w:hint="eastAsia" w:ascii="宋体" w:hAnsi="宋体" w:eastAsia="宋体" w:cs="宋体"/>
          <w:b/>
          <w:bCs w:val="0"/>
          <w:color w:val="auto"/>
          <w:highlight w:val="none"/>
        </w:rPr>
        <w:t>监理服务酬金</w:t>
      </w:r>
      <w:bookmarkEnd w:id="23"/>
    </w:p>
    <w:p w14:paraId="7060A3A7">
      <w:pPr>
        <w:snapToGrid w:val="0"/>
        <w:spacing w:line="360" w:lineRule="auto"/>
        <w:ind w:firstLine="441" w:firstLineChars="21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第三十二条 监理正常服务酬金支付方法：</w:t>
      </w:r>
    </w:p>
    <w:p w14:paraId="5C0AE808">
      <w:pPr>
        <w:pStyle w:val="12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监理服务费采用总价承包，一次包干，与工程实施中造价的调整无关。</w:t>
      </w:r>
    </w:p>
    <w:p w14:paraId="6DF584F6">
      <w:pPr>
        <w:pStyle w:val="154"/>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付款方式：</w:t>
      </w:r>
    </w:p>
    <w:p w14:paraId="4110BF19">
      <w:pPr>
        <w:pStyle w:val="154"/>
        <w:snapToGrid w:val="0"/>
        <w:spacing w:line="360" w:lineRule="auto"/>
        <w:ind w:firstLine="420" w:firstLineChars="200"/>
        <w:rPr>
          <w:rFonts w:hint="eastAsia" w:ascii="宋体" w:hAnsi="宋体" w:eastAsia="宋体"/>
          <w:color w:val="auto"/>
          <w:szCs w:val="20"/>
          <w:highlight w:val="none"/>
        </w:rPr>
      </w:pPr>
      <w:r>
        <w:rPr>
          <w:rFonts w:hint="eastAsia" w:ascii="宋体" w:hAnsi="宋体" w:eastAsia="宋体"/>
          <w:color w:val="auto"/>
          <w:szCs w:val="20"/>
          <w:highlight w:val="none"/>
        </w:rPr>
        <w:t>1）监理范围内的项目开工后</w:t>
      </w:r>
      <w:r>
        <w:rPr>
          <w:rFonts w:hint="eastAsia" w:ascii="宋体" w:hAnsi="宋体" w:eastAsia="宋体"/>
          <w:color w:val="auto"/>
          <w:szCs w:val="20"/>
          <w:highlight w:val="none"/>
          <w:lang w:val="en-US" w:eastAsia="zh-CN"/>
        </w:rPr>
        <w:t>7个工作日</w:t>
      </w:r>
      <w:r>
        <w:rPr>
          <w:rFonts w:hint="eastAsia" w:ascii="宋体" w:hAnsi="宋体" w:eastAsia="宋体"/>
          <w:color w:val="auto"/>
          <w:szCs w:val="20"/>
          <w:highlight w:val="none"/>
        </w:rPr>
        <w:t>内，支付监理服务酬金为</w:t>
      </w:r>
      <w:r>
        <w:rPr>
          <w:rFonts w:hint="eastAsia" w:ascii="宋体" w:hAnsi="宋体" w:eastAsia="宋体" w:cs="???|CS?o｡ﾀ?"/>
          <w:color w:val="auto"/>
          <w:szCs w:val="20"/>
          <w:highlight w:val="none"/>
        </w:rPr>
        <w:t>合同正常监理服务酬金</w:t>
      </w:r>
      <w:r>
        <w:rPr>
          <w:rFonts w:hint="eastAsia" w:ascii="宋体" w:hAnsi="宋体" w:eastAsia="宋体"/>
          <w:color w:val="auto"/>
          <w:szCs w:val="20"/>
          <w:highlight w:val="none"/>
        </w:rPr>
        <w:t>的</w:t>
      </w:r>
      <w:r>
        <w:rPr>
          <w:rFonts w:hint="eastAsia" w:ascii="宋体" w:hAnsi="宋体" w:eastAsia="宋体"/>
          <w:color w:val="auto"/>
          <w:szCs w:val="20"/>
          <w:highlight w:val="none"/>
          <w:lang w:val="en-US" w:eastAsia="zh-CN"/>
        </w:rPr>
        <w:t>2</w:t>
      </w:r>
      <w:r>
        <w:rPr>
          <w:rFonts w:hint="eastAsia" w:ascii="宋体" w:hAnsi="宋体" w:eastAsia="宋体"/>
          <w:color w:val="auto"/>
          <w:szCs w:val="20"/>
          <w:highlight w:val="none"/>
        </w:rPr>
        <w:t>0%（预付款）。</w:t>
      </w:r>
    </w:p>
    <w:p w14:paraId="0CEA721C">
      <w:pPr>
        <w:pStyle w:val="154"/>
        <w:snapToGrid w:val="0"/>
        <w:spacing w:line="360" w:lineRule="auto"/>
        <w:ind w:firstLine="420" w:firstLineChars="200"/>
        <w:rPr>
          <w:rFonts w:hint="eastAsia" w:ascii="宋体" w:hAnsi="宋体" w:eastAsia="宋体" w:cs="???|CS?o｡ﾀ?"/>
          <w:color w:val="auto"/>
          <w:szCs w:val="20"/>
          <w:highlight w:val="none"/>
          <w:lang w:eastAsia="zh-CN"/>
        </w:rPr>
      </w:pPr>
      <w:r>
        <w:rPr>
          <w:rFonts w:hint="eastAsia" w:ascii="宋体" w:hAnsi="宋体" w:eastAsia="宋体"/>
          <w:color w:val="auto"/>
          <w:szCs w:val="20"/>
          <w:highlight w:val="none"/>
        </w:rPr>
        <w:t>2）在工程进展顺利的前提下，监理费</w:t>
      </w:r>
      <w:r>
        <w:rPr>
          <w:rFonts w:hint="eastAsia" w:ascii="宋体" w:hAnsi="宋体" w:eastAsia="宋体" w:cs="???|CS?o｡ﾀ?"/>
          <w:color w:val="auto"/>
          <w:szCs w:val="20"/>
          <w:highlight w:val="none"/>
        </w:rPr>
        <w:t>每季度支付一次，监理人在每季度末月</w:t>
      </w:r>
      <w:r>
        <w:rPr>
          <w:rFonts w:ascii="宋体" w:hAnsi="宋体" w:eastAsia="宋体"/>
          <w:color w:val="auto"/>
          <w:szCs w:val="20"/>
          <w:highlight w:val="none"/>
        </w:rPr>
        <w:t>25</w:t>
      </w:r>
      <w:r>
        <w:rPr>
          <w:rFonts w:hint="eastAsia" w:ascii="宋体" w:hAnsi="宋体" w:eastAsia="宋体" w:cs="???|CS?o｡ﾀ?"/>
          <w:color w:val="auto"/>
          <w:szCs w:val="20"/>
          <w:highlight w:val="none"/>
        </w:rPr>
        <w:t>日前，根据监理费提出付款申请，并附委托人确认的《监理人员出勤考核表》，委托人在</w:t>
      </w:r>
      <w:r>
        <w:rPr>
          <w:rFonts w:hint="eastAsia" w:ascii="宋体" w:hAnsi="宋体" w:eastAsia="宋体"/>
          <w:color w:val="auto"/>
          <w:szCs w:val="20"/>
          <w:highlight w:val="none"/>
        </w:rPr>
        <w:t>1</w:t>
      </w:r>
      <w:r>
        <w:rPr>
          <w:rFonts w:ascii="宋体" w:hAnsi="宋体" w:eastAsia="宋体"/>
          <w:color w:val="auto"/>
          <w:szCs w:val="20"/>
          <w:highlight w:val="none"/>
        </w:rPr>
        <w:t>4</w:t>
      </w:r>
      <w:r>
        <w:rPr>
          <w:rFonts w:hint="eastAsia" w:ascii="宋体" w:hAnsi="宋体" w:eastAsia="宋体" w:cs="???|CS?o｡ﾀ?"/>
          <w:color w:val="auto"/>
          <w:szCs w:val="20"/>
          <w:highlight w:val="none"/>
        </w:rPr>
        <w:t>天内支付当季应付监理费的</w:t>
      </w:r>
      <w:r>
        <w:rPr>
          <w:rFonts w:ascii="宋体" w:hAnsi="宋体" w:eastAsia="宋体"/>
          <w:color w:val="auto"/>
          <w:szCs w:val="20"/>
          <w:highlight w:val="none"/>
        </w:rPr>
        <w:t>80%</w:t>
      </w:r>
      <w:r>
        <w:rPr>
          <w:rFonts w:hint="eastAsia" w:ascii="宋体" w:hAnsi="宋体" w:eastAsia="宋体"/>
          <w:color w:val="auto"/>
          <w:szCs w:val="20"/>
          <w:highlight w:val="none"/>
        </w:rPr>
        <w:t>（</w:t>
      </w:r>
      <w:r>
        <w:rPr>
          <w:rFonts w:hint="eastAsia" w:ascii="宋体" w:hAnsi="宋体" w:eastAsia="宋体"/>
          <w:color w:val="auto"/>
          <w:szCs w:val="20"/>
          <w:highlight w:val="none"/>
          <w:lang w:val="en-US" w:eastAsia="zh-CN"/>
        </w:rPr>
        <w:t>含预付款</w:t>
      </w:r>
      <w:r>
        <w:rPr>
          <w:rFonts w:hint="eastAsia" w:ascii="宋体" w:hAnsi="宋体" w:eastAsia="宋体"/>
          <w:color w:val="auto"/>
          <w:szCs w:val="20"/>
          <w:highlight w:val="none"/>
        </w:rPr>
        <w:t>）</w:t>
      </w:r>
      <w:r>
        <w:rPr>
          <w:rFonts w:hint="eastAsia" w:ascii="宋体" w:hAnsi="宋体" w:eastAsia="宋体" w:cs="???|CS?o｡ﾀ?"/>
          <w:color w:val="auto"/>
          <w:szCs w:val="20"/>
          <w:highlight w:val="none"/>
        </w:rPr>
        <w:t>。</w:t>
      </w:r>
      <w:r>
        <w:rPr>
          <w:rFonts w:hint="eastAsia" w:ascii="宋体" w:hAnsi="宋体" w:eastAsia="宋体"/>
          <w:color w:val="auto"/>
          <w:szCs w:val="20"/>
          <w:highlight w:val="none"/>
        </w:rPr>
        <w:t>本监理标范围内的全部工程通过完工验收合格且经审计（价）后14天内付至监理报酬的98.5%。</w:t>
      </w:r>
      <w:r>
        <w:rPr>
          <w:rFonts w:hint="eastAsia" w:ascii="宋体" w:hAnsi="宋体" w:eastAsia="宋体" w:cs="宋体"/>
          <w:color w:val="auto"/>
          <w:szCs w:val="21"/>
          <w:highlight w:val="none"/>
          <w:lang w:val="en-US" w:eastAsia="zh-CN"/>
        </w:rPr>
        <w:t>监理</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满</w:t>
      </w:r>
      <w:r>
        <w:rPr>
          <w:rFonts w:hint="eastAsia" w:ascii="宋体" w:hAnsi="宋体" w:eastAsia="宋体"/>
          <w:color w:val="auto"/>
          <w:szCs w:val="20"/>
          <w:highlight w:val="none"/>
        </w:rPr>
        <w:t>后</w:t>
      </w:r>
      <w:r>
        <w:rPr>
          <w:rFonts w:hint="eastAsia" w:ascii="宋体" w:hAnsi="宋体" w:eastAsia="宋体"/>
          <w:color w:val="auto"/>
          <w:szCs w:val="20"/>
          <w:highlight w:val="none"/>
          <w:lang w:val="en-US" w:eastAsia="zh-CN"/>
        </w:rPr>
        <w:t>7个工作日</w:t>
      </w:r>
      <w:r>
        <w:rPr>
          <w:rFonts w:hint="eastAsia" w:ascii="宋体" w:hAnsi="宋体" w:eastAsia="宋体"/>
          <w:color w:val="auto"/>
          <w:szCs w:val="20"/>
          <w:highlight w:val="none"/>
        </w:rPr>
        <w:t>内付清余款（如有剩余）</w:t>
      </w:r>
      <w:r>
        <w:rPr>
          <w:rFonts w:hint="eastAsia" w:ascii="宋体" w:hAnsi="宋体" w:eastAsia="宋体"/>
          <w:color w:val="auto"/>
          <w:szCs w:val="20"/>
          <w:highlight w:val="none"/>
          <w:lang w:eastAsia="zh-CN"/>
        </w:rPr>
        <w:t>。</w:t>
      </w:r>
    </w:p>
    <w:p w14:paraId="73D55518">
      <w:pPr>
        <w:snapToGrid w:val="0"/>
        <w:spacing w:line="360" w:lineRule="auto"/>
        <w:ind w:firstLine="441" w:firstLineChars="2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停工期间不计取酬金；</w:t>
      </w:r>
    </w:p>
    <w:p w14:paraId="5F0A04F0">
      <w:pPr>
        <w:snapToGrid w:val="0"/>
        <w:spacing w:line="360" w:lineRule="auto"/>
        <w:ind w:firstLine="441" w:firstLineChars="2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上述每笔款项支付前，监理人必须提供收款单位与本合同签订单位一致的正规、等额、合法、有效的发票，若监理人有违约行为的，委托人有权直接从应付款项中予以扣除。</w:t>
      </w:r>
    </w:p>
    <w:p w14:paraId="184322FF">
      <w:pPr>
        <w:snapToGrid w:val="0"/>
        <w:spacing w:line="360" w:lineRule="auto"/>
        <w:ind w:firstLine="441" w:firstLineChars="2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第三十三条 监理附加服务酬金的计取与支付方法：/           </w:t>
      </w:r>
    </w:p>
    <w:p w14:paraId="4FF46040">
      <w:pPr>
        <w:snapToGrid w:val="0"/>
        <w:spacing w:line="360" w:lineRule="auto"/>
        <w:ind w:firstLine="441" w:firstLineChars="2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一、在本合同履行过程中，委托人要求监理机构完成监理合同约定范围和内容以外的服务时，附加工作酬金另行协商。</w:t>
      </w:r>
    </w:p>
    <w:p w14:paraId="1B0D94C8">
      <w:pPr>
        <w:snapToGrid w:val="0"/>
        <w:spacing w:line="360" w:lineRule="auto"/>
        <w:ind w:firstLine="441" w:firstLineChars="210"/>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u w:val="single"/>
        </w:rPr>
        <w:t>二、因善后工作以或恢复执行监理业务的准备工作，附加工作酬金不另计算。</w:t>
      </w:r>
    </w:p>
    <w:p w14:paraId="72FA5B82">
      <w:pPr>
        <w:pStyle w:val="7"/>
        <w:spacing w:line="360" w:lineRule="auto"/>
        <w:jc w:val="center"/>
        <w:rPr>
          <w:rFonts w:hint="eastAsia" w:ascii="宋体" w:hAnsi="宋体" w:eastAsia="宋体" w:cs="宋体"/>
          <w:b/>
          <w:bCs w:val="0"/>
          <w:color w:val="auto"/>
          <w:highlight w:val="none"/>
        </w:rPr>
      </w:pPr>
      <w:bookmarkStart w:id="24" w:name="_Toc12641"/>
      <w:r>
        <w:rPr>
          <w:rFonts w:hint="eastAsia" w:ascii="宋体" w:hAnsi="宋体" w:eastAsia="宋体" w:cs="宋体"/>
          <w:b/>
          <w:bCs w:val="0"/>
          <w:color w:val="auto"/>
          <w:highlight w:val="none"/>
        </w:rPr>
        <w:t>违约责任</w:t>
      </w:r>
      <w:bookmarkEnd w:id="24"/>
    </w:p>
    <w:p w14:paraId="76D453ED">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第四十条 委托人违约，应支付给监理人违约金。</w:t>
      </w:r>
    </w:p>
    <w:p w14:paraId="1E071E9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违约金：</w:t>
      </w:r>
      <w:r>
        <w:rPr>
          <w:rFonts w:hint="eastAsia" w:ascii="宋体" w:hAnsi="宋体" w:eastAsia="宋体" w:cs="宋体"/>
          <w:color w:val="auto"/>
          <w:sz w:val="21"/>
          <w:szCs w:val="21"/>
          <w:highlight w:val="none"/>
          <w:u w:val="single"/>
        </w:rPr>
        <w:t>监理报酬的1%每次。</w:t>
      </w:r>
    </w:p>
    <w:p w14:paraId="3DC7F3D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第四十一条 因委托人延期支付监理服务酬金而向监理人支付逾期付款违约金的计算办法：</w:t>
      </w:r>
      <w:r>
        <w:rPr>
          <w:rFonts w:hint="eastAsia" w:ascii="宋体" w:hAnsi="宋体" w:eastAsia="宋体" w:cs="宋体"/>
          <w:snapToGrid w:val="0"/>
          <w:color w:val="auto"/>
          <w:sz w:val="21"/>
          <w:szCs w:val="21"/>
          <w:highlight w:val="none"/>
          <w:u w:val="single"/>
        </w:rPr>
        <w:t>逾期付款违约金=延期的支付金额×同期中国人民银行存款利率×延期付款时间。</w:t>
      </w:r>
      <w:r>
        <w:rPr>
          <w:rFonts w:hint="eastAsia" w:ascii="宋体" w:hAnsi="宋体" w:eastAsia="宋体" w:cs="宋体"/>
          <w:snapToGrid w:val="0"/>
          <w:color w:val="auto"/>
          <w:sz w:val="21"/>
          <w:szCs w:val="21"/>
          <w:highlight w:val="none"/>
          <w:u w:val="single"/>
          <w:lang w:eastAsia="zh-CN"/>
        </w:rPr>
        <w:t>（</w:t>
      </w:r>
      <w:r>
        <w:rPr>
          <w:rFonts w:hint="eastAsia" w:ascii="宋体" w:hAnsi="宋体" w:eastAsia="宋体" w:cs="宋体"/>
          <w:snapToGrid w:val="0"/>
          <w:color w:val="auto"/>
          <w:sz w:val="21"/>
          <w:szCs w:val="21"/>
          <w:highlight w:val="none"/>
          <w:u w:val="single"/>
          <w:lang w:val="en-US" w:eastAsia="zh-CN"/>
        </w:rPr>
        <w:t>不重复计取第四十条违约金</w:t>
      </w:r>
      <w:r>
        <w:rPr>
          <w:rFonts w:hint="eastAsia" w:ascii="宋体" w:hAnsi="宋体" w:eastAsia="宋体" w:cs="宋体"/>
          <w:snapToGrid w:val="0"/>
          <w:color w:val="auto"/>
          <w:sz w:val="21"/>
          <w:szCs w:val="21"/>
          <w:highlight w:val="none"/>
          <w:u w:val="single"/>
          <w:lang w:eastAsia="zh-CN"/>
        </w:rPr>
        <w:t>）</w:t>
      </w:r>
    </w:p>
    <w:p w14:paraId="780F409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第四十二条 监理人违约，应支付给委托人违约金。</w:t>
      </w:r>
    </w:p>
    <w:p w14:paraId="19FEB0BF">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违约金：</w:t>
      </w:r>
      <w:r>
        <w:rPr>
          <w:rFonts w:hint="eastAsia" w:ascii="宋体" w:hAnsi="宋体" w:eastAsia="宋体" w:cs="宋体"/>
          <w:color w:val="auto"/>
          <w:sz w:val="21"/>
          <w:szCs w:val="21"/>
          <w:highlight w:val="none"/>
          <w:u w:val="single"/>
        </w:rPr>
        <w:t>监理服务费签约合同价</w:t>
      </w:r>
      <w:r>
        <w:rPr>
          <w:rFonts w:hint="eastAsia" w:ascii="宋体" w:hAnsi="宋体" w:eastAsia="宋体" w:cs="宋体"/>
          <w:snapToGrid w:val="0"/>
          <w:color w:val="auto"/>
          <w:sz w:val="21"/>
          <w:szCs w:val="21"/>
          <w:highlight w:val="none"/>
          <w:u w:val="single"/>
        </w:rPr>
        <w:t>的1%/每次（除专用条款第二十一条另行规定之外）。</w:t>
      </w:r>
    </w:p>
    <w:p w14:paraId="1F0EF951">
      <w:pPr>
        <w:pStyle w:val="34"/>
        <w:widowControl w:val="0"/>
        <w:adjustRightInd w:val="0"/>
        <w:snapToGrid w:val="0"/>
        <w:spacing w:before="0" w:beforeAutospacing="0" w:after="0" w:afterAutospacing="0" w:line="360" w:lineRule="auto"/>
        <w:ind w:firstLine="443" w:firstLineChars="210"/>
        <w:jc w:val="center"/>
        <w:rPr>
          <w:rFonts w:hint="eastAsia" w:ascii="宋体" w:hAnsi="宋体" w:eastAsia="宋体" w:cs="宋体"/>
          <w:b/>
          <w:snapToGrid w:val="0"/>
          <w:color w:val="auto"/>
          <w:sz w:val="21"/>
          <w:szCs w:val="21"/>
          <w:highlight w:val="none"/>
        </w:rPr>
      </w:pPr>
    </w:p>
    <w:p w14:paraId="769C3AB6">
      <w:pPr>
        <w:pStyle w:val="7"/>
        <w:spacing w:line="360" w:lineRule="auto"/>
        <w:jc w:val="center"/>
        <w:rPr>
          <w:rFonts w:hint="eastAsia" w:ascii="宋体" w:hAnsi="宋体" w:eastAsia="宋体" w:cs="宋体"/>
          <w:b/>
          <w:bCs w:val="0"/>
          <w:color w:val="auto"/>
          <w:highlight w:val="none"/>
        </w:rPr>
      </w:pPr>
      <w:bookmarkStart w:id="25" w:name="_Toc31590"/>
      <w:r>
        <w:rPr>
          <w:rFonts w:hint="eastAsia" w:ascii="宋体" w:hAnsi="宋体" w:eastAsia="宋体" w:cs="宋体"/>
          <w:b/>
          <w:bCs w:val="0"/>
          <w:color w:val="auto"/>
          <w:highlight w:val="none"/>
        </w:rPr>
        <w:t>争议的解决</w:t>
      </w:r>
      <w:bookmarkEnd w:id="25"/>
    </w:p>
    <w:p w14:paraId="227524F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第四十三条 争议调解、仲裁机构：</w:t>
      </w:r>
    </w:p>
    <w:p w14:paraId="3A587F34">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一、争议调解机构为：</w:t>
      </w:r>
      <w:r>
        <w:rPr>
          <w:rFonts w:hint="eastAsia" w:ascii="宋体" w:hAnsi="宋体" w:eastAsia="宋体" w:cs="宋体"/>
          <w:snapToGrid w:val="0"/>
          <w:color w:val="auto"/>
          <w:sz w:val="21"/>
          <w:szCs w:val="21"/>
          <w:highlight w:val="none"/>
          <w:u w:val="single"/>
        </w:rPr>
        <w:t xml:space="preserve">  上级主管部门。</w:t>
      </w:r>
    </w:p>
    <w:p w14:paraId="3F31D2F2">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二、仲裁机构为：</w:t>
      </w:r>
      <w:r>
        <w:rPr>
          <w:rFonts w:hint="eastAsia" w:ascii="宋体" w:hAnsi="宋体" w:eastAsia="宋体" w:cs="宋体"/>
          <w:snapToGrid w:val="0"/>
          <w:color w:val="auto"/>
          <w:sz w:val="21"/>
          <w:szCs w:val="21"/>
          <w:highlight w:val="none"/>
          <w:u w:val="single"/>
        </w:rPr>
        <w:t xml:space="preserve">  /  </w:t>
      </w:r>
    </w:p>
    <w:p w14:paraId="23381D49">
      <w:pPr>
        <w:pStyle w:val="34"/>
        <w:widowControl w:val="0"/>
        <w:adjustRightInd w:val="0"/>
        <w:snapToGrid w:val="0"/>
        <w:spacing w:before="0" w:beforeAutospacing="0" w:after="0" w:afterAutospacing="0" w:line="360" w:lineRule="auto"/>
        <w:ind w:firstLine="441" w:firstLineChars="21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三、协商或调解未果时，双方同意向委托人办公所在地人民法院起诉。</w:t>
      </w:r>
    </w:p>
    <w:p w14:paraId="3BB41B9A">
      <w:pPr>
        <w:snapToGrid w:val="0"/>
        <w:spacing w:line="360" w:lineRule="auto"/>
        <w:ind w:firstLine="443" w:firstLineChars="210"/>
        <w:jc w:val="center"/>
        <w:rPr>
          <w:rFonts w:hint="eastAsia" w:ascii="宋体" w:hAnsi="宋体" w:eastAsia="宋体" w:cs="宋体"/>
          <w:b/>
          <w:snapToGrid w:val="0"/>
          <w:color w:val="auto"/>
          <w:szCs w:val="21"/>
          <w:highlight w:val="none"/>
          <w:u w:val="single"/>
        </w:rPr>
      </w:pPr>
    </w:p>
    <w:p w14:paraId="738D91E9">
      <w:pPr>
        <w:pStyle w:val="7"/>
        <w:spacing w:line="360" w:lineRule="auto"/>
        <w:jc w:val="center"/>
        <w:rPr>
          <w:rFonts w:hint="eastAsia" w:ascii="宋体" w:hAnsi="宋体" w:eastAsia="宋体" w:cs="宋体"/>
          <w:b/>
          <w:bCs w:val="0"/>
          <w:color w:val="auto"/>
          <w:highlight w:val="none"/>
        </w:rPr>
      </w:pPr>
      <w:bookmarkStart w:id="26" w:name="_Toc11015"/>
      <w:r>
        <w:rPr>
          <w:rFonts w:hint="eastAsia" w:ascii="宋体" w:hAnsi="宋体" w:eastAsia="宋体" w:cs="宋体"/>
          <w:b/>
          <w:bCs w:val="0"/>
          <w:color w:val="auto"/>
          <w:highlight w:val="none"/>
        </w:rPr>
        <w:t>其他</w:t>
      </w:r>
      <w:bookmarkEnd w:id="26"/>
    </w:p>
    <w:p w14:paraId="087A4C64">
      <w:pPr>
        <w:snapToGrid w:val="0"/>
        <w:spacing w:line="360" w:lineRule="auto"/>
        <w:ind w:firstLine="441" w:firstLineChars="21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第四十五条 委托人对监理人提出并落实的合理化建议的奖励办法为：</w:t>
      </w:r>
      <w:r>
        <w:rPr>
          <w:rFonts w:hint="eastAsia" w:ascii="宋体" w:hAnsi="宋体" w:eastAsia="宋体" w:cs="宋体"/>
          <w:snapToGrid w:val="0"/>
          <w:color w:val="auto"/>
          <w:szCs w:val="21"/>
          <w:highlight w:val="none"/>
          <w:u w:val="single"/>
        </w:rPr>
        <w:t xml:space="preserve">双方另行协商 </w:t>
      </w:r>
      <w:r>
        <w:rPr>
          <w:rFonts w:hint="eastAsia" w:ascii="宋体" w:hAnsi="宋体" w:eastAsia="宋体" w:cs="宋体"/>
          <w:snapToGrid w:val="0"/>
          <w:color w:val="auto"/>
          <w:szCs w:val="21"/>
          <w:highlight w:val="none"/>
        </w:rPr>
        <w:t>。</w:t>
      </w:r>
    </w:p>
    <w:p w14:paraId="797565E3">
      <w:pPr>
        <w:snapToGrid w:val="0"/>
        <w:spacing w:line="360" w:lineRule="auto"/>
        <w:ind w:firstLine="441" w:firstLineChars="21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其他：监理人在投标时提供的监理大纲，在中标后按发包人要求修改，修改内容经发包人确认后重新提供。</w:t>
      </w:r>
    </w:p>
    <w:p w14:paraId="0C0F84EB">
      <w:pPr>
        <w:snapToGrid w:val="0"/>
        <w:spacing w:line="360" w:lineRule="auto"/>
        <w:ind w:firstLine="443" w:firstLineChars="210"/>
        <w:jc w:val="center"/>
        <w:rPr>
          <w:rFonts w:hint="eastAsia" w:ascii="宋体" w:hAnsi="宋体" w:eastAsia="宋体" w:cs="宋体"/>
          <w:b/>
          <w:bCs/>
          <w:color w:val="auto"/>
          <w:szCs w:val="21"/>
          <w:highlight w:val="none"/>
        </w:rPr>
      </w:pPr>
      <w:bookmarkStart w:id="27" w:name="_Toc211308435"/>
      <w:bookmarkStart w:id="28" w:name="_Toc452473914"/>
      <w:r>
        <w:rPr>
          <w:rFonts w:hint="eastAsia" w:ascii="宋体" w:hAnsi="宋体" w:eastAsia="宋体" w:cs="宋体"/>
          <w:b/>
          <w:bCs/>
          <w:color w:val="auto"/>
          <w:szCs w:val="21"/>
          <w:highlight w:val="none"/>
        </w:rPr>
        <w:t>补充条款</w:t>
      </w:r>
    </w:p>
    <w:p w14:paraId="45951177">
      <w:pPr>
        <w:adjustRightInd w:val="0"/>
        <w:snapToGrid w:val="0"/>
        <w:spacing w:line="360" w:lineRule="auto"/>
        <w:ind w:firstLine="441" w:firstLineChars="21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第四十六条 监理人应积极配合委托人、施工单位创建文明标化工地。</w:t>
      </w:r>
    </w:p>
    <w:p w14:paraId="240A08FE">
      <w:pPr>
        <w:adjustRightInd w:val="0"/>
        <w:snapToGrid w:val="0"/>
        <w:spacing w:line="360" w:lineRule="auto"/>
        <w:ind w:firstLine="441" w:firstLineChars="21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第四十</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lang w:eastAsia="zh-CN"/>
        </w:rPr>
        <w:t xml:space="preserve">条 </w:t>
      </w:r>
      <w:r>
        <w:rPr>
          <w:rFonts w:hint="eastAsia" w:ascii="宋体" w:hAnsi="宋体" w:eastAsia="宋体" w:cs="宋体"/>
          <w:color w:val="auto"/>
          <w:kern w:val="0"/>
          <w:szCs w:val="21"/>
          <w:highlight w:val="none"/>
          <w:lang w:val="en-US" w:eastAsia="zh-CN"/>
        </w:rPr>
        <w:t>工期延期、工程停工、终止施工等原因引起的监理时间延长均不另行计取费用</w:t>
      </w:r>
      <w:r>
        <w:rPr>
          <w:rFonts w:hint="eastAsia" w:ascii="宋体" w:hAnsi="宋体" w:eastAsia="宋体" w:cs="宋体"/>
          <w:color w:val="auto"/>
          <w:kern w:val="0"/>
          <w:szCs w:val="21"/>
          <w:highlight w:val="none"/>
          <w:lang w:eastAsia="zh-CN"/>
        </w:rPr>
        <w:t>。</w:t>
      </w:r>
    </w:p>
    <w:p w14:paraId="6F8079FF">
      <w:pPr>
        <w:adjustRightInd w:val="0"/>
        <w:snapToGrid w:val="0"/>
        <w:spacing w:line="360" w:lineRule="auto"/>
        <w:ind w:firstLine="441" w:firstLineChars="21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第四十</w:t>
      </w: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lang w:eastAsia="zh-CN"/>
        </w:rPr>
        <w:t>条</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如本工程发生安全事故、工人聚众闹事、恶意讨薪、限制工程参与各方人员人身自由等事件，委托人有权对监理人处以2万元/次的罚款。</w:t>
      </w:r>
    </w:p>
    <w:p w14:paraId="08FDE38A">
      <w:pPr>
        <w:adjustRightInd w:val="0"/>
        <w:snapToGrid w:val="0"/>
        <w:spacing w:line="360" w:lineRule="auto"/>
        <w:ind w:firstLine="443" w:firstLineChars="21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第四十九条 监理人必须现场配备卷尺、游标卡尺、力矩扳手等检测设备。监理人必须自行安排餐饮用食，自行安排落实打印机、打印纸、电脑等办公设备，该笔费用已包含在监理报价中，由监理人综合考虑。</w:t>
      </w:r>
    </w:p>
    <w:p w14:paraId="0B08811C">
      <w:pPr>
        <w:adjustRightInd w:val="0"/>
        <w:snapToGrid w:val="0"/>
        <w:spacing w:line="360" w:lineRule="auto"/>
        <w:ind w:firstLine="443" w:firstLineChars="210"/>
        <w:jc w:val="center"/>
        <w:rPr>
          <w:rFonts w:hint="eastAsia" w:ascii="宋体" w:hAnsi="宋体" w:eastAsia="宋体" w:cs="宋体"/>
          <w:b/>
          <w:bCs/>
          <w:color w:val="auto"/>
          <w:kern w:val="2"/>
          <w:sz w:val="21"/>
          <w:szCs w:val="21"/>
          <w:highlight w:val="none"/>
          <w:lang w:val="en-US" w:eastAsia="zh-CN" w:bidi="ar-SA"/>
        </w:rPr>
      </w:pPr>
    </w:p>
    <w:p w14:paraId="1A95B2C0">
      <w:pPr>
        <w:adjustRightInd w:val="0"/>
        <w:snapToGrid w:val="0"/>
        <w:spacing w:line="360" w:lineRule="auto"/>
        <w:ind w:firstLine="588" w:firstLineChars="21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29" w:name="_Toc530734034"/>
      <w:bookmarkStart w:id="30" w:name="_Toc529955284"/>
      <w:bookmarkStart w:id="31" w:name="_Toc452565801"/>
      <w:bookmarkStart w:id="32" w:name="_Toc27138"/>
      <w:r>
        <w:rPr>
          <w:rFonts w:hint="eastAsia" w:ascii="宋体" w:hAnsi="宋体" w:eastAsia="宋体" w:cs="宋体"/>
          <w:color w:val="auto"/>
          <w:sz w:val="28"/>
          <w:szCs w:val="28"/>
          <w:highlight w:val="none"/>
        </w:rPr>
        <w:t>第三部分  附件</w:t>
      </w:r>
      <w:bookmarkEnd w:id="27"/>
      <w:bookmarkEnd w:id="28"/>
      <w:bookmarkEnd w:id="29"/>
      <w:bookmarkEnd w:id="30"/>
      <w:bookmarkEnd w:id="31"/>
      <w:bookmarkEnd w:id="32"/>
    </w:p>
    <w:p w14:paraId="064B4C53">
      <w:pPr>
        <w:pStyle w:val="7"/>
        <w:spacing w:line="360" w:lineRule="auto"/>
        <w:jc w:val="both"/>
        <w:rPr>
          <w:rFonts w:hint="eastAsia" w:ascii="宋体" w:hAnsi="宋体" w:eastAsia="宋体" w:cs="宋体"/>
          <w:b/>
          <w:bCs w:val="0"/>
          <w:color w:val="auto"/>
          <w:highlight w:val="none"/>
        </w:rPr>
      </w:pPr>
      <w:bookmarkStart w:id="33" w:name="_Toc7851"/>
      <w:r>
        <w:rPr>
          <w:rFonts w:hint="eastAsia" w:ascii="宋体" w:hAnsi="宋体" w:eastAsia="宋体" w:cs="宋体"/>
          <w:b/>
          <w:bCs w:val="0"/>
          <w:color w:val="auto"/>
          <w:highlight w:val="none"/>
        </w:rPr>
        <w:t>一、监理服务内容</w:t>
      </w:r>
      <w:bookmarkEnd w:id="33"/>
    </w:p>
    <w:p w14:paraId="4D633BD7">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本合同监理服务内容：本工程的施工全过程（含前期服务及后期资料整理等）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缺陷责任期的监理。</w:t>
      </w:r>
    </w:p>
    <w:p w14:paraId="3BE77C0C">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（一）设计方面</w:t>
      </w:r>
    </w:p>
    <w:p w14:paraId="32305F2B">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l、核查并签发施工图，发现问题向委托人反映，重大问题向委托人做专题报告。</w:t>
      </w:r>
    </w:p>
    <w:p w14:paraId="16C6E715">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2、主持或与委托人联合主持设计技术交底会议，编写会议纪要。</w:t>
      </w:r>
    </w:p>
    <w:p w14:paraId="119FC5D5">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3、协助委托人会同设计人对重大技术问题和优化设计进行专题讨论。</w:t>
      </w:r>
    </w:p>
    <w:p w14:paraId="5C0FCE98">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4、审核承包人对施工图的意见和建议，协助委托人会同设计人进行研究。</w:t>
      </w:r>
    </w:p>
    <w:p w14:paraId="02C05794">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5、其他相关业务。</w:t>
      </w:r>
    </w:p>
    <w:p w14:paraId="226587FA">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（二）采购方面</w:t>
      </w:r>
    </w:p>
    <w:p w14:paraId="041141F3">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1、协助委托人进行采购招标。</w:t>
      </w:r>
    </w:p>
    <w:p w14:paraId="0EABEA87">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2、协助委托人对进场的永久工程设备进行质量检验与到货验收。</w:t>
      </w:r>
    </w:p>
    <w:p w14:paraId="1101208F">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3、其他相关业务。</w:t>
      </w:r>
    </w:p>
    <w:p w14:paraId="498FDBB5">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（三）施工方面</w:t>
      </w:r>
    </w:p>
    <w:p w14:paraId="713E6636">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1、协助委托人进行工程施工招标和签订工程施工合同。</w:t>
      </w:r>
    </w:p>
    <w:p w14:paraId="67B990BE">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2、全面管理工程施工合同，审查承包人选择的分包单位，并报委托人批准。</w:t>
      </w:r>
    </w:p>
    <w:p w14:paraId="75E30492">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3、督促委托人按工程施工合同的约定，落实必须提供的施工条件；检查承包人的开工准备工作。</w:t>
      </w:r>
    </w:p>
    <w:p w14:paraId="1EE796CB">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4、审核按工程施工合同文件约定应由承包人提交的设计文件。</w:t>
      </w:r>
    </w:p>
    <w:p w14:paraId="7282681E">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5、审查承包人提交的施工组织设计、施工进度计划、施工措施计划；审核工艺试验成果等。</w:t>
      </w:r>
    </w:p>
    <w:p w14:paraId="166BFAAA">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3D80146D">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7ADCC4EF">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8、资金控制。协助委托人编制付款计划；审查承包人提交的资金流计划；核定承包人完成的工程量，审核承包人提交的支付申请，签发付款凭证；受理索赔申请，提出处理建议意见；处理工程变更。</w:t>
      </w:r>
    </w:p>
    <w:p w14:paraId="447BDABE">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9、施工安全控制。审查承包人提出的安全技术措施、专项施工方案，并检查实施情况；检查防洪度汛措施落实情况；参与安全事故调查。</w:t>
      </w:r>
    </w:p>
    <w:p w14:paraId="36C8071D">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10、协调施工合同各方之间的关系。</w:t>
      </w:r>
    </w:p>
    <w:p w14:paraId="44505758">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11、按有关规定参加工程验收，负责完成监理资料的汇总、整理，协助委托人检查承包人的合同执行情况；做好验收的各项准备工作或者配合工作，提供工程监理资料，提交监理工作报告。</w:t>
      </w:r>
    </w:p>
    <w:p w14:paraId="0AC70358">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档案管理。做好施工现场的监理记录与信息反馈，做好监理文档管理工作。按照《国家重大建设项目文件归档要求与档案整理规范》、《重大建设项目档案验收办法》等相关规范的要求做好监理资料的收集、整理、归档并同时进行数字化管理。监理人还应对承包人提交的归档材料履行审核签字手续，并应向委托人提交工程档案内容与整编质量情况的专题审核报告。</w:t>
      </w:r>
    </w:p>
    <w:p w14:paraId="2C74C5D8">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13、监督承包人执行责任缺陷期工作计划，检查和验收尾工项目，对已移交工程中出现的质量缺陷等调查原因并提出处理意见。</w:t>
      </w:r>
    </w:p>
    <w:p w14:paraId="3D2AFC5E">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14、按照委托人签订的工程保险合同，做好施工现场工程保险合同的管理。协助委托人向保险公司及时提供一切必要的材料和证据。</w:t>
      </w:r>
    </w:p>
    <w:p w14:paraId="640060DC">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15、监督承包人执行上级行业主管部门（或委托人）制订的水利工程建设领域的安全文明标准化工地创建要求、扬尘治理要求、治欠保支六项制度要求以及标后履约要求。</w:t>
      </w:r>
    </w:p>
    <w:p w14:paraId="2220B3E4">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16、其他相关工作。</w:t>
      </w:r>
    </w:p>
    <w:p w14:paraId="5CCCBF89">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二、监理机构应向委托人提供的信息和文件</w:t>
      </w:r>
    </w:p>
    <w:p w14:paraId="294E79DE">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定期的信息文件——监理月报</w:t>
      </w:r>
    </w:p>
    <w:p w14:paraId="626133A5">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监理月报的主要内容：</w:t>
      </w:r>
    </w:p>
    <w:p w14:paraId="2BCDA12C">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1、项目概述：包括项目位置、项目主要特征及合同情况简介。</w:t>
      </w:r>
    </w:p>
    <w:p w14:paraId="17161B33">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2、大事记。</w:t>
      </w:r>
    </w:p>
    <w:p w14:paraId="2A0D412B">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3、工程进度与形象面貌。</w:t>
      </w:r>
    </w:p>
    <w:p w14:paraId="4180B524">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4、资金到位和使用情况。</w:t>
      </w:r>
    </w:p>
    <w:p w14:paraId="1542FC05">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5、质量控制：包括质量评定、质量分析、质量事故处理等情况。</w:t>
      </w:r>
    </w:p>
    <w:p w14:paraId="11D260F7">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6、合同执行情况：包括合同变更、索赔和违约等。</w:t>
      </w:r>
    </w:p>
    <w:p w14:paraId="076019C9">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7、现场会议和往来信函：包括会议记录、往来信函。</w:t>
      </w:r>
    </w:p>
    <w:p w14:paraId="17970830">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8、监理工作：包括监理组织框图、资源投入、重要监理活动、图纸审查、发放、技术方案审查、工程需要解决的问题和其他事项。</w:t>
      </w:r>
    </w:p>
    <w:p w14:paraId="247AE09E">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9、施工人员情况：包括劳动力的动态、投入的设备、组织管理和存在的问题。</w:t>
      </w:r>
    </w:p>
    <w:p w14:paraId="515E6F7A">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10、安全和环境保护。</w:t>
      </w:r>
    </w:p>
    <w:p w14:paraId="3CFE3507">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11、进度款支付情况。</w:t>
      </w:r>
    </w:p>
    <w:p w14:paraId="32978FFA">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12、工程进展图片及音像资料。</w:t>
      </w:r>
    </w:p>
    <w:p w14:paraId="51DD4B50">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13、其他。</w:t>
      </w:r>
    </w:p>
    <w:p w14:paraId="47047416">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不定期的监理工作报告</w:t>
      </w:r>
    </w:p>
    <w:p w14:paraId="38C91039">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1、关于工程优化设计、工程变更的建议。</w:t>
      </w:r>
    </w:p>
    <w:p w14:paraId="486D02FF">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2、投资情况分析预测及资金、资源的合理配置和投入的建议。</w:t>
      </w:r>
    </w:p>
    <w:p w14:paraId="547BD19C">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3、工程进度预测分析报告。</w:t>
      </w:r>
    </w:p>
    <w:p w14:paraId="21181083">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 日常监理文件</w:t>
      </w:r>
    </w:p>
    <w:p w14:paraId="7F578171">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1、监理日记及施工大事记。</w:t>
      </w:r>
    </w:p>
    <w:p w14:paraId="6BE7CDD5">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2、施工计划批复文件。</w:t>
      </w:r>
    </w:p>
    <w:p w14:paraId="45A7BF6A">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3、施工措施批复文件。</w:t>
      </w:r>
    </w:p>
    <w:p w14:paraId="4EF422A3">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4、施工进度调整批复文件。</w:t>
      </w:r>
    </w:p>
    <w:p w14:paraId="701AC93D">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5、进度款支付确认文件。</w:t>
      </w:r>
    </w:p>
    <w:p w14:paraId="7637CF7C">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6、索赔受理、调查及处理文件。</w:t>
      </w:r>
    </w:p>
    <w:p w14:paraId="1A72F47D">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7、监理协调会议纪要文件。</w:t>
      </w:r>
    </w:p>
    <w:p w14:paraId="639644C5">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8、其他监理业务往来文件。</w:t>
      </w:r>
    </w:p>
    <w:p w14:paraId="629248DC">
      <w:pPr>
        <w:snapToGrid w:val="0"/>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 文件报送份数：6 份。</w:t>
      </w:r>
    </w:p>
    <w:p w14:paraId="3365891F">
      <w:pPr>
        <w:spacing w:line="500" w:lineRule="exact"/>
        <w:ind w:firstLine="420" w:firstLineChars="200"/>
        <w:rPr>
          <w:rFonts w:hint="eastAsia" w:ascii="宋体" w:hAnsi="宋体" w:eastAsia="宋体" w:cs="宋体"/>
          <w:color w:val="auto"/>
          <w:szCs w:val="21"/>
          <w:highlight w:val="none"/>
        </w:rPr>
      </w:pPr>
    </w:p>
    <w:p w14:paraId="6138BD1B">
      <w:pPr>
        <w:pStyle w:val="6"/>
        <w:tabs>
          <w:tab w:val="left" w:pos="4046"/>
        </w:tabs>
        <w:spacing w:after="120" w:afterLines="50"/>
        <w:ind w:left="0" w:firstLine="0"/>
        <w:jc w:val="center"/>
        <w:rPr>
          <w:rFonts w:hint="eastAsia" w:ascii="宋体" w:hAnsi="宋体" w:eastAsia="宋体" w:cs="宋体"/>
          <w:bCs w:val="0"/>
          <w:snapToGrid w:val="0"/>
          <w:color w:val="auto"/>
          <w:kern w:val="0"/>
          <w:sz w:val="24"/>
          <w:highlight w:val="none"/>
        </w:rPr>
      </w:pPr>
      <w:bookmarkStart w:id="34" w:name="_Toc530734035"/>
      <w:bookmarkStart w:id="35" w:name="_Toc421951421"/>
      <w:r>
        <w:rPr>
          <w:rFonts w:hint="eastAsia" w:ascii="宋体" w:hAnsi="宋体" w:eastAsia="宋体" w:cs="宋体"/>
          <w:bCs w:val="0"/>
          <w:snapToGrid w:val="0"/>
          <w:color w:val="auto"/>
          <w:kern w:val="0"/>
          <w:sz w:val="24"/>
          <w:highlight w:val="none"/>
        </w:rPr>
        <w:br w:type="page"/>
      </w:r>
      <w:bookmarkStart w:id="36" w:name="_Toc20249"/>
      <w:r>
        <w:rPr>
          <w:rFonts w:hint="eastAsia" w:ascii="宋体" w:hAnsi="宋体" w:eastAsia="宋体" w:cs="宋体"/>
          <w:b/>
          <w:bCs w:val="0"/>
          <w:color w:val="auto"/>
          <w:kern w:val="2"/>
          <w:sz w:val="28"/>
          <w:szCs w:val="32"/>
          <w:highlight w:val="none"/>
          <w:lang w:val="en-US" w:eastAsia="zh-CN" w:bidi="ar-SA"/>
        </w:rPr>
        <w:t>第四部份   合同附件</w:t>
      </w:r>
      <w:bookmarkEnd w:id="36"/>
    </w:p>
    <w:p w14:paraId="57A70378">
      <w:pPr>
        <w:pStyle w:val="7"/>
        <w:spacing w:line="360" w:lineRule="auto"/>
        <w:jc w:val="center"/>
        <w:rPr>
          <w:rFonts w:hint="eastAsia" w:ascii="宋体" w:hAnsi="宋体" w:eastAsia="宋体" w:cs="宋体"/>
          <w:b/>
          <w:bCs w:val="0"/>
          <w:color w:val="auto"/>
          <w:highlight w:val="none"/>
        </w:rPr>
      </w:pPr>
      <w:bookmarkStart w:id="37" w:name="_Toc7036"/>
      <w:r>
        <w:rPr>
          <w:rFonts w:hint="eastAsia" w:ascii="宋体" w:hAnsi="宋体" w:eastAsia="宋体" w:cs="宋体"/>
          <w:b/>
          <w:bCs w:val="0"/>
          <w:color w:val="auto"/>
          <w:highlight w:val="none"/>
        </w:rPr>
        <w:t>廉政合同</w:t>
      </w:r>
      <w:bookmarkEnd w:id="34"/>
      <w:bookmarkEnd w:id="35"/>
      <w:bookmarkEnd w:id="37"/>
    </w:p>
    <w:p w14:paraId="525A391C">
      <w:pPr>
        <w:rPr>
          <w:rFonts w:hint="eastAsia" w:ascii="宋体" w:hAnsi="宋体" w:eastAsia="宋体" w:cs="宋体"/>
          <w:color w:val="auto"/>
          <w:szCs w:val="21"/>
          <w:highlight w:val="none"/>
        </w:rPr>
      </w:pPr>
    </w:p>
    <w:p w14:paraId="7515E28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根据水利部及有关工程建设、廉政建设的规定，为做好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工程建设中的党风廉政建设，保证工程建设高效优质，保证建设资金的安全和有效使用以及投资效益，</w:t>
      </w:r>
    </w:p>
    <w:p w14:paraId="16D91F19">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（以下称甲方）与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（以下称乙方），特订立如下合同。</w:t>
      </w:r>
    </w:p>
    <w:p w14:paraId="79B6A8C4">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27BDFEC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（一）严格遵守党和国家有关法律法规及水利部的有关规定。</w:t>
      </w:r>
    </w:p>
    <w:p w14:paraId="04C8C35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（二）严格执行本工程监理服务合同协议书，自觉按协议书办事。</w:t>
      </w:r>
    </w:p>
    <w:p w14:paraId="14E4BF3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（三）双方的业务活动坚持公开、公正、诚信、透明的原则（除法律认定的商业秘密和合同文件另有规定之外），不得损害国家和集体利益，违反工程建设管理规章制度。</w:t>
      </w:r>
    </w:p>
    <w:p w14:paraId="3ACEF25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（四）建立健全廉政制度，开展廉政教育，设立廉政告示牌，公布举报电话，监督并认真查处违法违纪行为。</w:t>
      </w:r>
    </w:p>
    <w:p w14:paraId="5310616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（五）发现对方在业务活动中有违反廉政规定的行为，有及时提醒对方纠正的权利和义务。</w:t>
      </w:r>
    </w:p>
    <w:p w14:paraId="5D417FE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（六）发现对方严重违反本合同义务条款的行为，有向其上级有关部门举报、建议给予处理并要求告知处理结果的权利。</w:t>
      </w:r>
    </w:p>
    <w:p w14:paraId="6E4893C6">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600607E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（一）甲方及其工作人员不得索要或接受乙方的礼金、有价证券和贵重物品，不得在乙方报销任何应由甲方或个人支付的费用等。</w:t>
      </w:r>
    </w:p>
    <w:p w14:paraId="6E5146B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（二）甲方工作人员不得参加乙方安排的宴请和娱乐活动；不得接受乙方提供的通讯工具、交通工具和高档办公用品等。</w:t>
      </w:r>
    </w:p>
    <w:p w14:paraId="6E7324A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（三）甲方及其工作人员不得要求或者接受乙方为其住房装修、婚丧嫁娶活动、配偶子女的工作安排以及出国出境、旅游等提供方便等。</w:t>
      </w:r>
    </w:p>
    <w:p w14:paraId="2061C48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（四）甲方工作人员的配偶、子女不得从事与甲方工程有关的监理分包项目。</w:t>
      </w:r>
    </w:p>
    <w:p w14:paraId="0945DDFD">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1937E69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（一）乙方不得以任何理由向甲方及其工作人员行贿或馈赠礼金、有价证券、贵重礼品。</w:t>
      </w:r>
    </w:p>
    <w:p w14:paraId="4DCEE9E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（二）乙方不得以任何名义为甲方及其工作人员报销应由甲方单位或个人支付的任何费用。</w:t>
      </w:r>
    </w:p>
    <w:p w14:paraId="4A31A67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（三）乙方不得以任何理由安排甲方工作人员参加宴请及娱乐活动。</w:t>
      </w:r>
    </w:p>
    <w:p w14:paraId="66F79BD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（四）乙方不得为甲方单位和个人购置或提供通讯工具、交通工具和高档办公用品等。</w:t>
      </w:r>
    </w:p>
    <w:p w14:paraId="5BF2420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（五）乙方及其工作人员不得索取或接受承包人的礼金、有价证券和贵重物品，不得在承包人报销任何应由乙方或个人支付的费用。</w:t>
      </w:r>
    </w:p>
    <w:p w14:paraId="0C7A8B8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（六）乙方及其工作人员必须严格按照监理规程办事，不得与承包人串通，损害甲方利益。</w:t>
      </w:r>
    </w:p>
    <w:p w14:paraId="1C8EFC5B">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5979E2F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（一）甲方及其工作人员违反本合同第一、二条；按管理权限、依据有关规定，给予党纪、政纪或组织处理；涉嫌犯罪的，移交司法机关追究刑事责任；给乙方单位造成经济损失的，应予以赔偿。</w:t>
      </w:r>
    </w:p>
    <w:p w14:paraId="7D6C3C6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及其工作人员违反本合同第一、三条，按管理权限、依据有关规定，给予党纪、政纪或组织处理；给甲方单位造成经济损失的，应予以赔偿；情节严重的，甲方建议水利工程建设主管部门给予乙方一至三年内不得进入其主管的水利工程建设市场的处罚。</w:t>
      </w:r>
    </w:p>
    <w:p w14:paraId="75EE132B">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第五条</w:t>
      </w:r>
      <w:r>
        <w:rPr>
          <w:rFonts w:hint="eastAsia" w:ascii="宋体" w:hAnsi="宋体" w:eastAsia="宋体" w:cs="宋体"/>
          <w:color w:val="auto"/>
          <w:szCs w:val="21"/>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16551A13">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 xml:space="preserve">  本合同有效期为甲乙双方签署之日起至该工程项目竣工验收后止。</w:t>
      </w:r>
    </w:p>
    <w:p w14:paraId="25849C41">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 xml:space="preserve">  本合同作为本工程监理服务合同协议书的附件，与监理服务合同协议书具有同等的法律效力，经合同双方签署立即生效。</w:t>
      </w:r>
    </w:p>
    <w:p w14:paraId="11B0D371">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 xml:space="preserve">  本合同甲、乙双方各执二份。</w:t>
      </w:r>
    </w:p>
    <w:p w14:paraId="69D66620">
      <w:pPr>
        <w:spacing w:line="440" w:lineRule="exact"/>
        <w:ind w:firstLine="420" w:firstLineChars="200"/>
        <w:rPr>
          <w:rFonts w:hint="eastAsia" w:ascii="宋体" w:hAnsi="宋体" w:eastAsia="宋体" w:cs="宋体"/>
          <w:color w:val="auto"/>
          <w:szCs w:val="21"/>
          <w:highlight w:val="none"/>
        </w:rPr>
      </w:pPr>
    </w:p>
    <w:p w14:paraId="601060E1">
      <w:pPr>
        <w:spacing w:line="500" w:lineRule="exact"/>
        <w:rPr>
          <w:rFonts w:hint="eastAsia" w:ascii="宋体" w:hAnsi="宋体" w:eastAsia="宋体" w:cs="宋体"/>
          <w:color w:val="auto"/>
          <w:szCs w:val="21"/>
          <w:highlight w:val="none"/>
        </w:rPr>
      </w:pPr>
    </w:p>
    <w:p w14:paraId="08D484AF">
      <w:pPr>
        <w:spacing w:line="500" w:lineRule="exact"/>
        <w:rPr>
          <w:rFonts w:hint="eastAsia" w:ascii="宋体" w:hAnsi="宋体" w:eastAsia="宋体" w:cs="宋体"/>
          <w:color w:val="auto"/>
          <w:szCs w:val="21"/>
          <w:highlight w:val="none"/>
        </w:rPr>
      </w:pPr>
    </w:p>
    <w:p w14:paraId="234BDF03">
      <w:pPr>
        <w:spacing w:line="500" w:lineRule="exact"/>
        <w:rPr>
          <w:rFonts w:hint="eastAsia" w:ascii="宋体" w:hAnsi="宋体" w:eastAsia="宋体" w:cs="宋体"/>
          <w:color w:val="auto"/>
          <w:szCs w:val="21"/>
          <w:highlight w:val="none"/>
        </w:rPr>
      </w:pPr>
    </w:p>
    <w:p w14:paraId="0B784499">
      <w:pPr>
        <w:spacing w:line="500" w:lineRule="exact"/>
        <w:rPr>
          <w:rFonts w:hint="eastAsia" w:ascii="宋体" w:hAnsi="宋体" w:eastAsia="宋体" w:cs="宋体"/>
          <w:color w:val="auto"/>
          <w:szCs w:val="21"/>
          <w:highlight w:val="none"/>
        </w:rPr>
      </w:pPr>
    </w:p>
    <w:p w14:paraId="1DC4B4CC">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 xml:space="preserve">     （盖章）</w:t>
      </w:r>
      <w:r>
        <w:rPr>
          <w:rFonts w:hint="eastAsia" w:ascii="宋体" w:hAnsi="宋体" w:eastAsia="宋体" w:cs="宋体"/>
          <w:color w:val="auto"/>
          <w:szCs w:val="21"/>
          <w:highlight w:val="none"/>
        </w:rPr>
        <w:t xml:space="preserve">                     乙  方：</w:t>
      </w:r>
      <w:r>
        <w:rPr>
          <w:rFonts w:hint="eastAsia" w:ascii="宋体" w:hAnsi="宋体" w:eastAsia="宋体" w:cs="宋体"/>
          <w:color w:val="auto"/>
          <w:szCs w:val="21"/>
          <w:highlight w:val="none"/>
          <w:u w:val="single"/>
        </w:rPr>
        <w:t xml:space="preserve">     （盖章）</w:t>
      </w:r>
    </w:p>
    <w:p w14:paraId="00CA1F3D">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（签名）</w:t>
      </w: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（签名）</w:t>
      </w:r>
    </w:p>
    <w:p w14:paraId="13050C33">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p>
    <w:p w14:paraId="10F4A0ED">
      <w:pPr>
        <w:widowControl/>
        <w:ind w:firstLine="2038" w:firstLineChars="846"/>
        <w:jc w:val="left"/>
        <w:rPr>
          <w:rFonts w:hint="eastAsia" w:ascii="宋体" w:hAnsi="宋体" w:eastAsia="宋体" w:cs="宋体"/>
          <w:b/>
          <w:snapToGrid w:val="0"/>
          <w:color w:val="auto"/>
          <w:kern w:val="0"/>
          <w:sz w:val="24"/>
          <w:highlight w:val="none"/>
        </w:rPr>
      </w:pPr>
    </w:p>
    <w:p w14:paraId="4BC6BDAF">
      <w:pPr>
        <w:widowControl/>
        <w:ind w:firstLine="2038" w:firstLineChars="846"/>
        <w:jc w:val="left"/>
        <w:rPr>
          <w:rFonts w:hint="eastAsia" w:ascii="宋体" w:hAnsi="宋体" w:eastAsia="宋体" w:cs="宋体"/>
          <w:b/>
          <w:snapToGrid w:val="0"/>
          <w:color w:val="auto"/>
          <w:kern w:val="0"/>
          <w:sz w:val="24"/>
          <w:highlight w:val="none"/>
        </w:rPr>
      </w:pPr>
    </w:p>
    <w:p w14:paraId="25DBAC5C">
      <w:pPr>
        <w:widowControl/>
        <w:ind w:firstLine="2038" w:firstLineChars="846"/>
        <w:jc w:val="left"/>
        <w:rPr>
          <w:rFonts w:hint="eastAsia" w:ascii="宋体" w:hAnsi="宋体" w:eastAsia="宋体" w:cs="宋体"/>
          <w:b/>
          <w:snapToGrid w:val="0"/>
          <w:color w:val="auto"/>
          <w:kern w:val="0"/>
          <w:sz w:val="24"/>
          <w:highlight w:val="none"/>
        </w:rPr>
      </w:pPr>
    </w:p>
    <w:p w14:paraId="51535B55">
      <w:pPr>
        <w:widowControl/>
        <w:ind w:firstLine="2038" w:firstLineChars="846"/>
        <w:jc w:val="left"/>
        <w:rPr>
          <w:rFonts w:hint="eastAsia" w:ascii="宋体" w:hAnsi="宋体" w:eastAsia="宋体" w:cs="宋体"/>
          <w:b/>
          <w:snapToGrid w:val="0"/>
          <w:color w:val="auto"/>
          <w:kern w:val="0"/>
          <w:sz w:val="24"/>
          <w:highlight w:val="none"/>
        </w:rPr>
      </w:pPr>
    </w:p>
    <w:p w14:paraId="461CE921">
      <w:pPr>
        <w:widowControl/>
        <w:ind w:firstLine="2038" w:firstLineChars="846"/>
        <w:jc w:val="left"/>
        <w:rPr>
          <w:rFonts w:hint="eastAsia" w:ascii="宋体" w:hAnsi="宋体" w:eastAsia="宋体" w:cs="宋体"/>
          <w:b/>
          <w:snapToGrid w:val="0"/>
          <w:color w:val="auto"/>
          <w:kern w:val="0"/>
          <w:sz w:val="24"/>
          <w:highlight w:val="none"/>
        </w:rPr>
      </w:pPr>
    </w:p>
    <w:p w14:paraId="2AECE742">
      <w:pPr>
        <w:widowControl/>
        <w:ind w:firstLine="2038" w:firstLineChars="846"/>
        <w:jc w:val="left"/>
        <w:rPr>
          <w:rFonts w:hint="eastAsia" w:ascii="宋体" w:hAnsi="宋体" w:eastAsia="宋体" w:cs="宋体"/>
          <w:b/>
          <w:snapToGrid w:val="0"/>
          <w:color w:val="auto"/>
          <w:kern w:val="0"/>
          <w:sz w:val="24"/>
          <w:highlight w:val="none"/>
        </w:rPr>
      </w:pPr>
    </w:p>
    <w:p w14:paraId="2F61F2ED">
      <w:pPr>
        <w:widowControl/>
        <w:ind w:firstLine="2038" w:firstLineChars="846"/>
        <w:jc w:val="left"/>
        <w:rPr>
          <w:rFonts w:hint="eastAsia" w:ascii="宋体" w:hAnsi="宋体" w:eastAsia="宋体" w:cs="宋体"/>
          <w:b/>
          <w:snapToGrid w:val="0"/>
          <w:color w:val="auto"/>
          <w:kern w:val="0"/>
          <w:sz w:val="24"/>
          <w:highlight w:val="none"/>
        </w:rPr>
      </w:pPr>
    </w:p>
    <w:p w14:paraId="2C089412">
      <w:pPr>
        <w:widowControl/>
        <w:ind w:firstLine="2038" w:firstLineChars="846"/>
        <w:jc w:val="left"/>
        <w:rPr>
          <w:rFonts w:hint="eastAsia" w:ascii="宋体" w:hAnsi="宋体" w:eastAsia="宋体" w:cs="宋体"/>
          <w:b/>
          <w:snapToGrid w:val="0"/>
          <w:color w:val="auto"/>
          <w:kern w:val="0"/>
          <w:sz w:val="24"/>
          <w:highlight w:val="none"/>
        </w:rPr>
      </w:pPr>
    </w:p>
    <w:p w14:paraId="6B6D08AB">
      <w:pPr>
        <w:widowControl/>
        <w:ind w:firstLine="2038" w:firstLineChars="846"/>
        <w:jc w:val="left"/>
        <w:rPr>
          <w:rFonts w:hint="eastAsia" w:ascii="宋体" w:hAnsi="宋体" w:eastAsia="宋体" w:cs="宋体"/>
          <w:b/>
          <w:snapToGrid w:val="0"/>
          <w:color w:val="auto"/>
          <w:kern w:val="0"/>
          <w:sz w:val="24"/>
          <w:highlight w:val="none"/>
        </w:rPr>
      </w:pPr>
    </w:p>
    <w:p w14:paraId="1A24A3E4">
      <w:pPr>
        <w:widowControl/>
        <w:ind w:firstLine="2038" w:firstLineChars="846"/>
        <w:jc w:val="left"/>
        <w:rPr>
          <w:rFonts w:hint="eastAsia" w:ascii="宋体" w:hAnsi="宋体" w:eastAsia="宋体" w:cs="宋体"/>
          <w:b/>
          <w:snapToGrid w:val="0"/>
          <w:color w:val="auto"/>
          <w:kern w:val="0"/>
          <w:sz w:val="24"/>
          <w:highlight w:val="none"/>
        </w:rPr>
      </w:pPr>
    </w:p>
    <w:p w14:paraId="0BC2D2AC">
      <w:pPr>
        <w:widowControl/>
        <w:ind w:firstLine="2038" w:firstLineChars="846"/>
        <w:jc w:val="left"/>
        <w:rPr>
          <w:rFonts w:hint="eastAsia" w:ascii="宋体" w:hAnsi="宋体" w:eastAsia="宋体" w:cs="宋体"/>
          <w:b/>
          <w:snapToGrid w:val="0"/>
          <w:color w:val="auto"/>
          <w:kern w:val="0"/>
          <w:sz w:val="24"/>
          <w:highlight w:val="none"/>
        </w:rPr>
      </w:pPr>
    </w:p>
    <w:p w14:paraId="2CD6D2FE">
      <w:pPr>
        <w:pStyle w:val="7"/>
        <w:spacing w:line="36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br w:type="page"/>
      </w:r>
      <w:bookmarkStart w:id="38" w:name="_Toc4208"/>
      <w:r>
        <w:rPr>
          <w:rFonts w:hint="eastAsia" w:ascii="宋体" w:hAnsi="宋体" w:eastAsia="宋体" w:cs="宋体"/>
          <w:b/>
          <w:bCs w:val="0"/>
          <w:color w:val="auto"/>
          <w:highlight w:val="none"/>
        </w:rPr>
        <w:t>安全生产协议书</w:t>
      </w:r>
      <w:bookmarkEnd w:id="38"/>
    </w:p>
    <w:p w14:paraId="26C51395">
      <w:pPr>
        <w:pStyle w:val="154"/>
        <w:spacing w:line="360" w:lineRule="auto"/>
        <w:ind w:firstLine="514" w:firstLineChars="245"/>
        <w:rPr>
          <w:rFonts w:hint="eastAsia" w:ascii="宋体" w:hAnsi="宋体" w:eastAsia="宋体" w:cs="宋体"/>
          <w:color w:val="auto"/>
          <w:szCs w:val="21"/>
          <w:highlight w:val="none"/>
        </w:rPr>
      </w:pPr>
    </w:p>
    <w:p w14:paraId="41D3E67D">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根据国务院《建设工程安全生产管理条例》，为在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施工监理服务合同的实施过程中切实搞好本工程的安全生产管理工作，业主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（以下简称“甲方”）与监理人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（以下简称“乙方”），签订如下安全监理责任合同。</w:t>
      </w:r>
    </w:p>
    <w:p w14:paraId="33CAFA52">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一、甲方职责</w:t>
      </w:r>
    </w:p>
    <w:p w14:paraId="0303E5EC">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1、严格遵守国家有关安全生产的法律法规，支持乙方按条例要求对规定的施工安全实施监理。</w:t>
      </w:r>
    </w:p>
    <w:p w14:paraId="1AB6DA6A">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2、按照“安全第一、预防为主”和坚持“管生产必须管安全”的原则进行安全生产管理，做到生产与安全工作同时计划、布置、检查、总结和评比。</w:t>
      </w:r>
    </w:p>
    <w:p w14:paraId="4D557784">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3、重要的安全设施必须坚持与主体工程“三同时”的原则，即：同时设计、审批，同时施工，同时验收，投入使用。</w:t>
      </w:r>
    </w:p>
    <w:p w14:paraId="31A599D8">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4、定期召开安全生产协调会，及时传达中央及地方有关安全生产的精神。</w:t>
      </w:r>
    </w:p>
    <w:p w14:paraId="182DC079">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5、组织对施工现场的安全生产检查，监督施工单位及时处理发现的各项安全隐患。</w:t>
      </w:r>
    </w:p>
    <w:p w14:paraId="585F62DC">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二、乙方职责</w:t>
      </w:r>
    </w:p>
    <w:p w14:paraId="0D5D6932">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1、督促施工单位严格遵守国家有关安全生产的法律法规、水利行业有关安全生产的规定，认真执行工程承包合同中的有关安全要求。</w:t>
      </w:r>
    </w:p>
    <w:p w14:paraId="3F823E45">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坚持“安全第一、预防为主”和“管生产必须管安全”的原则，督促施工单位加强安全生产宣传教育，增强全员安全生产意识，建立健全各项安全生产的管理机构和安全生产管理制度，配备专职及兼职安全检查人员，有组织有领导地开展安全生产活动。</w:t>
      </w:r>
    </w:p>
    <w:p w14:paraId="123BC062">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3、建立健全安全监理制度，加强安全知识教育培训，明确安全监理职责，增强安全意识。</w:t>
      </w:r>
    </w:p>
    <w:p w14:paraId="5D6D7240">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4、在审查施工组织设计的同时，要同步审查施工组织设计中的安全技术措施，审查专项施工方案是否符合工程建设强制性标准。</w:t>
      </w:r>
    </w:p>
    <w:p w14:paraId="3D2D27DA">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实施监理过程中，发现存在安全事故隐患的，应立即要求施工单位整改；情况严重的，应立即要求施工单位停止施工，并及时报告建设单位。施工单位拒不整改或不停止施工的，乙方应及时向有关主管部门报告。</w:t>
      </w:r>
    </w:p>
    <w:p w14:paraId="341F70BA">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6、乙方及其监理工程师应当按照法律、法规和工程建设强制性标准实施监理，并对建设工程安全生产承担监理责任。</w:t>
      </w:r>
    </w:p>
    <w:p w14:paraId="30C49789">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应督促施工单位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9A4BFAE">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三、违约责任</w:t>
      </w:r>
    </w:p>
    <w:p w14:paraId="46BE24BD">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如因甲方或乙方违约造成安全事故，将依法承担责任。</w:t>
      </w:r>
    </w:p>
    <w:p w14:paraId="08217A05">
      <w:pPr>
        <w:pStyle w:val="154"/>
        <w:spacing w:line="360" w:lineRule="auto"/>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本合同正本一式二份，副本六份，合同双方各执正本一份，副本三份。由双方法定代表人或其授权的代理人签署并加盖公章后生效，全部工程竣工验收后失效。</w:t>
      </w:r>
    </w:p>
    <w:p w14:paraId="2F2A84B9">
      <w:pPr>
        <w:pStyle w:val="154"/>
        <w:spacing w:line="360" w:lineRule="auto"/>
        <w:ind w:firstLine="514" w:firstLineChars="245"/>
        <w:rPr>
          <w:rFonts w:hint="eastAsia" w:ascii="宋体" w:hAnsi="宋体" w:eastAsia="宋体" w:cs="宋体"/>
          <w:color w:val="auto"/>
          <w:szCs w:val="21"/>
          <w:highlight w:val="none"/>
        </w:rPr>
      </w:pPr>
    </w:p>
    <w:p w14:paraId="3632666F">
      <w:pPr>
        <w:pStyle w:val="154"/>
        <w:spacing w:line="360" w:lineRule="auto"/>
        <w:ind w:firstLine="514" w:firstLineChars="245"/>
        <w:rPr>
          <w:rFonts w:hint="eastAsia" w:ascii="宋体" w:hAnsi="宋体" w:eastAsia="宋体" w:cs="宋体"/>
          <w:color w:val="auto"/>
          <w:szCs w:val="21"/>
          <w:highlight w:val="none"/>
        </w:rPr>
      </w:pPr>
    </w:p>
    <w:tbl>
      <w:tblPr>
        <w:tblStyle w:val="38"/>
        <w:tblW w:w="0" w:type="auto"/>
        <w:jc w:val="center"/>
        <w:tblLayout w:type="fixed"/>
        <w:tblCellMar>
          <w:top w:w="0" w:type="dxa"/>
          <w:left w:w="108" w:type="dxa"/>
          <w:bottom w:w="0" w:type="dxa"/>
          <w:right w:w="108" w:type="dxa"/>
        </w:tblCellMar>
      </w:tblPr>
      <w:tblGrid>
        <w:gridCol w:w="4702"/>
        <w:gridCol w:w="4729"/>
      </w:tblGrid>
      <w:tr w14:paraId="354793DF">
        <w:tblPrEx>
          <w:tblCellMar>
            <w:top w:w="0" w:type="dxa"/>
            <w:left w:w="108" w:type="dxa"/>
            <w:bottom w:w="0" w:type="dxa"/>
            <w:right w:w="108" w:type="dxa"/>
          </w:tblCellMar>
        </w:tblPrEx>
        <w:trPr>
          <w:trHeight w:val="1539" w:hRule="atLeast"/>
          <w:jc w:val="center"/>
        </w:trPr>
        <w:tc>
          <w:tcPr>
            <w:tcW w:w="4702" w:type="dxa"/>
            <w:noWrap w:val="0"/>
            <w:vAlign w:val="top"/>
          </w:tcPr>
          <w:p w14:paraId="56ACDCEA">
            <w:pPr>
              <w:pStyle w:val="157"/>
              <w:spacing w:line="360" w:lineRule="auto"/>
              <w:rPr>
                <w:rFonts w:hint="eastAsia" w:ascii="宋体" w:hAnsi="宋体" w:eastAsia="宋体" w:cs="宋体"/>
                <w:snapToGrid w:val="0"/>
                <w:color w:val="auto"/>
                <w:highlight w:val="none"/>
              </w:rPr>
            </w:pPr>
            <w:r>
              <w:rPr>
                <w:rFonts w:hint="eastAsia" w:ascii="宋体" w:hAnsi="宋体" w:eastAsia="宋体" w:cs="宋体"/>
                <w:color w:val="auto"/>
                <w:spacing w:val="-8"/>
                <w:highlight w:val="none"/>
              </w:rPr>
              <w:t>甲方</w:t>
            </w:r>
            <w:r>
              <w:rPr>
                <w:rFonts w:hint="eastAsia" w:ascii="宋体" w:hAnsi="宋体" w:eastAsia="宋体" w:cs="宋体"/>
                <w:snapToGrid w:val="0"/>
                <w:color w:val="auto"/>
                <w:highlight w:val="none"/>
              </w:rPr>
              <w:t>：</w:t>
            </w:r>
            <w:r>
              <w:rPr>
                <w:rFonts w:hint="eastAsia" w:ascii="宋体" w:hAnsi="宋体" w:eastAsia="宋体" w:cs="宋体"/>
                <w:b/>
                <w:color w:val="auto"/>
                <w:highlight w:val="none"/>
                <w:u w:val="single"/>
              </w:rPr>
              <w:t xml:space="preserve">                       </w:t>
            </w:r>
            <w:r>
              <w:rPr>
                <w:rFonts w:hint="eastAsia" w:ascii="宋体" w:hAnsi="宋体" w:eastAsia="宋体" w:cs="宋体"/>
                <w:snapToGrid w:val="0"/>
                <w:color w:val="auto"/>
                <w:highlight w:val="none"/>
              </w:rPr>
              <w:t>（盖章）</w:t>
            </w:r>
          </w:p>
          <w:p w14:paraId="2561BD83">
            <w:pPr>
              <w:pStyle w:val="157"/>
              <w:spacing w:line="360" w:lineRule="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法定代表人：</w:t>
            </w:r>
          </w:p>
          <w:p w14:paraId="6DD988CB">
            <w:pPr>
              <w:pStyle w:val="157"/>
              <w:spacing w:line="360" w:lineRule="auto"/>
              <w:rPr>
                <w:rFonts w:hint="eastAsia" w:ascii="宋体" w:hAnsi="宋体" w:eastAsia="宋体" w:cs="宋体"/>
                <w:snapToGrid w:val="0"/>
                <w:color w:val="auto"/>
                <w:highlight w:val="none"/>
                <w:u w:val="single"/>
              </w:rPr>
            </w:pPr>
            <w:r>
              <w:rPr>
                <w:rFonts w:hint="eastAsia" w:ascii="宋体" w:hAnsi="宋体" w:eastAsia="宋体" w:cs="宋体"/>
                <w:snapToGrid w:val="0"/>
                <w:color w:val="auto"/>
                <w:highlight w:val="none"/>
              </w:rPr>
              <w:t>或其委托代理人：</w:t>
            </w:r>
            <w:r>
              <w:rPr>
                <w:rFonts w:hint="eastAsia" w:ascii="宋体" w:hAnsi="宋体" w:eastAsia="宋体" w:cs="宋体"/>
                <w:snapToGrid w:val="0"/>
                <w:color w:val="auto"/>
                <w:highlight w:val="none"/>
                <w:u w:val="single"/>
              </w:rPr>
              <w:t xml:space="preserve">             （职务）</w:t>
            </w:r>
          </w:p>
          <w:p w14:paraId="6D479155">
            <w:pPr>
              <w:pStyle w:val="157"/>
              <w:spacing w:line="360" w:lineRule="auto"/>
              <w:rPr>
                <w:rFonts w:hint="eastAsia" w:ascii="宋体" w:hAnsi="宋体" w:eastAsia="宋体" w:cs="宋体"/>
                <w:snapToGrid w:val="0"/>
                <w:color w:val="auto"/>
                <w:highlight w:val="none"/>
              </w:rPr>
            </w:pPr>
          </w:p>
          <w:p w14:paraId="137D30F7">
            <w:pPr>
              <w:pStyle w:val="157"/>
              <w:spacing w:line="360" w:lineRule="auto"/>
              <w:jc w:val="right"/>
              <w:rPr>
                <w:rFonts w:hint="eastAsia" w:ascii="宋体" w:hAnsi="宋体" w:eastAsia="宋体" w:cs="宋体"/>
                <w:snapToGrid w:val="0"/>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w:t>
            </w:r>
          </w:p>
        </w:tc>
        <w:tc>
          <w:tcPr>
            <w:tcW w:w="4729" w:type="dxa"/>
            <w:noWrap w:val="0"/>
            <w:vAlign w:val="top"/>
          </w:tcPr>
          <w:p w14:paraId="33F38DAA">
            <w:pPr>
              <w:pStyle w:val="157"/>
              <w:spacing w:line="360" w:lineRule="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乙方：</w:t>
            </w:r>
            <w:r>
              <w:rPr>
                <w:rFonts w:hint="eastAsia" w:ascii="宋体" w:hAnsi="宋体" w:eastAsia="宋体" w:cs="宋体"/>
                <w:b/>
                <w:snapToGrid w:val="0"/>
                <w:color w:val="auto"/>
                <w:highlight w:val="none"/>
                <w:u w:val="single"/>
              </w:rPr>
              <w:t xml:space="preserve">                       </w:t>
            </w:r>
            <w:r>
              <w:rPr>
                <w:rFonts w:hint="eastAsia" w:ascii="宋体" w:hAnsi="宋体" w:eastAsia="宋体" w:cs="宋体"/>
                <w:snapToGrid w:val="0"/>
                <w:color w:val="auto"/>
                <w:highlight w:val="none"/>
              </w:rPr>
              <w:t>（盖章）</w:t>
            </w:r>
          </w:p>
          <w:p w14:paraId="2204F719">
            <w:pPr>
              <w:pStyle w:val="157"/>
              <w:spacing w:line="360" w:lineRule="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法定代表人：</w:t>
            </w:r>
          </w:p>
          <w:p w14:paraId="267940FD">
            <w:pPr>
              <w:pStyle w:val="157"/>
              <w:spacing w:line="360" w:lineRule="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或其委托代理人：</w:t>
            </w:r>
            <w:r>
              <w:rPr>
                <w:rFonts w:hint="eastAsia" w:ascii="宋体" w:hAnsi="宋体" w:eastAsia="宋体" w:cs="宋体"/>
                <w:snapToGrid w:val="0"/>
                <w:color w:val="auto"/>
                <w:highlight w:val="none"/>
                <w:u w:val="single"/>
              </w:rPr>
              <w:t xml:space="preserve">             （职务）</w:t>
            </w:r>
          </w:p>
          <w:p w14:paraId="7BBCC868">
            <w:pPr>
              <w:pStyle w:val="157"/>
              <w:spacing w:line="360" w:lineRule="auto"/>
              <w:ind w:firstLine="1680" w:firstLineChars="800"/>
              <w:rPr>
                <w:rFonts w:hint="eastAsia" w:ascii="宋体" w:hAnsi="宋体" w:eastAsia="宋体" w:cs="宋体"/>
                <w:snapToGrid w:val="0"/>
                <w:color w:val="auto"/>
                <w:highlight w:val="none"/>
              </w:rPr>
            </w:pPr>
          </w:p>
          <w:p w14:paraId="043FA86F">
            <w:pPr>
              <w:pStyle w:val="157"/>
              <w:spacing w:line="360" w:lineRule="auto"/>
              <w:jc w:val="right"/>
              <w:rPr>
                <w:rFonts w:hint="eastAsia" w:ascii="宋体" w:hAnsi="宋体" w:eastAsia="宋体" w:cs="宋体"/>
                <w:color w:val="auto"/>
                <w:spacing w:val="5"/>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r>
    </w:tbl>
    <w:p w14:paraId="62C9C5C4">
      <w:pPr>
        <w:pStyle w:val="21"/>
        <w:spacing w:line="360" w:lineRule="auto"/>
        <w:jc w:val="center"/>
        <w:outlineLvl w:val="0"/>
        <w:rPr>
          <w:rFonts w:hint="eastAsia" w:ascii="宋体" w:hAnsi="宋体" w:eastAsia="宋体" w:cs="宋体"/>
          <w:b/>
          <w:color w:val="auto"/>
          <w:sz w:val="44"/>
          <w:szCs w:val="44"/>
          <w:highlight w:val="none"/>
        </w:rPr>
      </w:pPr>
    </w:p>
    <w:p w14:paraId="70D00228">
      <w:pPr>
        <w:pStyle w:val="50"/>
        <w:rPr>
          <w:rFonts w:hint="eastAsia"/>
          <w:b/>
          <w:color w:val="auto"/>
          <w:sz w:val="36"/>
          <w:szCs w:val="36"/>
          <w:highlight w:val="none"/>
        </w:rPr>
      </w:pPr>
    </w:p>
    <w:p w14:paraId="378D17EB">
      <w:pPr>
        <w:pStyle w:val="50"/>
        <w:rPr>
          <w:rFonts w:hint="eastAsia"/>
          <w:b/>
          <w:color w:val="auto"/>
          <w:sz w:val="36"/>
          <w:szCs w:val="36"/>
          <w:highlight w:val="none"/>
        </w:rPr>
      </w:pPr>
    </w:p>
    <w:p w14:paraId="7B6ED44C">
      <w:pPr>
        <w:pStyle w:val="50"/>
        <w:rPr>
          <w:rFonts w:hint="eastAsia"/>
          <w:b/>
          <w:color w:val="auto"/>
          <w:sz w:val="36"/>
          <w:szCs w:val="36"/>
          <w:highlight w:val="none"/>
        </w:rPr>
      </w:pPr>
    </w:p>
    <w:p w14:paraId="3A8E6B5A">
      <w:pPr>
        <w:jc w:val="center"/>
        <w:rPr>
          <w:rFonts w:hint="eastAsia"/>
          <w:b/>
          <w:color w:val="auto"/>
          <w:sz w:val="36"/>
          <w:szCs w:val="36"/>
          <w:highlight w:val="none"/>
        </w:rPr>
      </w:pPr>
    </w:p>
    <w:p w14:paraId="38F1B860">
      <w:pPr>
        <w:pStyle w:val="153"/>
        <w:rPr>
          <w:rFonts w:hint="eastAsia"/>
          <w:b/>
          <w:color w:val="auto"/>
          <w:sz w:val="36"/>
          <w:szCs w:val="36"/>
          <w:highlight w:val="none"/>
        </w:rPr>
      </w:pPr>
    </w:p>
    <w:p w14:paraId="7279D3B3">
      <w:pPr>
        <w:pStyle w:val="153"/>
        <w:rPr>
          <w:rFonts w:hint="eastAsia"/>
          <w:b/>
          <w:color w:val="auto"/>
          <w:sz w:val="36"/>
          <w:szCs w:val="36"/>
          <w:highlight w:val="none"/>
        </w:rPr>
      </w:pPr>
    </w:p>
    <w:p w14:paraId="18B8EF0C">
      <w:pPr>
        <w:pStyle w:val="153"/>
        <w:rPr>
          <w:rFonts w:hint="eastAsia"/>
          <w:b/>
          <w:color w:val="auto"/>
          <w:sz w:val="36"/>
          <w:szCs w:val="36"/>
          <w:highlight w:val="none"/>
        </w:rPr>
      </w:pPr>
    </w:p>
    <w:p w14:paraId="2F3246C5">
      <w:pPr>
        <w:pStyle w:val="153"/>
        <w:rPr>
          <w:rFonts w:hint="eastAsia"/>
          <w:b/>
          <w:color w:val="auto"/>
          <w:sz w:val="36"/>
          <w:szCs w:val="36"/>
          <w:highlight w:val="none"/>
        </w:rPr>
      </w:pPr>
    </w:p>
    <w:p w14:paraId="7E854358">
      <w:pPr>
        <w:pStyle w:val="153"/>
        <w:rPr>
          <w:rFonts w:hint="eastAsia"/>
          <w:b/>
          <w:color w:val="auto"/>
          <w:sz w:val="36"/>
          <w:szCs w:val="36"/>
          <w:highlight w:val="none"/>
        </w:rPr>
      </w:pPr>
    </w:p>
    <w:p w14:paraId="441F3312">
      <w:pPr>
        <w:pStyle w:val="153"/>
        <w:rPr>
          <w:rFonts w:hint="eastAsia"/>
          <w:b/>
          <w:color w:val="auto"/>
          <w:sz w:val="36"/>
          <w:szCs w:val="36"/>
          <w:highlight w:val="none"/>
        </w:rPr>
      </w:pPr>
    </w:p>
    <w:p w14:paraId="21BA91AB">
      <w:pPr>
        <w:pStyle w:val="153"/>
        <w:rPr>
          <w:rFonts w:hint="eastAsia"/>
          <w:b/>
          <w:color w:val="auto"/>
          <w:sz w:val="36"/>
          <w:szCs w:val="36"/>
          <w:highlight w:val="none"/>
        </w:rPr>
      </w:pPr>
    </w:p>
    <w:p w14:paraId="3926B913">
      <w:pPr>
        <w:pStyle w:val="153"/>
        <w:rPr>
          <w:rFonts w:hint="eastAsia"/>
          <w:b/>
          <w:color w:val="auto"/>
          <w:sz w:val="36"/>
          <w:szCs w:val="36"/>
          <w:highlight w:val="none"/>
        </w:rPr>
      </w:pPr>
    </w:p>
    <w:p w14:paraId="01ABFAAF">
      <w:pPr>
        <w:pStyle w:val="153"/>
        <w:rPr>
          <w:rFonts w:hint="eastAsia"/>
          <w:b/>
          <w:color w:val="auto"/>
          <w:sz w:val="36"/>
          <w:szCs w:val="36"/>
          <w:highlight w:val="none"/>
        </w:rPr>
      </w:pPr>
    </w:p>
    <w:p w14:paraId="10A72BE1">
      <w:pPr>
        <w:pStyle w:val="153"/>
        <w:rPr>
          <w:rFonts w:hint="eastAsia"/>
          <w:b/>
          <w:color w:val="auto"/>
          <w:sz w:val="36"/>
          <w:szCs w:val="36"/>
          <w:highlight w:val="none"/>
        </w:rPr>
      </w:pPr>
    </w:p>
    <w:p w14:paraId="7F96AB63">
      <w:pPr>
        <w:jc w:val="center"/>
        <w:rPr>
          <w:b/>
          <w:color w:val="auto"/>
          <w:sz w:val="36"/>
          <w:szCs w:val="36"/>
          <w:highlight w:val="none"/>
        </w:rPr>
      </w:pPr>
      <w:r>
        <w:rPr>
          <w:rFonts w:hint="eastAsia"/>
          <w:b/>
          <w:color w:val="auto"/>
          <w:sz w:val="36"/>
          <w:szCs w:val="36"/>
          <w:highlight w:val="none"/>
        </w:rPr>
        <w:t>第六章：响应文件格式附件</w:t>
      </w:r>
    </w:p>
    <w:p w14:paraId="036F475C">
      <w:pPr>
        <w:jc w:val="center"/>
        <w:rPr>
          <w:b/>
          <w:color w:val="auto"/>
          <w:sz w:val="36"/>
          <w:szCs w:val="36"/>
          <w:highlight w:val="none"/>
        </w:rPr>
      </w:pPr>
    </w:p>
    <w:p w14:paraId="47EB3AC7">
      <w:pPr>
        <w:pStyle w:val="49"/>
        <w:rPr>
          <w:color w:val="auto"/>
        </w:rPr>
      </w:pPr>
    </w:p>
    <w:p w14:paraId="6F1C285F">
      <w:pPr>
        <w:jc w:val="center"/>
        <w:rPr>
          <w:b/>
          <w:color w:val="auto"/>
          <w:sz w:val="36"/>
          <w:szCs w:val="36"/>
          <w:highlight w:val="none"/>
        </w:rPr>
      </w:pPr>
    </w:p>
    <w:p w14:paraId="396BC24B">
      <w:pPr>
        <w:jc w:val="center"/>
        <w:rPr>
          <w:b/>
          <w:color w:val="auto"/>
          <w:sz w:val="36"/>
          <w:szCs w:val="36"/>
          <w:highlight w:val="none"/>
        </w:rPr>
      </w:pPr>
    </w:p>
    <w:p w14:paraId="04704ED5">
      <w:pPr>
        <w:jc w:val="center"/>
        <w:rPr>
          <w:b/>
          <w:color w:val="auto"/>
          <w:sz w:val="36"/>
          <w:szCs w:val="36"/>
          <w:highlight w:val="none"/>
        </w:rPr>
      </w:pPr>
    </w:p>
    <w:p w14:paraId="14A65074">
      <w:pPr>
        <w:jc w:val="center"/>
        <w:rPr>
          <w:b/>
          <w:color w:val="auto"/>
          <w:sz w:val="36"/>
          <w:szCs w:val="36"/>
          <w:highlight w:val="none"/>
        </w:rPr>
      </w:pPr>
    </w:p>
    <w:p w14:paraId="183E3658">
      <w:pPr>
        <w:jc w:val="center"/>
        <w:rPr>
          <w:b/>
          <w:color w:val="auto"/>
          <w:sz w:val="36"/>
          <w:szCs w:val="36"/>
          <w:highlight w:val="none"/>
        </w:rPr>
      </w:pPr>
    </w:p>
    <w:p w14:paraId="6E2C7424">
      <w:pPr>
        <w:jc w:val="center"/>
        <w:rPr>
          <w:b/>
          <w:color w:val="auto"/>
          <w:sz w:val="36"/>
          <w:szCs w:val="36"/>
          <w:highlight w:val="none"/>
        </w:rPr>
      </w:pPr>
    </w:p>
    <w:p w14:paraId="35552368">
      <w:pPr>
        <w:jc w:val="center"/>
        <w:rPr>
          <w:b/>
          <w:color w:val="auto"/>
          <w:sz w:val="36"/>
          <w:szCs w:val="36"/>
          <w:highlight w:val="none"/>
        </w:rPr>
      </w:pPr>
    </w:p>
    <w:p w14:paraId="08D97D5A">
      <w:pPr>
        <w:jc w:val="center"/>
        <w:rPr>
          <w:b/>
          <w:color w:val="auto"/>
          <w:sz w:val="36"/>
          <w:szCs w:val="36"/>
          <w:highlight w:val="none"/>
        </w:rPr>
      </w:pPr>
    </w:p>
    <w:p w14:paraId="1A4CBF43">
      <w:pPr>
        <w:jc w:val="center"/>
        <w:rPr>
          <w:b/>
          <w:color w:val="auto"/>
          <w:sz w:val="36"/>
          <w:szCs w:val="36"/>
          <w:highlight w:val="none"/>
        </w:rPr>
      </w:pPr>
    </w:p>
    <w:p w14:paraId="43B04380">
      <w:pPr>
        <w:jc w:val="center"/>
        <w:rPr>
          <w:b/>
          <w:color w:val="auto"/>
          <w:sz w:val="36"/>
          <w:szCs w:val="36"/>
          <w:highlight w:val="none"/>
        </w:rPr>
      </w:pPr>
    </w:p>
    <w:p w14:paraId="13960E8B">
      <w:pPr>
        <w:jc w:val="center"/>
        <w:rPr>
          <w:b/>
          <w:color w:val="auto"/>
          <w:sz w:val="36"/>
          <w:szCs w:val="36"/>
          <w:highlight w:val="none"/>
        </w:rPr>
      </w:pPr>
    </w:p>
    <w:p w14:paraId="30C0C271">
      <w:pPr>
        <w:jc w:val="center"/>
        <w:rPr>
          <w:b/>
          <w:color w:val="auto"/>
          <w:sz w:val="36"/>
          <w:szCs w:val="36"/>
          <w:highlight w:val="none"/>
        </w:rPr>
      </w:pPr>
    </w:p>
    <w:p w14:paraId="4F345DF5">
      <w:pPr>
        <w:jc w:val="center"/>
        <w:rPr>
          <w:b/>
          <w:color w:val="auto"/>
          <w:sz w:val="36"/>
          <w:szCs w:val="36"/>
          <w:highlight w:val="none"/>
        </w:rPr>
      </w:pPr>
    </w:p>
    <w:p w14:paraId="74FC8C06">
      <w:pPr>
        <w:jc w:val="center"/>
        <w:rPr>
          <w:b/>
          <w:color w:val="auto"/>
          <w:sz w:val="36"/>
          <w:szCs w:val="36"/>
          <w:highlight w:val="none"/>
        </w:rPr>
      </w:pPr>
    </w:p>
    <w:p w14:paraId="53CEB91C">
      <w:pPr>
        <w:pStyle w:val="49"/>
        <w:rPr>
          <w:color w:val="auto"/>
        </w:rPr>
      </w:pPr>
    </w:p>
    <w:p w14:paraId="6792B7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077A5BFB">
      <w:pPr>
        <w:snapToGrid w:val="0"/>
        <w:spacing w:before="120" w:beforeLines="50" w:after="50" w:line="360" w:lineRule="auto"/>
        <w:ind w:firstLine="482" w:firstLineChars="200"/>
        <w:jc w:val="center"/>
        <w:rPr>
          <w:rStyle w:val="44"/>
          <w:rFonts w:hint="eastAsia" w:ascii="宋体" w:hAnsi="宋体" w:eastAsia="宋体" w:cs="宋体"/>
          <w:b/>
          <w:color w:val="auto"/>
          <w:sz w:val="24"/>
          <w:highlight w:val="none"/>
          <w:u w:val="none"/>
        </w:rPr>
      </w:pPr>
      <w:r>
        <w:rPr>
          <w:rStyle w:val="44"/>
          <w:rFonts w:hint="eastAsia" w:ascii="宋体" w:hAnsi="宋体" w:eastAsia="宋体" w:cs="宋体"/>
          <w:b/>
          <w:color w:val="auto"/>
          <w:sz w:val="24"/>
          <w:highlight w:val="none"/>
          <w:u w:val="none"/>
        </w:rPr>
        <w:t>磋商声明书</w:t>
      </w:r>
    </w:p>
    <w:p w14:paraId="37C3E057">
      <w:pPr>
        <w:snapToGrid w:val="0"/>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仙居县水利工程投资建设开发有限公司</w:t>
      </w:r>
      <w:r>
        <w:rPr>
          <w:rFonts w:hint="eastAsia" w:ascii="宋体" w:hAnsi="宋体" w:eastAsia="宋体" w:cs="宋体"/>
          <w:color w:val="auto"/>
          <w:sz w:val="24"/>
          <w:highlight w:val="none"/>
          <w:u w:val="single"/>
        </w:rPr>
        <w:t>、仙居县鸿信工程咨询有限公司</w:t>
      </w:r>
      <w:r>
        <w:rPr>
          <w:rFonts w:hint="eastAsia" w:ascii="宋体" w:hAnsi="宋体" w:eastAsia="宋体" w:cs="宋体"/>
          <w:color w:val="auto"/>
          <w:kern w:val="0"/>
          <w:sz w:val="24"/>
          <w:highlight w:val="none"/>
        </w:rPr>
        <w:t>：</w:t>
      </w:r>
    </w:p>
    <w:p w14:paraId="1891890A">
      <w:pPr>
        <w:snapToGrid w:val="0"/>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系中华人民共和国合法企业，经营地址为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693E5F6">
      <w:pPr>
        <w:snapToGrid w:val="0"/>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u w:val="single"/>
        </w:rPr>
        <w:t xml:space="preserve">     姓名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供应商名称    </w:t>
      </w:r>
      <w:r>
        <w:rPr>
          <w:rFonts w:hint="eastAsia" w:ascii="宋体" w:hAnsi="宋体" w:eastAsia="宋体" w:cs="宋体"/>
          <w:color w:val="auto"/>
          <w:kern w:val="0"/>
          <w:sz w:val="24"/>
          <w:highlight w:val="none"/>
        </w:rPr>
        <w:t>）的法定代表人，我公司自愿参加贵方组织的</w:t>
      </w:r>
      <w:r>
        <w:rPr>
          <w:rFonts w:hint="eastAsia" w:ascii="宋体" w:hAnsi="宋体" w:eastAsia="宋体" w:cs="宋体"/>
          <w:color w:val="auto"/>
          <w:kern w:val="0"/>
          <w:sz w:val="24"/>
          <w:highlight w:val="none"/>
          <w:u w:val="single"/>
          <w:lang w:eastAsia="zh-CN"/>
        </w:rPr>
        <w:t>仙居县生态共富小流域水土流失综合治理项目（大战岙溪、桐山溪、大洪港、东坑小流域）（EPC工程总承包）（监理）</w:t>
      </w:r>
      <w:r>
        <w:rPr>
          <w:rFonts w:hint="eastAsia" w:ascii="宋体" w:hAnsi="宋体" w:eastAsia="宋体" w:cs="宋体"/>
          <w:color w:val="auto"/>
          <w:kern w:val="0"/>
          <w:sz w:val="24"/>
          <w:highlight w:val="none"/>
        </w:rPr>
        <w:t>[编号：</w:t>
      </w:r>
      <w:r>
        <w:rPr>
          <w:rFonts w:hint="eastAsia" w:ascii="宋体" w:hAnsi="宋体" w:cs="宋体"/>
          <w:color w:val="auto"/>
          <w:kern w:val="0"/>
          <w:sz w:val="24"/>
          <w:highlight w:val="none"/>
          <w:u w:val="single"/>
          <w:lang w:eastAsia="zh-CN"/>
        </w:rPr>
        <w:t>HXZX（仙）-2025-04</w:t>
      </w:r>
      <w:r>
        <w:rPr>
          <w:rFonts w:hint="eastAsia" w:ascii="宋体" w:hAnsi="宋体" w:eastAsia="宋体" w:cs="宋体"/>
          <w:color w:val="auto"/>
          <w:kern w:val="0"/>
          <w:sz w:val="24"/>
          <w:highlight w:val="none"/>
        </w:rPr>
        <w:t>]的磋商，为此，我公司就本次磋商有关事项郑重声明如下：</w:t>
      </w:r>
    </w:p>
    <w:p w14:paraId="7CECF51E">
      <w:pPr>
        <w:snapToGrid w:val="0"/>
        <w:spacing w:line="460" w:lineRule="exact"/>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7009FD8C">
      <w:pPr>
        <w:snapToGrid w:val="0"/>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27C339BF">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不是采购人的附属机构；在获知本项目采购信息后，与采购人聘请的为此项目提供咨询服务的公司及其附属机构没有任何联系。</w:t>
      </w:r>
    </w:p>
    <w:p w14:paraId="662C75F5">
      <w:pPr>
        <w:snapToGrid w:val="0"/>
        <w:spacing w:line="460" w:lineRule="exact"/>
        <w:ind w:firstLine="480" w:firstLineChars="200"/>
        <w:rPr>
          <w:rFonts w:hint="eastAsia" w:ascii="宋体" w:hAnsi="宋体" w:eastAsia="宋体" w:cs="宋体"/>
          <w:color w:val="auto"/>
          <w:kern w:val="0"/>
          <w:sz w:val="24"/>
          <w:highlight w:val="none"/>
          <w:lang w:val="af-ZA"/>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采购人在中华人民共和国境内使用</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0E7EBA0">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af-ZA"/>
        </w:rPr>
        <w:t>5、我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严格履行政府采购合同，不降低合同约定的产品质量和服务，不擅自变更、中止、终止合同，或拒绝履行合同义务；</w:t>
      </w:r>
    </w:p>
    <w:p w14:paraId="67016BCC">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6、以上事项如有虚假或隐瞒，我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愿意承担一切后果，并不再寻求任何旨在减轻或免除法律责任的辩解。</w:t>
      </w:r>
    </w:p>
    <w:p w14:paraId="7A2444F9">
      <w:pPr>
        <w:adjustRightInd w:val="0"/>
        <w:snapToGrid w:val="0"/>
        <w:spacing w:line="360" w:lineRule="auto"/>
        <w:ind w:firstLine="480"/>
        <w:rPr>
          <w:rFonts w:hint="eastAsia" w:ascii="宋体" w:hAnsi="宋体" w:eastAsia="宋体" w:cs="宋体"/>
          <w:color w:val="auto"/>
          <w:kern w:val="0"/>
          <w:sz w:val="24"/>
          <w:highlight w:val="none"/>
        </w:rPr>
      </w:pPr>
    </w:p>
    <w:p w14:paraId="605F209A">
      <w:pPr>
        <w:adjustRightInd w:val="0"/>
        <w:snapToGrid w:val="0"/>
        <w:spacing w:line="360" w:lineRule="auto"/>
        <w:ind w:firstLine="4680" w:firstLineChars="19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rPr>
        <w:t>磋商供应商</w:t>
      </w:r>
      <w:r>
        <w:rPr>
          <w:rFonts w:hint="eastAsia" w:ascii="宋体" w:hAnsi="宋体" w:eastAsia="宋体" w:cs="宋体"/>
          <w:color w:val="auto"/>
          <w:kern w:val="0"/>
          <w:sz w:val="24"/>
          <w:highlight w:val="none"/>
          <w:lang w:val="zh-CN"/>
        </w:rPr>
        <w:t>名称(公章)：</w:t>
      </w:r>
    </w:p>
    <w:p w14:paraId="2AA0857D">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14:paraId="33120386">
      <w:pPr>
        <w:adjustRightInd w:val="0"/>
        <w:snapToGrid w:val="0"/>
        <w:spacing w:line="360" w:lineRule="auto"/>
        <w:ind w:right="126"/>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    日期：     年   月   日</w:t>
      </w:r>
    </w:p>
    <w:p w14:paraId="03187A6D">
      <w:pPr>
        <w:adjustRightInd w:val="0"/>
        <w:snapToGrid w:val="0"/>
        <w:spacing w:line="360" w:lineRule="auto"/>
        <w:ind w:right="480"/>
        <w:jc w:val="center"/>
        <w:rPr>
          <w:rFonts w:hint="eastAsia" w:ascii="宋体" w:hAnsi="宋体" w:eastAsia="宋体" w:cs="宋体"/>
          <w:color w:val="auto"/>
          <w:kern w:val="0"/>
          <w:sz w:val="24"/>
          <w:highlight w:val="none"/>
          <w:lang w:val="zh-CN"/>
        </w:rPr>
      </w:pPr>
    </w:p>
    <w:p w14:paraId="4D763D1B">
      <w:pPr>
        <w:adjustRightInd w:val="0"/>
        <w:snapToGrid w:val="0"/>
        <w:spacing w:line="360" w:lineRule="auto"/>
        <w:ind w:right="480"/>
        <w:rPr>
          <w:rFonts w:hint="eastAsia" w:ascii="宋体" w:hAnsi="宋体" w:eastAsia="宋体" w:cs="宋体"/>
          <w:b/>
          <w:color w:val="auto"/>
          <w:sz w:val="24"/>
          <w:highlight w:val="none"/>
        </w:rPr>
      </w:pPr>
    </w:p>
    <w:p w14:paraId="5E7FC180">
      <w:pPr>
        <w:adjustRightInd w:val="0"/>
        <w:snapToGrid w:val="0"/>
        <w:spacing w:line="360" w:lineRule="auto"/>
        <w:ind w:right="-94"/>
        <w:rPr>
          <w:rFonts w:hint="eastAsia" w:ascii="宋体" w:hAnsi="宋体" w:eastAsia="宋体" w:cs="宋体"/>
          <w:b/>
          <w:color w:val="auto"/>
          <w:sz w:val="30"/>
          <w:szCs w:val="30"/>
          <w:highlight w:val="none"/>
        </w:rPr>
      </w:pPr>
      <w:r>
        <w:rPr>
          <w:rFonts w:hint="eastAsia" w:ascii="宋体" w:hAnsi="宋体" w:eastAsia="宋体" w:cs="宋体"/>
          <w:b/>
          <w:color w:val="auto"/>
          <w:sz w:val="24"/>
          <w:highlight w:val="none"/>
        </w:rPr>
        <w:t>附件2：</w:t>
      </w:r>
      <w:r>
        <w:rPr>
          <w:rFonts w:hint="eastAsia" w:ascii="宋体" w:hAnsi="宋体" w:eastAsia="宋体" w:cs="宋体"/>
          <w:b/>
          <w:color w:val="auto"/>
          <w:kern w:val="0"/>
          <w:sz w:val="24"/>
          <w:highlight w:val="none"/>
        </w:rPr>
        <w:t>【以下2张表式中，表（1）、（2）为二选一，投标人须根据自身情况提供】</w:t>
      </w:r>
    </w:p>
    <w:p w14:paraId="2EBEB952">
      <w:pPr>
        <w:spacing w:line="360" w:lineRule="auto"/>
        <w:ind w:firstLine="241" w:firstLine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14:paraId="5EAD2869">
      <w:pPr>
        <w:ind w:firstLine="2205" w:firstLineChars="1050"/>
        <w:rPr>
          <w:rFonts w:hint="eastAsia" w:ascii="宋体" w:hAnsi="宋体" w:eastAsia="宋体" w:cs="宋体"/>
          <w:snapToGrid w:val="0"/>
          <w:color w:val="auto"/>
          <w:highlight w:val="none"/>
        </w:rPr>
      </w:pPr>
    </w:p>
    <w:p w14:paraId="77CC9821">
      <w:pPr>
        <w:adjustRightInd w:val="0"/>
        <w:spacing w:line="5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仙居县水利工程投资建设开发有限公司</w:t>
      </w:r>
      <w:r>
        <w:rPr>
          <w:rFonts w:hint="eastAsia" w:ascii="宋体" w:hAnsi="宋体" w:eastAsia="宋体" w:cs="宋体"/>
          <w:color w:val="auto"/>
          <w:sz w:val="24"/>
          <w:highlight w:val="none"/>
          <w:u w:val="single"/>
        </w:rPr>
        <w:t>、仙居县鸿信工程咨询有限公司</w:t>
      </w:r>
      <w:r>
        <w:rPr>
          <w:rFonts w:hint="eastAsia" w:ascii="宋体" w:hAnsi="宋体" w:eastAsia="宋体" w:cs="宋体"/>
          <w:color w:val="auto"/>
          <w:sz w:val="24"/>
          <w:highlight w:val="none"/>
        </w:rPr>
        <w:t>：</w:t>
      </w:r>
    </w:p>
    <w:p w14:paraId="0AEA17B5">
      <w:pPr>
        <w:spacing w:line="540" w:lineRule="exact"/>
        <w:ind w:firstLine="528" w:firstLineChars="200"/>
        <w:jc w:val="left"/>
        <w:rPr>
          <w:rFonts w:hint="eastAsia" w:ascii="宋体" w:hAnsi="宋体" w:eastAsia="宋体" w:cs="宋体"/>
          <w:snapToGrid w:val="0"/>
          <w:color w:val="auto"/>
          <w:sz w:val="24"/>
          <w:highlight w:val="none"/>
        </w:rPr>
      </w:pPr>
      <w:r>
        <w:rPr>
          <w:rFonts w:hint="eastAsia" w:ascii="宋体" w:hAnsi="宋体" w:eastAsia="宋体" w:cs="宋体"/>
          <w:snapToGrid w:val="0"/>
          <w:color w:val="auto"/>
          <w:spacing w:val="12"/>
          <w:sz w:val="24"/>
          <w:highlight w:val="none"/>
          <w:u w:val="single"/>
        </w:rPr>
        <w:t xml:space="preserve">  （法定代表人或营业执照中单位负责人姓名）  </w:t>
      </w:r>
      <w:r>
        <w:rPr>
          <w:rFonts w:hint="eastAsia" w:ascii="宋体" w:hAnsi="宋体" w:eastAsia="宋体" w:cs="宋体"/>
          <w:snapToGrid w:val="0"/>
          <w:color w:val="auto"/>
          <w:spacing w:val="12"/>
          <w:sz w:val="24"/>
          <w:highlight w:val="none"/>
        </w:rPr>
        <w:t>系</w:t>
      </w:r>
      <w:r>
        <w:rPr>
          <w:rFonts w:hint="eastAsia" w:ascii="宋体" w:hAnsi="宋体" w:eastAsia="宋体" w:cs="宋体"/>
          <w:snapToGrid w:val="0"/>
          <w:color w:val="auto"/>
          <w:spacing w:val="12"/>
          <w:sz w:val="24"/>
          <w:highlight w:val="none"/>
          <w:u w:val="single"/>
        </w:rPr>
        <w:t xml:space="preserve">  （投标人全称）  </w:t>
      </w:r>
      <w:r>
        <w:rPr>
          <w:rFonts w:hint="eastAsia" w:ascii="宋体" w:hAnsi="宋体" w:eastAsia="宋体" w:cs="宋体"/>
          <w:snapToGrid w:val="0"/>
          <w:color w:val="auto"/>
          <w:spacing w:val="12"/>
          <w:sz w:val="24"/>
          <w:highlight w:val="none"/>
        </w:rPr>
        <w:t>的法定代表人（或营业执照中单位负责人），身份证号码为</w:t>
      </w:r>
      <w:r>
        <w:rPr>
          <w:rFonts w:hint="eastAsia" w:ascii="宋体" w:hAnsi="宋体" w:eastAsia="宋体" w:cs="宋体"/>
          <w:snapToGrid w:val="0"/>
          <w:color w:val="auto"/>
          <w:spacing w:val="12"/>
          <w:sz w:val="24"/>
          <w:highlight w:val="none"/>
          <w:u w:val="single"/>
        </w:rPr>
        <w:t xml:space="preserve">                </w:t>
      </w:r>
      <w:r>
        <w:rPr>
          <w:rFonts w:hint="eastAsia" w:ascii="宋体" w:hAnsi="宋体" w:eastAsia="宋体" w:cs="宋体"/>
          <w:snapToGrid w:val="0"/>
          <w:color w:val="auto"/>
          <w:sz w:val="24"/>
          <w:highlight w:val="none"/>
        </w:rPr>
        <w:t>。</w:t>
      </w:r>
    </w:p>
    <w:p w14:paraId="3E671015">
      <w:pPr>
        <w:spacing w:line="54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特此证明。</w:t>
      </w:r>
    </w:p>
    <w:p w14:paraId="28AD0B13">
      <w:pPr>
        <w:spacing w:line="540" w:lineRule="exact"/>
        <w:rPr>
          <w:rFonts w:hint="eastAsia" w:ascii="宋体" w:hAnsi="宋体" w:eastAsia="宋体" w:cs="宋体"/>
          <w:b/>
          <w:bCs/>
          <w:color w:val="auto"/>
          <w:kern w:val="0"/>
          <w:sz w:val="24"/>
          <w:szCs w:val="20"/>
          <w:highlight w:val="none"/>
        </w:rPr>
      </w:pPr>
    </w:p>
    <w:p w14:paraId="11E333E0">
      <w:pPr>
        <w:spacing w:line="540" w:lineRule="exact"/>
        <w:rPr>
          <w:rFonts w:hint="eastAsia" w:ascii="宋体" w:hAnsi="宋体" w:eastAsia="宋体" w:cs="宋体"/>
          <w:snapToGrid w:val="0"/>
          <w:color w:val="auto"/>
          <w:sz w:val="24"/>
          <w:highlight w:val="none"/>
        </w:rPr>
      </w:pPr>
      <w:r>
        <w:rPr>
          <w:rFonts w:hint="eastAsia" w:ascii="宋体" w:hAnsi="宋体" w:eastAsia="宋体" w:cs="宋体"/>
          <w:color w:val="auto"/>
          <w:kern w:val="0"/>
          <w:sz w:val="24"/>
          <w:szCs w:val="20"/>
          <w:highlight w:val="none"/>
        </w:rPr>
        <w:t>法定代表人或营业执照中单位负责人签字或盖章：</w:t>
      </w:r>
      <w:r>
        <w:rPr>
          <w:rFonts w:hint="eastAsia" w:ascii="宋体" w:hAnsi="宋体" w:eastAsia="宋体" w:cs="宋体"/>
          <w:color w:val="auto"/>
          <w:kern w:val="0"/>
          <w:sz w:val="24"/>
          <w:szCs w:val="20"/>
          <w:highlight w:val="none"/>
          <w:u w:val="single"/>
        </w:rPr>
        <w:t xml:space="preserve">            </w:t>
      </w:r>
      <w:r>
        <w:rPr>
          <w:rFonts w:hint="eastAsia" w:ascii="宋体" w:hAnsi="宋体" w:eastAsia="宋体" w:cs="宋体"/>
          <w:color w:val="auto"/>
          <w:kern w:val="0"/>
          <w:sz w:val="24"/>
          <w:szCs w:val="20"/>
          <w:highlight w:val="none"/>
        </w:rPr>
        <w:t>；</w:t>
      </w:r>
    </w:p>
    <w:p w14:paraId="4A68D73C">
      <w:pPr>
        <w:spacing w:line="540" w:lineRule="exact"/>
        <w:rPr>
          <w:rFonts w:hint="eastAsia" w:ascii="宋体" w:hAnsi="宋体" w:eastAsia="宋体" w:cs="宋体"/>
          <w:snapToGrid w:val="0"/>
          <w:color w:val="auto"/>
          <w:kern w:val="0"/>
          <w:sz w:val="24"/>
          <w:szCs w:val="20"/>
          <w:highlight w:val="none"/>
          <w:u w:val="single"/>
        </w:rPr>
      </w:pPr>
      <w:r>
        <w:rPr>
          <w:rFonts w:hint="eastAsia" w:ascii="宋体" w:hAnsi="宋体" w:eastAsia="宋体" w:cs="宋体"/>
          <w:snapToGrid w:val="0"/>
          <w:color w:val="auto"/>
          <w:kern w:val="0"/>
          <w:sz w:val="24"/>
          <w:szCs w:val="20"/>
          <w:highlight w:val="none"/>
        </w:rPr>
        <w:t>联系方式（手机）：</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eastAsia="宋体" w:cs="宋体"/>
          <w:snapToGrid w:val="0"/>
          <w:color w:val="auto"/>
          <w:kern w:val="0"/>
          <w:sz w:val="24"/>
          <w:szCs w:val="20"/>
          <w:highlight w:val="none"/>
        </w:rPr>
        <w:t>；</w:t>
      </w:r>
    </w:p>
    <w:p w14:paraId="10E9C488">
      <w:pPr>
        <w:spacing w:line="540" w:lineRule="exact"/>
        <w:rPr>
          <w:rFonts w:hint="eastAsia" w:ascii="宋体" w:hAnsi="宋体" w:eastAsia="宋体" w:cs="宋体"/>
          <w:snapToGrid w:val="0"/>
          <w:color w:val="auto"/>
          <w:sz w:val="24"/>
          <w:highlight w:val="none"/>
        </w:rPr>
      </w:pPr>
      <w:r>
        <w:rPr>
          <w:rFonts w:hint="eastAsia" w:ascii="宋体" w:hAnsi="宋体" w:eastAsia="宋体" w:cs="宋体"/>
          <w:snapToGrid w:val="0"/>
          <w:color w:val="auto"/>
          <w:kern w:val="0"/>
          <w:sz w:val="24"/>
          <w:szCs w:val="20"/>
          <w:highlight w:val="none"/>
        </w:rPr>
        <w:t>职务：</w:t>
      </w:r>
      <w:r>
        <w:rPr>
          <w:rFonts w:hint="eastAsia" w:ascii="宋体" w:hAnsi="宋体" w:eastAsia="宋体" w:cs="宋体"/>
          <w:snapToGrid w:val="0"/>
          <w:color w:val="auto"/>
          <w:kern w:val="0"/>
          <w:sz w:val="24"/>
          <w:szCs w:val="20"/>
          <w:highlight w:val="none"/>
          <w:u w:val="single"/>
        </w:rPr>
        <w:t xml:space="preserve">                     </w:t>
      </w:r>
      <w:r>
        <w:rPr>
          <w:rFonts w:hint="eastAsia" w:ascii="宋体" w:hAnsi="宋体" w:eastAsia="宋体" w:cs="宋体"/>
          <w:snapToGrid w:val="0"/>
          <w:color w:val="auto"/>
          <w:kern w:val="0"/>
          <w:sz w:val="24"/>
          <w:szCs w:val="20"/>
          <w:highlight w:val="none"/>
        </w:rPr>
        <w:t>。</w:t>
      </w:r>
    </w:p>
    <w:p w14:paraId="5C96D110">
      <w:pPr>
        <w:spacing w:line="540" w:lineRule="exact"/>
        <w:jc w:val="right"/>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投标人全称：</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（盖单位公章）</w:t>
      </w:r>
    </w:p>
    <w:p w14:paraId="44D0320C">
      <w:pPr>
        <w:spacing w:line="540" w:lineRule="exact"/>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                                                日期：</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年</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月</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日</w:t>
      </w:r>
    </w:p>
    <w:p w14:paraId="5F912267">
      <w:pPr>
        <w:spacing w:line="500" w:lineRule="exact"/>
        <w:rPr>
          <w:rFonts w:hint="eastAsia" w:ascii="宋体" w:hAnsi="宋体" w:eastAsia="宋体" w:cs="宋体"/>
          <w:snapToGrid w:val="0"/>
          <w:color w:val="auto"/>
          <w:sz w:val="28"/>
          <w:szCs w:val="28"/>
          <w:highlight w:val="none"/>
        </w:rPr>
      </w:pPr>
    </w:p>
    <w:p w14:paraId="72A65913">
      <w:pPr>
        <w:spacing w:line="500" w:lineRule="exact"/>
        <w:rPr>
          <w:rFonts w:hint="eastAsia"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注：此证明用于法定代表人本人参加本项目的采购活动，后附法定代表人（或营业执照中单位负责人）身份证复印件。</w:t>
      </w:r>
    </w:p>
    <w:p w14:paraId="01708E5D">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2C66E39">
      <w:pPr>
        <w:spacing w:line="600" w:lineRule="exact"/>
        <w:rPr>
          <w:rFonts w:hint="eastAsia" w:ascii="宋体" w:hAnsi="宋体" w:eastAsia="宋体" w:cs="宋体"/>
          <w:color w:val="auto"/>
          <w:sz w:val="24"/>
          <w:highlight w:val="none"/>
        </w:rPr>
      </w:pPr>
    </w:p>
    <w:tbl>
      <w:tblPr>
        <w:tblStyle w:val="38"/>
        <w:tblpPr w:leftFromText="180" w:rightFromText="180" w:vertAnchor="text" w:horzAnchor="page"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0"/>
      </w:tblGrid>
      <w:tr w14:paraId="4F5B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480" w:type="dxa"/>
            <w:noWrap w:val="0"/>
            <w:vAlign w:val="center"/>
          </w:tcPr>
          <w:p w14:paraId="22137B76">
            <w:pPr>
              <w:spacing w:line="600" w:lineRule="exact"/>
              <w:ind w:firstLine="374" w:firstLineChars="15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法定代表人（或营业执照中单位负责人）身份证复印件</w:t>
            </w:r>
          </w:p>
        </w:tc>
      </w:tr>
    </w:tbl>
    <w:p w14:paraId="45D3092E">
      <w:pPr>
        <w:spacing w:line="400" w:lineRule="atLeast"/>
        <w:rPr>
          <w:rFonts w:hint="eastAsia" w:ascii="宋体" w:hAnsi="宋体" w:eastAsia="宋体" w:cs="宋体"/>
          <w:b/>
          <w:bCs/>
          <w:color w:val="auto"/>
          <w:sz w:val="24"/>
          <w:highlight w:val="none"/>
        </w:rPr>
      </w:pPr>
    </w:p>
    <w:p w14:paraId="4761C9E1">
      <w:pPr>
        <w:spacing w:line="400" w:lineRule="atLeast"/>
        <w:rPr>
          <w:rFonts w:hint="eastAsia" w:ascii="宋体" w:hAnsi="宋体" w:eastAsia="宋体" w:cs="宋体"/>
          <w:color w:val="auto"/>
          <w:sz w:val="24"/>
          <w:highlight w:val="none"/>
        </w:rPr>
      </w:pPr>
    </w:p>
    <w:p w14:paraId="3A16F2DB">
      <w:pPr>
        <w:spacing w:line="360" w:lineRule="auto"/>
        <w:rPr>
          <w:rFonts w:hint="eastAsia" w:ascii="宋体" w:hAnsi="宋体" w:eastAsia="宋体" w:cs="宋体"/>
          <w:b/>
          <w:color w:val="auto"/>
          <w:sz w:val="30"/>
          <w:szCs w:val="30"/>
          <w:highlight w:val="none"/>
        </w:rPr>
      </w:pPr>
    </w:p>
    <w:p w14:paraId="5A003392">
      <w:pPr>
        <w:spacing w:line="360" w:lineRule="auto"/>
        <w:rPr>
          <w:rFonts w:hint="eastAsia" w:ascii="宋体" w:hAnsi="宋体" w:eastAsia="宋体" w:cs="宋体"/>
          <w:b/>
          <w:color w:val="auto"/>
          <w:sz w:val="30"/>
          <w:szCs w:val="30"/>
          <w:highlight w:val="none"/>
        </w:rPr>
      </w:pPr>
    </w:p>
    <w:p w14:paraId="7754BBF9">
      <w:pPr>
        <w:spacing w:line="360" w:lineRule="auto"/>
        <w:jc w:val="center"/>
        <w:rPr>
          <w:rFonts w:hint="eastAsia" w:ascii="宋体" w:hAnsi="宋体" w:eastAsia="宋体" w:cs="宋体"/>
          <w:b/>
          <w:color w:val="auto"/>
          <w:sz w:val="32"/>
          <w:szCs w:val="32"/>
          <w:highlight w:val="none"/>
        </w:rPr>
      </w:pPr>
    </w:p>
    <w:p w14:paraId="2BD5028B">
      <w:pPr>
        <w:adjustRightInd w:val="0"/>
        <w:snapToGrid w:val="0"/>
        <w:spacing w:line="360" w:lineRule="auto"/>
        <w:ind w:right="480"/>
        <w:rPr>
          <w:rFonts w:hint="eastAsia" w:ascii="宋体" w:hAnsi="宋体" w:eastAsia="宋体" w:cs="宋体"/>
          <w:b/>
          <w:color w:val="auto"/>
          <w:sz w:val="24"/>
          <w:highlight w:val="none"/>
        </w:rPr>
      </w:pPr>
    </w:p>
    <w:p w14:paraId="757E5C5F">
      <w:pPr>
        <w:pStyle w:val="2"/>
        <w:rPr>
          <w:rFonts w:hint="eastAsia" w:ascii="宋体" w:hAnsi="宋体" w:eastAsia="宋体" w:cs="宋体"/>
          <w:b/>
          <w:color w:val="auto"/>
          <w:sz w:val="24"/>
          <w:highlight w:val="none"/>
        </w:rPr>
      </w:pPr>
    </w:p>
    <w:p w14:paraId="3F33864D">
      <w:pPr>
        <w:pStyle w:val="2"/>
        <w:ind w:left="0" w:leftChars="0" w:firstLine="0" w:firstLineChars="0"/>
        <w:rPr>
          <w:rFonts w:hint="eastAsia" w:ascii="宋体" w:hAnsi="宋体" w:eastAsia="宋体" w:cs="宋体"/>
          <w:b/>
          <w:color w:val="auto"/>
          <w:sz w:val="24"/>
          <w:highlight w:val="none"/>
        </w:rPr>
      </w:pPr>
    </w:p>
    <w:p w14:paraId="0D97F21A">
      <w:pPr>
        <w:pStyle w:val="4"/>
        <w:rPr>
          <w:rFonts w:hint="eastAsia" w:ascii="宋体" w:hAnsi="宋体" w:eastAsia="宋体" w:cs="宋体"/>
          <w:color w:val="auto"/>
          <w:highlight w:val="none"/>
        </w:rPr>
      </w:pPr>
    </w:p>
    <w:p w14:paraId="4115CFBE">
      <w:pPr>
        <w:pStyle w:val="4"/>
        <w:rPr>
          <w:rFonts w:hint="eastAsia" w:ascii="宋体" w:hAnsi="宋体" w:eastAsia="宋体" w:cs="宋体"/>
          <w:color w:val="auto"/>
          <w:highlight w:val="none"/>
        </w:rPr>
      </w:pPr>
    </w:p>
    <w:p w14:paraId="458057AB">
      <w:pPr>
        <w:spacing w:line="360" w:lineRule="auto"/>
        <w:ind w:firstLine="241" w:firstLineChars="100"/>
        <w:jc w:val="center"/>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授权委托书</w:t>
      </w:r>
    </w:p>
    <w:p w14:paraId="11C43B69">
      <w:pPr>
        <w:pStyle w:val="21"/>
        <w:spacing w:line="46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u w:val="single"/>
          <w:lang w:eastAsia="zh-CN"/>
        </w:rPr>
        <w:t>仙居县水利工程投资建设开发有限公司</w:t>
      </w:r>
      <w:r>
        <w:rPr>
          <w:rFonts w:hint="eastAsia" w:ascii="宋体" w:hAnsi="宋体" w:eastAsia="宋体" w:cs="宋体"/>
          <w:color w:val="auto"/>
          <w:sz w:val="24"/>
          <w:highlight w:val="none"/>
          <w:u w:val="single"/>
        </w:rPr>
        <w:t>、仙居县鸿信工程咨询有限公司</w:t>
      </w:r>
      <w:r>
        <w:rPr>
          <w:rFonts w:hint="eastAsia" w:ascii="宋体" w:hAnsi="宋体" w:eastAsia="宋体" w:cs="宋体"/>
          <w:b/>
          <w:color w:val="auto"/>
          <w:sz w:val="24"/>
          <w:highlight w:val="none"/>
        </w:rPr>
        <w:t>：</w:t>
      </w:r>
    </w:p>
    <w:p w14:paraId="5BD44803">
      <w:pPr>
        <w:pStyle w:val="21"/>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u w:val="single"/>
        </w:rPr>
        <w:t>（供应商全称）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ab/>
      </w:r>
      <w:r>
        <w:rPr>
          <w:rFonts w:hint="eastAsia" w:ascii="宋体" w:hAnsi="宋体" w:eastAsia="宋体" w:cs="宋体"/>
          <w:b/>
          <w:color w:val="auto"/>
          <w:sz w:val="24"/>
          <w:highlight w:val="none"/>
          <w:u w:val="singl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u w:val="single"/>
        </w:rPr>
        <w:t>（全权代表姓名）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为全权代表，参加贵单位组织的</w:t>
      </w:r>
      <w:r>
        <w:rPr>
          <w:rFonts w:hint="eastAsia" w:ascii="宋体" w:hAnsi="宋体" w:eastAsia="宋体" w:cs="宋体"/>
          <w:color w:val="auto"/>
          <w:sz w:val="24"/>
          <w:highlight w:val="none"/>
          <w:u w:val="single"/>
          <w:lang w:eastAsia="zh-CN"/>
        </w:rPr>
        <w:t>仙居县生态共富小流域水土流失综合治理项目（大战岙溪、桐山溪、大洪港、东坑小流域）（EPC工程总承包）（监理）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编号：</w:t>
      </w:r>
      <w:r>
        <w:rPr>
          <w:rFonts w:hint="eastAsia" w:hAnsi="宋体" w:cs="宋体"/>
          <w:color w:val="auto"/>
          <w:sz w:val="24"/>
          <w:highlight w:val="none"/>
          <w:u w:val="single"/>
          <w:lang w:eastAsia="zh-CN"/>
        </w:rPr>
        <w:t>HXZX（仙）-2025-04</w:t>
      </w:r>
      <w:r>
        <w:rPr>
          <w:rFonts w:hint="eastAsia" w:ascii="宋体" w:hAnsi="宋体" w:eastAsia="宋体" w:cs="宋体"/>
          <w:color w:val="auto"/>
          <w:sz w:val="24"/>
          <w:highlight w:val="none"/>
        </w:rPr>
        <w:t>]的采购活动，并代表我方全权办理针对上述项目的磋商、签约等具体事务和签署相关文件。我方对全权代表的签字事项负全部责任。</w:t>
      </w:r>
    </w:p>
    <w:p w14:paraId="5C365F1D">
      <w:pPr>
        <w:pStyle w:val="21"/>
        <w:spacing w:line="460" w:lineRule="exact"/>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14:paraId="1ACD1675">
      <w:pPr>
        <w:pStyle w:val="21"/>
        <w:spacing w:line="460" w:lineRule="exact"/>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14:paraId="55113AC8">
      <w:pPr>
        <w:spacing w:line="360" w:lineRule="auto"/>
        <w:rPr>
          <w:rFonts w:hint="eastAsia" w:ascii="宋体" w:hAnsi="宋体" w:eastAsia="宋体" w:cs="宋体"/>
          <w:color w:val="auto"/>
          <w:sz w:val="24"/>
          <w:highlight w:val="none"/>
        </w:rPr>
      </w:pPr>
    </w:p>
    <w:p w14:paraId="76A5D7D7">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8B0CDA">
      <w:pPr>
        <w:snapToGrid w:val="0"/>
        <w:spacing w:line="360" w:lineRule="exact"/>
        <w:rPr>
          <w:rFonts w:hint="eastAsia" w:ascii="宋体" w:hAnsi="宋体" w:eastAsia="宋体" w:cs="宋体"/>
          <w:color w:val="auto"/>
          <w:sz w:val="24"/>
          <w:highlight w:val="none"/>
        </w:rPr>
      </w:pPr>
    </w:p>
    <w:p w14:paraId="1B384E8A">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643873">
      <w:pPr>
        <w:snapToGrid w:val="0"/>
        <w:spacing w:line="360" w:lineRule="exact"/>
        <w:rPr>
          <w:rFonts w:hint="eastAsia" w:ascii="宋体" w:hAnsi="宋体" w:eastAsia="宋体" w:cs="宋体"/>
          <w:b/>
          <w:bCs/>
          <w:color w:val="auto"/>
          <w:sz w:val="24"/>
          <w:highlight w:val="none"/>
        </w:rPr>
      </w:pPr>
    </w:p>
    <w:p w14:paraId="1266C2B0">
      <w:pPr>
        <w:pStyle w:val="21"/>
        <w:spacing w:line="360" w:lineRule="exact"/>
        <w:rPr>
          <w:rFonts w:hint="eastAsia" w:ascii="宋体" w:hAnsi="宋体" w:eastAsia="宋体" w:cs="宋体"/>
          <w:b/>
          <w:bCs/>
          <w:color w:val="auto"/>
          <w:sz w:val="24"/>
          <w:highlight w:val="none"/>
        </w:rPr>
      </w:pPr>
    </w:p>
    <w:p w14:paraId="2FEB177B">
      <w:pPr>
        <w:pStyle w:val="21"/>
        <w:spacing w:line="3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法定代表人(签字或盖章)或授权委托人(签字)：</w:t>
      </w:r>
    </w:p>
    <w:p w14:paraId="67934A33">
      <w:pPr>
        <w:pStyle w:val="21"/>
        <w:spacing w:line="360" w:lineRule="exact"/>
        <w:rPr>
          <w:rFonts w:hint="eastAsia" w:ascii="宋体" w:hAnsi="宋体" w:eastAsia="宋体" w:cs="宋体"/>
          <w:b/>
          <w:bCs/>
          <w:color w:val="auto"/>
          <w:sz w:val="24"/>
          <w:highlight w:val="none"/>
        </w:rPr>
      </w:pPr>
    </w:p>
    <w:p w14:paraId="3787F258">
      <w:pPr>
        <w:pStyle w:val="21"/>
        <w:spacing w:line="360" w:lineRule="exact"/>
        <w:rPr>
          <w:rFonts w:hint="eastAsia" w:ascii="宋体" w:hAnsi="宋体" w:eastAsia="宋体" w:cs="宋体"/>
          <w:b/>
          <w:bCs/>
          <w:color w:val="auto"/>
          <w:sz w:val="24"/>
          <w:highlight w:val="none"/>
        </w:rPr>
      </w:pPr>
    </w:p>
    <w:p w14:paraId="2C67D17F">
      <w:pPr>
        <w:pStyle w:val="21"/>
        <w:spacing w:line="360" w:lineRule="exac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磋商供应商名称(公章)：</w:t>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日 期：     年   月   日</w:t>
      </w:r>
    </w:p>
    <w:p w14:paraId="0A4F6E60">
      <w:pPr>
        <w:spacing w:line="440" w:lineRule="exact"/>
        <w:rPr>
          <w:rFonts w:hint="eastAsia" w:ascii="宋体" w:hAnsi="宋体" w:eastAsia="宋体" w:cs="宋体"/>
          <w:color w:val="auto"/>
          <w:sz w:val="24"/>
          <w:highlight w:val="none"/>
          <w:lang w:val="zh-CN"/>
        </w:rPr>
      </w:pPr>
    </w:p>
    <w:p w14:paraId="3991E367">
      <w:pPr>
        <w:spacing w:line="440" w:lineRule="exact"/>
        <w:rPr>
          <w:rFonts w:hint="eastAsia" w:ascii="宋体" w:hAnsi="宋体" w:eastAsia="宋体" w:cs="宋体"/>
          <w:b/>
          <w:bCs/>
          <w:color w:val="auto"/>
          <w:sz w:val="24"/>
          <w:highlight w:val="none"/>
          <w:lang w:val="zh-CN"/>
        </w:rPr>
      </w:pPr>
    </w:p>
    <w:p w14:paraId="51C96C6B">
      <w:pPr>
        <w:spacing w:line="440" w:lineRule="exact"/>
        <w:rPr>
          <w:rFonts w:hint="eastAsia" w:ascii="宋体" w:hAnsi="宋体" w:eastAsia="宋体" w:cs="宋体"/>
          <w:b/>
          <w:bCs/>
          <w:color w:val="auto"/>
          <w:sz w:val="24"/>
          <w:highlight w:val="none"/>
          <w:lang w:val="zh-CN"/>
        </w:rPr>
      </w:pPr>
    </w:p>
    <w:p w14:paraId="427A4E32">
      <w:pPr>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zh-CN"/>
        </w:rPr>
        <w:t>后附：</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szCs w:val="20"/>
          <w:highlight w:val="none"/>
        </w:rPr>
        <w:t>身份证复印件</w:t>
      </w:r>
    </w:p>
    <w:tbl>
      <w:tblPr>
        <w:tblStyle w:val="3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1F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080" w:type="dxa"/>
            <w:noWrap w:val="0"/>
            <w:vAlign w:val="center"/>
          </w:tcPr>
          <w:p w14:paraId="42CB3CB8">
            <w:pPr>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法定代表人（或营业执照中单位负责人）</w:t>
            </w:r>
            <w:r>
              <w:rPr>
                <w:rFonts w:hint="eastAsia" w:ascii="宋体" w:hAnsi="宋体" w:eastAsia="宋体" w:cs="宋体"/>
                <w:b/>
                <w:color w:val="auto"/>
                <w:sz w:val="24"/>
                <w:highlight w:val="none"/>
              </w:rPr>
              <w:t>身份证复印件</w:t>
            </w:r>
          </w:p>
        </w:tc>
      </w:tr>
    </w:tbl>
    <w:p w14:paraId="780A0395">
      <w:pPr>
        <w:spacing w:before="60" w:after="60" w:line="360" w:lineRule="auto"/>
        <w:rPr>
          <w:rFonts w:hint="eastAsia" w:ascii="宋体" w:hAnsi="宋体" w:eastAsia="宋体" w:cs="宋体"/>
          <w:color w:val="auto"/>
          <w:sz w:val="24"/>
          <w:szCs w:val="20"/>
          <w:highlight w:val="none"/>
          <w:lang w:val="zh-CN"/>
        </w:rPr>
      </w:pPr>
    </w:p>
    <w:p w14:paraId="5EBE5C04">
      <w:pPr>
        <w:spacing w:before="60" w:after="60" w:line="360" w:lineRule="auto"/>
        <w:rPr>
          <w:rFonts w:hint="eastAsia" w:ascii="宋体" w:hAnsi="宋体" w:eastAsia="宋体" w:cs="宋体"/>
          <w:color w:val="auto"/>
          <w:sz w:val="24"/>
          <w:szCs w:val="20"/>
          <w:highlight w:val="none"/>
          <w:lang w:val="zh-CN"/>
        </w:rPr>
      </w:pPr>
    </w:p>
    <w:p w14:paraId="33AEA88B">
      <w:pPr>
        <w:spacing w:before="60" w:after="60" w:line="360" w:lineRule="auto"/>
        <w:rPr>
          <w:rFonts w:hint="eastAsia" w:ascii="宋体" w:hAnsi="宋体" w:eastAsia="宋体" w:cs="宋体"/>
          <w:color w:val="auto"/>
          <w:sz w:val="24"/>
          <w:szCs w:val="20"/>
          <w:highlight w:val="none"/>
          <w:lang w:val="zh-CN"/>
        </w:rPr>
      </w:pPr>
    </w:p>
    <w:p w14:paraId="2510E18C">
      <w:pPr>
        <w:spacing w:line="440" w:lineRule="exact"/>
        <w:rPr>
          <w:rFonts w:hint="eastAsia" w:ascii="宋体" w:hAnsi="宋体" w:eastAsia="宋体" w:cs="宋体"/>
          <w:color w:val="auto"/>
          <w:sz w:val="24"/>
          <w:szCs w:val="20"/>
          <w:highlight w:val="none"/>
          <w:lang w:val="zh-CN"/>
        </w:rPr>
      </w:pPr>
    </w:p>
    <w:p w14:paraId="5B27D20F">
      <w:pPr>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zh-CN"/>
        </w:rPr>
        <w:t>后附：</w:t>
      </w:r>
      <w:r>
        <w:rPr>
          <w:rFonts w:hint="eastAsia" w:ascii="宋体" w:hAnsi="宋体" w:eastAsia="宋体" w:cs="宋体"/>
          <w:color w:val="auto"/>
          <w:sz w:val="24"/>
          <w:szCs w:val="20"/>
          <w:highlight w:val="none"/>
        </w:rPr>
        <w:t>全权代表身份证复印件</w:t>
      </w:r>
    </w:p>
    <w:tbl>
      <w:tblPr>
        <w:tblStyle w:val="3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139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noWrap w:val="0"/>
            <w:vAlign w:val="center"/>
          </w:tcPr>
          <w:p w14:paraId="1F82730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w:t>
            </w:r>
          </w:p>
        </w:tc>
      </w:tr>
    </w:tbl>
    <w:p w14:paraId="6EE5CABA">
      <w:pPr>
        <w:spacing w:before="60" w:after="60" w:line="360" w:lineRule="auto"/>
        <w:rPr>
          <w:rFonts w:hint="eastAsia" w:ascii="宋体" w:hAnsi="宋体" w:eastAsia="宋体" w:cs="宋体"/>
          <w:color w:val="auto"/>
          <w:sz w:val="24"/>
          <w:szCs w:val="20"/>
          <w:highlight w:val="none"/>
          <w:lang w:val="zh-CN"/>
        </w:rPr>
      </w:pPr>
    </w:p>
    <w:p w14:paraId="1DC115FA">
      <w:pPr>
        <w:spacing w:before="60" w:after="60" w:line="360" w:lineRule="auto"/>
        <w:rPr>
          <w:rFonts w:hint="eastAsia" w:ascii="宋体" w:hAnsi="宋体" w:eastAsia="宋体" w:cs="宋体"/>
          <w:color w:val="auto"/>
          <w:sz w:val="24"/>
          <w:szCs w:val="20"/>
          <w:highlight w:val="none"/>
          <w:lang w:val="zh-CN"/>
        </w:rPr>
      </w:pPr>
    </w:p>
    <w:p w14:paraId="67ECE19D">
      <w:pPr>
        <w:spacing w:before="60" w:after="60" w:line="360" w:lineRule="auto"/>
        <w:rPr>
          <w:rFonts w:hint="eastAsia" w:ascii="宋体" w:hAnsi="宋体" w:eastAsia="宋体" w:cs="宋体"/>
          <w:color w:val="auto"/>
          <w:sz w:val="24"/>
          <w:szCs w:val="20"/>
          <w:highlight w:val="none"/>
          <w:lang w:val="zh-CN"/>
        </w:rPr>
      </w:pPr>
    </w:p>
    <w:p w14:paraId="3A6DF472">
      <w:pPr>
        <w:spacing w:before="60" w:after="60" w:line="360" w:lineRule="auto"/>
        <w:rPr>
          <w:rFonts w:hint="eastAsia" w:ascii="宋体" w:hAnsi="宋体" w:eastAsia="宋体" w:cs="宋体"/>
          <w:color w:val="auto"/>
          <w:sz w:val="24"/>
          <w:highlight w:val="none"/>
          <w:lang w:val="zh-CN"/>
        </w:rPr>
      </w:pPr>
    </w:p>
    <w:p w14:paraId="4C5AE588">
      <w:pPr>
        <w:pStyle w:val="101"/>
        <w:shd w:val="clear" w:color="auto" w:fill="FFFFFF"/>
        <w:spacing w:before="0" w:beforeAutospacing="0" w:after="0" w:afterAutospacing="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附件3：</w:t>
      </w:r>
    </w:p>
    <w:p w14:paraId="57062E6D">
      <w:pPr>
        <w:pStyle w:val="21"/>
        <w:spacing w:line="360" w:lineRule="auto"/>
        <w:ind w:firstLine="51"/>
        <w:outlineLvl w:val="1"/>
        <w:rPr>
          <w:rFonts w:hint="eastAsia" w:ascii="宋体" w:hAnsi="宋体" w:eastAsia="宋体" w:cs="宋体"/>
          <w:b/>
          <w:bCs/>
          <w:color w:val="auto"/>
          <w:sz w:val="24"/>
          <w:highlight w:val="none"/>
          <w:lang w:val="zh-CN"/>
        </w:rPr>
      </w:pPr>
    </w:p>
    <w:p w14:paraId="6D42848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具备履行合同所必需的设备和专业技术能力的承诺书</w:t>
      </w:r>
    </w:p>
    <w:p w14:paraId="40C38F09">
      <w:pPr>
        <w:spacing w:line="360" w:lineRule="auto"/>
        <w:jc w:val="left"/>
        <w:rPr>
          <w:rFonts w:hint="eastAsia" w:ascii="宋体" w:hAnsi="宋体" w:eastAsia="宋体" w:cs="宋体"/>
          <w:color w:val="auto"/>
          <w:sz w:val="24"/>
          <w:highlight w:val="none"/>
        </w:rPr>
      </w:pPr>
    </w:p>
    <w:p w14:paraId="1980C6C9">
      <w:pPr>
        <w:spacing w:line="520" w:lineRule="exact"/>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仙居县水利工程投资建设开发有限公司</w:t>
      </w:r>
      <w:r>
        <w:rPr>
          <w:rFonts w:hint="eastAsia" w:ascii="宋体" w:hAnsi="宋体" w:eastAsia="宋体" w:cs="宋体"/>
          <w:color w:val="auto"/>
          <w:sz w:val="24"/>
          <w:highlight w:val="none"/>
          <w:u w:val="single"/>
        </w:rPr>
        <w:t>、仙居县鸿信工程咨询有限公司</w:t>
      </w:r>
    </w:p>
    <w:p w14:paraId="67BFA73C">
      <w:pPr>
        <w:snapToGrid w:val="0"/>
        <w:spacing w:line="52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我公司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参加贵方组织的</w:t>
      </w:r>
      <w:r>
        <w:rPr>
          <w:rFonts w:hint="eastAsia" w:ascii="宋体" w:hAnsi="宋体" w:eastAsia="宋体" w:cs="宋体"/>
          <w:color w:val="auto"/>
          <w:sz w:val="24"/>
          <w:highlight w:val="none"/>
          <w:u w:val="single"/>
          <w:lang w:eastAsia="zh-CN"/>
        </w:rPr>
        <w:t>仙居县生态共富小流域水土流失综合治理项目（大战岙溪、桐山溪、大洪港、东坑小流域）（EPC工程总承包）（监理）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编号：</w:t>
      </w:r>
      <w:r>
        <w:rPr>
          <w:rFonts w:hint="eastAsia" w:ascii="宋体" w:hAnsi="宋体" w:cs="宋体"/>
          <w:color w:val="auto"/>
          <w:sz w:val="24"/>
          <w:highlight w:val="none"/>
          <w:u w:val="single"/>
          <w:lang w:eastAsia="zh-CN"/>
        </w:rPr>
        <w:t>HXZX（仙）-2025-04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的投标活动，如我方获得中标资格，我方保证符合磋商文件所要求的资格条件</w:t>
      </w:r>
      <w:r>
        <w:rPr>
          <w:rFonts w:hint="eastAsia" w:ascii="宋体" w:hAnsi="宋体" w:eastAsia="宋体" w:cs="宋体"/>
          <w:color w:val="auto"/>
          <w:sz w:val="24"/>
          <w:highlight w:val="none"/>
        </w:rPr>
        <w:t>，并作如下承诺：</w:t>
      </w:r>
    </w:p>
    <w:p w14:paraId="42C57253">
      <w:pPr>
        <w:numPr>
          <w:ilvl w:val="0"/>
          <w:numId w:val="6"/>
        </w:numPr>
        <w:spacing w:line="5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w:t>
      </w:r>
    </w:p>
    <w:p w14:paraId="644D50FB">
      <w:pPr>
        <w:numPr>
          <w:ilvl w:val="0"/>
          <w:numId w:val="6"/>
        </w:numPr>
        <w:spacing w:line="520" w:lineRule="exact"/>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具有良好的商业信誉和健全的财务会计制度；</w:t>
      </w:r>
    </w:p>
    <w:p w14:paraId="361DFC1F">
      <w:pPr>
        <w:numPr>
          <w:ilvl w:val="0"/>
          <w:numId w:val="6"/>
        </w:numPr>
        <w:spacing w:line="520" w:lineRule="exact"/>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具备履行合同所必需的设备和专业技术能力；</w:t>
      </w:r>
    </w:p>
    <w:p w14:paraId="31D31C42">
      <w:pPr>
        <w:numPr>
          <w:ilvl w:val="0"/>
          <w:numId w:val="6"/>
        </w:numPr>
        <w:spacing w:line="520" w:lineRule="exact"/>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具有较强的项目管理、技术服务和组织实施能力，能够独立承担本项目的实施；</w:t>
      </w:r>
    </w:p>
    <w:p w14:paraId="1465BD61">
      <w:pPr>
        <w:numPr>
          <w:ilvl w:val="0"/>
          <w:numId w:val="6"/>
        </w:numPr>
        <w:spacing w:line="520" w:lineRule="exact"/>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我公司已经完全了解本磋商文件中规定的技术要求和商务条款。</w:t>
      </w:r>
    </w:p>
    <w:p w14:paraId="24C89AF6">
      <w:pPr>
        <w:spacing w:line="52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同时，服务均为我公司自主提供。</w:t>
      </w:r>
    </w:p>
    <w:p w14:paraId="244C727B">
      <w:pPr>
        <w:spacing w:line="520" w:lineRule="exact"/>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如违反以上承诺，本公司愿承担一切法律责任。</w:t>
      </w:r>
    </w:p>
    <w:p w14:paraId="7D4BCE31">
      <w:pPr>
        <w:spacing w:line="600" w:lineRule="exact"/>
        <w:rPr>
          <w:rFonts w:hint="eastAsia" w:ascii="宋体" w:hAnsi="宋体" w:eastAsia="宋体" w:cs="宋体"/>
          <w:color w:val="auto"/>
          <w:sz w:val="24"/>
          <w:highlight w:val="none"/>
          <w:lang w:val="zh-CN"/>
        </w:rPr>
      </w:pPr>
    </w:p>
    <w:p w14:paraId="672F1768">
      <w:pPr>
        <w:spacing w:line="360" w:lineRule="auto"/>
        <w:rPr>
          <w:rFonts w:hint="eastAsia" w:ascii="宋体" w:hAnsi="宋体" w:eastAsia="宋体" w:cs="宋体"/>
          <w:color w:val="auto"/>
          <w:sz w:val="24"/>
          <w:highlight w:val="none"/>
          <w:lang w:val="zh-CN"/>
        </w:rPr>
      </w:pPr>
    </w:p>
    <w:p w14:paraId="042B67D1">
      <w:pPr>
        <w:widowControl/>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磋商供应商</w:t>
      </w:r>
      <w:r>
        <w:rPr>
          <w:rFonts w:hint="eastAsia" w:ascii="宋体" w:hAnsi="宋体" w:eastAsia="宋体" w:cs="宋体"/>
          <w:color w:val="auto"/>
          <w:kern w:val="0"/>
          <w:sz w:val="24"/>
          <w:highlight w:val="none"/>
        </w:rPr>
        <w:t>名称(公章)：</w:t>
      </w:r>
    </w:p>
    <w:p w14:paraId="73D4DDC5">
      <w:pPr>
        <w:widowControl/>
        <w:spacing w:line="360" w:lineRule="auto"/>
        <w:jc w:val="left"/>
        <w:rPr>
          <w:rFonts w:hint="eastAsia" w:ascii="宋体" w:hAnsi="宋体" w:eastAsia="宋体" w:cs="宋体"/>
          <w:color w:val="auto"/>
          <w:kern w:val="0"/>
          <w:sz w:val="24"/>
          <w:highlight w:val="none"/>
        </w:rPr>
      </w:pPr>
    </w:p>
    <w:p w14:paraId="02D703C9">
      <w:pPr>
        <w:widowControl/>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法定代表人(签字或盖章)或授权委托人(签字)：</w:t>
      </w:r>
    </w:p>
    <w:p w14:paraId="6C190090">
      <w:pPr>
        <w:widowControl/>
        <w:spacing w:line="360" w:lineRule="auto"/>
        <w:jc w:val="left"/>
        <w:rPr>
          <w:rFonts w:hint="eastAsia" w:ascii="宋体" w:hAnsi="宋体" w:eastAsia="宋体" w:cs="宋体"/>
          <w:color w:val="auto"/>
          <w:kern w:val="0"/>
          <w:sz w:val="24"/>
          <w:highlight w:val="none"/>
        </w:rPr>
      </w:pPr>
    </w:p>
    <w:p w14:paraId="3885E073">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lang w:val="zh-CN"/>
        </w:rPr>
        <w:t xml:space="preserve">     年   月   日</w:t>
      </w:r>
    </w:p>
    <w:p w14:paraId="2C297F1C">
      <w:pPr>
        <w:pStyle w:val="21"/>
        <w:spacing w:line="360" w:lineRule="auto"/>
        <w:ind w:firstLine="51"/>
        <w:outlineLvl w:val="1"/>
        <w:rPr>
          <w:rFonts w:hint="eastAsia" w:ascii="宋体" w:hAnsi="宋体" w:eastAsia="宋体" w:cs="宋体"/>
          <w:b/>
          <w:bCs/>
          <w:color w:val="auto"/>
          <w:sz w:val="24"/>
          <w:highlight w:val="none"/>
          <w:lang w:val="zh-CN"/>
        </w:rPr>
      </w:pPr>
    </w:p>
    <w:p w14:paraId="3FE6E43B">
      <w:pPr>
        <w:pStyle w:val="22"/>
        <w:ind w:left="5250"/>
        <w:rPr>
          <w:rFonts w:hint="eastAsia" w:ascii="宋体" w:hAnsi="宋体" w:eastAsia="宋体" w:cs="宋体"/>
          <w:b/>
          <w:bCs/>
          <w:color w:val="auto"/>
          <w:sz w:val="24"/>
          <w:szCs w:val="24"/>
          <w:highlight w:val="none"/>
          <w:lang w:val="zh-CN"/>
        </w:rPr>
      </w:pPr>
    </w:p>
    <w:p w14:paraId="6F1DCC5B">
      <w:pPr>
        <w:rPr>
          <w:rFonts w:hint="eastAsia" w:ascii="宋体" w:hAnsi="宋体" w:eastAsia="宋体" w:cs="宋体"/>
          <w:color w:val="auto"/>
          <w:highlight w:val="none"/>
          <w:lang w:val="zh-CN"/>
        </w:rPr>
      </w:pPr>
    </w:p>
    <w:p w14:paraId="7877B165">
      <w:pPr>
        <w:pStyle w:val="122"/>
        <w:rPr>
          <w:rFonts w:hint="eastAsia" w:ascii="宋体" w:hAnsi="宋体" w:eastAsia="宋体" w:cs="宋体"/>
          <w:color w:val="auto"/>
          <w:highlight w:val="none"/>
          <w:lang w:val="zh-CN"/>
        </w:rPr>
      </w:pPr>
    </w:p>
    <w:p w14:paraId="249C6576">
      <w:pPr>
        <w:pStyle w:val="21"/>
        <w:spacing w:line="360" w:lineRule="auto"/>
        <w:ind w:firstLine="51"/>
        <w:outlineLvl w:val="1"/>
        <w:rPr>
          <w:rFonts w:hint="eastAsia" w:ascii="宋体" w:hAnsi="宋体" w:eastAsia="宋体" w:cs="宋体"/>
          <w:b/>
          <w:bCs/>
          <w:color w:val="auto"/>
          <w:sz w:val="24"/>
          <w:highlight w:val="none"/>
          <w:lang w:val="zh-CN"/>
        </w:rPr>
      </w:pPr>
    </w:p>
    <w:p w14:paraId="7AC211BE">
      <w:pPr>
        <w:pStyle w:val="21"/>
        <w:spacing w:line="360" w:lineRule="auto"/>
        <w:outlineLvl w:val="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zh-CN"/>
        </w:rPr>
        <w:t>附件</w:t>
      </w:r>
      <w:r>
        <w:rPr>
          <w:rFonts w:hint="eastAsia" w:ascii="宋体" w:hAnsi="宋体" w:eastAsia="宋体" w:cs="宋体"/>
          <w:b/>
          <w:color w:val="auto"/>
          <w:kern w:val="0"/>
          <w:sz w:val="24"/>
          <w:highlight w:val="none"/>
        </w:rPr>
        <w:t>4：</w:t>
      </w:r>
    </w:p>
    <w:p w14:paraId="6C39F671">
      <w:pPr>
        <w:pStyle w:val="21"/>
        <w:spacing w:line="360" w:lineRule="auto"/>
        <w:ind w:firstLine="51"/>
        <w:outlineLvl w:val="1"/>
        <w:rPr>
          <w:rFonts w:hint="eastAsia" w:ascii="宋体" w:hAnsi="宋体" w:eastAsia="宋体" w:cs="宋体"/>
          <w:b/>
          <w:bCs/>
          <w:color w:val="auto"/>
          <w:sz w:val="24"/>
          <w:highlight w:val="none"/>
          <w:lang w:val="zh-CN"/>
        </w:rPr>
      </w:pPr>
    </w:p>
    <w:p w14:paraId="602ACA67">
      <w:pPr>
        <w:spacing w:after="240" w:afterLines="100" w:line="480" w:lineRule="auto"/>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具备健全的财务会计制度的承诺函</w:t>
      </w:r>
    </w:p>
    <w:p w14:paraId="00160F50">
      <w:pPr>
        <w:widowControl/>
        <w:spacing w:line="600" w:lineRule="exact"/>
        <w:rPr>
          <w:rFonts w:hint="eastAsia" w:ascii="宋体" w:hAnsi="宋体" w:eastAsia="宋体" w:cs="宋体"/>
          <w:color w:val="auto"/>
          <w:kern w:val="0"/>
          <w:sz w:val="24"/>
          <w:highlight w:val="none"/>
        </w:rPr>
      </w:pPr>
    </w:p>
    <w:p w14:paraId="5D9123C8">
      <w:pPr>
        <w:widowControl/>
        <w:spacing w:line="6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u w:val="single"/>
          <w:lang w:eastAsia="zh-CN"/>
        </w:rPr>
        <w:t>仙居县水利工程投资建设开发有限公司</w:t>
      </w:r>
      <w:r>
        <w:rPr>
          <w:rFonts w:hint="eastAsia" w:ascii="宋体" w:hAnsi="宋体" w:eastAsia="宋体" w:cs="宋体"/>
          <w:color w:val="auto"/>
          <w:sz w:val="24"/>
          <w:highlight w:val="none"/>
          <w:u w:val="single"/>
        </w:rPr>
        <w:t>、仙居县鸿信工程咨询有限公司</w:t>
      </w:r>
      <w:r>
        <w:rPr>
          <w:rFonts w:hint="eastAsia" w:ascii="宋体" w:hAnsi="宋体" w:eastAsia="宋体" w:cs="宋体"/>
          <w:color w:val="auto"/>
          <w:kern w:val="0"/>
          <w:sz w:val="24"/>
          <w:highlight w:val="none"/>
        </w:rPr>
        <w:t>：</w:t>
      </w:r>
    </w:p>
    <w:p w14:paraId="6AED0DE4">
      <w:pPr>
        <w:pStyle w:val="3"/>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我公司参加</w:t>
      </w:r>
      <w:r>
        <w:rPr>
          <w:rFonts w:hint="eastAsia" w:ascii="宋体" w:hAnsi="宋体" w:eastAsia="宋体" w:cs="宋体"/>
          <w:color w:val="auto"/>
          <w:sz w:val="24"/>
          <w:highlight w:val="none"/>
          <w:u w:val="single"/>
          <w:lang w:eastAsia="zh-CN"/>
        </w:rPr>
        <w:t>仙居县生态共富小流域水土流失综合治理项目（大战岙溪、桐山溪、大洪港、东坑小流域）（EPC工程总承包）（监理）</w:t>
      </w:r>
      <w:r>
        <w:rPr>
          <w:rFonts w:hint="eastAsia" w:ascii="宋体" w:hAnsi="宋体" w:eastAsia="宋体" w:cs="宋体"/>
          <w:color w:val="auto"/>
          <w:sz w:val="24"/>
          <w:highlight w:val="none"/>
          <w:u w:val="single"/>
        </w:rPr>
        <w:t>[编号：</w:t>
      </w:r>
      <w:r>
        <w:rPr>
          <w:rFonts w:hint="eastAsia" w:ascii="宋体" w:hAnsi="宋体" w:cs="宋体"/>
          <w:color w:val="auto"/>
          <w:sz w:val="24"/>
          <w:highlight w:val="none"/>
          <w:u w:val="single"/>
          <w:lang w:eastAsia="zh-CN"/>
        </w:rPr>
        <w:t>HXZX（仙）-2025-04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的投标活动，作如下承诺：</w:t>
      </w:r>
    </w:p>
    <w:p w14:paraId="7FFA8BE6">
      <w:pPr>
        <w:pStyle w:val="3"/>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我公司在参加本项目政府采购活动前，</w:t>
      </w:r>
      <w:r>
        <w:rPr>
          <w:rFonts w:hint="eastAsia" w:ascii="宋体" w:hAnsi="宋体" w:eastAsia="宋体" w:cs="宋体"/>
          <w:color w:val="auto"/>
          <w:kern w:val="0"/>
          <w:sz w:val="24"/>
          <w:highlight w:val="none"/>
        </w:rPr>
        <w:t>没有处于被责令停产、财产被接管、冻结或破产状态，具有足够的流动资金，有能力履行合同；我公司</w:t>
      </w:r>
      <w:r>
        <w:rPr>
          <w:rFonts w:hint="eastAsia" w:ascii="宋体" w:hAnsi="宋体" w:eastAsia="宋体" w:cs="宋体"/>
          <w:color w:val="auto"/>
          <w:sz w:val="24"/>
          <w:highlight w:val="none"/>
        </w:rPr>
        <w:t>具有良好的商业信誉和健全的财务会计制度。</w:t>
      </w:r>
    </w:p>
    <w:p w14:paraId="0BA65E30">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14:paraId="2646CA15">
      <w:pPr>
        <w:spacing w:line="360" w:lineRule="auto"/>
        <w:rPr>
          <w:rFonts w:hint="eastAsia" w:ascii="宋体" w:hAnsi="宋体" w:eastAsia="宋体" w:cs="宋体"/>
          <w:color w:val="auto"/>
          <w:sz w:val="24"/>
          <w:highlight w:val="none"/>
          <w:lang w:val="zh-CN"/>
        </w:rPr>
      </w:pPr>
    </w:p>
    <w:p w14:paraId="6B215665">
      <w:pPr>
        <w:pStyle w:val="3"/>
        <w:rPr>
          <w:rFonts w:hint="eastAsia" w:ascii="宋体" w:hAnsi="宋体" w:eastAsia="宋体" w:cs="宋体"/>
          <w:color w:val="auto"/>
          <w:sz w:val="24"/>
          <w:highlight w:val="none"/>
          <w:lang w:val="zh-CN"/>
        </w:rPr>
      </w:pPr>
    </w:p>
    <w:p w14:paraId="16916791">
      <w:pPr>
        <w:pStyle w:val="3"/>
        <w:rPr>
          <w:rFonts w:hint="eastAsia" w:ascii="宋体" w:hAnsi="宋体" w:eastAsia="宋体" w:cs="宋体"/>
          <w:color w:val="auto"/>
          <w:sz w:val="24"/>
          <w:highlight w:val="none"/>
          <w:lang w:val="zh-CN"/>
        </w:rPr>
      </w:pPr>
    </w:p>
    <w:p w14:paraId="73EB4CFF">
      <w:pPr>
        <w:pStyle w:val="3"/>
        <w:rPr>
          <w:rFonts w:hint="eastAsia" w:ascii="宋体" w:hAnsi="宋体" w:eastAsia="宋体" w:cs="宋体"/>
          <w:color w:val="auto"/>
          <w:sz w:val="24"/>
          <w:highlight w:val="none"/>
          <w:lang w:val="zh-CN"/>
        </w:rPr>
      </w:pPr>
    </w:p>
    <w:p w14:paraId="24031BA9">
      <w:pPr>
        <w:widowControl/>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磋商供应商名称(公章)：</w:t>
      </w:r>
    </w:p>
    <w:p w14:paraId="292F6E4E">
      <w:pPr>
        <w:widowControl/>
        <w:spacing w:line="360" w:lineRule="auto"/>
        <w:jc w:val="left"/>
        <w:rPr>
          <w:rFonts w:hint="eastAsia" w:ascii="宋体" w:hAnsi="宋体" w:eastAsia="宋体" w:cs="宋体"/>
          <w:color w:val="auto"/>
          <w:kern w:val="0"/>
          <w:sz w:val="24"/>
          <w:highlight w:val="none"/>
        </w:rPr>
      </w:pPr>
    </w:p>
    <w:p w14:paraId="39C6E87E">
      <w:pPr>
        <w:widowControl/>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法定代表人(签字或盖章)或授权委托人(签字)：</w:t>
      </w:r>
    </w:p>
    <w:p w14:paraId="61B9DB9F">
      <w:pPr>
        <w:widowControl/>
        <w:spacing w:line="360" w:lineRule="auto"/>
        <w:jc w:val="left"/>
        <w:rPr>
          <w:rFonts w:hint="eastAsia" w:ascii="宋体" w:hAnsi="宋体" w:eastAsia="宋体" w:cs="宋体"/>
          <w:color w:val="auto"/>
          <w:kern w:val="0"/>
          <w:sz w:val="24"/>
          <w:highlight w:val="none"/>
        </w:rPr>
      </w:pPr>
    </w:p>
    <w:p w14:paraId="20ABD2FB">
      <w:pPr>
        <w:pStyle w:val="101"/>
        <w:spacing w:before="0" w:beforeAutospacing="0" w:after="0" w:afterAutospacing="0" w:line="360" w:lineRule="auto"/>
        <w:jc w:val="right"/>
        <w:rPr>
          <w:rFonts w:hint="eastAsia" w:ascii="宋体" w:hAnsi="宋体" w:eastAsia="宋体" w:cs="宋体"/>
          <w:color w:val="auto"/>
          <w:highlight w:val="none"/>
          <w:lang w:val="zh-CN"/>
        </w:rPr>
      </w:pPr>
      <w:r>
        <w:rPr>
          <w:rFonts w:hint="eastAsia" w:ascii="宋体" w:hAnsi="宋体" w:eastAsia="宋体" w:cs="宋体"/>
          <w:color w:val="auto"/>
          <w:highlight w:val="none"/>
        </w:rPr>
        <w:t>日期：</w:t>
      </w:r>
      <w:r>
        <w:rPr>
          <w:rFonts w:hint="eastAsia" w:ascii="宋体" w:hAnsi="宋体" w:eastAsia="宋体" w:cs="宋体"/>
          <w:color w:val="auto"/>
          <w:highlight w:val="none"/>
          <w:lang w:val="zh-CN"/>
        </w:rPr>
        <w:t xml:space="preserve">     年   月   日</w:t>
      </w:r>
    </w:p>
    <w:p w14:paraId="535C9B7B">
      <w:pPr>
        <w:pStyle w:val="101"/>
        <w:shd w:val="clear" w:color="auto" w:fill="FFFFFF"/>
        <w:spacing w:before="0" w:beforeAutospacing="0" w:after="0" w:afterAutospacing="0" w:line="360" w:lineRule="auto"/>
        <w:rPr>
          <w:rFonts w:hint="eastAsia" w:ascii="宋体" w:hAnsi="宋体" w:eastAsia="宋体" w:cs="宋体"/>
          <w:b/>
          <w:color w:val="auto"/>
          <w:highlight w:val="none"/>
        </w:rPr>
      </w:pPr>
    </w:p>
    <w:p w14:paraId="21AA348D">
      <w:pPr>
        <w:pStyle w:val="101"/>
        <w:shd w:val="clear" w:color="auto" w:fill="FFFFFF"/>
        <w:spacing w:before="0" w:beforeAutospacing="0" w:after="0" w:afterAutospacing="0" w:line="360" w:lineRule="auto"/>
        <w:rPr>
          <w:rFonts w:hint="eastAsia" w:ascii="宋体" w:hAnsi="宋体" w:eastAsia="宋体" w:cs="宋体"/>
          <w:b/>
          <w:color w:val="auto"/>
          <w:highlight w:val="none"/>
        </w:rPr>
      </w:pPr>
    </w:p>
    <w:p w14:paraId="171555FE">
      <w:pPr>
        <w:pStyle w:val="101"/>
        <w:shd w:val="clear" w:color="auto" w:fill="FFFFFF"/>
        <w:spacing w:before="0" w:beforeAutospacing="0" w:after="0" w:afterAutospacing="0" w:line="360" w:lineRule="auto"/>
        <w:rPr>
          <w:rFonts w:hint="eastAsia" w:ascii="宋体" w:hAnsi="宋体" w:eastAsia="宋体" w:cs="宋体"/>
          <w:b/>
          <w:color w:val="auto"/>
          <w:highlight w:val="none"/>
        </w:rPr>
      </w:pPr>
    </w:p>
    <w:p w14:paraId="705F3152">
      <w:pPr>
        <w:pStyle w:val="101"/>
        <w:shd w:val="clear" w:color="auto" w:fill="FFFFFF"/>
        <w:spacing w:before="0" w:beforeAutospacing="0" w:after="0" w:afterAutospacing="0" w:line="360" w:lineRule="auto"/>
        <w:rPr>
          <w:rFonts w:hint="eastAsia" w:ascii="宋体" w:hAnsi="宋体" w:eastAsia="宋体" w:cs="宋体"/>
          <w:b/>
          <w:color w:val="auto"/>
          <w:highlight w:val="none"/>
        </w:rPr>
      </w:pPr>
    </w:p>
    <w:p w14:paraId="37187F97">
      <w:pPr>
        <w:pStyle w:val="101"/>
        <w:shd w:val="clear" w:color="auto" w:fill="FFFFFF"/>
        <w:spacing w:before="0" w:beforeAutospacing="0" w:after="0" w:afterAutospacing="0" w:line="360" w:lineRule="auto"/>
        <w:rPr>
          <w:rFonts w:hint="eastAsia" w:ascii="宋体" w:hAnsi="宋体" w:eastAsia="宋体" w:cs="宋体"/>
          <w:b/>
          <w:color w:val="auto"/>
          <w:highlight w:val="none"/>
        </w:rPr>
      </w:pPr>
    </w:p>
    <w:p w14:paraId="6B4FA19E">
      <w:pPr>
        <w:pStyle w:val="101"/>
        <w:shd w:val="clear" w:color="auto" w:fill="FFFFFF"/>
        <w:spacing w:before="0" w:beforeAutospacing="0" w:after="0" w:afterAutospacing="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附件5：</w:t>
      </w:r>
    </w:p>
    <w:p w14:paraId="0E62C393">
      <w:pPr>
        <w:pStyle w:val="21"/>
        <w:spacing w:line="360" w:lineRule="auto"/>
        <w:ind w:firstLine="51"/>
        <w:outlineLvl w:val="1"/>
        <w:rPr>
          <w:rFonts w:hint="eastAsia" w:ascii="宋体" w:hAnsi="宋体" w:eastAsia="宋体" w:cs="宋体"/>
          <w:b/>
          <w:bCs/>
          <w:color w:val="auto"/>
          <w:sz w:val="24"/>
          <w:highlight w:val="none"/>
          <w:lang w:val="zh-CN"/>
        </w:rPr>
      </w:pPr>
    </w:p>
    <w:p w14:paraId="7DDAA31F">
      <w:pPr>
        <w:spacing w:after="240" w:afterLines="100" w:line="480" w:lineRule="auto"/>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无税收缴纳、社会保障等方面的失信记录的承诺函</w:t>
      </w:r>
    </w:p>
    <w:p w14:paraId="588DD972">
      <w:pPr>
        <w:widowControl/>
        <w:spacing w:line="600" w:lineRule="exact"/>
        <w:rPr>
          <w:rFonts w:hint="eastAsia" w:ascii="宋体" w:hAnsi="宋体" w:eastAsia="宋体" w:cs="宋体"/>
          <w:color w:val="auto"/>
          <w:kern w:val="0"/>
          <w:sz w:val="24"/>
          <w:highlight w:val="none"/>
        </w:rPr>
      </w:pPr>
    </w:p>
    <w:p w14:paraId="7DFE5FF4">
      <w:pPr>
        <w:widowControl/>
        <w:spacing w:line="6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u w:val="single"/>
          <w:lang w:eastAsia="zh-CN"/>
        </w:rPr>
        <w:t>仙居县水利工程投资建设开发有限公司</w:t>
      </w:r>
      <w:r>
        <w:rPr>
          <w:rFonts w:hint="eastAsia" w:ascii="宋体" w:hAnsi="宋体" w:eastAsia="宋体" w:cs="宋体"/>
          <w:color w:val="auto"/>
          <w:sz w:val="24"/>
          <w:highlight w:val="none"/>
          <w:u w:val="single"/>
        </w:rPr>
        <w:t>、仙居县鸿信工程咨询有限公司</w:t>
      </w:r>
      <w:r>
        <w:rPr>
          <w:rFonts w:hint="eastAsia" w:ascii="宋体" w:hAnsi="宋体" w:eastAsia="宋体" w:cs="宋体"/>
          <w:color w:val="auto"/>
          <w:kern w:val="0"/>
          <w:sz w:val="24"/>
          <w:highlight w:val="none"/>
        </w:rPr>
        <w:t>：</w:t>
      </w:r>
    </w:p>
    <w:p w14:paraId="78288032">
      <w:pPr>
        <w:pStyle w:val="3"/>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我公司参加</w:t>
      </w:r>
      <w:r>
        <w:rPr>
          <w:rFonts w:hint="eastAsia" w:ascii="宋体" w:hAnsi="宋体" w:eastAsia="宋体" w:cs="宋体"/>
          <w:color w:val="auto"/>
          <w:sz w:val="24"/>
          <w:highlight w:val="none"/>
          <w:u w:val="single"/>
          <w:lang w:eastAsia="zh-CN"/>
        </w:rPr>
        <w:t>仙居县生态共富小流域水土流失综合治理项目（大战岙溪、桐山溪、大洪港、东坑小流域）（EPC工程总承包）（监理）</w:t>
      </w:r>
      <w:r>
        <w:rPr>
          <w:rFonts w:hint="eastAsia" w:ascii="宋体" w:hAnsi="宋体" w:eastAsia="宋体" w:cs="宋体"/>
          <w:color w:val="auto"/>
          <w:sz w:val="24"/>
          <w:highlight w:val="none"/>
          <w:u w:val="single"/>
        </w:rPr>
        <w:t>[编号：</w:t>
      </w:r>
      <w:r>
        <w:rPr>
          <w:rFonts w:hint="eastAsia" w:ascii="宋体" w:hAnsi="宋体" w:cs="宋体"/>
          <w:color w:val="auto"/>
          <w:sz w:val="24"/>
          <w:highlight w:val="none"/>
          <w:u w:val="single"/>
          <w:lang w:eastAsia="zh-CN"/>
        </w:rPr>
        <w:t>HXZX（仙）-2025-04</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的投标活动，作如下承诺：</w:t>
      </w:r>
    </w:p>
    <w:p w14:paraId="6E9470B5">
      <w:pPr>
        <w:pStyle w:val="3"/>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106CDEB">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14:paraId="4B35BB36">
      <w:pPr>
        <w:spacing w:line="360" w:lineRule="auto"/>
        <w:rPr>
          <w:rFonts w:hint="eastAsia" w:ascii="宋体" w:hAnsi="宋体" w:eastAsia="宋体" w:cs="宋体"/>
          <w:color w:val="auto"/>
          <w:sz w:val="24"/>
          <w:highlight w:val="none"/>
          <w:lang w:val="zh-CN"/>
        </w:rPr>
      </w:pPr>
    </w:p>
    <w:p w14:paraId="0F1953AB">
      <w:pPr>
        <w:pStyle w:val="3"/>
        <w:rPr>
          <w:rFonts w:hint="eastAsia" w:ascii="宋体" w:hAnsi="宋体" w:eastAsia="宋体" w:cs="宋体"/>
          <w:color w:val="auto"/>
          <w:sz w:val="24"/>
          <w:highlight w:val="none"/>
          <w:lang w:val="zh-CN"/>
        </w:rPr>
      </w:pPr>
    </w:p>
    <w:p w14:paraId="2251025E">
      <w:pPr>
        <w:pStyle w:val="3"/>
        <w:rPr>
          <w:rFonts w:hint="eastAsia" w:ascii="宋体" w:hAnsi="宋体" w:eastAsia="宋体" w:cs="宋体"/>
          <w:color w:val="auto"/>
          <w:sz w:val="24"/>
          <w:highlight w:val="none"/>
          <w:lang w:val="zh-CN"/>
        </w:rPr>
      </w:pPr>
    </w:p>
    <w:p w14:paraId="7786649D">
      <w:pPr>
        <w:widowControl/>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磋商供应商名称(公章)：</w:t>
      </w:r>
    </w:p>
    <w:p w14:paraId="5C2CB6EA">
      <w:pPr>
        <w:widowControl/>
        <w:spacing w:line="360" w:lineRule="auto"/>
        <w:jc w:val="left"/>
        <w:rPr>
          <w:rFonts w:hint="eastAsia" w:ascii="宋体" w:hAnsi="宋体" w:eastAsia="宋体" w:cs="宋体"/>
          <w:color w:val="auto"/>
          <w:kern w:val="0"/>
          <w:sz w:val="24"/>
          <w:highlight w:val="none"/>
        </w:rPr>
      </w:pPr>
    </w:p>
    <w:p w14:paraId="43FC7FE8">
      <w:pPr>
        <w:widowControl/>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法定代表人(签字或盖章)或授权委托人(签字)：</w:t>
      </w:r>
    </w:p>
    <w:p w14:paraId="4BF090C3">
      <w:pPr>
        <w:widowControl/>
        <w:spacing w:line="360" w:lineRule="auto"/>
        <w:jc w:val="left"/>
        <w:rPr>
          <w:rFonts w:hint="eastAsia" w:ascii="宋体" w:hAnsi="宋体" w:eastAsia="宋体" w:cs="宋体"/>
          <w:color w:val="auto"/>
          <w:kern w:val="0"/>
          <w:sz w:val="24"/>
          <w:highlight w:val="none"/>
        </w:rPr>
      </w:pPr>
    </w:p>
    <w:p w14:paraId="7D071168">
      <w:pPr>
        <w:pStyle w:val="21"/>
        <w:spacing w:line="400" w:lineRule="atLeast"/>
        <w:jc w:val="right"/>
        <w:rPr>
          <w:rFonts w:hAnsi="宋体"/>
          <w:b/>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lang w:val="zh-CN"/>
        </w:rPr>
        <w:t xml:space="preserve">     年   月   日</w:t>
      </w:r>
    </w:p>
    <w:p w14:paraId="67CA031A">
      <w:pPr>
        <w:pStyle w:val="21"/>
        <w:spacing w:line="400" w:lineRule="atLeast"/>
        <w:rPr>
          <w:rFonts w:hAnsi="宋体"/>
          <w:b/>
          <w:color w:val="auto"/>
          <w:sz w:val="24"/>
          <w:highlight w:val="none"/>
        </w:rPr>
      </w:pPr>
    </w:p>
    <w:p w14:paraId="170DBE4F">
      <w:pPr>
        <w:pStyle w:val="21"/>
        <w:spacing w:line="400" w:lineRule="atLeast"/>
        <w:rPr>
          <w:rFonts w:hAnsi="宋体"/>
          <w:b/>
          <w:color w:val="auto"/>
          <w:sz w:val="24"/>
          <w:highlight w:val="none"/>
        </w:rPr>
      </w:pPr>
    </w:p>
    <w:p w14:paraId="77A313E4">
      <w:pPr>
        <w:pStyle w:val="101"/>
        <w:shd w:val="clear" w:color="auto" w:fill="FFFFFF"/>
        <w:spacing w:before="0" w:beforeAutospacing="0" w:after="0" w:afterAutospacing="0" w:line="360" w:lineRule="auto"/>
        <w:rPr>
          <w:b/>
          <w:color w:val="auto"/>
          <w:sz w:val="28"/>
          <w:highlight w:val="none"/>
        </w:rPr>
      </w:pPr>
    </w:p>
    <w:p w14:paraId="03B75E77">
      <w:pPr>
        <w:pStyle w:val="101"/>
        <w:shd w:val="clear" w:color="auto" w:fill="FFFFFF"/>
        <w:spacing w:before="0" w:beforeAutospacing="0" w:after="0" w:afterAutospacing="0" w:line="360" w:lineRule="auto"/>
        <w:rPr>
          <w:b/>
          <w:color w:val="auto"/>
          <w:sz w:val="28"/>
          <w:highlight w:val="none"/>
        </w:rPr>
      </w:pPr>
    </w:p>
    <w:p w14:paraId="30EC3429">
      <w:pPr>
        <w:pStyle w:val="101"/>
        <w:shd w:val="clear" w:color="auto" w:fill="FFFFFF"/>
        <w:spacing w:before="0" w:beforeAutospacing="0" w:after="0" w:afterAutospacing="0" w:line="360" w:lineRule="auto"/>
        <w:rPr>
          <w:b/>
          <w:color w:val="auto"/>
          <w:sz w:val="28"/>
          <w:highlight w:val="none"/>
        </w:rPr>
      </w:pPr>
    </w:p>
    <w:p w14:paraId="5BFF184D">
      <w:pPr>
        <w:spacing w:line="360" w:lineRule="atLeast"/>
        <w:rPr>
          <w:b/>
          <w:color w:val="auto"/>
          <w:sz w:val="24"/>
          <w:highlight w:val="none"/>
        </w:rPr>
      </w:pPr>
    </w:p>
    <w:p w14:paraId="379F90A7">
      <w:pPr>
        <w:pStyle w:val="101"/>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14:paraId="28704AE0">
      <w:pPr>
        <w:spacing w:before="156" w:after="156"/>
        <w:jc w:val="center"/>
        <w:rPr>
          <w:b/>
          <w:color w:val="auto"/>
          <w:sz w:val="32"/>
          <w:szCs w:val="32"/>
          <w:highlight w:val="none"/>
        </w:rPr>
      </w:pPr>
      <w:r>
        <w:rPr>
          <w:rFonts w:hint="eastAsia"/>
          <w:b/>
          <w:color w:val="auto"/>
          <w:sz w:val="32"/>
          <w:szCs w:val="32"/>
          <w:highlight w:val="none"/>
        </w:rPr>
        <w:t>专家评分索引表</w:t>
      </w:r>
    </w:p>
    <w:tbl>
      <w:tblPr>
        <w:tblStyle w:val="38"/>
        <w:tblW w:w="0" w:type="auto"/>
        <w:jc w:val="center"/>
        <w:tblLayout w:type="fixed"/>
        <w:tblCellMar>
          <w:top w:w="0" w:type="dxa"/>
          <w:left w:w="0" w:type="dxa"/>
          <w:bottom w:w="0" w:type="dxa"/>
          <w:right w:w="0" w:type="dxa"/>
        </w:tblCellMar>
      </w:tblPr>
      <w:tblGrid>
        <w:gridCol w:w="837"/>
        <w:gridCol w:w="5412"/>
        <w:gridCol w:w="1141"/>
        <w:gridCol w:w="2060"/>
      </w:tblGrid>
      <w:tr w14:paraId="6C93344A">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E136E">
            <w:pPr>
              <w:spacing w:line="360" w:lineRule="exact"/>
              <w:jc w:val="center"/>
              <w:rPr>
                <w:b/>
                <w:color w:val="auto"/>
                <w:highlight w:val="none"/>
              </w:rPr>
            </w:pPr>
            <w:r>
              <w:rPr>
                <w:rFonts w:hint="eastAsia"/>
                <w:b/>
                <w:color w:val="auto"/>
                <w:highlight w:val="none"/>
              </w:rPr>
              <w:t>序号</w:t>
            </w: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7669C">
            <w:pPr>
              <w:spacing w:line="360" w:lineRule="exact"/>
              <w:jc w:val="center"/>
              <w:rPr>
                <w:b/>
                <w:color w:val="auto"/>
                <w:highlight w:val="none"/>
              </w:rPr>
            </w:pPr>
            <w:r>
              <w:rPr>
                <w:rFonts w:hint="eastAsia"/>
                <w:b/>
                <w:color w:val="auto"/>
                <w:szCs w:val="21"/>
                <w:highlight w:val="none"/>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76AD47">
            <w:pPr>
              <w:spacing w:line="360" w:lineRule="exact"/>
              <w:jc w:val="center"/>
              <w:rPr>
                <w:b/>
                <w:color w:val="auto"/>
                <w:highlight w:val="none"/>
              </w:rPr>
            </w:pPr>
            <w:r>
              <w:rPr>
                <w:rFonts w:hint="eastAsia"/>
                <w:b/>
                <w:color w:val="auto"/>
                <w:highlight w:val="none"/>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29F99">
            <w:pPr>
              <w:spacing w:line="360" w:lineRule="exact"/>
              <w:jc w:val="center"/>
              <w:rPr>
                <w:b/>
                <w:color w:val="auto"/>
                <w:highlight w:val="none"/>
              </w:rPr>
            </w:pPr>
            <w:r>
              <w:rPr>
                <w:rFonts w:hint="eastAsia"/>
                <w:b/>
                <w:color w:val="auto"/>
                <w:highlight w:val="none"/>
              </w:rPr>
              <w:t>在投标文件中所对应的</w:t>
            </w:r>
            <w:r>
              <w:rPr>
                <w:b/>
                <w:color w:val="auto"/>
                <w:highlight w:val="none"/>
              </w:rPr>
              <w:t>页码</w:t>
            </w:r>
          </w:p>
        </w:tc>
      </w:tr>
      <w:tr w14:paraId="51CBDEA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9CDF5">
            <w:pPr>
              <w:spacing w:line="290" w:lineRule="exact"/>
              <w:jc w:val="center"/>
              <w:rPr>
                <w:color w:val="auto"/>
                <w:highlight w:val="none"/>
              </w:rPr>
            </w:pPr>
            <w:r>
              <w:rPr>
                <w:rFonts w:hint="eastAsia"/>
                <w:b/>
                <w:color w:val="auto"/>
                <w:szCs w:val="21"/>
                <w:highlight w:val="none"/>
              </w:rPr>
              <w:t>1</w:t>
            </w: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47E5A6">
            <w:pPr>
              <w:spacing w:line="290" w:lineRule="exact"/>
              <w:jc w:val="center"/>
              <w:rPr>
                <w:b/>
                <w:color w:val="auto"/>
                <w:highlight w:val="none"/>
              </w:rPr>
            </w:pPr>
            <w:r>
              <w:rPr>
                <w:b/>
                <w:color w:val="auto"/>
                <w:sz w:val="24"/>
                <w:highlight w:val="none"/>
              </w:rPr>
              <w:t>…</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7A72A6">
            <w:pPr>
              <w:snapToGrid w:val="0"/>
              <w:spacing w:line="360" w:lineRule="exact"/>
              <w:jc w:val="center"/>
              <w:rPr>
                <w:color w:val="auto"/>
                <w:highlight w:val="none"/>
              </w:rPr>
            </w:pPr>
            <w:r>
              <w:rPr>
                <w:b/>
                <w:color w:val="auto"/>
                <w:sz w:val="24"/>
                <w:highlight w:val="none"/>
              </w:rPr>
              <w:t>…</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4E61A0">
            <w:pPr>
              <w:spacing w:line="360" w:lineRule="exact"/>
              <w:jc w:val="center"/>
              <w:rPr>
                <w:color w:val="auto"/>
                <w:highlight w:val="none"/>
              </w:rPr>
            </w:pPr>
            <w:r>
              <w:rPr>
                <w:b/>
                <w:color w:val="auto"/>
                <w:sz w:val="24"/>
                <w:highlight w:val="none"/>
              </w:rPr>
              <w:t>…</w:t>
            </w:r>
          </w:p>
        </w:tc>
      </w:tr>
      <w:tr w14:paraId="078F1E2D">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213D77">
            <w:pPr>
              <w:spacing w:line="290" w:lineRule="exact"/>
              <w:jc w:val="center"/>
              <w:rPr>
                <w:color w:val="auto"/>
                <w:highlight w:val="none"/>
              </w:rPr>
            </w:pPr>
            <w:r>
              <w:rPr>
                <w:b/>
                <w:color w:val="auto"/>
                <w:sz w:val="24"/>
                <w:highlight w:val="none"/>
              </w:rPr>
              <w:t>…</w:t>
            </w: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E8531B">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562DDE">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0D0611">
            <w:pPr>
              <w:spacing w:line="360" w:lineRule="exact"/>
              <w:rPr>
                <w:color w:val="auto"/>
                <w:highlight w:val="none"/>
              </w:rPr>
            </w:pPr>
          </w:p>
        </w:tc>
      </w:tr>
      <w:tr w14:paraId="4C4208C8">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6ADF17">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CA072">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09AF42">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745F95">
            <w:pPr>
              <w:spacing w:line="360" w:lineRule="exact"/>
              <w:rPr>
                <w:color w:val="auto"/>
                <w:highlight w:val="none"/>
              </w:rPr>
            </w:pPr>
          </w:p>
        </w:tc>
      </w:tr>
      <w:tr w14:paraId="27819584">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661A4D">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F45C5C">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D5F42F">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18D870">
            <w:pPr>
              <w:spacing w:line="360" w:lineRule="exact"/>
              <w:rPr>
                <w:color w:val="auto"/>
                <w:highlight w:val="none"/>
              </w:rPr>
            </w:pPr>
          </w:p>
        </w:tc>
      </w:tr>
      <w:tr w14:paraId="02FB9944">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27219C">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17CAD0">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94D02E">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FE294F">
            <w:pPr>
              <w:spacing w:line="360" w:lineRule="exact"/>
              <w:rPr>
                <w:color w:val="auto"/>
                <w:highlight w:val="none"/>
              </w:rPr>
            </w:pPr>
          </w:p>
        </w:tc>
      </w:tr>
      <w:tr w14:paraId="4AB80A43">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682B43">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BE837">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6F05E4">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90A6E9">
            <w:pPr>
              <w:spacing w:line="360" w:lineRule="exact"/>
              <w:rPr>
                <w:color w:val="auto"/>
                <w:highlight w:val="none"/>
              </w:rPr>
            </w:pPr>
          </w:p>
        </w:tc>
      </w:tr>
      <w:tr w14:paraId="0AB9271A">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190D16">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77C984">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FB0320">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F9BC1C">
            <w:pPr>
              <w:spacing w:line="360" w:lineRule="exact"/>
              <w:rPr>
                <w:color w:val="auto"/>
                <w:highlight w:val="none"/>
              </w:rPr>
            </w:pPr>
          </w:p>
        </w:tc>
      </w:tr>
      <w:tr w14:paraId="5A5DD2C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62380A">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2D847B">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6F9D98">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7D214B">
            <w:pPr>
              <w:spacing w:line="360" w:lineRule="exact"/>
              <w:rPr>
                <w:color w:val="auto"/>
                <w:highlight w:val="none"/>
              </w:rPr>
            </w:pPr>
          </w:p>
        </w:tc>
      </w:tr>
      <w:tr w14:paraId="572BD63D">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294F41">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1EAEB">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AE0305">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2B4359">
            <w:pPr>
              <w:spacing w:line="360" w:lineRule="exact"/>
              <w:rPr>
                <w:color w:val="auto"/>
                <w:highlight w:val="none"/>
              </w:rPr>
            </w:pPr>
          </w:p>
        </w:tc>
      </w:tr>
      <w:tr w14:paraId="5D30D4B9">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37DBF6">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24BC9">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97023E">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A86859">
            <w:pPr>
              <w:spacing w:line="360" w:lineRule="exact"/>
              <w:rPr>
                <w:color w:val="auto"/>
                <w:highlight w:val="none"/>
              </w:rPr>
            </w:pPr>
          </w:p>
        </w:tc>
      </w:tr>
      <w:tr w14:paraId="19AF05B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3CB3D1">
            <w:pPr>
              <w:spacing w:line="290" w:lineRule="exact"/>
              <w:jc w:val="center"/>
              <w:rPr>
                <w:color w:val="auto"/>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48FE59">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8B52E">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E0C36">
            <w:pPr>
              <w:spacing w:line="360" w:lineRule="exact"/>
              <w:rPr>
                <w:color w:val="auto"/>
                <w:highlight w:val="none"/>
              </w:rPr>
            </w:pPr>
          </w:p>
        </w:tc>
      </w:tr>
      <w:tr w14:paraId="38AF56A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7BF27">
            <w:pPr>
              <w:spacing w:line="290" w:lineRule="exact"/>
              <w:jc w:val="center"/>
              <w:rPr>
                <w:b/>
                <w:color w:val="auto"/>
                <w:sz w:val="24"/>
                <w:highlight w:val="none"/>
              </w:rPr>
            </w:pPr>
          </w:p>
        </w:tc>
        <w:tc>
          <w:tcPr>
            <w:tcW w:w="5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827D96">
            <w:pPr>
              <w:spacing w:line="290" w:lineRule="exact"/>
              <w:jc w:val="center"/>
              <w:rPr>
                <w:b/>
                <w:color w:val="auto"/>
                <w:highlight w:val="none"/>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D719BE">
            <w:pPr>
              <w:snapToGrid w:val="0"/>
              <w:spacing w:line="360" w:lineRule="exact"/>
              <w:jc w:val="center"/>
              <w:rPr>
                <w:color w:val="auto"/>
                <w:highlight w:val="none"/>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5C662">
            <w:pPr>
              <w:spacing w:line="360" w:lineRule="exact"/>
              <w:rPr>
                <w:color w:val="auto"/>
                <w:highlight w:val="none"/>
              </w:rPr>
            </w:pPr>
          </w:p>
        </w:tc>
      </w:tr>
    </w:tbl>
    <w:p w14:paraId="7877BE88">
      <w:pPr>
        <w:spacing w:line="400" w:lineRule="exact"/>
        <w:rPr>
          <w:b/>
          <w:color w:val="auto"/>
          <w:highlight w:val="none"/>
        </w:rPr>
      </w:pPr>
      <w:r>
        <w:rPr>
          <w:b/>
          <w:color w:val="auto"/>
          <w:highlight w:val="none"/>
        </w:rPr>
        <w:t>注：</w:t>
      </w:r>
      <w:r>
        <w:rPr>
          <w:rFonts w:hint="eastAsia"/>
          <w:b/>
          <w:color w:val="auto"/>
          <w:highlight w:val="none"/>
        </w:rPr>
        <w:t>1、投标供应商应结合本磋商文件评分细则认真填制相关内容，以及在响应文件中所对应的页码，如未提供，评委有权认为不具备或不符合，有可能影响投标人的得分。</w:t>
      </w:r>
    </w:p>
    <w:p w14:paraId="4929EECE">
      <w:pPr>
        <w:pStyle w:val="101"/>
        <w:shd w:val="clear" w:color="auto" w:fill="FFFFFF"/>
        <w:spacing w:before="0" w:beforeAutospacing="0" w:after="0" w:afterAutospacing="0" w:line="360" w:lineRule="auto"/>
        <w:ind w:firstLine="422" w:firstLineChars="200"/>
        <w:rPr>
          <w:rFonts w:hAnsi="Times New Roman" w:cs="Times New Roman"/>
          <w:b/>
          <w:color w:val="auto"/>
          <w:sz w:val="21"/>
          <w:highlight w:val="none"/>
        </w:rPr>
      </w:pPr>
      <w:r>
        <w:rPr>
          <w:rFonts w:hint="eastAsia" w:hAnsi="Times New Roman" w:cs="Times New Roman"/>
          <w:b/>
          <w:color w:val="auto"/>
          <w:sz w:val="21"/>
          <w:highlight w:val="none"/>
        </w:rPr>
        <w:t>2、如本表格不适合投标单位的实际情况，可根据本表格式自行制表填写。</w:t>
      </w:r>
    </w:p>
    <w:p w14:paraId="0147686E">
      <w:pPr>
        <w:ind w:firstLine="424" w:firstLineChars="177"/>
        <w:rPr>
          <w:color w:val="auto"/>
          <w:sz w:val="24"/>
          <w:highlight w:val="none"/>
        </w:rPr>
      </w:pPr>
    </w:p>
    <w:p w14:paraId="31EC5EA1">
      <w:pPr>
        <w:pStyle w:val="101"/>
        <w:shd w:val="clear" w:color="auto" w:fill="FFFFFF"/>
        <w:spacing w:before="0" w:beforeAutospacing="0" w:after="0" w:afterAutospacing="0" w:line="360" w:lineRule="auto"/>
        <w:rPr>
          <w:b/>
          <w:color w:val="auto"/>
          <w:sz w:val="28"/>
          <w:highlight w:val="none"/>
        </w:rPr>
      </w:pPr>
    </w:p>
    <w:p w14:paraId="026A7FC7">
      <w:pPr>
        <w:pStyle w:val="101"/>
        <w:shd w:val="clear" w:color="auto" w:fill="FFFFFF"/>
        <w:spacing w:before="0" w:beforeAutospacing="0" w:after="0" w:afterAutospacing="0" w:line="360" w:lineRule="auto"/>
        <w:rPr>
          <w:b/>
          <w:color w:val="auto"/>
          <w:sz w:val="28"/>
          <w:highlight w:val="none"/>
        </w:rPr>
      </w:pPr>
    </w:p>
    <w:p w14:paraId="706D3E10">
      <w:pPr>
        <w:pStyle w:val="101"/>
        <w:shd w:val="clear" w:color="auto" w:fill="FFFFFF"/>
        <w:spacing w:before="0" w:beforeAutospacing="0" w:after="0" w:afterAutospacing="0" w:line="360" w:lineRule="auto"/>
        <w:rPr>
          <w:b/>
          <w:color w:val="auto"/>
          <w:sz w:val="28"/>
          <w:highlight w:val="none"/>
        </w:rPr>
      </w:pPr>
    </w:p>
    <w:p w14:paraId="3EDA2446">
      <w:pPr>
        <w:pStyle w:val="101"/>
        <w:shd w:val="clear" w:color="auto" w:fill="FFFFFF"/>
        <w:spacing w:before="0" w:beforeAutospacing="0" w:after="0" w:afterAutospacing="0" w:line="360" w:lineRule="auto"/>
        <w:rPr>
          <w:b/>
          <w:color w:val="auto"/>
          <w:sz w:val="28"/>
          <w:highlight w:val="none"/>
        </w:rPr>
      </w:pPr>
    </w:p>
    <w:p w14:paraId="45DA79D9">
      <w:pPr>
        <w:pStyle w:val="101"/>
        <w:shd w:val="clear" w:color="auto" w:fill="FFFFFF"/>
        <w:spacing w:before="0" w:beforeAutospacing="0" w:after="0" w:afterAutospacing="0" w:line="360" w:lineRule="auto"/>
        <w:rPr>
          <w:b/>
          <w:color w:val="auto"/>
          <w:sz w:val="28"/>
          <w:highlight w:val="none"/>
        </w:rPr>
      </w:pPr>
    </w:p>
    <w:p w14:paraId="5305E576">
      <w:pPr>
        <w:spacing w:line="360" w:lineRule="auto"/>
        <w:rPr>
          <w:b/>
          <w:color w:val="auto"/>
          <w:sz w:val="28"/>
          <w:highlight w:val="none"/>
        </w:rPr>
      </w:pPr>
    </w:p>
    <w:p w14:paraId="48E1B821">
      <w:pPr>
        <w:spacing w:line="360" w:lineRule="auto"/>
        <w:rPr>
          <w:rFonts w:hint="eastAsia"/>
          <w:b/>
          <w:color w:val="auto"/>
          <w:sz w:val="28"/>
          <w:highlight w:val="none"/>
        </w:rPr>
      </w:pPr>
      <w:r>
        <w:rPr>
          <w:rFonts w:hint="eastAsia"/>
          <w:b/>
          <w:color w:val="auto"/>
          <w:sz w:val="28"/>
          <w:highlight w:val="none"/>
        </w:rPr>
        <w:t>附件7：</w:t>
      </w:r>
    </w:p>
    <w:p w14:paraId="39AB1D33">
      <w:pPr>
        <w:spacing w:after="240" w:afterLines="100" w:line="48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zh-CN"/>
        </w:rPr>
        <w:t>商务响应承诺函</w:t>
      </w:r>
    </w:p>
    <w:p w14:paraId="60DA0B60">
      <w:pPr>
        <w:widowControl/>
        <w:spacing w:line="600" w:lineRule="exact"/>
        <w:rPr>
          <w:rFonts w:hint="eastAsia" w:hAnsi="宋体" w:cs="宋体"/>
          <w:b/>
          <w:bCs/>
          <w:color w:val="auto"/>
          <w:sz w:val="24"/>
          <w:highlight w:val="none"/>
          <w:u w:val="singl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u w:val="single"/>
          <w:lang w:eastAsia="zh-CN"/>
        </w:rPr>
        <w:t>仙居县水利工程投资建设开发有限公司</w:t>
      </w:r>
      <w:r>
        <w:rPr>
          <w:rFonts w:hint="eastAsia" w:ascii="宋体" w:hAnsi="宋体" w:eastAsia="宋体" w:cs="宋体"/>
          <w:color w:val="auto"/>
          <w:sz w:val="24"/>
          <w:highlight w:val="none"/>
          <w:u w:val="single"/>
        </w:rPr>
        <w:t>、仙居县鸿信工程咨询有限公司</w:t>
      </w:r>
      <w:r>
        <w:rPr>
          <w:rFonts w:hint="eastAsia" w:hAnsi="宋体" w:cs="宋体"/>
          <w:color w:val="auto"/>
          <w:sz w:val="24"/>
          <w:highlight w:val="none"/>
          <w:u w:val="single"/>
        </w:rPr>
        <w:t>：</w:t>
      </w:r>
    </w:p>
    <w:p w14:paraId="67EC5195">
      <w:pPr>
        <w:pStyle w:val="21"/>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仙居县生态共富小流域水土流失综合治理项目（大战岙溪、桐山溪、大洪港、东坑小流域）（EPC工程总承包）（监理）[编号：</w:t>
      </w:r>
      <w:r>
        <w:rPr>
          <w:rFonts w:hint="eastAsia" w:hAnsi="宋体" w:cs="宋体"/>
          <w:color w:val="auto"/>
          <w:sz w:val="24"/>
          <w:highlight w:val="none"/>
          <w:u w:val="single"/>
          <w:lang w:eastAsia="zh-CN"/>
        </w:rPr>
        <w:t>HXZX（仙）-2025-04</w:t>
      </w:r>
      <w:r>
        <w:rPr>
          <w:rFonts w:hint="eastAsia" w:ascii="宋体" w:hAnsi="宋体" w:eastAsia="宋体" w:cs="宋体"/>
          <w:color w:val="auto"/>
          <w:sz w:val="24"/>
          <w:highlight w:val="none"/>
          <w:u w:val="single"/>
          <w:lang w:eastAsia="zh-CN"/>
        </w:rPr>
        <w:t>]</w:t>
      </w:r>
      <w:r>
        <w:rPr>
          <w:rFonts w:hint="eastAsia" w:hAnsi="宋体" w:cs="宋体"/>
          <w:color w:val="auto"/>
          <w:sz w:val="24"/>
          <w:highlight w:val="none"/>
        </w:rPr>
        <w:t>的磋商活动，我方郑重承诺，我方承诺对磋商文件中的商务要求完全响应。</w:t>
      </w:r>
    </w:p>
    <w:p w14:paraId="390E289A">
      <w:pPr>
        <w:pStyle w:val="21"/>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77144A9D">
      <w:pPr>
        <w:pStyle w:val="21"/>
        <w:adjustRightInd w:val="0"/>
        <w:snapToGrid w:val="0"/>
        <w:spacing w:line="360" w:lineRule="auto"/>
        <w:rPr>
          <w:rFonts w:hint="eastAsia" w:ascii="宋体" w:hAnsi="宋体" w:eastAsia="宋体" w:cs="宋体"/>
          <w:color w:val="auto"/>
          <w:sz w:val="24"/>
          <w:highlight w:val="none"/>
        </w:rPr>
      </w:pPr>
    </w:p>
    <w:p w14:paraId="56964284">
      <w:pPr>
        <w:adjustRightInd w:val="0"/>
        <w:snapToGrid w:val="0"/>
        <w:spacing w:line="360" w:lineRule="auto"/>
        <w:ind w:firstLine="6120" w:firstLineChars="2550"/>
        <w:jc w:val="right"/>
        <w:rPr>
          <w:rFonts w:hint="eastAsia" w:ascii="宋体" w:hAnsi="宋体" w:eastAsia="宋体" w:cs="宋体"/>
          <w:color w:val="auto"/>
          <w:sz w:val="24"/>
          <w:highlight w:val="none"/>
        </w:rPr>
      </w:pPr>
    </w:p>
    <w:p w14:paraId="27DA4332">
      <w:pPr>
        <w:adjustRightInd w:val="0"/>
        <w:snapToGrid w:val="0"/>
        <w:spacing w:line="360" w:lineRule="auto"/>
        <w:ind w:firstLine="6120" w:firstLineChars="2550"/>
        <w:jc w:val="righ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磋商供应商</w:t>
      </w:r>
      <w:r>
        <w:rPr>
          <w:rFonts w:hint="eastAsia" w:ascii="宋体" w:hAnsi="宋体" w:eastAsia="宋体" w:cs="宋体"/>
          <w:color w:val="auto"/>
          <w:kern w:val="0"/>
          <w:sz w:val="24"/>
          <w:highlight w:val="none"/>
          <w:lang w:val="zh-CN"/>
        </w:rPr>
        <w:t>名称(公章)：</w:t>
      </w:r>
    </w:p>
    <w:p w14:paraId="3DDF08A2">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14:paraId="7BAAD0D7">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日期：     年   月   日</w:t>
      </w:r>
    </w:p>
    <w:p w14:paraId="5245F27B">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06F33DA8">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32FC1BF0">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7565FC8E">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79ADFCA4">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1FAF9198">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050B8CF4">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29B29F6A">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2FB4A0BB">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37D7D76D">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7EE501F1">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50303D3B">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2B47443A">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375B04DC">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339F9F01">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6844D1C4">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2FB08A0C">
      <w:pPr>
        <w:pStyle w:val="101"/>
        <w:shd w:val="clear" w:color="auto" w:fill="FFFFFF"/>
        <w:spacing w:before="0" w:beforeAutospacing="0" w:after="0" w:afterAutospacing="0" w:line="360" w:lineRule="auto"/>
        <w:rPr>
          <w:rFonts w:hint="eastAsia" w:ascii="宋体" w:hAnsi="宋体" w:eastAsia="宋体" w:cs="宋体"/>
          <w:color w:val="auto"/>
          <w:highlight w:val="none"/>
          <w:lang w:val="zh-CN"/>
        </w:rPr>
      </w:pPr>
    </w:p>
    <w:p w14:paraId="675ACEA1">
      <w:pPr>
        <w:pStyle w:val="101"/>
        <w:shd w:val="clear" w:color="auto" w:fill="FFFFFF"/>
        <w:spacing w:before="0" w:beforeAutospacing="0" w:after="0" w:afterAutospacing="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rPr>
        <w:t>：</w:t>
      </w:r>
    </w:p>
    <w:p w14:paraId="4D2C073D">
      <w:pPr>
        <w:pStyle w:val="121"/>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类似项目实施情况一览表</w:t>
      </w:r>
    </w:p>
    <w:p w14:paraId="5AC2CCAA">
      <w:pPr>
        <w:pStyle w:val="121"/>
        <w:spacing w:line="360" w:lineRule="auto"/>
        <w:jc w:val="center"/>
        <w:rPr>
          <w:rFonts w:hint="eastAsia" w:ascii="宋体" w:hAnsi="宋体" w:eastAsia="宋体" w:cs="宋体"/>
          <w:b/>
          <w:color w:val="auto"/>
          <w:sz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2287"/>
        <w:gridCol w:w="1575"/>
        <w:gridCol w:w="1260"/>
        <w:gridCol w:w="1744"/>
        <w:gridCol w:w="2037"/>
      </w:tblGrid>
      <w:tr w14:paraId="430B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dxa"/>
            <w:tcBorders>
              <w:top w:val="single" w:color="auto" w:sz="6" w:space="0"/>
              <w:left w:val="single" w:color="auto" w:sz="6" w:space="0"/>
              <w:bottom w:val="single" w:color="auto" w:sz="6" w:space="0"/>
              <w:right w:val="single" w:color="auto" w:sz="6" w:space="0"/>
            </w:tcBorders>
            <w:noWrap w:val="0"/>
            <w:vAlign w:val="center"/>
          </w:tcPr>
          <w:p w14:paraId="14FBF906">
            <w:pPr>
              <w:pStyle w:val="121"/>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287" w:type="dxa"/>
            <w:tcBorders>
              <w:top w:val="single" w:color="auto" w:sz="6" w:space="0"/>
              <w:left w:val="single" w:color="auto" w:sz="6" w:space="0"/>
              <w:bottom w:val="single" w:color="auto" w:sz="6" w:space="0"/>
              <w:right w:val="single" w:color="auto" w:sz="6" w:space="0"/>
            </w:tcBorders>
            <w:noWrap w:val="0"/>
            <w:vAlign w:val="center"/>
          </w:tcPr>
          <w:p w14:paraId="5B0472B5">
            <w:pPr>
              <w:pStyle w:val="121"/>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0F579FC">
            <w:pPr>
              <w:pStyle w:val="121"/>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69C493B">
            <w:pPr>
              <w:pStyle w:val="121"/>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744" w:type="dxa"/>
            <w:tcBorders>
              <w:top w:val="single" w:color="auto" w:sz="6" w:space="0"/>
              <w:left w:val="single" w:color="auto" w:sz="6" w:space="0"/>
              <w:bottom w:val="single" w:color="auto" w:sz="6" w:space="0"/>
              <w:right w:val="single" w:color="auto" w:sz="6" w:space="0"/>
            </w:tcBorders>
            <w:noWrap w:val="0"/>
            <w:vAlign w:val="center"/>
          </w:tcPr>
          <w:p w14:paraId="7D045C36">
            <w:pPr>
              <w:pStyle w:val="121"/>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合同签订时间</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5D4AF4C1">
            <w:pPr>
              <w:pStyle w:val="121"/>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14:paraId="57CE3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90" w:type="dxa"/>
            <w:tcBorders>
              <w:top w:val="single" w:color="auto" w:sz="6" w:space="0"/>
              <w:left w:val="single" w:color="auto" w:sz="6" w:space="0"/>
              <w:bottom w:val="single" w:color="auto" w:sz="6" w:space="0"/>
              <w:right w:val="single" w:color="auto" w:sz="6" w:space="0"/>
            </w:tcBorders>
            <w:noWrap w:val="0"/>
            <w:vAlign w:val="top"/>
          </w:tcPr>
          <w:p w14:paraId="03861A55">
            <w:pPr>
              <w:pStyle w:val="12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87" w:type="dxa"/>
            <w:tcBorders>
              <w:top w:val="single" w:color="auto" w:sz="6" w:space="0"/>
              <w:left w:val="single" w:color="auto" w:sz="6" w:space="0"/>
              <w:bottom w:val="single" w:color="auto" w:sz="6" w:space="0"/>
              <w:right w:val="single" w:color="auto" w:sz="6" w:space="0"/>
            </w:tcBorders>
            <w:noWrap w:val="0"/>
            <w:vAlign w:val="top"/>
          </w:tcPr>
          <w:p w14:paraId="1BBFF2A2">
            <w:pPr>
              <w:pStyle w:val="121"/>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2C0A89C">
            <w:pPr>
              <w:pStyle w:val="121"/>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C46DEBF">
            <w:pPr>
              <w:pStyle w:val="121"/>
              <w:spacing w:line="360" w:lineRule="auto"/>
              <w:rPr>
                <w:rFonts w:hint="eastAsia" w:ascii="宋体" w:hAnsi="宋体" w:eastAsia="宋体" w:cs="宋体"/>
                <w:color w:val="auto"/>
                <w:sz w:val="24"/>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top"/>
          </w:tcPr>
          <w:p w14:paraId="06CBD37F">
            <w:pPr>
              <w:pStyle w:val="121"/>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0D36EC7">
            <w:pPr>
              <w:pStyle w:val="121"/>
              <w:spacing w:line="360" w:lineRule="auto"/>
              <w:rPr>
                <w:rFonts w:hint="eastAsia" w:ascii="宋体" w:hAnsi="宋体" w:eastAsia="宋体" w:cs="宋体"/>
                <w:color w:val="auto"/>
                <w:sz w:val="24"/>
                <w:highlight w:val="none"/>
              </w:rPr>
            </w:pPr>
          </w:p>
        </w:tc>
      </w:tr>
      <w:tr w14:paraId="0FFA0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90" w:type="dxa"/>
            <w:tcBorders>
              <w:top w:val="single" w:color="auto" w:sz="6" w:space="0"/>
              <w:left w:val="single" w:color="auto" w:sz="6" w:space="0"/>
              <w:bottom w:val="single" w:color="auto" w:sz="6" w:space="0"/>
              <w:right w:val="single" w:color="auto" w:sz="6" w:space="0"/>
            </w:tcBorders>
            <w:noWrap w:val="0"/>
            <w:vAlign w:val="top"/>
          </w:tcPr>
          <w:p w14:paraId="5C0839DC">
            <w:pPr>
              <w:pStyle w:val="12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87" w:type="dxa"/>
            <w:tcBorders>
              <w:top w:val="single" w:color="auto" w:sz="6" w:space="0"/>
              <w:left w:val="single" w:color="auto" w:sz="6" w:space="0"/>
              <w:bottom w:val="single" w:color="auto" w:sz="6" w:space="0"/>
              <w:right w:val="single" w:color="auto" w:sz="6" w:space="0"/>
            </w:tcBorders>
            <w:noWrap w:val="0"/>
            <w:vAlign w:val="top"/>
          </w:tcPr>
          <w:p w14:paraId="3A1406CA">
            <w:pPr>
              <w:pStyle w:val="121"/>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0B027CD">
            <w:pPr>
              <w:pStyle w:val="121"/>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813683E">
            <w:pPr>
              <w:pStyle w:val="121"/>
              <w:spacing w:line="360" w:lineRule="auto"/>
              <w:rPr>
                <w:rFonts w:hint="eastAsia" w:ascii="宋体" w:hAnsi="宋体" w:eastAsia="宋体" w:cs="宋体"/>
                <w:color w:val="auto"/>
                <w:sz w:val="24"/>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top"/>
          </w:tcPr>
          <w:p w14:paraId="2145A60C">
            <w:pPr>
              <w:pStyle w:val="121"/>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85DA62C">
            <w:pPr>
              <w:pStyle w:val="121"/>
              <w:spacing w:line="360" w:lineRule="auto"/>
              <w:rPr>
                <w:rFonts w:hint="eastAsia" w:ascii="宋体" w:hAnsi="宋体" w:eastAsia="宋体" w:cs="宋体"/>
                <w:color w:val="auto"/>
                <w:sz w:val="24"/>
                <w:highlight w:val="none"/>
              </w:rPr>
            </w:pPr>
          </w:p>
        </w:tc>
      </w:tr>
      <w:tr w14:paraId="6D679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90" w:type="dxa"/>
            <w:tcBorders>
              <w:top w:val="single" w:color="auto" w:sz="6" w:space="0"/>
              <w:left w:val="single" w:color="auto" w:sz="6" w:space="0"/>
              <w:bottom w:val="single" w:color="auto" w:sz="6" w:space="0"/>
              <w:right w:val="single" w:color="auto" w:sz="6" w:space="0"/>
            </w:tcBorders>
            <w:noWrap w:val="0"/>
            <w:vAlign w:val="top"/>
          </w:tcPr>
          <w:p w14:paraId="5D50EBF8">
            <w:pPr>
              <w:pStyle w:val="121"/>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87" w:type="dxa"/>
            <w:tcBorders>
              <w:top w:val="single" w:color="auto" w:sz="6" w:space="0"/>
              <w:left w:val="single" w:color="auto" w:sz="6" w:space="0"/>
              <w:bottom w:val="single" w:color="auto" w:sz="6" w:space="0"/>
              <w:right w:val="single" w:color="auto" w:sz="6" w:space="0"/>
            </w:tcBorders>
            <w:noWrap w:val="0"/>
            <w:vAlign w:val="top"/>
          </w:tcPr>
          <w:p w14:paraId="47EAF996">
            <w:pPr>
              <w:pStyle w:val="121"/>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984F4BD">
            <w:pPr>
              <w:pStyle w:val="121"/>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E77B1B9">
            <w:pPr>
              <w:pStyle w:val="121"/>
              <w:spacing w:line="360" w:lineRule="auto"/>
              <w:rPr>
                <w:rFonts w:hint="eastAsia" w:ascii="宋体" w:hAnsi="宋体" w:eastAsia="宋体" w:cs="宋体"/>
                <w:color w:val="auto"/>
                <w:sz w:val="24"/>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top"/>
          </w:tcPr>
          <w:p w14:paraId="5891A0F7">
            <w:pPr>
              <w:pStyle w:val="121"/>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EE4E8BA">
            <w:pPr>
              <w:pStyle w:val="121"/>
              <w:spacing w:line="360" w:lineRule="auto"/>
              <w:rPr>
                <w:rFonts w:hint="eastAsia" w:ascii="宋体" w:hAnsi="宋体" w:eastAsia="宋体" w:cs="宋体"/>
                <w:color w:val="auto"/>
                <w:sz w:val="24"/>
                <w:highlight w:val="none"/>
              </w:rPr>
            </w:pPr>
          </w:p>
        </w:tc>
      </w:tr>
      <w:tr w14:paraId="5C826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0" w:type="dxa"/>
            <w:tcBorders>
              <w:top w:val="single" w:color="auto" w:sz="6" w:space="0"/>
              <w:left w:val="single" w:color="auto" w:sz="6" w:space="0"/>
              <w:bottom w:val="single" w:color="auto" w:sz="6" w:space="0"/>
              <w:right w:val="single" w:color="auto" w:sz="6" w:space="0"/>
            </w:tcBorders>
            <w:noWrap w:val="0"/>
            <w:vAlign w:val="top"/>
          </w:tcPr>
          <w:p w14:paraId="005C8D9A">
            <w:pPr>
              <w:pStyle w:val="121"/>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87" w:type="dxa"/>
            <w:tcBorders>
              <w:top w:val="single" w:color="auto" w:sz="6" w:space="0"/>
              <w:left w:val="single" w:color="auto" w:sz="6" w:space="0"/>
              <w:bottom w:val="single" w:color="auto" w:sz="6" w:space="0"/>
              <w:right w:val="single" w:color="auto" w:sz="6" w:space="0"/>
            </w:tcBorders>
            <w:noWrap w:val="0"/>
            <w:vAlign w:val="top"/>
          </w:tcPr>
          <w:p w14:paraId="541A8071">
            <w:pPr>
              <w:pStyle w:val="121"/>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5A125FF">
            <w:pPr>
              <w:pStyle w:val="121"/>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EC6BDB1">
            <w:pPr>
              <w:pStyle w:val="121"/>
              <w:spacing w:line="360" w:lineRule="auto"/>
              <w:rPr>
                <w:rFonts w:hint="eastAsia" w:ascii="宋体" w:hAnsi="宋体" w:eastAsia="宋体" w:cs="宋体"/>
                <w:color w:val="auto"/>
                <w:sz w:val="24"/>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top"/>
          </w:tcPr>
          <w:p w14:paraId="6BD4234F">
            <w:pPr>
              <w:pStyle w:val="121"/>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7B91BA0">
            <w:pPr>
              <w:pStyle w:val="121"/>
              <w:spacing w:line="360" w:lineRule="auto"/>
              <w:rPr>
                <w:rFonts w:hint="eastAsia" w:ascii="宋体" w:hAnsi="宋体" w:eastAsia="宋体" w:cs="宋体"/>
                <w:color w:val="auto"/>
                <w:sz w:val="24"/>
                <w:highlight w:val="none"/>
              </w:rPr>
            </w:pPr>
          </w:p>
        </w:tc>
      </w:tr>
      <w:tr w14:paraId="28E27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0" w:type="dxa"/>
            <w:tcBorders>
              <w:top w:val="single" w:color="auto" w:sz="6" w:space="0"/>
              <w:left w:val="single" w:color="auto" w:sz="6" w:space="0"/>
              <w:bottom w:val="single" w:color="auto" w:sz="6" w:space="0"/>
              <w:right w:val="single" w:color="auto" w:sz="6" w:space="0"/>
            </w:tcBorders>
            <w:noWrap w:val="0"/>
            <w:vAlign w:val="top"/>
          </w:tcPr>
          <w:p w14:paraId="6062AFDD">
            <w:pPr>
              <w:pStyle w:val="121"/>
              <w:spacing w:line="360" w:lineRule="auto"/>
              <w:rPr>
                <w:rFonts w:hint="eastAsia" w:ascii="宋体" w:hAnsi="宋体" w:eastAsia="宋体" w:cs="宋体"/>
                <w:color w:val="auto"/>
                <w:sz w:val="24"/>
                <w:highlight w:val="none"/>
              </w:rPr>
            </w:pPr>
          </w:p>
        </w:tc>
        <w:tc>
          <w:tcPr>
            <w:tcW w:w="2287" w:type="dxa"/>
            <w:tcBorders>
              <w:top w:val="single" w:color="auto" w:sz="6" w:space="0"/>
              <w:left w:val="single" w:color="auto" w:sz="6" w:space="0"/>
              <w:bottom w:val="single" w:color="auto" w:sz="6" w:space="0"/>
              <w:right w:val="single" w:color="auto" w:sz="6" w:space="0"/>
            </w:tcBorders>
            <w:noWrap w:val="0"/>
            <w:vAlign w:val="top"/>
          </w:tcPr>
          <w:p w14:paraId="0C54DDD4">
            <w:pPr>
              <w:pStyle w:val="121"/>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2F9FB42">
            <w:pPr>
              <w:pStyle w:val="121"/>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325C8B8">
            <w:pPr>
              <w:pStyle w:val="121"/>
              <w:spacing w:line="360" w:lineRule="auto"/>
              <w:rPr>
                <w:rFonts w:hint="eastAsia" w:ascii="宋体" w:hAnsi="宋体" w:eastAsia="宋体" w:cs="宋体"/>
                <w:color w:val="auto"/>
                <w:sz w:val="24"/>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top"/>
          </w:tcPr>
          <w:p w14:paraId="6F888914">
            <w:pPr>
              <w:pStyle w:val="121"/>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DB995D4">
            <w:pPr>
              <w:pStyle w:val="121"/>
              <w:spacing w:line="360" w:lineRule="auto"/>
              <w:rPr>
                <w:rFonts w:hint="eastAsia" w:ascii="宋体" w:hAnsi="宋体" w:eastAsia="宋体" w:cs="宋体"/>
                <w:color w:val="auto"/>
                <w:sz w:val="24"/>
                <w:highlight w:val="none"/>
              </w:rPr>
            </w:pPr>
          </w:p>
        </w:tc>
      </w:tr>
      <w:tr w14:paraId="74A69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0" w:type="dxa"/>
            <w:tcBorders>
              <w:top w:val="single" w:color="auto" w:sz="6" w:space="0"/>
              <w:left w:val="single" w:color="auto" w:sz="6" w:space="0"/>
              <w:bottom w:val="single" w:color="auto" w:sz="6" w:space="0"/>
              <w:right w:val="single" w:color="auto" w:sz="6" w:space="0"/>
            </w:tcBorders>
            <w:noWrap w:val="0"/>
            <w:vAlign w:val="top"/>
          </w:tcPr>
          <w:p w14:paraId="019215FE">
            <w:pPr>
              <w:pStyle w:val="121"/>
              <w:spacing w:line="360" w:lineRule="auto"/>
              <w:rPr>
                <w:rFonts w:hint="eastAsia" w:ascii="宋体" w:hAnsi="宋体" w:eastAsia="宋体" w:cs="宋体"/>
                <w:color w:val="auto"/>
                <w:sz w:val="24"/>
                <w:highlight w:val="none"/>
              </w:rPr>
            </w:pPr>
          </w:p>
        </w:tc>
        <w:tc>
          <w:tcPr>
            <w:tcW w:w="2287" w:type="dxa"/>
            <w:tcBorders>
              <w:top w:val="single" w:color="auto" w:sz="6" w:space="0"/>
              <w:left w:val="single" w:color="auto" w:sz="6" w:space="0"/>
              <w:bottom w:val="single" w:color="auto" w:sz="6" w:space="0"/>
              <w:right w:val="single" w:color="auto" w:sz="6" w:space="0"/>
            </w:tcBorders>
            <w:noWrap w:val="0"/>
            <w:vAlign w:val="top"/>
          </w:tcPr>
          <w:p w14:paraId="2B04041E">
            <w:pPr>
              <w:pStyle w:val="121"/>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48C9E95">
            <w:pPr>
              <w:pStyle w:val="121"/>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1B924F9">
            <w:pPr>
              <w:pStyle w:val="121"/>
              <w:spacing w:line="360" w:lineRule="auto"/>
              <w:rPr>
                <w:rFonts w:hint="eastAsia" w:ascii="宋体" w:hAnsi="宋体" w:eastAsia="宋体" w:cs="宋体"/>
                <w:color w:val="auto"/>
                <w:sz w:val="24"/>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top"/>
          </w:tcPr>
          <w:p w14:paraId="498F4974">
            <w:pPr>
              <w:pStyle w:val="121"/>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EA8D0DD">
            <w:pPr>
              <w:pStyle w:val="121"/>
              <w:spacing w:line="360" w:lineRule="auto"/>
              <w:rPr>
                <w:rFonts w:hint="eastAsia" w:ascii="宋体" w:hAnsi="宋体" w:eastAsia="宋体" w:cs="宋体"/>
                <w:color w:val="auto"/>
                <w:sz w:val="24"/>
                <w:highlight w:val="none"/>
              </w:rPr>
            </w:pPr>
          </w:p>
        </w:tc>
      </w:tr>
      <w:tr w14:paraId="399DA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90" w:type="dxa"/>
            <w:tcBorders>
              <w:top w:val="single" w:color="auto" w:sz="6" w:space="0"/>
              <w:left w:val="single" w:color="auto" w:sz="6" w:space="0"/>
              <w:bottom w:val="single" w:color="auto" w:sz="6" w:space="0"/>
              <w:right w:val="single" w:color="auto" w:sz="6" w:space="0"/>
            </w:tcBorders>
            <w:noWrap w:val="0"/>
            <w:vAlign w:val="top"/>
          </w:tcPr>
          <w:p w14:paraId="1D1DD805">
            <w:pPr>
              <w:pStyle w:val="121"/>
              <w:spacing w:line="360" w:lineRule="auto"/>
              <w:rPr>
                <w:rFonts w:hint="eastAsia" w:ascii="宋体" w:hAnsi="宋体" w:eastAsia="宋体" w:cs="宋体"/>
                <w:color w:val="auto"/>
                <w:sz w:val="24"/>
                <w:highlight w:val="none"/>
              </w:rPr>
            </w:pPr>
          </w:p>
        </w:tc>
        <w:tc>
          <w:tcPr>
            <w:tcW w:w="2287" w:type="dxa"/>
            <w:tcBorders>
              <w:top w:val="single" w:color="auto" w:sz="6" w:space="0"/>
              <w:left w:val="single" w:color="auto" w:sz="6" w:space="0"/>
              <w:bottom w:val="single" w:color="auto" w:sz="6" w:space="0"/>
              <w:right w:val="single" w:color="auto" w:sz="6" w:space="0"/>
            </w:tcBorders>
            <w:noWrap w:val="0"/>
            <w:vAlign w:val="top"/>
          </w:tcPr>
          <w:p w14:paraId="2DF58839">
            <w:pPr>
              <w:pStyle w:val="121"/>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36F416B">
            <w:pPr>
              <w:pStyle w:val="121"/>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3A3116F">
            <w:pPr>
              <w:pStyle w:val="121"/>
              <w:spacing w:line="360" w:lineRule="auto"/>
              <w:rPr>
                <w:rFonts w:hint="eastAsia" w:ascii="宋体" w:hAnsi="宋体" w:eastAsia="宋体" w:cs="宋体"/>
                <w:color w:val="auto"/>
                <w:sz w:val="24"/>
                <w:highlight w:val="none"/>
              </w:rPr>
            </w:pPr>
          </w:p>
        </w:tc>
        <w:tc>
          <w:tcPr>
            <w:tcW w:w="1744" w:type="dxa"/>
            <w:tcBorders>
              <w:top w:val="single" w:color="auto" w:sz="6" w:space="0"/>
              <w:left w:val="single" w:color="auto" w:sz="6" w:space="0"/>
              <w:bottom w:val="single" w:color="auto" w:sz="6" w:space="0"/>
              <w:right w:val="single" w:color="auto" w:sz="6" w:space="0"/>
            </w:tcBorders>
            <w:noWrap w:val="0"/>
            <w:vAlign w:val="top"/>
          </w:tcPr>
          <w:p w14:paraId="4245A26C">
            <w:pPr>
              <w:pStyle w:val="121"/>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30E365E">
            <w:pPr>
              <w:pStyle w:val="121"/>
              <w:spacing w:line="360" w:lineRule="auto"/>
              <w:rPr>
                <w:rFonts w:hint="eastAsia" w:ascii="宋体" w:hAnsi="宋体" w:eastAsia="宋体" w:cs="宋体"/>
                <w:color w:val="auto"/>
                <w:sz w:val="24"/>
                <w:highlight w:val="none"/>
              </w:rPr>
            </w:pPr>
          </w:p>
        </w:tc>
      </w:tr>
    </w:tbl>
    <w:p w14:paraId="2D34A979">
      <w:pPr>
        <w:autoSpaceDE w:val="0"/>
        <w:autoSpaceDN w:val="0"/>
        <w:adjustRightInd w:val="0"/>
        <w:spacing w:before="120" w:before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p w14:paraId="7B3B981D">
      <w:pPr>
        <w:autoSpaceDE w:val="0"/>
        <w:autoSpaceDN w:val="0"/>
        <w:adjustRightInd w:val="0"/>
        <w:spacing w:before="120" w:beforeLines="50" w:line="360" w:lineRule="auto"/>
        <w:ind w:firstLine="484" w:firstLineChars="202"/>
        <w:rPr>
          <w:rFonts w:hint="eastAsia" w:ascii="宋体" w:hAnsi="宋体" w:eastAsia="宋体" w:cs="宋体"/>
          <w:b/>
          <w:color w:val="auto"/>
          <w:sz w:val="24"/>
          <w:highlight w:val="none"/>
        </w:rPr>
      </w:pPr>
      <w:r>
        <w:rPr>
          <w:rFonts w:hint="eastAsia" w:ascii="宋体" w:hAnsi="宋体" w:eastAsia="宋体" w:cs="宋体"/>
          <w:color w:val="auto"/>
          <w:sz w:val="24"/>
          <w:highlight w:val="none"/>
        </w:rPr>
        <w:t>1.业绩证明材料按“第四章评审办法及评审标准”要求提供；</w:t>
      </w:r>
    </w:p>
    <w:p w14:paraId="53806EA8">
      <w:pPr>
        <w:spacing w:line="360" w:lineRule="auto"/>
        <w:ind w:firstLine="484" w:firstLineChars="20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2.磋商供应商可按此表格式复制。</w:t>
      </w:r>
    </w:p>
    <w:p w14:paraId="334F0010">
      <w:pPr>
        <w:spacing w:line="360" w:lineRule="auto"/>
        <w:rPr>
          <w:rFonts w:hint="eastAsia" w:ascii="宋体" w:hAnsi="宋体" w:eastAsia="宋体" w:cs="宋体"/>
          <w:color w:val="auto"/>
          <w:sz w:val="24"/>
          <w:highlight w:val="none"/>
        </w:rPr>
      </w:pPr>
    </w:p>
    <w:p w14:paraId="6A01DCAD">
      <w:pPr>
        <w:spacing w:line="360" w:lineRule="auto"/>
        <w:rPr>
          <w:rFonts w:hint="eastAsia" w:ascii="宋体" w:hAnsi="宋体" w:eastAsia="宋体" w:cs="宋体"/>
          <w:color w:val="auto"/>
          <w:sz w:val="24"/>
          <w:highlight w:val="none"/>
        </w:rPr>
      </w:pPr>
    </w:p>
    <w:p w14:paraId="1BC5C509">
      <w:pPr>
        <w:spacing w:line="360" w:lineRule="auto"/>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74B188E0">
      <w:pPr>
        <w:spacing w:line="360" w:lineRule="auto"/>
        <w:ind w:left="420"/>
        <w:rPr>
          <w:rFonts w:hint="eastAsia" w:ascii="宋体" w:hAnsi="宋体" w:eastAsia="宋体" w:cs="宋体"/>
          <w:color w:val="auto"/>
          <w:sz w:val="24"/>
          <w:highlight w:val="none"/>
        </w:rPr>
      </w:pPr>
    </w:p>
    <w:p w14:paraId="307BB8C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B9A7718">
      <w:pPr>
        <w:spacing w:line="360" w:lineRule="auto"/>
        <w:ind w:firstLine="435"/>
        <w:rPr>
          <w:rFonts w:hint="eastAsia" w:ascii="宋体" w:hAnsi="宋体" w:eastAsia="宋体" w:cs="宋体"/>
          <w:color w:val="auto"/>
          <w:sz w:val="24"/>
          <w:highlight w:val="none"/>
        </w:rPr>
      </w:pPr>
    </w:p>
    <w:p w14:paraId="7AB8F64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zh-CN"/>
        </w:rPr>
        <w:t xml:space="preserve">     年   月   日</w:t>
      </w:r>
    </w:p>
    <w:p w14:paraId="44F700AB">
      <w:pPr>
        <w:spacing w:line="360" w:lineRule="auto"/>
        <w:rPr>
          <w:rFonts w:hint="eastAsia" w:ascii="宋体" w:hAnsi="宋体" w:eastAsia="宋体" w:cs="宋体"/>
          <w:b/>
          <w:color w:val="auto"/>
          <w:sz w:val="24"/>
          <w:highlight w:val="none"/>
        </w:rPr>
      </w:pPr>
    </w:p>
    <w:p w14:paraId="3BF28F2E">
      <w:pPr>
        <w:spacing w:line="360" w:lineRule="auto"/>
        <w:rPr>
          <w:rFonts w:hint="eastAsia" w:ascii="宋体" w:hAnsi="宋体" w:eastAsia="宋体" w:cs="宋体"/>
          <w:b/>
          <w:color w:val="auto"/>
          <w:sz w:val="24"/>
          <w:highlight w:val="none"/>
        </w:rPr>
      </w:pPr>
    </w:p>
    <w:p w14:paraId="213C5722">
      <w:pPr>
        <w:spacing w:line="360" w:lineRule="auto"/>
        <w:rPr>
          <w:rFonts w:hint="eastAsia" w:ascii="宋体" w:hAnsi="宋体" w:eastAsia="宋体" w:cs="宋体"/>
          <w:b/>
          <w:color w:val="auto"/>
          <w:sz w:val="24"/>
          <w:highlight w:val="none"/>
        </w:rPr>
      </w:pPr>
    </w:p>
    <w:p w14:paraId="37DB808C">
      <w:pPr>
        <w:pStyle w:val="100"/>
        <w:rPr>
          <w:rFonts w:hint="eastAsia" w:ascii="宋体" w:hAnsi="宋体" w:eastAsia="宋体" w:cs="宋体"/>
          <w:color w:val="auto"/>
          <w:highlight w:val="none"/>
        </w:rPr>
      </w:pPr>
    </w:p>
    <w:p w14:paraId="112D1C88">
      <w:pPr>
        <w:spacing w:line="360" w:lineRule="auto"/>
        <w:rPr>
          <w:rFonts w:hint="eastAsia" w:ascii="宋体" w:hAnsi="宋体" w:eastAsia="宋体" w:cs="宋体"/>
          <w:b/>
          <w:color w:val="auto"/>
          <w:sz w:val="24"/>
          <w:highlight w:val="none"/>
        </w:rPr>
      </w:pPr>
    </w:p>
    <w:p w14:paraId="764C819D">
      <w:pPr>
        <w:pStyle w:val="53"/>
        <w:rPr>
          <w:rFonts w:hint="eastAsia" w:ascii="宋体" w:hAnsi="宋体" w:eastAsia="宋体" w:cs="宋体"/>
          <w:color w:val="auto"/>
          <w:highlight w:val="none"/>
        </w:rPr>
      </w:pPr>
    </w:p>
    <w:p w14:paraId="36D98166">
      <w:pPr>
        <w:pStyle w:val="53"/>
        <w:rPr>
          <w:rFonts w:hint="eastAsia" w:ascii="宋体" w:hAnsi="宋体" w:eastAsia="宋体" w:cs="宋体"/>
          <w:color w:val="auto"/>
          <w:highlight w:val="none"/>
        </w:rPr>
      </w:pPr>
    </w:p>
    <w:p w14:paraId="72946DA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w:t>
      </w:r>
    </w:p>
    <w:p w14:paraId="0EA32507">
      <w:pPr>
        <w:pStyle w:val="21"/>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总监理工程师简历表</w:t>
      </w:r>
    </w:p>
    <w:tbl>
      <w:tblPr>
        <w:tblStyle w:val="38"/>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2592"/>
      </w:tblGrid>
      <w:tr w14:paraId="5EEBFD79">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E93D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824B0D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4040EA0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6E44934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2ED64C8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238FB67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2B7AA8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w:t>
            </w:r>
          </w:p>
        </w:tc>
        <w:tc>
          <w:tcPr>
            <w:tcW w:w="2592" w:type="dxa"/>
            <w:tcBorders>
              <w:top w:val="single" w:color="000000" w:sz="4" w:space="0"/>
              <w:left w:val="nil"/>
              <w:bottom w:val="single" w:color="000000" w:sz="4" w:space="0"/>
              <w:right w:val="single" w:color="000000" w:sz="4" w:space="0"/>
            </w:tcBorders>
            <w:shd w:val="clear" w:color="auto" w:fill="FFFFFF"/>
            <w:noWrap w:val="0"/>
            <w:vAlign w:val="center"/>
          </w:tcPr>
          <w:p w14:paraId="249851D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7E86572C">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22AD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7C1027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0E8C7DA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D9C2F6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14:paraId="6724862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学历</w:t>
            </w:r>
          </w:p>
        </w:tc>
        <w:tc>
          <w:tcPr>
            <w:tcW w:w="2592" w:type="dxa"/>
            <w:tcBorders>
              <w:top w:val="nil"/>
              <w:left w:val="nil"/>
              <w:bottom w:val="single" w:color="000000" w:sz="4" w:space="0"/>
              <w:right w:val="single" w:color="000000" w:sz="4" w:space="0"/>
            </w:tcBorders>
            <w:shd w:val="clear" w:color="auto" w:fill="FFFFFF"/>
            <w:noWrap w:val="0"/>
            <w:vAlign w:val="center"/>
          </w:tcPr>
          <w:p w14:paraId="35B101F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5FE9F9FF">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E931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1012EE5">
            <w:pPr>
              <w:widowControl/>
              <w:ind w:leftChars="-137" w:hanging="288" w:hangingChars="120"/>
              <w:jc w:val="left"/>
              <w:rPr>
                <w:rFonts w:hint="eastAsia" w:ascii="宋体" w:hAnsi="宋体" w:eastAsia="宋体" w:cs="宋体"/>
                <w:color w:val="auto"/>
                <w:kern w:val="0"/>
                <w:sz w:val="24"/>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525CEEB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从事</w:t>
            </w:r>
            <w:r>
              <w:rPr>
                <w:rFonts w:hint="eastAsia" w:ascii="宋体" w:hAnsi="宋体" w:eastAsia="宋体" w:cs="宋体"/>
                <w:color w:val="auto"/>
                <w:kern w:val="0"/>
                <w:sz w:val="24"/>
                <w:highlight w:val="none"/>
                <w:lang w:val="zh-CN"/>
              </w:rPr>
              <w:t>项目经理</w:t>
            </w:r>
            <w:r>
              <w:rPr>
                <w:rFonts w:hint="eastAsia" w:ascii="宋体" w:hAnsi="宋体" w:eastAsia="宋体" w:cs="宋体"/>
                <w:color w:val="auto"/>
                <w:kern w:val="0"/>
                <w:sz w:val="24"/>
                <w:highlight w:val="none"/>
              </w:rPr>
              <w:t>年限</w:t>
            </w:r>
          </w:p>
        </w:tc>
        <w:tc>
          <w:tcPr>
            <w:tcW w:w="2592" w:type="dxa"/>
            <w:tcBorders>
              <w:top w:val="nil"/>
              <w:left w:val="nil"/>
              <w:bottom w:val="single" w:color="000000" w:sz="4" w:space="0"/>
              <w:right w:val="single" w:color="000000" w:sz="4" w:space="0"/>
            </w:tcBorders>
            <w:shd w:val="clear" w:color="auto" w:fill="FFFFFF"/>
            <w:noWrap w:val="0"/>
            <w:vAlign w:val="center"/>
          </w:tcPr>
          <w:p w14:paraId="01B0905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41CA4F8C">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5FC8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67D1CA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312313E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w:t>
            </w:r>
          </w:p>
        </w:tc>
        <w:tc>
          <w:tcPr>
            <w:tcW w:w="449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3639B6F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tc>
      </w:tr>
      <w:tr w14:paraId="08809752">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5E9629B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简</w:t>
            </w:r>
          </w:p>
          <w:p w14:paraId="7BD0B96C">
            <w:pPr>
              <w:widowControl/>
              <w:jc w:val="center"/>
              <w:rPr>
                <w:rFonts w:hint="eastAsia" w:ascii="宋体" w:hAnsi="宋体" w:eastAsia="宋体" w:cs="宋体"/>
                <w:color w:val="auto"/>
                <w:kern w:val="0"/>
                <w:sz w:val="24"/>
                <w:highlight w:val="none"/>
              </w:rPr>
            </w:pPr>
          </w:p>
          <w:p w14:paraId="7A6AB523">
            <w:pPr>
              <w:widowControl/>
              <w:jc w:val="center"/>
              <w:rPr>
                <w:rFonts w:hint="eastAsia" w:ascii="宋体" w:hAnsi="宋体" w:eastAsia="宋体" w:cs="宋体"/>
                <w:color w:val="auto"/>
                <w:kern w:val="0"/>
                <w:sz w:val="24"/>
                <w:highlight w:val="none"/>
              </w:rPr>
            </w:pPr>
          </w:p>
          <w:p w14:paraId="56720E2B">
            <w:pPr>
              <w:widowControl/>
              <w:jc w:val="center"/>
              <w:rPr>
                <w:rFonts w:hint="eastAsia" w:ascii="宋体" w:hAnsi="宋体" w:eastAsia="宋体" w:cs="宋体"/>
                <w:color w:val="auto"/>
                <w:kern w:val="0"/>
                <w:sz w:val="24"/>
                <w:highlight w:val="none"/>
              </w:rPr>
            </w:pPr>
          </w:p>
          <w:p w14:paraId="0E63F2DB">
            <w:pPr>
              <w:widowControl/>
              <w:jc w:val="center"/>
              <w:rPr>
                <w:rFonts w:hint="eastAsia" w:ascii="宋体" w:hAnsi="宋体" w:eastAsia="宋体" w:cs="宋体"/>
                <w:color w:val="auto"/>
                <w:kern w:val="0"/>
                <w:sz w:val="24"/>
                <w:highlight w:val="none"/>
              </w:rPr>
            </w:pPr>
          </w:p>
          <w:p w14:paraId="2051FC35">
            <w:pPr>
              <w:widowControl/>
              <w:jc w:val="center"/>
              <w:rPr>
                <w:rFonts w:hint="eastAsia" w:ascii="宋体" w:hAnsi="宋体" w:eastAsia="宋体" w:cs="宋体"/>
                <w:color w:val="auto"/>
                <w:kern w:val="0"/>
                <w:sz w:val="24"/>
                <w:highlight w:val="none"/>
              </w:rPr>
            </w:pPr>
          </w:p>
          <w:p w14:paraId="1B08DFE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历</w:t>
            </w:r>
          </w:p>
        </w:tc>
        <w:tc>
          <w:tcPr>
            <w:tcW w:w="853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D5A503F">
            <w:pPr>
              <w:widowControl/>
              <w:jc w:val="left"/>
              <w:rPr>
                <w:rFonts w:hint="eastAsia" w:ascii="宋体" w:hAnsi="宋体" w:eastAsia="宋体" w:cs="宋体"/>
                <w:color w:val="auto"/>
                <w:kern w:val="0"/>
                <w:sz w:val="24"/>
                <w:highlight w:val="none"/>
              </w:rPr>
            </w:pPr>
          </w:p>
        </w:tc>
      </w:tr>
      <w:tr w14:paraId="27B8A50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14:paraId="1DA742E3">
            <w:pPr>
              <w:widowControl/>
              <w:jc w:val="left"/>
              <w:rPr>
                <w:rFonts w:hint="eastAsia" w:ascii="宋体" w:hAnsi="宋体" w:eastAsia="宋体" w:cs="宋体"/>
                <w:color w:val="auto"/>
                <w:kern w:val="0"/>
                <w:sz w:val="22"/>
                <w:szCs w:val="22"/>
                <w:highlight w:val="none"/>
              </w:rPr>
            </w:pPr>
          </w:p>
        </w:tc>
        <w:tc>
          <w:tcPr>
            <w:tcW w:w="853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27ADF49F">
            <w:pPr>
              <w:widowControl/>
              <w:jc w:val="left"/>
              <w:rPr>
                <w:rFonts w:hint="eastAsia" w:ascii="宋体" w:hAnsi="宋体" w:eastAsia="宋体" w:cs="宋体"/>
                <w:color w:val="auto"/>
                <w:kern w:val="0"/>
                <w:sz w:val="22"/>
                <w:szCs w:val="22"/>
                <w:highlight w:val="none"/>
              </w:rPr>
            </w:pPr>
          </w:p>
        </w:tc>
      </w:tr>
    </w:tbl>
    <w:p w14:paraId="5BBEA158">
      <w:pPr>
        <w:adjustRightInd w:val="0"/>
        <w:snapToGrid w:val="0"/>
        <w:spacing w:line="360" w:lineRule="auto"/>
        <w:rPr>
          <w:rFonts w:hint="eastAsia" w:ascii="宋体" w:hAnsi="宋体" w:eastAsia="宋体" w:cs="宋体"/>
          <w:color w:val="auto"/>
          <w:sz w:val="24"/>
          <w:highlight w:val="none"/>
        </w:rPr>
      </w:pPr>
    </w:p>
    <w:p w14:paraId="3F2D403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注：1.磋商供应商可按此表格式复制。</w:t>
      </w:r>
    </w:p>
    <w:p w14:paraId="27C81CB2">
      <w:pPr>
        <w:adjustRightInd w:val="0"/>
        <w:snapToGrid w:val="0"/>
        <w:spacing w:line="360" w:lineRule="auto"/>
        <w:ind w:firstLine="6120" w:firstLineChars="2550"/>
        <w:jc w:val="right"/>
        <w:rPr>
          <w:rFonts w:hint="eastAsia" w:ascii="宋体" w:hAnsi="宋体" w:eastAsia="宋体" w:cs="宋体"/>
          <w:color w:val="auto"/>
          <w:sz w:val="24"/>
          <w:highlight w:val="none"/>
        </w:rPr>
      </w:pPr>
    </w:p>
    <w:p w14:paraId="3F50A2D9">
      <w:pPr>
        <w:adjustRightInd w:val="0"/>
        <w:snapToGrid w:val="0"/>
        <w:spacing w:line="360" w:lineRule="auto"/>
        <w:ind w:firstLine="6120" w:firstLineChars="2550"/>
        <w:jc w:val="righ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磋商供应商</w:t>
      </w:r>
      <w:r>
        <w:rPr>
          <w:rFonts w:hint="eastAsia" w:ascii="宋体" w:hAnsi="宋体" w:eastAsia="宋体" w:cs="宋体"/>
          <w:color w:val="auto"/>
          <w:kern w:val="0"/>
          <w:sz w:val="24"/>
          <w:highlight w:val="none"/>
          <w:lang w:val="zh-CN"/>
        </w:rPr>
        <w:t>名称(公章)：</w:t>
      </w:r>
    </w:p>
    <w:p w14:paraId="3159A8F8">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14:paraId="477594CE">
      <w:pPr>
        <w:spacing w:line="420" w:lineRule="exact"/>
        <w:ind w:firstLine="424" w:firstLineChars="177"/>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94E2A92">
      <w:pPr>
        <w:pStyle w:val="49"/>
        <w:rPr>
          <w:rFonts w:hint="eastAsia" w:ascii="宋体" w:hAnsi="宋体" w:eastAsia="宋体" w:cs="宋体"/>
          <w:color w:val="auto"/>
          <w:kern w:val="0"/>
          <w:sz w:val="24"/>
          <w:highlight w:val="none"/>
        </w:rPr>
      </w:pPr>
    </w:p>
    <w:p w14:paraId="590657C6">
      <w:pPr>
        <w:spacing w:line="360" w:lineRule="auto"/>
        <w:rPr>
          <w:rFonts w:hint="eastAsia" w:ascii="宋体" w:hAnsi="宋体" w:eastAsia="宋体" w:cs="宋体"/>
          <w:b/>
          <w:color w:val="auto"/>
          <w:sz w:val="24"/>
          <w:highlight w:val="none"/>
        </w:rPr>
      </w:pPr>
    </w:p>
    <w:p w14:paraId="086BBCA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：项目管理</w:t>
      </w:r>
      <w:r>
        <w:rPr>
          <w:rFonts w:hint="eastAsia" w:ascii="宋体" w:hAnsi="宋体" w:eastAsia="宋体" w:cs="宋体"/>
          <w:b/>
          <w:color w:val="auto"/>
          <w:sz w:val="24"/>
          <w:highlight w:val="none"/>
          <w:lang w:val="en-US" w:eastAsia="zh-CN"/>
        </w:rPr>
        <w:t>机构人员</w:t>
      </w:r>
      <w:r>
        <w:rPr>
          <w:rFonts w:hint="eastAsia" w:ascii="宋体" w:hAnsi="宋体" w:eastAsia="宋体" w:cs="宋体"/>
          <w:b/>
          <w:color w:val="auto"/>
          <w:sz w:val="24"/>
          <w:highlight w:val="none"/>
        </w:rPr>
        <w:t>配备情况表格式</w:t>
      </w:r>
    </w:p>
    <w:p w14:paraId="7B4040E8">
      <w:pPr>
        <w:pStyle w:val="21"/>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项目管理</w:t>
      </w:r>
      <w:r>
        <w:rPr>
          <w:rFonts w:hint="eastAsia" w:ascii="宋体" w:hAnsi="宋体" w:eastAsia="宋体" w:cs="宋体"/>
          <w:b/>
          <w:color w:val="auto"/>
          <w:sz w:val="32"/>
          <w:szCs w:val="32"/>
          <w:highlight w:val="none"/>
          <w:lang w:val="en-US" w:eastAsia="zh-CN"/>
        </w:rPr>
        <w:t>机构人员</w:t>
      </w:r>
      <w:r>
        <w:rPr>
          <w:rFonts w:hint="eastAsia" w:ascii="宋体" w:hAnsi="宋体" w:eastAsia="宋体" w:cs="宋体"/>
          <w:b/>
          <w:color w:val="auto"/>
          <w:sz w:val="32"/>
          <w:szCs w:val="32"/>
          <w:highlight w:val="none"/>
        </w:rPr>
        <w:t>配备情况表</w:t>
      </w:r>
    </w:p>
    <w:tbl>
      <w:tblPr>
        <w:tblStyle w:val="38"/>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57"/>
        <w:gridCol w:w="1527"/>
        <w:gridCol w:w="851"/>
        <w:gridCol w:w="1364"/>
        <w:gridCol w:w="1814"/>
        <w:gridCol w:w="1274"/>
      </w:tblGrid>
      <w:tr w14:paraId="6DED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 w:type="dxa"/>
            <w:noWrap w:val="0"/>
            <w:vAlign w:val="center"/>
          </w:tcPr>
          <w:p w14:paraId="026BE41B">
            <w:pPr>
              <w:pStyle w:val="21"/>
              <w:spacing w:before="120" w:after="120"/>
              <w:jc w:val="center"/>
              <w:rPr>
                <w:rFonts w:hAnsi="宋体" w:eastAsia="宋体"/>
                <w:bCs/>
                <w:color w:val="auto"/>
                <w:kern w:val="0"/>
                <w:szCs w:val="21"/>
                <w:highlight w:val="none"/>
              </w:rPr>
            </w:pPr>
            <w:r>
              <w:rPr>
                <w:rFonts w:hAnsi="宋体" w:eastAsia="宋体"/>
                <w:bCs/>
                <w:color w:val="auto"/>
                <w:kern w:val="0"/>
                <w:szCs w:val="21"/>
                <w:highlight w:val="none"/>
              </w:rPr>
              <w:t>序号</w:t>
            </w:r>
          </w:p>
        </w:tc>
        <w:tc>
          <w:tcPr>
            <w:tcW w:w="1757" w:type="dxa"/>
            <w:noWrap w:val="0"/>
            <w:vAlign w:val="center"/>
          </w:tcPr>
          <w:p w14:paraId="04CC0525">
            <w:pPr>
              <w:pStyle w:val="21"/>
              <w:spacing w:before="120" w:after="120"/>
              <w:jc w:val="center"/>
              <w:rPr>
                <w:rFonts w:hAnsi="宋体" w:eastAsia="宋体"/>
                <w:bCs/>
                <w:color w:val="auto"/>
                <w:kern w:val="0"/>
                <w:szCs w:val="21"/>
                <w:highlight w:val="none"/>
              </w:rPr>
            </w:pPr>
            <w:r>
              <w:rPr>
                <w:rFonts w:hint="eastAsia" w:hAnsi="宋体" w:eastAsia="宋体"/>
                <w:bCs/>
                <w:color w:val="auto"/>
                <w:kern w:val="0"/>
                <w:szCs w:val="21"/>
                <w:highlight w:val="none"/>
              </w:rPr>
              <w:t>姓名</w:t>
            </w:r>
          </w:p>
        </w:tc>
        <w:tc>
          <w:tcPr>
            <w:tcW w:w="1527" w:type="dxa"/>
            <w:noWrap w:val="0"/>
            <w:vAlign w:val="center"/>
          </w:tcPr>
          <w:p w14:paraId="1605D138">
            <w:pPr>
              <w:pStyle w:val="21"/>
              <w:spacing w:before="120" w:after="120"/>
              <w:jc w:val="center"/>
              <w:rPr>
                <w:rFonts w:hAnsi="宋体" w:eastAsia="宋体"/>
                <w:bCs/>
                <w:color w:val="auto"/>
                <w:kern w:val="0"/>
                <w:szCs w:val="21"/>
                <w:highlight w:val="none"/>
              </w:rPr>
            </w:pPr>
            <w:r>
              <w:rPr>
                <w:rFonts w:hint="eastAsia" w:hAnsi="宋体" w:eastAsia="宋体"/>
                <w:bCs/>
                <w:color w:val="auto"/>
                <w:kern w:val="0"/>
                <w:szCs w:val="21"/>
                <w:highlight w:val="none"/>
              </w:rPr>
              <w:t>学历</w:t>
            </w:r>
          </w:p>
        </w:tc>
        <w:tc>
          <w:tcPr>
            <w:tcW w:w="851" w:type="dxa"/>
            <w:noWrap w:val="0"/>
            <w:vAlign w:val="center"/>
          </w:tcPr>
          <w:p w14:paraId="17F48135">
            <w:pPr>
              <w:pStyle w:val="21"/>
              <w:spacing w:before="120" w:after="120"/>
              <w:jc w:val="center"/>
              <w:rPr>
                <w:rFonts w:hAnsi="宋体" w:eastAsia="宋体"/>
                <w:bCs/>
                <w:color w:val="auto"/>
                <w:kern w:val="0"/>
                <w:szCs w:val="21"/>
                <w:highlight w:val="none"/>
              </w:rPr>
            </w:pPr>
            <w:r>
              <w:rPr>
                <w:rFonts w:hAnsi="宋体" w:eastAsia="宋体"/>
                <w:bCs/>
                <w:color w:val="auto"/>
                <w:kern w:val="0"/>
                <w:szCs w:val="21"/>
                <w:highlight w:val="none"/>
              </w:rPr>
              <w:t>职称</w:t>
            </w:r>
          </w:p>
        </w:tc>
        <w:tc>
          <w:tcPr>
            <w:tcW w:w="1364" w:type="dxa"/>
            <w:noWrap w:val="0"/>
            <w:vAlign w:val="center"/>
          </w:tcPr>
          <w:p w14:paraId="5D67750D">
            <w:pPr>
              <w:pStyle w:val="21"/>
              <w:spacing w:before="120" w:after="120"/>
              <w:jc w:val="center"/>
              <w:rPr>
                <w:rFonts w:hAnsi="宋体" w:eastAsia="宋体"/>
                <w:bCs/>
                <w:color w:val="auto"/>
                <w:kern w:val="0"/>
                <w:szCs w:val="21"/>
                <w:highlight w:val="none"/>
              </w:rPr>
            </w:pPr>
            <w:r>
              <w:rPr>
                <w:rFonts w:hint="eastAsia" w:hAnsi="宋体" w:eastAsia="宋体"/>
                <w:bCs/>
                <w:color w:val="auto"/>
                <w:kern w:val="0"/>
                <w:szCs w:val="21"/>
                <w:highlight w:val="none"/>
              </w:rPr>
              <w:t>年龄</w:t>
            </w:r>
          </w:p>
        </w:tc>
        <w:tc>
          <w:tcPr>
            <w:tcW w:w="1814" w:type="dxa"/>
            <w:noWrap w:val="0"/>
            <w:vAlign w:val="center"/>
          </w:tcPr>
          <w:p w14:paraId="58BDD047">
            <w:pPr>
              <w:pStyle w:val="21"/>
              <w:spacing w:before="120" w:after="120"/>
              <w:jc w:val="center"/>
              <w:rPr>
                <w:rFonts w:hAnsi="宋体" w:eastAsia="宋体"/>
                <w:bCs/>
                <w:color w:val="auto"/>
                <w:kern w:val="0"/>
                <w:szCs w:val="21"/>
                <w:highlight w:val="none"/>
              </w:rPr>
            </w:pPr>
            <w:r>
              <w:rPr>
                <w:rFonts w:hint="eastAsia" w:hAnsi="宋体" w:eastAsia="宋体"/>
                <w:bCs/>
                <w:color w:val="auto"/>
                <w:kern w:val="0"/>
                <w:szCs w:val="21"/>
                <w:highlight w:val="none"/>
              </w:rPr>
              <w:t>拟派岗位</w:t>
            </w:r>
          </w:p>
        </w:tc>
        <w:tc>
          <w:tcPr>
            <w:tcW w:w="1274" w:type="dxa"/>
            <w:noWrap w:val="0"/>
            <w:vAlign w:val="center"/>
          </w:tcPr>
          <w:p w14:paraId="72063F40">
            <w:pPr>
              <w:pStyle w:val="21"/>
              <w:spacing w:before="120" w:after="120"/>
              <w:jc w:val="center"/>
              <w:rPr>
                <w:rFonts w:hAnsi="宋体" w:eastAsia="宋体"/>
                <w:bCs/>
                <w:color w:val="auto"/>
                <w:kern w:val="0"/>
                <w:szCs w:val="21"/>
                <w:highlight w:val="none"/>
              </w:rPr>
            </w:pPr>
            <w:r>
              <w:rPr>
                <w:rFonts w:hint="eastAsia" w:hAnsi="宋体" w:eastAsia="宋体"/>
                <w:bCs/>
                <w:color w:val="auto"/>
                <w:kern w:val="0"/>
                <w:szCs w:val="21"/>
                <w:highlight w:val="none"/>
              </w:rPr>
              <w:t>备注</w:t>
            </w:r>
          </w:p>
        </w:tc>
      </w:tr>
      <w:tr w14:paraId="0B69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58655DF4">
            <w:pPr>
              <w:pStyle w:val="21"/>
              <w:spacing w:before="120" w:after="120"/>
              <w:jc w:val="center"/>
              <w:rPr>
                <w:rFonts w:hAnsi="宋体" w:eastAsia="宋体"/>
                <w:color w:val="auto"/>
                <w:kern w:val="0"/>
                <w:szCs w:val="21"/>
                <w:highlight w:val="none"/>
              </w:rPr>
            </w:pPr>
            <w:r>
              <w:rPr>
                <w:rFonts w:hint="eastAsia" w:hAnsi="宋体" w:eastAsia="宋体"/>
                <w:color w:val="auto"/>
                <w:kern w:val="0"/>
                <w:szCs w:val="21"/>
                <w:highlight w:val="none"/>
              </w:rPr>
              <w:t>1</w:t>
            </w:r>
          </w:p>
        </w:tc>
        <w:tc>
          <w:tcPr>
            <w:tcW w:w="1757" w:type="dxa"/>
            <w:noWrap w:val="0"/>
            <w:vAlign w:val="center"/>
          </w:tcPr>
          <w:p w14:paraId="3FEE38BD">
            <w:pPr>
              <w:pStyle w:val="34"/>
              <w:widowControl w:val="0"/>
              <w:spacing w:before="0" w:beforeAutospacing="0" w:after="0" w:afterAutospacing="0"/>
              <w:jc w:val="center"/>
              <w:rPr>
                <w:rFonts w:hint="default" w:eastAsia="宋体" w:cs="宋体"/>
                <w:color w:val="auto"/>
                <w:sz w:val="21"/>
                <w:szCs w:val="21"/>
                <w:highlight w:val="none"/>
                <w:lang w:val="en-US" w:eastAsia="zh-CN" w:bidi="ar"/>
              </w:rPr>
            </w:pPr>
            <w:r>
              <w:rPr>
                <w:rFonts w:hint="eastAsia" w:eastAsia="宋体" w:cs="宋体"/>
                <w:color w:val="auto"/>
                <w:sz w:val="21"/>
                <w:szCs w:val="21"/>
                <w:highlight w:val="none"/>
                <w:lang w:val="en-US" w:eastAsia="zh-CN" w:bidi="ar"/>
              </w:rPr>
              <w:t>总监理工程师</w:t>
            </w:r>
          </w:p>
        </w:tc>
        <w:tc>
          <w:tcPr>
            <w:tcW w:w="1527" w:type="dxa"/>
            <w:noWrap w:val="0"/>
            <w:vAlign w:val="center"/>
          </w:tcPr>
          <w:p w14:paraId="085CC0DA">
            <w:pPr>
              <w:pStyle w:val="21"/>
              <w:spacing w:before="120" w:after="120"/>
              <w:rPr>
                <w:rFonts w:hAnsi="宋体" w:eastAsia="宋体"/>
                <w:color w:val="auto"/>
                <w:kern w:val="0"/>
                <w:szCs w:val="21"/>
                <w:highlight w:val="none"/>
              </w:rPr>
            </w:pPr>
          </w:p>
        </w:tc>
        <w:tc>
          <w:tcPr>
            <w:tcW w:w="851" w:type="dxa"/>
            <w:noWrap w:val="0"/>
            <w:vAlign w:val="center"/>
          </w:tcPr>
          <w:p w14:paraId="401ECC09">
            <w:pPr>
              <w:pStyle w:val="21"/>
              <w:spacing w:before="120" w:after="120"/>
              <w:rPr>
                <w:rFonts w:hAnsi="宋体" w:eastAsia="宋体"/>
                <w:color w:val="auto"/>
                <w:kern w:val="0"/>
                <w:szCs w:val="21"/>
                <w:highlight w:val="none"/>
              </w:rPr>
            </w:pPr>
          </w:p>
        </w:tc>
        <w:tc>
          <w:tcPr>
            <w:tcW w:w="1364" w:type="dxa"/>
            <w:noWrap w:val="0"/>
            <w:vAlign w:val="center"/>
          </w:tcPr>
          <w:p w14:paraId="1245C49D">
            <w:pPr>
              <w:pStyle w:val="21"/>
              <w:spacing w:before="120" w:after="120"/>
              <w:rPr>
                <w:rFonts w:hAnsi="宋体" w:eastAsia="宋体"/>
                <w:color w:val="auto"/>
                <w:kern w:val="0"/>
                <w:szCs w:val="21"/>
                <w:highlight w:val="none"/>
              </w:rPr>
            </w:pPr>
          </w:p>
        </w:tc>
        <w:tc>
          <w:tcPr>
            <w:tcW w:w="1814" w:type="dxa"/>
            <w:noWrap w:val="0"/>
            <w:vAlign w:val="center"/>
          </w:tcPr>
          <w:p w14:paraId="16D837AA">
            <w:pPr>
              <w:pStyle w:val="21"/>
              <w:spacing w:before="120" w:after="120"/>
              <w:rPr>
                <w:rFonts w:hAnsi="宋体" w:eastAsia="宋体"/>
                <w:color w:val="auto"/>
                <w:kern w:val="0"/>
                <w:szCs w:val="21"/>
                <w:highlight w:val="none"/>
              </w:rPr>
            </w:pPr>
          </w:p>
        </w:tc>
        <w:tc>
          <w:tcPr>
            <w:tcW w:w="1274" w:type="dxa"/>
            <w:noWrap w:val="0"/>
            <w:vAlign w:val="center"/>
          </w:tcPr>
          <w:p w14:paraId="168A6D7E">
            <w:pPr>
              <w:pStyle w:val="21"/>
              <w:spacing w:before="120" w:after="120"/>
              <w:rPr>
                <w:rFonts w:hAnsi="宋体" w:eastAsia="宋体"/>
                <w:color w:val="auto"/>
                <w:kern w:val="0"/>
                <w:szCs w:val="21"/>
                <w:highlight w:val="none"/>
              </w:rPr>
            </w:pPr>
          </w:p>
        </w:tc>
      </w:tr>
      <w:tr w14:paraId="39BF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6C6AB156">
            <w:pPr>
              <w:pStyle w:val="21"/>
              <w:spacing w:before="120" w:after="120"/>
              <w:jc w:val="center"/>
              <w:rPr>
                <w:rFonts w:hAnsi="宋体" w:eastAsia="宋体"/>
                <w:color w:val="auto"/>
                <w:kern w:val="0"/>
                <w:szCs w:val="21"/>
                <w:highlight w:val="none"/>
              </w:rPr>
            </w:pPr>
            <w:r>
              <w:rPr>
                <w:rFonts w:hint="eastAsia" w:hAnsi="宋体" w:eastAsia="宋体"/>
                <w:color w:val="auto"/>
                <w:kern w:val="0"/>
                <w:szCs w:val="21"/>
                <w:highlight w:val="none"/>
              </w:rPr>
              <w:t>2</w:t>
            </w:r>
          </w:p>
        </w:tc>
        <w:tc>
          <w:tcPr>
            <w:tcW w:w="1757" w:type="dxa"/>
            <w:noWrap w:val="0"/>
            <w:vAlign w:val="center"/>
          </w:tcPr>
          <w:p w14:paraId="581639F7">
            <w:pPr>
              <w:pStyle w:val="34"/>
              <w:widowControl w:val="0"/>
              <w:spacing w:before="0" w:beforeAutospacing="0" w:after="0" w:afterAutospacing="0"/>
              <w:jc w:val="center"/>
              <w:rPr>
                <w:rFonts w:hint="default" w:eastAsia="宋体" w:cs="宋体"/>
                <w:color w:val="auto"/>
                <w:sz w:val="21"/>
                <w:szCs w:val="21"/>
                <w:highlight w:val="none"/>
                <w:lang w:eastAsia="en-US" w:bidi="ar"/>
              </w:rPr>
            </w:pPr>
            <w:r>
              <w:rPr>
                <w:rFonts w:hint="eastAsia" w:ascii="宋体" w:hAnsi="宋体" w:eastAsia="宋体" w:cs="宋体"/>
                <w:color w:val="auto"/>
                <w:sz w:val="21"/>
                <w:szCs w:val="21"/>
                <w:highlight w:val="none"/>
              </w:rPr>
              <w:t>水利工程专业监理工程师</w:t>
            </w:r>
          </w:p>
        </w:tc>
        <w:tc>
          <w:tcPr>
            <w:tcW w:w="1527" w:type="dxa"/>
            <w:noWrap w:val="0"/>
            <w:vAlign w:val="center"/>
          </w:tcPr>
          <w:p w14:paraId="04534249">
            <w:pPr>
              <w:pStyle w:val="21"/>
              <w:spacing w:before="120" w:after="120"/>
              <w:rPr>
                <w:rFonts w:hAnsi="宋体" w:eastAsia="宋体"/>
                <w:color w:val="auto"/>
                <w:kern w:val="0"/>
                <w:szCs w:val="21"/>
                <w:highlight w:val="none"/>
              </w:rPr>
            </w:pPr>
          </w:p>
        </w:tc>
        <w:tc>
          <w:tcPr>
            <w:tcW w:w="851" w:type="dxa"/>
            <w:noWrap w:val="0"/>
            <w:vAlign w:val="center"/>
          </w:tcPr>
          <w:p w14:paraId="3C8A7EF2">
            <w:pPr>
              <w:pStyle w:val="21"/>
              <w:spacing w:before="120" w:after="120"/>
              <w:rPr>
                <w:rFonts w:hAnsi="宋体" w:eastAsia="宋体"/>
                <w:color w:val="auto"/>
                <w:kern w:val="0"/>
                <w:szCs w:val="21"/>
                <w:highlight w:val="none"/>
              </w:rPr>
            </w:pPr>
          </w:p>
        </w:tc>
        <w:tc>
          <w:tcPr>
            <w:tcW w:w="1364" w:type="dxa"/>
            <w:noWrap w:val="0"/>
            <w:vAlign w:val="center"/>
          </w:tcPr>
          <w:p w14:paraId="48F5F3EC">
            <w:pPr>
              <w:pStyle w:val="21"/>
              <w:spacing w:before="120" w:after="120"/>
              <w:rPr>
                <w:rFonts w:hAnsi="宋体" w:eastAsia="宋体"/>
                <w:color w:val="auto"/>
                <w:kern w:val="0"/>
                <w:szCs w:val="21"/>
                <w:highlight w:val="none"/>
              </w:rPr>
            </w:pPr>
          </w:p>
        </w:tc>
        <w:tc>
          <w:tcPr>
            <w:tcW w:w="1814" w:type="dxa"/>
            <w:noWrap w:val="0"/>
            <w:vAlign w:val="center"/>
          </w:tcPr>
          <w:p w14:paraId="0BEBC3F2">
            <w:pPr>
              <w:pStyle w:val="21"/>
              <w:spacing w:before="120" w:after="120"/>
              <w:rPr>
                <w:rFonts w:hAnsi="宋体" w:eastAsia="宋体"/>
                <w:color w:val="auto"/>
                <w:kern w:val="0"/>
                <w:szCs w:val="21"/>
                <w:highlight w:val="none"/>
              </w:rPr>
            </w:pPr>
          </w:p>
        </w:tc>
        <w:tc>
          <w:tcPr>
            <w:tcW w:w="1274" w:type="dxa"/>
            <w:noWrap w:val="0"/>
            <w:vAlign w:val="center"/>
          </w:tcPr>
          <w:p w14:paraId="654E6970">
            <w:pPr>
              <w:pStyle w:val="21"/>
              <w:spacing w:before="120" w:after="120"/>
              <w:rPr>
                <w:rFonts w:hAnsi="宋体" w:eastAsia="宋体"/>
                <w:color w:val="auto"/>
                <w:kern w:val="0"/>
                <w:szCs w:val="21"/>
                <w:highlight w:val="none"/>
              </w:rPr>
            </w:pPr>
          </w:p>
        </w:tc>
      </w:tr>
      <w:tr w14:paraId="0D1E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80" w:type="dxa"/>
            <w:noWrap w:val="0"/>
            <w:vAlign w:val="center"/>
          </w:tcPr>
          <w:p w14:paraId="5CECAE4A">
            <w:pPr>
              <w:pStyle w:val="21"/>
              <w:spacing w:before="120" w:after="120"/>
              <w:jc w:val="center"/>
              <w:rPr>
                <w:rFonts w:hAnsi="宋体" w:eastAsia="宋体"/>
                <w:color w:val="auto"/>
                <w:kern w:val="0"/>
                <w:szCs w:val="21"/>
                <w:highlight w:val="none"/>
              </w:rPr>
            </w:pPr>
            <w:r>
              <w:rPr>
                <w:rFonts w:hint="eastAsia" w:hAnsi="宋体" w:eastAsia="宋体"/>
                <w:color w:val="auto"/>
                <w:kern w:val="0"/>
                <w:szCs w:val="21"/>
                <w:highlight w:val="none"/>
              </w:rPr>
              <w:t>3</w:t>
            </w:r>
          </w:p>
        </w:tc>
        <w:tc>
          <w:tcPr>
            <w:tcW w:w="1757" w:type="dxa"/>
            <w:noWrap w:val="0"/>
            <w:vAlign w:val="center"/>
          </w:tcPr>
          <w:p w14:paraId="6FC435B9">
            <w:pPr>
              <w:pStyle w:val="34"/>
              <w:widowControl w:val="0"/>
              <w:spacing w:before="0" w:beforeAutospacing="0" w:after="0" w:afterAutospacing="0"/>
              <w:jc w:val="center"/>
              <w:rPr>
                <w:rFonts w:hint="default" w:eastAsia="宋体" w:cs="宋体"/>
                <w:color w:val="auto"/>
                <w:sz w:val="21"/>
                <w:szCs w:val="21"/>
                <w:highlight w:val="none"/>
                <w:lang w:eastAsia="en-US" w:bidi="ar"/>
              </w:rPr>
            </w:pPr>
            <w:r>
              <w:rPr>
                <w:rFonts w:hint="eastAsia" w:ascii="宋体" w:hAnsi="宋体" w:eastAsia="宋体" w:cs="宋体"/>
                <w:color w:val="auto"/>
                <w:sz w:val="21"/>
                <w:szCs w:val="21"/>
                <w:highlight w:val="none"/>
              </w:rPr>
              <w:t>水利工程专业监理工程师</w:t>
            </w:r>
          </w:p>
        </w:tc>
        <w:tc>
          <w:tcPr>
            <w:tcW w:w="1527" w:type="dxa"/>
            <w:noWrap w:val="0"/>
            <w:vAlign w:val="center"/>
          </w:tcPr>
          <w:p w14:paraId="6B7B28B8">
            <w:pPr>
              <w:pStyle w:val="21"/>
              <w:spacing w:before="120" w:after="120"/>
              <w:rPr>
                <w:rFonts w:hAnsi="宋体" w:eastAsia="宋体"/>
                <w:color w:val="auto"/>
                <w:kern w:val="0"/>
                <w:szCs w:val="21"/>
                <w:highlight w:val="none"/>
              </w:rPr>
            </w:pPr>
          </w:p>
        </w:tc>
        <w:tc>
          <w:tcPr>
            <w:tcW w:w="851" w:type="dxa"/>
            <w:noWrap w:val="0"/>
            <w:vAlign w:val="center"/>
          </w:tcPr>
          <w:p w14:paraId="62546142">
            <w:pPr>
              <w:pStyle w:val="21"/>
              <w:spacing w:before="120" w:after="120"/>
              <w:rPr>
                <w:rFonts w:hAnsi="宋体" w:eastAsia="宋体"/>
                <w:color w:val="auto"/>
                <w:kern w:val="0"/>
                <w:szCs w:val="21"/>
                <w:highlight w:val="none"/>
              </w:rPr>
            </w:pPr>
          </w:p>
        </w:tc>
        <w:tc>
          <w:tcPr>
            <w:tcW w:w="1364" w:type="dxa"/>
            <w:noWrap w:val="0"/>
            <w:vAlign w:val="center"/>
          </w:tcPr>
          <w:p w14:paraId="3A3C6A34">
            <w:pPr>
              <w:pStyle w:val="21"/>
              <w:spacing w:before="120" w:after="120"/>
              <w:rPr>
                <w:rFonts w:hAnsi="宋体" w:eastAsia="宋体"/>
                <w:color w:val="auto"/>
                <w:kern w:val="0"/>
                <w:szCs w:val="21"/>
                <w:highlight w:val="none"/>
              </w:rPr>
            </w:pPr>
          </w:p>
        </w:tc>
        <w:tc>
          <w:tcPr>
            <w:tcW w:w="1814" w:type="dxa"/>
            <w:noWrap w:val="0"/>
            <w:vAlign w:val="center"/>
          </w:tcPr>
          <w:p w14:paraId="37CCDB9A">
            <w:pPr>
              <w:pStyle w:val="21"/>
              <w:spacing w:before="120" w:after="120"/>
              <w:rPr>
                <w:rFonts w:hAnsi="宋体" w:eastAsia="宋体"/>
                <w:color w:val="auto"/>
                <w:kern w:val="0"/>
                <w:szCs w:val="21"/>
                <w:highlight w:val="none"/>
              </w:rPr>
            </w:pPr>
          </w:p>
        </w:tc>
        <w:tc>
          <w:tcPr>
            <w:tcW w:w="1274" w:type="dxa"/>
            <w:noWrap w:val="0"/>
            <w:vAlign w:val="center"/>
          </w:tcPr>
          <w:p w14:paraId="65770F15">
            <w:pPr>
              <w:pStyle w:val="21"/>
              <w:spacing w:before="120" w:after="120"/>
              <w:rPr>
                <w:rFonts w:hAnsi="宋体" w:eastAsia="宋体"/>
                <w:color w:val="auto"/>
                <w:kern w:val="0"/>
                <w:szCs w:val="21"/>
                <w:highlight w:val="none"/>
              </w:rPr>
            </w:pPr>
          </w:p>
        </w:tc>
      </w:tr>
      <w:tr w14:paraId="3C1B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7400C6BF">
            <w:pPr>
              <w:pStyle w:val="21"/>
              <w:spacing w:before="120" w:after="120"/>
              <w:jc w:val="center"/>
              <w:rPr>
                <w:rFonts w:hint="eastAsia" w:hAnsi="宋体" w:eastAsia="宋体"/>
                <w:color w:val="auto"/>
                <w:kern w:val="0"/>
                <w:szCs w:val="21"/>
                <w:highlight w:val="none"/>
                <w:lang w:val="en-US" w:eastAsia="zh-CN"/>
              </w:rPr>
            </w:pPr>
            <w:r>
              <w:rPr>
                <w:rFonts w:hint="eastAsia" w:hAnsi="宋体" w:eastAsia="宋体"/>
                <w:color w:val="auto"/>
                <w:kern w:val="0"/>
                <w:szCs w:val="21"/>
                <w:highlight w:val="none"/>
                <w:lang w:val="en-US" w:eastAsia="zh-CN"/>
              </w:rPr>
              <w:t>4</w:t>
            </w:r>
          </w:p>
        </w:tc>
        <w:tc>
          <w:tcPr>
            <w:tcW w:w="1757" w:type="dxa"/>
            <w:noWrap w:val="0"/>
            <w:vAlign w:val="center"/>
          </w:tcPr>
          <w:p w14:paraId="486CE5CA">
            <w:pPr>
              <w:pStyle w:val="21"/>
              <w:spacing w:before="120" w:after="120"/>
              <w:rPr>
                <w:rFonts w:hAnsi="宋体" w:eastAsia="宋体"/>
                <w:color w:val="auto"/>
                <w:kern w:val="0"/>
                <w:szCs w:val="21"/>
                <w:highlight w:val="none"/>
              </w:rPr>
            </w:pPr>
            <w:r>
              <w:rPr>
                <w:rFonts w:hint="eastAsia" w:ascii="宋体" w:hAnsi="宋体" w:eastAsia="宋体" w:cs="宋体"/>
                <w:color w:val="auto"/>
                <w:sz w:val="21"/>
                <w:szCs w:val="21"/>
                <w:highlight w:val="none"/>
              </w:rPr>
              <w:t>水利工程监理员</w:t>
            </w:r>
          </w:p>
        </w:tc>
        <w:tc>
          <w:tcPr>
            <w:tcW w:w="1527" w:type="dxa"/>
            <w:noWrap w:val="0"/>
            <w:vAlign w:val="center"/>
          </w:tcPr>
          <w:p w14:paraId="626438F3">
            <w:pPr>
              <w:pStyle w:val="21"/>
              <w:spacing w:before="120" w:after="120"/>
              <w:rPr>
                <w:rFonts w:hAnsi="宋体" w:eastAsia="宋体"/>
                <w:color w:val="auto"/>
                <w:kern w:val="0"/>
                <w:szCs w:val="21"/>
                <w:highlight w:val="none"/>
              </w:rPr>
            </w:pPr>
          </w:p>
        </w:tc>
        <w:tc>
          <w:tcPr>
            <w:tcW w:w="851" w:type="dxa"/>
            <w:noWrap w:val="0"/>
            <w:vAlign w:val="center"/>
          </w:tcPr>
          <w:p w14:paraId="4784809B">
            <w:pPr>
              <w:pStyle w:val="21"/>
              <w:spacing w:before="120" w:after="120"/>
              <w:rPr>
                <w:rFonts w:hAnsi="宋体" w:eastAsia="宋体"/>
                <w:color w:val="auto"/>
                <w:kern w:val="0"/>
                <w:szCs w:val="21"/>
                <w:highlight w:val="none"/>
              </w:rPr>
            </w:pPr>
          </w:p>
        </w:tc>
        <w:tc>
          <w:tcPr>
            <w:tcW w:w="1364" w:type="dxa"/>
            <w:noWrap w:val="0"/>
            <w:vAlign w:val="center"/>
          </w:tcPr>
          <w:p w14:paraId="4E4F7BF8">
            <w:pPr>
              <w:pStyle w:val="21"/>
              <w:spacing w:before="120" w:after="120"/>
              <w:rPr>
                <w:rFonts w:hAnsi="宋体" w:eastAsia="宋体"/>
                <w:color w:val="auto"/>
                <w:kern w:val="0"/>
                <w:szCs w:val="21"/>
                <w:highlight w:val="none"/>
              </w:rPr>
            </w:pPr>
          </w:p>
        </w:tc>
        <w:tc>
          <w:tcPr>
            <w:tcW w:w="1814" w:type="dxa"/>
            <w:noWrap w:val="0"/>
            <w:vAlign w:val="center"/>
          </w:tcPr>
          <w:p w14:paraId="1747048F">
            <w:pPr>
              <w:pStyle w:val="21"/>
              <w:spacing w:before="120" w:after="120"/>
              <w:rPr>
                <w:rFonts w:hAnsi="宋体" w:eastAsia="宋体"/>
                <w:color w:val="auto"/>
                <w:kern w:val="0"/>
                <w:szCs w:val="21"/>
                <w:highlight w:val="none"/>
              </w:rPr>
            </w:pPr>
          </w:p>
        </w:tc>
        <w:tc>
          <w:tcPr>
            <w:tcW w:w="1274" w:type="dxa"/>
            <w:noWrap w:val="0"/>
            <w:vAlign w:val="center"/>
          </w:tcPr>
          <w:p w14:paraId="4112BA89">
            <w:pPr>
              <w:pStyle w:val="21"/>
              <w:spacing w:before="120" w:after="120"/>
              <w:rPr>
                <w:rFonts w:hAnsi="宋体" w:eastAsia="宋体"/>
                <w:color w:val="auto"/>
                <w:kern w:val="0"/>
                <w:szCs w:val="21"/>
                <w:highlight w:val="none"/>
              </w:rPr>
            </w:pPr>
          </w:p>
        </w:tc>
      </w:tr>
      <w:tr w14:paraId="794D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56143F64">
            <w:pPr>
              <w:pStyle w:val="21"/>
              <w:spacing w:before="120" w:after="120"/>
              <w:jc w:val="center"/>
              <w:rPr>
                <w:rFonts w:hint="eastAsia" w:hAnsi="宋体" w:eastAsia="宋体"/>
                <w:color w:val="auto"/>
                <w:kern w:val="0"/>
                <w:szCs w:val="21"/>
                <w:highlight w:val="none"/>
                <w:lang w:val="en-US" w:eastAsia="zh-CN"/>
              </w:rPr>
            </w:pPr>
          </w:p>
        </w:tc>
        <w:tc>
          <w:tcPr>
            <w:tcW w:w="1757" w:type="dxa"/>
            <w:noWrap w:val="0"/>
            <w:vAlign w:val="center"/>
          </w:tcPr>
          <w:p w14:paraId="293379F7">
            <w:pPr>
              <w:pStyle w:val="21"/>
              <w:spacing w:before="120" w:after="120"/>
              <w:rPr>
                <w:rFonts w:hAnsi="宋体" w:eastAsia="宋体"/>
                <w:color w:val="auto"/>
                <w:kern w:val="0"/>
                <w:szCs w:val="21"/>
                <w:highlight w:val="none"/>
              </w:rPr>
            </w:pPr>
          </w:p>
        </w:tc>
        <w:tc>
          <w:tcPr>
            <w:tcW w:w="1527" w:type="dxa"/>
            <w:noWrap w:val="0"/>
            <w:vAlign w:val="center"/>
          </w:tcPr>
          <w:p w14:paraId="77E4BF2B">
            <w:pPr>
              <w:pStyle w:val="21"/>
              <w:spacing w:before="120" w:after="120"/>
              <w:rPr>
                <w:rFonts w:hAnsi="宋体" w:eastAsia="宋体"/>
                <w:color w:val="auto"/>
                <w:kern w:val="0"/>
                <w:szCs w:val="21"/>
                <w:highlight w:val="none"/>
              </w:rPr>
            </w:pPr>
          </w:p>
        </w:tc>
        <w:tc>
          <w:tcPr>
            <w:tcW w:w="851" w:type="dxa"/>
            <w:noWrap w:val="0"/>
            <w:vAlign w:val="center"/>
          </w:tcPr>
          <w:p w14:paraId="1C34E22F">
            <w:pPr>
              <w:pStyle w:val="21"/>
              <w:spacing w:before="120" w:after="120"/>
              <w:rPr>
                <w:rFonts w:hAnsi="宋体" w:eastAsia="宋体"/>
                <w:color w:val="auto"/>
                <w:kern w:val="0"/>
                <w:szCs w:val="21"/>
                <w:highlight w:val="none"/>
              </w:rPr>
            </w:pPr>
          </w:p>
        </w:tc>
        <w:tc>
          <w:tcPr>
            <w:tcW w:w="1364" w:type="dxa"/>
            <w:noWrap w:val="0"/>
            <w:vAlign w:val="center"/>
          </w:tcPr>
          <w:p w14:paraId="09E7AB3B">
            <w:pPr>
              <w:pStyle w:val="21"/>
              <w:spacing w:before="120" w:after="120"/>
              <w:rPr>
                <w:rFonts w:hAnsi="宋体" w:eastAsia="宋体"/>
                <w:color w:val="auto"/>
                <w:kern w:val="0"/>
                <w:szCs w:val="21"/>
                <w:highlight w:val="none"/>
              </w:rPr>
            </w:pPr>
          </w:p>
        </w:tc>
        <w:tc>
          <w:tcPr>
            <w:tcW w:w="1814" w:type="dxa"/>
            <w:noWrap w:val="0"/>
            <w:vAlign w:val="center"/>
          </w:tcPr>
          <w:p w14:paraId="2B9C1ED6">
            <w:pPr>
              <w:pStyle w:val="21"/>
              <w:spacing w:before="120" w:after="120"/>
              <w:rPr>
                <w:rFonts w:hAnsi="宋体" w:eastAsia="宋体"/>
                <w:color w:val="auto"/>
                <w:kern w:val="0"/>
                <w:szCs w:val="21"/>
                <w:highlight w:val="none"/>
              </w:rPr>
            </w:pPr>
          </w:p>
        </w:tc>
        <w:tc>
          <w:tcPr>
            <w:tcW w:w="1274" w:type="dxa"/>
            <w:noWrap w:val="0"/>
            <w:vAlign w:val="center"/>
          </w:tcPr>
          <w:p w14:paraId="23E1B694">
            <w:pPr>
              <w:pStyle w:val="21"/>
              <w:spacing w:before="120" w:after="120"/>
              <w:rPr>
                <w:rFonts w:hAnsi="宋体" w:eastAsia="宋体"/>
                <w:color w:val="auto"/>
                <w:kern w:val="0"/>
                <w:szCs w:val="21"/>
                <w:highlight w:val="none"/>
              </w:rPr>
            </w:pPr>
          </w:p>
        </w:tc>
      </w:tr>
      <w:tr w14:paraId="6C6E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7A3FD4ED">
            <w:pPr>
              <w:pStyle w:val="21"/>
              <w:spacing w:before="120" w:after="120"/>
              <w:jc w:val="center"/>
              <w:rPr>
                <w:rFonts w:hAnsi="宋体" w:eastAsia="宋体"/>
                <w:color w:val="auto"/>
                <w:kern w:val="0"/>
                <w:szCs w:val="21"/>
                <w:highlight w:val="none"/>
              </w:rPr>
            </w:pPr>
          </w:p>
        </w:tc>
        <w:tc>
          <w:tcPr>
            <w:tcW w:w="1757" w:type="dxa"/>
            <w:noWrap w:val="0"/>
            <w:vAlign w:val="center"/>
          </w:tcPr>
          <w:p w14:paraId="24EFA70D">
            <w:pPr>
              <w:pStyle w:val="21"/>
              <w:spacing w:before="120" w:after="120"/>
              <w:rPr>
                <w:rFonts w:hAnsi="宋体" w:eastAsia="宋体"/>
                <w:color w:val="auto"/>
                <w:kern w:val="0"/>
                <w:szCs w:val="21"/>
                <w:highlight w:val="none"/>
              </w:rPr>
            </w:pPr>
          </w:p>
        </w:tc>
        <w:tc>
          <w:tcPr>
            <w:tcW w:w="1527" w:type="dxa"/>
            <w:noWrap w:val="0"/>
            <w:vAlign w:val="center"/>
          </w:tcPr>
          <w:p w14:paraId="774E2111">
            <w:pPr>
              <w:pStyle w:val="21"/>
              <w:spacing w:before="120" w:after="120"/>
              <w:rPr>
                <w:rFonts w:hAnsi="宋体" w:eastAsia="宋体"/>
                <w:color w:val="auto"/>
                <w:kern w:val="0"/>
                <w:szCs w:val="21"/>
                <w:highlight w:val="none"/>
              </w:rPr>
            </w:pPr>
          </w:p>
        </w:tc>
        <w:tc>
          <w:tcPr>
            <w:tcW w:w="851" w:type="dxa"/>
            <w:noWrap w:val="0"/>
            <w:vAlign w:val="center"/>
          </w:tcPr>
          <w:p w14:paraId="796D112D">
            <w:pPr>
              <w:pStyle w:val="21"/>
              <w:spacing w:before="120" w:after="120"/>
              <w:rPr>
                <w:rFonts w:hAnsi="宋体" w:eastAsia="宋体"/>
                <w:color w:val="auto"/>
                <w:kern w:val="0"/>
                <w:szCs w:val="21"/>
                <w:highlight w:val="none"/>
              </w:rPr>
            </w:pPr>
          </w:p>
        </w:tc>
        <w:tc>
          <w:tcPr>
            <w:tcW w:w="1364" w:type="dxa"/>
            <w:noWrap w:val="0"/>
            <w:vAlign w:val="center"/>
          </w:tcPr>
          <w:p w14:paraId="504B5E30">
            <w:pPr>
              <w:pStyle w:val="21"/>
              <w:spacing w:before="120" w:after="120"/>
              <w:rPr>
                <w:rFonts w:hAnsi="宋体" w:eastAsia="宋体"/>
                <w:color w:val="auto"/>
                <w:kern w:val="0"/>
                <w:szCs w:val="21"/>
                <w:highlight w:val="none"/>
              </w:rPr>
            </w:pPr>
          </w:p>
        </w:tc>
        <w:tc>
          <w:tcPr>
            <w:tcW w:w="1814" w:type="dxa"/>
            <w:noWrap w:val="0"/>
            <w:vAlign w:val="center"/>
          </w:tcPr>
          <w:p w14:paraId="2EB7549D">
            <w:pPr>
              <w:pStyle w:val="21"/>
              <w:spacing w:before="120" w:after="120"/>
              <w:rPr>
                <w:rFonts w:hAnsi="宋体" w:eastAsia="宋体"/>
                <w:color w:val="auto"/>
                <w:kern w:val="0"/>
                <w:szCs w:val="21"/>
                <w:highlight w:val="none"/>
              </w:rPr>
            </w:pPr>
          </w:p>
        </w:tc>
        <w:tc>
          <w:tcPr>
            <w:tcW w:w="1274" w:type="dxa"/>
            <w:noWrap w:val="0"/>
            <w:vAlign w:val="center"/>
          </w:tcPr>
          <w:p w14:paraId="761FE280">
            <w:pPr>
              <w:pStyle w:val="21"/>
              <w:spacing w:before="120" w:after="120"/>
              <w:rPr>
                <w:rFonts w:hAnsi="宋体" w:eastAsia="宋体"/>
                <w:color w:val="auto"/>
                <w:kern w:val="0"/>
                <w:szCs w:val="21"/>
                <w:highlight w:val="none"/>
              </w:rPr>
            </w:pPr>
          </w:p>
        </w:tc>
      </w:tr>
      <w:tr w14:paraId="7449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noWrap w:val="0"/>
            <w:vAlign w:val="center"/>
          </w:tcPr>
          <w:p w14:paraId="7F5B0255">
            <w:pPr>
              <w:pStyle w:val="21"/>
              <w:spacing w:before="120" w:after="120"/>
              <w:jc w:val="center"/>
              <w:rPr>
                <w:rFonts w:hAnsi="宋体" w:eastAsia="宋体"/>
                <w:color w:val="auto"/>
                <w:kern w:val="0"/>
                <w:szCs w:val="21"/>
                <w:highlight w:val="none"/>
              </w:rPr>
            </w:pPr>
            <w:r>
              <w:rPr>
                <w:rFonts w:hint="eastAsia" w:hAnsi="宋体" w:eastAsia="宋体" w:cs="宋体"/>
                <w:color w:val="auto"/>
                <w:szCs w:val="21"/>
                <w:highlight w:val="none"/>
              </w:rPr>
              <w:t>……</w:t>
            </w:r>
          </w:p>
        </w:tc>
        <w:tc>
          <w:tcPr>
            <w:tcW w:w="1757" w:type="dxa"/>
            <w:noWrap w:val="0"/>
            <w:vAlign w:val="center"/>
          </w:tcPr>
          <w:p w14:paraId="3E0FCCC7">
            <w:pPr>
              <w:pStyle w:val="21"/>
              <w:spacing w:before="120" w:after="120"/>
              <w:rPr>
                <w:rFonts w:hAnsi="宋体" w:eastAsia="宋体"/>
                <w:color w:val="auto"/>
                <w:kern w:val="0"/>
                <w:szCs w:val="21"/>
                <w:highlight w:val="none"/>
              </w:rPr>
            </w:pPr>
            <w:r>
              <w:rPr>
                <w:rFonts w:hint="eastAsia" w:hAnsi="宋体" w:eastAsia="宋体" w:cs="宋体"/>
                <w:color w:val="auto"/>
                <w:szCs w:val="21"/>
                <w:highlight w:val="none"/>
              </w:rPr>
              <w:t>……</w:t>
            </w:r>
          </w:p>
        </w:tc>
        <w:tc>
          <w:tcPr>
            <w:tcW w:w="1527" w:type="dxa"/>
            <w:noWrap w:val="0"/>
            <w:vAlign w:val="center"/>
          </w:tcPr>
          <w:p w14:paraId="17F853B9">
            <w:pPr>
              <w:pStyle w:val="21"/>
              <w:spacing w:before="120" w:after="120"/>
              <w:rPr>
                <w:rFonts w:hAnsi="宋体" w:eastAsia="宋体"/>
                <w:color w:val="auto"/>
                <w:kern w:val="0"/>
                <w:szCs w:val="21"/>
                <w:highlight w:val="none"/>
              </w:rPr>
            </w:pPr>
          </w:p>
        </w:tc>
        <w:tc>
          <w:tcPr>
            <w:tcW w:w="851" w:type="dxa"/>
            <w:noWrap w:val="0"/>
            <w:vAlign w:val="center"/>
          </w:tcPr>
          <w:p w14:paraId="0092BA81">
            <w:pPr>
              <w:pStyle w:val="21"/>
              <w:spacing w:before="120" w:after="120"/>
              <w:rPr>
                <w:rFonts w:hAnsi="宋体" w:eastAsia="宋体"/>
                <w:color w:val="auto"/>
                <w:kern w:val="0"/>
                <w:szCs w:val="21"/>
                <w:highlight w:val="none"/>
              </w:rPr>
            </w:pPr>
          </w:p>
        </w:tc>
        <w:tc>
          <w:tcPr>
            <w:tcW w:w="1364" w:type="dxa"/>
            <w:noWrap w:val="0"/>
            <w:vAlign w:val="center"/>
          </w:tcPr>
          <w:p w14:paraId="048D95DC">
            <w:pPr>
              <w:pStyle w:val="21"/>
              <w:spacing w:before="120" w:after="120"/>
              <w:rPr>
                <w:rFonts w:hAnsi="宋体" w:eastAsia="宋体"/>
                <w:color w:val="auto"/>
                <w:kern w:val="0"/>
                <w:szCs w:val="21"/>
                <w:highlight w:val="none"/>
              </w:rPr>
            </w:pPr>
          </w:p>
        </w:tc>
        <w:tc>
          <w:tcPr>
            <w:tcW w:w="1814" w:type="dxa"/>
            <w:noWrap w:val="0"/>
            <w:vAlign w:val="center"/>
          </w:tcPr>
          <w:p w14:paraId="38AB7047">
            <w:pPr>
              <w:pStyle w:val="21"/>
              <w:spacing w:before="120" w:after="120"/>
              <w:rPr>
                <w:rFonts w:hAnsi="宋体" w:eastAsia="宋体"/>
                <w:color w:val="auto"/>
                <w:kern w:val="0"/>
                <w:szCs w:val="21"/>
                <w:highlight w:val="none"/>
              </w:rPr>
            </w:pPr>
          </w:p>
        </w:tc>
        <w:tc>
          <w:tcPr>
            <w:tcW w:w="1274" w:type="dxa"/>
            <w:noWrap w:val="0"/>
            <w:vAlign w:val="center"/>
          </w:tcPr>
          <w:p w14:paraId="3D3F093A">
            <w:pPr>
              <w:pStyle w:val="21"/>
              <w:spacing w:before="120" w:after="120"/>
              <w:rPr>
                <w:rFonts w:hAnsi="宋体" w:eastAsia="宋体"/>
                <w:color w:val="auto"/>
                <w:kern w:val="0"/>
                <w:szCs w:val="21"/>
                <w:highlight w:val="none"/>
              </w:rPr>
            </w:pPr>
          </w:p>
        </w:tc>
      </w:tr>
    </w:tbl>
    <w:p w14:paraId="2E0D18AC">
      <w:pPr>
        <w:autoSpaceDE w:val="0"/>
        <w:autoSpaceDN w:val="0"/>
        <w:adjustRightInd w:val="0"/>
        <w:spacing w:before="120" w:beforeLines="5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69F9181B">
      <w:pPr>
        <w:numPr>
          <w:ilvl w:val="0"/>
          <w:numId w:val="7"/>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表中招标人所列的人员必须填写，表后</w:t>
      </w:r>
      <w:r>
        <w:rPr>
          <w:rFonts w:hint="eastAsia" w:ascii="宋体" w:hAnsi="宋体" w:eastAsia="宋体" w:cs="宋体"/>
          <w:b/>
          <w:bCs/>
          <w:color w:val="auto"/>
          <w:szCs w:val="21"/>
          <w:highlight w:val="none"/>
          <w:lang w:val="en-US" w:eastAsia="zh-CN"/>
        </w:rPr>
        <w:t>须</w:t>
      </w:r>
      <w:r>
        <w:rPr>
          <w:rFonts w:hint="eastAsia" w:ascii="宋体" w:hAnsi="宋体" w:eastAsia="宋体" w:cs="宋体"/>
          <w:b/>
          <w:bCs/>
          <w:color w:val="auto"/>
          <w:szCs w:val="21"/>
          <w:highlight w:val="none"/>
        </w:rPr>
        <w:t>附上人员相关证明材料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证书材料及社保证明</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影印件或扫描件，</w:t>
      </w:r>
    </w:p>
    <w:p w14:paraId="6F662193">
      <w:pPr>
        <w:numPr>
          <w:ilvl w:val="0"/>
          <w:numId w:val="7"/>
        </w:num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highlight w:val="none"/>
        </w:rPr>
        <w:t>其余人员的配备由投标人根据工程实际情况自行配备</w:t>
      </w:r>
      <w:r>
        <w:rPr>
          <w:rFonts w:hint="eastAsia" w:ascii="宋体" w:hAnsi="宋体" w:eastAsia="宋体" w:cs="宋体"/>
          <w:b/>
          <w:color w:val="auto"/>
          <w:highlight w:val="none"/>
          <w:lang w:eastAsia="zh-CN"/>
        </w:rPr>
        <w:t>，</w:t>
      </w:r>
      <w:r>
        <w:rPr>
          <w:rFonts w:hint="eastAsia" w:ascii="宋体" w:hAnsi="宋体" w:eastAsia="宋体" w:cs="宋体"/>
          <w:b/>
          <w:bCs/>
          <w:color w:val="auto"/>
          <w:szCs w:val="21"/>
          <w:highlight w:val="none"/>
        </w:rPr>
        <w:t>相关证明材料按“第四章评审办法及评审标准”要求提供；</w:t>
      </w:r>
    </w:p>
    <w:p w14:paraId="61806698">
      <w:pPr>
        <w:numPr>
          <w:ilvl w:val="0"/>
          <w:numId w:val="7"/>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在填写时，如本表格不适合供应商的实际情况，可根据实际情况及本表格式自行划表填写</w:t>
      </w:r>
      <w:r>
        <w:rPr>
          <w:rFonts w:hint="eastAsia" w:ascii="宋体" w:hAnsi="宋体" w:eastAsia="宋体" w:cs="宋体"/>
          <w:b/>
          <w:bCs/>
          <w:color w:val="auto"/>
          <w:szCs w:val="21"/>
          <w:highlight w:val="none"/>
          <w:lang w:val="en-US" w:eastAsia="zh-CN"/>
        </w:rPr>
        <w:t>。</w:t>
      </w:r>
    </w:p>
    <w:p w14:paraId="0421B8A8">
      <w:pPr>
        <w:numPr>
          <w:ilvl w:val="0"/>
          <w:numId w:val="0"/>
        </w:numPr>
        <w:spacing w:line="360" w:lineRule="auto"/>
        <w:rPr>
          <w:rFonts w:hint="eastAsia" w:ascii="宋体" w:hAnsi="宋体" w:eastAsia="宋体" w:cs="宋体"/>
          <w:b/>
          <w:bCs/>
          <w:color w:val="auto"/>
          <w:szCs w:val="21"/>
          <w:highlight w:val="none"/>
        </w:rPr>
      </w:pPr>
    </w:p>
    <w:p w14:paraId="009B7646">
      <w:pPr>
        <w:adjustRightInd w:val="0"/>
        <w:snapToGrid w:val="0"/>
        <w:spacing w:line="360" w:lineRule="auto"/>
        <w:ind w:firstLine="480" w:firstLineChars="200"/>
        <w:rPr>
          <w:rFonts w:hint="eastAsia" w:ascii="宋体" w:hAnsi="宋体" w:eastAsia="宋体" w:cs="宋体"/>
          <w:color w:val="auto"/>
          <w:sz w:val="24"/>
          <w:highlight w:val="none"/>
        </w:rPr>
      </w:pPr>
    </w:p>
    <w:p w14:paraId="0EABADC3">
      <w:pPr>
        <w:adjustRightInd w:val="0"/>
        <w:snapToGrid w:val="0"/>
        <w:spacing w:line="360" w:lineRule="auto"/>
        <w:ind w:firstLine="6120" w:firstLineChars="2550"/>
        <w:jc w:val="righ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磋商供应商</w:t>
      </w:r>
      <w:r>
        <w:rPr>
          <w:rFonts w:hint="eastAsia" w:ascii="宋体" w:hAnsi="宋体" w:eastAsia="宋体" w:cs="宋体"/>
          <w:color w:val="auto"/>
          <w:kern w:val="0"/>
          <w:sz w:val="24"/>
          <w:highlight w:val="none"/>
          <w:lang w:val="zh-CN"/>
        </w:rPr>
        <w:t>名称(公章)：</w:t>
      </w:r>
    </w:p>
    <w:p w14:paraId="13786B90">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)或委托代理人(签字)：</w:t>
      </w:r>
    </w:p>
    <w:p w14:paraId="14043C5F">
      <w:pPr>
        <w:spacing w:line="420" w:lineRule="exact"/>
        <w:ind w:firstLine="424" w:firstLineChars="177"/>
        <w:jc w:val="right"/>
        <w:rPr>
          <w:rFonts w:hint="eastAsia" w:ascii="宋体" w:hAnsi="宋体" w:eastAsia="宋体" w:cs="宋体"/>
          <w:color w:val="auto"/>
          <w:kern w:val="0"/>
          <w:sz w:val="24"/>
          <w:highlight w:val="none"/>
          <w:lang w:val="zh-CN"/>
        </w:rPr>
      </w:pPr>
    </w:p>
    <w:p w14:paraId="2FEDED03">
      <w:pPr>
        <w:spacing w:line="420" w:lineRule="exact"/>
        <w:ind w:firstLine="424" w:firstLineChars="177"/>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9623A9E">
      <w:pPr>
        <w:pStyle w:val="122"/>
        <w:rPr>
          <w:rFonts w:hint="eastAsia" w:ascii="宋体" w:hAnsi="宋体" w:eastAsia="宋体" w:cs="宋体"/>
          <w:color w:val="auto"/>
          <w:kern w:val="0"/>
          <w:sz w:val="24"/>
          <w:highlight w:val="none"/>
          <w:lang w:val="zh-CN"/>
        </w:rPr>
      </w:pPr>
    </w:p>
    <w:p w14:paraId="08D51472">
      <w:pPr>
        <w:pStyle w:val="52"/>
        <w:ind w:left="0" w:leftChars="0" w:firstLine="0" w:firstLineChars="0"/>
        <w:rPr>
          <w:rFonts w:hint="eastAsia" w:ascii="宋体" w:hAnsi="宋体" w:eastAsia="宋体" w:cs="宋体"/>
          <w:color w:val="auto"/>
          <w:highlight w:val="none"/>
          <w:lang w:val="zh-CN"/>
        </w:rPr>
      </w:pPr>
    </w:p>
    <w:p w14:paraId="5E8EE3CD">
      <w:pPr>
        <w:rPr>
          <w:rFonts w:hint="eastAsia" w:ascii="宋体" w:hAnsi="宋体" w:eastAsia="宋体" w:cs="宋体"/>
          <w:color w:val="auto"/>
          <w:kern w:val="0"/>
          <w:sz w:val="24"/>
          <w:highlight w:val="none"/>
          <w:lang w:val="zh-CN"/>
        </w:rPr>
      </w:pPr>
    </w:p>
    <w:p w14:paraId="40B81229">
      <w:pPr>
        <w:spacing w:line="360" w:lineRule="auto"/>
        <w:rPr>
          <w:rFonts w:hint="eastAsia" w:ascii="宋体" w:hAnsi="宋体" w:eastAsia="宋体" w:cs="宋体"/>
          <w:b/>
          <w:color w:val="auto"/>
          <w:sz w:val="24"/>
          <w:highlight w:val="none"/>
        </w:rPr>
      </w:pPr>
    </w:p>
    <w:p w14:paraId="49DC3EEC">
      <w:pPr>
        <w:pStyle w:val="153"/>
        <w:rPr>
          <w:rFonts w:hint="eastAsia"/>
          <w:color w:val="auto"/>
        </w:rPr>
      </w:pPr>
    </w:p>
    <w:p w14:paraId="0658B0F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：拟投入的主要施工设备表</w:t>
      </w:r>
    </w:p>
    <w:p w14:paraId="35110828">
      <w:pPr>
        <w:pStyle w:val="21"/>
        <w:adjustRightInd w:val="0"/>
        <w:snapToGrid w:val="0"/>
        <w:spacing w:line="360" w:lineRule="auto"/>
        <w:jc w:val="center"/>
        <w:rPr>
          <w:rFonts w:hint="eastAsia" w:ascii="宋体" w:hAnsi="宋体" w:eastAsia="宋体" w:cs="宋体"/>
          <w:b/>
          <w:color w:val="auto"/>
          <w:sz w:val="24"/>
          <w:highlight w:val="none"/>
        </w:rPr>
      </w:pPr>
    </w:p>
    <w:p w14:paraId="65A33685">
      <w:pPr>
        <w:pStyle w:val="21"/>
        <w:adjustRightInd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拟投入的主要施工设备表</w:t>
      </w:r>
    </w:p>
    <w:tbl>
      <w:tblPr>
        <w:tblStyle w:val="38"/>
        <w:tblW w:w="0" w:type="auto"/>
        <w:tblInd w:w="0" w:type="dxa"/>
        <w:tblLayout w:type="fixed"/>
        <w:tblCellMar>
          <w:top w:w="0" w:type="dxa"/>
          <w:left w:w="108" w:type="dxa"/>
          <w:bottom w:w="0" w:type="dxa"/>
          <w:right w:w="108" w:type="dxa"/>
        </w:tblCellMar>
      </w:tblPr>
      <w:tblGrid>
        <w:gridCol w:w="828"/>
        <w:gridCol w:w="1644"/>
        <w:gridCol w:w="1474"/>
        <w:gridCol w:w="1060"/>
        <w:gridCol w:w="1420"/>
        <w:gridCol w:w="1474"/>
        <w:gridCol w:w="920"/>
      </w:tblGrid>
      <w:tr w14:paraId="5BD3DA2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CF7E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6319492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设备名称</w:t>
            </w: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52CA6A1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5D75DC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C9A3DA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设备能力</w:t>
            </w: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68A711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23BB5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58FE81D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16401">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4B519BB2">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254459B2">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F1F692A">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DFEF0AD">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742C0D63">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8994DDE">
            <w:pPr>
              <w:widowControl/>
              <w:jc w:val="center"/>
              <w:rPr>
                <w:rFonts w:hint="eastAsia" w:ascii="宋体" w:hAnsi="宋体" w:eastAsia="宋体" w:cs="宋体"/>
                <w:color w:val="auto"/>
                <w:kern w:val="0"/>
                <w:sz w:val="24"/>
                <w:highlight w:val="none"/>
              </w:rPr>
            </w:pPr>
          </w:p>
        </w:tc>
      </w:tr>
      <w:tr w14:paraId="1309C93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4AAD8">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09212497">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0F114147">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433138">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A9FC076">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0630EB29">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7DF68A4">
            <w:pPr>
              <w:widowControl/>
              <w:jc w:val="center"/>
              <w:rPr>
                <w:rFonts w:hint="eastAsia" w:ascii="宋体" w:hAnsi="宋体" w:eastAsia="宋体" w:cs="宋体"/>
                <w:color w:val="auto"/>
                <w:kern w:val="0"/>
                <w:sz w:val="24"/>
                <w:highlight w:val="none"/>
              </w:rPr>
            </w:pPr>
          </w:p>
        </w:tc>
      </w:tr>
      <w:tr w14:paraId="0C72D26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7CD80">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4BF8E9FF">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20BB4633">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CBCCC90">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E688881">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28D3C37F">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1B4EAE4">
            <w:pPr>
              <w:widowControl/>
              <w:jc w:val="center"/>
              <w:rPr>
                <w:rFonts w:hint="eastAsia" w:ascii="宋体" w:hAnsi="宋体" w:eastAsia="宋体" w:cs="宋体"/>
                <w:color w:val="auto"/>
                <w:kern w:val="0"/>
                <w:sz w:val="24"/>
                <w:highlight w:val="none"/>
              </w:rPr>
            </w:pPr>
          </w:p>
        </w:tc>
      </w:tr>
      <w:tr w14:paraId="666DDDA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7F72F">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151AC69D">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4095BEAA">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196C126">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A42E887">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18F1C614">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732DD37">
            <w:pPr>
              <w:widowControl/>
              <w:jc w:val="center"/>
              <w:rPr>
                <w:rFonts w:hint="eastAsia" w:ascii="宋体" w:hAnsi="宋体" w:eastAsia="宋体" w:cs="宋体"/>
                <w:color w:val="auto"/>
                <w:kern w:val="0"/>
                <w:sz w:val="24"/>
                <w:highlight w:val="none"/>
              </w:rPr>
            </w:pPr>
          </w:p>
        </w:tc>
      </w:tr>
      <w:tr w14:paraId="573B50A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EE36E">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25B71C2D">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5973485D">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F2AADF8">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BCE900E">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1F47EE41">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8831B44">
            <w:pPr>
              <w:widowControl/>
              <w:jc w:val="center"/>
              <w:rPr>
                <w:rFonts w:hint="eastAsia" w:ascii="宋体" w:hAnsi="宋体" w:eastAsia="宋体" w:cs="宋体"/>
                <w:color w:val="auto"/>
                <w:kern w:val="0"/>
                <w:sz w:val="24"/>
                <w:highlight w:val="none"/>
              </w:rPr>
            </w:pPr>
          </w:p>
        </w:tc>
      </w:tr>
      <w:tr w14:paraId="7618516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8D15C">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3F26706F">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1D668776">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AA220FC">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059FB7B">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16614F5A">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D020BCF">
            <w:pPr>
              <w:widowControl/>
              <w:jc w:val="center"/>
              <w:rPr>
                <w:rFonts w:hint="eastAsia" w:ascii="宋体" w:hAnsi="宋体" w:eastAsia="宋体" w:cs="宋体"/>
                <w:color w:val="auto"/>
                <w:kern w:val="0"/>
                <w:sz w:val="24"/>
                <w:highlight w:val="none"/>
              </w:rPr>
            </w:pPr>
          </w:p>
        </w:tc>
      </w:tr>
      <w:tr w14:paraId="6DB509A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B5D5E">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6DE13566">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45F9BCCD">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8BCBBAB">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6978205">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6F881BFC">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89CF9EB">
            <w:pPr>
              <w:widowControl/>
              <w:jc w:val="center"/>
              <w:rPr>
                <w:rFonts w:hint="eastAsia" w:ascii="宋体" w:hAnsi="宋体" w:eastAsia="宋体" w:cs="宋体"/>
                <w:color w:val="auto"/>
                <w:kern w:val="0"/>
                <w:sz w:val="24"/>
                <w:highlight w:val="none"/>
              </w:rPr>
            </w:pPr>
          </w:p>
        </w:tc>
      </w:tr>
      <w:tr w14:paraId="3D93D63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0A99C">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79EEA7A0">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7064F2DE">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E3E2691">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8E1D8C9">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225EF524">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2751841">
            <w:pPr>
              <w:widowControl/>
              <w:jc w:val="center"/>
              <w:rPr>
                <w:rFonts w:hint="eastAsia" w:ascii="宋体" w:hAnsi="宋体" w:eastAsia="宋体" w:cs="宋体"/>
                <w:color w:val="auto"/>
                <w:kern w:val="0"/>
                <w:sz w:val="24"/>
                <w:highlight w:val="none"/>
              </w:rPr>
            </w:pPr>
          </w:p>
        </w:tc>
      </w:tr>
      <w:tr w14:paraId="29638EA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DCEDE">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62B8E7A4">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32B4B0AC">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48D183A">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CDDFE12">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463C53B0">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1A781D2">
            <w:pPr>
              <w:widowControl/>
              <w:jc w:val="center"/>
              <w:rPr>
                <w:rFonts w:hint="eastAsia" w:ascii="宋体" w:hAnsi="宋体" w:eastAsia="宋体" w:cs="宋体"/>
                <w:color w:val="auto"/>
                <w:kern w:val="0"/>
                <w:sz w:val="24"/>
                <w:highlight w:val="none"/>
              </w:rPr>
            </w:pPr>
          </w:p>
        </w:tc>
      </w:tr>
      <w:tr w14:paraId="4AF8D64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75699">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587DC14D">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170507D5">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0C0BEFB">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3B37BD6">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13FB2411">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E08098B">
            <w:pPr>
              <w:widowControl/>
              <w:jc w:val="center"/>
              <w:rPr>
                <w:rFonts w:hint="eastAsia" w:ascii="宋体" w:hAnsi="宋体" w:eastAsia="宋体" w:cs="宋体"/>
                <w:color w:val="auto"/>
                <w:kern w:val="0"/>
                <w:sz w:val="24"/>
                <w:highlight w:val="none"/>
              </w:rPr>
            </w:pPr>
          </w:p>
        </w:tc>
      </w:tr>
      <w:tr w14:paraId="64B9CE6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71F32">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144192DC">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19E54E38">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E85E55">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7F835A7">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02BFA706">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D41275F">
            <w:pPr>
              <w:widowControl/>
              <w:jc w:val="center"/>
              <w:rPr>
                <w:rFonts w:hint="eastAsia" w:ascii="宋体" w:hAnsi="宋体" w:eastAsia="宋体" w:cs="宋体"/>
                <w:color w:val="auto"/>
                <w:kern w:val="0"/>
                <w:sz w:val="24"/>
                <w:highlight w:val="none"/>
              </w:rPr>
            </w:pPr>
          </w:p>
        </w:tc>
      </w:tr>
      <w:tr w14:paraId="2CCDD8F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9E73D">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4F798861">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6C9512E0">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2972DE2">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F81DC3D">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3023BDDB">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FE3C000">
            <w:pPr>
              <w:widowControl/>
              <w:jc w:val="center"/>
              <w:rPr>
                <w:rFonts w:hint="eastAsia" w:ascii="宋体" w:hAnsi="宋体" w:eastAsia="宋体" w:cs="宋体"/>
                <w:color w:val="auto"/>
                <w:kern w:val="0"/>
                <w:sz w:val="24"/>
                <w:highlight w:val="none"/>
              </w:rPr>
            </w:pPr>
          </w:p>
        </w:tc>
      </w:tr>
      <w:tr w14:paraId="6AA9B81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DFCD1">
            <w:pPr>
              <w:widowControl/>
              <w:jc w:val="center"/>
              <w:rPr>
                <w:rFonts w:hint="eastAsia" w:ascii="宋体" w:hAnsi="宋体" w:eastAsia="宋体" w:cs="宋体"/>
                <w:color w:val="auto"/>
                <w:kern w:val="0"/>
                <w:sz w:val="24"/>
                <w:highlight w:val="none"/>
              </w:rPr>
            </w:pPr>
          </w:p>
        </w:tc>
        <w:tc>
          <w:tcPr>
            <w:tcW w:w="1644" w:type="dxa"/>
            <w:tcBorders>
              <w:top w:val="single" w:color="000000" w:sz="4" w:space="0"/>
              <w:left w:val="nil"/>
              <w:bottom w:val="single" w:color="000000" w:sz="4" w:space="0"/>
              <w:right w:val="single" w:color="000000" w:sz="4" w:space="0"/>
            </w:tcBorders>
            <w:shd w:val="clear" w:color="auto" w:fill="FFFFFF"/>
            <w:noWrap w:val="0"/>
            <w:vAlign w:val="center"/>
          </w:tcPr>
          <w:p w14:paraId="16F75F7E">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3D566CA4">
            <w:pPr>
              <w:widowControl/>
              <w:jc w:val="center"/>
              <w:rPr>
                <w:rFonts w:hint="eastAsia" w:ascii="宋体" w:hAnsi="宋体" w:eastAsia="宋体" w:cs="宋体"/>
                <w:color w:val="auto"/>
                <w:kern w:val="0"/>
                <w:sz w:val="24"/>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2DB2C05">
            <w:pPr>
              <w:widowControl/>
              <w:jc w:val="center"/>
              <w:rPr>
                <w:rFonts w:hint="eastAsia" w:ascii="宋体" w:hAnsi="宋体" w:eastAsia="宋体" w:cs="宋体"/>
                <w:color w:val="auto"/>
                <w:kern w:val="0"/>
                <w:sz w:val="24"/>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85F18C5">
            <w:pPr>
              <w:widowControl/>
              <w:jc w:val="center"/>
              <w:rPr>
                <w:rFonts w:hint="eastAsia" w:ascii="宋体" w:hAnsi="宋体" w:eastAsia="宋体" w:cs="宋体"/>
                <w:color w:val="auto"/>
                <w:kern w:val="0"/>
                <w:sz w:val="24"/>
                <w:highlight w:val="none"/>
              </w:rPr>
            </w:pPr>
          </w:p>
        </w:tc>
        <w:tc>
          <w:tcPr>
            <w:tcW w:w="1474" w:type="dxa"/>
            <w:tcBorders>
              <w:top w:val="single" w:color="000000" w:sz="4" w:space="0"/>
              <w:left w:val="nil"/>
              <w:bottom w:val="single" w:color="000000" w:sz="4" w:space="0"/>
              <w:right w:val="single" w:color="000000" w:sz="4" w:space="0"/>
            </w:tcBorders>
            <w:shd w:val="clear" w:color="auto" w:fill="FFFFFF"/>
            <w:noWrap w:val="0"/>
            <w:vAlign w:val="center"/>
          </w:tcPr>
          <w:p w14:paraId="7E8CB803">
            <w:pPr>
              <w:widowControl/>
              <w:jc w:val="center"/>
              <w:rPr>
                <w:rFonts w:hint="eastAsia" w:ascii="宋体" w:hAnsi="宋体" w:eastAsia="宋体" w:cs="宋体"/>
                <w:color w:val="auto"/>
                <w:kern w:val="0"/>
                <w:sz w:val="24"/>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0A9DE59">
            <w:pPr>
              <w:widowControl/>
              <w:jc w:val="center"/>
              <w:rPr>
                <w:rFonts w:hint="eastAsia" w:ascii="宋体" w:hAnsi="宋体" w:eastAsia="宋体" w:cs="宋体"/>
                <w:color w:val="auto"/>
                <w:kern w:val="0"/>
                <w:sz w:val="24"/>
                <w:highlight w:val="none"/>
              </w:rPr>
            </w:pPr>
          </w:p>
        </w:tc>
      </w:tr>
    </w:tbl>
    <w:p w14:paraId="26127FDD">
      <w:pPr>
        <w:adjustRightInd w:val="0"/>
        <w:snapToGrid w:val="0"/>
        <w:spacing w:line="360" w:lineRule="auto"/>
        <w:ind w:firstLine="6120" w:firstLineChars="2550"/>
        <w:jc w:val="right"/>
        <w:rPr>
          <w:rFonts w:hint="eastAsia" w:ascii="宋体" w:hAnsi="宋体" w:eastAsia="宋体" w:cs="宋体"/>
          <w:color w:val="auto"/>
          <w:sz w:val="24"/>
          <w:highlight w:val="none"/>
        </w:rPr>
      </w:pPr>
    </w:p>
    <w:p w14:paraId="4DBA378C">
      <w:pPr>
        <w:adjustRightInd w:val="0"/>
        <w:snapToGrid w:val="0"/>
        <w:spacing w:line="360" w:lineRule="auto"/>
        <w:ind w:firstLine="6120" w:firstLineChars="2550"/>
        <w:jc w:val="right"/>
        <w:rPr>
          <w:rFonts w:hint="eastAsia" w:ascii="宋体" w:hAnsi="宋体" w:eastAsia="宋体" w:cs="宋体"/>
          <w:color w:val="auto"/>
          <w:sz w:val="24"/>
          <w:highlight w:val="none"/>
        </w:rPr>
      </w:pPr>
    </w:p>
    <w:p w14:paraId="7B664D99">
      <w:pPr>
        <w:adjustRightInd w:val="0"/>
        <w:snapToGrid w:val="0"/>
        <w:spacing w:line="360" w:lineRule="auto"/>
        <w:ind w:firstLine="6120" w:firstLineChars="2550"/>
        <w:jc w:val="righ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磋商供应商</w:t>
      </w:r>
      <w:r>
        <w:rPr>
          <w:rFonts w:hint="eastAsia" w:ascii="宋体" w:hAnsi="宋体" w:eastAsia="宋体" w:cs="宋体"/>
          <w:color w:val="auto"/>
          <w:kern w:val="0"/>
          <w:sz w:val="24"/>
          <w:highlight w:val="none"/>
          <w:lang w:val="zh-CN"/>
        </w:rPr>
        <w:t>名称(公章)：</w:t>
      </w:r>
    </w:p>
    <w:p w14:paraId="75B5048F">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p>
    <w:p w14:paraId="7FCF4C93">
      <w:pPr>
        <w:spacing w:line="420" w:lineRule="exact"/>
        <w:ind w:firstLine="424" w:firstLineChars="177"/>
        <w:jc w:val="righ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9B214CB">
      <w:pPr>
        <w:pStyle w:val="3"/>
        <w:rPr>
          <w:rFonts w:hint="eastAsia" w:ascii="宋体" w:hAnsi="宋体" w:eastAsia="宋体" w:cs="宋体"/>
          <w:b/>
          <w:color w:val="auto"/>
          <w:sz w:val="24"/>
          <w:highlight w:val="none"/>
        </w:rPr>
      </w:pPr>
    </w:p>
    <w:p w14:paraId="33540AF3">
      <w:pPr>
        <w:pStyle w:val="30"/>
        <w:rPr>
          <w:rFonts w:hint="eastAsia" w:ascii="宋体" w:hAnsi="宋体" w:eastAsia="宋体" w:cs="宋体"/>
          <w:b/>
          <w:color w:val="auto"/>
          <w:sz w:val="24"/>
          <w:szCs w:val="24"/>
          <w:highlight w:val="none"/>
        </w:rPr>
      </w:pPr>
    </w:p>
    <w:p w14:paraId="71EA0294">
      <w:pPr>
        <w:pStyle w:val="3"/>
        <w:rPr>
          <w:rFonts w:hint="eastAsia" w:ascii="宋体" w:hAnsi="宋体" w:eastAsia="宋体" w:cs="宋体"/>
          <w:b/>
          <w:color w:val="auto"/>
          <w:sz w:val="24"/>
          <w:highlight w:val="none"/>
        </w:rPr>
      </w:pPr>
    </w:p>
    <w:p w14:paraId="25F766C9">
      <w:pPr>
        <w:snapToGrid w:val="0"/>
        <w:spacing w:before="120" w:beforeLines="50" w:after="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p>
    <w:p w14:paraId="04C2A2C8">
      <w:pPr>
        <w:spacing w:line="360" w:lineRule="auto"/>
        <w:ind w:left="-2" w:hanging="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初次报价一览表</w:t>
      </w:r>
    </w:p>
    <w:p w14:paraId="0717A361">
      <w:pPr>
        <w:spacing w:line="360" w:lineRule="auto"/>
        <w:ind w:left="-2" w:hanging="2"/>
        <w:jc w:val="center"/>
        <w:rPr>
          <w:rFonts w:hint="eastAsia" w:ascii="宋体" w:hAnsi="宋体" w:eastAsia="宋体" w:cs="宋体"/>
          <w:b/>
          <w:color w:val="auto"/>
          <w:sz w:val="24"/>
          <w:highlight w:val="none"/>
        </w:rPr>
      </w:pPr>
    </w:p>
    <w:p w14:paraId="11DD4301">
      <w:pPr>
        <w:pStyle w:val="132"/>
        <w:spacing w:line="360" w:lineRule="auto"/>
        <w:ind w:right="126"/>
        <w:jc w:val="left"/>
        <w:rPr>
          <w:rFonts w:hint="eastAsia" w:eastAsia="宋体"/>
          <w:color w:val="auto"/>
          <w:szCs w:val="21"/>
          <w:highlight w:val="none"/>
          <w:lang w:eastAsia="zh-CN"/>
        </w:rPr>
      </w:pPr>
      <w:r>
        <w:rPr>
          <w:b/>
          <w:color w:val="auto"/>
          <w:szCs w:val="21"/>
          <w:highlight w:val="none"/>
        </w:rPr>
        <w:t>项目名称：</w:t>
      </w:r>
      <w:r>
        <w:rPr>
          <w:rFonts w:hint="eastAsia"/>
          <w:color w:val="auto"/>
          <w:szCs w:val="21"/>
          <w:highlight w:val="none"/>
          <w:u w:val="single"/>
          <w:lang w:eastAsia="zh-CN"/>
        </w:rPr>
        <w:t>仙居县生态共富小流域水土流失综合治理项目（大战岙溪、桐山溪、大洪港、东坑小流域）（EPC工程总承包）（监理）</w:t>
      </w:r>
    </w:p>
    <w:p w14:paraId="6664C2EC">
      <w:pPr>
        <w:pStyle w:val="132"/>
        <w:spacing w:line="360" w:lineRule="auto"/>
        <w:ind w:right="126"/>
        <w:jc w:val="left"/>
        <w:rPr>
          <w:rFonts w:hint="eastAsia" w:eastAsia="宋体"/>
          <w:b/>
          <w:color w:val="auto"/>
          <w:szCs w:val="21"/>
          <w:highlight w:val="none"/>
          <w:lang w:eastAsia="zh-CN"/>
        </w:rPr>
      </w:pPr>
      <w:r>
        <w:rPr>
          <w:rFonts w:hint="eastAsia"/>
          <w:b/>
          <w:color w:val="auto"/>
          <w:szCs w:val="21"/>
          <w:highlight w:val="none"/>
        </w:rPr>
        <w:t>项目编号：</w:t>
      </w:r>
      <w:r>
        <w:rPr>
          <w:rFonts w:hint="eastAsia"/>
          <w:bCs/>
          <w:color w:val="auto"/>
          <w:szCs w:val="21"/>
          <w:highlight w:val="none"/>
          <w:u w:val="single"/>
          <w:lang w:eastAsia="zh-CN"/>
        </w:rPr>
        <w:t>HXZX（仙）-2025-04</w:t>
      </w:r>
    </w:p>
    <w:p w14:paraId="67F5EE6C">
      <w:pPr>
        <w:pStyle w:val="132"/>
        <w:spacing w:line="360" w:lineRule="auto"/>
        <w:jc w:val="right"/>
        <w:rPr>
          <w:rFonts w:hint="eastAsia" w:ascii="宋体" w:hAnsi="宋体" w:eastAsia="宋体" w:cs="宋体"/>
          <w:color w:val="auto"/>
          <w:sz w:val="24"/>
          <w:highlight w:val="none"/>
        </w:rPr>
      </w:pPr>
      <w:r>
        <w:rPr>
          <w:rFonts w:hint="eastAsia"/>
          <w:color w:val="auto"/>
          <w:szCs w:val="21"/>
          <w:highlight w:val="none"/>
        </w:rPr>
        <w:t>[货币单位：人民币元]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994"/>
        <w:gridCol w:w="4491"/>
      </w:tblGrid>
      <w:tr w14:paraId="0871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restart"/>
            <w:noWrap w:val="0"/>
            <w:vAlign w:val="center"/>
          </w:tcPr>
          <w:p w14:paraId="6760DFF4">
            <w:pPr>
              <w:snapToGrid w:val="0"/>
              <w:spacing w:before="50" w:after="50" w:line="360" w:lineRule="auto"/>
              <w:ind w:right="-617" w:rightChars="-294" w:firstLine="241" w:firstLineChars="1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磋商总报价（元）</w:t>
            </w:r>
          </w:p>
        </w:tc>
        <w:tc>
          <w:tcPr>
            <w:tcW w:w="1994" w:type="dxa"/>
            <w:noWrap w:val="0"/>
            <w:vAlign w:val="center"/>
          </w:tcPr>
          <w:p w14:paraId="15AD8C5A">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大写：</w:t>
            </w:r>
          </w:p>
        </w:tc>
        <w:tc>
          <w:tcPr>
            <w:tcW w:w="4491" w:type="dxa"/>
            <w:noWrap w:val="0"/>
            <w:vAlign w:val="center"/>
          </w:tcPr>
          <w:p w14:paraId="5654FA76">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人民币：</w:t>
            </w:r>
            <w:r>
              <w:rPr>
                <w:rFonts w:hint="eastAsia" w:ascii="宋体" w:hAnsi="宋体" w:eastAsia="宋体" w:cs="宋体"/>
                <w:b/>
                <w:bCs/>
                <w:color w:val="auto"/>
                <w:sz w:val="24"/>
                <w:highlight w:val="none"/>
                <w:u w:val="single"/>
              </w:rPr>
              <w:t xml:space="preserve">                         </w:t>
            </w:r>
          </w:p>
        </w:tc>
      </w:tr>
      <w:tr w14:paraId="6BC2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continue"/>
            <w:noWrap w:val="0"/>
            <w:vAlign w:val="center"/>
          </w:tcPr>
          <w:p w14:paraId="006BE12E">
            <w:pPr>
              <w:snapToGrid w:val="0"/>
              <w:spacing w:before="50" w:after="50" w:line="360" w:lineRule="auto"/>
              <w:ind w:right="-617" w:rightChars="-294"/>
              <w:jc w:val="center"/>
              <w:rPr>
                <w:rFonts w:hint="eastAsia" w:ascii="宋体" w:hAnsi="宋体" w:eastAsia="宋体" w:cs="宋体"/>
                <w:color w:val="auto"/>
                <w:sz w:val="24"/>
                <w:highlight w:val="none"/>
              </w:rPr>
            </w:pPr>
          </w:p>
        </w:tc>
        <w:tc>
          <w:tcPr>
            <w:tcW w:w="1994" w:type="dxa"/>
            <w:noWrap w:val="0"/>
            <w:vAlign w:val="center"/>
          </w:tcPr>
          <w:p w14:paraId="482E92C5">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小写</w:t>
            </w:r>
          </w:p>
        </w:tc>
        <w:tc>
          <w:tcPr>
            <w:tcW w:w="4491" w:type="dxa"/>
            <w:noWrap w:val="0"/>
            <w:vAlign w:val="center"/>
          </w:tcPr>
          <w:p w14:paraId="0DA72954">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single"/>
              </w:rPr>
              <w:t xml:space="preserve">                           </w:t>
            </w:r>
          </w:p>
        </w:tc>
      </w:tr>
    </w:tbl>
    <w:p w14:paraId="653D97BA">
      <w:pPr>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填报要求：</w:t>
      </w:r>
    </w:p>
    <w:p w14:paraId="36A2A27A">
      <w:pPr>
        <w:pStyle w:val="11"/>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价是完全履行招标内容及要求的价格体现，报价中须包含所有一切人员工资、各种加班费、节假日补贴、各种社会保险、安全保险、食宿与交通、材料费、机械费、人工费、辅助材料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EED4FCC">
      <w:pPr>
        <w:spacing w:line="360" w:lineRule="auto"/>
        <w:ind w:firstLine="480" w:firstLineChars="200"/>
        <w:rPr>
          <w:rFonts w:hint="eastAsia" w:ascii="宋体" w:hAnsi="宋体" w:eastAsia="宋体" w:cs="宋体"/>
          <w:b/>
          <w:i/>
          <w:color w:val="auto"/>
          <w:sz w:val="24"/>
          <w:highlight w:val="none"/>
          <w:u w:val="single"/>
        </w:rPr>
      </w:pPr>
      <w:r>
        <w:rPr>
          <w:rFonts w:hint="eastAsia" w:ascii="宋体" w:hAnsi="宋体" w:eastAsia="宋体" w:cs="宋体"/>
          <w:color w:val="auto"/>
          <w:kern w:val="0"/>
          <w:sz w:val="24"/>
          <w:highlight w:val="none"/>
        </w:rPr>
        <w:t>2.报价一经涂改，应在涂改处加盖单位公章，或者由法定代表人或全权代表签字或盖章，否则作无效标处理。</w:t>
      </w:r>
    </w:p>
    <w:p w14:paraId="4A3B6180">
      <w:pPr>
        <w:spacing w:line="360" w:lineRule="auto"/>
        <w:ind w:left="420"/>
        <w:rPr>
          <w:rFonts w:hint="eastAsia" w:ascii="宋体" w:hAnsi="宋体" w:eastAsia="宋体" w:cs="宋体"/>
          <w:color w:val="auto"/>
          <w:sz w:val="24"/>
          <w:highlight w:val="none"/>
        </w:rPr>
      </w:pPr>
    </w:p>
    <w:p w14:paraId="5EC8F206">
      <w:pPr>
        <w:spacing w:line="320" w:lineRule="exact"/>
        <w:ind w:left="420"/>
        <w:rPr>
          <w:rFonts w:hint="eastAsia" w:ascii="宋体" w:hAnsi="宋体" w:eastAsia="宋体" w:cs="宋体"/>
          <w:color w:val="auto"/>
          <w:sz w:val="24"/>
          <w:highlight w:val="none"/>
        </w:rPr>
      </w:pPr>
    </w:p>
    <w:p w14:paraId="6ABAD4C9">
      <w:pPr>
        <w:spacing w:line="320" w:lineRule="exact"/>
        <w:ind w:left="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15D09C7C">
      <w:pPr>
        <w:spacing w:line="320" w:lineRule="exact"/>
        <w:ind w:left="420"/>
        <w:rPr>
          <w:rFonts w:hint="eastAsia" w:ascii="宋体" w:hAnsi="宋体" w:eastAsia="宋体" w:cs="宋体"/>
          <w:color w:val="auto"/>
          <w:sz w:val="24"/>
          <w:highlight w:val="none"/>
        </w:rPr>
      </w:pPr>
    </w:p>
    <w:p w14:paraId="79A55FF9">
      <w:pPr>
        <w:spacing w:line="320" w:lineRule="exact"/>
        <w:ind w:firstLine="43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法定代表人(</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lang w:val="zh-CN"/>
        </w:rPr>
        <w:t>)或授权委托人(签字)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DA37D1B">
      <w:pPr>
        <w:spacing w:line="320" w:lineRule="exact"/>
        <w:ind w:firstLine="435"/>
        <w:rPr>
          <w:rFonts w:hint="eastAsia" w:ascii="宋体" w:hAnsi="宋体" w:eastAsia="宋体" w:cs="宋体"/>
          <w:color w:val="auto"/>
          <w:sz w:val="24"/>
          <w:highlight w:val="none"/>
        </w:rPr>
      </w:pPr>
    </w:p>
    <w:p w14:paraId="2B8F90B6">
      <w:pPr>
        <w:spacing w:line="3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zh-CN"/>
        </w:rPr>
        <w:t xml:space="preserve">     年   月   日</w:t>
      </w:r>
    </w:p>
    <w:p w14:paraId="67EE0FAB">
      <w:pPr>
        <w:adjustRightInd w:val="0"/>
        <w:snapToGrid w:val="0"/>
        <w:spacing w:line="360" w:lineRule="auto"/>
        <w:ind w:right="480"/>
        <w:jc w:val="center"/>
        <w:rPr>
          <w:rFonts w:hint="eastAsia" w:ascii="宋体" w:hAnsi="宋体" w:eastAsia="宋体" w:cs="宋体"/>
          <w:color w:val="auto"/>
          <w:kern w:val="0"/>
          <w:sz w:val="24"/>
          <w:highlight w:val="none"/>
          <w:lang w:val="zh-CN"/>
        </w:rPr>
      </w:pPr>
    </w:p>
    <w:p w14:paraId="1F0C8AE5">
      <w:pPr>
        <w:spacing w:line="360" w:lineRule="atLeast"/>
        <w:ind w:left="480"/>
        <w:rPr>
          <w:rFonts w:hint="eastAsia" w:ascii="宋体" w:hAnsi="宋体" w:eastAsia="宋体" w:cs="宋体"/>
          <w:b/>
          <w:color w:val="auto"/>
          <w:sz w:val="24"/>
          <w:highlight w:val="none"/>
        </w:rPr>
      </w:pPr>
    </w:p>
    <w:p w14:paraId="57159F45">
      <w:pPr>
        <w:rPr>
          <w:b/>
          <w:color w:val="auto"/>
          <w:sz w:val="30"/>
          <w:szCs w:val="30"/>
          <w:highlight w:val="none"/>
        </w:rPr>
      </w:pPr>
      <w:r>
        <w:rPr>
          <w:rFonts w:hint="eastAsia"/>
          <w:b/>
          <w:color w:val="auto"/>
          <w:kern w:val="0"/>
          <w:sz w:val="28"/>
          <w:szCs w:val="28"/>
          <w:highlight w:val="none"/>
        </w:rPr>
        <w:t>附件1</w:t>
      </w:r>
      <w:r>
        <w:rPr>
          <w:rFonts w:hint="eastAsia"/>
          <w:b/>
          <w:color w:val="auto"/>
          <w:kern w:val="0"/>
          <w:sz w:val="28"/>
          <w:szCs w:val="28"/>
          <w:highlight w:val="none"/>
          <w:lang w:val="en-US" w:eastAsia="zh-CN"/>
        </w:rPr>
        <w:t>4</w:t>
      </w:r>
      <w:r>
        <w:rPr>
          <w:rFonts w:hint="eastAsia"/>
          <w:b/>
          <w:color w:val="auto"/>
          <w:kern w:val="0"/>
          <w:sz w:val="28"/>
          <w:szCs w:val="28"/>
          <w:highlight w:val="none"/>
        </w:rPr>
        <w:t>：磋商响应文件 封面格式（如</w:t>
      </w:r>
      <w:r>
        <w:rPr>
          <w:rFonts w:hint="eastAsia"/>
          <w:b/>
          <w:color w:val="auto"/>
          <w:sz w:val="28"/>
          <w:highlight w:val="none"/>
        </w:rPr>
        <w:t>有</w:t>
      </w:r>
      <w:r>
        <w:rPr>
          <w:rFonts w:hint="eastAsia"/>
          <w:b/>
          <w:color w:val="auto"/>
          <w:kern w:val="0"/>
          <w:sz w:val="28"/>
          <w:szCs w:val="28"/>
          <w:highlight w:val="none"/>
        </w:rPr>
        <w:t>需要</w:t>
      </w:r>
      <w:r>
        <w:rPr>
          <w:rFonts w:hint="eastAsia"/>
          <w:b/>
          <w:color w:val="auto"/>
          <w:sz w:val="28"/>
          <w:highlight w:val="none"/>
        </w:rPr>
        <w:t>，供参考</w:t>
      </w:r>
      <w:r>
        <w:rPr>
          <w:rFonts w:hint="eastAsia"/>
          <w:b/>
          <w:color w:val="auto"/>
          <w:kern w:val="0"/>
          <w:sz w:val="28"/>
          <w:szCs w:val="28"/>
          <w:highlight w:val="none"/>
        </w:rPr>
        <w:t>）</w:t>
      </w:r>
    </w:p>
    <w:p w14:paraId="3DF79DE0">
      <w:pPr>
        <w:rPr>
          <w:color w:val="auto"/>
          <w:spacing w:val="40"/>
          <w:sz w:val="52"/>
          <w:szCs w:val="52"/>
          <w:highlight w:val="none"/>
        </w:rPr>
      </w:pPr>
    </w:p>
    <w:p w14:paraId="57E8DE0A">
      <w:pPr>
        <w:spacing w:line="360" w:lineRule="auto"/>
        <w:ind w:right="-110"/>
        <w:jc w:val="center"/>
        <w:rPr>
          <w:rFonts w:hint="eastAsia" w:eastAsia="宋体"/>
          <w:b/>
          <w:bCs/>
          <w:color w:val="auto"/>
          <w:sz w:val="32"/>
          <w:szCs w:val="32"/>
          <w:highlight w:val="none"/>
          <w:lang w:eastAsia="zh-CN"/>
        </w:rPr>
      </w:pPr>
      <w:r>
        <w:rPr>
          <w:rFonts w:hint="eastAsia"/>
          <w:b/>
          <w:bCs/>
          <w:color w:val="auto"/>
          <w:sz w:val="32"/>
          <w:szCs w:val="32"/>
          <w:highlight w:val="none"/>
          <w:lang w:eastAsia="zh-CN"/>
        </w:rPr>
        <w:t>仙居县生态共富小流域水土流失综合治理项目（大战岙溪、桐山溪、大洪港、东坑小流域）（EPC工程总承包）（监理）</w:t>
      </w:r>
    </w:p>
    <w:p w14:paraId="1D6971E6">
      <w:pPr>
        <w:spacing w:beforeLines="100" w:line="360" w:lineRule="auto"/>
        <w:ind w:right="-108"/>
        <w:jc w:val="center"/>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HXZX（仙）-2025-04</w:t>
      </w:r>
    </w:p>
    <w:p w14:paraId="7A94E6E0">
      <w:pPr>
        <w:pStyle w:val="53"/>
        <w:rPr>
          <w:color w:val="auto"/>
          <w:highlight w:val="none"/>
        </w:rPr>
      </w:pPr>
    </w:p>
    <w:p w14:paraId="13A6BB06">
      <w:pPr>
        <w:spacing w:beforeLines="100" w:line="240" w:lineRule="atLeast"/>
        <w:ind w:right="-108"/>
        <w:jc w:val="center"/>
        <w:rPr>
          <w:color w:val="auto"/>
          <w:sz w:val="32"/>
          <w:szCs w:val="32"/>
          <w:highlight w:val="none"/>
        </w:rPr>
      </w:pPr>
    </w:p>
    <w:p w14:paraId="75D2FA9D">
      <w:pPr>
        <w:pStyle w:val="50"/>
        <w:rPr>
          <w:color w:val="auto"/>
          <w:highlight w:val="none"/>
        </w:rPr>
      </w:pPr>
    </w:p>
    <w:p w14:paraId="6E8576C7">
      <w:pPr>
        <w:spacing w:after="100" w:afterAutospacing="1" w:line="660" w:lineRule="exact"/>
        <w:ind w:right="-108"/>
        <w:jc w:val="center"/>
        <w:rPr>
          <w:b/>
          <w:color w:val="auto"/>
          <w:spacing w:val="40"/>
          <w:sz w:val="52"/>
          <w:szCs w:val="52"/>
          <w:highlight w:val="none"/>
        </w:rPr>
      </w:pPr>
      <w:r>
        <w:rPr>
          <w:rFonts w:hint="eastAsia"/>
          <w:b/>
          <w:color w:val="auto"/>
          <w:spacing w:val="40"/>
          <w:sz w:val="52"/>
          <w:szCs w:val="52"/>
          <w:highlight w:val="none"/>
        </w:rPr>
        <w:t>磋</w:t>
      </w:r>
    </w:p>
    <w:p w14:paraId="60C06EBC">
      <w:pPr>
        <w:spacing w:after="100" w:afterAutospacing="1" w:line="660" w:lineRule="exact"/>
        <w:ind w:right="-108"/>
        <w:jc w:val="center"/>
        <w:rPr>
          <w:b/>
          <w:color w:val="auto"/>
          <w:spacing w:val="40"/>
          <w:sz w:val="52"/>
          <w:szCs w:val="52"/>
          <w:highlight w:val="none"/>
        </w:rPr>
      </w:pPr>
      <w:r>
        <w:rPr>
          <w:rFonts w:hint="eastAsia"/>
          <w:b/>
          <w:color w:val="auto"/>
          <w:spacing w:val="40"/>
          <w:sz w:val="52"/>
          <w:szCs w:val="52"/>
          <w:highlight w:val="none"/>
        </w:rPr>
        <w:t>商</w:t>
      </w:r>
    </w:p>
    <w:p w14:paraId="1BC9E215">
      <w:pPr>
        <w:spacing w:after="100" w:afterAutospacing="1" w:line="660" w:lineRule="exact"/>
        <w:ind w:right="-108"/>
        <w:jc w:val="center"/>
        <w:rPr>
          <w:b/>
          <w:color w:val="auto"/>
          <w:spacing w:val="40"/>
          <w:sz w:val="52"/>
          <w:szCs w:val="52"/>
          <w:highlight w:val="none"/>
        </w:rPr>
      </w:pPr>
      <w:r>
        <w:rPr>
          <w:rFonts w:hint="eastAsia"/>
          <w:b/>
          <w:color w:val="auto"/>
          <w:spacing w:val="40"/>
          <w:sz w:val="52"/>
          <w:szCs w:val="52"/>
          <w:highlight w:val="none"/>
        </w:rPr>
        <w:t>响</w:t>
      </w:r>
    </w:p>
    <w:p w14:paraId="18DC6B09">
      <w:pPr>
        <w:spacing w:after="100" w:afterAutospacing="1" w:line="660" w:lineRule="exact"/>
        <w:ind w:right="-108"/>
        <w:jc w:val="center"/>
        <w:rPr>
          <w:b/>
          <w:color w:val="auto"/>
          <w:spacing w:val="40"/>
          <w:sz w:val="52"/>
          <w:szCs w:val="52"/>
          <w:highlight w:val="none"/>
        </w:rPr>
      </w:pPr>
      <w:r>
        <w:rPr>
          <w:rFonts w:hint="eastAsia"/>
          <w:b/>
          <w:color w:val="auto"/>
          <w:spacing w:val="40"/>
          <w:sz w:val="52"/>
          <w:szCs w:val="52"/>
          <w:highlight w:val="none"/>
        </w:rPr>
        <w:t>应</w:t>
      </w:r>
    </w:p>
    <w:p w14:paraId="2F89ED58">
      <w:pPr>
        <w:spacing w:after="100" w:afterAutospacing="1" w:line="660" w:lineRule="exact"/>
        <w:ind w:right="-108"/>
        <w:jc w:val="center"/>
        <w:rPr>
          <w:b/>
          <w:color w:val="auto"/>
          <w:spacing w:val="40"/>
          <w:sz w:val="52"/>
          <w:szCs w:val="52"/>
          <w:highlight w:val="none"/>
        </w:rPr>
      </w:pPr>
      <w:r>
        <w:rPr>
          <w:rFonts w:hint="eastAsia"/>
          <w:b/>
          <w:color w:val="auto"/>
          <w:spacing w:val="40"/>
          <w:sz w:val="52"/>
          <w:szCs w:val="52"/>
          <w:highlight w:val="none"/>
        </w:rPr>
        <w:t>文</w:t>
      </w:r>
    </w:p>
    <w:p w14:paraId="169B3829">
      <w:pPr>
        <w:spacing w:after="100" w:afterAutospacing="1" w:line="660" w:lineRule="exact"/>
        <w:ind w:right="-108"/>
        <w:jc w:val="center"/>
        <w:rPr>
          <w:b/>
          <w:color w:val="auto"/>
          <w:spacing w:val="40"/>
          <w:sz w:val="72"/>
          <w:szCs w:val="72"/>
          <w:highlight w:val="none"/>
        </w:rPr>
      </w:pPr>
      <w:r>
        <w:rPr>
          <w:rFonts w:hint="eastAsia"/>
          <w:b/>
          <w:color w:val="auto"/>
          <w:spacing w:val="40"/>
          <w:sz w:val="52"/>
          <w:szCs w:val="52"/>
          <w:highlight w:val="none"/>
        </w:rPr>
        <w:t>件</w:t>
      </w:r>
    </w:p>
    <w:p w14:paraId="4C385D58">
      <w:pPr>
        <w:spacing w:line="500" w:lineRule="exact"/>
        <w:ind w:right="-46"/>
        <w:jc w:val="center"/>
        <w:rPr>
          <w:color w:val="auto"/>
          <w:sz w:val="36"/>
          <w:szCs w:val="36"/>
          <w:highlight w:val="none"/>
        </w:rPr>
      </w:pPr>
    </w:p>
    <w:p w14:paraId="02628113">
      <w:pPr>
        <w:spacing w:line="500" w:lineRule="exact"/>
        <w:ind w:right="-46"/>
        <w:jc w:val="center"/>
        <w:rPr>
          <w:color w:val="auto"/>
          <w:sz w:val="30"/>
          <w:szCs w:val="30"/>
          <w:highlight w:val="none"/>
        </w:rPr>
      </w:pPr>
      <w:r>
        <w:rPr>
          <w:rFonts w:hint="eastAsia"/>
          <w:color w:val="auto"/>
          <w:sz w:val="30"/>
          <w:szCs w:val="30"/>
          <w:highlight w:val="none"/>
        </w:rPr>
        <w:t>（资格证明文件/商务与技术文件/报价文件）（请选择）</w:t>
      </w:r>
    </w:p>
    <w:p w14:paraId="3BF40AD6">
      <w:pPr>
        <w:spacing w:line="500" w:lineRule="exact"/>
        <w:ind w:right="532" w:firstLine="600" w:firstLineChars="200"/>
        <w:rPr>
          <w:color w:val="auto"/>
          <w:sz w:val="30"/>
          <w:szCs w:val="30"/>
          <w:highlight w:val="none"/>
        </w:rPr>
      </w:pPr>
    </w:p>
    <w:p w14:paraId="06611A59">
      <w:pPr>
        <w:spacing w:line="500" w:lineRule="exact"/>
        <w:ind w:right="532" w:firstLine="600" w:firstLineChars="200"/>
        <w:rPr>
          <w:color w:val="auto"/>
          <w:sz w:val="30"/>
          <w:szCs w:val="30"/>
          <w:highlight w:val="none"/>
        </w:rPr>
      </w:pPr>
    </w:p>
    <w:p w14:paraId="41554FA9">
      <w:pPr>
        <w:spacing w:line="500" w:lineRule="exact"/>
        <w:ind w:right="532" w:firstLine="1200" w:firstLineChars="400"/>
        <w:rPr>
          <w:color w:val="auto"/>
          <w:sz w:val="30"/>
          <w:szCs w:val="30"/>
          <w:highlight w:val="none"/>
        </w:rPr>
      </w:pPr>
      <w:r>
        <w:rPr>
          <w:rFonts w:hint="eastAsia"/>
          <w:color w:val="auto"/>
          <w:sz w:val="30"/>
          <w:szCs w:val="30"/>
          <w:highlight w:val="none"/>
        </w:rPr>
        <w:t>磋商供应商名称：</w:t>
      </w:r>
    </w:p>
    <w:p w14:paraId="6375A891">
      <w:pPr>
        <w:wordWrap w:val="0"/>
        <w:spacing w:line="500" w:lineRule="exact"/>
        <w:ind w:right="-108" w:firstLine="1200" w:firstLineChars="400"/>
        <w:rPr>
          <w:b/>
          <w:bCs/>
          <w:color w:val="auto"/>
          <w:sz w:val="30"/>
          <w:szCs w:val="30"/>
          <w:highlight w:val="none"/>
        </w:rPr>
      </w:pPr>
      <w:r>
        <w:rPr>
          <w:rFonts w:hint="eastAsia"/>
          <w:color w:val="auto"/>
          <w:sz w:val="30"/>
          <w:szCs w:val="30"/>
          <w:highlight w:val="none"/>
        </w:rPr>
        <w:t>时    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日</w:t>
      </w:r>
    </w:p>
    <w:p w14:paraId="728D865F">
      <w:pPr>
        <w:rPr>
          <w:b/>
          <w:color w:val="auto"/>
          <w:kern w:val="0"/>
          <w:sz w:val="28"/>
          <w:szCs w:val="28"/>
          <w:highlight w:val="none"/>
        </w:rPr>
      </w:pPr>
    </w:p>
    <w:p w14:paraId="3E6B6120">
      <w:pPr>
        <w:pStyle w:val="101"/>
        <w:shd w:val="clear" w:color="auto" w:fill="FFFFFF"/>
        <w:snapToGrid w:val="0"/>
        <w:spacing w:beforeLines="50" w:beforeAutospacing="0" w:afterLines="50" w:afterAutospacing="0"/>
        <w:rPr>
          <w:b/>
          <w:color w:val="auto"/>
          <w:sz w:val="28"/>
          <w:highlight w:val="none"/>
        </w:rPr>
      </w:pPr>
      <w:r>
        <w:rPr>
          <w:rFonts w:hint="eastAsia"/>
          <w:b/>
          <w:color w:val="auto"/>
          <w:sz w:val="28"/>
          <w:highlight w:val="none"/>
        </w:rPr>
        <w:t>附件1</w:t>
      </w:r>
      <w:r>
        <w:rPr>
          <w:rFonts w:hint="eastAsia"/>
          <w:b/>
          <w:color w:val="auto"/>
          <w:sz w:val="28"/>
          <w:highlight w:val="none"/>
          <w:lang w:val="en-US" w:eastAsia="zh-CN"/>
        </w:rPr>
        <w:t>5</w:t>
      </w:r>
      <w:r>
        <w:rPr>
          <w:rFonts w:hint="eastAsia"/>
          <w:b/>
          <w:color w:val="auto"/>
          <w:sz w:val="28"/>
          <w:highlight w:val="none"/>
        </w:rPr>
        <w:t>：</w:t>
      </w:r>
    </w:p>
    <w:p w14:paraId="4FD0F1B6">
      <w:pPr>
        <w:spacing w:line="360" w:lineRule="auto"/>
        <w:jc w:val="center"/>
        <w:rPr>
          <w:b/>
          <w:color w:val="auto"/>
          <w:sz w:val="30"/>
          <w:highlight w:val="none"/>
        </w:rPr>
      </w:pPr>
      <w:r>
        <w:rPr>
          <w:rFonts w:hint="eastAsia"/>
          <w:b/>
          <w:color w:val="auto"/>
          <w:sz w:val="44"/>
          <w:highlight w:val="none"/>
        </w:rPr>
        <w:t>中标供应商公告内容</w:t>
      </w:r>
    </w:p>
    <w:p w14:paraId="1D618BB0">
      <w:pPr>
        <w:spacing w:line="360" w:lineRule="auto"/>
        <w:rPr>
          <w:b/>
          <w:color w:val="auto"/>
          <w:sz w:val="24"/>
          <w:highlight w:val="none"/>
        </w:rPr>
      </w:pPr>
    </w:p>
    <w:p w14:paraId="33E5DEF2">
      <w:pPr>
        <w:spacing w:line="360" w:lineRule="auto"/>
        <w:rPr>
          <w:b/>
          <w:color w:val="auto"/>
          <w:sz w:val="24"/>
          <w:highlight w:val="none"/>
        </w:rPr>
      </w:pPr>
      <w:r>
        <w:rPr>
          <w:rFonts w:hint="eastAsia"/>
          <w:b/>
          <w:color w:val="auto"/>
          <w:sz w:val="24"/>
          <w:highlight w:val="none"/>
        </w:rPr>
        <w:t xml:space="preserve">项目名称：                                                 </w:t>
      </w:r>
    </w:p>
    <w:tbl>
      <w:tblPr>
        <w:tblStyle w:val="38"/>
        <w:tblW w:w="0" w:type="auto"/>
        <w:jc w:val="center"/>
        <w:tblLayout w:type="fixed"/>
        <w:tblCellMar>
          <w:top w:w="0" w:type="dxa"/>
          <w:left w:w="0" w:type="dxa"/>
          <w:bottom w:w="0" w:type="dxa"/>
          <w:right w:w="0" w:type="dxa"/>
        </w:tblCellMar>
      </w:tblPr>
      <w:tblGrid>
        <w:gridCol w:w="2415"/>
        <w:gridCol w:w="2730"/>
        <w:gridCol w:w="525"/>
        <w:gridCol w:w="1365"/>
        <w:gridCol w:w="420"/>
        <w:gridCol w:w="840"/>
        <w:gridCol w:w="1785"/>
      </w:tblGrid>
      <w:tr w14:paraId="7A85D008">
        <w:tblPrEx>
          <w:tblCellMar>
            <w:top w:w="0" w:type="dxa"/>
            <w:left w:w="0" w:type="dxa"/>
            <w:bottom w:w="0" w:type="dxa"/>
            <w:right w:w="0" w:type="dxa"/>
          </w:tblCellMar>
        </w:tblPrEx>
        <w:trPr>
          <w:trHeight w:val="928"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271D6">
            <w:pPr>
              <w:spacing w:line="360" w:lineRule="auto"/>
              <w:jc w:val="center"/>
              <w:rPr>
                <w:rFonts w:hAnsi="Courier New"/>
                <w:color w:val="auto"/>
                <w:sz w:val="24"/>
                <w:highlight w:val="none"/>
              </w:rPr>
            </w:pPr>
            <w:r>
              <w:rPr>
                <w:rFonts w:hint="eastAsia" w:hAnsi="Courier New"/>
                <w:color w:val="auto"/>
                <w:sz w:val="24"/>
                <w:highlight w:val="none"/>
              </w:rPr>
              <w:t>中标供应商名称</w:t>
            </w:r>
          </w:p>
        </w:tc>
        <w:tc>
          <w:tcPr>
            <w:tcW w:w="2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3EBD6C">
            <w:pPr>
              <w:spacing w:line="360" w:lineRule="auto"/>
              <w:jc w:val="center"/>
              <w:rPr>
                <w:rFonts w:hAnsi="Courier New"/>
                <w:color w:val="auto"/>
                <w:sz w:val="24"/>
                <w:highlight w:val="none"/>
              </w:rPr>
            </w:pPr>
          </w:p>
        </w:tc>
        <w:tc>
          <w:tcPr>
            <w:tcW w:w="23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1806ED">
            <w:pPr>
              <w:spacing w:line="360" w:lineRule="auto"/>
              <w:jc w:val="center"/>
              <w:rPr>
                <w:rFonts w:hAnsi="Courier New"/>
                <w:color w:val="auto"/>
                <w:sz w:val="24"/>
                <w:highlight w:val="none"/>
              </w:rPr>
            </w:pPr>
            <w:r>
              <w:rPr>
                <w:rFonts w:hint="eastAsia" w:hAnsi="Courier New"/>
                <w:color w:val="auto"/>
                <w:sz w:val="24"/>
                <w:highlight w:val="none"/>
              </w:rPr>
              <w:t>法定代表人（或营业执照中的负责人）</w:t>
            </w:r>
          </w:p>
        </w:tc>
        <w:tc>
          <w:tcPr>
            <w:tcW w:w="262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D0FC09">
            <w:pPr>
              <w:spacing w:line="360" w:lineRule="auto"/>
              <w:jc w:val="center"/>
              <w:rPr>
                <w:rFonts w:hAnsi="Courier New"/>
                <w:color w:val="auto"/>
                <w:sz w:val="24"/>
                <w:highlight w:val="none"/>
              </w:rPr>
            </w:pPr>
          </w:p>
        </w:tc>
      </w:tr>
      <w:tr w14:paraId="1970A927">
        <w:tblPrEx>
          <w:tblCellMar>
            <w:top w:w="0" w:type="dxa"/>
            <w:left w:w="0" w:type="dxa"/>
            <w:bottom w:w="0" w:type="dxa"/>
            <w:right w:w="0" w:type="dxa"/>
          </w:tblCellMar>
        </w:tblPrEx>
        <w:trPr>
          <w:trHeight w:val="60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609CED">
            <w:pPr>
              <w:spacing w:line="360" w:lineRule="auto"/>
              <w:jc w:val="center"/>
              <w:rPr>
                <w:rFonts w:hAnsi="Courier New"/>
                <w:color w:val="auto"/>
                <w:sz w:val="24"/>
                <w:highlight w:val="none"/>
              </w:rPr>
            </w:pPr>
            <w:r>
              <w:rPr>
                <w:rFonts w:hint="eastAsia" w:hAnsi="Courier New"/>
                <w:color w:val="auto"/>
                <w:sz w:val="24"/>
                <w:highlight w:val="none"/>
              </w:rPr>
              <w:t>供应商地址</w:t>
            </w:r>
          </w:p>
        </w:tc>
        <w:tc>
          <w:tcPr>
            <w:tcW w:w="766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64ACE">
            <w:pPr>
              <w:spacing w:line="360" w:lineRule="auto"/>
              <w:jc w:val="center"/>
              <w:rPr>
                <w:rFonts w:hAnsi="Courier New"/>
                <w:color w:val="auto"/>
                <w:sz w:val="24"/>
                <w:highlight w:val="none"/>
              </w:rPr>
            </w:pPr>
          </w:p>
        </w:tc>
      </w:tr>
      <w:tr w14:paraId="2FFADFAB">
        <w:tblPrEx>
          <w:tblCellMar>
            <w:top w:w="0" w:type="dxa"/>
            <w:left w:w="0" w:type="dxa"/>
            <w:bottom w:w="0" w:type="dxa"/>
            <w:right w:w="0" w:type="dxa"/>
          </w:tblCellMar>
        </w:tblPrEx>
        <w:trPr>
          <w:trHeight w:val="615"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4862D">
            <w:pPr>
              <w:spacing w:line="360" w:lineRule="auto"/>
              <w:jc w:val="center"/>
              <w:rPr>
                <w:rFonts w:hAnsi="Courier New"/>
                <w:color w:val="auto"/>
                <w:sz w:val="24"/>
                <w:highlight w:val="none"/>
              </w:rPr>
            </w:pPr>
            <w:r>
              <w:rPr>
                <w:rFonts w:hint="eastAsia" w:hAnsi="Courier New"/>
                <w:color w:val="auto"/>
                <w:sz w:val="24"/>
                <w:highlight w:val="none"/>
              </w:rPr>
              <w:t>中标标的</w:t>
            </w:r>
          </w:p>
        </w:tc>
      </w:tr>
      <w:tr w14:paraId="0AFE8A02">
        <w:tblPrEx>
          <w:tblCellMar>
            <w:top w:w="0" w:type="dxa"/>
            <w:left w:w="0" w:type="dxa"/>
            <w:bottom w:w="0" w:type="dxa"/>
            <w:right w:w="0" w:type="dxa"/>
          </w:tblCellMar>
        </w:tblPrEx>
        <w:trPr>
          <w:trHeight w:val="60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4A9585">
            <w:pPr>
              <w:spacing w:line="360" w:lineRule="auto"/>
              <w:jc w:val="center"/>
              <w:rPr>
                <w:rFonts w:hAnsi="Courier New"/>
                <w:color w:val="auto"/>
                <w:sz w:val="24"/>
                <w:highlight w:val="none"/>
              </w:rPr>
            </w:pPr>
            <w:r>
              <w:rPr>
                <w:rFonts w:hint="eastAsia" w:hAnsi="Courier New"/>
                <w:color w:val="auto"/>
                <w:sz w:val="24"/>
                <w:highlight w:val="none"/>
              </w:rPr>
              <w:t>产品名称</w:t>
            </w: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209830">
            <w:pPr>
              <w:spacing w:line="360" w:lineRule="auto"/>
              <w:jc w:val="center"/>
              <w:rPr>
                <w:rFonts w:hAnsi="Courier New"/>
                <w:color w:val="auto"/>
                <w:sz w:val="24"/>
                <w:highlight w:val="none"/>
              </w:rPr>
            </w:pPr>
            <w:r>
              <w:rPr>
                <w:rFonts w:hint="eastAsia" w:hAnsi="Courier New"/>
                <w:color w:val="auto"/>
                <w:sz w:val="24"/>
                <w:highlight w:val="none"/>
              </w:rPr>
              <w:t>规格型号</w:t>
            </w: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8F3E2">
            <w:pPr>
              <w:spacing w:line="360" w:lineRule="auto"/>
              <w:jc w:val="center"/>
              <w:rPr>
                <w:rFonts w:hAnsi="Courier New"/>
                <w:color w:val="auto"/>
                <w:sz w:val="24"/>
                <w:highlight w:val="none"/>
              </w:rPr>
            </w:pPr>
            <w:r>
              <w:rPr>
                <w:rFonts w:hint="eastAsia" w:hAnsi="Courier New"/>
                <w:color w:val="auto"/>
                <w:sz w:val="24"/>
                <w:highlight w:val="none"/>
              </w:rPr>
              <w:t>数量</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BBE379">
            <w:pPr>
              <w:spacing w:line="360" w:lineRule="auto"/>
              <w:jc w:val="center"/>
              <w:rPr>
                <w:rFonts w:hAnsi="Courier New"/>
                <w:color w:val="auto"/>
                <w:sz w:val="24"/>
                <w:highlight w:val="none"/>
              </w:rPr>
            </w:pPr>
            <w:r>
              <w:rPr>
                <w:rFonts w:hint="eastAsia" w:hAnsi="Courier New"/>
                <w:color w:val="auto"/>
                <w:sz w:val="24"/>
                <w:highlight w:val="none"/>
              </w:rPr>
              <w:t>单价</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908D5">
            <w:pPr>
              <w:spacing w:line="360" w:lineRule="auto"/>
              <w:jc w:val="center"/>
              <w:rPr>
                <w:rFonts w:hAnsi="Courier New"/>
                <w:color w:val="auto"/>
                <w:sz w:val="24"/>
                <w:highlight w:val="none"/>
              </w:rPr>
            </w:pPr>
            <w:r>
              <w:rPr>
                <w:rFonts w:hint="eastAsia" w:hAnsi="Courier New"/>
                <w:color w:val="auto"/>
                <w:sz w:val="24"/>
                <w:highlight w:val="none"/>
              </w:rPr>
              <w:t>总价</w:t>
            </w:r>
          </w:p>
        </w:tc>
      </w:tr>
      <w:tr w14:paraId="43B59CEA">
        <w:tblPrEx>
          <w:tblCellMar>
            <w:top w:w="0" w:type="dxa"/>
            <w:left w:w="0" w:type="dxa"/>
            <w:bottom w:w="0" w:type="dxa"/>
            <w:right w:w="0" w:type="dxa"/>
          </w:tblCellMar>
        </w:tblPrEx>
        <w:trPr>
          <w:trHeight w:val="78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302027">
            <w:pPr>
              <w:spacing w:line="360" w:lineRule="auto"/>
              <w:jc w:val="center"/>
              <w:rPr>
                <w:rFonts w:hAnsi="Courier New"/>
                <w:color w:val="auto"/>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F363F9">
            <w:pPr>
              <w:spacing w:line="360" w:lineRule="auto"/>
              <w:jc w:val="center"/>
              <w:rPr>
                <w:rFonts w:hAnsi="Courier New"/>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00F62D">
            <w:pPr>
              <w:spacing w:line="360" w:lineRule="auto"/>
              <w:jc w:val="center"/>
              <w:rPr>
                <w:rFonts w:hAnsi="Courier New"/>
                <w:color w:val="auto"/>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9B03">
            <w:pPr>
              <w:spacing w:line="360" w:lineRule="auto"/>
              <w:jc w:val="center"/>
              <w:rPr>
                <w:rFonts w:hAnsi="Courier New"/>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C6FFA">
            <w:pPr>
              <w:spacing w:line="360" w:lineRule="auto"/>
              <w:jc w:val="center"/>
              <w:rPr>
                <w:rFonts w:hAnsi="Courier New"/>
                <w:color w:val="auto"/>
                <w:sz w:val="24"/>
                <w:highlight w:val="none"/>
              </w:rPr>
            </w:pPr>
          </w:p>
        </w:tc>
      </w:tr>
      <w:tr w14:paraId="53AA5126">
        <w:tblPrEx>
          <w:tblCellMar>
            <w:top w:w="0" w:type="dxa"/>
            <w:left w:w="0" w:type="dxa"/>
            <w:bottom w:w="0" w:type="dxa"/>
            <w:right w:w="0" w:type="dxa"/>
          </w:tblCellMar>
        </w:tblPrEx>
        <w:trPr>
          <w:trHeight w:val="765"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995636">
            <w:pPr>
              <w:spacing w:line="360" w:lineRule="auto"/>
              <w:jc w:val="center"/>
              <w:rPr>
                <w:rFonts w:hAnsi="Courier New"/>
                <w:color w:val="auto"/>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BAE6A2">
            <w:pPr>
              <w:spacing w:line="360" w:lineRule="auto"/>
              <w:jc w:val="center"/>
              <w:rPr>
                <w:rFonts w:hAnsi="Courier New"/>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553389">
            <w:pPr>
              <w:spacing w:line="360" w:lineRule="auto"/>
              <w:jc w:val="center"/>
              <w:rPr>
                <w:rFonts w:hAnsi="Courier New"/>
                <w:color w:val="auto"/>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59AD4D">
            <w:pPr>
              <w:spacing w:line="360" w:lineRule="auto"/>
              <w:jc w:val="center"/>
              <w:rPr>
                <w:rFonts w:hAnsi="Courier New"/>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F525CA">
            <w:pPr>
              <w:spacing w:line="360" w:lineRule="auto"/>
              <w:jc w:val="center"/>
              <w:rPr>
                <w:rFonts w:hAnsi="Courier New"/>
                <w:color w:val="auto"/>
                <w:sz w:val="24"/>
                <w:highlight w:val="none"/>
              </w:rPr>
            </w:pPr>
          </w:p>
        </w:tc>
      </w:tr>
      <w:tr w14:paraId="37DB0142">
        <w:tblPrEx>
          <w:tblCellMar>
            <w:top w:w="0" w:type="dxa"/>
            <w:left w:w="0" w:type="dxa"/>
            <w:bottom w:w="0" w:type="dxa"/>
            <w:right w:w="0" w:type="dxa"/>
          </w:tblCellMar>
        </w:tblPrEx>
        <w:trPr>
          <w:trHeight w:val="930" w:hRule="atLeast"/>
          <w:jc w:val="center"/>
        </w:trPr>
        <w:tc>
          <w:tcPr>
            <w:tcW w:w="2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1911A8">
            <w:pPr>
              <w:spacing w:line="360" w:lineRule="auto"/>
              <w:jc w:val="center"/>
              <w:rPr>
                <w:rFonts w:hAnsi="Courier New"/>
                <w:color w:val="auto"/>
                <w:sz w:val="24"/>
                <w:highlight w:val="none"/>
              </w:rPr>
            </w:pPr>
          </w:p>
        </w:tc>
        <w:tc>
          <w:tcPr>
            <w:tcW w:w="325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033090">
            <w:pPr>
              <w:spacing w:line="360" w:lineRule="auto"/>
              <w:jc w:val="center"/>
              <w:rPr>
                <w:rFonts w:hAnsi="Courier New"/>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283E50">
            <w:pPr>
              <w:spacing w:line="360" w:lineRule="auto"/>
              <w:jc w:val="center"/>
              <w:rPr>
                <w:rFonts w:hAnsi="Courier New"/>
                <w:color w:val="auto"/>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74CFF">
            <w:pPr>
              <w:spacing w:line="360" w:lineRule="auto"/>
              <w:jc w:val="center"/>
              <w:rPr>
                <w:rFonts w:hAnsi="Courier New"/>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3D0515">
            <w:pPr>
              <w:spacing w:line="360" w:lineRule="auto"/>
              <w:jc w:val="center"/>
              <w:rPr>
                <w:rFonts w:hAnsi="Courier New"/>
                <w:color w:val="auto"/>
                <w:sz w:val="24"/>
                <w:highlight w:val="none"/>
              </w:rPr>
            </w:pPr>
          </w:p>
        </w:tc>
      </w:tr>
      <w:tr w14:paraId="65A0241A">
        <w:tblPrEx>
          <w:tblCellMar>
            <w:top w:w="0" w:type="dxa"/>
            <w:left w:w="0" w:type="dxa"/>
            <w:bottom w:w="0" w:type="dxa"/>
            <w:right w:w="0" w:type="dxa"/>
          </w:tblCellMar>
        </w:tblPrEx>
        <w:trPr>
          <w:trHeight w:val="930" w:hRule="atLeast"/>
          <w:jc w:val="center"/>
        </w:trPr>
        <w:tc>
          <w:tcPr>
            <w:tcW w:w="829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292A14">
            <w:pPr>
              <w:spacing w:line="360" w:lineRule="auto"/>
              <w:jc w:val="center"/>
              <w:rPr>
                <w:rFonts w:hAnsi="Courier New"/>
                <w:color w:val="auto"/>
                <w:sz w:val="24"/>
                <w:highlight w:val="none"/>
              </w:rPr>
            </w:pPr>
            <w:r>
              <w:rPr>
                <w:rFonts w:hint="eastAsia" w:hAnsi="Courier New"/>
                <w:color w:val="auto"/>
                <w:sz w:val="24"/>
                <w:highlight w:val="none"/>
              </w:rPr>
              <w:t>中标金额合计</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02C744">
            <w:pPr>
              <w:spacing w:line="360" w:lineRule="auto"/>
              <w:jc w:val="center"/>
              <w:rPr>
                <w:rFonts w:hAnsi="Courier New"/>
                <w:color w:val="auto"/>
                <w:sz w:val="24"/>
                <w:highlight w:val="none"/>
              </w:rPr>
            </w:pPr>
          </w:p>
        </w:tc>
      </w:tr>
      <w:tr w14:paraId="62D9147B">
        <w:tblPrEx>
          <w:tblCellMar>
            <w:top w:w="0" w:type="dxa"/>
            <w:left w:w="0" w:type="dxa"/>
            <w:bottom w:w="0" w:type="dxa"/>
            <w:right w:w="0" w:type="dxa"/>
          </w:tblCellMar>
        </w:tblPrEx>
        <w:trPr>
          <w:trHeight w:val="888" w:hRule="atLeast"/>
          <w:jc w:val="center"/>
        </w:trPr>
        <w:tc>
          <w:tcPr>
            <w:tcW w:w="100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06A8F6">
            <w:pPr>
              <w:spacing w:line="360" w:lineRule="auto"/>
              <w:rPr>
                <w:rFonts w:hAnsi="Courier New"/>
                <w:color w:val="auto"/>
                <w:sz w:val="24"/>
                <w:highlight w:val="none"/>
              </w:rPr>
            </w:pPr>
            <w:r>
              <w:rPr>
                <w:rFonts w:hint="eastAsia" w:hAnsi="Courier New"/>
                <w:color w:val="auto"/>
                <w:sz w:val="24"/>
                <w:highlight w:val="none"/>
              </w:rPr>
              <w:t>服务要求：</w:t>
            </w:r>
          </w:p>
        </w:tc>
      </w:tr>
    </w:tbl>
    <w:p w14:paraId="50900384">
      <w:pPr>
        <w:spacing w:line="440" w:lineRule="exact"/>
        <w:rPr>
          <w:rFonts w:hAnsi="Courier New"/>
          <w:color w:val="auto"/>
          <w:kern w:val="0"/>
          <w:szCs w:val="21"/>
          <w:highlight w:val="none"/>
        </w:rPr>
      </w:pPr>
      <w:r>
        <w:rPr>
          <w:rFonts w:hint="eastAsia" w:hAnsi="Courier New"/>
          <w:color w:val="auto"/>
          <w:kern w:val="0"/>
          <w:szCs w:val="21"/>
          <w:highlight w:val="none"/>
        </w:rPr>
        <w:t>注：1、供应商应根据其投标情况填写该表，并保证其与投标文件内容的一致性、正确性和真实性；</w:t>
      </w:r>
    </w:p>
    <w:p w14:paraId="59377CC1">
      <w:pPr>
        <w:spacing w:line="440" w:lineRule="exact"/>
        <w:ind w:firstLine="420" w:firstLineChars="200"/>
        <w:rPr>
          <w:rFonts w:hAnsi="Courier New"/>
          <w:color w:val="auto"/>
          <w:kern w:val="0"/>
          <w:szCs w:val="21"/>
          <w:highlight w:val="none"/>
        </w:rPr>
      </w:pPr>
      <w:r>
        <w:rPr>
          <w:rFonts w:hint="eastAsia" w:hAnsi="Courier New"/>
          <w:color w:val="auto"/>
          <w:kern w:val="0"/>
          <w:szCs w:val="21"/>
          <w:highlight w:val="none"/>
        </w:rPr>
        <w:t>2、填写该表不代表供应商已具有中标人资格。本表只作为中标结果公告内容的一部分，进行公告使用；</w:t>
      </w:r>
    </w:p>
    <w:p w14:paraId="519F4CC0">
      <w:pPr>
        <w:spacing w:line="440" w:lineRule="exact"/>
        <w:ind w:firstLine="420" w:firstLineChars="200"/>
        <w:rPr>
          <w:rFonts w:hAnsi="Courier New"/>
          <w:color w:val="auto"/>
          <w:kern w:val="0"/>
          <w:szCs w:val="21"/>
          <w:highlight w:val="none"/>
        </w:rPr>
      </w:pPr>
      <w:r>
        <w:rPr>
          <w:rFonts w:hint="eastAsia" w:hAnsi="Courier New"/>
          <w:color w:val="auto"/>
          <w:kern w:val="0"/>
          <w:szCs w:val="21"/>
          <w:highlight w:val="none"/>
        </w:rPr>
        <w:t>3、本表内容涉及较多，供应商可以适当增减表格行数，以保证表格内容的完整；</w:t>
      </w:r>
    </w:p>
    <w:p w14:paraId="65158CE3">
      <w:pPr>
        <w:spacing w:line="440" w:lineRule="exact"/>
        <w:ind w:firstLine="420" w:firstLineChars="200"/>
        <w:rPr>
          <w:rFonts w:hAnsi="Courier New"/>
          <w:color w:val="auto"/>
          <w:szCs w:val="21"/>
          <w:highlight w:val="none"/>
        </w:rPr>
      </w:pPr>
      <w:r>
        <w:rPr>
          <w:rFonts w:hint="eastAsia" w:hAnsi="Courier New"/>
          <w:color w:val="auto"/>
          <w:szCs w:val="21"/>
          <w:highlight w:val="none"/>
        </w:rPr>
        <w:t>4、评审结果排名第一的中标候选人在评审结束后1个工作日内将磋商文件附件《中标供应商公告内容》填写完整后，以电子文档形式提交给采购代理机构项目负责人（或者发送至电子邮箱：</w:t>
      </w:r>
      <w:r>
        <w:rPr>
          <w:rFonts w:hint="eastAsia" w:hAnsi="Courier New"/>
          <w:color w:val="auto"/>
          <w:szCs w:val="21"/>
          <w:highlight w:val="none"/>
          <w:lang w:eastAsia="zh-CN"/>
        </w:rPr>
        <w:t>109678775</w:t>
      </w:r>
      <w:r>
        <w:rPr>
          <w:rFonts w:hint="eastAsia" w:hAnsi="Courier New"/>
          <w:color w:val="auto"/>
          <w:szCs w:val="21"/>
          <w:highlight w:val="none"/>
        </w:rPr>
        <w:t>@qq.com）。未按时提供所造成的后果由供应商自行承担。</w:t>
      </w:r>
    </w:p>
    <w:p w14:paraId="5F084E2A">
      <w:pPr>
        <w:pStyle w:val="3"/>
        <w:rPr>
          <w:color w:val="auto"/>
          <w:highlight w:val="none"/>
        </w:rPr>
      </w:pPr>
    </w:p>
    <w:p w14:paraId="0A5269AE">
      <w:pPr>
        <w:snapToGrid w:val="0"/>
        <w:spacing w:beforeLines="50" w:after="50" w:line="360" w:lineRule="auto"/>
        <w:rPr>
          <w:rFonts w:hint="eastAsia"/>
          <w:b/>
          <w:color w:val="auto"/>
          <w:sz w:val="28"/>
          <w:highlight w:val="none"/>
        </w:rPr>
      </w:pPr>
    </w:p>
    <w:p w14:paraId="4416E470">
      <w:pPr>
        <w:pStyle w:val="49"/>
        <w:jc w:val="left"/>
        <w:rPr>
          <w:rFonts w:hint="eastAsia" w:ascii="宋体" w:hAnsi="宋体" w:eastAsia="宋体" w:cs="宋体"/>
          <w:b/>
          <w:i/>
          <w:iCs/>
          <w:color w:val="auto"/>
          <w:sz w:val="24"/>
          <w:highlight w:val="none"/>
        </w:rPr>
      </w:pPr>
    </w:p>
    <w:p w14:paraId="3718ECEA">
      <w:pPr>
        <w:pStyle w:val="49"/>
        <w:jc w:val="left"/>
        <w:rPr>
          <w:rFonts w:hint="eastAsia"/>
          <w:b/>
          <w:color w:val="auto"/>
          <w:sz w:val="32"/>
          <w:szCs w:val="32"/>
          <w:highlight w:val="none"/>
          <w:lang w:val="en-US" w:eastAsia="zh-CN"/>
        </w:rPr>
      </w:pPr>
      <w:r>
        <w:rPr>
          <w:rFonts w:hint="eastAsia" w:ascii="宋体" w:hAnsi="宋体" w:eastAsia="宋体" w:cs="宋体"/>
          <w:b/>
          <w:i/>
          <w:iCs/>
          <w:color w:val="auto"/>
          <w:sz w:val="24"/>
          <w:highlight w:val="none"/>
        </w:rPr>
        <w:t>注：</w:t>
      </w:r>
      <w:r>
        <w:rPr>
          <w:rFonts w:hint="eastAsia" w:ascii="宋体" w:hAnsi="宋体" w:cs="宋体"/>
          <w:b/>
          <w:i/>
          <w:iCs/>
          <w:color w:val="auto"/>
          <w:sz w:val="24"/>
          <w:highlight w:val="none"/>
          <w:lang w:val="en-US" w:eastAsia="zh-CN"/>
        </w:rPr>
        <w:t>首次</w:t>
      </w:r>
      <w:r>
        <w:rPr>
          <w:rFonts w:hint="eastAsia" w:ascii="宋体" w:hAnsi="宋体" w:eastAsia="宋体" w:cs="宋体"/>
          <w:b/>
          <w:i/>
          <w:iCs/>
          <w:color w:val="auto"/>
          <w:sz w:val="24"/>
          <w:highlight w:val="none"/>
        </w:rPr>
        <w:t>报价时无需提供。</w:t>
      </w:r>
    </w:p>
    <w:p w14:paraId="025E5D61">
      <w:pPr>
        <w:spacing w:line="360" w:lineRule="auto"/>
        <w:ind w:left="-2" w:hanging="2"/>
        <w:jc w:val="center"/>
        <w:rPr>
          <w:b/>
          <w:color w:val="auto"/>
          <w:sz w:val="32"/>
          <w:szCs w:val="32"/>
          <w:highlight w:val="none"/>
        </w:rPr>
      </w:pPr>
      <w:r>
        <w:rPr>
          <w:rFonts w:hint="eastAsia"/>
          <w:b/>
          <w:color w:val="auto"/>
          <w:sz w:val="32"/>
          <w:szCs w:val="32"/>
          <w:highlight w:val="none"/>
          <w:lang w:val="en-US" w:eastAsia="zh-CN"/>
        </w:rPr>
        <w:t>最终</w:t>
      </w:r>
      <w:r>
        <w:rPr>
          <w:rFonts w:hint="eastAsia"/>
          <w:b/>
          <w:color w:val="auto"/>
          <w:sz w:val="32"/>
          <w:szCs w:val="32"/>
          <w:highlight w:val="none"/>
        </w:rPr>
        <w:t>报价一览表</w:t>
      </w:r>
    </w:p>
    <w:p w14:paraId="505CE999">
      <w:pPr>
        <w:spacing w:line="360" w:lineRule="auto"/>
        <w:ind w:left="-2" w:hanging="2"/>
        <w:jc w:val="center"/>
        <w:rPr>
          <w:b/>
          <w:color w:val="auto"/>
          <w:sz w:val="32"/>
          <w:szCs w:val="32"/>
          <w:highlight w:val="none"/>
        </w:rPr>
      </w:pPr>
    </w:p>
    <w:p w14:paraId="66AEBF1A">
      <w:pPr>
        <w:pStyle w:val="132"/>
        <w:spacing w:line="360" w:lineRule="auto"/>
        <w:ind w:right="126"/>
        <w:jc w:val="left"/>
        <w:rPr>
          <w:rFonts w:hint="eastAsia" w:eastAsia="宋体"/>
          <w:color w:val="auto"/>
          <w:szCs w:val="21"/>
          <w:highlight w:val="none"/>
          <w:lang w:eastAsia="zh-CN"/>
        </w:rPr>
      </w:pPr>
      <w:r>
        <w:rPr>
          <w:b/>
          <w:color w:val="auto"/>
          <w:szCs w:val="21"/>
          <w:highlight w:val="none"/>
        </w:rPr>
        <w:t>项目名称：</w:t>
      </w:r>
      <w:r>
        <w:rPr>
          <w:rFonts w:hint="eastAsia"/>
          <w:color w:val="auto"/>
          <w:szCs w:val="21"/>
          <w:highlight w:val="none"/>
          <w:u w:val="single"/>
          <w:lang w:eastAsia="zh-CN"/>
        </w:rPr>
        <w:t>仙居县生态共富小流域水土流失综合治理项目（大战岙溪、桐山溪、大洪港、东坑小流域）（EPC工程总承包）（监理）</w:t>
      </w:r>
    </w:p>
    <w:p w14:paraId="70AB9350">
      <w:pPr>
        <w:pStyle w:val="132"/>
        <w:spacing w:line="360" w:lineRule="auto"/>
        <w:ind w:right="126"/>
        <w:jc w:val="left"/>
        <w:rPr>
          <w:rFonts w:hint="eastAsia" w:eastAsia="宋体"/>
          <w:b/>
          <w:color w:val="auto"/>
          <w:szCs w:val="21"/>
          <w:highlight w:val="none"/>
          <w:lang w:eastAsia="zh-CN"/>
        </w:rPr>
      </w:pPr>
      <w:r>
        <w:rPr>
          <w:rFonts w:hint="eastAsia"/>
          <w:b/>
          <w:color w:val="auto"/>
          <w:szCs w:val="21"/>
          <w:highlight w:val="none"/>
        </w:rPr>
        <w:t>项目编号：</w:t>
      </w:r>
      <w:r>
        <w:rPr>
          <w:rFonts w:hint="eastAsia"/>
          <w:bCs/>
          <w:color w:val="auto"/>
          <w:szCs w:val="21"/>
          <w:highlight w:val="none"/>
          <w:u w:val="single"/>
          <w:lang w:eastAsia="zh-CN"/>
        </w:rPr>
        <w:t>HXZX（仙）-2025-04</w:t>
      </w:r>
    </w:p>
    <w:p w14:paraId="67703ACB">
      <w:pPr>
        <w:pStyle w:val="132"/>
        <w:spacing w:line="360" w:lineRule="auto"/>
        <w:jc w:val="right"/>
        <w:rPr>
          <w:rFonts w:hint="eastAsia"/>
          <w:color w:val="auto"/>
          <w:szCs w:val="21"/>
          <w:highlight w:val="none"/>
        </w:rPr>
      </w:pPr>
      <w:r>
        <w:rPr>
          <w:rFonts w:hint="eastAsia"/>
          <w:color w:val="auto"/>
          <w:szCs w:val="21"/>
          <w:highlight w:val="none"/>
        </w:rPr>
        <w:t>[货币单位：人民币元]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994"/>
        <w:gridCol w:w="4491"/>
      </w:tblGrid>
      <w:tr w14:paraId="0A8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restart"/>
            <w:noWrap w:val="0"/>
            <w:vAlign w:val="center"/>
          </w:tcPr>
          <w:p w14:paraId="580C79A8">
            <w:pPr>
              <w:snapToGrid w:val="0"/>
              <w:spacing w:before="50" w:after="50" w:line="360" w:lineRule="auto"/>
              <w:ind w:right="-617" w:rightChars="-294" w:firstLine="241" w:firstLineChars="1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磋商总报价（元）</w:t>
            </w:r>
          </w:p>
        </w:tc>
        <w:tc>
          <w:tcPr>
            <w:tcW w:w="1994" w:type="dxa"/>
            <w:noWrap w:val="0"/>
            <w:vAlign w:val="center"/>
          </w:tcPr>
          <w:p w14:paraId="3C2C2F39">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大写：</w:t>
            </w:r>
          </w:p>
        </w:tc>
        <w:tc>
          <w:tcPr>
            <w:tcW w:w="4491" w:type="dxa"/>
            <w:noWrap w:val="0"/>
            <w:vAlign w:val="center"/>
          </w:tcPr>
          <w:p w14:paraId="063DD972">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人民币：</w:t>
            </w:r>
            <w:r>
              <w:rPr>
                <w:rFonts w:hint="eastAsia" w:ascii="宋体" w:hAnsi="宋体" w:eastAsia="宋体" w:cs="宋体"/>
                <w:b/>
                <w:bCs/>
                <w:color w:val="auto"/>
                <w:sz w:val="24"/>
                <w:highlight w:val="none"/>
                <w:u w:val="single"/>
              </w:rPr>
              <w:t xml:space="preserve">                         </w:t>
            </w:r>
          </w:p>
        </w:tc>
      </w:tr>
      <w:tr w14:paraId="4A49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continue"/>
            <w:noWrap w:val="0"/>
            <w:vAlign w:val="center"/>
          </w:tcPr>
          <w:p w14:paraId="075AC7A0">
            <w:pPr>
              <w:snapToGrid w:val="0"/>
              <w:spacing w:before="50" w:after="50" w:line="360" w:lineRule="auto"/>
              <w:ind w:right="-617" w:rightChars="-294"/>
              <w:jc w:val="center"/>
              <w:rPr>
                <w:rFonts w:hint="eastAsia" w:ascii="宋体" w:hAnsi="宋体" w:eastAsia="宋体" w:cs="宋体"/>
                <w:color w:val="auto"/>
                <w:sz w:val="24"/>
                <w:highlight w:val="none"/>
              </w:rPr>
            </w:pPr>
          </w:p>
        </w:tc>
        <w:tc>
          <w:tcPr>
            <w:tcW w:w="1994" w:type="dxa"/>
            <w:noWrap w:val="0"/>
            <w:vAlign w:val="center"/>
          </w:tcPr>
          <w:p w14:paraId="73DD0426">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小写</w:t>
            </w:r>
          </w:p>
        </w:tc>
        <w:tc>
          <w:tcPr>
            <w:tcW w:w="4491" w:type="dxa"/>
            <w:noWrap w:val="0"/>
            <w:vAlign w:val="center"/>
          </w:tcPr>
          <w:p w14:paraId="24246E5A">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single"/>
              </w:rPr>
              <w:t xml:space="preserve">                           </w:t>
            </w:r>
          </w:p>
        </w:tc>
      </w:tr>
    </w:tbl>
    <w:p w14:paraId="77B8D6D2">
      <w:pPr>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填报要求：</w:t>
      </w:r>
    </w:p>
    <w:p w14:paraId="3B359E04">
      <w:pPr>
        <w:pStyle w:val="11"/>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价是完全履行招标内容及要求的价格体现，报价中须包含所有一切人员工资、各种加班费、节假日补贴、各种社会保险、安全保险、食宿与交通、材料费、机械费、人工费、辅助材料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68ABB28">
      <w:pPr>
        <w:spacing w:line="360" w:lineRule="auto"/>
        <w:ind w:firstLine="480" w:firstLineChars="200"/>
        <w:rPr>
          <w:color w:val="auto"/>
          <w:sz w:val="24"/>
          <w:highlight w:val="none"/>
        </w:rPr>
      </w:pPr>
      <w:r>
        <w:rPr>
          <w:rFonts w:hint="eastAsia" w:ascii="宋体" w:hAnsi="宋体" w:eastAsia="宋体" w:cs="宋体"/>
          <w:color w:val="auto"/>
          <w:kern w:val="0"/>
          <w:sz w:val="24"/>
          <w:highlight w:val="none"/>
        </w:rPr>
        <w:t>2.报价一经涂改，应在涂改处加盖单位公章，或者由法定代表人或全权代表签字或盖章，否则作无效标处理。</w:t>
      </w:r>
    </w:p>
    <w:p w14:paraId="1C0DD9A3">
      <w:pPr>
        <w:spacing w:line="320" w:lineRule="exact"/>
        <w:ind w:left="420"/>
        <w:rPr>
          <w:color w:val="auto"/>
          <w:sz w:val="24"/>
          <w:highlight w:val="none"/>
        </w:rPr>
      </w:pPr>
    </w:p>
    <w:p w14:paraId="609B962E">
      <w:pPr>
        <w:spacing w:line="320" w:lineRule="exact"/>
        <w:ind w:left="420"/>
        <w:rPr>
          <w:color w:val="auto"/>
          <w:sz w:val="24"/>
          <w:highlight w:val="none"/>
        </w:rPr>
      </w:pPr>
    </w:p>
    <w:p w14:paraId="3E6FA9F4">
      <w:pPr>
        <w:spacing w:line="320" w:lineRule="exact"/>
        <w:ind w:left="420"/>
        <w:rPr>
          <w:color w:val="auto"/>
          <w:sz w:val="24"/>
          <w:highlight w:val="none"/>
          <w:u w:val="single"/>
        </w:rPr>
      </w:pPr>
      <w:r>
        <w:rPr>
          <w:rFonts w:hint="eastAsia"/>
          <w:color w:val="auto"/>
          <w:sz w:val="24"/>
          <w:highlight w:val="none"/>
        </w:rPr>
        <w:t>磋商供应商名称（盖章）：</w:t>
      </w:r>
      <w:r>
        <w:rPr>
          <w:rFonts w:hint="eastAsia"/>
          <w:color w:val="auto"/>
          <w:sz w:val="24"/>
          <w:highlight w:val="none"/>
          <w:u w:val="single"/>
        </w:rPr>
        <w:t xml:space="preserve">                     </w:t>
      </w:r>
    </w:p>
    <w:p w14:paraId="4E148736">
      <w:pPr>
        <w:spacing w:line="320" w:lineRule="exact"/>
        <w:ind w:left="420"/>
        <w:rPr>
          <w:color w:val="auto"/>
          <w:sz w:val="24"/>
          <w:highlight w:val="none"/>
        </w:rPr>
      </w:pPr>
    </w:p>
    <w:p w14:paraId="61F6E7F2">
      <w:pPr>
        <w:spacing w:line="320" w:lineRule="exact"/>
        <w:ind w:firstLine="435"/>
        <w:rPr>
          <w:color w:val="auto"/>
          <w:sz w:val="24"/>
          <w:highlight w:val="none"/>
        </w:rPr>
      </w:pPr>
      <w:r>
        <w:rPr>
          <w:rFonts w:hint="eastAsia"/>
          <w:color w:val="auto"/>
          <w:kern w:val="0"/>
          <w:sz w:val="24"/>
          <w:highlight w:val="none"/>
          <w:lang w:val="zh-CN"/>
        </w:rPr>
        <w:t>法定代表人(</w:t>
      </w:r>
      <w:r>
        <w:rPr>
          <w:rFonts w:hint="eastAsia"/>
          <w:color w:val="auto"/>
          <w:sz w:val="24"/>
          <w:highlight w:val="none"/>
        </w:rPr>
        <w:t>签字或盖章</w:t>
      </w:r>
      <w:r>
        <w:rPr>
          <w:rFonts w:hint="eastAsia"/>
          <w:color w:val="auto"/>
          <w:kern w:val="0"/>
          <w:sz w:val="24"/>
          <w:highlight w:val="none"/>
          <w:lang w:val="zh-CN"/>
        </w:rPr>
        <w:t>)或授权委托人(签字)</w:t>
      </w:r>
      <w:r>
        <w:rPr>
          <w:rFonts w:hint="eastAsia"/>
          <w:color w:val="auto"/>
          <w:sz w:val="24"/>
          <w:highlight w:val="none"/>
        </w:rPr>
        <w:t>：</w:t>
      </w:r>
      <w:r>
        <w:rPr>
          <w:rFonts w:hint="eastAsia"/>
          <w:color w:val="auto"/>
          <w:sz w:val="24"/>
          <w:highlight w:val="none"/>
          <w:u w:val="single"/>
        </w:rPr>
        <w:t xml:space="preserve">                         </w:t>
      </w:r>
    </w:p>
    <w:p w14:paraId="0C7D137F">
      <w:pPr>
        <w:spacing w:line="320" w:lineRule="exact"/>
        <w:ind w:firstLine="435"/>
        <w:rPr>
          <w:color w:val="auto"/>
          <w:sz w:val="24"/>
          <w:highlight w:val="none"/>
        </w:rPr>
      </w:pPr>
    </w:p>
    <w:p w14:paraId="14585D5D">
      <w:pPr>
        <w:spacing w:line="320" w:lineRule="exact"/>
        <w:ind w:firstLine="435"/>
        <w:jc w:val="right"/>
        <w:rPr>
          <w:color w:val="auto"/>
          <w:sz w:val="24"/>
          <w:highlight w:val="none"/>
        </w:rPr>
      </w:pPr>
      <w:r>
        <w:rPr>
          <w:rFonts w:hint="eastAsia"/>
          <w:color w:val="auto"/>
          <w:sz w:val="24"/>
          <w:highlight w:val="none"/>
        </w:rPr>
        <w:t>日        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日</w:t>
      </w:r>
    </w:p>
    <w:p w14:paraId="088473EE">
      <w:pPr>
        <w:adjustRightInd w:val="0"/>
        <w:snapToGrid w:val="0"/>
        <w:spacing w:line="360" w:lineRule="auto"/>
        <w:ind w:right="480"/>
        <w:jc w:val="center"/>
        <w:rPr>
          <w:color w:val="auto"/>
          <w:kern w:val="0"/>
          <w:sz w:val="24"/>
          <w:highlight w:val="none"/>
          <w:lang w:val="zh-CN"/>
        </w:rPr>
      </w:pPr>
    </w:p>
    <w:p w14:paraId="5FFB639A">
      <w:pPr>
        <w:rPr>
          <w:color w:val="auto"/>
          <w:highlight w:val="none"/>
        </w:rPr>
      </w:pPr>
    </w:p>
    <w:sectPr>
      <w:footerReference r:id="rId9" w:type="first"/>
      <w:headerReference r:id="rId6" w:type="default"/>
      <w:footerReference r:id="rId7" w:type="default"/>
      <w:footerReference r:id="rId8" w:type="even"/>
      <w:pgSz w:w="11906" w:h="16838"/>
      <w:pgMar w:top="1270" w:right="1247" w:bottom="1270" w:left="1247" w:header="680"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S?o｡ﾀ?">
    <w:altName w:val="@Yu Gothic"/>
    <w:panose1 w:val="00000000000000000000"/>
    <w:charset w:val="80"/>
    <w:family w:val="decorative"/>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7B9E">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FC49">
    <w:pPr>
      <w:pStyle w:val="28"/>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A427B">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A427B">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65DF">
    <w:pPr>
      <w:pStyle w:val="28"/>
      <w:framePr w:wrap="around" w:vAnchor="text" w:hAnchor="margin" w:xAlign="center" w:y="1"/>
      <w:rPr>
        <w:rStyle w:val="42"/>
      </w:rPr>
    </w:pPr>
    <w:r>
      <w:fldChar w:fldCharType="begin"/>
    </w:r>
    <w:r>
      <w:rPr>
        <w:rStyle w:val="42"/>
      </w:rPr>
      <w:instrText xml:space="preserve">PAGE  </w:instrText>
    </w:r>
    <w:r>
      <w:fldChar w:fldCharType="separate"/>
    </w:r>
    <w:r>
      <w:rPr>
        <w:rStyle w:val="42"/>
      </w:rPr>
      <w:t>32</w:t>
    </w:r>
    <w:r>
      <w:fldChar w:fldCharType="end"/>
    </w:r>
  </w:p>
  <w:p w14:paraId="414C63D6">
    <w:pPr>
      <w:pStyle w:val="2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C508">
    <w:pPr>
      <w:pStyle w:val="28"/>
      <w:ind w:right="72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37123">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437123">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6C9E">
    <w:pPr>
      <w:pStyle w:val="29"/>
      <w:rPr>
        <w:spacing w:val="-11"/>
        <w:sz w:val="18"/>
      </w:rPr>
    </w:pPr>
    <w:r>
      <w:rPr>
        <w:rFonts w:hint="eastAsia"/>
        <w:spacing w:val="-11"/>
        <w:sz w:val="18"/>
      </w:rPr>
      <w:t>仙居县生态共富小流域水土流失综合治理项目（大战岙溪、桐山溪、大洪港、东坑小流域）（EPC工程总承包）（监理）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0C45">
    <w:pPr>
      <w:pStyle w:val="29"/>
    </w:pPr>
    <w:r>
      <w:rPr>
        <w:rFonts w:hint="eastAsia"/>
        <w:spacing w:val="-11"/>
        <w:sz w:val="18"/>
      </w:rPr>
      <w:t>仙居县生态共富小流域水土流失综合治理项目（大战岙溪、桐山溪、大洪港、东坑小流域）（EPC工程总承包）（监理）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9705">
    <w:pPr>
      <w:pStyle w:val="29"/>
    </w:pPr>
    <w:r>
      <w:rPr>
        <w:rFonts w:hint="eastAsia"/>
        <w:lang w:eastAsia="zh-CN"/>
      </w:rPr>
      <w:t>仙居县生态共富小流域水土流失综合治理项目（大战岙溪、桐山溪、大洪港、东坑小流域）（EPC工程总承包）（监理）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B43C7234"/>
    <w:multiLevelType w:val="singleLevel"/>
    <w:tmpl w:val="B43C7234"/>
    <w:lvl w:ilvl="0" w:tentative="0">
      <w:start w:val="2"/>
      <w:numFmt w:val="chineseCounting"/>
      <w:suff w:val="space"/>
      <w:lvlText w:val="第%1部分"/>
      <w:lvlJc w:val="left"/>
      <w:rPr>
        <w:rFonts w:hint="eastAsia"/>
      </w:rPr>
    </w:lvl>
  </w:abstractNum>
  <w:abstractNum w:abstractNumId="2">
    <w:nsid w:val="CD701E33"/>
    <w:multiLevelType w:val="singleLevel"/>
    <w:tmpl w:val="CD701E33"/>
    <w:lvl w:ilvl="0" w:tentative="0">
      <w:start w:val="2"/>
      <w:numFmt w:val="decimal"/>
      <w:suff w:val="nothing"/>
      <w:lvlText w:val="%1、"/>
      <w:lvlJc w:val="left"/>
    </w:lvl>
  </w:abstractNum>
  <w:abstractNum w:abstractNumId="3">
    <w:nsid w:val="D9EC63BB"/>
    <w:multiLevelType w:val="singleLevel"/>
    <w:tmpl w:val="D9EC63BB"/>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4">
    <w:nsid w:val="F345FB2C"/>
    <w:multiLevelType w:val="singleLevel"/>
    <w:tmpl w:val="F345FB2C"/>
    <w:lvl w:ilvl="0" w:tentative="0">
      <w:start w:val="1"/>
      <w:numFmt w:val="chineseCounting"/>
      <w:suff w:val="space"/>
      <w:lvlText w:val="第%1章"/>
      <w:lvlJc w:val="left"/>
      <w:rPr>
        <w:rFonts w:hint="eastAsia"/>
      </w:rPr>
    </w:lvl>
  </w:abstractNum>
  <w:abstractNum w:abstractNumId="5">
    <w:nsid w:val="376F4EEB"/>
    <w:multiLevelType w:val="multilevel"/>
    <w:tmpl w:val="376F4EEB"/>
    <w:lvl w:ilvl="0" w:tentative="0">
      <w:start w:val="3"/>
      <w:numFmt w:val="decimal"/>
      <w:pStyle w:val="10"/>
      <w:lvlText w:val="%1"/>
      <w:lvlJc w:val="left"/>
      <w:pPr>
        <w:ind w:left="360" w:hanging="360"/>
      </w:pPr>
      <w:rPr>
        <w:rFonts w:hint="default" w:cs="Times New Roman"/>
      </w:rPr>
    </w:lvl>
    <w:lvl w:ilvl="1" w:tentative="0">
      <w:start w:val="1"/>
      <w:numFmt w:val="decimal"/>
      <w:pStyle w:val="93"/>
      <w:lvlText w:val="%1.%2"/>
      <w:lvlJc w:val="left"/>
      <w:pPr>
        <w:ind w:left="644" w:hanging="360"/>
      </w:pPr>
      <w:rPr>
        <w:rFonts w:hint="default" w:ascii="Times New Roman" w:hAnsi="Times New Roman" w:cs="Times New Roman"/>
        <w:b w:val="0"/>
        <w:bCs w:val="0"/>
      </w:rPr>
    </w:lvl>
    <w:lvl w:ilvl="2" w:tentative="0">
      <w:start w:val="1"/>
      <w:numFmt w:val="decimal"/>
      <w:pStyle w:val="80"/>
      <w:lvlText w:val="%1.%2.%3"/>
      <w:lvlJc w:val="left"/>
      <w:pPr>
        <w:ind w:left="720" w:hanging="720"/>
      </w:pPr>
      <w:rPr>
        <w:rFonts w:hint="default" w:cs="Times New Roman"/>
        <w:b w:val="0"/>
        <w:bCs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6">
    <w:nsid w:val="6B5CC886"/>
    <w:multiLevelType w:val="singleLevel"/>
    <w:tmpl w:val="6B5CC886"/>
    <w:lvl w:ilvl="0" w:tentative="0">
      <w:start w:val="1"/>
      <w:numFmt w:val="decimal"/>
      <w:suff w:val="space"/>
      <w:lvlText w:val="%1."/>
      <w:lvlJc w:val="left"/>
      <w:pPr>
        <w:ind w:left="21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WU4ZWRhNzAyZjI2MDA0ZTBlYTc4YWNlMGY2MWYifQ=="/>
  </w:docVars>
  <w:rsids>
    <w:rsidRoot w:val="00172A27"/>
    <w:rsid w:val="00000743"/>
    <w:rsid w:val="00000A31"/>
    <w:rsid w:val="0000174B"/>
    <w:rsid w:val="00001D23"/>
    <w:rsid w:val="00001F03"/>
    <w:rsid w:val="00002102"/>
    <w:rsid w:val="00002A70"/>
    <w:rsid w:val="000032F7"/>
    <w:rsid w:val="000035A1"/>
    <w:rsid w:val="00004555"/>
    <w:rsid w:val="00004FFB"/>
    <w:rsid w:val="00006898"/>
    <w:rsid w:val="00007909"/>
    <w:rsid w:val="00007C69"/>
    <w:rsid w:val="00010BD4"/>
    <w:rsid w:val="00011527"/>
    <w:rsid w:val="00011DF4"/>
    <w:rsid w:val="00012103"/>
    <w:rsid w:val="00012990"/>
    <w:rsid w:val="0001469C"/>
    <w:rsid w:val="00015140"/>
    <w:rsid w:val="000158D9"/>
    <w:rsid w:val="0001695A"/>
    <w:rsid w:val="00016D1C"/>
    <w:rsid w:val="000171EC"/>
    <w:rsid w:val="00020690"/>
    <w:rsid w:val="0002078F"/>
    <w:rsid w:val="000214CD"/>
    <w:rsid w:val="00024896"/>
    <w:rsid w:val="000256D9"/>
    <w:rsid w:val="00025B66"/>
    <w:rsid w:val="00026A6B"/>
    <w:rsid w:val="00026C6F"/>
    <w:rsid w:val="000273FB"/>
    <w:rsid w:val="00027765"/>
    <w:rsid w:val="00027FC5"/>
    <w:rsid w:val="00030246"/>
    <w:rsid w:val="00030589"/>
    <w:rsid w:val="00030CA6"/>
    <w:rsid w:val="000322B9"/>
    <w:rsid w:val="000327CD"/>
    <w:rsid w:val="0003288D"/>
    <w:rsid w:val="00032A89"/>
    <w:rsid w:val="000331F2"/>
    <w:rsid w:val="00033D1D"/>
    <w:rsid w:val="00034E87"/>
    <w:rsid w:val="000350A6"/>
    <w:rsid w:val="00035408"/>
    <w:rsid w:val="00035AA4"/>
    <w:rsid w:val="00040577"/>
    <w:rsid w:val="00041437"/>
    <w:rsid w:val="00041741"/>
    <w:rsid w:val="00041F53"/>
    <w:rsid w:val="000428C0"/>
    <w:rsid w:val="00043E61"/>
    <w:rsid w:val="00043E95"/>
    <w:rsid w:val="00044184"/>
    <w:rsid w:val="00044468"/>
    <w:rsid w:val="00044660"/>
    <w:rsid w:val="000456A9"/>
    <w:rsid w:val="000500BF"/>
    <w:rsid w:val="00050771"/>
    <w:rsid w:val="00051416"/>
    <w:rsid w:val="00052F65"/>
    <w:rsid w:val="00053924"/>
    <w:rsid w:val="000541AB"/>
    <w:rsid w:val="00054539"/>
    <w:rsid w:val="00054E6D"/>
    <w:rsid w:val="00054EA7"/>
    <w:rsid w:val="000557AC"/>
    <w:rsid w:val="00056886"/>
    <w:rsid w:val="0005792E"/>
    <w:rsid w:val="0006035B"/>
    <w:rsid w:val="00064943"/>
    <w:rsid w:val="000652F4"/>
    <w:rsid w:val="0006783C"/>
    <w:rsid w:val="00070E61"/>
    <w:rsid w:val="00071CCE"/>
    <w:rsid w:val="00073608"/>
    <w:rsid w:val="000739BF"/>
    <w:rsid w:val="00073F79"/>
    <w:rsid w:val="0007418F"/>
    <w:rsid w:val="00076B4E"/>
    <w:rsid w:val="00076F39"/>
    <w:rsid w:val="00077825"/>
    <w:rsid w:val="000779F8"/>
    <w:rsid w:val="00077E07"/>
    <w:rsid w:val="00080F30"/>
    <w:rsid w:val="0008143D"/>
    <w:rsid w:val="000818CB"/>
    <w:rsid w:val="00082276"/>
    <w:rsid w:val="00082CD9"/>
    <w:rsid w:val="000846A6"/>
    <w:rsid w:val="000846DA"/>
    <w:rsid w:val="0008686B"/>
    <w:rsid w:val="00087071"/>
    <w:rsid w:val="0008721C"/>
    <w:rsid w:val="000907BA"/>
    <w:rsid w:val="00091B37"/>
    <w:rsid w:val="00091D6E"/>
    <w:rsid w:val="000931A8"/>
    <w:rsid w:val="00093E1D"/>
    <w:rsid w:val="00094204"/>
    <w:rsid w:val="00095A94"/>
    <w:rsid w:val="00095CC1"/>
    <w:rsid w:val="00096E36"/>
    <w:rsid w:val="00097FB0"/>
    <w:rsid w:val="000A0293"/>
    <w:rsid w:val="000A2795"/>
    <w:rsid w:val="000A3D39"/>
    <w:rsid w:val="000A4A73"/>
    <w:rsid w:val="000A5830"/>
    <w:rsid w:val="000A6435"/>
    <w:rsid w:val="000A677C"/>
    <w:rsid w:val="000A73D8"/>
    <w:rsid w:val="000B124C"/>
    <w:rsid w:val="000B1670"/>
    <w:rsid w:val="000B243F"/>
    <w:rsid w:val="000B3B9C"/>
    <w:rsid w:val="000B4FAB"/>
    <w:rsid w:val="000B5252"/>
    <w:rsid w:val="000B5302"/>
    <w:rsid w:val="000B609B"/>
    <w:rsid w:val="000B79E5"/>
    <w:rsid w:val="000C121B"/>
    <w:rsid w:val="000C422D"/>
    <w:rsid w:val="000C4963"/>
    <w:rsid w:val="000C6005"/>
    <w:rsid w:val="000C78A4"/>
    <w:rsid w:val="000D04DB"/>
    <w:rsid w:val="000D09F6"/>
    <w:rsid w:val="000D105E"/>
    <w:rsid w:val="000D12D8"/>
    <w:rsid w:val="000D20CC"/>
    <w:rsid w:val="000D22C5"/>
    <w:rsid w:val="000D23A2"/>
    <w:rsid w:val="000D24E8"/>
    <w:rsid w:val="000D3953"/>
    <w:rsid w:val="000D4068"/>
    <w:rsid w:val="000D4124"/>
    <w:rsid w:val="000D5163"/>
    <w:rsid w:val="000D53E7"/>
    <w:rsid w:val="000D62FA"/>
    <w:rsid w:val="000D7D35"/>
    <w:rsid w:val="000E016F"/>
    <w:rsid w:val="000E1B08"/>
    <w:rsid w:val="000E1CCD"/>
    <w:rsid w:val="000E40F9"/>
    <w:rsid w:val="000E429D"/>
    <w:rsid w:val="000E5102"/>
    <w:rsid w:val="000E5D74"/>
    <w:rsid w:val="000E6289"/>
    <w:rsid w:val="000E7044"/>
    <w:rsid w:val="000E741F"/>
    <w:rsid w:val="000F15FE"/>
    <w:rsid w:val="000F24F0"/>
    <w:rsid w:val="000F2516"/>
    <w:rsid w:val="000F262D"/>
    <w:rsid w:val="000F4804"/>
    <w:rsid w:val="000F672D"/>
    <w:rsid w:val="000F6C8F"/>
    <w:rsid w:val="000F70D6"/>
    <w:rsid w:val="00101CB6"/>
    <w:rsid w:val="001024A6"/>
    <w:rsid w:val="00103B08"/>
    <w:rsid w:val="00103EF9"/>
    <w:rsid w:val="0010648A"/>
    <w:rsid w:val="001075A7"/>
    <w:rsid w:val="00110E31"/>
    <w:rsid w:val="001116B1"/>
    <w:rsid w:val="001118EB"/>
    <w:rsid w:val="00112A76"/>
    <w:rsid w:val="001130FF"/>
    <w:rsid w:val="00113E87"/>
    <w:rsid w:val="001147AC"/>
    <w:rsid w:val="001162E2"/>
    <w:rsid w:val="00116C8D"/>
    <w:rsid w:val="00117092"/>
    <w:rsid w:val="00117BC1"/>
    <w:rsid w:val="00117D2D"/>
    <w:rsid w:val="001202DE"/>
    <w:rsid w:val="00121177"/>
    <w:rsid w:val="00123418"/>
    <w:rsid w:val="001263E3"/>
    <w:rsid w:val="001264EC"/>
    <w:rsid w:val="001268AE"/>
    <w:rsid w:val="001275E8"/>
    <w:rsid w:val="00127AC2"/>
    <w:rsid w:val="00127BF1"/>
    <w:rsid w:val="00127CAF"/>
    <w:rsid w:val="00130EC9"/>
    <w:rsid w:val="00132979"/>
    <w:rsid w:val="00132CBF"/>
    <w:rsid w:val="00133CBF"/>
    <w:rsid w:val="001348F4"/>
    <w:rsid w:val="00135806"/>
    <w:rsid w:val="0013750D"/>
    <w:rsid w:val="00141033"/>
    <w:rsid w:val="001423F8"/>
    <w:rsid w:val="00142CC9"/>
    <w:rsid w:val="00142FBE"/>
    <w:rsid w:val="0014345B"/>
    <w:rsid w:val="00143775"/>
    <w:rsid w:val="00143878"/>
    <w:rsid w:val="00143EAC"/>
    <w:rsid w:val="00145DC1"/>
    <w:rsid w:val="0014776E"/>
    <w:rsid w:val="001508D2"/>
    <w:rsid w:val="00153665"/>
    <w:rsid w:val="00154784"/>
    <w:rsid w:val="00155B19"/>
    <w:rsid w:val="00156169"/>
    <w:rsid w:val="00156252"/>
    <w:rsid w:val="001562B0"/>
    <w:rsid w:val="00156862"/>
    <w:rsid w:val="00157CEE"/>
    <w:rsid w:val="00160A35"/>
    <w:rsid w:val="00163C14"/>
    <w:rsid w:val="001643B9"/>
    <w:rsid w:val="001649D1"/>
    <w:rsid w:val="001653A8"/>
    <w:rsid w:val="0016555C"/>
    <w:rsid w:val="00165B67"/>
    <w:rsid w:val="00165B7B"/>
    <w:rsid w:val="00170C21"/>
    <w:rsid w:val="00170CE3"/>
    <w:rsid w:val="00170DB3"/>
    <w:rsid w:val="00171E05"/>
    <w:rsid w:val="00172A27"/>
    <w:rsid w:val="00173ADA"/>
    <w:rsid w:val="00173DA3"/>
    <w:rsid w:val="00173EC4"/>
    <w:rsid w:val="001751A8"/>
    <w:rsid w:val="00175887"/>
    <w:rsid w:val="00175A9C"/>
    <w:rsid w:val="00175FDD"/>
    <w:rsid w:val="00176298"/>
    <w:rsid w:val="00176495"/>
    <w:rsid w:val="001826DD"/>
    <w:rsid w:val="0018509D"/>
    <w:rsid w:val="00185C8A"/>
    <w:rsid w:val="00185DBD"/>
    <w:rsid w:val="001863E8"/>
    <w:rsid w:val="00187F2E"/>
    <w:rsid w:val="0019029E"/>
    <w:rsid w:val="0019051D"/>
    <w:rsid w:val="001905A6"/>
    <w:rsid w:val="0019094D"/>
    <w:rsid w:val="00190D7E"/>
    <w:rsid w:val="00192550"/>
    <w:rsid w:val="00192F10"/>
    <w:rsid w:val="001952B0"/>
    <w:rsid w:val="001966F3"/>
    <w:rsid w:val="00197BE0"/>
    <w:rsid w:val="00197E38"/>
    <w:rsid w:val="001A01E3"/>
    <w:rsid w:val="001A0354"/>
    <w:rsid w:val="001A065C"/>
    <w:rsid w:val="001A1592"/>
    <w:rsid w:val="001A1661"/>
    <w:rsid w:val="001A2381"/>
    <w:rsid w:val="001A2A83"/>
    <w:rsid w:val="001A2CE2"/>
    <w:rsid w:val="001A34E0"/>
    <w:rsid w:val="001A58F1"/>
    <w:rsid w:val="001A5B86"/>
    <w:rsid w:val="001A64CD"/>
    <w:rsid w:val="001A69F1"/>
    <w:rsid w:val="001A6A75"/>
    <w:rsid w:val="001A6F17"/>
    <w:rsid w:val="001B0205"/>
    <w:rsid w:val="001B0586"/>
    <w:rsid w:val="001B0C4A"/>
    <w:rsid w:val="001B1240"/>
    <w:rsid w:val="001B2041"/>
    <w:rsid w:val="001B3646"/>
    <w:rsid w:val="001B4E45"/>
    <w:rsid w:val="001B56E7"/>
    <w:rsid w:val="001B6442"/>
    <w:rsid w:val="001B6869"/>
    <w:rsid w:val="001B75E9"/>
    <w:rsid w:val="001B79FF"/>
    <w:rsid w:val="001C0E4A"/>
    <w:rsid w:val="001C1863"/>
    <w:rsid w:val="001C3407"/>
    <w:rsid w:val="001C4591"/>
    <w:rsid w:val="001C46C8"/>
    <w:rsid w:val="001C5301"/>
    <w:rsid w:val="001C76A3"/>
    <w:rsid w:val="001C7E7A"/>
    <w:rsid w:val="001C7EBD"/>
    <w:rsid w:val="001D2889"/>
    <w:rsid w:val="001D3097"/>
    <w:rsid w:val="001D3590"/>
    <w:rsid w:val="001D3FD7"/>
    <w:rsid w:val="001D5146"/>
    <w:rsid w:val="001D55B2"/>
    <w:rsid w:val="001D6D84"/>
    <w:rsid w:val="001D6F21"/>
    <w:rsid w:val="001D7864"/>
    <w:rsid w:val="001D7D18"/>
    <w:rsid w:val="001E1445"/>
    <w:rsid w:val="001E2755"/>
    <w:rsid w:val="001E2897"/>
    <w:rsid w:val="001E35FD"/>
    <w:rsid w:val="001E3C7A"/>
    <w:rsid w:val="001E57AE"/>
    <w:rsid w:val="001E5F3D"/>
    <w:rsid w:val="001E61BA"/>
    <w:rsid w:val="001F0050"/>
    <w:rsid w:val="001F0CE9"/>
    <w:rsid w:val="001F1B80"/>
    <w:rsid w:val="001F255D"/>
    <w:rsid w:val="001F2687"/>
    <w:rsid w:val="001F2B81"/>
    <w:rsid w:val="001F3022"/>
    <w:rsid w:val="001F3224"/>
    <w:rsid w:val="001F3330"/>
    <w:rsid w:val="001F34B7"/>
    <w:rsid w:val="001F36F0"/>
    <w:rsid w:val="001F3D5A"/>
    <w:rsid w:val="001F47E9"/>
    <w:rsid w:val="001F503F"/>
    <w:rsid w:val="001F52BC"/>
    <w:rsid w:val="001F6D87"/>
    <w:rsid w:val="001F6F75"/>
    <w:rsid w:val="001F7362"/>
    <w:rsid w:val="001F7CE2"/>
    <w:rsid w:val="002005EB"/>
    <w:rsid w:val="002030AB"/>
    <w:rsid w:val="00203EC5"/>
    <w:rsid w:val="0020415E"/>
    <w:rsid w:val="00204461"/>
    <w:rsid w:val="002048C4"/>
    <w:rsid w:val="00205156"/>
    <w:rsid w:val="00207553"/>
    <w:rsid w:val="00207D46"/>
    <w:rsid w:val="00207F15"/>
    <w:rsid w:val="00210921"/>
    <w:rsid w:val="00210C54"/>
    <w:rsid w:val="00212260"/>
    <w:rsid w:val="002136E5"/>
    <w:rsid w:val="00214D6A"/>
    <w:rsid w:val="002158C5"/>
    <w:rsid w:val="00216128"/>
    <w:rsid w:val="002165F4"/>
    <w:rsid w:val="00220B60"/>
    <w:rsid w:val="002210CA"/>
    <w:rsid w:val="0022218A"/>
    <w:rsid w:val="002232D3"/>
    <w:rsid w:val="00223FD6"/>
    <w:rsid w:val="0022458B"/>
    <w:rsid w:val="002265A4"/>
    <w:rsid w:val="00227CD1"/>
    <w:rsid w:val="00227D58"/>
    <w:rsid w:val="002310ED"/>
    <w:rsid w:val="002322CF"/>
    <w:rsid w:val="0023288A"/>
    <w:rsid w:val="00234600"/>
    <w:rsid w:val="00234CA4"/>
    <w:rsid w:val="00235F9A"/>
    <w:rsid w:val="0023627E"/>
    <w:rsid w:val="0023662A"/>
    <w:rsid w:val="00236662"/>
    <w:rsid w:val="00240EE3"/>
    <w:rsid w:val="00243C1A"/>
    <w:rsid w:val="00243F03"/>
    <w:rsid w:val="0024495C"/>
    <w:rsid w:val="00246340"/>
    <w:rsid w:val="00246505"/>
    <w:rsid w:val="00246D87"/>
    <w:rsid w:val="00251981"/>
    <w:rsid w:val="002525DB"/>
    <w:rsid w:val="00252A3E"/>
    <w:rsid w:val="00253B60"/>
    <w:rsid w:val="002544AD"/>
    <w:rsid w:val="00254979"/>
    <w:rsid w:val="00256575"/>
    <w:rsid w:val="002570D6"/>
    <w:rsid w:val="002610D9"/>
    <w:rsid w:val="00261435"/>
    <w:rsid w:val="00261646"/>
    <w:rsid w:val="00261B89"/>
    <w:rsid w:val="002620A0"/>
    <w:rsid w:val="0026221F"/>
    <w:rsid w:val="00263009"/>
    <w:rsid w:val="00263238"/>
    <w:rsid w:val="0026355F"/>
    <w:rsid w:val="002640B0"/>
    <w:rsid w:val="00264E26"/>
    <w:rsid w:val="0026551F"/>
    <w:rsid w:val="0026595C"/>
    <w:rsid w:val="002668B0"/>
    <w:rsid w:val="00266C9F"/>
    <w:rsid w:val="0027091F"/>
    <w:rsid w:val="00270D30"/>
    <w:rsid w:val="00270E67"/>
    <w:rsid w:val="0027114A"/>
    <w:rsid w:val="002715F5"/>
    <w:rsid w:val="00271AA5"/>
    <w:rsid w:val="00272883"/>
    <w:rsid w:val="002729E6"/>
    <w:rsid w:val="00272CEF"/>
    <w:rsid w:val="00273121"/>
    <w:rsid w:val="002739B4"/>
    <w:rsid w:val="00276EC4"/>
    <w:rsid w:val="00280162"/>
    <w:rsid w:val="00280292"/>
    <w:rsid w:val="00280335"/>
    <w:rsid w:val="00280497"/>
    <w:rsid w:val="00280685"/>
    <w:rsid w:val="00281BA2"/>
    <w:rsid w:val="00281C26"/>
    <w:rsid w:val="00281C46"/>
    <w:rsid w:val="00282848"/>
    <w:rsid w:val="002832A0"/>
    <w:rsid w:val="0028332A"/>
    <w:rsid w:val="00283691"/>
    <w:rsid w:val="00284E00"/>
    <w:rsid w:val="00285296"/>
    <w:rsid w:val="00285709"/>
    <w:rsid w:val="0028607B"/>
    <w:rsid w:val="0028704E"/>
    <w:rsid w:val="0028774D"/>
    <w:rsid w:val="00287C5B"/>
    <w:rsid w:val="0029357E"/>
    <w:rsid w:val="00293BE5"/>
    <w:rsid w:val="0029469D"/>
    <w:rsid w:val="00294B94"/>
    <w:rsid w:val="00294F65"/>
    <w:rsid w:val="002959A4"/>
    <w:rsid w:val="00295BFC"/>
    <w:rsid w:val="002965CF"/>
    <w:rsid w:val="00296731"/>
    <w:rsid w:val="00297DD2"/>
    <w:rsid w:val="002A1E02"/>
    <w:rsid w:val="002A1EFC"/>
    <w:rsid w:val="002A20E2"/>
    <w:rsid w:val="002A2178"/>
    <w:rsid w:val="002A21CE"/>
    <w:rsid w:val="002A3AC2"/>
    <w:rsid w:val="002A4611"/>
    <w:rsid w:val="002A4889"/>
    <w:rsid w:val="002A495A"/>
    <w:rsid w:val="002A6F7D"/>
    <w:rsid w:val="002B0FEE"/>
    <w:rsid w:val="002B2D05"/>
    <w:rsid w:val="002B3A95"/>
    <w:rsid w:val="002B3CC6"/>
    <w:rsid w:val="002B4774"/>
    <w:rsid w:val="002B4D4C"/>
    <w:rsid w:val="002B5864"/>
    <w:rsid w:val="002B59B7"/>
    <w:rsid w:val="002B5BD3"/>
    <w:rsid w:val="002B5D78"/>
    <w:rsid w:val="002B6858"/>
    <w:rsid w:val="002B6A76"/>
    <w:rsid w:val="002B79D3"/>
    <w:rsid w:val="002C1AA5"/>
    <w:rsid w:val="002C1C6B"/>
    <w:rsid w:val="002C2699"/>
    <w:rsid w:val="002C2FAA"/>
    <w:rsid w:val="002C65F4"/>
    <w:rsid w:val="002D0779"/>
    <w:rsid w:val="002D22B7"/>
    <w:rsid w:val="002D2976"/>
    <w:rsid w:val="002D329B"/>
    <w:rsid w:val="002D358F"/>
    <w:rsid w:val="002D3F97"/>
    <w:rsid w:val="002D4000"/>
    <w:rsid w:val="002D4548"/>
    <w:rsid w:val="002D4F78"/>
    <w:rsid w:val="002D5A95"/>
    <w:rsid w:val="002D6D71"/>
    <w:rsid w:val="002E0048"/>
    <w:rsid w:val="002E08B7"/>
    <w:rsid w:val="002E0DF1"/>
    <w:rsid w:val="002E1F74"/>
    <w:rsid w:val="002E25D1"/>
    <w:rsid w:val="002E2A55"/>
    <w:rsid w:val="002E3821"/>
    <w:rsid w:val="002E4B33"/>
    <w:rsid w:val="002E4C04"/>
    <w:rsid w:val="002E536A"/>
    <w:rsid w:val="002E5D0E"/>
    <w:rsid w:val="002E7045"/>
    <w:rsid w:val="002E72B8"/>
    <w:rsid w:val="002F072D"/>
    <w:rsid w:val="002F16A1"/>
    <w:rsid w:val="002F19F1"/>
    <w:rsid w:val="002F1CFA"/>
    <w:rsid w:val="002F23EE"/>
    <w:rsid w:val="002F3317"/>
    <w:rsid w:val="002F34D1"/>
    <w:rsid w:val="002F3F1B"/>
    <w:rsid w:val="002F5740"/>
    <w:rsid w:val="002F598D"/>
    <w:rsid w:val="003021FB"/>
    <w:rsid w:val="00303915"/>
    <w:rsid w:val="00304FD2"/>
    <w:rsid w:val="00305132"/>
    <w:rsid w:val="0030523B"/>
    <w:rsid w:val="003056A9"/>
    <w:rsid w:val="003058EE"/>
    <w:rsid w:val="00306ADA"/>
    <w:rsid w:val="00310FDD"/>
    <w:rsid w:val="0031173C"/>
    <w:rsid w:val="003119BE"/>
    <w:rsid w:val="00311BF6"/>
    <w:rsid w:val="00311DD4"/>
    <w:rsid w:val="00312191"/>
    <w:rsid w:val="0031256E"/>
    <w:rsid w:val="00313E83"/>
    <w:rsid w:val="00314AC8"/>
    <w:rsid w:val="00315BC4"/>
    <w:rsid w:val="00316408"/>
    <w:rsid w:val="00317418"/>
    <w:rsid w:val="0031769F"/>
    <w:rsid w:val="003179AA"/>
    <w:rsid w:val="0032048E"/>
    <w:rsid w:val="00320CB7"/>
    <w:rsid w:val="00320DAF"/>
    <w:rsid w:val="00321DD8"/>
    <w:rsid w:val="003236DA"/>
    <w:rsid w:val="0032394D"/>
    <w:rsid w:val="00323AB7"/>
    <w:rsid w:val="00323F8C"/>
    <w:rsid w:val="00324391"/>
    <w:rsid w:val="00324A9E"/>
    <w:rsid w:val="00325247"/>
    <w:rsid w:val="00325514"/>
    <w:rsid w:val="00325A26"/>
    <w:rsid w:val="00327221"/>
    <w:rsid w:val="0032789E"/>
    <w:rsid w:val="00327DB7"/>
    <w:rsid w:val="00327E8D"/>
    <w:rsid w:val="003310B8"/>
    <w:rsid w:val="003319C7"/>
    <w:rsid w:val="0033519F"/>
    <w:rsid w:val="003352A7"/>
    <w:rsid w:val="00335C0B"/>
    <w:rsid w:val="00335E53"/>
    <w:rsid w:val="00336DC4"/>
    <w:rsid w:val="003370C5"/>
    <w:rsid w:val="0034044C"/>
    <w:rsid w:val="00340743"/>
    <w:rsid w:val="00342597"/>
    <w:rsid w:val="00343910"/>
    <w:rsid w:val="003447AF"/>
    <w:rsid w:val="00345881"/>
    <w:rsid w:val="00345F9B"/>
    <w:rsid w:val="00347540"/>
    <w:rsid w:val="00347F8D"/>
    <w:rsid w:val="00347FB3"/>
    <w:rsid w:val="003501A5"/>
    <w:rsid w:val="00350279"/>
    <w:rsid w:val="0035095F"/>
    <w:rsid w:val="003512A7"/>
    <w:rsid w:val="003529C4"/>
    <w:rsid w:val="00352D71"/>
    <w:rsid w:val="00353A85"/>
    <w:rsid w:val="00354465"/>
    <w:rsid w:val="003544ED"/>
    <w:rsid w:val="003554D0"/>
    <w:rsid w:val="00356492"/>
    <w:rsid w:val="00356B67"/>
    <w:rsid w:val="00356FC9"/>
    <w:rsid w:val="0036061D"/>
    <w:rsid w:val="003608A1"/>
    <w:rsid w:val="00360E23"/>
    <w:rsid w:val="0036112B"/>
    <w:rsid w:val="00361E65"/>
    <w:rsid w:val="00363027"/>
    <w:rsid w:val="003639A0"/>
    <w:rsid w:val="00365622"/>
    <w:rsid w:val="00366017"/>
    <w:rsid w:val="0036623A"/>
    <w:rsid w:val="00367420"/>
    <w:rsid w:val="003678A1"/>
    <w:rsid w:val="00367EC3"/>
    <w:rsid w:val="00370AD1"/>
    <w:rsid w:val="00371897"/>
    <w:rsid w:val="00372BA9"/>
    <w:rsid w:val="00372DAE"/>
    <w:rsid w:val="00372F18"/>
    <w:rsid w:val="0037382C"/>
    <w:rsid w:val="00373C4F"/>
    <w:rsid w:val="00375098"/>
    <w:rsid w:val="0037586A"/>
    <w:rsid w:val="00375B04"/>
    <w:rsid w:val="00375E53"/>
    <w:rsid w:val="003760EB"/>
    <w:rsid w:val="0037644D"/>
    <w:rsid w:val="00376518"/>
    <w:rsid w:val="00380190"/>
    <w:rsid w:val="00380D18"/>
    <w:rsid w:val="003810E6"/>
    <w:rsid w:val="00383215"/>
    <w:rsid w:val="003840F6"/>
    <w:rsid w:val="003845DA"/>
    <w:rsid w:val="00384778"/>
    <w:rsid w:val="00384EFC"/>
    <w:rsid w:val="00385DAF"/>
    <w:rsid w:val="00385E10"/>
    <w:rsid w:val="00385F75"/>
    <w:rsid w:val="00385FD1"/>
    <w:rsid w:val="00387180"/>
    <w:rsid w:val="00390946"/>
    <w:rsid w:val="003932DC"/>
    <w:rsid w:val="00393670"/>
    <w:rsid w:val="00393F64"/>
    <w:rsid w:val="00394895"/>
    <w:rsid w:val="00394AEC"/>
    <w:rsid w:val="0039616A"/>
    <w:rsid w:val="00396C13"/>
    <w:rsid w:val="00396E2F"/>
    <w:rsid w:val="00397240"/>
    <w:rsid w:val="00397A6D"/>
    <w:rsid w:val="003A287B"/>
    <w:rsid w:val="003A437B"/>
    <w:rsid w:val="003A76D8"/>
    <w:rsid w:val="003A7945"/>
    <w:rsid w:val="003B08B9"/>
    <w:rsid w:val="003B3F38"/>
    <w:rsid w:val="003B5DF2"/>
    <w:rsid w:val="003B6173"/>
    <w:rsid w:val="003B706B"/>
    <w:rsid w:val="003B74DB"/>
    <w:rsid w:val="003B7FAB"/>
    <w:rsid w:val="003C0CFC"/>
    <w:rsid w:val="003C227D"/>
    <w:rsid w:val="003C29AF"/>
    <w:rsid w:val="003C35EA"/>
    <w:rsid w:val="003C3E1E"/>
    <w:rsid w:val="003C4FAB"/>
    <w:rsid w:val="003C630E"/>
    <w:rsid w:val="003C64F1"/>
    <w:rsid w:val="003C68EF"/>
    <w:rsid w:val="003C6A39"/>
    <w:rsid w:val="003C7822"/>
    <w:rsid w:val="003D2BBD"/>
    <w:rsid w:val="003D4BAF"/>
    <w:rsid w:val="003D7451"/>
    <w:rsid w:val="003D7915"/>
    <w:rsid w:val="003E2809"/>
    <w:rsid w:val="003E3045"/>
    <w:rsid w:val="003E3990"/>
    <w:rsid w:val="003E3BD6"/>
    <w:rsid w:val="003E41D7"/>
    <w:rsid w:val="003E459E"/>
    <w:rsid w:val="003E5443"/>
    <w:rsid w:val="003E5B02"/>
    <w:rsid w:val="003E7926"/>
    <w:rsid w:val="003E7D3C"/>
    <w:rsid w:val="003F01CF"/>
    <w:rsid w:val="003F0400"/>
    <w:rsid w:val="003F0519"/>
    <w:rsid w:val="003F1099"/>
    <w:rsid w:val="003F1728"/>
    <w:rsid w:val="003F1EBE"/>
    <w:rsid w:val="003F281A"/>
    <w:rsid w:val="003F2A48"/>
    <w:rsid w:val="003F2A57"/>
    <w:rsid w:val="003F2AB4"/>
    <w:rsid w:val="003F3F48"/>
    <w:rsid w:val="003F40D4"/>
    <w:rsid w:val="003F53ED"/>
    <w:rsid w:val="003F6C33"/>
    <w:rsid w:val="003F6E64"/>
    <w:rsid w:val="003F6FD7"/>
    <w:rsid w:val="00400CE1"/>
    <w:rsid w:val="00401798"/>
    <w:rsid w:val="0040205F"/>
    <w:rsid w:val="0040213F"/>
    <w:rsid w:val="00403B0C"/>
    <w:rsid w:val="00403EB5"/>
    <w:rsid w:val="0040609C"/>
    <w:rsid w:val="00406C52"/>
    <w:rsid w:val="00407224"/>
    <w:rsid w:val="00407FB5"/>
    <w:rsid w:val="0041030E"/>
    <w:rsid w:val="004106D2"/>
    <w:rsid w:val="00410E6C"/>
    <w:rsid w:val="004120AA"/>
    <w:rsid w:val="00412247"/>
    <w:rsid w:val="004122E1"/>
    <w:rsid w:val="00412338"/>
    <w:rsid w:val="00412F42"/>
    <w:rsid w:val="00413981"/>
    <w:rsid w:val="00416422"/>
    <w:rsid w:val="004166E9"/>
    <w:rsid w:val="00416968"/>
    <w:rsid w:val="00416C97"/>
    <w:rsid w:val="004173A1"/>
    <w:rsid w:val="00420487"/>
    <w:rsid w:val="00420895"/>
    <w:rsid w:val="004225BE"/>
    <w:rsid w:val="00423143"/>
    <w:rsid w:val="00425AEB"/>
    <w:rsid w:val="00425DA1"/>
    <w:rsid w:val="00425FA3"/>
    <w:rsid w:val="0042640D"/>
    <w:rsid w:val="00427B6E"/>
    <w:rsid w:val="00427F9D"/>
    <w:rsid w:val="00430468"/>
    <w:rsid w:val="00430C17"/>
    <w:rsid w:val="00432055"/>
    <w:rsid w:val="00433481"/>
    <w:rsid w:val="00433BF4"/>
    <w:rsid w:val="00434F57"/>
    <w:rsid w:val="004351E1"/>
    <w:rsid w:val="00436E47"/>
    <w:rsid w:val="00437451"/>
    <w:rsid w:val="00441581"/>
    <w:rsid w:val="00442834"/>
    <w:rsid w:val="00442AF3"/>
    <w:rsid w:val="004439B1"/>
    <w:rsid w:val="00443B22"/>
    <w:rsid w:val="0044410D"/>
    <w:rsid w:val="004441B0"/>
    <w:rsid w:val="0044510C"/>
    <w:rsid w:val="00445679"/>
    <w:rsid w:val="00446208"/>
    <w:rsid w:val="00447C7C"/>
    <w:rsid w:val="00450ACE"/>
    <w:rsid w:val="00452F93"/>
    <w:rsid w:val="00454B70"/>
    <w:rsid w:val="0045505A"/>
    <w:rsid w:val="004550D9"/>
    <w:rsid w:val="00456153"/>
    <w:rsid w:val="00457B4A"/>
    <w:rsid w:val="0046171B"/>
    <w:rsid w:val="00462365"/>
    <w:rsid w:val="00462BAA"/>
    <w:rsid w:val="0046312F"/>
    <w:rsid w:val="0046361A"/>
    <w:rsid w:val="00463EE4"/>
    <w:rsid w:val="00464405"/>
    <w:rsid w:val="004647D4"/>
    <w:rsid w:val="00464B57"/>
    <w:rsid w:val="00466A4B"/>
    <w:rsid w:val="00471269"/>
    <w:rsid w:val="00471410"/>
    <w:rsid w:val="00472C75"/>
    <w:rsid w:val="00472C98"/>
    <w:rsid w:val="00475FD4"/>
    <w:rsid w:val="0047631C"/>
    <w:rsid w:val="004763C0"/>
    <w:rsid w:val="00476DF7"/>
    <w:rsid w:val="004773AD"/>
    <w:rsid w:val="00481474"/>
    <w:rsid w:val="00483459"/>
    <w:rsid w:val="00483732"/>
    <w:rsid w:val="00484643"/>
    <w:rsid w:val="0048554A"/>
    <w:rsid w:val="00485885"/>
    <w:rsid w:val="00485AA9"/>
    <w:rsid w:val="00485D7D"/>
    <w:rsid w:val="0048627C"/>
    <w:rsid w:val="004909EB"/>
    <w:rsid w:val="00491F6D"/>
    <w:rsid w:val="00492B80"/>
    <w:rsid w:val="00493D9D"/>
    <w:rsid w:val="00495D76"/>
    <w:rsid w:val="0049603A"/>
    <w:rsid w:val="004964F1"/>
    <w:rsid w:val="00496E3E"/>
    <w:rsid w:val="00497534"/>
    <w:rsid w:val="004977D5"/>
    <w:rsid w:val="004A0338"/>
    <w:rsid w:val="004A07D0"/>
    <w:rsid w:val="004A0976"/>
    <w:rsid w:val="004A1497"/>
    <w:rsid w:val="004A276F"/>
    <w:rsid w:val="004A59F2"/>
    <w:rsid w:val="004A5E80"/>
    <w:rsid w:val="004A6AE6"/>
    <w:rsid w:val="004A6BED"/>
    <w:rsid w:val="004A7E68"/>
    <w:rsid w:val="004B0073"/>
    <w:rsid w:val="004B0168"/>
    <w:rsid w:val="004B0712"/>
    <w:rsid w:val="004B0C71"/>
    <w:rsid w:val="004B101B"/>
    <w:rsid w:val="004B1910"/>
    <w:rsid w:val="004B2B51"/>
    <w:rsid w:val="004B42C2"/>
    <w:rsid w:val="004B439C"/>
    <w:rsid w:val="004B43CB"/>
    <w:rsid w:val="004B4E77"/>
    <w:rsid w:val="004B5995"/>
    <w:rsid w:val="004B5E74"/>
    <w:rsid w:val="004B662F"/>
    <w:rsid w:val="004B7079"/>
    <w:rsid w:val="004B770B"/>
    <w:rsid w:val="004C1A4F"/>
    <w:rsid w:val="004C3620"/>
    <w:rsid w:val="004C3EBC"/>
    <w:rsid w:val="004C48B6"/>
    <w:rsid w:val="004C6858"/>
    <w:rsid w:val="004D0167"/>
    <w:rsid w:val="004D0C6A"/>
    <w:rsid w:val="004D1BAD"/>
    <w:rsid w:val="004D2D9B"/>
    <w:rsid w:val="004D3F03"/>
    <w:rsid w:val="004D47EC"/>
    <w:rsid w:val="004D48E3"/>
    <w:rsid w:val="004D552E"/>
    <w:rsid w:val="004D5916"/>
    <w:rsid w:val="004D755F"/>
    <w:rsid w:val="004D7949"/>
    <w:rsid w:val="004D7FD9"/>
    <w:rsid w:val="004E3D57"/>
    <w:rsid w:val="004E49F2"/>
    <w:rsid w:val="004E5159"/>
    <w:rsid w:val="004E5CEE"/>
    <w:rsid w:val="004E5F7A"/>
    <w:rsid w:val="004E6A7B"/>
    <w:rsid w:val="004E7412"/>
    <w:rsid w:val="004E7D80"/>
    <w:rsid w:val="004F0C18"/>
    <w:rsid w:val="004F0DC8"/>
    <w:rsid w:val="004F1DB1"/>
    <w:rsid w:val="004F536C"/>
    <w:rsid w:val="004F62D2"/>
    <w:rsid w:val="004F67A7"/>
    <w:rsid w:val="004F6C20"/>
    <w:rsid w:val="00500043"/>
    <w:rsid w:val="0050015A"/>
    <w:rsid w:val="00500973"/>
    <w:rsid w:val="0050153F"/>
    <w:rsid w:val="00501ECA"/>
    <w:rsid w:val="00502BA6"/>
    <w:rsid w:val="00503604"/>
    <w:rsid w:val="00503A53"/>
    <w:rsid w:val="0050482E"/>
    <w:rsid w:val="00504A6E"/>
    <w:rsid w:val="00505A1F"/>
    <w:rsid w:val="005076F0"/>
    <w:rsid w:val="00507A72"/>
    <w:rsid w:val="005121C4"/>
    <w:rsid w:val="00513067"/>
    <w:rsid w:val="00513EAC"/>
    <w:rsid w:val="00514509"/>
    <w:rsid w:val="0051528A"/>
    <w:rsid w:val="00516120"/>
    <w:rsid w:val="005169DE"/>
    <w:rsid w:val="005175D2"/>
    <w:rsid w:val="00520B77"/>
    <w:rsid w:val="00521025"/>
    <w:rsid w:val="005214C4"/>
    <w:rsid w:val="00521873"/>
    <w:rsid w:val="00522083"/>
    <w:rsid w:val="00522746"/>
    <w:rsid w:val="00522C08"/>
    <w:rsid w:val="0052379D"/>
    <w:rsid w:val="00524B82"/>
    <w:rsid w:val="005264E4"/>
    <w:rsid w:val="00526587"/>
    <w:rsid w:val="00527673"/>
    <w:rsid w:val="005308CA"/>
    <w:rsid w:val="00530B78"/>
    <w:rsid w:val="00531096"/>
    <w:rsid w:val="00531215"/>
    <w:rsid w:val="00532510"/>
    <w:rsid w:val="005331FA"/>
    <w:rsid w:val="005343DF"/>
    <w:rsid w:val="00534ADB"/>
    <w:rsid w:val="005352C0"/>
    <w:rsid w:val="00535E07"/>
    <w:rsid w:val="00536EFB"/>
    <w:rsid w:val="00537AE5"/>
    <w:rsid w:val="00537B58"/>
    <w:rsid w:val="0054054F"/>
    <w:rsid w:val="005405A3"/>
    <w:rsid w:val="005413AB"/>
    <w:rsid w:val="005425CB"/>
    <w:rsid w:val="00542A11"/>
    <w:rsid w:val="0054312E"/>
    <w:rsid w:val="005438D4"/>
    <w:rsid w:val="00543A49"/>
    <w:rsid w:val="00544608"/>
    <w:rsid w:val="00544A7A"/>
    <w:rsid w:val="00544F7C"/>
    <w:rsid w:val="00545BB6"/>
    <w:rsid w:val="0054654B"/>
    <w:rsid w:val="00546614"/>
    <w:rsid w:val="00550A50"/>
    <w:rsid w:val="005520CD"/>
    <w:rsid w:val="0055273C"/>
    <w:rsid w:val="0055275B"/>
    <w:rsid w:val="005532C4"/>
    <w:rsid w:val="00553327"/>
    <w:rsid w:val="0055713D"/>
    <w:rsid w:val="00560390"/>
    <w:rsid w:val="00560ADF"/>
    <w:rsid w:val="00560B77"/>
    <w:rsid w:val="005611CA"/>
    <w:rsid w:val="00561960"/>
    <w:rsid w:val="00561CF6"/>
    <w:rsid w:val="005626CB"/>
    <w:rsid w:val="0056306E"/>
    <w:rsid w:val="00564AD2"/>
    <w:rsid w:val="00564C2C"/>
    <w:rsid w:val="0056611A"/>
    <w:rsid w:val="0056702F"/>
    <w:rsid w:val="00570658"/>
    <w:rsid w:val="00570C67"/>
    <w:rsid w:val="00571D26"/>
    <w:rsid w:val="00572A14"/>
    <w:rsid w:val="0057338F"/>
    <w:rsid w:val="0057394F"/>
    <w:rsid w:val="00573ADD"/>
    <w:rsid w:val="00574B9C"/>
    <w:rsid w:val="005757FB"/>
    <w:rsid w:val="00576BC0"/>
    <w:rsid w:val="00577884"/>
    <w:rsid w:val="00580911"/>
    <w:rsid w:val="00581C2C"/>
    <w:rsid w:val="00582738"/>
    <w:rsid w:val="0058320C"/>
    <w:rsid w:val="00585B9A"/>
    <w:rsid w:val="00586FE2"/>
    <w:rsid w:val="00587DC6"/>
    <w:rsid w:val="00590EF9"/>
    <w:rsid w:val="00591A34"/>
    <w:rsid w:val="0059363C"/>
    <w:rsid w:val="00593E09"/>
    <w:rsid w:val="00594A8C"/>
    <w:rsid w:val="00596C02"/>
    <w:rsid w:val="005979B4"/>
    <w:rsid w:val="005A0AE3"/>
    <w:rsid w:val="005A1623"/>
    <w:rsid w:val="005A1645"/>
    <w:rsid w:val="005A2872"/>
    <w:rsid w:val="005A292E"/>
    <w:rsid w:val="005A2D66"/>
    <w:rsid w:val="005A572D"/>
    <w:rsid w:val="005A63F9"/>
    <w:rsid w:val="005B019A"/>
    <w:rsid w:val="005B140C"/>
    <w:rsid w:val="005B2007"/>
    <w:rsid w:val="005B273F"/>
    <w:rsid w:val="005B2A4B"/>
    <w:rsid w:val="005B2AC1"/>
    <w:rsid w:val="005B368A"/>
    <w:rsid w:val="005B4AC2"/>
    <w:rsid w:val="005B4F58"/>
    <w:rsid w:val="005B4F6D"/>
    <w:rsid w:val="005B7D97"/>
    <w:rsid w:val="005C055C"/>
    <w:rsid w:val="005C0DC8"/>
    <w:rsid w:val="005C1A29"/>
    <w:rsid w:val="005C1A97"/>
    <w:rsid w:val="005C1E27"/>
    <w:rsid w:val="005C1E9A"/>
    <w:rsid w:val="005C24F6"/>
    <w:rsid w:val="005C3DC7"/>
    <w:rsid w:val="005C6207"/>
    <w:rsid w:val="005C6BDE"/>
    <w:rsid w:val="005C779E"/>
    <w:rsid w:val="005D03F4"/>
    <w:rsid w:val="005D17E2"/>
    <w:rsid w:val="005D2D99"/>
    <w:rsid w:val="005D2E5A"/>
    <w:rsid w:val="005D3C7C"/>
    <w:rsid w:val="005D3C81"/>
    <w:rsid w:val="005D5DB4"/>
    <w:rsid w:val="005D5E36"/>
    <w:rsid w:val="005D7522"/>
    <w:rsid w:val="005D76A9"/>
    <w:rsid w:val="005E22EC"/>
    <w:rsid w:val="005E22FF"/>
    <w:rsid w:val="005E2D14"/>
    <w:rsid w:val="005E318B"/>
    <w:rsid w:val="005E3659"/>
    <w:rsid w:val="005E3C72"/>
    <w:rsid w:val="005E5269"/>
    <w:rsid w:val="005E6CAB"/>
    <w:rsid w:val="005F163C"/>
    <w:rsid w:val="005F1F4D"/>
    <w:rsid w:val="005F20B3"/>
    <w:rsid w:val="005F2360"/>
    <w:rsid w:val="005F2DF9"/>
    <w:rsid w:val="005F34AB"/>
    <w:rsid w:val="005F4834"/>
    <w:rsid w:val="005F508C"/>
    <w:rsid w:val="005F68C3"/>
    <w:rsid w:val="005F7312"/>
    <w:rsid w:val="005F7585"/>
    <w:rsid w:val="0060127C"/>
    <w:rsid w:val="006025C3"/>
    <w:rsid w:val="00602C4F"/>
    <w:rsid w:val="006040AC"/>
    <w:rsid w:val="006040AD"/>
    <w:rsid w:val="006046AC"/>
    <w:rsid w:val="00605420"/>
    <w:rsid w:val="0060549D"/>
    <w:rsid w:val="0061033A"/>
    <w:rsid w:val="006120A4"/>
    <w:rsid w:val="00612C06"/>
    <w:rsid w:val="00612F38"/>
    <w:rsid w:val="00613B11"/>
    <w:rsid w:val="00614CE4"/>
    <w:rsid w:val="00614D2E"/>
    <w:rsid w:val="006156F8"/>
    <w:rsid w:val="006158B6"/>
    <w:rsid w:val="0061692C"/>
    <w:rsid w:val="00617AB5"/>
    <w:rsid w:val="006204FA"/>
    <w:rsid w:val="0062058D"/>
    <w:rsid w:val="006206C7"/>
    <w:rsid w:val="006212D8"/>
    <w:rsid w:val="00622CAB"/>
    <w:rsid w:val="0062473D"/>
    <w:rsid w:val="00624FDB"/>
    <w:rsid w:val="006257E0"/>
    <w:rsid w:val="006263A2"/>
    <w:rsid w:val="00626A3A"/>
    <w:rsid w:val="00627040"/>
    <w:rsid w:val="006279C7"/>
    <w:rsid w:val="00627B56"/>
    <w:rsid w:val="006306EF"/>
    <w:rsid w:val="006326F7"/>
    <w:rsid w:val="006341DC"/>
    <w:rsid w:val="006342E3"/>
    <w:rsid w:val="0063498B"/>
    <w:rsid w:val="006350C9"/>
    <w:rsid w:val="00636415"/>
    <w:rsid w:val="00636D1E"/>
    <w:rsid w:val="00640EE1"/>
    <w:rsid w:val="0064108E"/>
    <w:rsid w:val="006412F0"/>
    <w:rsid w:val="00642743"/>
    <w:rsid w:val="00642E8C"/>
    <w:rsid w:val="00643434"/>
    <w:rsid w:val="00643E67"/>
    <w:rsid w:val="00644805"/>
    <w:rsid w:val="00646E26"/>
    <w:rsid w:val="00647732"/>
    <w:rsid w:val="00650BDD"/>
    <w:rsid w:val="006513C5"/>
    <w:rsid w:val="00652856"/>
    <w:rsid w:val="00652BA0"/>
    <w:rsid w:val="00652BB5"/>
    <w:rsid w:val="00652FF3"/>
    <w:rsid w:val="00654840"/>
    <w:rsid w:val="00654E91"/>
    <w:rsid w:val="00656C56"/>
    <w:rsid w:val="006570AF"/>
    <w:rsid w:val="006573B4"/>
    <w:rsid w:val="00657ADB"/>
    <w:rsid w:val="00660FFC"/>
    <w:rsid w:val="00664539"/>
    <w:rsid w:val="00664EE0"/>
    <w:rsid w:val="00665AAA"/>
    <w:rsid w:val="00666D9D"/>
    <w:rsid w:val="00667831"/>
    <w:rsid w:val="00667B03"/>
    <w:rsid w:val="0067038D"/>
    <w:rsid w:val="006704B8"/>
    <w:rsid w:val="00671B4B"/>
    <w:rsid w:val="00672911"/>
    <w:rsid w:val="00672B53"/>
    <w:rsid w:val="00673829"/>
    <w:rsid w:val="006739F5"/>
    <w:rsid w:val="006766AB"/>
    <w:rsid w:val="00676BEA"/>
    <w:rsid w:val="00680126"/>
    <w:rsid w:val="00681C70"/>
    <w:rsid w:val="00684853"/>
    <w:rsid w:val="006849B4"/>
    <w:rsid w:val="00685701"/>
    <w:rsid w:val="00687209"/>
    <w:rsid w:val="006907A1"/>
    <w:rsid w:val="00690B42"/>
    <w:rsid w:val="00691EE9"/>
    <w:rsid w:val="00692039"/>
    <w:rsid w:val="006941B7"/>
    <w:rsid w:val="00695A17"/>
    <w:rsid w:val="00695B0B"/>
    <w:rsid w:val="00696E07"/>
    <w:rsid w:val="00696F0E"/>
    <w:rsid w:val="00697DC5"/>
    <w:rsid w:val="006A02FA"/>
    <w:rsid w:val="006A1683"/>
    <w:rsid w:val="006A1DAA"/>
    <w:rsid w:val="006A24F0"/>
    <w:rsid w:val="006A266C"/>
    <w:rsid w:val="006A2E0D"/>
    <w:rsid w:val="006A31FC"/>
    <w:rsid w:val="006A38A9"/>
    <w:rsid w:val="006A6F32"/>
    <w:rsid w:val="006A6FF9"/>
    <w:rsid w:val="006A70D5"/>
    <w:rsid w:val="006A7BC9"/>
    <w:rsid w:val="006B0231"/>
    <w:rsid w:val="006B131A"/>
    <w:rsid w:val="006B2374"/>
    <w:rsid w:val="006B3864"/>
    <w:rsid w:val="006B3C66"/>
    <w:rsid w:val="006B3E1A"/>
    <w:rsid w:val="006B3EC7"/>
    <w:rsid w:val="006B474C"/>
    <w:rsid w:val="006B4964"/>
    <w:rsid w:val="006B5AE5"/>
    <w:rsid w:val="006B5FD5"/>
    <w:rsid w:val="006B6A25"/>
    <w:rsid w:val="006C0032"/>
    <w:rsid w:val="006C00B8"/>
    <w:rsid w:val="006C0787"/>
    <w:rsid w:val="006C085C"/>
    <w:rsid w:val="006C0BE2"/>
    <w:rsid w:val="006C2712"/>
    <w:rsid w:val="006C2F00"/>
    <w:rsid w:val="006C501F"/>
    <w:rsid w:val="006C621A"/>
    <w:rsid w:val="006C6B33"/>
    <w:rsid w:val="006D0351"/>
    <w:rsid w:val="006D0B65"/>
    <w:rsid w:val="006D1668"/>
    <w:rsid w:val="006D1C68"/>
    <w:rsid w:val="006D2158"/>
    <w:rsid w:val="006D27D2"/>
    <w:rsid w:val="006D39E4"/>
    <w:rsid w:val="006D41DF"/>
    <w:rsid w:val="006D57FA"/>
    <w:rsid w:val="006D6ED8"/>
    <w:rsid w:val="006E12C2"/>
    <w:rsid w:val="006E1790"/>
    <w:rsid w:val="006E3475"/>
    <w:rsid w:val="006E3EA5"/>
    <w:rsid w:val="006E51E3"/>
    <w:rsid w:val="006E59E7"/>
    <w:rsid w:val="006E5B9B"/>
    <w:rsid w:val="006E5F42"/>
    <w:rsid w:val="006E6DD1"/>
    <w:rsid w:val="006E6FB7"/>
    <w:rsid w:val="006E789E"/>
    <w:rsid w:val="006F1CF8"/>
    <w:rsid w:val="006F3080"/>
    <w:rsid w:val="006F5029"/>
    <w:rsid w:val="006F5997"/>
    <w:rsid w:val="006F5D9A"/>
    <w:rsid w:val="006F5F27"/>
    <w:rsid w:val="006F63CD"/>
    <w:rsid w:val="006F779C"/>
    <w:rsid w:val="006F7AAC"/>
    <w:rsid w:val="00701898"/>
    <w:rsid w:val="00702372"/>
    <w:rsid w:val="0070358B"/>
    <w:rsid w:val="00703697"/>
    <w:rsid w:val="007049B7"/>
    <w:rsid w:val="007049D7"/>
    <w:rsid w:val="0070545E"/>
    <w:rsid w:val="0070563A"/>
    <w:rsid w:val="00706094"/>
    <w:rsid w:val="007062F4"/>
    <w:rsid w:val="007066D4"/>
    <w:rsid w:val="00706C32"/>
    <w:rsid w:val="00706E5E"/>
    <w:rsid w:val="007100D3"/>
    <w:rsid w:val="00710822"/>
    <w:rsid w:val="00711E47"/>
    <w:rsid w:val="00712CD6"/>
    <w:rsid w:val="00712E04"/>
    <w:rsid w:val="0071332A"/>
    <w:rsid w:val="00713705"/>
    <w:rsid w:val="00713794"/>
    <w:rsid w:val="00713C4C"/>
    <w:rsid w:val="00714392"/>
    <w:rsid w:val="007150AD"/>
    <w:rsid w:val="007160C9"/>
    <w:rsid w:val="007168AC"/>
    <w:rsid w:val="00717552"/>
    <w:rsid w:val="007175F3"/>
    <w:rsid w:val="007211F5"/>
    <w:rsid w:val="00721DF8"/>
    <w:rsid w:val="00721E30"/>
    <w:rsid w:val="007223D2"/>
    <w:rsid w:val="00722B4A"/>
    <w:rsid w:val="00723644"/>
    <w:rsid w:val="00724092"/>
    <w:rsid w:val="00724B8E"/>
    <w:rsid w:val="00725416"/>
    <w:rsid w:val="00725C95"/>
    <w:rsid w:val="007267E3"/>
    <w:rsid w:val="0072774B"/>
    <w:rsid w:val="007300C4"/>
    <w:rsid w:val="007304CB"/>
    <w:rsid w:val="0073095C"/>
    <w:rsid w:val="00730E58"/>
    <w:rsid w:val="0073210A"/>
    <w:rsid w:val="007326A8"/>
    <w:rsid w:val="007339AC"/>
    <w:rsid w:val="00733C7D"/>
    <w:rsid w:val="00733E8B"/>
    <w:rsid w:val="007344AF"/>
    <w:rsid w:val="00734EA4"/>
    <w:rsid w:val="0073544D"/>
    <w:rsid w:val="0073555F"/>
    <w:rsid w:val="00735D34"/>
    <w:rsid w:val="00736875"/>
    <w:rsid w:val="00740E42"/>
    <w:rsid w:val="00741D99"/>
    <w:rsid w:val="00741FC2"/>
    <w:rsid w:val="00742A14"/>
    <w:rsid w:val="00743756"/>
    <w:rsid w:val="00743A22"/>
    <w:rsid w:val="00744B06"/>
    <w:rsid w:val="00744F1A"/>
    <w:rsid w:val="007454C7"/>
    <w:rsid w:val="007466F1"/>
    <w:rsid w:val="00746CFA"/>
    <w:rsid w:val="00747DD9"/>
    <w:rsid w:val="00747F62"/>
    <w:rsid w:val="00753326"/>
    <w:rsid w:val="00753587"/>
    <w:rsid w:val="00753843"/>
    <w:rsid w:val="00753C94"/>
    <w:rsid w:val="0075413C"/>
    <w:rsid w:val="00754218"/>
    <w:rsid w:val="007542FA"/>
    <w:rsid w:val="0075430A"/>
    <w:rsid w:val="00754EA9"/>
    <w:rsid w:val="0075522D"/>
    <w:rsid w:val="007572F4"/>
    <w:rsid w:val="00761074"/>
    <w:rsid w:val="00762182"/>
    <w:rsid w:val="00763667"/>
    <w:rsid w:val="00764452"/>
    <w:rsid w:val="00764AAA"/>
    <w:rsid w:val="00764E1D"/>
    <w:rsid w:val="00766261"/>
    <w:rsid w:val="00766849"/>
    <w:rsid w:val="00766BAC"/>
    <w:rsid w:val="00766C3A"/>
    <w:rsid w:val="00767227"/>
    <w:rsid w:val="0076731B"/>
    <w:rsid w:val="007677A4"/>
    <w:rsid w:val="00770181"/>
    <w:rsid w:val="007708DC"/>
    <w:rsid w:val="00771F04"/>
    <w:rsid w:val="00772AD7"/>
    <w:rsid w:val="007740C1"/>
    <w:rsid w:val="007746B2"/>
    <w:rsid w:val="00775FCB"/>
    <w:rsid w:val="00777344"/>
    <w:rsid w:val="00782200"/>
    <w:rsid w:val="00782CF2"/>
    <w:rsid w:val="00783591"/>
    <w:rsid w:val="007838DA"/>
    <w:rsid w:val="00784160"/>
    <w:rsid w:val="0078584C"/>
    <w:rsid w:val="007859C6"/>
    <w:rsid w:val="00785E27"/>
    <w:rsid w:val="0078620C"/>
    <w:rsid w:val="007878D5"/>
    <w:rsid w:val="007903C6"/>
    <w:rsid w:val="00790D03"/>
    <w:rsid w:val="007924A6"/>
    <w:rsid w:val="007928B6"/>
    <w:rsid w:val="00794052"/>
    <w:rsid w:val="00794288"/>
    <w:rsid w:val="00794ABA"/>
    <w:rsid w:val="00795867"/>
    <w:rsid w:val="00796014"/>
    <w:rsid w:val="007969D6"/>
    <w:rsid w:val="007975B5"/>
    <w:rsid w:val="007A0261"/>
    <w:rsid w:val="007A0AA2"/>
    <w:rsid w:val="007A0BF4"/>
    <w:rsid w:val="007A15E8"/>
    <w:rsid w:val="007A1FCD"/>
    <w:rsid w:val="007A2E59"/>
    <w:rsid w:val="007A4191"/>
    <w:rsid w:val="007A4E48"/>
    <w:rsid w:val="007A4ED4"/>
    <w:rsid w:val="007A5130"/>
    <w:rsid w:val="007A56AD"/>
    <w:rsid w:val="007A5C55"/>
    <w:rsid w:val="007A65D1"/>
    <w:rsid w:val="007A6AAB"/>
    <w:rsid w:val="007A7493"/>
    <w:rsid w:val="007B0BCE"/>
    <w:rsid w:val="007B2A67"/>
    <w:rsid w:val="007B2FFF"/>
    <w:rsid w:val="007B3158"/>
    <w:rsid w:val="007B408D"/>
    <w:rsid w:val="007B40D3"/>
    <w:rsid w:val="007B5DEA"/>
    <w:rsid w:val="007B6110"/>
    <w:rsid w:val="007B66D9"/>
    <w:rsid w:val="007B680B"/>
    <w:rsid w:val="007B6DCD"/>
    <w:rsid w:val="007B78E6"/>
    <w:rsid w:val="007B79E1"/>
    <w:rsid w:val="007C0652"/>
    <w:rsid w:val="007C1BC7"/>
    <w:rsid w:val="007C2E6C"/>
    <w:rsid w:val="007C3657"/>
    <w:rsid w:val="007C3FBD"/>
    <w:rsid w:val="007C4005"/>
    <w:rsid w:val="007C4096"/>
    <w:rsid w:val="007C45A4"/>
    <w:rsid w:val="007C51D1"/>
    <w:rsid w:val="007C6584"/>
    <w:rsid w:val="007C73A7"/>
    <w:rsid w:val="007D0223"/>
    <w:rsid w:val="007D2185"/>
    <w:rsid w:val="007D3CED"/>
    <w:rsid w:val="007D3EBB"/>
    <w:rsid w:val="007D45E4"/>
    <w:rsid w:val="007D6187"/>
    <w:rsid w:val="007D629E"/>
    <w:rsid w:val="007D7149"/>
    <w:rsid w:val="007D7B5D"/>
    <w:rsid w:val="007E0741"/>
    <w:rsid w:val="007E0972"/>
    <w:rsid w:val="007E1070"/>
    <w:rsid w:val="007E260D"/>
    <w:rsid w:val="007E32BD"/>
    <w:rsid w:val="007E394A"/>
    <w:rsid w:val="007E3C9D"/>
    <w:rsid w:val="007E4B00"/>
    <w:rsid w:val="007E56D3"/>
    <w:rsid w:val="007E634C"/>
    <w:rsid w:val="007E662A"/>
    <w:rsid w:val="007E7605"/>
    <w:rsid w:val="007E7E33"/>
    <w:rsid w:val="007F05C9"/>
    <w:rsid w:val="007F0783"/>
    <w:rsid w:val="007F14DD"/>
    <w:rsid w:val="007F1FBD"/>
    <w:rsid w:val="007F2B83"/>
    <w:rsid w:val="007F3527"/>
    <w:rsid w:val="007F35FA"/>
    <w:rsid w:val="007F37C7"/>
    <w:rsid w:val="007F4013"/>
    <w:rsid w:val="007F40A1"/>
    <w:rsid w:val="007F48CE"/>
    <w:rsid w:val="007F536A"/>
    <w:rsid w:val="007F5BA7"/>
    <w:rsid w:val="007F5C29"/>
    <w:rsid w:val="007F7B92"/>
    <w:rsid w:val="007F7BC4"/>
    <w:rsid w:val="007F7C1B"/>
    <w:rsid w:val="00800CEE"/>
    <w:rsid w:val="00801284"/>
    <w:rsid w:val="008014B7"/>
    <w:rsid w:val="00801C13"/>
    <w:rsid w:val="00802A02"/>
    <w:rsid w:val="0080317E"/>
    <w:rsid w:val="00803C37"/>
    <w:rsid w:val="00804C8E"/>
    <w:rsid w:val="00805926"/>
    <w:rsid w:val="00806604"/>
    <w:rsid w:val="0080683A"/>
    <w:rsid w:val="0080764B"/>
    <w:rsid w:val="008078DA"/>
    <w:rsid w:val="00812B0B"/>
    <w:rsid w:val="00812E6D"/>
    <w:rsid w:val="0081549E"/>
    <w:rsid w:val="00815FBC"/>
    <w:rsid w:val="00816A77"/>
    <w:rsid w:val="00816D39"/>
    <w:rsid w:val="008170EC"/>
    <w:rsid w:val="00817165"/>
    <w:rsid w:val="008201EC"/>
    <w:rsid w:val="0082056C"/>
    <w:rsid w:val="00821397"/>
    <w:rsid w:val="00821515"/>
    <w:rsid w:val="008216BB"/>
    <w:rsid w:val="00821A80"/>
    <w:rsid w:val="00823C8C"/>
    <w:rsid w:val="00827C55"/>
    <w:rsid w:val="00831D48"/>
    <w:rsid w:val="008328D4"/>
    <w:rsid w:val="00833F05"/>
    <w:rsid w:val="00835132"/>
    <w:rsid w:val="00836262"/>
    <w:rsid w:val="00836A1B"/>
    <w:rsid w:val="00837A9E"/>
    <w:rsid w:val="00837D3B"/>
    <w:rsid w:val="008408CD"/>
    <w:rsid w:val="00840CEE"/>
    <w:rsid w:val="00842A7B"/>
    <w:rsid w:val="008434FD"/>
    <w:rsid w:val="00844082"/>
    <w:rsid w:val="00844096"/>
    <w:rsid w:val="008441BF"/>
    <w:rsid w:val="008442AC"/>
    <w:rsid w:val="00845135"/>
    <w:rsid w:val="0084567B"/>
    <w:rsid w:val="0084620A"/>
    <w:rsid w:val="008479BC"/>
    <w:rsid w:val="00847D94"/>
    <w:rsid w:val="00847E55"/>
    <w:rsid w:val="00850D5E"/>
    <w:rsid w:val="00851C22"/>
    <w:rsid w:val="00852792"/>
    <w:rsid w:val="00852D6B"/>
    <w:rsid w:val="008547AC"/>
    <w:rsid w:val="008558DE"/>
    <w:rsid w:val="00855A89"/>
    <w:rsid w:val="0085662B"/>
    <w:rsid w:val="008566E6"/>
    <w:rsid w:val="008575F6"/>
    <w:rsid w:val="00857FB4"/>
    <w:rsid w:val="008609E0"/>
    <w:rsid w:val="00860C96"/>
    <w:rsid w:val="00861756"/>
    <w:rsid w:val="00861C69"/>
    <w:rsid w:val="00862435"/>
    <w:rsid w:val="0086259B"/>
    <w:rsid w:val="008644D2"/>
    <w:rsid w:val="008649A0"/>
    <w:rsid w:val="008666E1"/>
    <w:rsid w:val="00867D20"/>
    <w:rsid w:val="00867F62"/>
    <w:rsid w:val="00870E21"/>
    <w:rsid w:val="0087281C"/>
    <w:rsid w:val="00872BE0"/>
    <w:rsid w:val="00873238"/>
    <w:rsid w:val="008735EA"/>
    <w:rsid w:val="00874698"/>
    <w:rsid w:val="00874E7B"/>
    <w:rsid w:val="00875103"/>
    <w:rsid w:val="008758FA"/>
    <w:rsid w:val="00876BE4"/>
    <w:rsid w:val="00881A6A"/>
    <w:rsid w:val="00881D0E"/>
    <w:rsid w:val="008824E0"/>
    <w:rsid w:val="008837A6"/>
    <w:rsid w:val="00883C22"/>
    <w:rsid w:val="008850F9"/>
    <w:rsid w:val="00885644"/>
    <w:rsid w:val="008860D1"/>
    <w:rsid w:val="00886B99"/>
    <w:rsid w:val="008874C5"/>
    <w:rsid w:val="008907F0"/>
    <w:rsid w:val="00890940"/>
    <w:rsid w:val="00894532"/>
    <w:rsid w:val="00895577"/>
    <w:rsid w:val="008970A2"/>
    <w:rsid w:val="0089739A"/>
    <w:rsid w:val="008973FE"/>
    <w:rsid w:val="00897C6F"/>
    <w:rsid w:val="008A0CA6"/>
    <w:rsid w:val="008A14E4"/>
    <w:rsid w:val="008A1718"/>
    <w:rsid w:val="008A23C4"/>
    <w:rsid w:val="008A331A"/>
    <w:rsid w:val="008A433A"/>
    <w:rsid w:val="008A6E38"/>
    <w:rsid w:val="008B0537"/>
    <w:rsid w:val="008B095D"/>
    <w:rsid w:val="008B105F"/>
    <w:rsid w:val="008B1B86"/>
    <w:rsid w:val="008B1DEA"/>
    <w:rsid w:val="008B2185"/>
    <w:rsid w:val="008B3103"/>
    <w:rsid w:val="008B47F9"/>
    <w:rsid w:val="008B490E"/>
    <w:rsid w:val="008B68F6"/>
    <w:rsid w:val="008B79F6"/>
    <w:rsid w:val="008B7BA7"/>
    <w:rsid w:val="008C00C0"/>
    <w:rsid w:val="008C0171"/>
    <w:rsid w:val="008C034C"/>
    <w:rsid w:val="008C0CD4"/>
    <w:rsid w:val="008C1BC2"/>
    <w:rsid w:val="008C1C1A"/>
    <w:rsid w:val="008C1DD7"/>
    <w:rsid w:val="008C368B"/>
    <w:rsid w:val="008C3B6C"/>
    <w:rsid w:val="008C6CA5"/>
    <w:rsid w:val="008C7815"/>
    <w:rsid w:val="008C7E32"/>
    <w:rsid w:val="008D09B0"/>
    <w:rsid w:val="008D0CC2"/>
    <w:rsid w:val="008D2F04"/>
    <w:rsid w:val="008D422D"/>
    <w:rsid w:val="008D4627"/>
    <w:rsid w:val="008D4986"/>
    <w:rsid w:val="008D4C7E"/>
    <w:rsid w:val="008D5009"/>
    <w:rsid w:val="008D5188"/>
    <w:rsid w:val="008D598D"/>
    <w:rsid w:val="008D69D7"/>
    <w:rsid w:val="008D73D6"/>
    <w:rsid w:val="008D7A79"/>
    <w:rsid w:val="008D7D44"/>
    <w:rsid w:val="008E1397"/>
    <w:rsid w:val="008E1A04"/>
    <w:rsid w:val="008E3A53"/>
    <w:rsid w:val="008E4252"/>
    <w:rsid w:val="008E5152"/>
    <w:rsid w:val="008E66B7"/>
    <w:rsid w:val="008E6BB3"/>
    <w:rsid w:val="008F0948"/>
    <w:rsid w:val="008F0C82"/>
    <w:rsid w:val="008F1363"/>
    <w:rsid w:val="008F24C9"/>
    <w:rsid w:val="008F26AE"/>
    <w:rsid w:val="008F26B9"/>
    <w:rsid w:val="008F3178"/>
    <w:rsid w:val="008F3A38"/>
    <w:rsid w:val="008F43A7"/>
    <w:rsid w:val="008F49BD"/>
    <w:rsid w:val="008F5425"/>
    <w:rsid w:val="008F5D69"/>
    <w:rsid w:val="008F709F"/>
    <w:rsid w:val="008F721E"/>
    <w:rsid w:val="008F7DC1"/>
    <w:rsid w:val="00900743"/>
    <w:rsid w:val="00901C3D"/>
    <w:rsid w:val="00902708"/>
    <w:rsid w:val="00903F80"/>
    <w:rsid w:val="00905569"/>
    <w:rsid w:val="00910442"/>
    <w:rsid w:val="00910771"/>
    <w:rsid w:val="0091159B"/>
    <w:rsid w:val="00911688"/>
    <w:rsid w:val="00911939"/>
    <w:rsid w:val="0091242D"/>
    <w:rsid w:val="00912D77"/>
    <w:rsid w:val="00914900"/>
    <w:rsid w:val="00915720"/>
    <w:rsid w:val="00915F65"/>
    <w:rsid w:val="009175AA"/>
    <w:rsid w:val="009210C8"/>
    <w:rsid w:val="00921598"/>
    <w:rsid w:val="00921930"/>
    <w:rsid w:val="00922117"/>
    <w:rsid w:val="009237C7"/>
    <w:rsid w:val="00923EAC"/>
    <w:rsid w:val="009251D9"/>
    <w:rsid w:val="009252E4"/>
    <w:rsid w:val="009252F6"/>
    <w:rsid w:val="009255D2"/>
    <w:rsid w:val="00925F24"/>
    <w:rsid w:val="00926003"/>
    <w:rsid w:val="00930E6E"/>
    <w:rsid w:val="009316A2"/>
    <w:rsid w:val="00932708"/>
    <w:rsid w:val="00933969"/>
    <w:rsid w:val="009341EC"/>
    <w:rsid w:val="00935B32"/>
    <w:rsid w:val="009364C6"/>
    <w:rsid w:val="00936552"/>
    <w:rsid w:val="00936672"/>
    <w:rsid w:val="00937C47"/>
    <w:rsid w:val="009415C7"/>
    <w:rsid w:val="0094212F"/>
    <w:rsid w:val="009425AB"/>
    <w:rsid w:val="0094353C"/>
    <w:rsid w:val="00944736"/>
    <w:rsid w:val="00944A1F"/>
    <w:rsid w:val="009470CA"/>
    <w:rsid w:val="009504C2"/>
    <w:rsid w:val="00950C3B"/>
    <w:rsid w:val="009523B8"/>
    <w:rsid w:val="009525FF"/>
    <w:rsid w:val="009526D8"/>
    <w:rsid w:val="0095312E"/>
    <w:rsid w:val="00953B96"/>
    <w:rsid w:val="009564D5"/>
    <w:rsid w:val="00956F0C"/>
    <w:rsid w:val="00957815"/>
    <w:rsid w:val="00957C87"/>
    <w:rsid w:val="00960368"/>
    <w:rsid w:val="00960C38"/>
    <w:rsid w:val="009613FB"/>
    <w:rsid w:val="00962317"/>
    <w:rsid w:val="0096244E"/>
    <w:rsid w:val="009629E3"/>
    <w:rsid w:val="00963134"/>
    <w:rsid w:val="009643FA"/>
    <w:rsid w:val="00964584"/>
    <w:rsid w:val="0096463D"/>
    <w:rsid w:val="00967176"/>
    <w:rsid w:val="00967228"/>
    <w:rsid w:val="00967646"/>
    <w:rsid w:val="00970FBF"/>
    <w:rsid w:val="00971679"/>
    <w:rsid w:val="009722D2"/>
    <w:rsid w:val="00972F42"/>
    <w:rsid w:val="009733BB"/>
    <w:rsid w:val="00974343"/>
    <w:rsid w:val="00974E4E"/>
    <w:rsid w:val="0097522E"/>
    <w:rsid w:val="009755AB"/>
    <w:rsid w:val="00975F9A"/>
    <w:rsid w:val="00976C3A"/>
    <w:rsid w:val="009770E2"/>
    <w:rsid w:val="00977477"/>
    <w:rsid w:val="00980091"/>
    <w:rsid w:val="00980B4E"/>
    <w:rsid w:val="0098168B"/>
    <w:rsid w:val="009827B2"/>
    <w:rsid w:val="009830BF"/>
    <w:rsid w:val="0098348B"/>
    <w:rsid w:val="00984381"/>
    <w:rsid w:val="00985048"/>
    <w:rsid w:val="009855C5"/>
    <w:rsid w:val="0098592B"/>
    <w:rsid w:val="00985E5F"/>
    <w:rsid w:val="00986341"/>
    <w:rsid w:val="00986757"/>
    <w:rsid w:val="00986E14"/>
    <w:rsid w:val="00990A0A"/>
    <w:rsid w:val="00990E35"/>
    <w:rsid w:val="00990F69"/>
    <w:rsid w:val="009916D8"/>
    <w:rsid w:val="00991D37"/>
    <w:rsid w:val="00992ACE"/>
    <w:rsid w:val="009936F7"/>
    <w:rsid w:val="009938E2"/>
    <w:rsid w:val="00994CFC"/>
    <w:rsid w:val="009958AE"/>
    <w:rsid w:val="00995C30"/>
    <w:rsid w:val="00995D31"/>
    <w:rsid w:val="009961FA"/>
    <w:rsid w:val="00996504"/>
    <w:rsid w:val="009973C2"/>
    <w:rsid w:val="00997660"/>
    <w:rsid w:val="009A0E0A"/>
    <w:rsid w:val="009A0E58"/>
    <w:rsid w:val="009A182B"/>
    <w:rsid w:val="009A1B99"/>
    <w:rsid w:val="009A34BF"/>
    <w:rsid w:val="009A3940"/>
    <w:rsid w:val="009A3D44"/>
    <w:rsid w:val="009A686E"/>
    <w:rsid w:val="009B112E"/>
    <w:rsid w:val="009B17A1"/>
    <w:rsid w:val="009B1A73"/>
    <w:rsid w:val="009B31AC"/>
    <w:rsid w:val="009B34A2"/>
    <w:rsid w:val="009B34DD"/>
    <w:rsid w:val="009B368D"/>
    <w:rsid w:val="009B3CBB"/>
    <w:rsid w:val="009B5237"/>
    <w:rsid w:val="009B5F17"/>
    <w:rsid w:val="009B638C"/>
    <w:rsid w:val="009B652C"/>
    <w:rsid w:val="009B736E"/>
    <w:rsid w:val="009C2607"/>
    <w:rsid w:val="009C28FE"/>
    <w:rsid w:val="009C3B88"/>
    <w:rsid w:val="009C460E"/>
    <w:rsid w:val="009C488F"/>
    <w:rsid w:val="009C7BC8"/>
    <w:rsid w:val="009D013B"/>
    <w:rsid w:val="009D0699"/>
    <w:rsid w:val="009D120A"/>
    <w:rsid w:val="009D2EF8"/>
    <w:rsid w:val="009D351B"/>
    <w:rsid w:val="009D44A9"/>
    <w:rsid w:val="009D4A43"/>
    <w:rsid w:val="009D575C"/>
    <w:rsid w:val="009D670D"/>
    <w:rsid w:val="009D7078"/>
    <w:rsid w:val="009D74F4"/>
    <w:rsid w:val="009E0830"/>
    <w:rsid w:val="009E26D6"/>
    <w:rsid w:val="009E28EE"/>
    <w:rsid w:val="009E32B9"/>
    <w:rsid w:val="009E34F0"/>
    <w:rsid w:val="009E374F"/>
    <w:rsid w:val="009E4842"/>
    <w:rsid w:val="009E50CE"/>
    <w:rsid w:val="009E569D"/>
    <w:rsid w:val="009E67D9"/>
    <w:rsid w:val="009F17AE"/>
    <w:rsid w:val="009F20FA"/>
    <w:rsid w:val="009F2938"/>
    <w:rsid w:val="009F4D5C"/>
    <w:rsid w:val="009F5431"/>
    <w:rsid w:val="009F5A56"/>
    <w:rsid w:val="009F5BF6"/>
    <w:rsid w:val="009F6409"/>
    <w:rsid w:val="009F6D6D"/>
    <w:rsid w:val="009F7487"/>
    <w:rsid w:val="009F7E55"/>
    <w:rsid w:val="00A00759"/>
    <w:rsid w:val="00A00C6C"/>
    <w:rsid w:val="00A01026"/>
    <w:rsid w:val="00A01E2D"/>
    <w:rsid w:val="00A021F7"/>
    <w:rsid w:val="00A022D1"/>
    <w:rsid w:val="00A030EB"/>
    <w:rsid w:val="00A04A43"/>
    <w:rsid w:val="00A05027"/>
    <w:rsid w:val="00A059BE"/>
    <w:rsid w:val="00A0674A"/>
    <w:rsid w:val="00A06792"/>
    <w:rsid w:val="00A06E87"/>
    <w:rsid w:val="00A071D5"/>
    <w:rsid w:val="00A07D2B"/>
    <w:rsid w:val="00A103AE"/>
    <w:rsid w:val="00A108FB"/>
    <w:rsid w:val="00A11730"/>
    <w:rsid w:val="00A131CE"/>
    <w:rsid w:val="00A1507B"/>
    <w:rsid w:val="00A151F7"/>
    <w:rsid w:val="00A15463"/>
    <w:rsid w:val="00A1571C"/>
    <w:rsid w:val="00A15758"/>
    <w:rsid w:val="00A15E11"/>
    <w:rsid w:val="00A16EF5"/>
    <w:rsid w:val="00A172F7"/>
    <w:rsid w:val="00A177AB"/>
    <w:rsid w:val="00A20A35"/>
    <w:rsid w:val="00A211FC"/>
    <w:rsid w:val="00A21217"/>
    <w:rsid w:val="00A2147C"/>
    <w:rsid w:val="00A216FD"/>
    <w:rsid w:val="00A234E6"/>
    <w:rsid w:val="00A23553"/>
    <w:rsid w:val="00A239F4"/>
    <w:rsid w:val="00A23C6B"/>
    <w:rsid w:val="00A23E4F"/>
    <w:rsid w:val="00A247A8"/>
    <w:rsid w:val="00A25677"/>
    <w:rsid w:val="00A26A93"/>
    <w:rsid w:val="00A26E45"/>
    <w:rsid w:val="00A271E7"/>
    <w:rsid w:val="00A272E8"/>
    <w:rsid w:val="00A27FBA"/>
    <w:rsid w:val="00A32C25"/>
    <w:rsid w:val="00A33B0A"/>
    <w:rsid w:val="00A346E9"/>
    <w:rsid w:val="00A36835"/>
    <w:rsid w:val="00A419EC"/>
    <w:rsid w:val="00A41C6C"/>
    <w:rsid w:val="00A420D8"/>
    <w:rsid w:val="00A4280A"/>
    <w:rsid w:val="00A44851"/>
    <w:rsid w:val="00A4546E"/>
    <w:rsid w:val="00A4599D"/>
    <w:rsid w:val="00A46F0E"/>
    <w:rsid w:val="00A471BF"/>
    <w:rsid w:val="00A5064B"/>
    <w:rsid w:val="00A50900"/>
    <w:rsid w:val="00A50AAE"/>
    <w:rsid w:val="00A513C4"/>
    <w:rsid w:val="00A51A8C"/>
    <w:rsid w:val="00A51EA8"/>
    <w:rsid w:val="00A52568"/>
    <w:rsid w:val="00A52A07"/>
    <w:rsid w:val="00A54067"/>
    <w:rsid w:val="00A54D6E"/>
    <w:rsid w:val="00A55752"/>
    <w:rsid w:val="00A5609E"/>
    <w:rsid w:val="00A60CAC"/>
    <w:rsid w:val="00A61277"/>
    <w:rsid w:val="00A63711"/>
    <w:rsid w:val="00A643C0"/>
    <w:rsid w:val="00A65165"/>
    <w:rsid w:val="00A70C59"/>
    <w:rsid w:val="00A71514"/>
    <w:rsid w:val="00A72391"/>
    <w:rsid w:val="00A72657"/>
    <w:rsid w:val="00A72778"/>
    <w:rsid w:val="00A7285E"/>
    <w:rsid w:val="00A72BEB"/>
    <w:rsid w:val="00A74164"/>
    <w:rsid w:val="00A746F5"/>
    <w:rsid w:val="00A746F8"/>
    <w:rsid w:val="00A74A29"/>
    <w:rsid w:val="00A74DF0"/>
    <w:rsid w:val="00A7570A"/>
    <w:rsid w:val="00A761CE"/>
    <w:rsid w:val="00A762DE"/>
    <w:rsid w:val="00A8016A"/>
    <w:rsid w:val="00A81C57"/>
    <w:rsid w:val="00A82491"/>
    <w:rsid w:val="00A824D9"/>
    <w:rsid w:val="00A82CE6"/>
    <w:rsid w:val="00A84CEC"/>
    <w:rsid w:val="00A84DFF"/>
    <w:rsid w:val="00A84F12"/>
    <w:rsid w:val="00A84FC6"/>
    <w:rsid w:val="00A86247"/>
    <w:rsid w:val="00A8635D"/>
    <w:rsid w:val="00A873F5"/>
    <w:rsid w:val="00A8758A"/>
    <w:rsid w:val="00A878D1"/>
    <w:rsid w:val="00A87DAC"/>
    <w:rsid w:val="00A90DB6"/>
    <w:rsid w:val="00A92215"/>
    <w:rsid w:val="00A92423"/>
    <w:rsid w:val="00A9243D"/>
    <w:rsid w:val="00A934FD"/>
    <w:rsid w:val="00A95A19"/>
    <w:rsid w:val="00A964AD"/>
    <w:rsid w:val="00A9707D"/>
    <w:rsid w:val="00A973BA"/>
    <w:rsid w:val="00AA0FB5"/>
    <w:rsid w:val="00AA2C8A"/>
    <w:rsid w:val="00AA33FE"/>
    <w:rsid w:val="00AA39B7"/>
    <w:rsid w:val="00AA3A64"/>
    <w:rsid w:val="00AA4DC4"/>
    <w:rsid w:val="00AA542D"/>
    <w:rsid w:val="00AA5EA6"/>
    <w:rsid w:val="00AA68D5"/>
    <w:rsid w:val="00AA6DC6"/>
    <w:rsid w:val="00AA7DE2"/>
    <w:rsid w:val="00AB041A"/>
    <w:rsid w:val="00AB0D32"/>
    <w:rsid w:val="00AB0EEF"/>
    <w:rsid w:val="00AB1145"/>
    <w:rsid w:val="00AB2DE9"/>
    <w:rsid w:val="00AB5CD1"/>
    <w:rsid w:val="00AB5E0F"/>
    <w:rsid w:val="00AB5F44"/>
    <w:rsid w:val="00AB5FFB"/>
    <w:rsid w:val="00AB6683"/>
    <w:rsid w:val="00AB77C7"/>
    <w:rsid w:val="00AB7911"/>
    <w:rsid w:val="00AB7A67"/>
    <w:rsid w:val="00AC126F"/>
    <w:rsid w:val="00AC13E2"/>
    <w:rsid w:val="00AC2423"/>
    <w:rsid w:val="00AC2BA8"/>
    <w:rsid w:val="00AC44EC"/>
    <w:rsid w:val="00AC497B"/>
    <w:rsid w:val="00AC58ED"/>
    <w:rsid w:val="00AC6B49"/>
    <w:rsid w:val="00AC7427"/>
    <w:rsid w:val="00AC7F98"/>
    <w:rsid w:val="00AD1DFE"/>
    <w:rsid w:val="00AD1FA8"/>
    <w:rsid w:val="00AD20A1"/>
    <w:rsid w:val="00AD38C6"/>
    <w:rsid w:val="00AD41ED"/>
    <w:rsid w:val="00AD425C"/>
    <w:rsid w:val="00AD5258"/>
    <w:rsid w:val="00AD6E7C"/>
    <w:rsid w:val="00AE1F70"/>
    <w:rsid w:val="00AE210C"/>
    <w:rsid w:val="00AE2156"/>
    <w:rsid w:val="00AE23A0"/>
    <w:rsid w:val="00AE26EC"/>
    <w:rsid w:val="00AE4303"/>
    <w:rsid w:val="00AE4793"/>
    <w:rsid w:val="00AE7221"/>
    <w:rsid w:val="00AE7435"/>
    <w:rsid w:val="00AE78C5"/>
    <w:rsid w:val="00AF0525"/>
    <w:rsid w:val="00AF05F2"/>
    <w:rsid w:val="00AF06BA"/>
    <w:rsid w:val="00AF079F"/>
    <w:rsid w:val="00AF15F0"/>
    <w:rsid w:val="00AF1912"/>
    <w:rsid w:val="00AF1DC4"/>
    <w:rsid w:val="00AF20BE"/>
    <w:rsid w:val="00AF3139"/>
    <w:rsid w:val="00AF3357"/>
    <w:rsid w:val="00AF3619"/>
    <w:rsid w:val="00AF4844"/>
    <w:rsid w:val="00AF4AA7"/>
    <w:rsid w:val="00AF54EB"/>
    <w:rsid w:val="00AF55BC"/>
    <w:rsid w:val="00AF5B17"/>
    <w:rsid w:val="00B00E54"/>
    <w:rsid w:val="00B0246E"/>
    <w:rsid w:val="00B025D7"/>
    <w:rsid w:val="00B03A84"/>
    <w:rsid w:val="00B03F6F"/>
    <w:rsid w:val="00B04EC0"/>
    <w:rsid w:val="00B05094"/>
    <w:rsid w:val="00B05566"/>
    <w:rsid w:val="00B0596C"/>
    <w:rsid w:val="00B0645F"/>
    <w:rsid w:val="00B06611"/>
    <w:rsid w:val="00B10006"/>
    <w:rsid w:val="00B11DC2"/>
    <w:rsid w:val="00B12AA7"/>
    <w:rsid w:val="00B149A8"/>
    <w:rsid w:val="00B14CE3"/>
    <w:rsid w:val="00B1577E"/>
    <w:rsid w:val="00B162B6"/>
    <w:rsid w:val="00B16B06"/>
    <w:rsid w:val="00B17E99"/>
    <w:rsid w:val="00B206E1"/>
    <w:rsid w:val="00B207F0"/>
    <w:rsid w:val="00B21096"/>
    <w:rsid w:val="00B21A91"/>
    <w:rsid w:val="00B25641"/>
    <w:rsid w:val="00B263ED"/>
    <w:rsid w:val="00B26BEC"/>
    <w:rsid w:val="00B27F0D"/>
    <w:rsid w:val="00B3033D"/>
    <w:rsid w:val="00B30A19"/>
    <w:rsid w:val="00B3171C"/>
    <w:rsid w:val="00B318C9"/>
    <w:rsid w:val="00B328F2"/>
    <w:rsid w:val="00B32C99"/>
    <w:rsid w:val="00B33093"/>
    <w:rsid w:val="00B346D3"/>
    <w:rsid w:val="00B36592"/>
    <w:rsid w:val="00B3701E"/>
    <w:rsid w:val="00B40A55"/>
    <w:rsid w:val="00B41251"/>
    <w:rsid w:val="00B41617"/>
    <w:rsid w:val="00B41C43"/>
    <w:rsid w:val="00B42373"/>
    <w:rsid w:val="00B42D38"/>
    <w:rsid w:val="00B43371"/>
    <w:rsid w:val="00B454A3"/>
    <w:rsid w:val="00B458F7"/>
    <w:rsid w:val="00B478D3"/>
    <w:rsid w:val="00B47DC8"/>
    <w:rsid w:val="00B47E70"/>
    <w:rsid w:val="00B506F1"/>
    <w:rsid w:val="00B5083A"/>
    <w:rsid w:val="00B516A0"/>
    <w:rsid w:val="00B527DD"/>
    <w:rsid w:val="00B540EF"/>
    <w:rsid w:val="00B55DEC"/>
    <w:rsid w:val="00B56A7A"/>
    <w:rsid w:val="00B56B9C"/>
    <w:rsid w:val="00B578C8"/>
    <w:rsid w:val="00B57BFA"/>
    <w:rsid w:val="00B60A19"/>
    <w:rsid w:val="00B60B99"/>
    <w:rsid w:val="00B60D40"/>
    <w:rsid w:val="00B61D93"/>
    <w:rsid w:val="00B637CA"/>
    <w:rsid w:val="00B6389F"/>
    <w:rsid w:val="00B63A50"/>
    <w:rsid w:val="00B64301"/>
    <w:rsid w:val="00B64C81"/>
    <w:rsid w:val="00B65799"/>
    <w:rsid w:val="00B65C85"/>
    <w:rsid w:val="00B67241"/>
    <w:rsid w:val="00B672F0"/>
    <w:rsid w:val="00B6748A"/>
    <w:rsid w:val="00B72FEB"/>
    <w:rsid w:val="00B7409C"/>
    <w:rsid w:val="00B744D1"/>
    <w:rsid w:val="00B75DC3"/>
    <w:rsid w:val="00B760A2"/>
    <w:rsid w:val="00B763BD"/>
    <w:rsid w:val="00B776EA"/>
    <w:rsid w:val="00B80191"/>
    <w:rsid w:val="00B80D04"/>
    <w:rsid w:val="00B8371F"/>
    <w:rsid w:val="00B872FE"/>
    <w:rsid w:val="00B877D7"/>
    <w:rsid w:val="00B87CDC"/>
    <w:rsid w:val="00B91ED3"/>
    <w:rsid w:val="00B93EE2"/>
    <w:rsid w:val="00B9424E"/>
    <w:rsid w:val="00B94902"/>
    <w:rsid w:val="00B94CD7"/>
    <w:rsid w:val="00B95BF6"/>
    <w:rsid w:val="00B96269"/>
    <w:rsid w:val="00BA060E"/>
    <w:rsid w:val="00BA15AE"/>
    <w:rsid w:val="00BA2DE9"/>
    <w:rsid w:val="00BA54D2"/>
    <w:rsid w:val="00BA6DD5"/>
    <w:rsid w:val="00BB07E8"/>
    <w:rsid w:val="00BB0A76"/>
    <w:rsid w:val="00BB0B99"/>
    <w:rsid w:val="00BB1B88"/>
    <w:rsid w:val="00BB21D7"/>
    <w:rsid w:val="00BB2985"/>
    <w:rsid w:val="00BB2F3E"/>
    <w:rsid w:val="00BB3DFD"/>
    <w:rsid w:val="00BB46B6"/>
    <w:rsid w:val="00BB5663"/>
    <w:rsid w:val="00BB5852"/>
    <w:rsid w:val="00BB6A9C"/>
    <w:rsid w:val="00BB79F9"/>
    <w:rsid w:val="00BC0E01"/>
    <w:rsid w:val="00BC16AD"/>
    <w:rsid w:val="00BC1D33"/>
    <w:rsid w:val="00BC1E05"/>
    <w:rsid w:val="00BC2003"/>
    <w:rsid w:val="00BC225B"/>
    <w:rsid w:val="00BC3484"/>
    <w:rsid w:val="00BC4858"/>
    <w:rsid w:val="00BC554A"/>
    <w:rsid w:val="00BC576C"/>
    <w:rsid w:val="00BC5BB4"/>
    <w:rsid w:val="00BC6567"/>
    <w:rsid w:val="00BC65FC"/>
    <w:rsid w:val="00BC7E9A"/>
    <w:rsid w:val="00BD0182"/>
    <w:rsid w:val="00BD0D70"/>
    <w:rsid w:val="00BD1BDB"/>
    <w:rsid w:val="00BD1FA7"/>
    <w:rsid w:val="00BD20F6"/>
    <w:rsid w:val="00BD366C"/>
    <w:rsid w:val="00BD4B67"/>
    <w:rsid w:val="00BD5D7B"/>
    <w:rsid w:val="00BD6662"/>
    <w:rsid w:val="00BD76CE"/>
    <w:rsid w:val="00BE0159"/>
    <w:rsid w:val="00BE236A"/>
    <w:rsid w:val="00BE2A75"/>
    <w:rsid w:val="00BE5CFC"/>
    <w:rsid w:val="00BE64DF"/>
    <w:rsid w:val="00BE76A2"/>
    <w:rsid w:val="00BF05E9"/>
    <w:rsid w:val="00BF174A"/>
    <w:rsid w:val="00BF198A"/>
    <w:rsid w:val="00BF25AB"/>
    <w:rsid w:val="00BF2EED"/>
    <w:rsid w:val="00BF32DC"/>
    <w:rsid w:val="00BF3B0C"/>
    <w:rsid w:val="00BF3BD1"/>
    <w:rsid w:val="00BF5CA8"/>
    <w:rsid w:val="00BF7115"/>
    <w:rsid w:val="00BF71B7"/>
    <w:rsid w:val="00BF7288"/>
    <w:rsid w:val="00BF7FEB"/>
    <w:rsid w:val="00C000C1"/>
    <w:rsid w:val="00C0590F"/>
    <w:rsid w:val="00C07726"/>
    <w:rsid w:val="00C11E66"/>
    <w:rsid w:val="00C12917"/>
    <w:rsid w:val="00C13F65"/>
    <w:rsid w:val="00C1402B"/>
    <w:rsid w:val="00C14C06"/>
    <w:rsid w:val="00C14CB5"/>
    <w:rsid w:val="00C15D91"/>
    <w:rsid w:val="00C17629"/>
    <w:rsid w:val="00C21242"/>
    <w:rsid w:val="00C215F0"/>
    <w:rsid w:val="00C21DA0"/>
    <w:rsid w:val="00C22618"/>
    <w:rsid w:val="00C22C5B"/>
    <w:rsid w:val="00C2347B"/>
    <w:rsid w:val="00C27426"/>
    <w:rsid w:val="00C300D3"/>
    <w:rsid w:val="00C303D7"/>
    <w:rsid w:val="00C3055F"/>
    <w:rsid w:val="00C30EAB"/>
    <w:rsid w:val="00C31013"/>
    <w:rsid w:val="00C3200D"/>
    <w:rsid w:val="00C32162"/>
    <w:rsid w:val="00C32466"/>
    <w:rsid w:val="00C33F09"/>
    <w:rsid w:val="00C37661"/>
    <w:rsid w:val="00C37AD9"/>
    <w:rsid w:val="00C37B3B"/>
    <w:rsid w:val="00C40254"/>
    <w:rsid w:val="00C40A7A"/>
    <w:rsid w:val="00C43C41"/>
    <w:rsid w:val="00C44E66"/>
    <w:rsid w:val="00C44EF6"/>
    <w:rsid w:val="00C47F7A"/>
    <w:rsid w:val="00C516E7"/>
    <w:rsid w:val="00C51ECC"/>
    <w:rsid w:val="00C52588"/>
    <w:rsid w:val="00C527C5"/>
    <w:rsid w:val="00C533FD"/>
    <w:rsid w:val="00C560C4"/>
    <w:rsid w:val="00C56ABE"/>
    <w:rsid w:val="00C56FAF"/>
    <w:rsid w:val="00C57CA2"/>
    <w:rsid w:val="00C60986"/>
    <w:rsid w:val="00C62B68"/>
    <w:rsid w:val="00C62C9C"/>
    <w:rsid w:val="00C630AF"/>
    <w:rsid w:val="00C63135"/>
    <w:rsid w:val="00C6313F"/>
    <w:rsid w:val="00C6460E"/>
    <w:rsid w:val="00C64B15"/>
    <w:rsid w:val="00C64F07"/>
    <w:rsid w:val="00C65269"/>
    <w:rsid w:val="00C66317"/>
    <w:rsid w:val="00C70CEC"/>
    <w:rsid w:val="00C70E27"/>
    <w:rsid w:val="00C711B4"/>
    <w:rsid w:val="00C714A0"/>
    <w:rsid w:val="00C731A6"/>
    <w:rsid w:val="00C736D5"/>
    <w:rsid w:val="00C73717"/>
    <w:rsid w:val="00C738B6"/>
    <w:rsid w:val="00C75944"/>
    <w:rsid w:val="00C75A29"/>
    <w:rsid w:val="00C762CC"/>
    <w:rsid w:val="00C76C0C"/>
    <w:rsid w:val="00C776E4"/>
    <w:rsid w:val="00C77B55"/>
    <w:rsid w:val="00C803B2"/>
    <w:rsid w:val="00C81374"/>
    <w:rsid w:val="00C821B9"/>
    <w:rsid w:val="00C82BB1"/>
    <w:rsid w:val="00C842E4"/>
    <w:rsid w:val="00C84868"/>
    <w:rsid w:val="00C863F4"/>
    <w:rsid w:val="00C8676F"/>
    <w:rsid w:val="00C87265"/>
    <w:rsid w:val="00C872E2"/>
    <w:rsid w:val="00C90162"/>
    <w:rsid w:val="00C9035F"/>
    <w:rsid w:val="00C90C25"/>
    <w:rsid w:val="00C91887"/>
    <w:rsid w:val="00C91BEE"/>
    <w:rsid w:val="00C91DA1"/>
    <w:rsid w:val="00C93625"/>
    <w:rsid w:val="00C939E5"/>
    <w:rsid w:val="00C941A6"/>
    <w:rsid w:val="00C949CC"/>
    <w:rsid w:val="00C963B7"/>
    <w:rsid w:val="00C96D5F"/>
    <w:rsid w:val="00C96D8A"/>
    <w:rsid w:val="00CA1540"/>
    <w:rsid w:val="00CA26C8"/>
    <w:rsid w:val="00CA30CC"/>
    <w:rsid w:val="00CA34A9"/>
    <w:rsid w:val="00CA35E1"/>
    <w:rsid w:val="00CA6B24"/>
    <w:rsid w:val="00CA73FD"/>
    <w:rsid w:val="00CB0062"/>
    <w:rsid w:val="00CB1091"/>
    <w:rsid w:val="00CB1640"/>
    <w:rsid w:val="00CB1F5E"/>
    <w:rsid w:val="00CB27C8"/>
    <w:rsid w:val="00CB33E6"/>
    <w:rsid w:val="00CB3783"/>
    <w:rsid w:val="00CB3A58"/>
    <w:rsid w:val="00CB3A6C"/>
    <w:rsid w:val="00CB3AAE"/>
    <w:rsid w:val="00CB3D47"/>
    <w:rsid w:val="00CB4314"/>
    <w:rsid w:val="00CB5BFE"/>
    <w:rsid w:val="00CB73DA"/>
    <w:rsid w:val="00CB7E84"/>
    <w:rsid w:val="00CC100E"/>
    <w:rsid w:val="00CC174B"/>
    <w:rsid w:val="00CC1C1A"/>
    <w:rsid w:val="00CC28B9"/>
    <w:rsid w:val="00CC2F95"/>
    <w:rsid w:val="00CC3000"/>
    <w:rsid w:val="00CC326F"/>
    <w:rsid w:val="00CC3BA5"/>
    <w:rsid w:val="00CC4309"/>
    <w:rsid w:val="00CC5430"/>
    <w:rsid w:val="00CC5631"/>
    <w:rsid w:val="00CC6EDC"/>
    <w:rsid w:val="00CC73B1"/>
    <w:rsid w:val="00CC7B5A"/>
    <w:rsid w:val="00CD04F8"/>
    <w:rsid w:val="00CD1920"/>
    <w:rsid w:val="00CD1CBF"/>
    <w:rsid w:val="00CD1EF6"/>
    <w:rsid w:val="00CD2B93"/>
    <w:rsid w:val="00CD2CFE"/>
    <w:rsid w:val="00CD2E48"/>
    <w:rsid w:val="00CD3405"/>
    <w:rsid w:val="00CD5103"/>
    <w:rsid w:val="00CD586B"/>
    <w:rsid w:val="00CD628D"/>
    <w:rsid w:val="00CD76F7"/>
    <w:rsid w:val="00CD7B7B"/>
    <w:rsid w:val="00CD7CB1"/>
    <w:rsid w:val="00CE0904"/>
    <w:rsid w:val="00CE0EED"/>
    <w:rsid w:val="00CE1463"/>
    <w:rsid w:val="00CE1E14"/>
    <w:rsid w:val="00CE213C"/>
    <w:rsid w:val="00CE327C"/>
    <w:rsid w:val="00CE3434"/>
    <w:rsid w:val="00CE353F"/>
    <w:rsid w:val="00CE3CD5"/>
    <w:rsid w:val="00CE4226"/>
    <w:rsid w:val="00CE44CF"/>
    <w:rsid w:val="00CE4AAF"/>
    <w:rsid w:val="00CE4CAA"/>
    <w:rsid w:val="00CE4DDB"/>
    <w:rsid w:val="00CE5237"/>
    <w:rsid w:val="00CE570C"/>
    <w:rsid w:val="00CE5816"/>
    <w:rsid w:val="00CE61F4"/>
    <w:rsid w:val="00CE7BF2"/>
    <w:rsid w:val="00CE7E4C"/>
    <w:rsid w:val="00CF14E0"/>
    <w:rsid w:val="00CF232E"/>
    <w:rsid w:val="00CF2D72"/>
    <w:rsid w:val="00CF5DD1"/>
    <w:rsid w:val="00CF632C"/>
    <w:rsid w:val="00CF77BE"/>
    <w:rsid w:val="00CF7FA7"/>
    <w:rsid w:val="00D00221"/>
    <w:rsid w:val="00D0034E"/>
    <w:rsid w:val="00D0058D"/>
    <w:rsid w:val="00D0128D"/>
    <w:rsid w:val="00D014D1"/>
    <w:rsid w:val="00D01F5F"/>
    <w:rsid w:val="00D02650"/>
    <w:rsid w:val="00D02D5F"/>
    <w:rsid w:val="00D04F4F"/>
    <w:rsid w:val="00D05C2C"/>
    <w:rsid w:val="00D06F54"/>
    <w:rsid w:val="00D0741F"/>
    <w:rsid w:val="00D07C0B"/>
    <w:rsid w:val="00D1024E"/>
    <w:rsid w:val="00D10AB4"/>
    <w:rsid w:val="00D10CA6"/>
    <w:rsid w:val="00D1103D"/>
    <w:rsid w:val="00D169C0"/>
    <w:rsid w:val="00D16A42"/>
    <w:rsid w:val="00D17714"/>
    <w:rsid w:val="00D2089B"/>
    <w:rsid w:val="00D20C91"/>
    <w:rsid w:val="00D20F4E"/>
    <w:rsid w:val="00D21834"/>
    <w:rsid w:val="00D2200A"/>
    <w:rsid w:val="00D2454E"/>
    <w:rsid w:val="00D257E0"/>
    <w:rsid w:val="00D27317"/>
    <w:rsid w:val="00D279EB"/>
    <w:rsid w:val="00D27F1A"/>
    <w:rsid w:val="00D30690"/>
    <w:rsid w:val="00D311D5"/>
    <w:rsid w:val="00D314C3"/>
    <w:rsid w:val="00D325B8"/>
    <w:rsid w:val="00D33C7B"/>
    <w:rsid w:val="00D34856"/>
    <w:rsid w:val="00D34D4C"/>
    <w:rsid w:val="00D374D4"/>
    <w:rsid w:val="00D37915"/>
    <w:rsid w:val="00D40ECC"/>
    <w:rsid w:val="00D42457"/>
    <w:rsid w:val="00D42762"/>
    <w:rsid w:val="00D42B5F"/>
    <w:rsid w:val="00D42E81"/>
    <w:rsid w:val="00D431A4"/>
    <w:rsid w:val="00D437C4"/>
    <w:rsid w:val="00D442C3"/>
    <w:rsid w:val="00D44472"/>
    <w:rsid w:val="00D4596F"/>
    <w:rsid w:val="00D45D07"/>
    <w:rsid w:val="00D46659"/>
    <w:rsid w:val="00D47E1D"/>
    <w:rsid w:val="00D5065E"/>
    <w:rsid w:val="00D50C3D"/>
    <w:rsid w:val="00D51C7C"/>
    <w:rsid w:val="00D52588"/>
    <w:rsid w:val="00D52DB6"/>
    <w:rsid w:val="00D53144"/>
    <w:rsid w:val="00D54493"/>
    <w:rsid w:val="00D54B6F"/>
    <w:rsid w:val="00D55267"/>
    <w:rsid w:val="00D56124"/>
    <w:rsid w:val="00D56412"/>
    <w:rsid w:val="00D605D3"/>
    <w:rsid w:val="00D61853"/>
    <w:rsid w:val="00D61878"/>
    <w:rsid w:val="00D63307"/>
    <w:rsid w:val="00D63D54"/>
    <w:rsid w:val="00D648BF"/>
    <w:rsid w:val="00D64B55"/>
    <w:rsid w:val="00D65BE4"/>
    <w:rsid w:val="00D66C8D"/>
    <w:rsid w:val="00D66D97"/>
    <w:rsid w:val="00D6728B"/>
    <w:rsid w:val="00D67512"/>
    <w:rsid w:val="00D67797"/>
    <w:rsid w:val="00D67EF5"/>
    <w:rsid w:val="00D702B0"/>
    <w:rsid w:val="00D70B27"/>
    <w:rsid w:val="00D711D4"/>
    <w:rsid w:val="00D714DA"/>
    <w:rsid w:val="00D7381F"/>
    <w:rsid w:val="00D73B38"/>
    <w:rsid w:val="00D73D51"/>
    <w:rsid w:val="00D744B5"/>
    <w:rsid w:val="00D7456D"/>
    <w:rsid w:val="00D74DBC"/>
    <w:rsid w:val="00D7517E"/>
    <w:rsid w:val="00D757B4"/>
    <w:rsid w:val="00D80329"/>
    <w:rsid w:val="00D81781"/>
    <w:rsid w:val="00D81B33"/>
    <w:rsid w:val="00D820EE"/>
    <w:rsid w:val="00D828DC"/>
    <w:rsid w:val="00D82ED7"/>
    <w:rsid w:val="00D85962"/>
    <w:rsid w:val="00D85EFD"/>
    <w:rsid w:val="00D86AC0"/>
    <w:rsid w:val="00D87095"/>
    <w:rsid w:val="00D90008"/>
    <w:rsid w:val="00D90665"/>
    <w:rsid w:val="00D90F75"/>
    <w:rsid w:val="00D91BC9"/>
    <w:rsid w:val="00D92784"/>
    <w:rsid w:val="00D92E56"/>
    <w:rsid w:val="00D9321F"/>
    <w:rsid w:val="00D94028"/>
    <w:rsid w:val="00D94365"/>
    <w:rsid w:val="00D94D1F"/>
    <w:rsid w:val="00D94FE4"/>
    <w:rsid w:val="00D95D16"/>
    <w:rsid w:val="00D96400"/>
    <w:rsid w:val="00D96746"/>
    <w:rsid w:val="00D96859"/>
    <w:rsid w:val="00DA09E8"/>
    <w:rsid w:val="00DA2803"/>
    <w:rsid w:val="00DA3D07"/>
    <w:rsid w:val="00DA3EBD"/>
    <w:rsid w:val="00DA4EDF"/>
    <w:rsid w:val="00DA6FBA"/>
    <w:rsid w:val="00DB01F4"/>
    <w:rsid w:val="00DB04AA"/>
    <w:rsid w:val="00DB136A"/>
    <w:rsid w:val="00DB3FCC"/>
    <w:rsid w:val="00DB47E0"/>
    <w:rsid w:val="00DB5202"/>
    <w:rsid w:val="00DB5499"/>
    <w:rsid w:val="00DB6A92"/>
    <w:rsid w:val="00DB7FBE"/>
    <w:rsid w:val="00DC00A0"/>
    <w:rsid w:val="00DC1316"/>
    <w:rsid w:val="00DC133C"/>
    <w:rsid w:val="00DC3696"/>
    <w:rsid w:val="00DC3FEB"/>
    <w:rsid w:val="00DC4025"/>
    <w:rsid w:val="00DC4091"/>
    <w:rsid w:val="00DC4A19"/>
    <w:rsid w:val="00DC5F9F"/>
    <w:rsid w:val="00DC65E3"/>
    <w:rsid w:val="00DC6E07"/>
    <w:rsid w:val="00DC74A5"/>
    <w:rsid w:val="00DC7C26"/>
    <w:rsid w:val="00DD00F3"/>
    <w:rsid w:val="00DD0599"/>
    <w:rsid w:val="00DD25E2"/>
    <w:rsid w:val="00DD27BE"/>
    <w:rsid w:val="00DD47D3"/>
    <w:rsid w:val="00DD51A7"/>
    <w:rsid w:val="00DE01C3"/>
    <w:rsid w:val="00DE0938"/>
    <w:rsid w:val="00DE0D0F"/>
    <w:rsid w:val="00DE1180"/>
    <w:rsid w:val="00DE13EC"/>
    <w:rsid w:val="00DE1A40"/>
    <w:rsid w:val="00DE2192"/>
    <w:rsid w:val="00DE2324"/>
    <w:rsid w:val="00DE2C73"/>
    <w:rsid w:val="00DE39B7"/>
    <w:rsid w:val="00DE5AA3"/>
    <w:rsid w:val="00DE6C5C"/>
    <w:rsid w:val="00DF10AF"/>
    <w:rsid w:val="00DF13F5"/>
    <w:rsid w:val="00DF1872"/>
    <w:rsid w:val="00DF1F67"/>
    <w:rsid w:val="00DF23EE"/>
    <w:rsid w:val="00DF33BE"/>
    <w:rsid w:val="00DF3A07"/>
    <w:rsid w:val="00DF6081"/>
    <w:rsid w:val="00E000A3"/>
    <w:rsid w:val="00E00539"/>
    <w:rsid w:val="00E02243"/>
    <w:rsid w:val="00E028F9"/>
    <w:rsid w:val="00E03755"/>
    <w:rsid w:val="00E03F51"/>
    <w:rsid w:val="00E04117"/>
    <w:rsid w:val="00E042E5"/>
    <w:rsid w:val="00E0449A"/>
    <w:rsid w:val="00E04C8E"/>
    <w:rsid w:val="00E05D29"/>
    <w:rsid w:val="00E07351"/>
    <w:rsid w:val="00E07373"/>
    <w:rsid w:val="00E076FC"/>
    <w:rsid w:val="00E079BB"/>
    <w:rsid w:val="00E109A6"/>
    <w:rsid w:val="00E116D8"/>
    <w:rsid w:val="00E13935"/>
    <w:rsid w:val="00E13C69"/>
    <w:rsid w:val="00E16C9D"/>
    <w:rsid w:val="00E2027F"/>
    <w:rsid w:val="00E202BB"/>
    <w:rsid w:val="00E20AA8"/>
    <w:rsid w:val="00E20C25"/>
    <w:rsid w:val="00E22D25"/>
    <w:rsid w:val="00E22EA4"/>
    <w:rsid w:val="00E23725"/>
    <w:rsid w:val="00E23B91"/>
    <w:rsid w:val="00E244C4"/>
    <w:rsid w:val="00E246D5"/>
    <w:rsid w:val="00E249B1"/>
    <w:rsid w:val="00E24C12"/>
    <w:rsid w:val="00E252C8"/>
    <w:rsid w:val="00E2531A"/>
    <w:rsid w:val="00E261E9"/>
    <w:rsid w:val="00E26536"/>
    <w:rsid w:val="00E266CF"/>
    <w:rsid w:val="00E268C4"/>
    <w:rsid w:val="00E314FD"/>
    <w:rsid w:val="00E31FE2"/>
    <w:rsid w:val="00E321F3"/>
    <w:rsid w:val="00E32A8A"/>
    <w:rsid w:val="00E332ED"/>
    <w:rsid w:val="00E342ED"/>
    <w:rsid w:val="00E34D11"/>
    <w:rsid w:val="00E35021"/>
    <w:rsid w:val="00E359D0"/>
    <w:rsid w:val="00E35F1E"/>
    <w:rsid w:val="00E366B8"/>
    <w:rsid w:val="00E37DD1"/>
    <w:rsid w:val="00E37EFB"/>
    <w:rsid w:val="00E40C6E"/>
    <w:rsid w:val="00E40E7A"/>
    <w:rsid w:val="00E4180C"/>
    <w:rsid w:val="00E422F5"/>
    <w:rsid w:val="00E423BC"/>
    <w:rsid w:val="00E423CD"/>
    <w:rsid w:val="00E42811"/>
    <w:rsid w:val="00E45892"/>
    <w:rsid w:val="00E458C2"/>
    <w:rsid w:val="00E4594F"/>
    <w:rsid w:val="00E468AA"/>
    <w:rsid w:val="00E475D3"/>
    <w:rsid w:val="00E47898"/>
    <w:rsid w:val="00E5090D"/>
    <w:rsid w:val="00E51303"/>
    <w:rsid w:val="00E51A34"/>
    <w:rsid w:val="00E51F2E"/>
    <w:rsid w:val="00E5260E"/>
    <w:rsid w:val="00E53B12"/>
    <w:rsid w:val="00E544E0"/>
    <w:rsid w:val="00E55E96"/>
    <w:rsid w:val="00E569D3"/>
    <w:rsid w:val="00E56FD4"/>
    <w:rsid w:val="00E5772E"/>
    <w:rsid w:val="00E60145"/>
    <w:rsid w:val="00E61830"/>
    <w:rsid w:val="00E618B6"/>
    <w:rsid w:val="00E619C6"/>
    <w:rsid w:val="00E61BB5"/>
    <w:rsid w:val="00E62045"/>
    <w:rsid w:val="00E635E6"/>
    <w:rsid w:val="00E63D9C"/>
    <w:rsid w:val="00E659A3"/>
    <w:rsid w:val="00E67122"/>
    <w:rsid w:val="00E67145"/>
    <w:rsid w:val="00E67F9A"/>
    <w:rsid w:val="00E72573"/>
    <w:rsid w:val="00E75AAA"/>
    <w:rsid w:val="00E76B5C"/>
    <w:rsid w:val="00E80AF6"/>
    <w:rsid w:val="00E81133"/>
    <w:rsid w:val="00E81E93"/>
    <w:rsid w:val="00E825B7"/>
    <w:rsid w:val="00E83F5E"/>
    <w:rsid w:val="00E845BA"/>
    <w:rsid w:val="00E86D1A"/>
    <w:rsid w:val="00E86D1C"/>
    <w:rsid w:val="00E86DE5"/>
    <w:rsid w:val="00E86EF1"/>
    <w:rsid w:val="00E879C6"/>
    <w:rsid w:val="00E87B82"/>
    <w:rsid w:val="00E907C2"/>
    <w:rsid w:val="00E92266"/>
    <w:rsid w:val="00E93621"/>
    <w:rsid w:val="00E9442D"/>
    <w:rsid w:val="00E94488"/>
    <w:rsid w:val="00E94E9B"/>
    <w:rsid w:val="00E95A6C"/>
    <w:rsid w:val="00E95D48"/>
    <w:rsid w:val="00E96692"/>
    <w:rsid w:val="00E96B3A"/>
    <w:rsid w:val="00E96BCA"/>
    <w:rsid w:val="00E97182"/>
    <w:rsid w:val="00E97937"/>
    <w:rsid w:val="00E97E6D"/>
    <w:rsid w:val="00EA01D9"/>
    <w:rsid w:val="00EA1874"/>
    <w:rsid w:val="00EA1A34"/>
    <w:rsid w:val="00EA264F"/>
    <w:rsid w:val="00EA298A"/>
    <w:rsid w:val="00EA3BF6"/>
    <w:rsid w:val="00EA6E61"/>
    <w:rsid w:val="00EA7498"/>
    <w:rsid w:val="00EB0384"/>
    <w:rsid w:val="00EB0D0D"/>
    <w:rsid w:val="00EB1190"/>
    <w:rsid w:val="00EB1905"/>
    <w:rsid w:val="00EB1B2F"/>
    <w:rsid w:val="00EB1CF1"/>
    <w:rsid w:val="00EB2B20"/>
    <w:rsid w:val="00EB2BBE"/>
    <w:rsid w:val="00EB3049"/>
    <w:rsid w:val="00EB3561"/>
    <w:rsid w:val="00EB3A24"/>
    <w:rsid w:val="00EB40DB"/>
    <w:rsid w:val="00EB43AC"/>
    <w:rsid w:val="00EB4F8D"/>
    <w:rsid w:val="00EB5194"/>
    <w:rsid w:val="00EB5493"/>
    <w:rsid w:val="00EB6530"/>
    <w:rsid w:val="00EB684B"/>
    <w:rsid w:val="00EB75BC"/>
    <w:rsid w:val="00EC036F"/>
    <w:rsid w:val="00EC0B1C"/>
    <w:rsid w:val="00EC22BF"/>
    <w:rsid w:val="00EC436B"/>
    <w:rsid w:val="00EC6103"/>
    <w:rsid w:val="00EC6282"/>
    <w:rsid w:val="00EC6672"/>
    <w:rsid w:val="00EC6CA9"/>
    <w:rsid w:val="00EC7A4D"/>
    <w:rsid w:val="00ED03A3"/>
    <w:rsid w:val="00ED057A"/>
    <w:rsid w:val="00ED1330"/>
    <w:rsid w:val="00ED2577"/>
    <w:rsid w:val="00ED2DAA"/>
    <w:rsid w:val="00ED361E"/>
    <w:rsid w:val="00ED3AA8"/>
    <w:rsid w:val="00ED5682"/>
    <w:rsid w:val="00ED5B99"/>
    <w:rsid w:val="00EE02D6"/>
    <w:rsid w:val="00EE0480"/>
    <w:rsid w:val="00EE0EE6"/>
    <w:rsid w:val="00EE1226"/>
    <w:rsid w:val="00EE1700"/>
    <w:rsid w:val="00EE22A9"/>
    <w:rsid w:val="00EE524F"/>
    <w:rsid w:val="00EE5389"/>
    <w:rsid w:val="00EE65D5"/>
    <w:rsid w:val="00EF0AA9"/>
    <w:rsid w:val="00EF0C33"/>
    <w:rsid w:val="00EF1085"/>
    <w:rsid w:val="00EF27A8"/>
    <w:rsid w:val="00EF3043"/>
    <w:rsid w:val="00EF307F"/>
    <w:rsid w:val="00EF34DA"/>
    <w:rsid w:val="00EF39CE"/>
    <w:rsid w:val="00EF3FC4"/>
    <w:rsid w:val="00EF3FC5"/>
    <w:rsid w:val="00EF480A"/>
    <w:rsid w:val="00EF50A1"/>
    <w:rsid w:val="00EF5282"/>
    <w:rsid w:val="00EF570D"/>
    <w:rsid w:val="00EF5AB5"/>
    <w:rsid w:val="00EF5AC0"/>
    <w:rsid w:val="00EF6150"/>
    <w:rsid w:val="00EF637B"/>
    <w:rsid w:val="00EF6ADE"/>
    <w:rsid w:val="00EF6B6D"/>
    <w:rsid w:val="00EF7265"/>
    <w:rsid w:val="00F0021B"/>
    <w:rsid w:val="00F023AA"/>
    <w:rsid w:val="00F02626"/>
    <w:rsid w:val="00F0410C"/>
    <w:rsid w:val="00F057E5"/>
    <w:rsid w:val="00F05FC2"/>
    <w:rsid w:val="00F06DBB"/>
    <w:rsid w:val="00F073E5"/>
    <w:rsid w:val="00F0753D"/>
    <w:rsid w:val="00F112F7"/>
    <w:rsid w:val="00F12A02"/>
    <w:rsid w:val="00F13146"/>
    <w:rsid w:val="00F13206"/>
    <w:rsid w:val="00F1328E"/>
    <w:rsid w:val="00F133AF"/>
    <w:rsid w:val="00F135A8"/>
    <w:rsid w:val="00F13897"/>
    <w:rsid w:val="00F15B67"/>
    <w:rsid w:val="00F16080"/>
    <w:rsid w:val="00F16C21"/>
    <w:rsid w:val="00F17267"/>
    <w:rsid w:val="00F17948"/>
    <w:rsid w:val="00F2006C"/>
    <w:rsid w:val="00F20D90"/>
    <w:rsid w:val="00F22AE9"/>
    <w:rsid w:val="00F260D9"/>
    <w:rsid w:val="00F261FA"/>
    <w:rsid w:val="00F2705A"/>
    <w:rsid w:val="00F30F9E"/>
    <w:rsid w:val="00F31F8D"/>
    <w:rsid w:val="00F32EFE"/>
    <w:rsid w:val="00F33114"/>
    <w:rsid w:val="00F33EC4"/>
    <w:rsid w:val="00F3498D"/>
    <w:rsid w:val="00F353E3"/>
    <w:rsid w:val="00F35F9D"/>
    <w:rsid w:val="00F36597"/>
    <w:rsid w:val="00F40AB8"/>
    <w:rsid w:val="00F41365"/>
    <w:rsid w:val="00F41C61"/>
    <w:rsid w:val="00F42AE0"/>
    <w:rsid w:val="00F43B0B"/>
    <w:rsid w:val="00F43DBC"/>
    <w:rsid w:val="00F44D1D"/>
    <w:rsid w:val="00F46034"/>
    <w:rsid w:val="00F462F8"/>
    <w:rsid w:val="00F4726B"/>
    <w:rsid w:val="00F474F3"/>
    <w:rsid w:val="00F47AD9"/>
    <w:rsid w:val="00F47B72"/>
    <w:rsid w:val="00F47F79"/>
    <w:rsid w:val="00F50288"/>
    <w:rsid w:val="00F521B6"/>
    <w:rsid w:val="00F521E4"/>
    <w:rsid w:val="00F52A63"/>
    <w:rsid w:val="00F53C86"/>
    <w:rsid w:val="00F53F7E"/>
    <w:rsid w:val="00F5438D"/>
    <w:rsid w:val="00F54851"/>
    <w:rsid w:val="00F54B6E"/>
    <w:rsid w:val="00F54DAB"/>
    <w:rsid w:val="00F54DFC"/>
    <w:rsid w:val="00F54F51"/>
    <w:rsid w:val="00F5796F"/>
    <w:rsid w:val="00F57E62"/>
    <w:rsid w:val="00F57FC4"/>
    <w:rsid w:val="00F60420"/>
    <w:rsid w:val="00F60921"/>
    <w:rsid w:val="00F60B00"/>
    <w:rsid w:val="00F6117F"/>
    <w:rsid w:val="00F61BE8"/>
    <w:rsid w:val="00F61F2D"/>
    <w:rsid w:val="00F62225"/>
    <w:rsid w:val="00F6290F"/>
    <w:rsid w:val="00F62DE0"/>
    <w:rsid w:val="00F659FC"/>
    <w:rsid w:val="00F6647D"/>
    <w:rsid w:val="00F66ED3"/>
    <w:rsid w:val="00F674F3"/>
    <w:rsid w:val="00F70E8D"/>
    <w:rsid w:val="00F74020"/>
    <w:rsid w:val="00F75192"/>
    <w:rsid w:val="00F75E71"/>
    <w:rsid w:val="00F75EA1"/>
    <w:rsid w:val="00F76A24"/>
    <w:rsid w:val="00F80062"/>
    <w:rsid w:val="00F80718"/>
    <w:rsid w:val="00F84327"/>
    <w:rsid w:val="00F90A02"/>
    <w:rsid w:val="00F91CE9"/>
    <w:rsid w:val="00F9472D"/>
    <w:rsid w:val="00F95A1E"/>
    <w:rsid w:val="00F95F05"/>
    <w:rsid w:val="00F96508"/>
    <w:rsid w:val="00F968A3"/>
    <w:rsid w:val="00F971B8"/>
    <w:rsid w:val="00F9768C"/>
    <w:rsid w:val="00FA027B"/>
    <w:rsid w:val="00FA14C9"/>
    <w:rsid w:val="00FA2235"/>
    <w:rsid w:val="00FA2B35"/>
    <w:rsid w:val="00FA2B5A"/>
    <w:rsid w:val="00FA38EA"/>
    <w:rsid w:val="00FA44E4"/>
    <w:rsid w:val="00FA55D1"/>
    <w:rsid w:val="00FA633A"/>
    <w:rsid w:val="00FA6839"/>
    <w:rsid w:val="00FA7466"/>
    <w:rsid w:val="00FA7702"/>
    <w:rsid w:val="00FA7D16"/>
    <w:rsid w:val="00FA7F96"/>
    <w:rsid w:val="00FB0479"/>
    <w:rsid w:val="00FB0E56"/>
    <w:rsid w:val="00FB115A"/>
    <w:rsid w:val="00FB11AB"/>
    <w:rsid w:val="00FB11E0"/>
    <w:rsid w:val="00FB18D6"/>
    <w:rsid w:val="00FB1F43"/>
    <w:rsid w:val="00FB217E"/>
    <w:rsid w:val="00FB32B9"/>
    <w:rsid w:val="00FB344D"/>
    <w:rsid w:val="00FB3592"/>
    <w:rsid w:val="00FB3BA8"/>
    <w:rsid w:val="00FB4B52"/>
    <w:rsid w:val="00FB5BE3"/>
    <w:rsid w:val="00FB650D"/>
    <w:rsid w:val="00FB6640"/>
    <w:rsid w:val="00FB6667"/>
    <w:rsid w:val="00FB6729"/>
    <w:rsid w:val="00FB6BD0"/>
    <w:rsid w:val="00FB7774"/>
    <w:rsid w:val="00FC08A4"/>
    <w:rsid w:val="00FC1590"/>
    <w:rsid w:val="00FC20BD"/>
    <w:rsid w:val="00FC2445"/>
    <w:rsid w:val="00FC2CC5"/>
    <w:rsid w:val="00FC327D"/>
    <w:rsid w:val="00FC3F5D"/>
    <w:rsid w:val="00FC6079"/>
    <w:rsid w:val="00FC6B33"/>
    <w:rsid w:val="00FC73D5"/>
    <w:rsid w:val="00FC7EF5"/>
    <w:rsid w:val="00FC7F43"/>
    <w:rsid w:val="00FD00E1"/>
    <w:rsid w:val="00FD1286"/>
    <w:rsid w:val="00FD28A9"/>
    <w:rsid w:val="00FD4822"/>
    <w:rsid w:val="00FD4A1B"/>
    <w:rsid w:val="00FD4BBF"/>
    <w:rsid w:val="00FD50C7"/>
    <w:rsid w:val="00FD5532"/>
    <w:rsid w:val="00FD55B9"/>
    <w:rsid w:val="00FD5ABC"/>
    <w:rsid w:val="00FD6072"/>
    <w:rsid w:val="00FD676F"/>
    <w:rsid w:val="00FD6ED6"/>
    <w:rsid w:val="00FD7091"/>
    <w:rsid w:val="00FE0603"/>
    <w:rsid w:val="00FE1DC1"/>
    <w:rsid w:val="00FE2C98"/>
    <w:rsid w:val="00FE3E44"/>
    <w:rsid w:val="00FE4C02"/>
    <w:rsid w:val="00FE60BD"/>
    <w:rsid w:val="00FE621A"/>
    <w:rsid w:val="00FE7056"/>
    <w:rsid w:val="00FE7CE4"/>
    <w:rsid w:val="00FE7FC7"/>
    <w:rsid w:val="00FF04F8"/>
    <w:rsid w:val="00FF17A5"/>
    <w:rsid w:val="00FF1F6D"/>
    <w:rsid w:val="00FF1FF2"/>
    <w:rsid w:val="00FF215E"/>
    <w:rsid w:val="00FF21BE"/>
    <w:rsid w:val="00FF2F07"/>
    <w:rsid w:val="00FF3DC3"/>
    <w:rsid w:val="00FF3EEC"/>
    <w:rsid w:val="01023AAA"/>
    <w:rsid w:val="0105614B"/>
    <w:rsid w:val="01111585"/>
    <w:rsid w:val="01112ADA"/>
    <w:rsid w:val="01137097"/>
    <w:rsid w:val="011463D0"/>
    <w:rsid w:val="0119070C"/>
    <w:rsid w:val="011960C7"/>
    <w:rsid w:val="011C692E"/>
    <w:rsid w:val="011D067F"/>
    <w:rsid w:val="01207B0A"/>
    <w:rsid w:val="0131436A"/>
    <w:rsid w:val="01357AB1"/>
    <w:rsid w:val="013E0F60"/>
    <w:rsid w:val="013F5793"/>
    <w:rsid w:val="01402FDA"/>
    <w:rsid w:val="014A387B"/>
    <w:rsid w:val="01515874"/>
    <w:rsid w:val="0153644A"/>
    <w:rsid w:val="018D6357"/>
    <w:rsid w:val="01902250"/>
    <w:rsid w:val="019404F8"/>
    <w:rsid w:val="01B1201F"/>
    <w:rsid w:val="01B45B33"/>
    <w:rsid w:val="01BA2E49"/>
    <w:rsid w:val="01BB2424"/>
    <w:rsid w:val="01BE5572"/>
    <w:rsid w:val="01C02985"/>
    <w:rsid w:val="01C34939"/>
    <w:rsid w:val="01C66CBA"/>
    <w:rsid w:val="01CA7301"/>
    <w:rsid w:val="01F319AF"/>
    <w:rsid w:val="01FC0E93"/>
    <w:rsid w:val="01FD23BF"/>
    <w:rsid w:val="020076F3"/>
    <w:rsid w:val="02023E23"/>
    <w:rsid w:val="020411DA"/>
    <w:rsid w:val="02062BDD"/>
    <w:rsid w:val="020A6A45"/>
    <w:rsid w:val="021E31BF"/>
    <w:rsid w:val="022F51A9"/>
    <w:rsid w:val="02312720"/>
    <w:rsid w:val="023B41B0"/>
    <w:rsid w:val="024713D1"/>
    <w:rsid w:val="024B17D9"/>
    <w:rsid w:val="02544443"/>
    <w:rsid w:val="025849F1"/>
    <w:rsid w:val="026070EB"/>
    <w:rsid w:val="02632FB4"/>
    <w:rsid w:val="0264611C"/>
    <w:rsid w:val="026A21AF"/>
    <w:rsid w:val="026B4EEB"/>
    <w:rsid w:val="028D2636"/>
    <w:rsid w:val="028E0911"/>
    <w:rsid w:val="02A26EBA"/>
    <w:rsid w:val="02BF77F6"/>
    <w:rsid w:val="02D13295"/>
    <w:rsid w:val="02D747BC"/>
    <w:rsid w:val="02DA6962"/>
    <w:rsid w:val="02E128D8"/>
    <w:rsid w:val="02E15ACE"/>
    <w:rsid w:val="02E56438"/>
    <w:rsid w:val="02F36526"/>
    <w:rsid w:val="02F7208D"/>
    <w:rsid w:val="02F75E86"/>
    <w:rsid w:val="02F92294"/>
    <w:rsid w:val="02FF17CC"/>
    <w:rsid w:val="0300236B"/>
    <w:rsid w:val="03122D3A"/>
    <w:rsid w:val="03144DB7"/>
    <w:rsid w:val="032810A5"/>
    <w:rsid w:val="032B546D"/>
    <w:rsid w:val="032D1C2F"/>
    <w:rsid w:val="03311EA7"/>
    <w:rsid w:val="033733E5"/>
    <w:rsid w:val="03491EBD"/>
    <w:rsid w:val="034F02F5"/>
    <w:rsid w:val="035D65C1"/>
    <w:rsid w:val="036F50E5"/>
    <w:rsid w:val="038A3843"/>
    <w:rsid w:val="038F07AD"/>
    <w:rsid w:val="039907EF"/>
    <w:rsid w:val="03B46F66"/>
    <w:rsid w:val="03BC16F4"/>
    <w:rsid w:val="03CE2382"/>
    <w:rsid w:val="03D07BC1"/>
    <w:rsid w:val="03D4509A"/>
    <w:rsid w:val="03D6648E"/>
    <w:rsid w:val="03ED1691"/>
    <w:rsid w:val="03F07B89"/>
    <w:rsid w:val="03F54EC7"/>
    <w:rsid w:val="04010A3C"/>
    <w:rsid w:val="0403401A"/>
    <w:rsid w:val="04043973"/>
    <w:rsid w:val="04175502"/>
    <w:rsid w:val="04177288"/>
    <w:rsid w:val="041E7E56"/>
    <w:rsid w:val="042731D4"/>
    <w:rsid w:val="042B6B73"/>
    <w:rsid w:val="042C7593"/>
    <w:rsid w:val="043304D7"/>
    <w:rsid w:val="04343CF5"/>
    <w:rsid w:val="04361CF6"/>
    <w:rsid w:val="044F0FF1"/>
    <w:rsid w:val="04580F3A"/>
    <w:rsid w:val="0459659B"/>
    <w:rsid w:val="04642F99"/>
    <w:rsid w:val="04671993"/>
    <w:rsid w:val="046A68CC"/>
    <w:rsid w:val="047F2F94"/>
    <w:rsid w:val="0480303F"/>
    <w:rsid w:val="048540DF"/>
    <w:rsid w:val="048E57D2"/>
    <w:rsid w:val="04B17572"/>
    <w:rsid w:val="04C56480"/>
    <w:rsid w:val="04DA05F2"/>
    <w:rsid w:val="04DB5108"/>
    <w:rsid w:val="04E157F9"/>
    <w:rsid w:val="04E576B6"/>
    <w:rsid w:val="04E8295C"/>
    <w:rsid w:val="04EC4D65"/>
    <w:rsid w:val="04ED386C"/>
    <w:rsid w:val="04F512AE"/>
    <w:rsid w:val="050140F6"/>
    <w:rsid w:val="05020EA9"/>
    <w:rsid w:val="050A1188"/>
    <w:rsid w:val="051F6A72"/>
    <w:rsid w:val="052106F3"/>
    <w:rsid w:val="05261682"/>
    <w:rsid w:val="05266B3C"/>
    <w:rsid w:val="053F198D"/>
    <w:rsid w:val="05420BA3"/>
    <w:rsid w:val="054353D5"/>
    <w:rsid w:val="05582566"/>
    <w:rsid w:val="0559183C"/>
    <w:rsid w:val="05602200"/>
    <w:rsid w:val="05612125"/>
    <w:rsid w:val="056323C7"/>
    <w:rsid w:val="0565719A"/>
    <w:rsid w:val="05667495"/>
    <w:rsid w:val="05680C30"/>
    <w:rsid w:val="05687841"/>
    <w:rsid w:val="056E1642"/>
    <w:rsid w:val="056E54A1"/>
    <w:rsid w:val="057049B2"/>
    <w:rsid w:val="057E12A3"/>
    <w:rsid w:val="057E643C"/>
    <w:rsid w:val="057E76AF"/>
    <w:rsid w:val="05881AA8"/>
    <w:rsid w:val="058A25DB"/>
    <w:rsid w:val="059170DB"/>
    <w:rsid w:val="059A10B8"/>
    <w:rsid w:val="059F6CEE"/>
    <w:rsid w:val="05A33817"/>
    <w:rsid w:val="05A44CA7"/>
    <w:rsid w:val="05A955EB"/>
    <w:rsid w:val="05B07A9B"/>
    <w:rsid w:val="05B21C64"/>
    <w:rsid w:val="05C63123"/>
    <w:rsid w:val="05C802EB"/>
    <w:rsid w:val="05E8154D"/>
    <w:rsid w:val="05ED318D"/>
    <w:rsid w:val="05FE0636"/>
    <w:rsid w:val="060304D9"/>
    <w:rsid w:val="061042A0"/>
    <w:rsid w:val="062C1A1D"/>
    <w:rsid w:val="06406DCA"/>
    <w:rsid w:val="06481122"/>
    <w:rsid w:val="064918B1"/>
    <w:rsid w:val="066A3BAD"/>
    <w:rsid w:val="066D77F8"/>
    <w:rsid w:val="0670410E"/>
    <w:rsid w:val="06872922"/>
    <w:rsid w:val="068C48EE"/>
    <w:rsid w:val="06A23025"/>
    <w:rsid w:val="06A63500"/>
    <w:rsid w:val="06AB6A50"/>
    <w:rsid w:val="06B07A99"/>
    <w:rsid w:val="06B44F74"/>
    <w:rsid w:val="06BE6C09"/>
    <w:rsid w:val="06C137CC"/>
    <w:rsid w:val="06CF61AF"/>
    <w:rsid w:val="06D32F66"/>
    <w:rsid w:val="06DC20D7"/>
    <w:rsid w:val="06DF1533"/>
    <w:rsid w:val="06E4685A"/>
    <w:rsid w:val="06E8331D"/>
    <w:rsid w:val="06EE1F6A"/>
    <w:rsid w:val="06EE6AC2"/>
    <w:rsid w:val="06F16183"/>
    <w:rsid w:val="06F832D7"/>
    <w:rsid w:val="06FC2F9B"/>
    <w:rsid w:val="06FD15E5"/>
    <w:rsid w:val="070E2AFA"/>
    <w:rsid w:val="07175C10"/>
    <w:rsid w:val="071830E4"/>
    <w:rsid w:val="072D3BA0"/>
    <w:rsid w:val="073544ED"/>
    <w:rsid w:val="07375544"/>
    <w:rsid w:val="07422894"/>
    <w:rsid w:val="07427339"/>
    <w:rsid w:val="07482E34"/>
    <w:rsid w:val="07491CE7"/>
    <w:rsid w:val="074B5AB5"/>
    <w:rsid w:val="074E63A4"/>
    <w:rsid w:val="074E7718"/>
    <w:rsid w:val="075D43A3"/>
    <w:rsid w:val="0762754D"/>
    <w:rsid w:val="07673A87"/>
    <w:rsid w:val="07773CCA"/>
    <w:rsid w:val="077B634F"/>
    <w:rsid w:val="077F0C05"/>
    <w:rsid w:val="077F2301"/>
    <w:rsid w:val="07827989"/>
    <w:rsid w:val="078F68AC"/>
    <w:rsid w:val="07922B07"/>
    <w:rsid w:val="07923115"/>
    <w:rsid w:val="07972AF0"/>
    <w:rsid w:val="07A07E4B"/>
    <w:rsid w:val="07AF4FF0"/>
    <w:rsid w:val="07B058EA"/>
    <w:rsid w:val="07B30D84"/>
    <w:rsid w:val="07B54D24"/>
    <w:rsid w:val="07B570D5"/>
    <w:rsid w:val="07C00E96"/>
    <w:rsid w:val="07C44BFF"/>
    <w:rsid w:val="07C82CA9"/>
    <w:rsid w:val="07D72EEC"/>
    <w:rsid w:val="07DA61E2"/>
    <w:rsid w:val="07DC61F1"/>
    <w:rsid w:val="07F6190B"/>
    <w:rsid w:val="07F75DEF"/>
    <w:rsid w:val="07FB41FF"/>
    <w:rsid w:val="08035858"/>
    <w:rsid w:val="081B1303"/>
    <w:rsid w:val="08280E24"/>
    <w:rsid w:val="082D1A5D"/>
    <w:rsid w:val="08355B50"/>
    <w:rsid w:val="083A6832"/>
    <w:rsid w:val="08470072"/>
    <w:rsid w:val="084D2C68"/>
    <w:rsid w:val="085F2BC9"/>
    <w:rsid w:val="086414E5"/>
    <w:rsid w:val="086C700B"/>
    <w:rsid w:val="087244D8"/>
    <w:rsid w:val="087B7D1C"/>
    <w:rsid w:val="08815B33"/>
    <w:rsid w:val="088210AA"/>
    <w:rsid w:val="088A16DD"/>
    <w:rsid w:val="088E258D"/>
    <w:rsid w:val="088E541B"/>
    <w:rsid w:val="08902784"/>
    <w:rsid w:val="08987BDF"/>
    <w:rsid w:val="089A068D"/>
    <w:rsid w:val="08A964C4"/>
    <w:rsid w:val="08B31769"/>
    <w:rsid w:val="08BB62B8"/>
    <w:rsid w:val="08BC1A79"/>
    <w:rsid w:val="08BE16EC"/>
    <w:rsid w:val="08C02672"/>
    <w:rsid w:val="08C518EB"/>
    <w:rsid w:val="08D739C1"/>
    <w:rsid w:val="08E54B7A"/>
    <w:rsid w:val="08EA3BEB"/>
    <w:rsid w:val="08F02650"/>
    <w:rsid w:val="0905499E"/>
    <w:rsid w:val="090E293E"/>
    <w:rsid w:val="09196ACA"/>
    <w:rsid w:val="09273A00"/>
    <w:rsid w:val="092E3925"/>
    <w:rsid w:val="09314747"/>
    <w:rsid w:val="09335EF2"/>
    <w:rsid w:val="0947214B"/>
    <w:rsid w:val="09490231"/>
    <w:rsid w:val="095A48A8"/>
    <w:rsid w:val="0964787E"/>
    <w:rsid w:val="096C527F"/>
    <w:rsid w:val="096E4DAB"/>
    <w:rsid w:val="097504D7"/>
    <w:rsid w:val="09766FFF"/>
    <w:rsid w:val="097B5BD8"/>
    <w:rsid w:val="097D661B"/>
    <w:rsid w:val="098552F6"/>
    <w:rsid w:val="098A2126"/>
    <w:rsid w:val="099C045D"/>
    <w:rsid w:val="09A362B6"/>
    <w:rsid w:val="09B524B5"/>
    <w:rsid w:val="09BA3DFC"/>
    <w:rsid w:val="09BC1D3C"/>
    <w:rsid w:val="09BF1E8A"/>
    <w:rsid w:val="09CD2A3A"/>
    <w:rsid w:val="09D775C2"/>
    <w:rsid w:val="09DD12C9"/>
    <w:rsid w:val="09F014FD"/>
    <w:rsid w:val="09F10998"/>
    <w:rsid w:val="09F67C9D"/>
    <w:rsid w:val="09FB271C"/>
    <w:rsid w:val="0A02313B"/>
    <w:rsid w:val="0A304034"/>
    <w:rsid w:val="0A410B8B"/>
    <w:rsid w:val="0A4B06BA"/>
    <w:rsid w:val="0A4C35EF"/>
    <w:rsid w:val="0A4D4093"/>
    <w:rsid w:val="0A4E7FE5"/>
    <w:rsid w:val="0A5D3F5B"/>
    <w:rsid w:val="0A684E9E"/>
    <w:rsid w:val="0A6A097C"/>
    <w:rsid w:val="0A836427"/>
    <w:rsid w:val="0A8B2718"/>
    <w:rsid w:val="0A92264F"/>
    <w:rsid w:val="0AA07B2C"/>
    <w:rsid w:val="0AB26100"/>
    <w:rsid w:val="0AB40157"/>
    <w:rsid w:val="0AB650AC"/>
    <w:rsid w:val="0AB72067"/>
    <w:rsid w:val="0ACC32AD"/>
    <w:rsid w:val="0AD82FF1"/>
    <w:rsid w:val="0AF5047E"/>
    <w:rsid w:val="0AF72FE7"/>
    <w:rsid w:val="0AFC598E"/>
    <w:rsid w:val="0B030F4A"/>
    <w:rsid w:val="0B0E2AB8"/>
    <w:rsid w:val="0B297665"/>
    <w:rsid w:val="0B2B6E6A"/>
    <w:rsid w:val="0B330362"/>
    <w:rsid w:val="0B35293E"/>
    <w:rsid w:val="0B3A734C"/>
    <w:rsid w:val="0B4B1870"/>
    <w:rsid w:val="0B4E44AE"/>
    <w:rsid w:val="0B5B1C57"/>
    <w:rsid w:val="0B606756"/>
    <w:rsid w:val="0B77743F"/>
    <w:rsid w:val="0B7A2B73"/>
    <w:rsid w:val="0B7A42BB"/>
    <w:rsid w:val="0B8A109C"/>
    <w:rsid w:val="0B9B2A37"/>
    <w:rsid w:val="0BC5325F"/>
    <w:rsid w:val="0BC65A75"/>
    <w:rsid w:val="0BD53ED9"/>
    <w:rsid w:val="0BE51F14"/>
    <w:rsid w:val="0BEA4AEE"/>
    <w:rsid w:val="0BEB77C5"/>
    <w:rsid w:val="0C0054FE"/>
    <w:rsid w:val="0C1234B3"/>
    <w:rsid w:val="0C133080"/>
    <w:rsid w:val="0C160487"/>
    <w:rsid w:val="0C1652E7"/>
    <w:rsid w:val="0C177116"/>
    <w:rsid w:val="0C187AB7"/>
    <w:rsid w:val="0C1B419E"/>
    <w:rsid w:val="0C281936"/>
    <w:rsid w:val="0C2C2BAD"/>
    <w:rsid w:val="0C30382B"/>
    <w:rsid w:val="0C370C98"/>
    <w:rsid w:val="0C4727FD"/>
    <w:rsid w:val="0C565DA5"/>
    <w:rsid w:val="0C606A7C"/>
    <w:rsid w:val="0C691859"/>
    <w:rsid w:val="0C6F65EE"/>
    <w:rsid w:val="0C833643"/>
    <w:rsid w:val="0C8F676A"/>
    <w:rsid w:val="0C9E6C67"/>
    <w:rsid w:val="0CAC61FA"/>
    <w:rsid w:val="0CBD462B"/>
    <w:rsid w:val="0CC27205"/>
    <w:rsid w:val="0CC55A98"/>
    <w:rsid w:val="0CCB44E4"/>
    <w:rsid w:val="0CCB59F8"/>
    <w:rsid w:val="0CD625A5"/>
    <w:rsid w:val="0CD65E68"/>
    <w:rsid w:val="0CD914B5"/>
    <w:rsid w:val="0CDE28A7"/>
    <w:rsid w:val="0CDF65F4"/>
    <w:rsid w:val="0CE27D14"/>
    <w:rsid w:val="0CE342FD"/>
    <w:rsid w:val="0D00264F"/>
    <w:rsid w:val="0D007625"/>
    <w:rsid w:val="0D015536"/>
    <w:rsid w:val="0D023D4B"/>
    <w:rsid w:val="0D04078D"/>
    <w:rsid w:val="0D0A269D"/>
    <w:rsid w:val="0D0D13D9"/>
    <w:rsid w:val="0D0E491A"/>
    <w:rsid w:val="0D144630"/>
    <w:rsid w:val="0D1C2E46"/>
    <w:rsid w:val="0D20446E"/>
    <w:rsid w:val="0D291482"/>
    <w:rsid w:val="0D2B41EE"/>
    <w:rsid w:val="0D320DE8"/>
    <w:rsid w:val="0D355A89"/>
    <w:rsid w:val="0D4D42D7"/>
    <w:rsid w:val="0D4E0174"/>
    <w:rsid w:val="0D533015"/>
    <w:rsid w:val="0D6214AA"/>
    <w:rsid w:val="0D6D1D3E"/>
    <w:rsid w:val="0D780961"/>
    <w:rsid w:val="0D845FEE"/>
    <w:rsid w:val="0D9A2E0A"/>
    <w:rsid w:val="0DBC069B"/>
    <w:rsid w:val="0DD750FC"/>
    <w:rsid w:val="0DDA46B1"/>
    <w:rsid w:val="0DE01B7A"/>
    <w:rsid w:val="0DEB096A"/>
    <w:rsid w:val="0DF21A5F"/>
    <w:rsid w:val="0E0A2B03"/>
    <w:rsid w:val="0E1F21D4"/>
    <w:rsid w:val="0E341E2A"/>
    <w:rsid w:val="0E3C2BE4"/>
    <w:rsid w:val="0E3E2070"/>
    <w:rsid w:val="0E4331E5"/>
    <w:rsid w:val="0E4616F7"/>
    <w:rsid w:val="0E4B23B5"/>
    <w:rsid w:val="0E4E53E2"/>
    <w:rsid w:val="0E505FD0"/>
    <w:rsid w:val="0E546361"/>
    <w:rsid w:val="0E5C5C24"/>
    <w:rsid w:val="0E5E6115"/>
    <w:rsid w:val="0E623018"/>
    <w:rsid w:val="0E6D5326"/>
    <w:rsid w:val="0E721864"/>
    <w:rsid w:val="0E756654"/>
    <w:rsid w:val="0E82300E"/>
    <w:rsid w:val="0E894248"/>
    <w:rsid w:val="0E9423A3"/>
    <w:rsid w:val="0E982BC3"/>
    <w:rsid w:val="0E9B4C74"/>
    <w:rsid w:val="0EA77ABC"/>
    <w:rsid w:val="0EB13CEA"/>
    <w:rsid w:val="0EB73241"/>
    <w:rsid w:val="0EBC5EAF"/>
    <w:rsid w:val="0EC4144E"/>
    <w:rsid w:val="0ED10695"/>
    <w:rsid w:val="0ED86DE3"/>
    <w:rsid w:val="0F131459"/>
    <w:rsid w:val="0F182E66"/>
    <w:rsid w:val="0F20339A"/>
    <w:rsid w:val="0F301517"/>
    <w:rsid w:val="0F37053F"/>
    <w:rsid w:val="0F407B17"/>
    <w:rsid w:val="0F46797A"/>
    <w:rsid w:val="0F5E1666"/>
    <w:rsid w:val="0F691824"/>
    <w:rsid w:val="0F8B329F"/>
    <w:rsid w:val="0F9177DE"/>
    <w:rsid w:val="0F941F09"/>
    <w:rsid w:val="0F946D13"/>
    <w:rsid w:val="0F947A64"/>
    <w:rsid w:val="0FA74CC9"/>
    <w:rsid w:val="0FB33E2B"/>
    <w:rsid w:val="0FBA1517"/>
    <w:rsid w:val="0FC94985"/>
    <w:rsid w:val="0FD15ECD"/>
    <w:rsid w:val="0FD66AA1"/>
    <w:rsid w:val="0FD747A7"/>
    <w:rsid w:val="0FDA17CC"/>
    <w:rsid w:val="0FEB0EB5"/>
    <w:rsid w:val="0FF40FF8"/>
    <w:rsid w:val="0FFD3CC5"/>
    <w:rsid w:val="0FFF1080"/>
    <w:rsid w:val="10196818"/>
    <w:rsid w:val="10240C99"/>
    <w:rsid w:val="1026725C"/>
    <w:rsid w:val="102E5AE6"/>
    <w:rsid w:val="10311F39"/>
    <w:rsid w:val="10324047"/>
    <w:rsid w:val="10346F45"/>
    <w:rsid w:val="104259C7"/>
    <w:rsid w:val="104C14C9"/>
    <w:rsid w:val="105818C2"/>
    <w:rsid w:val="10667732"/>
    <w:rsid w:val="106678B4"/>
    <w:rsid w:val="106C5C0F"/>
    <w:rsid w:val="10765998"/>
    <w:rsid w:val="107A6671"/>
    <w:rsid w:val="10815870"/>
    <w:rsid w:val="108550DD"/>
    <w:rsid w:val="108D52B6"/>
    <w:rsid w:val="1094410E"/>
    <w:rsid w:val="109D2BB5"/>
    <w:rsid w:val="109E3271"/>
    <w:rsid w:val="10B27170"/>
    <w:rsid w:val="10B8736F"/>
    <w:rsid w:val="10C82F1A"/>
    <w:rsid w:val="10CB5CD8"/>
    <w:rsid w:val="10D206F5"/>
    <w:rsid w:val="10D5549C"/>
    <w:rsid w:val="10D77485"/>
    <w:rsid w:val="10E02D67"/>
    <w:rsid w:val="10E63766"/>
    <w:rsid w:val="10E6480A"/>
    <w:rsid w:val="11003E8F"/>
    <w:rsid w:val="111269FD"/>
    <w:rsid w:val="111A042D"/>
    <w:rsid w:val="11200D07"/>
    <w:rsid w:val="113112C8"/>
    <w:rsid w:val="1131713A"/>
    <w:rsid w:val="11394A9D"/>
    <w:rsid w:val="11411430"/>
    <w:rsid w:val="1144760D"/>
    <w:rsid w:val="11461E95"/>
    <w:rsid w:val="114B1744"/>
    <w:rsid w:val="1152373E"/>
    <w:rsid w:val="115540C7"/>
    <w:rsid w:val="115568D8"/>
    <w:rsid w:val="115A1CD4"/>
    <w:rsid w:val="116156B3"/>
    <w:rsid w:val="117556CB"/>
    <w:rsid w:val="11762377"/>
    <w:rsid w:val="11822615"/>
    <w:rsid w:val="11832B8F"/>
    <w:rsid w:val="118C5E20"/>
    <w:rsid w:val="118D6921"/>
    <w:rsid w:val="118E12AB"/>
    <w:rsid w:val="11940CC9"/>
    <w:rsid w:val="11A03111"/>
    <w:rsid w:val="11A37307"/>
    <w:rsid w:val="11AB1672"/>
    <w:rsid w:val="11B03649"/>
    <w:rsid w:val="11B83F1E"/>
    <w:rsid w:val="11BF1282"/>
    <w:rsid w:val="11C84454"/>
    <w:rsid w:val="11CD71D1"/>
    <w:rsid w:val="11D37E64"/>
    <w:rsid w:val="11DB6338"/>
    <w:rsid w:val="11EB7F75"/>
    <w:rsid w:val="11F34E34"/>
    <w:rsid w:val="12066E36"/>
    <w:rsid w:val="121414F4"/>
    <w:rsid w:val="122473BD"/>
    <w:rsid w:val="123478B9"/>
    <w:rsid w:val="123A684D"/>
    <w:rsid w:val="12424D1B"/>
    <w:rsid w:val="124B7897"/>
    <w:rsid w:val="12575356"/>
    <w:rsid w:val="12602ABA"/>
    <w:rsid w:val="12630D57"/>
    <w:rsid w:val="128D5AA4"/>
    <w:rsid w:val="12930097"/>
    <w:rsid w:val="12A03AB5"/>
    <w:rsid w:val="12A15812"/>
    <w:rsid w:val="12A630B5"/>
    <w:rsid w:val="12AA7B7B"/>
    <w:rsid w:val="12AE5CB3"/>
    <w:rsid w:val="12B31F5E"/>
    <w:rsid w:val="12B40043"/>
    <w:rsid w:val="12BB58E4"/>
    <w:rsid w:val="12BC2DAC"/>
    <w:rsid w:val="12C92E50"/>
    <w:rsid w:val="12D663DF"/>
    <w:rsid w:val="12DF1F2E"/>
    <w:rsid w:val="12E15CCF"/>
    <w:rsid w:val="12E3018F"/>
    <w:rsid w:val="12E41EE9"/>
    <w:rsid w:val="12F4646C"/>
    <w:rsid w:val="12F702C7"/>
    <w:rsid w:val="13025A65"/>
    <w:rsid w:val="13144EDB"/>
    <w:rsid w:val="131D087F"/>
    <w:rsid w:val="13271D0A"/>
    <w:rsid w:val="132F3DF7"/>
    <w:rsid w:val="1334398B"/>
    <w:rsid w:val="133551D8"/>
    <w:rsid w:val="13377AA8"/>
    <w:rsid w:val="13556121"/>
    <w:rsid w:val="136C3281"/>
    <w:rsid w:val="136C47E5"/>
    <w:rsid w:val="13704094"/>
    <w:rsid w:val="13763F01"/>
    <w:rsid w:val="137837D5"/>
    <w:rsid w:val="13806EA4"/>
    <w:rsid w:val="13892564"/>
    <w:rsid w:val="138D1D96"/>
    <w:rsid w:val="13916645"/>
    <w:rsid w:val="139574CC"/>
    <w:rsid w:val="1396222C"/>
    <w:rsid w:val="139E2979"/>
    <w:rsid w:val="13A3232F"/>
    <w:rsid w:val="13B41735"/>
    <w:rsid w:val="13B939A1"/>
    <w:rsid w:val="13BD4539"/>
    <w:rsid w:val="13CA68C6"/>
    <w:rsid w:val="13CB2985"/>
    <w:rsid w:val="13E65CE9"/>
    <w:rsid w:val="13ED4593"/>
    <w:rsid w:val="13FA71E7"/>
    <w:rsid w:val="14077E7B"/>
    <w:rsid w:val="14083C58"/>
    <w:rsid w:val="141D15B5"/>
    <w:rsid w:val="141F195A"/>
    <w:rsid w:val="142E7563"/>
    <w:rsid w:val="143C48B1"/>
    <w:rsid w:val="14463632"/>
    <w:rsid w:val="14482A57"/>
    <w:rsid w:val="145F5BFC"/>
    <w:rsid w:val="14755341"/>
    <w:rsid w:val="14887A48"/>
    <w:rsid w:val="148D32B1"/>
    <w:rsid w:val="148E1A53"/>
    <w:rsid w:val="14924EBE"/>
    <w:rsid w:val="14995C0A"/>
    <w:rsid w:val="14997DF3"/>
    <w:rsid w:val="14A26811"/>
    <w:rsid w:val="14AD73B0"/>
    <w:rsid w:val="14BD74B0"/>
    <w:rsid w:val="14C221C6"/>
    <w:rsid w:val="14C24DD2"/>
    <w:rsid w:val="14CA2BED"/>
    <w:rsid w:val="14CD293B"/>
    <w:rsid w:val="14D96BAE"/>
    <w:rsid w:val="14E8498B"/>
    <w:rsid w:val="14F37C16"/>
    <w:rsid w:val="14FE2B9E"/>
    <w:rsid w:val="15051189"/>
    <w:rsid w:val="1508717A"/>
    <w:rsid w:val="150D2643"/>
    <w:rsid w:val="1519424A"/>
    <w:rsid w:val="152055C1"/>
    <w:rsid w:val="152109DC"/>
    <w:rsid w:val="15212FAD"/>
    <w:rsid w:val="1528298E"/>
    <w:rsid w:val="153A55C3"/>
    <w:rsid w:val="153F6C36"/>
    <w:rsid w:val="154A6E5D"/>
    <w:rsid w:val="15593531"/>
    <w:rsid w:val="155D2B3B"/>
    <w:rsid w:val="155F4EE2"/>
    <w:rsid w:val="156C5557"/>
    <w:rsid w:val="158125AC"/>
    <w:rsid w:val="15857DAA"/>
    <w:rsid w:val="15902D73"/>
    <w:rsid w:val="15910F36"/>
    <w:rsid w:val="159613E6"/>
    <w:rsid w:val="15AE1730"/>
    <w:rsid w:val="15AE3392"/>
    <w:rsid w:val="15BA0B9C"/>
    <w:rsid w:val="15D373E9"/>
    <w:rsid w:val="15E36B75"/>
    <w:rsid w:val="15EF1687"/>
    <w:rsid w:val="15F14A12"/>
    <w:rsid w:val="160249D8"/>
    <w:rsid w:val="16163ABD"/>
    <w:rsid w:val="161905EC"/>
    <w:rsid w:val="1629525B"/>
    <w:rsid w:val="1636150A"/>
    <w:rsid w:val="1638773E"/>
    <w:rsid w:val="163B2CE1"/>
    <w:rsid w:val="163F15BB"/>
    <w:rsid w:val="16471230"/>
    <w:rsid w:val="164D5322"/>
    <w:rsid w:val="16526C4F"/>
    <w:rsid w:val="165B2F3A"/>
    <w:rsid w:val="165E2D92"/>
    <w:rsid w:val="16632022"/>
    <w:rsid w:val="16646293"/>
    <w:rsid w:val="166B2E90"/>
    <w:rsid w:val="166F7D97"/>
    <w:rsid w:val="167A4376"/>
    <w:rsid w:val="167B1B2E"/>
    <w:rsid w:val="16835D90"/>
    <w:rsid w:val="16867491"/>
    <w:rsid w:val="16874C79"/>
    <w:rsid w:val="168E1A79"/>
    <w:rsid w:val="16920EF3"/>
    <w:rsid w:val="169215DB"/>
    <w:rsid w:val="169E17A5"/>
    <w:rsid w:val="169F2AC4"/>
    <w:rsid w:val="16A40113"/>
    <w:rsid w:val="16A658D5"/>
    <w:rsid w:val="16AD2428"/>
    <w:rsid w:val="16AD7C3A"/>
    <w:rsid w:val="16BA1976"/>
    <w:rsid w:val="16BC4406"/>
    <w:rsid w:val="16C04F18"/>
    <w:rsid w:val="16C82AF1"/>
    <w:rsid w:val="16E16AB7"/>
    <w:rsid w:val="16E27095"/>
    <w:rsid w:val="16F63CD1"/>
    <w:rsid w:val="16F83233"/>
    <w:rsid w:val="1700596B"/>
    <w:rsid w:val="17022066"/>
    <w:rsid w:val="170831A2"/>
    <w:rsid w:val="17100B59"/>
    <w:rsid w:val="17163171"/>
    <w:rsid w:val="171A5079"/>
    <w:rsid w:val="171E5D1E"/>
    <w:rsid w:val="171F6063"/>
    <w:rsid w:val="172719B3"/>
    <w:rsid w:val="17295C1E"/>
    <w:rsid w:val="17413FE1"/>
    <w:rsid w:val="17592BAC"/>
    <w:rsid w:val="175E6258"/>
    <w:rsid w:val="176541CA"/>
    <w:rsid w:val="176814AA"/>
    <w:rsid w:val="177060B5"/>
    <w:rsid w:val="17786DA4"/>
    <w:rsid w:val="177E402F"/>
    <w:rsid w:val="17816700"/>
    <w:rsid w:val="17A03C3C"/>
    <w:rsid w:val="17A30712"/>
    <w:rsid w:val="17A814A3"/>
    <w:rsid w:val="17B250E1"/>
    <w:rsid w:val="17C6016F"/>
    <w:rsid w:val="17CE405E"/>
    <w:rsid w:val="17DD69D9"/>
    <w:rsid w:val="17DE73C8"/>
    <w:rsid w:val="17E01B83"/>
    <w:rsid w:val="17E852DA"/>
    <w:rsid w:val="17EE2C9E"/>
    <w:rsid w:val="18072360"/>
    <w:rsid w:val="180A25CE"/>
    <w:rsid w:val="180C5417"/>
    <w:rsid w:val="18185D9B"/>
    <w:rsid w:val="181A37CE"/>
    <w:rsid w:val="181E300E"/>
    <w:rsid w:val="182142E0"/>
    <w:rsid w:val="18216B7B"/>
    <w:rsid w:val="182309C5"/>
    <w:rsid w:val="18291C22"/>
    <w:rsid w:val="182F08D7"/>
    <w:rsid w:val="183042EF"/>
    <w:rsid w:val="1836746D"/>
    <w:rsid w:val="18372B66"/>
    <w:rsid w:val="18387AF4"/>
    <w:rsid w:val="183B5C04"/>
    <w:rsid w:val="184E4053"/>
    <w:rsid w:val="18510459"/>
    <w:rsid w:val="1851623B"/>
    <w:rsid w:val="186656A9"/>
    <w:rsid w:val="186662F2"/>
    <w:rsid w:val="1873723E"/>
    <w:rsid w:val="18796EE5"/>
    <w:rsid w:val="188A4102"/>
    <w:rsid w:val="189049B7"/>
    <w:rsid w:val="189808F3"/>
    <w:rsid w:val="189A28DC"/>
    <w:rsid w:val="189F774C"/>
    <w:rsid w:val="18A6634C"/>
    <w:rsid w:val="18AA796B"/>
    <w:rsid w:val="18B7061C"/>
    <w:rsid w:val="18BA2933"/>
    <w:rsid w:val="18BB51AE"/>
    <w:rsid w:val="18C30952"/>
    <w:rsid w:val="18C62C2A"/>
    <w:rsid w:val="18D014D5"/>
    <w:rsid w:val="18F11CD7"/>
    <w:rsid w:val="18FB4D81"/>
    <w:rsid w:val="18FC7112"/>
    <w:rsid w:val="19094ED0"/>
    <w:rsid w:val="191D4434"/>
    <w:rsid w:val="19221B6C"/>
    <w:rsid w:val="19243300"/>
    <w:rsid w:val="19367058"/>
    <w:rsid w:val="193C34F7"/>
    <w:rsid w:val="193F6317"/>
    <w:rsid w:val="19416C68"/>
    <w:rsid w:val="19541C07"/>
    <w:rsid w:val="1958570E"/>
    <w:rsid w:val="19655B04"/>
    <w:rsid w:val="196A00F2"/>
    <w:rsid w:val="19802244"/>
    <w:rsid w:val="19873FAE"/>
    <w:rsid w:val="19896092"/>
    <w:rsid w:val="198D5A70"/>
    <w:rsid w:val="19924EC5"/>
    <w:rsid w:val="19986B2E"/>
    <w:rsid w:val="19A164CC"/>
    <w:rsid w:val="19B906A4"/>
    <w:rsid w:val="19BB555F"/>
    <w:rsid w:val="19C060F1"/>
    <w:rsid w:val="19CB7125"/>
    <w:rsid w:val="19D072AB"/>
    <w:rsid w:val="19D3358C"/>
    <w:rsid w:val="19D513AA"/>
    <w:rsid w:val="19DA004E"/>
    <w:rsid w:val="19E143AE"/>
    <w:rsid w:val="19E5696F"/>
    <w:rsid w:val="19E80F89"/>
    <w:rsid w:val="19F24970"/>
    <w:rsid w:val="19F467DB"/>
    <w:rsid w:val="19F6098C"/>
    <w:rsid w:val="19F653B9"/>
    <w:rsid w:val="19F94AE7"/>
    <w:rsid w:val="1A0308E2"/>
    <w:rsid w:val="1A07220F"/>
    <w:rsid w:val="1A0E16F1"/>
    <w:rsid w:val="1A1B3FF6"/>
    <w:rsid w:val="1A1C2257"/>
    <w:rsid w:val="1A207BBE"/>
    <w:rsid w:val="1A2122F0"/>
    <w:rsid w:val="1A355AFC"/>
    <w:rsid w:val="1A361404"/>
    <w:rsid w:val="1A3B555D"/>
    <w:rsid w:val="1A3F2DB5"/>
    <w:rsid w:val="1A404E9F"/>
    <w:rsid w:val="1A454B30"/>
    <w:rsid w:val="1A507798"/>
    <w:rsid w:val="1A511C78"/>
    <w:rsid w:val="1A523047"/>
    <w:rsid w:val="1A526422"/>
    <w:rsid w:val="1A563A14"/>
    <w:rsid w:val="1A733483"/>
    <w:rsid w:val="1A9858F7"/>
    <w:rsid w:val="1A9D70D7"/>
    <w:rsid w:val="1AA35A16"/>
    <w:rsid w:val="1AB45730"/>
    <w:rsid w:val="1AB5028B"/>
    <w:rsid w:val="1AC26BDC"/>
    <w:rsid w:val="1AC5187C"/>
    <w:rsid w:val="1AD94B62"/>
    <w:rsid w:val="1AD9630C"/>
    <w:rsid w:val="1ADE22A7"/>
    <w:rsid w:val="1AE64EBC"/>
    <w:rsid w:val="1AE71DE7"/>
    <w:rsid w:val="1AEB6177"/>
    <w:rsid w:val="1B0C463B"/>
    <w:rsid w:val="1B0E2159"/>
    <w:rsid w:val="1B1836D1"/>
    <w:rsid w:val="1B19080E"/>
    <w:rsid w:val="1B287745"/>
    <w:rsid w:val="1B30025A"/>
    <w:rsid w:val="1B381E08"/>
    <w:rsid w:val="1B4B27A6"/>
    <w:rsid w:val="1B606BAA"/>
    <w:rsid w:val="1B6512AC"/>
    <w:rsid w:val="1B6B520C"/>
    <w:rsid w:val="1B6E262F"/>
    <w:rsid w:val="1B732FD0"/>
    <w:rsid w:val="1B7727D2"/>
    <w:rsid w:val="1B8F0BCE"/>
    <w:rsid w:val="1BA15604"/>
    <w:rsid w:val="1BA3160C"/>
    <w:rsid w:val="1BA85FDC"/>
    <w:rsid w:val="1BBE42E1"/>
    <w:rsid w:val="1BCD69A3"/>
    <w:rsid w:val="1BEC2FB3"/>
    <w:rsid w:val="1BF3725F"/>
    <w:rsid w:val="1C024D30"/>
    <w:rsid w:val="1C0E0E70"/>
    <w:rsid w:val="1C0E7A61"/>
    <w:rsid w:val="1C0F2C05"/>
    <w:rsid w:val="1C2455D3"/>
    <w:rsid w:val="1C29765C"/>
    <w:rsid w:val="1C2D7127"/>
    <w:rsid w:val="1C390BEC"/>
    <w:rsid w:val="1C3C3AD1"/>
    <w:rsid w:val="1C467F15"/>
    <w:rsid w:val="1C477FBF"/>
    <w:rsid w:val="1C4843B4"/>
    <w:rsid w:val="1C58350F"/>
    <w:rsid w:val="1C5F0046"/>
    <w:rsid w:val="1C5F3784"/>
    <w:rsid w:val="1C651F87"/>
    <w:rsid w:val="1C671994"/>
    <w:rsid w:val="1C6A3E58"/>
    <w:rsid w:val="1C715266"/>
    <w:rsid w:val="1C7624FE"/>
    <w:rsid w:val="1C811547"/>
    <w:rsid w:val="1C8721FE"/>
    <w:rsid w:val="1C8B3DC8"/>
    <w:rsid w:val="1C9D60AF"/>
    <w:rsid w:val="1C9E2B76"/>
    <w:rsid w:val="1CA97853"/>
    <w:rsid w:val="1CAD11F5"/>
    <w:rsid w:val="1CAF345E"/>
    <w:rsid w:val="1CC41839"/>
    <w:rsid w:val="1CCB39F0"/>
    <w:rsid w:val="1CD11FA6"/>
    <w:rsid w:val="1CD51B60"/>
    <w:rsid w:val="1CD56653"/>
    <w:rsid w:val="1CD96277"/>
    <w:rsid w:val="1CDA2E0B"/>
    <w:rsid w:val="1CE97997"/>
    <w:rsid w:val="1CF251E8"/>
    <w:rsid w:val="1CF56CC4"/>
    <w:rsid w:val="1CFB351E"/>
    <w:rsid w:val="1CFC0FD3"/>
    <w:rsid w:val="1D000324"/>
    <w:rsid w:val="1D0205B4"/>
    <w:rsid w:val="1D0540B3"/>
    <w:rsid w:val="1D0E51AB"/>
    <w:rsid w:val="1D1B3633"/>
    <w:rsid w:val="1D1D0F4A"/>
    <w:rsid w:val="1D1F3B6F"/>
    <w:rsid w:val="1D2670B3"/>
    <w:rsid w:val="1D306D59"/>
    <w:rsid w:val="1D392B5B"/>
    <w:rsid w:val="1D4A2C76"/>
    <w:rsid w:val="1D4B184E"/>
    <w:rsid w:val="1D4B5AB7"/>
    <w:rsid w:val="1D4D6B1C"/>
    <w:rsid w:val="1D511B6D"/>
    <w:rsid w:val="1D5C70BA"/>
    <w:rsid w:val="1D632B53"/>
    <w:rsid w:val="1D6D53B5"/>
    <w:rsid w:val="1D806057"/>
    <w:rsid w:val="1D811E24"/>
    <w:rsid w:val="1D8647F8"/>
    <w:rsid w:val="1D882308"/>
    <w:rsid w:val="1D91626F"/>
    <w:rsid w:val="1D942ADA"/>
    <w:rsid w:val="1D9B47AB"/>
    <w:rsid w:val="1DA32B80"/>
    <w:rsid w:val="1DA356EB"/>
    <w:rsid w:val="1DB57B2C"/>
    <w:rsid w:val="1DBE1E96"/>
    <w:rsid w:val="1DCE480A"/>
    <w:rsid w:val="1DCF2D23"/>
    <w:rsid w:val="1DD15D00"/>
    <w:rsid w:val="1DD652D6"/>
    <w:rsid w:val="1DDC6989"/>
    <w:rsid w:val="1DE16A69"/>
    <w:rsid w:val="1DE20C81"/>
    <w:rsid w:val="1DE9594C"/>
    <w:rsid w:val="1DEA4D84"/>
    <w:rsid w:val="1DF26E6E"/>
    <w:rsid w:val="1DF81A54"/>
    <w:rsid w:val="1DFD4F21"/>
    <w:rsid w:val="1E096FD1"/>
    <w:rsid w:val="1E1130BE"/>
    <w:rsid w:val="1E1862E1"/>
    <w:rsid w:val="1E1A4B9C"/>
    <w:rsid w:val="1E1B71E7"/>
    <w:rsid w:val="1E1E1D48"/>
    <w:rsid w:val="1E3D1482"/>
    <w:rsid w:val="1E3F79E4"/>
    <w:rsid w:val="1E424FBB"/>
    <w:rsid w:val="1E4F3980"/>
    <w:rsid w:val="1E505BE2"/>
    <w:rsid w:val="1E636E30"/>
    <w:rsid w:val="1E6D01C3"/>
    <w:rsid w:val="1E6D595F"/>
    <w:rsid w:val="1E70731E"/>
    <w:rsid w:val="1E721159"/>
    <w:rsid w:val="1E775BF2"/>
    <w:rsid w:val="1E7767EC"/>
    <w:rsid w:val="1E8B4CFA"/>
    <w:rsid w:val="1E9248FA"/>
    <w:rsid w:val="1E9272EE"/>
    <w:rsid w:val="1E9D51E6"/>
    <w:rsid w:val="1EA36F3C"/>
    <w:rsid w:val="1EA65060"/>
    <w:rsid w:val="1EC661DE"/>
    <w:rsid w:val="1ECB39F5"/>
    <w:rsid w:val="1ED5232B"/>
    <w:rsid w:val="1EDF0D0A"/>
    <w:rsid w:val="1EE44EE7"/>
    <w:rsid w:val="1EE94819"/>
    <w:rsid w:val="1EF32AD4"/>
    <w:rsid w:val="1EFA2713"/>
    <w:rsid w:val="1F022EC7"/>
    <w:rsid w:val="1F08718A"/>
    <w:rsid w:val="1F0960B4"/>
    <w:rsid w:val="1F0D5C9D"/>
    <w:rsid w:val="1F0E540A"/>
    <w:rsid w:val="1F153F7F"/>
    <w:rsid w:val="1F1E3DEF"/>
    <w:rsid w:val="1F2927A9"/>
    <w:rsid w:val="1F355F36"/>
    <w:rsid w:val="1F4C4115"/>
    <w:rsid w:val="1F5D4699"/>
    <w:rsid w:val="1F687181"/>
    <w:rsid w:val="1F6A07CF"/>
    <w:rsid w:val="1F7F7885"/>
    <w:rsid w:val="1F817EB6"/>
    <w:rsid w:val="1F9961B3"/>
    <w:rsid w:val="1F9A24F5"/>
    <w:rsid w:val="1FA53F06"/>
    <w:rsid w:val="1FAC6213"/>
    <w:rsid w:val="1FB764C2"/>
    <w:rsid w:val="1FC34626"/>
    <w:rsid w:val="1FC64832"/>
    <w:rsid w:val="1FDB3AB6"/>
    <w:rsid w:val="1FE765D2"/>
    <w:rsid w:val="1FE94F2A"/>
    <w:rsid w:val="1FF97B22"/>
    <w:rsid w:val="1FFE5406"/>
    <w:rsid w:val="20064A8B"/>
    <w:rsid w:val="200E03DF"/>
    <w:rsid w:val="20160F4D"/>
    <w:rsid w:val="20294347"/>
    <w:rsid w:val="2029725D"/>
    <w:rsid w:val="202C0546"/>
    <w:rsid w:val="203B42C4"/>
    <w:rsid w:val="203B654B"/>
    <w:rsid w:val="2040567B"/>
    <w:rsid w:val="20470B03"/>
    <w:rsid w:val="204A2426"/>
    <w:rsid w:val="204A5371"/>
    <w:rsid w:val="204F4E90"/>
    <w:rsid w:val="20580D9D"/>
    <w:rsid w:val="20592EC7"/>
    <w:rsid w:val="2066033D"/>
    <w:rsid w:val="206A16B7"/>
    <w:rsid w:val="20722344"/>
    <w:rsid w:val="20774ED1"/>
    <w:rsid w:val="20781D28"/>
    <w:rsid w:val="207B2902"/>
    <w:rsid w:val="20800EAB"/>
    <w:rsid w:val="208D6F53"/>
    <w:rsid w:val="208F5479"/>
    <w:rsid w:val="20AC6984"/>
    <w:rsid w:val="20B95E2E"/>
    <w:rsid w:val="20BE1580"/>
    <w:rsid w:val="20C526EC"/>
    <w:rsid w:val="20C660B2"/>
    <w:rsid w:val="20C74D5D"/>
    <w:rsid w:val="20D427F7"/>
    <w:rsid w:val="20D61965"/>
    <w:rsid w:val="20D61B3B"/>
    <w:rsid w:val="20D657D4"/>
    <w:rsid w:val="20E2415E"/>
    <w:rsid w:val="20E7235C"/>
    <w:rsid w:val="20E80F8B"/>
    <w:rsid w:val="20F14208"/>
    <w:rsid w:val="20F36B91"/>
    <w:rsid w:val="20FF1F74"/>
    <w:rsid w:val="21001DD2"/>
    <w:rsid w:val="211973D2"/>
    <w:rsid w:val="211B1C44"/>
    <w:rsid w:val="212E5A86"/>
    <w:rsid w:val="213661DC"/>
    <w:rsid w:val="21390639"/>
    <w:rsid w:val="213D1C4D"/>
    <w:rsid w:val="21431AAD"/>
    <w:rsid w:val="21537630"/>
    <w:rsid w:val="215A3D1A"/>
    <w:rsid w:val="216A39FD"/>
    <w:rsid w:val="216A4981"/>
    <w:rsid w:val="216A5733"/>
    <w:rsid w:val="216D5D95"/>
    <w:rsid w:val="21786958"/>
    <w:rsid w:val="217F21D3"/>
    <w:rsid w:val="21896B8C"/>
    <w:rsid w:val="21911871"/>
    <w:rsid w:val="21A11AC4"/>
    <w:rsid w:val="21AB0D8C"/>
    <w:rsid w:val="21AC5E36"/>
    <w:rsid w:val="21B52438"/>
    <w:rsid w:val="21B97227"/>
    <w:rsid w:val="21C20633"/>
    <w:rsid w:val="21CC5DF2"/>
    <w:rsid w:val="21CF6EEF"/>
    <w:rsid w:val="21DE778B"/>
    <w:rsid w:val="21DF4C76"/>
    <w:rsid w:val="220646A2"/>
    <w:rsid w:val="220658B1"/>
    <w:rsid w:val="22067761"/>
    <w:rsid w:val="22115FD3"/>
    <w:rsid w:val="222D6C87"/>
    <w:rsid w:val="223039B8"/>
    <w:rsid w:val="223C4209"/>
    <w:rsid w:val="223E3F1B"/>
    <w:rsid w:val="2240523B"/>
    <w:rsid w:val="224F0154"/>
    <w:rsid w:val="225640B6"/>
    <w:rsid w:val="22583FD0"/>
    <w:rsid w:val="22642833"/>
    <w:rsid w:val="2296264F"/>
    <w:rsid w:val="22B1785E"/>
    <w:rsid w:val="22B26566"/>
    <w:rsid w:val="22B70D65"/>
    <w:rsid w:val="22BF75D6"/>
    <w:rsid w:val="22C50E14"/>
    <w:rsid w:val="22C759EF"/>
    <w:rsid w:val="22D15710"/>
    <w:rsid w:val="22E25DA6"/>
    <w:rsid w:val="22F25CF2"/>
    <w:rsid w:val="23021CC3"/>
    <w:rsid w:val="23043B2B"/>
    <w:rsid w:val="2307036B"/>
    <w:rsid w:val="232928EC"/>
    <w:rsid w:val="23447230"/>
    <w:rsid w:val="234B4EBD"/>
    <w:rsid w:val="235737EC"/>
    <w:rsid w:val="235872FB"/>
    <w:rsid w:val="23725E4E"/>
    <w:rsid w:val="23735A5C"/>
    <w:rsid w:val="23743584"/>
    <w:rsid w:val="237C631F"/>
    <w:rsid w:val="23854950"/>
    <w:rsid w:val="238F51B8"/>
    <w:rsid w:val="23B03F30"/>
    <w:rsid w:val="23B46E42"/>
    <w:rsid w:val="23C7126D"/>
    <w:rsid w:val="23CA1809"/>
    <w:rsid w:val="23CF68E0"/>
    <w:rsid w:val="23D9003D"/>
    <w:rsid w:val="23EE48B6"/>
    <w:rsid w:val="24092228"/>
    <w:rsid w:val="24093F47"/>
    <w:rsid w:val="24106D08"/>
    <w:rsid w:val="241C178A"/>
    <w:rsid w:val="241C29A8"/>
    <w:rsid w:val="24247B5C"/>
    <w:rsid w:val="242C7097"/>
    <w:rsid w:val="24354DEC"/>
    <w:rsid w:val="243B5006"/>
    <w:rsid w:val="244E07EA"/>
    <w:rsid w:val="24551DD6"/>
    <w:rsid w:val="246A53BC"/>
    <w:rsid w:val="246B2CC2"/>
    <w:rsid w:val="246D0536"/>
    <w:rsid w:val="247104F9"/>
    <w:rsid w:val="247922F0"/>
    <w:rsid w:val="248A6AB7"/>
    <w:rsid w:val="249005F8"/>
    <w:rsid w:val="24971D74"/>
    <w:rsid w:val="2499154F"/>
    <w:rsid w:val="24A06722"/>
    <w:rsid w:val="24A70287"/>
    <w:rsid w:val="24B47E6F"/>
    <w:rsid w:val="24D42825"/>
    <w:rsid w:val="24DA2210"/>
    <w:rsid w:val="24E2299E"/>
    <w:rsid w:val="24FD1D8D"/>
    <w:rsid w:val="24FF4CD1"/>
    <w:rsid w:val="25023EAB"/>
    <w:rsid w:val="25054046"/>
    <w:rsid w:val="250A7E0D"/>
    <w:rsid w:val="2519293C"/>
    <w:rsid w:val="25232FC0"/>
    <w:rsid w:val="2527482B"/>
    <w:rsid w:val="252A5F11"/>
    <w:rsid w:val="252E0C3A"/>
    <w:rsid w:val="25424740"/>
    <w:rsid w:val="25430F19"/>
    <w:rsid w:val="25471A77"/>
    <w:rsid w:val="254D380A"/>
    <w:rsid w:val="255344CF"/>
    <w:rsid w:val="255A74A9"/>
    <w:rsid w:val="256659B4"/>
    <w:rsid w:val="2568525A"/>
    <w:rsid w:val="256A6470"/>
    <w:rsid w:val="25776B9B"/>
    <w:rsid w:val="257E5DF8"/>
    <w:rsid w:val="258F66E9"/>
    <w:rsid w:val="25956B5B"/>
    <w:rsid w:val="259D4869"/>
    <w:rsid w:val="25BD5AF1"/>
    <w:rsid w:val="25D13D78"/>
    <w:rsid w:val="25E42F4C"/>
    <w:rsid w:val="25F056EE"/>
    <w:rsid w:val="25F32199"/>
    <w:rsid w:val="25FD4C56"/>
    <w:rsid w:val="26097A2E"/>
    <w:rsid w:val="26121868"/>
    <w:rsid w:val="26172307"/>
    <w:rsid w:val="262C2691"/>
    <w:rsid w:val="26303B2E"/>
    <w:rsid w:val="264253F2"/>
    <w:rsid w:val="264B1370"/>
    <w:rsid w:val="265F61DE"/>
    <w:rsid w:val="26635DF3"/>
    <w:rsid w:val="2666288B"/>
    <w:rsid w:val="266F4625"/>
    <w:rsid w:val="26772C75"/>
    <w:rsid w:val="267C4F33"/>
    <w:rsid w:val="268053F7"/>
    <w:rsid w:val="26846874"/>
    <w:rsid w:val="268D2748"/>
    <w:rsid w:val="26974ACC"/>
    <w:rsid w:val="269E7014"/>
    <w:rsid w:val="26AE2525"/>
    <w:rsid w:val="26AF30B9"/>
    <w:rsid w:val="26C02598"/>
    <w:rsid w:val="26C335DB"/>
    <w:rsid w:val="26DD4A70"/>
    <w:rsid w:val="26DE5BEE"/>
    <w:rsid w:val="26E34FB2"/>
    <w:rsid w:val="26EB5FA7"/>
    <w:rsid w:val="26F77B03"/>
    <w:rsid w:val="27221F7E"/>
    <w:rsid w:val="2724034F"/>
    <w:rsid w:val="27243C42"/>
    <w:rsid w:val="27280E92"/>
    <w:rsid w:val="27281745"/>
    <w:rsid w:val="27313F6F"/>
    <w:rsid w:val="273E5BB6"/>
    <w:rsid w:val="27473359"/>
    <w:rsid w:val="274C0560"/>
    <w:rsid w:val="275806F5"/>
    <w:rsid w:val="275C4B02"/>
    <w:rsid w:val="27615F36"/>
    <w:rsid w:val="27677991"/>
    <w:rsid w:val="27692AAC"/>
    <w:rsid w:val="276B48A4"/>
    <w:rsid w:val="276F3F84"/>
    <w:rsid w:val="27734777"/>
    <w:rsid w:val="277A3F37"/>
    <w:rsid w:val="278414D2"/>
    <w:rsid w:val="278D4FEB"/>
    <w:rsid w:val="278F3C03"/>
    <w:rsid w:val="279770C1"/>
    <w:rsid w:val="27A01D28"/>
    <w:rsid w:val="27AE736E"/>
    <w:rsid w:val="27B80DF7"/>
    <w:rsid w:val="27C004BB"/>
    <w:rsid w:val="27C17250"/>
    <w:rsid w:val="27C432D4"/>
    <w:rsid w:val="27C63454"/>
    <w:rsid w:val="27CB03FB"/>
    <w:rsid w:val="27CC3C98"/>
    <w:rsid w:val="27D15AAA"/>
    <w:rsid w:val="27D64AAC"/>
    <w:rsid w:val="27E21574"/>
    <w:rsid w:val="27EC7E96"/>
    <w:rsid w:val="27EF6EBF"/>
    <w:rsid w:val="27F73FD0"/>
    <w:rsid w:val="27F82CDF"/>
    <w:rsid w:val="27FD785E"/>
    <w:rsid w:val="280776FE"/>
    <w:rsid w:val="28094201"/>
    <w:rsid w:val="280A42D5"/>
    <w:rsid w:val="280F3898"/>
    <w:rsid w:val="281844B8"/>
    <w:rsid w:val="28215B63"/>
    <w:rsid w:val="282D45AF"/>
    <w:rsid w:val="28342900"/>
    <w:rsid w:val="284F387E"/>
    <w:rsid w:val="286B79A0"/>
    <w:rsid w:val="28884EF6"/>
    <w:rsid w:val="288D4566"/>
    <w:rsid w:val="28A73B58"/>
    <w:rsid w:val="28AA0578"/>
    <w:rsid w:val="28B94FC2"/>
    <w:rsid w:val="28CA54D3"/>
    <w:rsid w:val="28D21E05"/>
    <w:rsid w:val="28DE3C83"/>
    <w:rsid w:val="28E060D5"/>
    <w:rsid w:val="28E440D0"/>
    <w:rsid w:val="28E7285B"/>
    <w:rsid w:val="29130211"/>
    <w:rsid w:val="29144430"/>
    <w:rsid w:val="29146366"/>
    <w:rsid w:val="29177195"/>
    <w:rsid w:val="291E2121"/>
    <w:rsid w:val="29237FB2"/>
    <w:rsid w:val="29280D0B"/>
    <w:rsid w:val="292B58F5"/>
    <w:rsid w:val="29317DDF"/>
    <w:rsid w:val="293526B0"/>
    <w:rsid w:val="293A1F88"/>
    <w:rsid w:val="29480E39"/>
    <w:rsid w:val="294A407E"/>
    <w:rsid w:val="294C55C8"/>
    <w:rsid w:val="2955033F"/>
    <w:rsid w:val="295C333F"/>
    <w:rsid w:val="2976210D"/>
    <w:rsid w:val="2988096C"/>
    <w:rsid w:val="298A17A2"/>
    <w:rsid w:val="298A7967"/>
    <w:rsid w:val="298C5733"/>
    <w:rsid w:val="29944785"/>
    <w:rsid w:val="299C3227"/>
    <w:rsid w:val="29BC343A"/>
    <w:rsid w:val="29D37387"/>
    <w:rsid w:val="29D43593"/>
    <w:rsid w:val="29DA2B63"/>
    <w:rsid w:val="29E46486"/>
    <w:rsid w:val="29F01EB7"/>
    <w:rsid w:val="29F302C8"/>
    <w:rsid w:val="29F9374F"/>
    <w:rsid w:val="29FA778E"/>
    <w:rsid w:val="29FC6917"/>
    <w:rsid w:val="29FE4995"/>
    <w:rsid w:val="2A0179E0"/>
    <w:rsid w:val="2A0D4AFC"/>
    <w:rsid w:val="2A107917"/>
    <w:rsid w:val="2A11029D"/>
    <w:rsid w:val="2A1253C2"/>
    <w:rsid w:val="2A183DCB"/>
    <w:rsid w:val="2A1A042F"/>
    <w:rsid w:val="2A210A33"/>
    <w:rsid w:val="2A21692E"/>
    <w:rsid w:val="2A304FED"/>
    <w:rsid w:val="2A335B8F"/>
    <w:rsid w:val="2A3754FE"/>
    <w:rsid w:val="2A3B1B9B"/>
    <w:rsid w:val="2A3B745D"/>
    <w:rsid w:val="2A426CFC"/>
    <w:rsid w:val="2A447FB6"/>
    <w:rsid w:val="2A4622BB"/>
    <w:rsid w:val="2A664514"/>
    <w:rsid w:val="2A6B30C0"/>
    <w:rsid w:val="2A7A6E4A"/>
    <w:rsid w:val="2AA978B7"/>
    <w:rsid w:val="2AB61C3F"/>
    <w:rsid w:val="2ABF277A"/>
    <w:rsid w:val="2AC338DC"/>
    <w:rsid w:val="2AC55599"/>
    <w:rsid w:val="2AC77BC0"/>
    <w:rsid w:val="2ACA6876"/>
    <w:rsid w:val="2AD40FB5"/>
    <w:rsid w:val="2AD702EF"/>
    <w:rsid w:val="2ADA30A3"/>
    <w:rsid w:val="2ADA3194"/>
    <w:rsid w:val="2AE01DAD"/>
    <w:rsid w:val="2AF61758"/>
    <w:rsid w:val="2AF705D8"/>
    <w:rsid w:val="2AFD6380"/>
    <w:rsid w:val="2AFD6BBF"/>
    <w:rsid w:val="2AFE2EFB"/>
    <w:rsid w:val="2B0100FD"/>
    <w:rsid w:val="2B0F6BAB"/>
    <w:rsid w:val="2B20210F"/>
    <w:rsid w:val="2B254A40"/>
    <w:rsid w:val="2B3F2FC3"/>
    <w:rsid w:val="2B450826"/>
    <w:rsid w:val="2B466453"/>
    <w:rsid w:val="2B4963AF"/>
    <w:rsid w:val="2B4C6451"/>
    <w:rsid w:val="2B542965"/>
    <w:rsid w:val="2B5533BA"/>
    <w:rsid w:val="2B601E1A"/>
    <w:rsid w:val="2B625ABC"/>
    <w:rsid w:val="2B642040"/>
    <w:rsid w:val="2B730913"/>
    <w:rsid w:val="2B7408CF"/>
    <w:rsid w:val="2B956BF0"/>
    <w:rsid w:val="2B996C89"/>
    <w:rsid w:val="2BB33080"/>
    <w:rsid w:val="2BB4516F"/>
    <w:rsid w:val="2BB47D0C"/>
    <w:rsid w:val="2BB8447E"/>
    <w:rsid w:val="2BBD3027"/>
    <w:rsid w:val="2BBD47D2"/>
    <w:rsid w:val="2BBF3576"/>
    <w:rsid w:val="2BC40315"/>
    <w:rsid w:val="2BC63305"/>
    <w:rsid w:val="2BCF4F12"/>
    <w:rsid w:val="2BD4204F"/>
    <w:rsid w:val="2BDD4C38"/>
    <w:rsid w:val="2C056E73"/>
    <w:rsid w:val="2C0900F6"/>
    <w:rsid w:val="2C0F59D8"/>
    <w:rsid w:val="2C154723"/>
    <w:rsid w:val="2C18214B"/>
    <w:rsid w:val="2C1A7C60"/>
    <w:rsid w:val="2C1C6BAD"/>
    <w:rsid w:val="2C2033F8"/>
    <w:rsid w:val="2C2B083D"/>
    <w:rsid w:val="2C2B6B0C"/>
    <w:rsid w:val="2C3F3C30"/>
    <w:rsid w:val="2C441150"/>
    <w:rsid w:val="2C4800F9"/>
    <w:rsid w:val="2C4D62D1"/>
    <w:rsid w:val="2C522D27"/>
    <w:rsid w:val="2C5D0166"/>
    <w:rsid w:val="2C683D42"/>
    <w:rsid w:val="2C710482"/>
    <w:rsid w:val="2C7D0EBB"/>
    <w:rsid w:val="2C8F7041"/>
    <w:rsid w:val="2C946225"/>
    <w:rsid w:val="2CA1066A"/>
    <w:rsid w:val="2CA9093B"/>
    <w:rsid w:val="2CA96264"/>
    <w:rsid w:val="2CAA6B2D"/>
    <w:rsid w:val="2CAB2B03"/>
    <w:rsid w:val="2CAF33CD"/>
    <w:rsid w:val="2CB371D5"/>
    <w:rsid w:val="2CBA10EE"/>
    <w:rsid w:val="2CC01828"/>
    <w:rsid w:val="2CC765F2"/>
    <w:rsid w:val="2CCE400E"/>
    <w:rsid w:val="2CCF488E"/>
    <w:rsid w:val="2CD21D51"/>
    <w:rsid w:val="2CD258F8"/>
    <w:rsid w:val="2CD7042C"/>
    <w:rsid w:val="2CF241A1"/>
    <w:rsid w:val="2D022C3C"/>
    <w:rsid w:val="2D073C1B"/>
    <w:rsid w:val="2D0B6BED"/>
    <w:rsid w:val="2D0D1ECD"/>
    <w:rsid w:val="2D124B15"/>
    <w:rsid w:val="2D1E6F34"/>
    <w:rsid w:val="2D25735B"/>
    <w:rsid w:val="2D260C31"/>
    <w:rsid w:val="2D525E54"/>
    <w:rsid w:val="2D5E551D"/>
    <w:rsid w:val="2D625B74"/>
    <w:rsid w:val="2D67252C"/>
    <w:rsid w:val="2D764446"/>
    <w:rsid w:val="2D7E2FF2"/>
    <w:rsid w:val="2D801951"/>
    <w:rsid w:val="2D8507F9"/>
    <w:rsid w:val="2D8E34EE"/>
    <w:rsid w:val="2DB02291"/>
    <w:rsid w:val="2DD34C40"/>
    <w:rsid w:val="2DE0224B"/>
    <w:rsid w:val="2DFA4A25"/>
    <w:rsid w:val="2E004038"/>
    <w:rsid w:val="2E0E4F95"/>
    <w:rsid w:val="2E104F8A"/>
    <w:rsid w:val="2E186CCD"/>
    <w:rsid w:val="2E1F1CC8"/>
    <w:rsid w:val="2E1F2306"/>
    <w:rsid w:val="2E255BCE"/>
    <w:rsid w:val="2E403809"/>
    <w:rsid w:val="2E420BC3"/>
    <w:rsid w:val="2E5878BA"/>
    <w:rsid w:val="2E65560D"/>
    <w:rsid w:val="2E6B33AE"/>
    <w:rsid w:val="2E7360F6"/>
    <w:rsid w:val="2E7A4E96"/>
    <w:rsid w:val="2E7A57F5"/>
    <w:rsid w:val="2E811C3D"/>
    <w:rsid w:val="2E883AB9"/>
    <w:rsid w:val="2E961E3D"/>
    <w:rsid w:val="2E9C1269"/>
    <w:rsid w:val="2EA16F30"/>
    <w:rsid w:val="2EA6468C"/>
    <w:rsid w:val="2EAB2859"/>
    <w:rsid w:val="2EAB4607"/>
    <w:rsid w:val="2EB67BDF"/>
    <w:rsid w:val="2EC04DD0"/>
    <w:rsid w:val="2ED35D31"/>
    <w:rsid w:val="2EEF439F"/>
    <w:rsid w:val="2EF00041"/>
    <w:rsid w:val="2EFF77DC"/>
    <w:rsid w:val="2F2A674A"/>
    <w:rsid w:val="2F2C11F4"/>
    <w:rsid w:val="2F3119DE"/>
    <w:rsid w:val="2F3B2037"/>
    <w:rsid w:val="2F3C3C6E"/>
    <w:rsid w:val="2F3F37FA"/>
    <w:rsid w:val="2F43468A"/>
    <w:rsid w:val="2F667A34"/>
    <w:rsid w:val="2F73316B"/>
    <w:rsid w:val="2F75706B"/>
    <w:rsid w:val="2F7E1D1C"/>
    <w:rsid w:val="2F8446F7"/>
    <w:rsid w:val="2F846EBB"/>
    <w:rsid w:val="2F8960A9"/>
    <w:rsid w:val="2F8E73A8"/>
    <w:rsid w:val="2F931394"/>
    <w:rsid w:val="2FA658CA"/>
    <w:rsid w:val="2FA8660C"/>
    <w:rsid w:val="2FAB14FA"/>
    <w:rsid w:val="2FC0454A"/>
    <w:rsid w:val="2FC5276B"/>
    <w:rsid w:val="2FD45DE0"/>
    <w:rsid w:val="2FEA4F4F"/>
    <w:rsid w:val="2FF04956"/>
    <w:rsid w:val="3001010D"/>
    <w:rsid w:val="30033CB5"/>
    <w:rsid w:val="300621D9"/>
    <w:rsid w:val="30105A53"/>
    <w:rsid w:val="30162FEC"/>
    <w:rsid w:val="302B52DF"/>
    <w:rsid w:val="302E7FB3"/>
    <w:rsid w:val="303F1B16"/>
    <w:rsid w:val="30460EDC"/>
    <w:rsid w:val="3050763A"/>
    <w:rsid w:val="30702FF3"/>
    <w:rsid w:val="30850E88"/>
    <w:rsid w:val="3086018F"/>
    <w:rsid w:val="308A352B"/>
    <w:rsid w:val="3099016A"/>
    <w:rsid w:val="309E5961"/>
    <w:rsid w:val="30A47930"/>
    <w:rsid w:val="30B87FD1"/>
    <w:rsid w:val="30D36CEF"/>
    <w:rsid w:val="30E869F5"/>
    <w:rsid w:val="30E91F79"/>
    <w:rsid w:val="31005A66"/>
    <w:rsid w:val="3101788F"/>
    <w:rsid w:val="31150879"/>
    <w:rsid w:val="311C3D7C"/>
    <w:rsid w:val="311D3972"/>
    <w:rsid w:val="311D5E2A"/>
    <w:rsid w:val="313565F5"/>
    <w:rsid w:val="31374878"/>
    <w:rsid w:val="31375986"/>
    <w:rsid w:val="3138005F"/>
    <w:rsid w:val="313A6AB5"/>
    <w:rsid w:val="3148181E"/>
    <w:rsid w:val="314C346E"/>
    <w:rsid w:val="3154638A"/>
    <w:rsid w:val="31570251"/>
    <w:rsid w:val="315E4303"/>
    <w:rsid w:val="31612072"/>
    <w:rsid w:val="31704CBF"/>
    <w:rsid w:val="31705C85"/>
    <w:rsid w:val="31725127"/>
    <w:rsid w:val="31786B63"/>
    <w:rsid w:val="317D6D4C"/>
    <w:rsid w:val="317E229A"/>
    <w:rsid w:val="318816E1"/>
    <w:rsid w:val="319368C2"/>
    <w:rsid w:val="31B328D1"/>
    <w:rsid w:val="31C102C4"/>
    <w:rsid w:val="31C14740"/>
    <w:rsid w:val="31CF4650"/>
    <w:rsid w:val="31D81709"/>
    <w:rsid w:val="31DA5156"/>
    <w:rsid w:val="31F02DD9"/>
    <w:rsid w:val="31F623E5"/>
    <w:rsid w:val="31FF58B1"/>
    <w:rsid w:val="320537DF"/>
    <w:rsid w:val="32085353"/>
    <w:rsid w:val="320F76E2"/>
    <w:rsid w:val="32120D81"/>
    <w:rsid w:val="321413C2"/>
    <w:rsid w:val="3227588C"/>
    <w:rsid w:val="322862B6"/>
    <w:rsid w:val="322E5B24"/>
    <w:rsid w:val="32315A4E"/>
    <w:rsid w:val="323A5623"/>
    <w:rsid w:val="323B1397"/>
    <w:rsid w:val="324937EF"/>
    <w:rsid w:val="325965D1"/>
    <w:rsid w:val="32695B70"/>
    <w:rsid w:val="32701935"/>
    <w:rsid w:val="32776025"/>
    <w:rsid w:val="327C2B6F"/>
    <w:rsid w:val="328238D1"/>
    <w:rsid w:val="32841834"/>
    <w:rsid w:val="32893A4C"/>
    <w:rsid w:val="328F7F3F"/>
    <w:rsid w:val="32997E37"/>
    <w:rsid w:val="32B47A26"/>
    <w:rsid w:val="32B712FD"/>
    <w:rsid w:val="32BC2FB1"/>
    <w:rsid w:val="32BD7685"/>
    <w:rsid w:val="32C636EA"/>
    <w:rsid w:val="32C83002"/>
    <w:rsid w:val="32D560F7"/>
    <w:rsid w:val="32DE70C8"/>
    <w:rsid w:val="32F04CDF"/>
    <w:rsid w:val="32FE2D5B"/>
    <w:rsid w:val="32FF43FE"/>
    <w:rsid w:val="33092C57"/>
    <w:rsid w:val="3309363E"/>
    <w:rsid w:val="331206C8"/>
    <w:rsid w:val="331B30DD"/>
    <w:rsid w:val="331E293C"/>
    <w:rsid w:val="332C78B0"/>
    <w:rsid w:val="332F1D72"/>
    <w:rsid w:val="333666F0"/>
    <w:rsid w:val="33370B5F"/>
    <w:rsid w:val="3337665A"/>
    <w:rsid w:val="333F6772"/>
    <w:rsid w:val="334A0BF5"/>
    <w:rsid w:val="334E5A9B"/>
    <w:rsid w:val="33544017"/>
    <w:rsid w:val="335452E1"/>
    <w:rsid w:val="33571D1A"/>
    <w:rsid w:val="336B3C8A"/>
    <w:rsid w:val="3377076F"/>
    <w:rsid w:val="33780D9E"/>
    <w:rsid w:val="33813972"/>
    <w:rsid w:val="33822093"/>
    <w:rsid w:val="3382236E"/>
    <w:rsid w:val="338C711D"/>
    <w:rsid w:val="338D4C23"/>
    <w:rsid w:val="3391742B"/>
    <w:rsid w:val="33930BA9"/>
    <w:rsid w:val="3393540F"/>
    <w:rsid w:val="339507FE"/>
    <w:rsid w:val="33A50023"/>
    <w:rsid w:val="33A8584A"/>
    <w:rsid w:val="33C60D62"/>
    <w:rsid w:val="33CA46EB"/>
    <w:rsid w:val="33D80F97"/>
    <w:rsid w:val="33DE670E"/>
    <w:rsid w:val="33E641A1"/>
    <w:rsid w:val="33F02E98"/>
    <w:rsid w:val="33F61BCD"/>
    <w:rsid w:val="33F97DA8"/>
    <w:rsid w:val="34002A6A"/>
    <w:rsid w:val="341B3506"/>
    <w:rsid w:val="341B3C2D"/>
    <w:rsid w:val="34264C48"/>
    <w:rsid w:val="34333774"/>
    <w:rsid w:val="34516C79"/>
    <w:rsid w:val="34597AC7"/>
    <w:rsid w:val="345B087E"/>
    <w:rsid w:val="34664570"/>
    <w:rsid w:val="34803312"/>
    <w:rsid w:val="348317E9"/>
    <w:rsid w:val="348526D4"/>
    <w:rsid w:val="34853E1D"/>
    <w:rsid w:val="34924C86"/>
    <w:rsid w:val="34934ACB"/>
    <w:rsid w:val="349549A6"/>
    <w:rsid w:val="34A1101D"/>
    <w:rsid w:val="34A25A30"/>
    <w:rsid w:val="34A45EF7"/>
    <w:rsid w:val="34AA1784"/>
    <w:rsid w:val="34B14AD6"/>
    <w:rsid w:val="34BC3C39"/>
    <w:rsid w:val="34BD29C5"/>
    <w:rsid w:val="34D60E31"/>
    <w:rsid w:val="34DB3E1D"/>
    <w:rsid w:val="34EC1B1A"/>
    <w:rsid w:val="34EE7037"/>
    <w:rsid w:val="34F91138"/>
    <w:rsid w:val="35123632"/>
    <w:rsid w:val="351B30A2"/>
    <w:rsid w:val="351C4738"/>
    <w:rsid w:val="352404E5"/>
    <w:rsid w:val="3525127D"/>
    <w:rsid w:val="352A7788"/>
    <w:rsid w:val="352B62D3"/>
    <w:rsid w:val="352D36BF"/>
    <w:rsid w:val="352E7D40"/>
    <w:rsid w:val="353003DF"/>
    <w:rsid w:val="354F4DA6"/>
    <w:rsid w:val="355703C5"/>
    <w:rsid w:val="35631E0F"/>
    <w:rsid w:val="35755F38"/>
    <w:rsid w:val="357A3224"/>
    <w:rsid w:val="35952E59"/>
    <w:rsid w:val="359C3B3B"/>
    <w:rsid w:val="35A76E79"/>
    <w:rsid w:val="35AC2440"/>
    <w:rsid w:val="35B73EE3"/>
    <w:rsid w:val="35B75B10"/>
    <w:rsid w:val="35BD5BE7"/>
    <w:rsid w:val="35C078A0"/>
    <w:rsid w:val="35C87134"/>
    <w:rsid w:val="35CE2D67"/>
    <w:rsid w:val="35CE322E"/>
    <w:rsid w:val="36132068"/>
    <w:rsid w:val="361568F3"/>
    <w:rsid w:val="362772E3"/>
    <w:rsid w:val="362D65BC"/>
    <w:rsid w:val="363018D5"/>
    <w:rsid w:val="363139A7"/>
    <w:rsid w:val="363C48A6"/>
    <w:rsid w:val="364C6AA3"/>
    <w:rsid w:val="364D4112"/>
    <w:rsid w:val="365A1993"/>
    <w:rsid w:val="365B0066"/>
    <w:rsid w:val="365B602E"/>
    <w:rsid w:val="365E6647"/>
    <w:rsid w:val="366451D8"/>
    <w:rsid w:val="366E583C"/>
    <w:rsid w:val="366F10FC"/>
    <w:rsid w:val="366F4EBB"/>
    <w:rsid w:val="3680019C"/>
    <w:rsid w:val="368220F2"/>
    <w:rsid w:val="368C2BC5"/>
    <w:rsid w:val="369B5EF9"/>
    <w:rsid w:val="36A165A5"/>
    <w:rsid w:val="36AC623D"/>
    <w:rsid w:val="36B917DB"/>
    <w:rsid w:val="36BC1445"/>
    <w:rsid w:val="36BD7574"/>
    <w:rsid w:val="36BD7666"/>
    <w:rsid w:val="36C12A31"/>
    <w:rsid w:val="36C54C45"/>
    <w:rsid w:val="36D45403"/>
    <w:rsid w:val="36E63223"/>
    <w:rsid w:val="36F4043C"/>
    <w:rsid w:val="370B369E"/>
    <w:rsid w:val="371D006C"/>
    <w:rsid w:val="371F6EF8"/>
    <w:rsid w:val="37316F90"/>
    <w:rsid w:val="373A4986"/>
    <w:rsid w:val="373A7BE1"/>
    <w:rsid w:val="373C6D58"/>
    <w:rsid w:val="3741375F"/>
    <w:rsid w:val="37470B62"/>
    <w:rsid w:val="3747110C"/>
    <w:rsid w:val="37545964"/>
    <w:rsid w:val="3754697A"/>
    <w:rsid w:val="375D323C"/>
    <w:rsid w:val="377E3C45"/>
    <w:rsid w:val="37926AFC"/>
    <w:rsid w:val="3793032E"/>
    <w:rsid w:val="37974B9A"/>
    <w:rsid w:val="379C53C2"/>
    <w:rsid w:val="37B01BEB"/>
    <w:rsid w:val="37C15FF3"/>
    <w:rsid w:val="37C20FCD"/>
    <w:rsid w:val="37C22F64"/>
    <w:rsid w:val="37C47054"/>
    <w:rsid w:val="37CA661E"/>
    <w:rsid w:val="37D15238"/>
    <w:rsid w:val="37DB3652"/>
    <w:rsid w:val="37E5504D"/>
    <w:rsid w:val="37EB62DA"/>
    <w:rsid w:val="37F06586"/>
    <w:rsid w:val="37F1031A"/>
    <w:rsid w:val="37FA6264"/>
    <w:rsid w:val="37FF0764"/>
    <w:rsid w:val="38126DFE"/>
    <w:rsid w:val="38155D06"/>
    <w:rsid w:val="381658EB"/>
    <w:rsid w:val="38266A38"/>
    <w:rsid w:val="38274FE1"/>
    <w:rsid w:val="382903A1"/>
    <w:rsid w:val="382F0057"/>
    <w:rsid w:val="3830550A"/>
    <w:rsid w:val="383478FF"/>
    <w:rsid w:val="383826D9"/>
    <w:rsid w:val="38382AF3"/>
    <w:rsid w:val="383C6092"/>
    <w:rsid w:val="383D6723"/>
    <w:rsid w:val="38415FDC"/>
    <w:rsid w:val="386460AC"/>
    <w:rsid w:val="386A17B6"/>
    <w:rsid w:val="388A66D3"/>
    <w:rsid w:val="389101F6"/>
    <w:rsid w:val="389740D3"/>
    <w:rsid w:val="38A02762"/>
    <w:rsid w:val="38A26A7B"/>
    <w:rsid w:val="38AE364B"/>
    <w:rsid w:val="38B83B6A"/>
    <w:rsid w:val="38BB1C14"/>
    <w:rsid w:val="38C17A08"/>
    <w:rsid w:val="38C53789"/>
    <w:rsid w:val="38DD457D"/>
    <w:rsid w:val="38EA7509"/>
    <w:rsid w:val="38F75B2D"/>
    <w:rsid w:val="38F87B69"/>
    <w:rsid w:val="38FA31E3"/>
    <w:rsid w:val="3917465D"/>
    <w:rsid w:val="39282C34"/>
    <w:rsid w:val="392C0A3B"/>
    <w:rsid w:val="392D0B75"/>
    <w:rsid w:val="392E2D98"/>
    <w:rsid w:val="393A1311"/>
    <w:rsid w:val="394464C5"/>
    <w:rsid w:val="39563F2C"/>
    <w:rsid w:val="395801D3"/>
    <w:rsid w:val="395C01AC"/>
    <w:rsid w:val="3971434E"/>
    <w:rsid w:val="39735037"/>
    <w:rsid w:val="397E6716"/>
    <w:rsid w:val="39820561"/>
    <w:rsid w:val="398C3890"/>
    <w:rsid w:val="39920C2B"/>
    <w:rsid w:val="399337C4"/>
    <w:rsid w:val="399834F8"/>
    <w:rsid w:val="399C47A7"/>
    <w:rsid w:val="39A85245"/>
    <w:rsid w:val="39AA40FD"/>
    <w:rsid w:val="39AE76A2"/>
    <w:rsid w:val="39C12F31"/>
    <w:rsid w:val="39C7540E"/>
    <w:rsid w:val="39C928F2"/>
    <w:rsid w:val="39CB0738"/>
    <w:rsid w:val="39D54231"/>
    <w:rsid w:val="39D664C0"/>
    <w:rsid w:val="39DC0C2B"/>
    <w:rsid w:val="39E26C67"/>
    <w:rsid w:val="39F00271"/>
    <w:rsid w:val="39F251F4"/>
    <w:rsid w:val="3A0334E8"/>
    <w:rsid w:val="3A092A91"/>
    <w:rsid w:val="3A0B7FA5"/>
    <w:rsid w:val="3A190956"/>
    <w:rsid w:val="3A2A613C"/>
    <w:rsid w:val="3A361CBE"/>
    <w:rsid w:val="3A3B1357"/>
    <w:rsid w:val="3A417C30"/>
    <w:rsid w:val="3A447126"/>
    <w:rsid w:val="3A461688"/>
    <w:rsid w:val="3A675E6E"/>
    <w:rsid w:val="3A6B6DC6"/>
    <w:rsid w:val="3A7C73C8"/>
    <w:rsid w:val="3A83544B"/>
    <w:rsid w:val="3A861B55"/>
    <w:rsid w:val="3A8F79C6"/>
    <w:rsid w:val="3AA80595"/>
    <w:rsid w:val="3AA91C78"/>
    <w:rsid w:val="3AB900AC"/>
    <w:rsid w:val="3AF46933"/>
    <w:rsid w:val="3AF60CEA"/>
    <w:rsid w:val="3B0B1B0A"/>
    <w:rsid w:val="3B0C7260"/>
    <w:rsid w:val="3B10692D"/>
    <w:rsid w:val="3B19694D"/>
    <w:rsid w:val="3B2206FB"/>
    <w:rsid w:val="3B22427A"/>
    <w:rsid w:val="3B2F44CB"/>
    <w:rsid w:val="3B3344E9"/>
    <w:rsid w:val="3B3740F5"/>
    <w:rsid w:val="3B3D1D65"/>
    <w:rsid w:val="3B3F56D5"/>
    <w:rsid w:val="3B5333B7"/>
    <w:rsid w:val="3B5654B6"/>
    <w:rsid w:val="3B5661CE"/>
    <w:rsid w:val="3B626C76"/>
    <w:rsid w:val="3B640E2E"/>
    <w:rsid w:val="3B69787E"/>
    <w:rsid w:val="3B6E011B"/>
    <w:rsid w:val="3B6E0E96"/>
    <w:rsid w:val="3B6F57E8"/>
    <w:rsid w:val="3B7D71B3"/>
    <w:rsid w:val="3B890679"/>
    <w:rsid w:val="3B8A1070"/>
    <w:rsid w:val="3B9D6882"/>
    <w:rsid w:val="3BA61D16"/>
    <w:rsid w:val="3BB15C72"/>
    <w:rsid w:val="3BB4428D"/>
    <w:rsid w:val="3BCD0008"/>
    <w:rsid w:val="3BDC3DAE"/>
    <w:rsid w:val="3BE41A28"/>
    <w:rsid w:val="3BE67A9D"/>
    <w:rsid w:val="3BE75743"/>
    <w:rsid w:val="3BF546A0"/>
    <w:rsid w:val="3C0D4EC5"/>
    <w:rsid w:val="3C153A08"/>
    <w:rsid w:val="3C2531F0"/>
    <w:rsid w:val="3C270B15"/>
    <w:rsid w:val="3C3630F0"/>
    <w:rsid w:val="3C38472F"/>
    <w:rsid w:val="3C552056"/>
    <w:rsid w:val="3C567115"/>
    <w:rsid w:val="3C5F4C83"/>
    <w:rsid w:val="3C7F70D3"/>
    <w:rsid w:val="3C827A32"/>
    <w:rsid w:val="3C8D5DB0"/>
    <w:rsid w:val="3CA449FA"/>
    <w:rsid w:val="3CC64F1B"/>
    <w:rsid w:val="3CCE3452"/>
    <w:rsid w:val="3CCE6E7F"/>
    <w:rsid w:val="3CDE557A"/>
    <w:rsid w:val="3CE80C6A"/>
    <w:rsid w:val="3CEC27ED"/>
    <w:rsid w:val="3D1503D0"/>
    <w:rsid w:val="3D1604B5"/>
    <w:rsid w:val="3D2A19D5"/>
    <w:rsid w:val="3D35637A"/>
    <w:rsid w:val="3D3A1C4D"/>
    <w:rsid w:val="3D3C0F00"/>
    <w:rsid w:val="3D5602D5"/>
    <w:rsid w:val="3D5B4E02"/>
    <w:rsid w:val="3D5F4F81"/>
    <w:rsid w:val="3D65451B"/>
    <w:rsid w:val="3D6F4B6B"/>
    <w:rsid w:val="3D901602"/>
    <w:rsid w:val="3DA676D4"/>
    <w:rsid w:val="3DBE2C16"/>
    <w:rsid w:val="3DC3061D"/>
    <w:rsid w:val="3DD474A7"/>
    <w:rsid w:val="3DE95018"/>
    <w:rsid w:val="3DF663ED"/>
    <w:rsid w:val="3DF90C98"/>
    <w:rsid w:val="3DFF76D3"/>
    <w:rsid w:val="3E1755F6"/>
    <w:rsid w:val="3E35282A"/>
    <w:rsid w:val="3E395199"/>
    <w:rsid w:val="3E44526E"/>
    <w:rsid w:val="3E4A5648"/>
    <w:rsid w:val="3E583E3D"/>
    <w:rsid w:val="3E5E3444"/>
    <w:rsid w:val="3E621FD8"/>
    <w:rsid w:val="3E686FAA"/>
    <w:rsid w:val="3E710ECE"/>
    <w:rsid w:val="3E72753B"/>
    <w:rsid w:val="3E7754B2"/>
    <w:rsid w:val="3E7917D0"/>
    <w:rsid w:val="3E84142B"/>
    <w:rsid w:val="3E8D0E19"/>
    <w:rsid w:val="3E9D14F5"/>
    <w:rsid w:val="3E9E1A93"/>
    <w:rsid w:val="3E9E4072"/>
    <w:rsid w:val="3EA042C2"/>
    <w:rsid w:val="3EA259EA"/>
    <w:rsid w:val="3EA62BBF"/>
    <w:rsid w:val="3EC65FBB"/>
    <w:rsid w:val="3EC8715E"/>
    <w:rsid w:val="3ED2765B"/>
    <w:rsid w:val="3ED469C8"/>
    <w:rsid w:val="3EDD4097"/>
    <w:rsid w:val="3EEE5A68"/>
    <w:rsid w:val="3EF8209F"/>
    <w:rsid w:val="3EFB6EE5"/>
    <w:rsid w:val="3EFC6875"/>
    <w:rsid w:val="3F13391B"/>
    <w:rsid w:val="3F14639F"/>
    <w:rsid w:val="3F305AEE"/>
    <w:rsid w:val="3F4045ED"/>
    <w:rsid w:val="3F422698"/>
    <w:rsid w:val="3F5F7A5A"/>
    <w:rsid w:val="3F6C41E2"/>
    <w:rsid w:val="3F6D60E3"/>
    <w:rsid w:val="3F810914"/>
    <w:rsid w:val="3F866458"/>
    <w:rsid w:val="3F952C90"/>
    <w:rsid w:val="3FAA3C3D"/>
    <w:rsid w:val="3FAB7C09"/>
    <w:rsid w:val="3FC1311D"/>
    <w:rsid w:val="3FCA105D"/>
    <w:rsid w:val="3FCA77E3"/>
    <w:rsid w:val="3FCE019A"/>
    <w:rsid w:val="3FD00344"/>
    <w:rsid w:val="3FD842B8"/>
    <w:rsid w:val="3FF40E9C"/>
    <w:rsid w:val="3FFE2508"/>
    <w:rsid w:val="40010A8E"/>
    <w:rsid w:val="400E1388"/>
    <w:rsid w:val="40140E1F"/>
    <w:rsid w:val="401575AE"/>
    <w:rsid w:val="40202D3B"/>
    <w:rsid w:val="40285093"/>
    <w:rsid w:val="402B5C01"/>
    <w:rsid w:val="402F2729"/>
    <w:rsid w:val="40302BBE"/>
    <w:rsid w:val="40310401"/>
    <w:rsid w:val="40357A4F"/>
    <w:rsid w:val="40396A56"/>
    <w:rsid w:val="403D553F"/>
    <w:rsid w:val="403D5AA8"/>
    <w:rsid w:val="40436554"/>
    <w:rsid w:val="404970E8"/>
    <w:rsid w:val="40556C19"/>
    <w:rsid w:val="40564F02"/>
    <w:rsid w:val="405D45E5"/>
    <w:rsid w:val="4077424E"/>
    <w:rsid w:val="407B04A8"/>
    <w:rsid w:val="407D1D7A"/>
    <w:rsid w:val="40864B0A"/>
    <w:rsid w:val="40886EC3"/>
    <w:rsid w:val="40936104"/>
    <w:rsid w:val="40961246"/>
    <w:rsid w:val="40A81CEF"/>
    <w:rsid w:val="40B02B63"/>
    <w:rsid w:val="40B6182A"/>
    <w:rsid w:val="40C003E6"/>
    <w:rsid w:val="40E1562E"/>
    <w:rsid w:val="41084CC1"/>
    <w:rsid w:val="410F662F"/>
    <w:rsid w:val="41153429"/>
    <w:rsid w:val="411E545F"/>
    <w:rsid w:val="41227327"/>
    <w:rsid w:val="41263240"/>
    <w:rsid w:val="41440FD2"/>
    <w:rsid w:val="4146675F"/>
    <w:rsid w:val="41490D96"/>
    <w:rsid w:val="414B3518"/>
    <w:rsid w:val="4156114F"/>
    <w:rsid w:val="415648A7"/>
    <w:rsid w:val="41591F48"/>
    <w:rsid w:val="415E6DBA"/>
    <w:rsid w:val="4167795F"/>
    <w:rsid w:val="41693B74"/>
    <w:rsid w:val="416D70E2"/>
    <w:rsid w:val="416E162C"/>
    <w:rsid w:val="41713A64"/>
    <w:rsid w:val="417164B9"/>
    <w:rsid w:val="4181509D"/>
    <w:rsid w:val="4182744A"/>
    <w:rsid w:val="41841A01"/>
    <w:rsid w:val="418C0679"/>
    <w:rsid w:val="418E4BBA"/>
    <w:rsid w:val="418F2555"/>
    <w:rsid w:val="41926F5D"/>
    <w:rsid w:val="419E064B"/>
    <w:rsid w:val="41A05BF9"/>
    <w:rsid w:val="41A34DEF"/>
    <w:rsid w:val="41B160E5"/>
    <w:rsid w:val="41B57012"/>
    <w:rsid w:val="41B96837"/>
    <w:rsid w:val="41BF25F3"/>
    <w:rsid w:val="41C11F06"/>
    <w:rsid w:val="41C72F3F"/>
    <w:rsid w:val="41C915B9"/>
    <w:rsid w:val="41D14463"/>
    <w:rsid w:val="41D424F6"/>
    <w:rsid w:val="41DD28D2"/>
    <w:rsid w:val="41E73C9B"/>
    <w:rsid w:val="41E807AC"/>
    <w:rsid w:val="41F97282"/>
    <w:rsid w:val="41FF6981"/>
    <w:rsid w:val="421E4B7A"/>
    <w:rsid w:val="421E4E65"/>
    <w:rsid w:val="4257198E"/>
    <w:rsid w:val="425905F4"/>
    <w:rsid w:val="425D66CF"/>
    <w:rsid w:val="426104D4"/>
    <w:rsid w:val="42613503"/>
    <w:rsid w:val="42626CCD"/>
    <w:rsid w:val="427B5160"/>
    <w:rsid w:val="427E5133"/>
    <w:rsid w:val="42862257"/>
    <w:rsid w:val="42976CF1"/>
    <w:rsid w:val="42A17DA3"/>
    <w:rsid w:val="42AB2700"/>
    <w:rsid w:val="42CC765E"/>
    <w:rsid w:val="42CE184F"/>
    <w:rsid w:val="42DD6902"/>
    <w:rsid w:val="42E549DF"/>
    <w:rsid w:val="42E7771C"/>
    <w:rsid w:val="42EC79D1"/>
    <w:rsid w:val="43180401"/>
    <w:rsid w:val="431C09B0"/>
    <w:rsid w:val="431D43AB"/>
    <w:rsid w:val="432D573D"/>
    <w:rsid w:val="433769C6"/>
    <w:rsid w:val="435462A1"/>
    <w:rsid w:val="435D29C5"/>
    <w:rsid w:val="43611222"/>
    <w:rsid w:val="43672E81"/>
    <w:rsid w:val="43691B18"/>
    <w:rsid w:val="436B5573"/>
    <w:rsid w:val="4374604A"/>
    <w:rsid w:val="4374783B"/>
    <w:rsid w:val="437A36F6"/>
    <w:rsid w:val="43855569"/>
    <w:rsid w:val="43873CB7"/>
    <w:rsid w:val="438A4CDB"/>
    <w:rsid w:val="439956BB"/>
    <w:rsid w:val="43AB400D"/>
    <w:rsid w:val="43AD590E"/>
    <w:rsid w:val="43B0772C"/>
    <w:rsid w:val="43C34B9D"/>
    <w:rsid w:val="43D57385"/>
    <w:rsid w:val="43EE526A"/>
    <w:rsid w:val="43FF3A66"/>
    <w:rsid w:val="44020441"/>
    <w:rsid w:val="440235F8"/>
    <w:rsid w:val="440D5086"/>
    <w:rsid w:val="4413751E"/>
    <w:rsid w:val="441A19E8"/>
    <w:rsid w:val="442E2A40"/>
    <w:rsid w:val="443D549C"/>
    <w:rsid w:val="444367E0"/>
    <w:rsid w:val="444643A4"/>
    <w:rsid w:val="44501A81"/>
    <w:rsid w:val="445D419E"/>
    <w:rsid w:val="4464552C"/>
    <w:rsid w:val="447401EC"/>
    <w:rsid w:val="447A789B"/>
    <w:rsid w:val="447C13CD"/>
    <w:rsid w:val="448172B1"/>
    <w:rsid w:val="44897DFA"/>
    <w:rsid w:val="448F677D"/>
    <w:rsid w:val="44A03085"/>
    <w:rsid w:val="44A816B2"/>
    <w:rsid w:val="44AB2740"/>
    <w:rsid w:val="44AD2684"/>
    <w:rsid w:val="44AF352C"/>
    <w:rsid w:val="44B62E37"/>
    <w:rsid w:val="44C267C5"/>
    <w:rsid w:val="44CE5079"/>
    <w:rsid w:val="44CE5864"/>
    <w:rsid w:val="44E45649"/>
    <w:rsid w:val="44E47C29"/>
    <w:rsid w:val="44E72C48"/>
    <w:rsid w:val="44F31BDF"/>
    <w:rsid w:val="44F42BC4"/>
    <w:rsid w:val="45011471"/>
    <w:rsid w:val="4501596A"/>
    <w:rsid w:val="450671CD"/>
    <w:rsid w:val="45116C94"/>
    <w:rsid w:val="452254CD"/>
    <w:rsid w:val="452F4E85"/>
    <w:rsid w:val="4530540A"/>
    <w:rsid w:val="453A1B3D"/>
    <w:rsid w:val="454E0C59"/>
    <w:rsid w:val="456175A7"/>
    <w:rsid w:val="4563181C"/>
    <w:rsid w:val="45634A3B"/>
    <w:rsid w:val="456357E4"/>
    <w:rsid w:val="4565330A"/>
    <w:rsid w:val="457405D5"/>
    <w:rsid w:val="45806393"/>
    <w:rsid w:val="45856186"/>
    <w:rsid w:val="458C3DE9"/>
    <w:rsid w:val="458E0747"/>
    <w:rsid w:val="4595049E"/>
    <w:rsid w:val="459971D6"/>
    <w:rsid w:val="45A85261"/>
    <w:rsid w:val="45AB6065"/>
    <w:rsid w:val="45B018C7"/>
    <w:rsid w:val="45B5710B"/>
    <w:rsid w:val="45B674BB"/>
    <w:rsid w:val="45B75166"/>
    <w:rsid w:val="45BB25E7"/>
    <w:rsid w:val="45C5568E"/>
    <w:rsid w:val="45D52100"/>
    <w:rsid w:val="45DF13B0"/>
    <w:rsid w:val="45E36EDA"/>
    <w:rsid w:val="45E710DC"/>
    <w:rsid w:val="45EB5757"/>
    <w:rsid w:val="45FD7129"/>
    <w:rsid w:val="46002322"/>
    <w:rsid w:val="46010907"/>
    <w:rsid w:val="4609020F"/>
    <w:rsid w:val="460A6137"/>
    <w:rsid w:val="460D0585"/>
    <w:rsid w:val="4611602C"/>
    <w:rsid w:val="4618307B"/>
    <w:rsid w:val="461F19BB"/>
    <w:rsid w:val="462B21BA"/>
    <w:rsid w:val="464333C5"/>
    <w:rsid w:val="46443B49"/>
    <w:rsid w:val="46467B0D"/>
    <w:rsid w:val="464B69A4"/>
    <w:rsid w:val="46503413"/>
    <w:rsid w:val="465562EF"/>
    <w:rsid w:val="46562CEA"/>
    <w:rsid w:val="465662AE"/>
    <w:rsid w:val="46593F29"/>
    <w:rsid w:val="46596DD5"/>
    <w:rsid w:val="46647490"/>
    <w:rsid w:val="466F68DC"/>
    <w:rsid w:val="468C3942"/>
    <w:rsid w:val="469320F9"/>
    <w:rsid w:val="469C3D1C"/>
    <w:rsid w:val="469D7555"/>
    <w:rsid w:val="469E3531"/>
    <w:rsid w:val="46A705A1"/>
    <w:rsid w:val="46BA2F88"/>
    <w:rsid w:val="46BA62F2"/>
    <w:rsid w:val="46C435EE"/>
    <w:rsid w:val="46D00C57"/>
    <w:rsid w:val="46D21CC7"/>
    <w:rsid w:val="46D27424"/>
    <w:rsid w:val="46E02024"/>
    <w:rsid w:val="46ED5B54"/>
    <w:rsid w:val="46EF1C8E"/>
    <w:rsid w:val="46EF2C3F"/>
    <w:rsid w:val="46FA4AA1"/>
    <w:rsid w:val="46FE755D"/>
    <w:rsid w:val="4701699F"/>
    <w:rsid w:val="4703672D"/>
    <w:rsid w:val="47061CA3"/>
    <w:rsid w:val="470D702E"/>
    <w:rsid w:val="471B751A"/>
    <w:rsid w:val="47215957"/>
    <w:rsid w:val="47223C87"/>
    <w:rsid w:val="47356AA8"/>
    <w:rsid w:val="473C71FA"/>
    <w:rsid w:val="474156B1"/>
    <w:rsid w:val="47463CCB"/>
    <w:rsid w:val="474B41E5"/>
    <w:rsid w:val="474E438A"/>
    <w:rsid w:val="475729A3"/>
    <w:rsid w:val="47593321"/>
    <w:rsid w:val="47600E0C"/>
    <w:rsid w:val="476C4731"/>
    <w:rsid w:val="477663EE"/>
    <w:rsid w:val="477E06B3"/>
    <w:rsid w:val="478F2F0C"/>
    <w:rsid w:val="47941F43"/>
    <w:rsid w:val="47946B47"/>
    <w:rsid w:val="479510CC"/>
    <w:rsid w:val="479A38C1"/>
    <w:rsid w:val="47B841EC"/>
    <w:rsid w:val="47BA7B95"/>
    <w:rsid w:val="47BC7E7F"/>
    <w:rsid w:val="47D149AF"/>
    <w:rsid w:val="47D44777"/>
    <w:rsid w:val="47DA1A8A"/>
    <w:rsid w:val="47E07E59"/>
    <w:rsid w:val="47E40C7B"/>
    <w:rsid w:val="47EA5D49"/>
    <w:rsid w:val="47EC3490"/>
    <w:rsid w:val="47F72214"/>
    <w:rsid w:val="47F82821"/>
    <w:rsid w:val="47FF65A8"/>
    <w:rsid w:val="480019E9"/>
    <w:rsid w:val="480768FB"/>
    <w:rsid w:val="48082C2B"/>
    <w:rsid w:val="480F3A01"/>
    <w:rsid w:val="481169F3"/>
    <w:rsid w:val="48177DA1"/>
    <w:rsid w:val="481F5170"/>
    <w:rsid w:val="48311BC9"/>
    <w:rsid w:val="48363AFE"/>
    <w:rsid w:val="4850738C"/>
    <w:rsid w:val="485B71C0"/>
    <w:rsid w:val="4860600B"/>
    <w:rsid w:val="48763A80"/>
    <w:rsid w:val="487B5474"/>
    <w:rsid w:val="487F032A"/>
    <w:rsid w:val="4881427C"/>
    <w:rsid w:val="488410B7"/>
    <w:rsid w:val="488B16CF"/>
    <w:rsid w:val="488D165B"/>
    <w:rsid w:val="488E0DCA"/>
    <w:rsid w:val="489E1E70"/>
    <w:rsid w:val="489E3FA3"/>
    <w:rsid w:val="489E726E"/>
    <w:rsid w:val="48AA3B6D"/>
    <w:rsid w:val="48B41937"/>
    <w:rsid w:val="48BD59E4"/>
    <w:rsid w:val="48C42A3E"/>
    <w:rsid w:val="48CB4B2D"/>
    <w:rsid w:val="48CC08D4"/>
    <w:rsid w:val="48CC7EC0"/>
    <w:rsid w:val="48CE103D"/>
    <w:rsid w:val="48DC4442"/>
    <w:rsid w:val="48E600DB"/>
    <w:rsid w:val="490223D7"/>
    <w:rsid w:val="490C6EDD"/>
    <w:rsid w:val="49122557"/>
    <w:rsid w:val="49137599"/>
    <w:rsid w:val="491B1A07"/>
    <w:rsid w:val="491F0CA2"/>
    <w:rsid w:val="49210E04"/>
    <w:rsid w:val="49234C3E"/>
    <w:rsid w:val="49256F96"/>
    <w:rsid w:val="4927741E"/>
    <w:rsid w:val="492F2F54"/>
    <w:rsid w:val="493A4AAE"/>
    <w:rsid w:val="494C001D"/>
    <w:rsid w:val="49535B70"/>
    <w:rsid w:val="49566C12"/>
    <w:rsid w:val="49574199"/>
    <w:rsid w:val="495934BE"/>
    <w:rsid w:val="495C2C76"/>
    <w:rsid w:val="49687540"/>
    <w:rsid w:val="496F29A9"/>
    <w:rsid w:val="497A30FC"/>
    <w:rsid w:val="498369A8"/>
    <w:rsid w:val="49A5461D"/>
    <w:rsid w:val="49A62143"/>
    <w:rsid w:val="49BC05AA"/>
    <w:rsid w:val="49BC65E0"/>
    <w:rsid w:val="49CB04EA"/>
    <w:rsid w:val="49ED688B"/>
    <w:rsid w:val="49F5617C"/>
    <w:rsid w:val="4A047BD1"/>
    <w:rsid w:val="4A0D1393"/>
    <w:rsid w:val="4A0F0DA2"/>
    <w:rsid w:val="4A173C81"/>
    <w:rsid w:val="4A220FD2"/>
    <w:rsid w:val="4A366EDB"/>
    <w:rsid w:val="4A367F05"/>
    <w:rsid w:val="4A446290"/>
    <w:rsid w:val="4A5B51E4"/>
    <w:rsid w:val="4A60264B"/>
    <w:rsid w:val="4A635CE3"/>
    <w:rsid w:val="4A777A08"/>
    <w:rsid w:val="4A7C01D2"/>
    <w:rsid w:val="4A897445"/>
    <w:rsid w:val="4AA54942"/>
    <w:rsid w:val="4AA8323F"/>
    <w:rsid w:val="4AAB2DB0"/>
    <w:rsid w:val="4AAD3520"/>
    <w:rsid w:val="4AAE2913"/>
    <w:rsid w:val="4AB869EC"/>
    <w:rsid w:val="4ABD5EB9"/>
    <w:rsid w:val="4AC12809"/>
    <w:rsid w:val="4AC4260E"/>
    <w:rsid w:val="4ACF7411"/>
    <w:rsid w:val="4AE84BB5"/>
    <w:rsid w:val="4AFA2CC5"/>
    <w:rsid w:val="4AFD2237"/>
    <w:rsid w:val="4B157580"/>
    <w:rsid w:val="4B3336B3"/>
    <w:rsid w:val="4B390E23"/>
    <w:rsid w:val="4B394BA0"/>
    <w:rsid w:val="4B3C7290"/>
    <w:rsid w:val="4B3E5625"/>
    <w:rsid w:val="4B50680B"/>
    <w:rsid w:val="4B53188A"/>
    <w:rsid w:val="4B5461A3"/>
    <w:rsid w:val="4B565CB4"/>
    <w:rsid w:val="4B5A3E70"/>
    <w:rsid w:val="4B6202EC"/>
    <w:rsid w:val="4B785C59"/>
    <w:rsid w:val="4B7E227E"/>
    <w:rsid w:val="4B842010"/>
    <w:rsid w:val="4B845002"/>
    <w:rsid w:val="4B84799A"/>
    <w:rsid w:val="4B90060B"/>
    <w:rsid w:val="4BA44460"/>
    <w:rsid w:val="4BB5666E"/>
    <w:rsid w:val="4BD11C4B"/>
    <w:rsid w:val="4BD30432"/>
    <w:rsid w:val="4BD37AB9"/>
    <w:rsid w:val="4BE82B2C"/>
    <w:rsid w:val="4BF225AF"/>
    <w:rsid w:val="4BFC3B2D"/>
    <w:rsid w:val="4C0E1409"/>
    <w:rsid w:val="4C2156AE"/>
    <w:rsid w:val="4C281530"/>
    <w:rsid w:val="4C3A024E"/>
    <w:rsid w:val="4C3A22E1"/>
    <w:rsid w:val="4C3C307D"/>
    <w:rsid w:val="4C441112"/>
    <w:rsid w:val="4C4E1796"/>
    <w:rsid w:val="4C5E5D79"/>
    <w:rsid w:val="4C670831"/>
    <w:rsid w:val="4C6906D5"/>
    <w:rsid w:val="4C696B6B"/>
    <w:rsid w:val="4C720747"/>
    <w:rsid w:val="4C7536D6"/>
    <w:rsid w:val="4C772CA8"/>
    <w:rsid w:val="4C7E68D9"/>
    <w:rsid w:val="4C804ECE"/>
    <w:rsid w:val="4C8A37AE"/>
    <w:rsid w:val="4C995F8F"/>
    <w:rsid w:val="4CA700A6"/>
    <w:rsid w:val="4CAB7E43"/>
    <w:rsid w:val="4CAF51C1"/>
    <w:rsid w:val="4CB145FA"/>
    <w:rsid w:val="4CB5363E"/>
    <w:rsid w:val="4CB80984"/>
    <w:rsid w:val="4CC44379"/>
    <w:rsid w:val="4CEB072B"/>
    <w:rsid w:val="4CF302B4"/>
    <w:rsid w:val="4CF431C1"/>
    <w:rsid w:val="4CF5664B"/>
    <w:rsid w:val="4CFA542E"/>
    <w:rsid w:val="4CFE776E"/>
    <w:rsid w:val="4D014A24"/>
    <w:rsid w:val="4D022FF1"/>
    <w:rsid w:val="4D0814B8"/>
    <w:rsid w:val="4D090A1F"/>
    <w:rsid w:val="4D0C133A"/>
    <w:rsid w:val="4D1C1769"/>
    <w:rsid w:val="4D1E2B31"/>
    <w:rsid w:val="4D2048DA"/>
    <w:rsid w:val="4D21733A"/>
    <w:rsid w:val="4D26157B"/>
    <w:rsid w:val="4D2B7DD6"/>
    <w:rsid w:val="4D333B1E"/>
    <w:rsid w:val="4D57044E"/>
    <w:rsid w:val="4D5862D1"/>
    <w:rsid w:val="4D5D4B56"/>
    <w:rsid w:val="4D705EB8"/>
    <w:rsid w:val="4D723399"/>
    <w:rsid w:val="4D8C2EE0"/>
    <w:rsid w:val="4D905DF0"/>
    <w:rsid w:val="4D982BBB"/>
    <w:rsid w:val="4D9C300A"/>
    <w:rsid w:val="4DB31382"/>
    <w:rsid w:val="4DB56DF9"/>
    <w:rsid w:val="4DB90697"/>
    <w:rsid w:val="4DD23B0C"/>
    <w:rsid w:val="4DD724F2"/>
    <w:rsid w:val="4DF37EB8"/>
    <w:rsid w:val="4DF51C1F"/>
    <w:rsid w:val="4E03286A"/>
    <w:rsid w:val="4E052C95"/>
    <w:rsid w:val="4E164670"/>
    <w:rsid w:val="4E166156"/>
    <w:rsid w:val="4E1853D5"/>
    <w:rsid w:val="4E1A6BF6"/>
    <w:rsid w:val="4E215F31"/>
    <w:rsid w:val="4E216175"/>
    <w:rsid w:val="4E247A86"/>
    <w:rsid w:val="4E2D2E33"/>
    <w:rsid w:val="4E4A44C0"/>
    <w:rsid w:val="4E4B4891"/>
    <w:rsid w:val="4E5D18B5"/>
    <w:rsid w:val="4E606B00"/>
    <w:rsid w:val="4E611A98"/>
    <w:rsid w:val="4E612782"/>
    <w:rsid w:val="4E644446"/>
    <w:rsid w:val="4E65152C"/>
    <w:rsid w:val="4E696DFE"/>
    <w:rsid w:val="4E6B165A"/>
    <w:rsid w:val="4E851032"/>
    <w:rsid w:val="4E9B74FF"/>
    <w:rsid w:val="4E9E7FC5"/>
    <w:rsid w:val="4EA7211F"/>
    <w:rsid w:val="4EAB2331"/>
    <w:rsid w:val="4EB952AF"/>
    <w:rsid w:val="4ECC2941"/>
    <w:rsid w:val="4EFE37B7"/>
    <w:rsid w:val="4F0C38D5"/>
    <w:rsid w:val="4F0E2E6E"/>
    <w:rsid w:val="4F122AB7"/>
    <w:rsid w:val="4F1851D7"/>
    <w:rsid w:val="4F1D6A04"/>
    <w:rsid w:val="4F2912AC"/>
    <w:rsid w:val="4F3A2403"/>
    <w:rsid w:val="4F3A75B6"/>
    <w:rsid w:val="4F415FA7"/>
    <w:rsid w:val="4F42651D"/>
    <w:rsid w:val="4F4F1DE0"/>
    <w:rsid w:val="4F5578D4"/>
    <w:rsid w:val="4F567CD3"/>
    <w:rsid w:val="4F756730"/>
    <w:rsid w:val="4F797D01"/>
    <w:rsid w:val="4F8D0244"/>
    <w:rsid w:val="4F977A8F"/>
    <w:rsid w:val="4F9A042C"/>
    <w:rsid w:val="4F9F558D"/>
    <w:rsid w:val="4FA646AD"/>
    <w:rsid w:val="4FAD55A9"/>
    <w:rsid w:val="4FB34394"/>
    <w:rsid w:val="4FB741F3"/>
    <w:rsid w:val="4FBC0630"/>
    <w:rsid w:val="4FD24DEA"/>
    <w:rsid w:val="4FDA4C89"/>
    <w:rsid w:val="4FDC6158"/>
    <w:rsid w:val="4FF502F6"/>
    <w:rsid w:val="4FFA2E60"/>
    <w:rsid w:val="501758AE"/>
    <w:rsid w:val="501F4AAB"/>
    <w:rsid w:val="50243E75"/>
    <w:rsid w:val="502D1E7A"/>
    <w:rsid w:val="50324731"/>
    <w:rsid w:val="50384584"/>
    <w:rsid w:val="503F5865"/>
    <w:rsid w:val="50467CEB"/>
    <w:rsid w:val="5056264D"/>
    <w:rsid w:val="505C01EC"/>
    <w:rsid w:val="505E4BE0"/>
    <w:rsid w:val="50641E15"/>
    <w:rsid w:val="50770396"/>
    <w:rsid w:val="50827967"/>
    <w:rsid w:val="508C6414"/>
    <w:rsid w:val="50937C93"/>
    <w:rsid w:val="50A16E11"/>
    <w:rsid w:val="50B02D0B"/>
    <w:rsid w:val="50C43A42"/>
    <w:rsid w:val="50CD2D81"/>
    <w:rsid w:val="50D461CC"/>
    <w:rsid w:val="50EC2B32"/>
    <w:rsid w:val="50F15C16"/>
    <w:rsid w:val="50F238B8"/>
    <w:rsid w:val="50FA671C"/>
    <w:rsid w:val="50FC6DFB"/>
    <w:rsid w:val="511762AF"/>
    <w:rsid w:val="51177054"/>
    <w:rsid w:val="511C18DB"/>
    <w:rsid w:val="51231BDC"/>
    <w:rsid w:val="5124669B"/>
    <w:rsid w:val="512B2D42"/>
    <w:rsid w:val="512C1257"/>
    <w:rsid w:val="51365F80"/>
    <w:rsid w:val="513B3B3A"/>
    <w:rsid w:val="513C1750"/>
    <w:rsid w:val="515A5331"/>
    <w:rsid w:val="51660237"/>
    <w:rsid w:val="51802C36"/>
    <w:rsid w:val="51892F84"/>
    <w:rsid w:val="51946CE2"/>
    <w:rsid w:val="519C6EEB"/>
    <w:rsid w:val="51A0667C"/>
    <w:rsid w:val="51A8078C"/>
    <w:rsid w:val="51AF12D7"/>
    <w:rsid w:val="51C156B1"/>
    <w:rsid w:val="51CC0E9F"/>
    <w:rsid w:val="51EB007A"/>
    <w:rsid w:val="51EB0E9A"/>
    <w:rsid w:val="51F259ED"/>
    <w:rsid w:val="51FC3D77"/>
    <w:rsid w:val="5201260D"/>
    <w:rsid w:val="52020732"/>
    <w:rsid w:val="520F1BA7"/>
    <w:rsid w:val="521210FE"/>
    <w:rsid w:val="521A3A76"/>
    <w:rsid w:val="5226360A"/>
    <w:rsid w:val="522820AB"/>
    <w:rsid w:val="522B1FDB"/>
    <w:rsid w:val="52322BEB"/>
    <w:rsid w:val="523447D6"/>
    <w:rsid w:val="52390612"/>
    <w:rsid w:val="524D0EF0"/>
    <w:rsid w:val="524F1105"/>
    <w:rsid w:val="52591A68"/>
    <w:rsid w:val="525D73FD"/>
    <w:rsid w:val="526C7B35"/>
    <w:rsid w:val="52884ADC"/>
    <w:rsid w:val="528B637A"/>
    <w:rsid w:val="5293365B"/>
    <w:rsid w:val="52976C40"/>
    <w:rsid w:val="529D77FC"/>
    <w:rsid w:val="52A44E64"/>
    <w:rsid w:val="52A71840"/>
    <w:rsid w:val="52AA565B"/>
    <w:rsid w:val="52B83811"/>
    <w:rsid w:val="52C56FB7"/>
    <w:rsid w:val="52C93E46"/>
    <w:rsid w:val="52D01C5B"/>
    <w:rsid w:val="52D133CE"/>
    <w:rsid w:val="52D25D57"/>
    <w:rsid w:val="52D740AA"/>
    <w:rsid w:val="52D87DA8"/>
    <w:rsid w:val="52E20887"/>
    <w:rsid w:val="52E87329"/>
    <w:rsid w:val="52E9463A"/>
    <w:rsid w:val="52F061DD"/>
    <w:rsid w:val="52FD6332"/>
    <w:rsid w:val="52FD71F6"/>
    <w:rsid w:val="53012117"/>
    <w:rsid w:val="530B50E2"/>
    <w:rsid w:val="530C4BB2"/>
    <w:rsid w:val="530D67F4"/>
    <w:rsid w:val="53145249"/>
    <w:rsid w:val="532B05AE"/>
    <w:rsid w:val="533E08F1"/>
    <w:rsid w:val="534358C0"/>
    <w:rsid w:val="535423EC"/>
    <w:rsid w:val="53555483"/>
    <w:rsid w:val="5361397A"/>
    <w:rsid w:val="53676684"/>
    <w:rsid w:val="53677392"/>
    <w:rsid w:val="53680197"/>
    <w:rsid w:val="53684FFB"/>
    <w:rsid w:val="536F46D5"/>
    <w:rsid w:val="53746E0E"/>
    <w:rsid w:val="53767252"/>
    <w:rsid w:val="537B6D1A"/>
    <w:rsid w:val="537E2F71"/>
    <w:rsid w:val="53AB6D4B"/>
    <w:rsid w:val="53AC5982"/>
    <w:rsid w:val="53C02DAA"/>
    <w:rsid w:val="53C91A4B"/>
    <w:rsid w:val="53CC08F3"/>
    <w:rsid w:val="53D05972"/>
    <w:rsid w:val="53D07146"/>
    <w:rsid w:val="53D67F96"/>
    <w:rsid w:val="53D97C8B"/>
    <w:rsid w:val="53DA1B93"/>
    <w:rsid w:val="53DE55CA"/>
    <w:rsid w:val="53E07030"/>
    <w:rsid w:val="53E24D61"/>
    <w:rsid w:val="53EA15CB"/>
    <w:rsid w:val="54084883"/>
    <w:rsid w:val="54162C74"/>
    <w:rsid w:val="541812BD"/>
    <w:rsid w:val="54194AFF"/>
    <w:rsid w:val="5421148D"/>
    <w:rsid w:val="54226EDF"/>
    <w:rsid w:val="542F50E5"/>
    <w:rsid w:val="543C513D"/>
    <w:rsid w:val="543E2C5B"/>
    <w:rsid w:val="54453B49"/>
    <w:rsid w:val="54550F4F"/>
    <w:rsid w:val="54597C4C"/>
    <w:rsid w:val="547A48F8"/>
    <w:rsid w:val="547C76B5"/>
    <w:rsid w:val="547F1936"/>
    <w:rsid w:val="548753F6"/>
    <w:rsid w:val="548765FE"/>
    <w:rsid w:val="548A0AC2"/>
    <w:rsid w:val="549D6DB2"/>
    <w:rsid w:val="549F65D4"/>
    <w:rsid w:val="54A64D3C"/>
    <w:rsid w:val="54B13AA8"/>
    <w:rsid w:val="54BD2839"/>
    <w:rsid w:val="54BE47E5"/>
    <w:rsid w:val="54BF41F1"/>
    <w:rsid w:val="54C871B3"/>
    <w:rsid w:val="54D03E2B"/>
    <w:rsid w:val="54DE187A"/>
    <w:rsid w:val="54DF0DE3"/>
    <w:rsid w:val="54F212F0"/>
    <w:rsid w:val="54F508A8"/>
    <w:rsid w:val="54F82F98"/>
    <w:rsid w:val="54FE26F7"/>
    <w:rsid w:val="55017EE7"/>
    <w:rsid w:val="5508648E"/>
    <w:rsid w:val="55277E3F"/>
    <w:rsid w:val="5532370F"/>
    <w:rsid w:val="553E0963"/>
    <w:rsid w:val="5558209B"/>
    <w:rsid w:val="55587772"/>
    <w:rsid w:val="5578052A"/>
    <w:rsid w:val="558305DF"/>
    <w:rsid w:val="5586617B"/>
    <w:rsid w:val="55871FD0"/>
    <w:rsid w:val="5592348A"/>
    <w:rsid w:val="55930955"/>
    <w:rsid w:val="559C300B"/>
    <w:rsid w:val="559F5BEA"/>
    <w:rsid w:val="55A22265"/>
    <w:rsid w:val="55B65EB2"/>
    <w:rsid w:val="55B7763E"/>
    <w:rsid w:val="55BC14C6"/>
    <w:rsid w:val="55C17AB0"/>
    <w:rsid w:val="55D61B77"/>
    <w:rsid w:val="55D8633C"/>
    <w:rsid w:val="55DD6EED"/>
    <w:rsid w:val="55F65CBA"/>
    <w:rsid w:val="55FB1043"/>
    <w:rsid w:val="55FD6061"/>
    <w:rsid w:val="560916F5"/>
    <w:rsid w:val="560C1424"/>
    <w:rsid w:val="562657B9"/>
    <w:rsid w:val="563B7F4E"/>
    <w:rsid w:val="565118DE"/>
    <w:rsid w:val="56574052"/>
    <w:rsid w:val="565D1E30"/>
    <w:rsid w:val="56607BA3"/>
    <w:rsid w:val="56661ACA"/>
    <w:rsid w:val="566E7611"/>
    <w:rsid w:val="56723D8E"/>
    <w:rsid w:val="56731ECE"/>
    <w:rsid w:val="567C5599"/>
    <w:rsid w:val="568011C8"/>
    <w:rsid w:val="568518FF"/>
    <w:rsid w:val="569D538E"/>
    <w:rsid w:val="569F3E91"/>
    <w:rsid w:val="56AE2EB4"/>
    <w:rsid w:val="56B52D61"/>
    <w:rsid w:val="56C02A96"/>
    <w:rsid w:val="56C158A8"/>
    <w:rsid w:val="56C65BD3"/>
    <w:rsid w:val="56C81D46"/>
    <w:rsid w:val="56D213A7"/>
    <w:rsid w:val="56D91FAF"/>
    <w:rsid w:val="56D95645"/>
    <w:rsid w:val="56D9580E"/>
    <w:rsid w:val="56DC54D3"/>
    <w:rsid w:val="56E7653F"/>
    <w:rsid w:val="56EC5C43"/>
    <w:rsid w:val="56F451B0"/>
    <w:rsid w:val="56F50A48"/>
    <w:rsid w:val="56FE66F3"/>
    <w:rsid w:val="56FF6DD4"/>
    <w:rsid w:val="57004BF9"/>
    <w:rsid w:val="570F1328"/>
    <w:rsid w:val="57152EFE"/>
    <w:rsid w:val="571E703F"/>
    <w:rsid w:val="57205927"/>
    <w:rsid w:val="573243F0"/>
    <w:rsid w:val="57334021"/>
    <w:rsid w:val="5735599D"/>
    <w:rsid w:val="57513744"/>
    <w:rsid w:val="575454A3"/>
    <w:rsid w:val="575E691C"/>
    <w:rsid w:val="575F7C5A"/>
    <w:rsid w:val="57671D35"/>
    <w:rsid w:val="577E7DB5"/>
    <w:rsid w:val="577F5955"/>
    <w:rsid w:val="57887140"/>
    <w:rsid w:val="579637F7"/>
    <w:rsid w:val="579A0D49"/>
    <w:rsid w:val="579D2786"/>
    <w:rsid w:val="57AC546F"/>
    <w:rsid w:val="57B63C2B"/>
    <w:rsid w:val="57B74D8B"/>
    <w:rsid w:val="57C3608E"/>
    <w:rsid w:val="57C63298"/>
    <w:rsid w:val="57C8294E"/>
    <w:rsid w:val="57CD1F43"/>
    <w:rsid w:val="57DA06B3"/>
    <w:rsid w:val="57E02F06"/>
    <w:rsid w:val="57E51C6E"/>
    <w:rsid w:val="57F3770E"/>
    <w:rsid w:val="57F951FB"/>
    <w:rsid w:val="57FC5104"/>
    <w:rsid w:val="58063E80"/>
    <w:rsid w:val="581C2B7B"/>
    <w:rsid w:val="581F3792"/>
    <w:rsid w:val="582838C6"/>
    <w:rsid w:val="583B07F4"/>
    <w:rsid w:val="58501BF8"/>
    <w:rsid w:val="5852328D"/>
    <w:rsid w:val="5853208E"/>
    <w:rsid w:val="58565DF1"/>
    <w:rsid w:val="58631C30"/>
    <w:rsid w:val="58685841"/>
    <w:rsid w:val="58730B2D"/>
    <w:rsid w:val="5878712B"/>
    <w:rsid w:val="587A202D"/>
    <w:rsid w:val="588A738B"/>
    <w:rsid w:val="5897524F"/>
    <w:rsid w:val="58A61080"/>
    <w:rsid w:val="58A941F1"/>
    <w:rsid w:val="58B02697"/>
    <w:rsid w:val="58BD3D3F"/>
    <w:rsid w:val="58BE3383"/>
    <w:rsid w:val="58D50417"/>
    <w:rsid w:val="58DA255A"/>
    <w:rsid w:val="58DF2F7C"/>
    <w:rsid w:val="58F612BA"/>
    <w:rsid w:val="590B6EE1"/>
    <w:rsid w:val="592F7A5F"/>
    <w:rsid w:val="593212FE"/>
    <w:rsid w:val="593C610E"/>
    <w:rsid w:val="594B5323"/>
    <w:rsid w:val="59544195"/>
    <w:rsid w:val="59605010"/>
    <w:rsid w:val="596411C1"/>
    <w:rsid w:val="59687B64"/>
    <w:rsid w:val="59691E3E"/>
    <w:rsid w:val="59790790"/>
    <w:rsid w:val="597C6A1D"/>
    <w:rsid w:val="597E09E7"/>
    <w:rsid w:val="59890D28"/>
    <w:rsid w:val="598C0858"/>
    <w:rsid w:val="598F1D32"/>
    <w:rsid w:val="598F52B4"/>
    <w:rsid w:val="59905580"/>
    <w:rsid w:val="59927FEE"/>
    <w:rsid w:val="59A236E7"/>
    <w:rsid w:val="59AA7B9B"/>
    <w:rsid w:val="59AF49B3"/>
    <w:rsid w:val="59B84DE6"/>
    <w:rsid w:val="59BC2E97"/>
    <w:rsid w:val="59C0357E"/>
    <w:rsid w:val="59C41BBA"/>
    <w:rsid w:val="59DF4E6B"/>
    <w:rsid w:val="59E55282"/>
    <w:rsid w:val="59E70055"/>
    <w:rsid w:val="59F35F17"/>
    <w:rsid w:val="5A035041"/>
    <w:rsid w:val="5A04330F"/>
    <w:rsid w:val="5A066216"/>
    <w:rsid w:val="5A0F2F34"/>
    <w:rsid w:val="5A1F5027"/>
    <w:rsid w:val="5A2444C1"/>
    <w:rsid w:val="5A250E62"/>
    <w:rsid w:val="5A2657B0"/>
    <w:rsid w:val="5A2B4598"/>
    <w:rsid w:val="5A335A48"/>
    <w:rsid w:val="5A376352"/>
    <w:rsid w:val="5A4D709B"/>
    <w:rsid w:val="5A525E3B"/>
    <w:rsid w:val="5A6061B7"/>
    <w:rsid w:val="5A6C4335"/>
    <w:rsid w:val="5A6C4CE3"/>
    <w:rsid w:val="5A7241E0"/>
    <w:rsid w:val="5A735294"/>
    <w:rsid w:val="5A76346C"/>
    <w:rsid w:val="5A775ADF"/>
    <w:rsid w:val="5A7A000A"/>
    <w:rsid w:val="5A7D4889"/>
    <w:rsid w:val="5A856021"/>
    <w:rsid w:val="5A917727"/>
    <w:rsid w:val="5AA0484E"/>
    <w:rsid w:val="5AA22F26"/>
    <w:rsid w:val="5AB008C7"/>
    <w:rsid w:val="5AD67AF1"/>
    <w:rsid w:val="5ADB210E"/>
    <w:rsid w:val="5AEF3789"/>
    <w:rsid w:val="5B012275"/>
    <w:rsid w:val="5B02500C"/>
    <w:rsid w:val="5B064300"/>
    <w:rsid w:val="5B1D44DB"/>
    <w:rsid w:val="5B2848A1"/>
    <w:rsid w:val="5B3326FF"/>
    <w:rsid w:val="5B365C9D"/>
    <w:rsid w:val="5B494F42"/>
    <w:rsid w:val="5B4C772E"/>
    <w:rsid w:val="5B5378B5"/>
    <w:rsid w:val="5B585EFB"/>
    <w:rsid w:val="5B5D62B3"/>
    <w:rsid w:val="5B646A1E"/>
    <w:rsid w:val="5B675740"/>
    <w:rsid w:val="5B694614"/>
    <w:rsid w:val="5B707814"/>
    <w:rsid w:val="5B8F61DC"/>
    <w:rsid w:val="5B992A97"/>
    <w:rsid w:val="5B9C5834"/>
    <w:rsid w:val="5BA82B87"/>
    <w:rsid w:val="5BB16E22"/>
    <w:rsid w:val="5BB932DF"/>
    <w:rsid w:val="5BB9361D"/>
    <w:rsid w:val="5BC26D7C"/>
    <w:rsid w:val="5BC613F5"/>
    <w:rsid w:val="5BD226D5"/>
    <w:rsid w:val="5BD85E7B"/>
    <w:rsid w:val="5BD92528"/>
    <w:rsid w:val="5BDB5C7C"/>
    <w:rsid w:val="5BFB1373"/>
    <w:rsid w:val="5C143684"/>
    <w:rsid w:val="5C197C61"/>
    <w:rsid w:val="5C42519D"/>
    <w:rsid w:val="5C4E6017"/>
    <w:rsid w:val="5C5A4936"/>
    <w:rsid w:val="5C5C428A"/>
    <w:rsid w:val="5C5E59E7"/>
    <w:rsid w:val="5C5F7F6F"/>
    <w:rsid w:val="5C67700E"/>
    <w:rsid w:val="5C702869"/>
    <w:rsid w:val="5C71213D"/>
    <w:rsid w:val="5C7F37EC"/>
    <w:rsid w:val="5C8A3FE9"/>
    <w:rsid w:val="5CC02E18"/>
    <w:rsid w:val="5CCA1CD7"/>
    <w:rsid w:val="5CCB1B42"/>
    <w:rsid w:val="5CCD143D"/>
    <w:rsid w:val="5CD93370"/>
    <w:rsid w:val="5CDA0693"/>
    <w:rsid w:val="5CDE1086"/>
    <w:rsid w:val="5CE877C0"/>
    <w:rsid w:val="5CF33CF0"/>
    <w:rsid w:val="5CF801A4"/>
    <w:rsid w:val="5CF977E4"/>
    <w:rsid w:val="5CFD07AF"/>
    <w:rsid w:val="5CFE2C09"/>
    <w:rsid w:val="5D002279"/>
    <w:rsid w:val="5D055604"/>
    <w:rsid w:val="5D074422"/>
    <w:rsid w:val="5D0C1A8F"/>
    <w:rsid w:val="5D0F62F9"/>
    <w:rsid w:val="5D147F71"/>
    <w:rsid w:val="5D177D1D"/>
    <w:rsid w:val="5D1D0BAE"/>
    <w:rsid w:val="5D1D7A90"/>
    <w:rsid w:val="5D2041B3"/>
    <w:rsid w:val="5D21070F"/>
    <w:rsid w:val="5D32524B"/>
    <w:rsid w:val="5D3F47A3"/>
    <w:rsid w:val="5D4E2F36"/>
    <w:rsid w:val="5D50278B"/>
    <w:rsid w:val="5D502CFF"/>
    <w:rsid w:val="5D600B2F"/>
    <w:rsid w:val="5D683075"/>
    <w:rsid w:val="5D6B7EE0"/>
    <w:rsid w:val="5D7B17D5"/>
    <w:rsid w:val="5D7E2CB8"/>
    <w:rsid w:val="5D9052B4"/>
    <w:rsid w:val="5DA52011"/>
    <w:rsid w:val="5DA54BEC"/>
    <w:rsid w:val="5DAA3B58"/>
    <w:rsid w:val="5DAD1EFF"/>
    <w:rsid w:val="5DB110B9"/>
    <w:rsid w:val="5DB31C9B"/>
    <w:rsid w:val="5DBB1EA2"/>
    <w:rsid w:val="5DBC5746"/>
    <w:rsid w:val="5DC254A4"/>
    <w:rsid w:val="5DC46EEB"/>
    <w:rsid w:val="5DCA5343"/>
    <w:rsid w:val="5DCC3E1F"/>
    <w:rsid w:val="5DD61F95"/>
    <w:rsid w:val="5DE03992"/>
    <w:rsid w:val="5DE046A7"/>
    <w:rsid w:val="5DE13B0B"/>
    <w:rsid w:val="5DEF2D19"/>
    <w:rsid w:val="5DF328DA"/>
    <w:rsid w:val="5E14349F"/>
    <w:rsid w:val="5E1852CC"/>
    <w:rsid w:val="5E234DC2"/>
    <w:rsid w:val="5E2F22B0"/>
    <w:rsid w:val="5E477D45"/>
    <w:rsid w:val="5E491AA2"/>
    <w:rsid w:val="5E535213"/>
    <w:rsid w:val="5E6A4158"/>
    <w:rsid w:val="5E6F39B9"/>
    <w:rsid w:val="5E7D1AF4"/>
    <w:rsid w:val="5EAF146A"/>
    <w:rsid w:val="5EB6652D"/>
    <w:rsid w:val="5EB90C5F"/>
    <w:rsid w:val="5EC549C2"/>
    <w:rsid w:val="5ECC7F49"/>
    <w:rsid w:val="5EDA124C"/>
    <w:rsid w:val="5EDA7ED4"/>
    <w:rsid w:val="5EE25B1C"/>
    <w:rsid w:val="5EE67ACB"/>
    <w:rsid w:val="5EE8555A"/>
    <w:rsid w:val="5EEB644C"/>
    <w:rsid w:val="5EFB246E"/>
    <w:rsid w:val="5EFD79A3"/>
    <w:rsid w:val="5F0E2BC1"/>
    <w:rsid w:val="5F1D6FE7"/>
    <w:rsid w:val="5F25558F"/>
    <w:rsid w:val="5F294F51"/>
    <w:rsid w:val="5F3538F6"/>
    <w:rsid w:val="5F4F3137"/>
    <w:rsid w:val="5F580A68"/>
    <w:rsid w:val="5F591634"/>
    <w:rsid w:val="5F6C28DD"/>
    <w:rsid w:val="5F7D7A24"/>
    <w:rsid w:val="5F8A7337"/>
    <w:rsid w:val="5F8B3061"/>
    <w:rsid w:val="5F906AE1"/>
    <w:rsid w:val="5F940458"/>
    <w:rsid w:val="5F9F5E2A"/>
    <w:rsid w:val="5FA5726B"/>
    <w:rsid w:val="5FA6539C"/>
    <w:rsid w:val="5FA665A1"/>
    <w:rsid w:val="5FB11661"/>
    <w:rsid w:val="5FC03DB0"/>
    <w:rsid w:val="5FC41AE1"/>
    <w:rsid w:val="5FC52DB9"/>
    <w:rsid w:val="5FCE501B"/>
    <w:rsid w:val="5FCF5BB7"/>
    <w:rsid w:val="5FD342C3"/>
    <w:rsid w:val="5FD77D8E"/>
    <w:rsid w:val="5FDF3861"/>
    <w:rsid w:val="5FFE7D7B"/>
    <w:rsid w:val="5FFF6FF0"/>
    <w:rsid w:val="600C55FF"/>
    <w:rsid w:val="60124A26"/>
    <w:rsid w:val="60285F2B"/>
    <w:rsid w:val="602F3722"/>
    <w:rsid w:val="602F6873"/>
    <w:rsid w:val="60352115"/>
    <w:rsid w:val="60364DB4"/>
    <w:rsid w:val="60366FD2"/>
    <w:rsid w:val="603A1376"/>
    <w:rsid w:val="60492ED3"/>
    <w:rsid w:val="604E0143"/>
    <w:rsid w:val="604F05DD"/>
    <w:rsid w:val="6055140A"/>
    <w:rsid w:val="605664B0"/>
    <w:rsid w:val="605D6B5D"/>
    <w:rsid w:val="607435AE"/>
    <w:rsid w:val="607466A0"/>
    <w:rsid w:val="60792264"/>
    <w:rsid w:val="607B4F45"/>
    <w:rsid w:val="607C1E5D"/>
    <w:rsid w:val="6081059F"/>
    <w:rsid w:val="608430EE"/>
    <w:rsid w:val="608E45D0"/>
    <w:rsid w:val="60917182"/>
    <w:rsid w:val="609348A3"/>
    <w:rsid w:val="609B4289"/>
    <w:rsid w:val="60A30D33"/>
    <w:rsid w:val="60A53C9F"/>
    <w:rsid w:val="60A9459B"/>
    <w:rsid w:val="60AF09CE"/>
    <w:rsid w:val="60B00C0F"/>
    <w:rsid w:val="60B46AEE"/>
    <w:rsid w:val="60B67937"/>
    <w:rsid w:val="60C12FFA"/>
    <w:rsid w:val="60CC664E"/>
    <w:rsid w:val="60D151E5"/>
    <w:rsid w:val="60DC02BD"/>
    <w:rsid w:val="60E255AE"/>
    <w:rsid w:val="60E43516"/>
    <w:rsid w:val="60E46342"/>
    <w:rsid w:val="60E76D2A"/>
    <w:rsid w:val="60F14E1A"/>
    <w:rsid w:val="60F50F5B"/>
    <w:rsid w:val="60FE4B12"/>
    <w:rsid w:val="61001C6F"/>
    <w:rsid w:val="610368F9"/>
    <w:rsid w:val="61064EBB"/>
    <w:rsid w:val="6121185D"/>
    <w:rsid w:val="61283A2E"/>
    <w:rsid w:val="61427593"/>
    <w:rsid w:val="61553E5E"/>
    <w:rsid w:val="6159546D"/>
    <w:rsid w:val="61612077"/>
    <w:rsid w:val="616278D7"/>
    <w:rsid w:val="616D31D2"/>
    <w:rsid w:val="617B206B"/>
    <w:rsid w:val="617E1F74"/>
    <w:rsid w:val="617E577B"/>
    <w:rsid w:val="618B5C44"/>
    <w:rsid w:val="61924724"/>
    <w:rsid w:val="61975B38"/>
    <w:rsid w:val="619C5DFC"/>
    <w:rsid w:val="619F09AA"/>
    <w:rsid w:val="619F5450"/>
    <w:rsid w:val="61A61C81"/>
    <w:rsid w:val="61A7359E"/>
    <w:rsid w:val="61B60C25"/>
    <w:rsid w:val="61BA373C"/>
    <w:rsid w:val="61BA4586"/>
    <w:rsid w:val="61EB26C7"/>
    <w:rsid w:val="61FB0B36"/>
    <w:rsid w:val="62062E69"/>
    <w:rsid w:val="620B4DE2"/>
    <w:rsid w:val="62165FCA"/>
    <w:rsid w:val="62195C1C"/>
    <w:rsid w:val="621A45BF"/>
    <w:rsid w:val="62274055"/>
    <w:rsid w:val="622B5840"/>
    <w:rsid w:val="622D6965"/>
    <w:rsid w:val="62312E62"/>
    <w:rsid w:val="62323C64"/>
    <w:rsid w:val="6233515E"/>
    <w:rsid w:val="62364D5D"/>
    <w:rsid w:val="62443816"/>
    <w:rsid w:val="62520B53"/>
    <w:rsid w:val="627112D8"/>
    <w:rsid w:val="627252C8"/>
    <w:rsid w:val="62790F54"/>
    <w:rsid w:val="627D579E"/>
    <w:rsid w:val="627E136B"/>
    <w:rsid w:val="62810911"/>
    <w:rsid w:val="6289391E"/>
    <w:rsid w:val="628941E1"/>
    <w:rsid w:val="62A06675"/>
    <w:rsid w:val="62A93088"/>
    <w:rsid w:val="62AF5C29"/>
    <w:rsid w:val="62B25A86"/>
    <w:rsid w:val="62D4424F"/>
    <w:rsid w:val="62E32CBE"/>
    <w:rsid w:val="62ED4082"/>
    <w:rsid w:val="62F675F7"/>
    <w:rsid w:val="62FE688B"/>
    <w:rsid w:val="6302275A"/>
    <w:rsid w:val="63030129"/>
    <w:rsid w:val="630D57D9"/>
    <w:rsid w:val="631F7BA6"/>
    <w:rsid w:val="63266AD3"/>
    <w:rsid w:val="632717CF"/>
    <w:rsid w:val="632B7F8A"/>
    <w:rsid w:val="633E64A2"/>
    <w:rsid w:val="63421DED"/>
    <w:rsid w:val="63510AC0"/>
    <w:rsid w:val="635937B0"/>
    <w:rsid w:val="6363351B"/>
    <w:rsid w:val="63643266"/>
    <w:rsid w:val="63696264"/>
    <w:rsid w:val="637A5D7B"/>
    <w:rsid w:val="637A6977"/>
    <w:rsid w:val="637E6446"/>
    <w:rsid w:val="6387372D"/>
    <w:rsid w:val="63A0384C"/>
    <w:rsid w:val="63A30B0B"/>
    <w:rsid w:val="63AE2C8A"/>
    <w:rsid w:val="63B075FF"/>
    <w:rsid w:val="63B106BF"/>
    <w:rsid w:val="63BA40E2"/>
    <w:rsid w:val="63C00307"/>
    <w:rsid w:val="63C03E6E"/>
    <w:rsid w:val="63CC0806"/>
    <w:rsid w:val="63D13E48"/>
    <w:rsid w:val="63D45AAF"/>
    <w:rsid w:val="63DA0425"/>
    <w:rsid w:val="63DA426A"/>
    <w:rsid w:val="63DA73E7"/>
    <w:rsid w:val="63E46C26"/>
    <w:rsid w:val="63E47A6B"/>
    <w:rsid w:val="63EB4F97"/>
    <w:rsid w:val="63EE1BD9"/>
    <w:rsid w:val="63F075CA"/>
    <w:rsid w:val="63F32E5D"/>
    <w:rsid w:val="63FC2C19"/>
    <w:rsid w:val="63FE6362"/>
    <w:rsid w:val="640337A4"/>
    <w:rsid w:val="64086300"/>
    <w:rsid w:val="64110B27"/>
    <w:rsid w:val="64137211"/>
    <w:rsid w:val="64190AAB"/>
    <w:rsid w:val="641D05C4"/>
    <w:rsid w:val="64355DB9"/>
    <w:rsid w:val="643A76D1"/>
    <w:rsid w:val="64400B84"/>
    <w:rsid w:val="64476B68"/>
    <w:rsid w:val="644C06A3"/>
    <w:rsid w:val="64667869"/>
    <w:rsid w:val="64690237"/>
    <w:rsid w:val="6470760F"/>
    <w:rsid w:val="64734CD8"/>
    <w:rsid w:val="648957DC"/>
    <w:rsid w:val="648F7F37"/>
    <w:rsid w:val="64972D05"/>
    <w:rsid w:val="64A9056C"/>
    <w:rsid w:val="64B61638"/>
    <w:rsid w:val="64B72329"/>
    <w:rsid w:val="64B80EBB"/>
    <w:rsid w:val="64BA4E83"/>
    <w:rsid w:val="64BE7C84"/>
    <w:rsid w:val="64CB4CD8"/>
    <w:rsid w:val="64CB6EDD"/>
    <w:rsid w:val="64CE4AD5"/>
    <w:rsid w:val="64DE2339"/>
    <w:rsid w:val="64DF3D3B"/>
    <w:rsid w:val="64E77440"/>
    <w:rsid w:val="64ED6AD7"/>
    <w:rsid w:val="64F406E8"/>
    <w:rsid w:val="650114F3"/>
    <w:rsid w:val="651F5ECA"/>
    <w:rsid w:val="652C7FEF"/>
    <w:rsid w:val="652D768A"/>
    <w:rsid w:val="653348E4"/>
    <w:rsid w:val="65412E92"/>
    <w:rsid w:val="654936A9"/>
    <w:rsid w:val="65510D5D"/>
    <w:rsid w:val="655511DA"/>
    <w:rsid w:val="655E6AA5"/>
    <w:rsid w:val="656A1BB7"/>
    <w:rsid w:val="656C460A"/>
    <w:rsid w:val="657E158A"/>
    <w:rsid w:val="6585272E"/>
    <w:rsid w:val="65893B3D"/>
    <w:rsid w:val="658B0A06"/>
    <w:rsid w:val="658E6FFE"/>
    <w:rsid w:val="65911296"/>
    <w:rsid w:val="6595514F"/>
    <w:rsid w:val="65975616"/>
    <w:rsid w:val="659817C0"/>
    <w:rsid w:val="65A30A01"/>
    <w:rsid w:val="65A761A0"/>
    <w:rsid w:val="65B0017A"/>
    <w:rsid w:val="65B1376F"/>
    <w:rsid w:val="65BA539F"/>
    <w:rsid w:val="65C4791B"/>
    <w:rsid w:val="65C60E40"/>
    <w:rsid w:val="65DB25F5"/>
    <w:rsid w:val="66043133"/>
    <w:rsid w:val="660D610A"/>
    <w:rsid w:val="66167A8A"/>
    <w:rsid w:val="66187ACD"/>
    <w:rsid w:val="66225747"/>
    <w:rsid w:val="662A414E"/>
    <w:rsid w:val="663D1199"/>
    <w:rsid w:val="664237DE"/>
    <w:rsid w:val="66447A55"/>
    <w:rsid w:val="66461061"/>
    <w:rsid w:val="665705F5"/>
    <w:rsid w:val="665D2E63"/>
    <w:rsid w:val="66636915"/>
    <w:rsid w:val="66643255"/>
    <w:rsid w:val="667271DD"/>
    <w:rsid w:val="668461FC"/>
    <w:rsid w:val="66872BB1"/>
    <w:rsid w:val="668829BF"/>
    <w:rsid w:val="668840D3"/>
    <w:rsid w:val="669022B5"/>
    <w:rsid w:val="66943393"/>
    <w:rsid w:val="669615C8"/>
    <w:rsid w:val="66A70A38"/>
    <w:rsid w:val="66A81E3B"/>
    <w:rsid w:val="66AB7719"/>
    <w:rsid w:val="66B16214"/>
    <w:rsid w:val="66B41487"/>
    <w:rsid w:val="66B45F58"/>
    <w:rsid w:val="66B75E02"/>
    <w:rsid w:val="66BE7E7F"/>
    <w:rsid w:val="66C2116A"/>
    <w:rsid w:val="66C83437"/>
    <w:rsid w:val="66CA589A"/>
    <w:rsid w:val="66D30189"/>
    <w:rsid w:val="66DC26DA"/>
    <w:rsid w:val="66E2056B"/>
    <w:rsid w:val="66E303EF"/>
    <w:rsid w:val="66E7105E"/>
    <w:rsid w:val="66EC6F90"/>
    <w:rsid w:val="66EF4F2D"/>
    <w:rsid w:val="66FB70BD"/>
    <w:rsid w:val="6702333F"/>
    <w:rsid w:val="670F0ED0"/>
    <w:rsid w:val="6713379C"/>
    <w:rsid w:val="6713746C"/>
    <w:rsid w:val="67266819"/>
    <w:rsid w:val="672901E4"/>
    <w:rsid w:val="672D39C9"/>
    <w:rsid w:val="672D696A"/>
    <w:rsid w:val="673243A0"/>
    <w:rsid w:val="67366581"/>
    <w:rsid w:val="674D79F2"/>
    <w:rsid w:val="674E6EAF"/>
    <w:rsid w:val="67617347"/>
    <w:rsid w:val="67646C35"/>
    <w:rsid w:val="676610C3"/>
    <w:rsid w:val="677D7CFF"/>
    <w:rsid w:val="679624D5"/>
    <w:rsid w:val="679975D9"/>
    <w:rsid w:val="679A2D01"/>
    <w:rsid w:val="679A4D78"/>
    <w:rsid w:val="679B080E"/>
    <w:rsid w:val="67AE6C83"/>
    <w:rsid w:val="67BF4E77"/>
    <w:rsid w:val="67CF53AC"/>
    <w:rsid w:val="67D977AE"/>
    <w:rsid w:val="67DD2D7C"/>
    <w:rsid w:val="67E22E37"/>
    <w:rsid w:val="67F0242A"/>
    <w:rsid w:val="67F72136"/>
    <w:rsid w:val="67F95A62"/>
    <w:rsid w:val="680A5D9B"/>
    <w:rsid w:val="680E73DA"/>
    <w:rsid w:val="68105BBD"/>
    <w:rsid w:val="682767BA"/>
    <w:rsid w:val="682B2FAE"/>
    <w:rsid w:val="683F07E9"/>
    <w:rsid w:val="684C6230"/>
    <w:rsid w:val="68626A4C"/>
    <w:rsid w:val="68631C6C"/>
    <w:rsid w:val="68642FE0"/>
    <w:rsid w:val="68686AEA"/>
    <w:rsid w:val="686B0358"/>
    <w:rsid w:val="6871637B"/>
    <w:rsid w:val="6875429C"/>
    <w:rsid w:val="687C1C32"/>
    <w:rsid w:val="687F2FB1"/>
    <w:rsid w:val="6885769C"/>
    <w:rsid w:val="68891B45"/>
    <w:rsid w:val="689B0F21"/>
    <w:rsid w:val="68AC35FE"/>
    <w:rsid w:val="68B71162"/>
    <w:rsid w:val="68BB30BE"/>
    <w:rsid w:val="68BE7ED7"/>
    <w:rsid w:val="68BF6DD1"/>
    <w:rsid w:val="68C1269E"/>
    <w:rsid w:val="68C74A24"/>
    <w:rsid w:val="68CF5B53"/>
    <w:rsid w:val="68D33134"/>
    <w:rsid w:val="68DD7E0D"/>
    <w:rsid w:val="68E56DAC"/>
    <w:rsid w:val="68F337CA"/>
    <w:rsid w:val="68F818FB"/>
    <w:rsid w:val="68FB4433"/>
    <w:rsid w:val="68FC7209"/>
    <w:rsid w:val="69006218"/>
    <w:rsid w:val="69061D3C"/>
    <w:rsid w:val="690A336C"/>
    <w:rsid w:val="690B409A"/>
    <w:rsid w:val="691015FF"/>
    <w:rsid w:val="69106A01"/>
    <w:rsid w:val="69156E4A"/>
    <w:rsid w:val="69171723"/>
    <w:rsid w:val="692400E2"/>
    <w:rsid w:val="692D0021"/>
    <w:rsid w:val="693118BD"/>
    <w:rsid w:val="695F613F"/>
    <w:rsid w:val="696576E6"/>
    <w:rsid w:val="69662275"/>
    <w:rsid w:val="696726B1"/>
    <w:rsid w:val="69692DF2"/>
    <w:rsid w:val="696A28ED"/>
    <w:rsid w:val="696C215F"/>
    <w:rsid w:val="69701DDC"/>
    <w:rsid w:val="69764D36"/>
    <w:rsid w:val="697666C6"/>
    <w:rsid w:val="6979079B"/>
    <w:rsid w:val="697A0817"/>
    <w:rsid w:val="69812B20"/>
    <w:rsid w:val="69817344"/>
    <w:rsid w:val="69820748"/>
    <w:rsid w:val="698647C5"/>
    <w:rsid w:val="69873CBE"/>
    <w:rsid w:val="698866BF"/>
    <w:rsid w:val="69905448"/>
    <w:rsid w:val="69B15066"/>
    <w:rsid w:val="69BD6509"/>
    <w:rsid w:val="69BE2E51"/>
    <w:rsid w:val="69C92B95"/>
    <w:rsid w:val="69CE19B4"/>
    <w:rsid w:val="69CF046E"/>
    <w:rsid w:val="69D66C3B"/>
    <w:rsid w:val="69DF6536"/>
    <w:rsid w:val="69F64A12"/>
    <w:rsid w:val="69F93E6F"/>
    <w:rsid w:val="69FA6868"/>
    <w:rsid w:val="6A095639"/>
    <w:rsid w:val="6A136F29"/>
    <w:rsid w:val="6A231B5B"/>
    <w:rsid w:val="6A285501"/>
    <w:rsid w:val="6A2C3760"/>
    <w:rsid w:val="6A3C4FDB"/>
    <w:rsid w:val="6A511EFA"/>
    <w:rsid w:val="6A661AAE"/>
    <w:rsid w:val="6A6A39C1"/>
    <w:rsid w:val="6A6D4E50"/>
    <w:rsid w:val="6A7259FE"/>
    <w:rsid w:val="6A7C687C"/>
    <w:rsid w:val="6A904844"/>
    <w:rsid w:val="6A970233"/>
    <w:rsid w:val="6A9F79E8"/>
    <w:rsid w:val="6AA367FB"/>
    <w:rsid w:val="6AAC6E3F"/>
    <w:rsid w:val="6AB55729"/>
    <w:rsid w:val="6AB70549"/>
    <w:rsid w:val="6ABD0F83"/>
    <w:rsid w:val="6ABE5BC5"/>
    <w:rsid w:val="6AD14645"/>
    <w:rsid w:val="6AD83B90"/>
    <w:rsid w:val="6AE31AA3"/>
    <w:rsid w:val="6AE92131"/>
    <w:rsid w:val="6B0029CD"/>
    <w:rsid w:val="6B0D00C8"/>
    <w:rsid w:val="6B143EC0"/>
    <w:rsid w:val="6B1455FE"/>
    <w:rsid w:val="6B1874E9"/>
    <w:rsid w:val="6B2125F1"/>
    <w:rsid w:val="6B2357C5"/>
    <w:rsid w:val="6B283607"/>
    <w:rsid w:val="6B284D7A"/>
    <w:rsid w:val="6B291AA6"/>
    <w:rsid w:val="6B2F38EF"/>
    <w:rsid w:val="6B4776C0"/>
    <w:rsid w:val="6B583569"/>
    <w:rsid w:val="6B625CBA"/>
    <w:rsid w:val="6B6549BF"/>
    <w:rsid w:val="6B715CB5"/>
    <w:rsid w:val="6B8F25CB"/>
    <w:rsid w:val="6B9C3AB3"/>
    <w:rsid w:val="6B9E3722"/>
    <w:rsid w:val="6BA76530"/>
    <w:rsid w:val="6BB56472"/>
    <w:rsid w:val="6BB75415"/>
    <w:rsid w:val="6BC31514"/>
    <w:rsid w:val="6BC509A7"/>
    <w:rsid w:val="6BC565CC"/>
    <w:rsid w:val="6BCC3834"/>
    <w:rsid w:val="6BCF70D2"/>
    <w:rsid w:val="6BD66935"/>
    <w:rsid w:val="6BED223F"/>
    <w:rsid w:val="6BF44654"/>
    <w:rsid w:val="6BF833C3"/>
    <w:rsid w:val="6BF93674"/>
    <w:rsid w:val="6C04449A"/>
    <w:rsid w:val="6C1C3536"/>
    <w:rsid w:val="6C204C13"/>
    <w:rsid w:val="6C3458B1"/>
    <w:rsid w:val="6C383DDF"/>
    <w:rsid w:val="6C3C755C"/>
    <w:rsid w:val="6C3F4B76"/>
    <w:rsid w:val="6C4258A4"/>
    <w:rsid w:val="6C4E249B"/>
    <w:rsid w:val="6C563260"/>
    <w:rsid w:val="6C5A449E"/>
    <w:rsid w:val="6C5F77FC"/>
    <w:rsid w:val="6C601C08"/>
    <w:rsid w:val="6C6506C2"/>
    <w:rsid w:val="6C673BDF"/>
    <w:rsid w:val="6C6F76A3"/>
    <w:rsid w:val="6C7D3F16"/>
    <w:rsid w:val="6C842B78"/>
    <w:rsid w:val="6C874768"/>
    <w:rsid w:val="6C903E9C"/>
    <w:rsid w:val="6CA129FC"/>
    <w:rsid w:val="6CA74F3D"/>
    <w:rsid w:val="6CAD6F9D"/>
    <w:rsid w:val="6CAF4E29"/>
    <w:rsid w:val="6CB76560"/>
    <w:rsid w:val="6CB93DB8"/>
    <w:rsid w:val="6CC6358E"/>
    <w:rsid w:val="6CCA118F"/>
    <w:rsid w:val="6CCC55C9"/>
    <w:rsid w:val="6CEF240C"/>
    <w:rsid w:val="6D040DB1"/>
    <w:rsid w:val="6D0B49CA"/>
    <w:rsid w:val="6D2154B9"/>
    <w:rsid w:val="6D292A15"/>
    <w:rsid w:val="6D2B2356"/>
    <w:rsid w:val="6D2F64DB"/>
    <w:rsid w:val="6D3542BD"/>
    <w:rsid w:val="6D356F8C"/>
    <w:rsid w:val="6D3D2B88"/>
    <w:rsid w:val="6D3D4621"/>
    <w:rsid w:val="6D484B44"/>
    <w:rsid w:val="6D543154"/>
    <w:rsid w:val="6D5F1C09"/>
    <w:rsid w:val="6D68420D"/>
    <w:rsid w:val="6D760458"/>
    <w:rsid w:val="6D762111"/>
    <w:rsid w:val="6D7A7628"/>
    <w:rsid w:val="6D831CD8"/>
    <w:rsid w:val="6DA60143"/>
    <w:rsid w:val="6DB5483A"/>
    <w:rsid w:val="6DB8059E"/>
    <w:rsid w:val="6DE0700D"/>
    <w:rsid w:val="6DE513DF"/>
    <w:rsid w:val="6DE55E1E"/>
    <w:rsid w:val="6DEF0FCF"/>
    <w:rsid w:val="6DF013FA"/>
    <w:rsid w:val="6DF324A7"/>
    <w:rsid w:val="6DFB5A89"/>
    <w:rsid w:val="6E015ED3"/>
    <w:rsid w:val="6E043D6B"/>
    <w:rsid w:val="6E0E2F88"/>
    <w:rsid w:val="6E144C1B"/>
    <w:rsid w:val="6E1F261F"/>
    <w:rsid w:val="6E214792"/>
    <w:rsid w:val="6E217E67"/>
    <w:rsid w:val="6E2639A0"/>
    <w:rsid w:val="6E286E17"/>
    <w:rsid w:val="6E2A51EB"/>
    <w:rsid w:val="6E3C70F4"/>
    <w:rsid w:val="6E4B7741"/>
    <w:rsid w:val="6E4D4B28"/>
    <w:rsid w:val="6E58315D"/>
    <w:rsid w:val="6E5A6C22"/>
    <w:rsid w:val="6E5D22B7"/>
    <w:rsid w:val="6E604A28"/>
    <w:rsid w:val="6E6066D5"/>
    <w:rsid w:val="6E6459A9"/>
    <w:rsid w:val="6E6516DE"/>
    <w:rsid w:val="6E674DFB"/>
    <w:rsid w:val="6E6D15B4"/>
    <w:rsid w:val="6E773AAA"/>
    <w:rsid w:val="6E7842FE"/>
    <w:rsid w:val="6E7A5886"/>
    <w:rsid w:val="6E817C3A"/>
    <w:rsid w:val="6E9D201E"/>
    <w:rsid w:val="6EA12D56"/>
    <w:rsid w:val="6EA81EF0"/>
    <w:rsid w:val="6EA93185"/>
    <w:rsid w:val="6EAD5D5D"/>
    <w:rsid w:val="6ECC1E24"/>
    <w:rsid w:val="6EF84866"/>
    <w:rsid w:val="6F0646BD"/>
    <w:rsid w:val="6F077D37"/>
    <w:rsid w:val="6F1B2B08"/>
    <w:rsid w:val="6F237A9C"/>
    <w:rsid w:val="6F281D63"/>
    <w:rsid w:val="6F285C67"/>
    <w:rsid w:val="6F2B113B"/>
    <w:rsid w:val="6F341D0F"/>
    <w:rsid w:val="6F36050A"/>
    <w:rsid w:val="6F373DAA"/>
    <w:rsid w:val="6F3B7D6C"/>
    <w:rsid w:val="6F3F33BE"/>
    <w:rsid w:val="6F444622"/>
    <w:rsid w:val="6F5629EB"/>
    <w:rsid w:val="6F5A2F04"/>
    <w:rsid w:val="6F5D2CE6"/>
    <w:rsid w:val="6F69619B"/>
    <w:rsid w:val="6F6E3BFB"/>
    <w:rsid w:val="6F6F01BE"/>
    <w:rsid w:val="6F716C4E"/>
    <w:rsid w:val="6F7F3944"/>
    <w:rsid w:val="6F8626F6"/>
    <w:rsid w:val="6F951FF9"/>
    <w:rsid w:val="6FA12FF2"/>
    <w:rsid w:val="6FA56179"/>
    <w:rsid w:val="6FA86677"/>
    <w:rsid w:val="6FA954FC"/>
    <w:rsid w:val="6FB045E9"/>
    <w:rsid w:val="6FBD0161"/>
    <w:rsid w:val="6FC41B10"/>
    <w:rsid w:val="6FC66086"/>
    <w:rsid w:val="6FC92495"/>
    <w:rsid w:val="6FE44B02"/>
    <w:rsid w:val="6FE81279"/>
    <w:rsid w:val="6FF123AC"/>
    <w:rsid w:val="70046D58"/>
    <w:rsid w:val="700922EA"/>
    <w:rsid w:val="70092FD1"/>
    <w:rsid w:val="701B4558"/>
    <w:rsid w:val="7021093A"/>
    <w:rsid w:val="702333EB"/>
    <w:rsid w:val="702714C9"/>
    <w:rsid w:val="70360ED3"/>
    <w:rsid w:val="70445267"/>
    <w:rsid w:val="705B1647"/>
    <w:rsid w:val="70715227"/>
    <w:rsid w:val="707916D8"/>
    <w:rsid w:val="707C4541"/>
    <w:rsid w:val="7089584F"/>
    <w:rsid w:val="7092719A"/>
    <w:rsid w:val="70966B7E"/>
    <w:rsid w:val="70985F9B"/>
    <w:rsid w:val="70B551A5"/>
    <w:rsid w:val="70D62EFA"/>
    <w:rsid w:val="70E07CF2"/>
    <w:rsid w:val="70F3212E"/>
    <w:rsid w:val="71013B97"/>
    <w:rsid w:val="71096C01"/>
    <w:rsid w:val="711D1E22"/>
    <w:rsid w:val="71302250"/>
    <w:rsid w:val="71393AF0"/>
    <w:rsid w:val="71463740"/>
    <w:rsid w:val="71542301"/>
    <w:rsid w:val="71571C85"/>
    <w:rsid w:val="716150F4"/>
    <w:rsid w:val="716705F6"/>
    <w:rsid w:val="7173778D"/>
    <w:rsid w:val="717542B0"/>
    <w:rsid w:val="71781778"/>
    <w:rsid w:val="718D0E25"/>
    <w:rsid w:val="71905B30"/>
    <w:rsid w:val="71946BA2"/>
    <w:rsid w:val="719A7CC6"/>
    <w:rsid w:val="719C2590"/>
    <w:rsid w:val="71A063E3"/>
    <w:rsid w:val="71A130D0"/>
    <w:rsid w:val="71AA69DD"/>
    <w:rsid w:val="71AB3FEB"/>
    <w:rsid w:val="71B2195B"/>
    <w:rsid w:val="71BB47C5"/>
    <w:rsid w:val="71C34F02"/>
    <w:rsid w:val="71CE5CF4"/>
    <w:rsid w:val="71CF6277"/>
    <w:rsid w:val="71D715B8"/>
    <w:rsid w:val="71DC4065"/>
    <w:rsid w:val="71DF1D4B"/>
    <w:rsid w:val="71E92E63"/>
    <w:rsid w:val="71F3649A"/>
    <w:rsid w:val="71FA3080"/>
    <w:rsid w:val="71FD0366"/>
    <w:rsid w:val="721261AD"/>
    <w:rsid w:val="721C3467"/>
    <w:rsid w:val="722355B9"/>
    <w:rsid w:val="722A6792"/>
    <w:rsid w:val="72417258"/>
    <w:rsid w:val="72441047"/>
    <w:rsid w:val="724555BA"/>
    <w:rsid w:val="724E66D1"/>
    <w:rsid w:val="7250586F"/>
    <w:rsid w:val="726A0FAF"/>
    <w:rsid w:val="727B0D3D"/>
    <w:rsid w:val="727C62AB"/>
    <w:rsid w:val="728C5FCF"/>
    <w:rsid w:val="72916653"/>
    <w:rsid w:val="7295665C"/>
    <w:rsid w:val="72962956"/>
    <w:rsid w:val="72B40B38"/>
    <w:rsid w:val="72C91968"/>
    <w:rsid w:val="72CA0D69"/>
    <w:rsid w:val="72CD2623"/>
    <w:rsid w:val="72CF6EEB"/>
    <w:rsid w:val="72DA0FA0"/>
    <w:rsid w:val="72DE13C2"/>
    <w:rsid w:val="72E23A07"/>
    <w:rsid w:val="72E579C2"/>
    <w:rsid w:val="72ED43D7"/>
    <w:rsid w:val="72F373DB"/>
    <w:rsid w:val="73027B8F"/>
    <w:rsid w:val="730F26BA"/>
    <w:rsid w:val="7310788B"/>
    <w:rsid w:val="73117D2B"/>
    <w:rsid w:val="73175411"/>
    <w:rsid w:val="731A7C86"/>
    <w:rsid w:val="731B3BD6"/>
    <w:rsid w:val="731D06D6"/>
    <w:rsid w:val="73227D7F"/>
    <w:rsid w:val="732509AC"/>
    <w:rsid w:val="732A15F2"/>
    <w:rsid w:val="734A3F39"/>
    <w:rsid w:val="734A66B6"/>
    <w:rsid w:val="735105F7"/>
    <w:rsid w:val="73530623"/>
    <w:rsid w:val="735E29FF"/>
    <w:rsid w:val="73753EB2"/>
    <w:rsid w:val="73763229"/>
    <w:rsid w:val="73763884"/>
    <w:rsid w:val="7377280F"/>
    <w:rsid w:val="73780112"/>
    <w:rsid w:val="737B3003"/>
    <w:rsid w:val="737B5EDC"/>
    <w:rsid w:val="73815F87"/>
    <w:rsid w:val="73830C7C"/>
    <w:rsid w:val="739711FE"/>
    <w:rsid w:val="73AA0624"/>
    <w:rsid w:val="73AC5698"/>
    <w:rsid w:val="73B12314"/>
    <w:rsid w:val="73DA524A"/>
    <w:rsid w:val="73DF3FC5"/>
    <w:rsid w:val="73E01177"/>
    <w:rsid w:val="73E95B4B"/>
    <w:rsid w:val="73EF4E8D"/>
    <w:rsid w:val="73F21263"/>
    <w:rsid w:val="740C491F"/>
    <w:rsid w:val="741015C7"/>
    <w:rsid w:val="74151370"/>
    <w:rsid w:val="741A6878"/>
    <w:rsid w:val="741B250F"/>
    <w:rsid w:val="742050CA"/>
    <w:rsid w:val="7421428C"/>
    <w:rsid w:val="742449FB"/>
    <w:rsid w:val="742C198B"/>
    <w:rsid w:val="74312742"/>
    <w:rsid w:val="743D5BFC"/>
    <w:rsid w:val="7444711C"/>
    <w:rsid w:val="74464DD3"/>
    <w:rsid w:val="744C0FBA"/>
    <w:rsid w:val="747364CD"/>
    <w:rsid w:val="7481120F"/>
    <w:rsid w:val="74885995"/>
    <w:rsid w:val="749502B7"/>
    <w:rsid w:val="749D1CA4"/>
    <w:rsid w:val="749D6AEC"/>
    <w:rsid w:val="74A37F5D"/>
    <w:rsid w:val="74AF260D"/>
    <w:rsid w:val="74B03CF2"/>
    <w:rsid w:val="74B310ED"/>
    <w:rsid w:val="74B83193"/>
    <w:rsid w:val="74BB043F"/>
    <w:rsid w:val="74D44F98"/>
    <w:rsid w:val="74F90990"/>
    <w:rsid w:val="74FF4332"/>
    <w:rsid w:val="75135F41"/>
    <w:rsid w:val="751B4EE4"/>
    <w:rsid w:val="7524418E"/>
    <w:rsid w:val="75364590"/>
    <w:rsid w:val="7537762C"/>
    <w:rsid w:val="7542500D"/>
    <w:rsid w:val="75495FEB"/>
    <w:rsid w:val="75496604"/>
    <w:rsid w:val="75556930"/>
    <w:rsid w:val="755861B5"/>
    <w:rsid w:val="75607387"/>
    <w:rsid w:val="758415FA"/>
    <w:rsid w:val="758905C1"/>
    <w:rsid w:val="759247A9"/>
    <w:rsid w:val="759D6155"/>
    <w:rsid w:val="75A11113"/>
    <w:rsid w:val="75AD551D"/>
    <w:rsid w:val="75CA252F"/>
    <w:rsid w:val="75CD48CB"/>
    <w:rsid w:val="75D44334"/>
    <w:rsid w:val="75D523B7"/>
    <w:rsid w:val="75D63E42"/>
    <w:rsid w:val="75D7363A"/>
    <w:rsid w:val="75DC1C3E"/>
    <w:rsid w:val="75E14B7C"/>
    <w:rsid w:val="76012CAC"/>
    <w:rsid w:val="760A7898"/>
    <w:rsid w:val="760E2951"/>
    <w:rsid w:val="76120902"/>
    <w:rsid w:val="76163691"/>
    <w:rsid w:val="76163DB3"/>
    <w:rsid w:val="762A713F"/>
    <w:rsid w:val="762B4794"/>
    <w:rsid w:val="763223C9"/>
    <w:rsid w:val="763A1130"/>
    <w:rsid w:val="763A5EF7"/>
    <w:rsid w:val="764253B3"/>
    <w:rsid w:val="765179F4"/>
    <w:rsid w:val="7656344F"/>
    <w:rsid w:val="7656356A"/>
    <w:rsid w:val="765C47E0"/>
    <w:rsid w:val="76624B8C"/>
    <w:rsid w:val="766D176F"/>
    <w:rsid w:val="766F4E37"/>
    <w:rsid w:val="767019B3"/>
    <w:rsid w:val="767C6F88"/>
    <w:rsid w:val="7689581B"/>
    <w:rsid w:val="769537A1"/>
    <w:rsid w:val="76A35191"/>
    <w:rsid w:val="76A83B65"/>
    <w:rsid w:val="76B626E5"/>
    <w:rsid w:val="76B73219"/>
    <w:rsid w:val="76BA7E96"/>
    <w:rsid w:val="76BB138D"/>
    <w:rsid w:val="76C8542A"/>
    <w:rsid w:val="76CF2742"/>
    <w:rsid w:val="76D479AD"/>
    <w:rsid w:val="76D961B6"/>
    <w:rsid w:val="76DD06A3"/>
    <w:rsid w:val="76DE441B"/>
    <w:rsid w:val="76E97776"/>
    <w:rsid w:val="76F53640"/>
    <w:rsid w:val="76F62612"/>
    <w:rsid w:val="7706409E"/>
    <w:rsid w:val="77075D13"/>
    <w:rsid w:val="770833EE"/>
    <w:rsid w:val="771A50E0"/>
    <w:rsid w:val="771C18C7"/>
    <w:rsid w:val="77274A45"/>
    <w:rsid w:val="772A210A"/>
    <w:rsid w:val="773B02D7"/>
    <w:rsid w:val="77436A42"/>
    <w:rsid w:val="7747239E"/>
    <w:rsid w:val="774B0A9E"/>
    <w:rsid w:val="774F1C0C"/>
    <w:rsid w:val="775058B0"/>
    <w:rsid w:val="775829BC"/>
    <w:rsid w:val="77590D8B"/>
    <w:rsid w:val="7762788E"/>
    <w:rsid w:val="7768560E"/>
    <w:rsid w:val="776E0BA4"/>
    <w:rsid w:val="777F79AC"/>
    <w:rsid w:val="77837376"/>
    <w:rsid w:val="778D01F0"/>
    <w:rsid w:val="77AA2F6F"/>
    <w:rsid w:val="77AD32B3"/>
    <w:rsid w:val="77BA2229"/>
    <w:rsid w:val="77CE3E44"/>
    <w:rsid w:val="77D06D98"/>
    <w:rsid w:val="77D26EDA"/>
    <w:rsid w:val="77DD6CEE"/>
    <w:rsid w:val="77F20466"/>
    <w:rsid w:val="77F42D65"/>
    <w:rsid w:val="780517C8"/>
    <w:rsid w:val="78052AA8"/>
    <w:rsid w:val="784C24F7"/>
    <w:rsid w:val="78535134"/>
    <w:rsid w:val="785F08AE"/>
    <w:rsid w:val="78631993"/>
    <w:rsid w:val="7866026D"/>
    <w:rsid w:val="786A1391"/>
    <w:rsid w:val="7870524F"/>
    <w:rsid w:val="787A7D43"/>
    <w:rsid w:val="7887539B"/>
    <w:rsid w:val="788814AD"/>
    <w:rsid w:val="78904A68"/>
    <w:rsid w:val="78977B53"/>
    <w:rsid w:val="789B651D"/>
    <w:rsid w:val="78B37AFF"/>
    <w:rsid w:val="78B45A0C"/>
    <w:rsid w:val="78C00F36"/>
    <w:rsid w:val="78C57EA1"/>
    <w:rsid w:val="78CF758A"/>
    <w:rsid w:val="78D376E8"/>
    <w:rsid w:val="78DD1AF7"/>
    <w:rsid w:val="790F316C"/>
    <w:rsid w:val="79132D7C"/>
    <w:rsid w:val="79192D8C"/>
    <w:rsid w:val="792349BA"/>
    <w:rsid w:val="792510DE"/>
    <w:rsid w:val="792C4931"/>
    <w:rsid w:val="79354F4A"/>
    <w:rsid w:val="79431439"/>
    <w:rsid w:val="794B486E"/>
    <w:rsid w:val="795135CA"/>
    <w:rsid w:val="79560773"/>
    <w:rsid w:val="795C5536"/>
    <w:rsid w:val="79742D89"/>
    <w:rsid w:val="797F02B1"/>
    <w:rsid w:val="79843017"/>
    <w:rsid w:val="798A5970"/>
    <w:rsid w:val="798E6B74"/>
    <w:rsid w:val="79AB3C52"/>
    <w:rsid w:val="79AB7B6E"/>
    <w:rsid w:val="79C00AB2"/>
    <w:rsid w:val="79C6253F"/>
    <w:rsid w:val="79CA1BF9"/>
    <w:rsid w:val="79CA6D5E"/>
    <w:rsid w:val="79CE613A"/>
    <w:rsid w:val="79D1318C"/>
    <w:rsid w:val="79D54F87"/>
    <w:rsid w:val="79D7273C"/>
    <w:rsid w:val="79D73D15"/>
    <w:rsid w:val="79DB0C47"/>
    <w:rsid w:val="79E072E5"/>
    <w:rsid w:val="79EA3819"/>
    <w:rsid w:val="79F03054"/>
    <w:rsid w:val="79F620C7"/>
    <w:rsid w:val="79FC688F"/>
    <w:rsid w:val="7A051F54"/>
    <w:rsid w:val="7A0B34AA"/>
    <w:rsid w:val="7A0F3114"/>
    <w:rsid w:val="7A1C3F72"/>
    <w:rsid w:val="7A342F92"/>
    <w:rsid w:val="7A380F5A"/>
    <w:rsid w:val="7A7662CF"/>
    <w:rsid w:val="7A7E3203"/>
    <w:rsid w:val="7A815EDA"/>
    <w:rsid w:val="7A8C2580"/>
    <w:rsid w:val="7A8F6158"/>
    <w:rsid w:val="7A9E4216"/>
    <w:rsid w:val="7AAB4C74"/>
    <w:rsid w:val="7AB47994"/>
    <w:rsid w:val="7ABD75ED"/>
    <w:rsid w:val="7AC26CDF"/>
    <w:rsid w:val="7AC80669"/>
    <w:rsid w:val="7ACF3C5D"/>
    <w:rsid w:val="7AD3552D"/>
    <w:rsid w:val="7ADB031E"/>
    <w:rsid w:val="7ADD363C"/>
    <w:rsid w:val="7AE61B10"/>
    <w:rsid w:val="7AEA127B"/>
    <w:rsid w:val="7AEA4B87"/>
    <w:rsid w:val="7AEE06FB"/>
    <w:rsid w:val="7AFC3BE6"/>
    <w:rsid w:val="7AFD0B67"/>
    <w:rsid w:val="7B0B3527"/>
    <w:rsid w:val="7B1942B8"/>
    <w:rsid w:val="7B295B85"/>
    <w:rsid w:val="7B38479A"/>
    <w:rsid w:val="7B446F42"/>
    <w:rsid w:val="7B481BC5"/>
    <w:rsid w:val="7B4C5DF7"/>
    <w:rsid w:val="7B5E7D8C"/>
    <w:rsid w:val="7B6475E5"/>
    <w:rsid w:val="7B7742AB"/>
    <w:rsid w:val="7B810CF5"/>
    <w:rsid w:val="7B8345EA"/>
    <w:rsid w:val="7B894D63"/>
    <w:rsid w:val="7B9F05F9"/>
    <w:rsid w:val="7BAB3498"/>
    <w:rsid w:val="7BAC3A68"/>
    <w:rsid w:val="7BB447DF"/>
    <w:rsid w:val="7BBA0D9B"/>
    <w:rsid w:val="7BE40725"/>
    <w:rsid w:val="7BEA76AC"/>
    <w:rsid w:val="7C0014BD"/>
    <w:rsid w:val="7C0C4333"/>
    <w:rsid w:val="7C0F70B3"/>
    <w:rsid w:val="7C11234B"/>
    <w:rsid w:val="7C265807"/>
    <w:rsid w:val="7C2928C0"/>
    <w:rsid w:val="7C2B763E"/>
    <w:rsid w:val="7C352D2F"/>
    <w:rsid w:val="7C3C551A"/>
    <w:rsid w:val="7C514DF9"/>
    <w:rsid w:val="7C515944"/>
    <w:rsid w:val="7C571BB7"/>
    <w:rsid w:val="7C5C609D"/>
    <w:rsid w:val="7C67794F"/>
    <w:rsid w:val="7C697FB1"/>
    <w:rsid w:val="7C6A0B12"/>
    <w:rsid w:val="7C6E6CCF"/>
    <w:rsid w:val="7C7A383B"/>
    <w:rsid w:val="7C88336C"/>
    <w:rsid w:val="7C984323"/>
    <w:rsid w:val="7C9F2E07"/>
    <w:rsid w:val="7CA26587"/>
    <w:rsid w:val="7CA65CAF"/>
    <w:rsid w:val="7CA67C25"/>
    <w:rsid w:val="7CAF0869"/>
    <w:rsid w:val="7CD92EB0"/>
    <w:rsid w:val="7CDC01BF"/>
    <w:rsid w:val="7CDF2E8B"/>
    <w:rsid w:val="7CE57248"/>
    <w:rsid w:val="7CE720DF"/>
    <w:rsid w:val="7CE86940"/>
    <w:rsid w:val="7CE951A0"/>
    <w:rsid w:val="7CEF083D"/>
    <w:rsid w:val="7CF651D2"/>
    <w:rsid w:val="7D0B4F23"/>
    <w:rsid w:val="7D0D58F3"/>
    <w:rsid w:val="7D0E3A8C"/>
    <w:rsid w:val="7D0F28D7"/>
    <w:rsid w:val="7D140B97"/>
    <w:rsid w:val="7D1A098A"/>
    <w:rsid w:val="7D1A56CF"/>
    <w:rsid w:val="7D1D67D5"/>
    <w:rsid w:val="7D32051B"/>
    <w:rsid w:val="7D356246"/>
    <w:rsid w:val="7D4764D2"/>
    <w:rsid w:val="7D4D23AD"/>
    <w:rsid w:val="7D54422D"/>
    <w:rsid w:val="7D554F1E"/>
    <w:rsid w:val="7D71039F"/>
    <w:rsid w:val="7D7162A9"/>
    <w:rsid w:val="7D73207A"/>
    <w:rsid w:val="7D757545"/>
    <w:rsid w:val="7D77209E"/>
    <w:rsid w:val="7D8163AF"/>
    <w:rsid w:val="7D8B0994"/>
    <w:rsid w:val="7D931BF7"/>
    <w:rsid w:val="7D965D43"/>
    <w:rsid w:val="7DB2350F"/>
    <w:rsid w:val="7DB4765F"/>
    <w:rsid w:val="7DC9509D"/>
    <w:rsid w:val="7DE043B3"/>
    <w:rsid w:val="7DE4527B"/>
    <w:rsid w:val="7DE93DAF"/>
    <w:rsid w:val="7E0E0855"/>
    <w:rsid w:val="7E1D2A1C"/>
    <w:rsid w:val="7E203E2F"/>
    <w:rsid w:val="7E3642B7"/>
    <w:rsid w:val="7E3D0EAC"/>
    <w:rsid w:val="7E407232"/>
    <w:rsid w:val="7E41370C"/>
    <w:rsid w:val="7E595DA4"/>
    <w:rsid w:val="7E60144F"/>
    <w:rsid w:val="7E822865"/>
    <w:rsid w:val="7E8835EA"/>
    <w:rsid w:val="7E8A2417"/>
    <w:rsid w:val="7E9039D9"/>
    <w:rsid w:val="7E971286"/>
    <w:rsid w:val="7EA87674"/>
    <w:rsid w:val="7EA97B3A"/>
    <w:rsid w:val="7EAB4960"/>
    <w:rsid w:val="7EB23F83"/>
    <w:rsid w:val="7EB945AA"/>
    <w:rsid w:val="7EBB20AD"/>
    <w:rsid w:val="7ECB34D7"/>
    <w:rsid w:val="7ED754A5"/>
    <w:rsid w:val="7EDD4399"/>
    <w:rsid w:val="7EE53728"/>
    <w:rsid w:val="7EEB7994"/>
    <w:rsid w:val="7EF474B5"/>
    <w:rsid w:val="7EFF072F"/>
    <w:rsid w:val="7F025871"/>
    <w:rsid w:val="7F097B20"/>
    <w:rsid w:val="7F1135E0"/>
    <w:rsid w:val="7F164FB1"/>
    <w:rsid w:val="7F1D6FE6"/>
    <w:rsid w:val="7F1E7B76"/>
    <w:rsid w:val="7F1F2404"/>
    <w:rsid w:val="7F242BEE"/>
    <w:rsid w:val="7F2718E6"/>
    <w:rsid w:val="7F2B6C6A"/>
    <w:rsid w:val="7F4021C6"/>
    <w:rsid w:val="7F4163E1"/>
    <w:rsid w:val="7F434CF4"/>
    <w:rsid w:val="7F4E0A84"/>
    <w:rsid w:val="7F58241B"/>
    <w:rsid w:val="7F611E8D"/>
    <w:rsid w:val="7F612E52"/>
    <w:rsid w:val="7F6E0AB7"/>
    <w:rsid w:val="7F841153"/>
    <w:rsid w:val="7F844BED"/>
    <w:rsid w:val="7F8B3409"/>
    <w:rsid w:val="7F926D88"/>
    <w:rsid w:val="7FB25D1A"/>
    <w:rsid w:val="7FC40D1B"/>
    <w:rsid w:val="7FC415E4"/>
    <w:rsid w:val="7FC76766"/>
    <w:rsid w:val="7FD002DB"/>
    <w:rsid w:val="7FD0075B"/>
    <w:rsid w:val="7FD31D1A"/>
    <w:rsid w:val="7FD671ED"/>
    <w:rsid w:val="7FE8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6"/>
    <w:qFormat/>
    <w:uiPriority w:val="0"/>
    <w:pPr>
      <w:keepNext/>
      <w:keepLines/>
      <w:tabs>
        <w:tab w:val="left" w:pos="5220"/>
      </w:tabs>
      <w:adjustRightInd w:val="0"/>
      <w:spacing w:before="340" w:after="330" w:line="578" w:lineRule="atLeast"/>
      <w:ind w:left="4530" w:hanging="1110"/>
      <w:jc w:val="center"/>
      <w:textAlignment w:val="baseline"/>
      <w:outlineLvl w:val="0"/>
    </w:pPr>
    <w:rPr>
      <w:b/>
      <w:bCs/>
      <w:kern w:val="44"/>
      <w:sz w:val="44"/>
      <w:szCs w:val="44"/>
    </w:rPr>
  </w:style>
  <w:style w:type="paragraph" w:styleId="6">
    <w:name w:val="heading 2"/>
    <w:basedOn w:val="1"/>
    <w:next w:val="1"/>
    <w:link w:val="57"/>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58"/>
    <w:qFormat/>
    <w:uiPriority w:val="0"/>
    <w:pPr>
      <w:keepNext/>
      <w:keepLines/>
      <w:spacing w:before="260" w:after="260" w:line="416" w:lineRule="auto"/>
      <w:outlineLvl w:val="2"/>
    </w:pPr>
    <w:rPr>
      <w:b/>
      <w:bCs/>
      <w:sz w:val="32"/>
      <w:szCs w:val="32"/>
    </w:rPr>
  </w:style>
  <w:style w:type="paragraph" w:styleId="8">
    <w:name w:val="heading 5"/>
    <w:basedOn w:val="1"/>
    <w:next w:val="1"/>
    <w:link w:val="139"/>
    <w:qFormat/>
    <w:uiPriority w:val="0"/>
    <w:pPr>
      <w:keepNext/>
      <w:keepLines/>
      <w:spacing w:before="280" w:after="290" w:line="372" w:lineRule="auto"/>
      <w:outlineLvl w:val="4"/>
    </w:pPr>
    <w:rPr>
      <w:b/>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17"/>
    <w:qFormat/>
    <w:uiPriority w:val="0"/>
    <w:pPr>
      <w:ind w:firstLine="420" w:firstLineChars="100"/>
    </w:pPr>
  </w:style>
  <w:style w:type="paragraph" w:styleId="3">
    <w:name w:val="Body Text"/>
    <w:basedOn w:val="1"/>
    <w:next w:val="2"/>
    <w:link w:val="61"/>
    <w:qFormat/>
    <w:uiPriority w:val="0"/>
    <w:pPr>
      <w:spacing w:after="120"/>
    </w:pPr>
    <w:rPr>
      <w:sz w:val="28"/>
    </w:rPr>
  </w:style>
  <w:style w:type="paragraph" w:styleId="4">
    <w:name w:val="toc 6"/>
    <w:basedOn w:val="1"/>
    <w:next w:val="1"/>
    <w:qFormat/>
    <w:uiPriority w:val="0"/>
    <w:pPr>
      <w:ind w:left="1000" w:leftChars="1000"/>
    </w:pPr>
  </w:style>
  <w:style w:type="paragraph" w:styleId="9">
    <w:name w:val="table of authorities"/>
    <w:basedOn w:val="1"/>
    <w:next w:val="1"/>
    <w:unhideWhenUsed/>
    <w:qFormat/>
    <w:uiPriority w:val="99"/>
    <w:pPr>
      <w:ind w:left="420" w:leftChars="200"/>
    </w:pPr>
  </w:style>
  <w:style w:type="paragraph" w:styleId="10">
    <w:name w:val="List Number"/>
    <w:basedOn w:val="1"/>
    <w:qFormat/>
    <w:uiPriority w:val="0"/>
    <w:pPr>
      <w:widowControl/>
      <w:numPr>
        <w:ilvl w:val="0"/>
        <w:numId w:val="1"/>
      </w:numPr>
      <w:tabs>
        <w:tab w:val="left" w:pos="454"/>
        <w:tab w:val="left" w:pos="720"/>
        <w:tab w:val="left" w:pos="899"/>
        <w:tab w:val="left" w:pos="960"/>
      </w:tabs>
      <w:spacing w:afterLines="50"/>
      <w:ind w:left="454" w:hanging="284"/>
      <w:jc w:val="left"/>
    </w:pPr>
    <w:rPr>
      <w:kern w:val="0"/>
      <w:sz w:val="24"/>
      <w:szCs w:val="20"/>
    </w:rPr>
  </w:style>
  <w:style w:type="paragraph" w:styleId="11">
    <w:name w:val="Normal Indent"/>
    <w:basedOn w:val="1"/>
    <w:link w:val="59"/>
    <w:qFormat/>
    <w:uiPriority w:val="0"/>
    <w:pPr>
      <w:adjustRightInd w:val="0"/>
      <w:ind w:firstLine="420"/>
      <w:jc w:val="left"/>
    </w:pPr>
    <w:rPr>
      <w:rFonts w:eastAsia="楷体_GB2312"/>
      <w:sz w:val="24"/>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140"/>
    <w:qFormat/>
    <w:uiPriority w:val="0"/>
    <w:rPr>
      <w:rFonts w:ascii="宋体"/>
      <w:sz w:val="18"/>
      <w:szCs w:val="18"/>
    </w:rPr>
  </w:style>
  <w:style w:type="paragraph" w:styleId="14">
    <w:name w:val="annotation text"/>
    <w:basedOn w:val="1"/>
    <w:link w:val="60"/>
    <w:unhideWhenUsed/>
    <w:qFormat/>
    <w:uiPriority w:val="0"/>
    <w:pPr>
      <w:widowControl/>
      <w:jc w:val="left"/>
    </w:pPr>
    <w:rPr>
      <w:kern w:val="0"/>
      <w:sz w:val="20"/>
      <w:szCs w:val="20"/>
    </w:rPr>
  </w:style>
  <w:style w:type="paragraph" w:styleId="15">
    <w:name w:val="Body Text 3"/>
    <w:basedOn w:val="1"/>
    <w:qFormat/>
    <w:uiPriority w:val="0"/>
    <w:pPr>
      <w:spacing w:after="120"/>
    </w:pPr>
    <w:rPr>
      <w:sz w:val="16"/>
      <w:szCs w:val="16"/>
    </w:rPr>
  </w:style>
  <w:style w:type="paragraph" w:styleId="16">
    <w:name w:val="Body Text Indent"/>
    <w:basedOn w:val="1"/>
    <w:link w:val="54"/>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Block Text"/>
    <w:basedOn w:val="1"/>
    <w:qFormat/>
    <w:uiPriority w:val="0"/>
    <w:pPr>
      <w:ind w:left="902" w:right="386"/>
    </w:pPr>
    <w:rPr>
      <w:szCs w:val="20"/>
    </w:rPr>
  </w:style>
  <w:style w:type="paragraph" w:styleId="19">
    <w:name w:val="List Bullet 2"/>
    <w:basedOn w:val="1"/>
    <w:qFormat/>
    <w:uiPriority w:val="0"/>
    <w:pPr>
      <w:numPr>
        <w:ilvl w:val="0"/>
        <w:numId w:val="2"/>
      </w:numPr>
    </w:pPr>
  </w:style>
  <w:style w:type="paragraph" w:styleId="20">
    <w:name w:val="index 4"/>
    <w:basedOn w:val="1"/>
    <w:next w:val="1"/>
    <w:qFormat/>
    <w:uiPriority w:val="0"/>
    <w:pPr>
      <w:ind w:left="600" w:leftChars="600"/>
    </w:pPr>
  </w:style>
  <w:style w:type="paragraph" w:styleId="21">
    <w:name w:val="Plain Text"/>
    <w:basedOn w:val="1"/>
    <w:next w:val="22"/>
    <w:link w:val="62"/>
    <w:qFormat/>
    <w:uiPriority w:val="0"/>
    <w:rPr>
      <w:rFonts w:ascii="宋体" w:hAnsi="Courier New" w:cs="Courier New"/>
      <w:szCs w:val="21"/>
    </w:rPr>
  </w:style>
  <w:style w:type="paragraph" w:styleId="22">
    <w:name w:val="Date"/>
    <w:basedOn w:val="1"/>
    <w:next w:val="1"/>
    <w:link w:val="63"/>
    <w:qFormat/>
    <w:uiPriority w:val="0"/>
    <w:pPr>
      <w:ind w:left="2500" w:leftChars="2500"/>
    </w:pPr>
    <w:rPr>
      <w:rFonts w:eastAsia="楷体_GB2312"/>
      <w:sz w:val="32"/>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Body Text Indent 2"/>
    <w:basedOn w:val="1"/>
    <w:next w:val="25"/>
    <w:link w:val="55"/>
    <w:qFormat/>
    <w:uiPriority w:val="0"/>
    <w:pPr>
      <w:spacing w:after="120" w:line="480" w:lineRule="auto"/>
      <w:ind w:left="420" w:leftChars="200"/>
    </w:pPr>
  </w:style>
  <w:style w:type="paragraph" w:customStyle="1" w:styleId="25">
    <w:name w:val="目录 22"/>
    <w:next w:val="1"/>
    <w:qFormat/>
    <w:uiPriority w:val="0"/>
    <w:pPr>
      <w:wordWrap w:val="0"/>
      <w:jc w:val="both"/>
    </w:pPr>
    <w:rPr>
      <w:rFonts w:ascii="Times New Roman" w:hAnsi="Times New Roman" w:eastAsia="宋体" w:cs="Times New Roman"/>
      <w:sz w:val="21"/>
      <w:lang w:val="en-US" w:eastAsia="zh-CN" w:bidi="ar-SA"/>
    </w:rPr>
  </w:style>
  <w:style w:type="paragraph" w:styleId="26">
    <w:name w:val="Balloon Text"/>
    <w:basedOn w:val="1"/>
    <w:next w:val="27"/>
    <w:link w:val="64"/>
    <w:unhideWhenUsed/>
    <w:qFormat/>
    <w:uiPriority w:val="0"/>
    <w:rPr>
      <w:sz w:val="18"/>
      <w:szCs w:val="18"/>
    </w:rPr>
  </w:style>
  <w:style w:type="paragraph" w:customStyle="1" w:styleId="27">
    <w:name w:val="目录 73"/>
    <w:next w:val="1"/>
    <w:qFormat/>
    <w:uiPriority w:val="0"/>
    <w:pPr>
      <w:wordWrap w:val="0"/>
      <w:ind w:left="2125"/>
      <w:jc w:val="both"/>
    </w:pPr>
    <w:rPr>
      <w:rFonts w:ascii="Calibri" w:hAnsi="Calibri" w:eastAsia="宋体" w:cs="Times New Roman"/>
      <w:sz w:val="21"/>
      <w:lang w:val="en-US" w:eastAsia="zh-CN" w:bidi="ar-SA"/>
    </w:rPr>
  </w:style>
  <w:style w:type="paragraph" w:styleId="28">
    <w:name w:val="footer"/>
    <w:basedOn w:val="1"/>
    <w:link w:val="65"/>
    <w:qFormat/>
    <w:uiPriority w:val="0"/>
    <w:pPr>
      <w:tabs>
        <w:tab w:val="center" w:pos="4153"/>
        <w:tab w:val="right" w:pos="8306"/>
      </w:tabs>
      <w:snapToGrid w:val="0"/>
      <w:jc w:val="left"/>
    </w:pPr>
    <w:rPr>
      <w:sz w:val="18"/>
      <w:szCs w:val="18"/>
    </w:rPr>
  </w:style>
  <w:style w:type="paragraph" w:styleId="29">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0">
    <w:name w:val="toc 4"/>
    <w:basedOn w:val="1"/>
    <w:next w:val="1"/>
    <w:qFormat/>
    <w:uiPriority w:val="0"/>
    <w:pPr>
      <w:ind w:left="630"/>
      <w:jc w:val="left"/>
    </w:pPr>
    <w:rPr>
      <w:sz w:val="18"/>
      <w:szCs w:val="18"/>
    </w:rPr>
  </w:style>
  <w:style w:type="paragraph" w:styleId="31">
    <w:name w:val="List"/>
    <w:basedOn w:val="1"/>
    <w:qFormat/>
    <w:uiPriority w:val="0"/>
    <w:pPr>
      <w:ind w:left="200" w:hanging="200" w:hangingChars="200"/>
    </w:pPr>
    <w:rPr>
      <w:sz w:val="28"/>
    </w:rPr>
  </w:style>
  <w:style w:type="paragraph" w:styleId="32">
    <w:name w:val="Body Text Indent 3"/>
    <w:basedOn w:val="1"/>
    <w:link w:val="67"/>
    <w:qFormat/>
    <w:uiPriority w:val="0"/>
    <w:pPr>
      <w:spacing w:after="120"/>
      <w:ind w:left="420" w:leftChars="200"/>
    </w:pPr>
    <w:rPr>
      <w:sz w:val="16"/>
      <w:szCs w:val="16"/>
    </w:rPr>
  </w:style>
  <w:style w:type="paragraph" w:styleId="33">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link w:val="141"/>
    <w:qFormat/>
    <w:uiPriority w:val="0"/>
    <w:pPr>
      <w:widowControl/>
      <w:overflowPunct w:val="0"/>
      <w:autoSpaceDE w:val="0"/>
      <w:autoSpaceDN w:val="0"/>
      <w:adjustRightInd w:val="0"/>
      <w:jc w:val="center"/>
      <w:textAlignment w:val="baseline"/>
    </w:pPr>
    <w:rPr>
      <w:b/>
      <w:kern w:val="0"/>
      <w:sz w:val="24"/>
      <w:szCs w:val="20"/>
      <w:lang w:val="en-GB"/>
    </w:rPr>
  </w:style>
  <w:style w:type="paragraph" w:styleId="36">
    <w:name w:val="annotation subject"/>
    <w:basedOn w:val="14"/>
    <w:next w:val="14"/>
    <w:link w:val="68"/>
    <w:qFormat/>
    <w:uiPriority w:val="0"/>
    <w:pPr>
      <w:widowControl w:val="0"/>
    </w:pPr>
    <w:rPr>
      <w:b/>
      <w:bCs/>
      <w:kern w:val="2"/>
      <w:sz w:val="21"/>
    </w:rPr>
  </w:style>
  <w:style w:type="paragraph" w:styleId="37">
    <w:name w:val="Body Text First Indent 2"/>
    <w:basedOn w:val="16"/>
    <w:qFormat/>
    <w:uiPriority w:val="0"/>
    <w:pPr>
      <w:tabs>
        <w:tab w:val="left" w:pos="720"/>
        <w:tab w:val="left" w:pos="1260"/>
        <w:tab w:val="left" w:pos="2160"/>
        <w:tab w:val="left" w:pos="2880"/>
        <w:tab w:val="left" w:pos="3600"/>
        <w:tab w:val="left" w:pos="4320"/>
        <w:tab w:val="left" w:pos="5040"/>
        <w:tab w:val="left" w:pos="5760"/>
      </w:tabs>
      <w:ind w:firstLine="420" w:firstLineChars="200"/>
    </w:pPr>
  </w:style>
  <w:style w:type="table" w:styleId="39">
    <w:name w:val="Table Grid"/>
    <w:basedOn w:val="38"/>
    <w:qFormat/>
    <w:uiPriority w:val="9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qFormat/>
    <w:uiPriority w:val="0"/>
  </w:style>
  <w:style w:type="character" w:styleId="43">
    <w:name w:val="FollowedHyperlink"/>
    <w:basedOn w:val="40"/>
    <w:qFormat/>
    <w:uiPriority w:val="0"/>
    <w:rPr>
      <w:color w:val="800080"/>
      <w:u w:val="none"/>
    </w:rPr>
  </w:style>
  <w:style w:type="character" w:styleId="44">
    <w:name w:val="Hyperlink"/>
    <w:basedOn w:val="40"/>
    <w:qFormat/>
    <w:uiPriority w:val="0"/>
    <w:rPr>
      <w:color w:val="0000FF"/>
      <w:u w:val="none"/>
    </w:rPr>
  </w:style>
  <w:style w:type="character" w:styleId="45">
    <w:name w:val="annotation reference"/>
    <w:unhideWhenUsed/>
    <w:qFormat/>
    <w:uiPriority w:val="0"/>
    <w:rPr>
      <w:sz w:val="21"/>
      <w:szCs w:val="21"/>
    </w:rPr>
  </w:style>
  <w:style w:type="paragraph" w:customStyle="1" w:styleId="46">
    <w:name w:val="正文缩进5"/>
    <w:next w:val="1"/>
    <w:qFormat/>
    <w:uiPriority w:val="0"/>
    <w:pPr>
      <w:wordWrap w:val="0"/>
      <w:ind w:left="3400"/>
      <w:jc w:val="both"/>
    </w:pPr>
    <w:rPr>
      <w:rFonts w:ascii="Calibri" w:hAnsi="Calibri" w:eastAsia="宋体" w:cs="Times New Roman"/>
      <w:sz w:val="21"/>
      <w:lang w:val="en-US" w:eastAsia="zh-CN" w:bidi="ar-SA"/>
    </w:rPr>
  </w:style>
  <w:style w:type="paragraph" w:customStyle="1" w:styleId="47">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48">
    <w:name w:val="目录 31"/>
    <w:next w:val="1"/>
    <w:qFormat/>
    <w:uiPriority w:val="0"/>
    <w:pPr>
      <w:wordWrap w:val="0"/>
      <w:ind w:left="425"/>
      <w:jc w:val="both"/>
    </w:pPr>
    <w:rPr>
      <w:rFonts w:ascii="Calibri" w:hAnsi="Calibri" w:eastAsia="宋体" w:cs="Times New Roman"/>
      <w:sz w:val="21"/>
      <w:lang w:val="en-US" w:eastAsia="zh-CN" w:bidi="ar-SA"/>
    </w:rPr>
  </w:style>
  <w:style w:type="paragraph" w:customStyle="1" w:styleId="49">
    <w:name w:val="首行缩进"/>
    <w:basedOn w:val="1"/>
    <w:qFormat/>
    <w:uiPriority w:val="0"/>
    <w:rPr>
      <w:lang w:val="zh-CN"/>
    </w:rPr>
  </w:style>
  <w:style w:type="paragraph" w:customStyle="1" w:styleId="50">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51">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2">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53">
    <w:name w:val="[Normal]"/>
    <w:qFormat/>
    <w:uiPriority w:val="99"/>
    <w:rPr>
      <w:rFonts w:ascii="宋体" w:hAnsi="宋体" w:eastAsia="宋体" w:cs="宋体"/>
      <w:sz w:val="24"/>
      <w:szCs w:val="24"/>
      <w:lang w:val="zh-CN" w:eastAsia="zh-CN" w:bidi="ar-SA"/>
    </w:rPr>
  </w:style>
  <w:style w:type="character" w:customStyle="1" w:styleId="54">
    <w:name w:val="正文文本缩进 Char"/>
    <w:link w:val="16"/>
    <w:qFormat/>
    <w:uiPriority w:val="0"/>
    <w:rPr>
      <w:kern w:val="2"/>
      <w:sz w:val="21"/>
      <w:szCs w:val="24"/>
    </w:rPr>
  </w:style>
  <w:style w:type="character" w:customStyle="1" w:styleId="55">
    <w:name w:val="正文文本缩进 2 Char"/>
    <w:link w:val="24"/>
    <w:qFormat/>
    <w:uiPriority w:val="0"/>
    <w:rPr>
      <w:kern w:val="2"/>
      <w:sz w:val="21"/>
      <w:szCs w:val="24"/>
    </w:rPr>
  </w:style>
  <w:style w:type="character" w:customStyle="1" w:styleId="56">
    <w:name w:val="标题 1 Char"/>
    <w:link w:val="5"/>
    <w:qFormat/>
    <w:uiPriority w:val="0"/>
    <w:rPr>
      <w:b/>
      <w:bCs/>
      <w:kern w:val="44"/>
      <w:sz w:val="44"/>
      <w:szCs w:val="44"/>
    </w:rPr>
  </w:style>
  <w:style w:type="character" w:customStyle="1" w:styleId="57">
    <w:name w:val="标题 2 Char"/>
    <w:link w:val="6"/>
    <w:qFormat/>
    <w:uiPriority w:val="0"/>
    <w:rPr>
      <w:rFonts w:ascii="Cambria" w:hAnsi="Cambria" w:eastAsia="宋体" w:cs="Times New Roman"/>
      <w:b/>
      <w:bCs/>
      <w:kern w:val="2"/>
      <w:sz w:val="32"/>
      <w:szCs w:val="32"/>
    </w:rPr>
  </w:style>
  <w:style w:type="character" w:customStyle="1" w:styleId="58">
    <w:name w:val="标题 3 Char"/>
    <w:link w:val="7"/>
    <w:qFormat/>
    <w:uiPriority w:val="0"/>
    <w:rPr>
      <w:b/>
      <w:bCs/>
      <w:kern w:val="2"/>
      <w:sz w:val="32"/>
      <w:szCs w:val="32"/>
    </w:rPr>
  </w:style>
  <w:style w:type="character" w:customStyle="1" w:styleId="59">
    <w:name w:val="正文缩进 Char"/>
    <w:link w:val="11"/>
    <w:qFormat/>
    <w:uiPriority w:val="0"/>
    <w:rPr>
      <w:rFonts w:eastAsia="楷体_GB2312"/>
      <w:kern w:val="2"/>
      <w:sz w:val="24"/>
      <w:lang w:val="en-US" w:eastAsia="zh-CN" w:bidi="ar-SA"/>
    </w:rPr>
  </w:style>
  <w:style w:type="character" w:customStyle="1" w:styleId="60">
    <w:name w:val="批注文字 Char"/>
    <w:link w:val="14"/>
    <w:qFormat/>
    <w:uiPriority w:val="0"/>
  </w:style>
  <w:style w:type="character" w:customStyle="1" w:styleId="61">
    <w:name w:val="正文文本 Char"/>
    <w:link w:val="3"/>
    <w:qFormat/>
    <w:uiPriority w:val="0"/>
    <w:rPr>
      <w:kern w:val="2"/>
      <w:sz w:val="28"/>
      <w:szCs w:val="24"/>
    </w:rPr>
  </w:style>
  <w:style w:type="character" w:customStyle="1" w:styleId="62">
    <w:name w:val="纯文本 Char"/>
    <w:link w:val="21"/>
    <w:qFormat/>
    <w:uiPriority w:val="0"/>
    <w:rPr>
      <w:rFonts w:ascii="宋体" w:hAnsi="Courier New" w:eastAsia="宋体" w:cs="Courier New"/>
      <w:kern w:val="2"/>
      <w:sz w:val="21"/>
      <w:szCs w:val="21"/>
      <w:lang w:val="en-US" w:eastAsia="zh-CN" w:bidi="ar-SA"/>
    </w:rPr>
  </w:style>
  <w:style w:type="character" w:customStyle="1" w:styleId="63">
    <w:name w:val="日期 Char"/>
    <w:link w:val="22"/>
    <w:qFormat/>
    <w:uiPriority w:val="0"/>
    <w:rPr>
      <w:rFonts w:eastAsia="楷体_GB2312"/>
      <w:kern w:val="2"/>
      <w:sz w:val="32"/>
    </w:rPr>
  </w:style>
  <w:style w:type="character" w:customStyle="1" w:styleId="64">
    <w:name w:val="批注框文本 Char"/>
    <w:link w:val="26"/>
    <w:qFormat/>
    <w:uiPriority w:val="0"/>
    <w:rPr>
      <w:kern w:val="2"/>
      <w:sz w:val="18"/>
      <w:szCs w:val="18"/>
    </w:rPr>
  </w:style>
  <w:style w:type="character" w:customStyle="1" w:styleId="65">
    <w:name w:val="页脚 Char"/>
    <w:link w:val="28"/>
    <w:qFormat/>
    <w:uiPriority w:val="0"/>
    <w:rPr>
      <w:kern w:val="2"/>
      <w:sz w:val="18"/>
      <w:szCs w:val="18"/>
    </w:rPr>
  </w:style>
  <w:style w:type="character" w:customStyle="1" w:styleId="66">
    <w:name w:val="页眉 Char"/>
    <w:link w:val="29"/>
    <w:qFormat/>
    <w:uiPriority w:val="0"/>
    <w:rPr>
      <w:kern w:val="2"/>
      <w:sz w:val="18"/>
      <w:szCs w:val="18"/>
    </w:rPr>
  </w:style>
  <w:style w:type="character" w:customStyle="1" w:styleId="67">
    <w:name w:val="正文文本缩进 3 Char"/>
    <w:link w:val="32"/>
    <w:qFormat/>
    <w:uiPriority w:val="0"/>
    <w:rPr>
      <w:kern w:val="2"/>
      <w:sz w:val="16"/>
      <w:szCs w:val="16"/>
    </w:rPr>
  </w:style>
  <w:style w:type="character" w:customStyle="1" w:styleId="68">
    <w:name w:val="批注主题 Char"/>
    <w:link w:val="36"/>
    <w:qFormat/>
    <w:uiPriority w:val="0"/>
    <w:rPr>
      <w:b/>
      <w:bCs/>
      <w:kern w:val="2"/>
      <w:sz w:val="21"/>
    </w:rPr>
  </w:style>
  <w:style w:type="character" w:customStyle="1" w:styleId="69">
    <w:name w:val="标题 2 Char1"/>
    <w:qFormat/>
    <w:uiPriority w:val="0"/>
    <w:rPr>
      <w:rFonts w:ascii="Arial" w:hAnsi="Arial" w:eastAsia="黑体"/>
      <w:b/>
      <w:bCs/>
      <w:kern w:val="2"/>
      <w:sz w:val="32"/>
      <w:szCs w:val="32"/>
      <w:lang w:val="en-US" w:eastAsia="zh-CN" w:bidi="ar-SA"/>
    </w:rPr>
  </w:style>
  <w:style w:type="character" w:customStyle="1" w:styleId="70">
    <w:name w:val="font21"/>
    <w:qFormat/>
    <w:uiPriority w:val="0"/>
    <w:rPr>
      <w:rFonts w:hint="eastAsia" w:ascii="宋体" w:hAnsi="宋体" w:eastAsia="宋体" w:cs="宋体"/>
      <w:color w:val="000000"/>
      <w:sz w:val="22"/>
      <w:szCs w:val="22"/>
      <w:u w:val="none"/>
    </w:rPr>
  </w:style>
  <w:style w:type="character" w:customStyle="1" w:styleId="71">
    <w:name w:val="标书标题3 Char Char"/>
    <w:link w:val="72"/>
    <w:qFormat/>
    <w:uiPriority w:val="0"/>
    <w:rPr>
      <w:rFonts w:ascii="宋体" w:hAnsi="宋体" w:cs="宋体"/>
      <w:b/>
      <w:sz w:val="24"/>
      <w:szCs w:val="24"/>
    </w:rPr>
  </w:style>
  <w:style w:type="paragraph" w:customStyle="1" w:styleId="72">
    <w:name w:val="标书标题3"/>
    <w:basedOn w:val="7"/>
    <w:link w:val="71"/>
    <w:qFormat/>
    <w:uiPriority w:val="0"/>
    <w:pPr>
      <w:keepNext w:val="0"/>
      <w:keepLines w:val="0"/>
      <w:tabs>
        <w:tab w:val="left" w:pos="709"/>
      </w:tabs>
      <w:adjustRightInd w:val="0"/>
      <w:snapToGrid w:val="0"/>
      <w:spacing w:before="0" w:after="0" w:line="360" w:lineRule="auto"/>
      <w:jc w:val="left"/>
    </w:pPr>
    <w:rPr>
      <w:rFonts w:ascii="宋体" w:hAnsi="宋体"/>
      <w:bCs w:val="0"/>
      <w:kern w:val="0"/>
      <w:sz w:val="24"/>
      <w:szCs w:val="24"/>
    </w:rPr>
  </w:style>
  <w:style w:type="character" w:customStyle="1" w:styleId="73">
    <w:name w:val="正文文本缩进 3 Char1"/>
    <w:qFormat/>
    <w:uiPriority w:val="0"/>
    <w:rPr>
      <w:kern w:val="2"/>
      <w:sz w:val="16"/>
      <w:szCs w:val="16"/>
    </w:rPr>
  </w:style>
  <w:style w:type="character" w:customStyle="1" w:styleId="74">
    <w:name w:val="font01"/>
    <w:qFormat/>
    <w:uiPriority w:val="0"/>
    <w:rPr>
      <w:rFonts w:hint="eastAsia" w:ascii="宋体" w:hAnsi="宋体" w:eastAsia="宋体" w:cs="宋体"/>
      <w:color w:val="000000"/>
      <w:sz w:val="22"/>
      <w:szCs w:val="22"/>
      <w:u w:val="none"/>
    </w:rPr>
  </w:style>
  <w:style w:type="character" w:customStyle="1" w:styleId="75">
    <w:name w:val="正文缩进 Char1"/>
    <w:link w:val="76"/>
    <w:qFormat/>
    <w:uiPriority w:val="0"/>
    <w:rPr>
      <w:rFonts w:ascii="Calibri" w:hAnsi="Calibri"/>
    </w:rPr>
  </w:style>
  <w:style w:type="paragraph" w:customStyle="1" w:styleId="76">
    <w:name w:val="正文缩进1"/>
    <w:basedOn w:val="1"/>
    <w:link w:val="75"/>
    <w:qFormat/>
    <w:uiPriority w:val="0"/>
    <w:pPr>
      <w:ind w:firstLine="420"/>
    </w:pPr>
    <w:rPr>
      <w:rFonts w:ascii="Calibri" w:hAnsi="Calibri"/>
      <w:kern w:val="0"/>
      <w:sz w:val="20"/>
      <w:szCs w:val="20"/>
    </w:rPr>
  </w:style>
  <w:style w:type="character" w:customStyle="1" w:styleId="77">
    <w:name w:val="ca-2"/>
    <w:qFormat/>
    <w:uiPriority w:val="0"/>
  </w:style>
  <w:style w:type="character" w:customStyle="1" w:styleId="78">
    <w:name w:val="页眉 Char3"/>
    <w:qFormat/>
    <w:uiPriority w:val="0"/>
    <w:rPr>
      <w:rFonts w:eastAsia="宋体"/>
      <w:kern w:val="2"/>
      <w:sz w:val="18"/>
      <w:szCs w:val="18"/>
      <w:lang w:val="en-US" w:eastAsia="zh-CN" w:bidi="ar-SA"/>
    </w:rPr>
  </w:style>
  <w:style w:type="character" w:customStyle="1" w:styleId="79">
    <w:name w:val="head 1.1.1 Char"/>
    <w:link w:val="80"/>
    <w:qFormat/>
    <w:locked/>
    <w:uiPriority w:val="0"/>
    <w:rPr>
      <w:rFonts w:eastAsia="宋体"/>
      <w:kern w:val="2"/>
      <w:sz w:val="21"/>
      <w:szCs w:val="21"/>
      <w:lang w:val="en-US" w:eastAsia="zh-CN" w:bidi="ar-SA"/>
    </w:rPr>
  </w:style>
  <w:style w:type="paragraph" w:customStyle="1" w:styleId="80">
    <w:name w:val="head 1.1.1"/>
    <w:basedOn w:val="81"/>
    <w:link w:val="79"/>
    <w:qFormat/>
    <w:uiPriority w:val="0"/>
    <w:pPr>
      <w:numPr>
        <w:ilvl w:val="2"/>
        <w:numId w:val="1"/>
      </w:numPr>
      <w:ind w:firstLine="0" w:firstLineChars="0"/>
    </w:pPr>
    <w:rPr>
      <w:rFonts w:ascii="Times New Roman" w:hAnsi="Times New Roman" w:cs="Times New Roman"/>
    </w:rPr>
  </w:style>
  <w:style w:type="paragraph" w:customStyle="1" w:styleId="81">
    <w:name w:val="List Paragraph1"/>
    <w:basedOn w:val="1"/>
    <w:qFormat/>
    <w:uiPriority w:val="99"/>
    <w:pPr>
      <w:ind w:firstLine="420" w:firstLineChars="200"/>
    </w:pPr>
    <w:rPr>
      <w:rFonts w:ascii="Calibri" w:hAnsi="Calibri" w:cs="Calibri"/>
      <w:szCs w:val="21"/>
    </w:rPr>
  </w:style>
  <w:style w:type="character" w:customStyle="1" w:styleId="82">
    <w:name w:val="ca-3"/>
    <w:qFormat/>
    <w:uiPriority w:val="0"/>
  </w:style>
  <w:style w:type="character" w:customStyle="1" w:styleId="83">
    <w:name w:val="批注主题 Char1"/>
    <w:qFormat/>
    <w:uiPriority w:val="0"/>
    <w:rPr>
      <w:b/>
      <w:bCs/>
      <w:kern w:val="2"/>
      <w:sz w:val="21"/>
      <w:szCs w:val="24"/>
    </w:rPr>
  </w:style>
  <w:style w:type="character" w:customStyle="1" w:styleId="84">
    <w:name w:val="页眉 Char2"/>
    <w:qFormat/>
    <w:uiPriority w:val="0"/>
    <w:rPr>
      <w:rFonts w:eastAsia="宋体"/>
      <w:kern w:val="2"/>
      <w:sz w:val="18"/>
      <w:szCs w:val="18"/>
      <w:lang w:val="en-US" w:eastAsia="zh-CN" w:bidi="ar-SA"/>
    </w:rPr>
  </w:style>
  <w:style w:type="character" w:customStyle="1" w:styleId="85">
    <w:name w:val="bsharetext"/>
    <w:basedOn w:val="40"/>
    <w:qFormat/>
    <w:uiPriority w:val="0"/>
  </w:style>
  <w:style w:type="character" w:customStyle="1" w:styleId="86">
    <w:name w:val="纯文本 Char2"/>
    <w:qFormat/>
    <w:uiPriority w:val="0"/>
    <w:rPr>
      <w:rFonts w:ascii="宋体" w:hAnsi="Courier New" w:eastAsia="宋体"/>
      <w:kern w:val="2"/>
      <w:sz w:val="21"/>
      <w:lang w:val="en-US" w:eastAsia="zh-CN" w:bidi="ar-SA"/>
    </w:rPr>
  </w:style>
  <w:style w:type="paragraph" w:customStyle="1" w:styleId="87">
    <w:name w:val="样式1"/>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line="420" w:lineRule="auto"/>
      <w:jc w:val="center"/>
    </w:pPr>
    <w:rPr>
      <w:rFonts w:ascii="宋体" w:hAnsi="宋体" w:eastAsia="宋体" w:cs="宋体"/>
      <w:sz w:val="24"/>
      <w:lang w:val="en-US" w:eastAsia="zh-CN" w:bidi="ar-SA"/>
    </w:rPr>
  </w:style>
  <w:style w:type="paragraph" w:customStyle="1" w:styleId="88">
    <w:name w:val="列表段落1"/>
    <w:basedOn w:val="1"/>
    <w:next w:val="89"/>
    <w:qFormat/>
    <w:uiPriority w:val="34"/>
  </w:style>
  <w:style w:type="paragraph" w:customStyle="1" w:styleId="89">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90">
    <w:name w:val="Default Paragraph Font Para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9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3">
    <w:name w:val="head 1.1"/>
    <w:basedOn w:val="81"/>
    <w:qFormat/>
    <w:uiPriority w:val="0"/>
    <w:pPr>
      <w:numPr>
        <w:ilvl w:val="1"/>
        <w:numId w:val="1"/>
      </w:numPr>
      <w:spacing w:before="260" w:after="260"/>
      <w:ind w:firstLine="0" w:firstLineChars="0"/>
    </w:pPr>
    <w:rPr>
      <w:rFonts w:ascii="宋体" w:hAnsi="宋体" w:cs="宋体"/>
    </w:rPr>
  </w:style>
  <w:style w:type="paragraph" w:customStyle="1" w:styleId="94">
    <w:name w:val="Char"/>
    <w:basedOn w:val="1"/>
    <w:qFormat/>
    <w:uiPriority w:val="0"/>
  </w:style>
  <w:style w:type="paragraph" w:customStyle="1" w:styleId="95">
    <w:name w:val="无间隔1"/>
    <w:basedOn w:val="1"/>
    <w:qFormat/>
    <w:uiPriority w:val="99"/>
    <w:pPr>
      <w:widowControl/>
      <w:adjustRightInd w:val="0"/>
      <w:snapToGrid w:val="0"/>
      <w:jc w:val="left"/>
    </w:pPr>
    <w:rPr>
      <w:rFonts w:ascii="Tahoma" w:hAnsi="Tahoma" w:eastAsia="微软雅黑"/>
      <w:sz w:val="22"/>
      <w:szCs w:val="22"/>
    </w:rPr>
  </w:style>
  <w:style w:type="paragraph" w:customStyle="1" w:styleId="96">
    <w:name w:val="Normal Indent1"/>
    <w:basedOn w:val="1"/>
    <w:qFormat/>
    <w:uiPriority w:val="99"/>
    <w:pPr>
      <w:ind w:firstLine="420"/>
    </w:pPr>
    <w:rPr>
      <w:sz w:val="20"/>
    </w:rPr>
  </w:style>
  <w:style w:type="paragraph" w:customStyle="1" w:styleId="97">
    <w:name w:val="Char Char1 Char"/>
    <w:basedOn w:val="1"/>
    <w:qFormat/>
    <w:uiPriority w:val="0"/>
  </w:style>
  <w:style w:type="paragraph" w:customStyle="1" w:styleId="98">
    <w:name w:val="BodyTextIndent"/>
    <w:basedOn w:val="1"/>
    <w:qFormat/>
    <w:uiPriority w:val="0"/>
    <w:pPr>
      <w:spacing w:after="120"/>
      <w:ind w:left="420" w:leftChars="200"/>
      <w:textAlignment w:val="baseline"/>
    </w:pPr>
    <w:rPr>
      <w:color w:val="000000"/>
    </w:rPr>
  </w:style>
  <w:style w:type="paragraph" w:customStyle="1" w:styleId="99">
    <w:name w:val="Char1"/>
    <w:basedOn w:val="1"/>
    <w:qFormat/>
    <w:uiPriority w:val="0"/>
  </w:style>
  <w:style w:type="paragraph" w:customStyle="1" w:styleId="100">
    <w:name w:val="表格文字"/>
    <w:basedOn w:val="1"/>
    <w:next w:val="3"/>
    <w:qFormat/>
    <w:uiPriority w:val="0"/>
    <w:pPr>
      <w:spacing w:before="25" w:after="25"/>
      <w:jc w:val="left"/>
    </w:pPr>
    <w:rPr>
      <w:bCs/>
      <w:spacing w:val="10"/>
      <w:kern w:val="0"/>
      <w:sz w:val="24"/>
      <w:szCs w:val="20"/>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Body Text 21"/>
    <w:basedOn w:val="1"/>
    <w:next w:val="1"/>
    <w:qFormat/>
    <w:uiPriority w:val="0"/>
    <w:pPr>
      <w:widowControl/>
      <w:spacing w:line="300" w:lineRule="auto"/>
      <w:jc w:val="center"/>
    </w:pPr>
    <w:rPr>
      <w:rFonts w:hint="eastAsia" w:ascii="宋体"/>
      <w:color w:val="000000"/>
      <w:sz w:val="24"/>
      <w:szCs w:val="20"/>
    </w:rPr>
  </w:style>
  <w:style w:type="paragraph" w:customStyle="1" w:styleId="104">
    <w:name w:val="样式 标题 5 + 右侧:  -0.18 字符"/>
    <w:basedOn w:val="1"/>
    <w:qFormat/>
    <w:uiPriority w:val="0"/>
    <w:pPr>
      <w:tabs>
        <w:tab w:val="left" w:pos="1008"/>
        <w:tab w:val="left" w:pos="5520"/>
      </w:tabs>
      <w:ind w:left="5520" w:hanging="420"/>
    </w:pPr>
  </w:style>
  <w:style w:type="paragraph" w:customStyle="1" w:styleId="105">
    <w:name w:val="列出段落21"/>
    <w:basedOn w:val="1"/>
    <w:qFormat/>
    <w:uiPriority w:val="0"/>
    <w:pPr>
      <w:ind w:firstLine="420" w:firstLineChars="200"/>
    </w:pPr>
    <w:rPr>
      <w:rFonts w:ascii="Calibri" w:hAnsi="Calibri" w:cs="黑体"/>
      <w:szCs w:val="22"/>
    </w:rPr>
  </w:style>
  <w:style w:type="paragraph" w:customStyle="1" w:styleId="10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BodyText1I2"/>
    <w:basedOn w:val="98"/>
    <w:qFormat/>
    <w:uiPriority w:val="0"/>
    <w:pPr>
      <w:ind w:firstLine="420" w:firstLineChars="200"/>
    </w:pPr>
  </w:style>
  <w:style w:type="paragraph" w:styleId="108">
    <w:name w:val="List Paragraph"/>
    <w:basedOn w:val="1"/>
    <w:qFormat/>
    <w:uiPriority w:val="34"/>
    <w:pPr>
      <w:ind w:firstLine="420" w:firstLineChars="200"/>
    </w:pPr>
    <w:rPr>
      <w:rFonts w:ascii="Calibri" w:hAnsi="Calibri"/>
      <w:szCs w:val="22"/>
    </w:rPr>
  </w:style>
  <w:style w:type="paragraph" w:customStyle="1" w:styleId="1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正文"/>
    <w:basedOn w:val="1"/>
    <w:qFormat/>
    <w:uiPriority w:val="0"/>
    <w:pPr>
      <w:spacing w:line="460" w:lineRule="exact"/>
      <w:ind w:firstLine="422" w:firstLineChars="200"/>
    </w:pPr>
    <w:rPr>
      <w:rFonts w:cs="宋体"/>
      <w:bCs/>
      <w:color w:val="000000"/>
      <w:szCs w:val="21"/>
      <w:lang w:val="zh-CN"/>
    </w:rPr>
  </w:style>
  <w:style w:type="paragraph" w:customStyle="1" w:styleId="112">
    <w:name w:val="正文_14"/>
    <w:qFormat/>
    <w:uiPriority w:val="0"/>
    <w:rPr>
      <w:rFonts w:ascii="Times New Roman" w:hAnsi="Times New Roman" w:eastAsia="宋体" w:cs="Times New Roman"/>
      <w:sz w:val="21"/>
      <w:lang w:val="en-US" w:eastAsia="zh-CN" w:bidi="ar-SA"/>
    </w:rPr>
  </w:style>
  <w:style w:type="paragraph" w:customStyle="1" w:styleId="113">
    <w:name w:val="TOC 标题4"/>
    <w:next w:val="1"/>
    <w:qFormat/>
    <w:uiPriority w:val="0"/>
    <w:pPr>
      <w:wordWrap w:val="0"/>
    </w:pPr>
    <w:rPr>
      <w:rFonts w:ascii="Times New Roman" w:hAnsi="Times New Roman" w:eastAsia="宋体" w:cs="Times New Roman"/>
      <w:sz w:val="32"/>
      <w:lang w:val="en-US" w:eastAsia="zh-CN" w:bidi="ar-SA"/>
    </w:rPr>
  </w:style>
  <w:style w:type="character" w:customStyle="1" w:styleId="114">
    <w:name w:val="font112"/>
    <w:basedOn w:val="40"/>
    <w:qFormat/>
    <w:uiPriority w:val="0"/>
    <w:rPr>
      <w:rFonts w:hint="eastAsia" w:ascii="宋体" w:hAnsi="宋体" w:eastAsia="宋体" w:cs="宋体"/>
      <w:color w:val="000000"/>
      <w:sz w:val="22"/>
      <w:szCs w:val="22"/>
      <w:u w:val="none"/>
    </w:rPr>
  </w:style>
  <w:style w:type="character" w:customStyle="1" w:styleId="115">
    <w:name w:val="font212"/>
    <w:basedOn w:val="40"/>
    <w:qFormat/>
    <w:uiPriority w:val="0"/>
    <w:rPr>
      <w:rFonts w:hint="eastAsia" w:ascii="宋体" w:hAnsi="宋体" w:eastAsia="宋体" w:cs="宋体"/>
      <w:color w:val="FF0000"/>
      <w:sz w:val="22"/>
      <w:szCs w:val="22"/>
      <w:u w:val="none"/>
    </w:rPr>
  </w:style>
  <w:style w:type="character" w:customStyle="1" w:styleId="116">
    <w:name w:val="font131"/>
    <w:basedOn w:val="40"/>
    <w:qFormat/>
    <w:uiPriority w:val="0"/>
    <w:rPr>
      <w:rFonts w:hint="eastAsia" w:ascii="宋体" w:hAnsi="宋体" w:eastAsia="宋体" w:cs="宋体"/>
      <w:color w:val="000000"/>
      <w:sz w:val="22"/>
      <w:szCs w:val="22"/>
      <w:u w:val="none"/>
    </w:rPr>
  </w:style>
  <w:style w:type="character" w:customStyle="1" w:styleId="117">
    <w:name w:val="正文首行缩进 Char"/>
    <w:link w:val="2"/>
    <w:qFormat/>
    <w:uiPriority w:val="0"/>
    <w:rPr>
      <w:kern w:val="2"/>
      <w:sz w:val="28"/>
      <w:szCs w:val="24"/>
    </w:rPr>
  </w:style>
  <w:style w:type="character" w:customStyle="1" w:styleId="118">
    <w:name w:val="font11"/>
    <w:qFormat/>
    <w:uiPriority w:val="0"/>
    <w:rPr>
      <w:rFonts w:hint="eastAsia" w:ascii="宋体" w:hAnsi="宋体" w:eastAsia="宋体" w:cs="宋体"/>
      <w:color w:val="000000"/>
      <w:sz w:val="20"/>
      <w:szCs w:val="20"/>
      <w:u w:val="none"/>
    </w:rPr>
  </w:style>
  <w:style w:type="character" w:customStyle="1" w:styleId="119">
    <w:name w:val="font41"/>
    <w:qFormat/>
    <w:uiPriority w:val="0"/>
    <w:rPr>
      <w:rFonts w:hint="eastAsia" w:ascii="宋体" w:hAnsi="宋体" w:eastAsia="宋体" w:cs="宋体"/>
      <w:b/>
      <w:bCs/>
      <w:color w:val="000000"/>
      <w:sz w:val="20"/>
      <w:szCs w:val="20"/>
      <w:u w:val="none"/>
    </w:rPr>
  </w:style>
  <w:style w:type="character" w:customStyle="1" w:styleId="120">
    <w:name w:val="普通文字 Char1"/>
    <w:qFormat/>
    <w:uiPriority w:val="0"/>
    <w:rPr>
      <w:rFonts w:ascii="宋体" w:hAnsi="Courier New" w:cs="Times New Roman"/>
      <w:kern w:val="2"/>
      <w:sz w:val="21"/>
      <w:szCs w:val="24"/>
    </w:rPr>
  </w:style>
  <w:style w:type="paragraph" w:customStyle="1" w:styleId="12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_Style 3"/>
    <w:basedOn w:val="1"/>
    <w:qFormat/>
    <w:uiPriority w:val="0"/>
    <w:pPr>
      <w:ind w:firstLine="420" w:firstLineChars="200"/>
    </w:pPr>
    <w:rPr>
      <w:rFonts w:ascii="Calibri" w:hAnsi="Calibri"/>
      <w:szCs w:val="22"/>
    </w:rPr>
  </w:style>
  <w:style w:type="paragraph" w:customStyle="1" w:styleId="12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样式 标题 3 + (中文) 黑体 小四 非加粗 段前: 7.8 磅 段后: 0 磅 行距: 固定值 20 磅"/>
    <w:basedOn w:val="7"/>
    <w:qFormat/>
    <w:uiPriority w:val="0"/>
    <w:pPr>
      <w:spacing w:line="400" w:lineRule="exact"/>
    </w:pPr>
    <w:rPr>
      <w:rFonts w:ascii="Calibri" w:hAnsi="Calibri" w:eastAsia="黑体" w:cs="宋体"/>
      <w:b w:val="0"/>
      <w:bCs w:val="0"/>
      <w:sz w:val="24"/>
      <w:szCs w:val="20"/>
    </w:rPr>
  </w:style>
  <w:style w:type="paragraph" w:customStyle="1" w:styleId="12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纯文本1"/>
    <w:basedOn w:val="128"/>
    <w:qFormat/>
    <w:uiPriority w:val="0"/>
    <w:pPr>
      <w:widowControl/>
      <w:jc w:val="left"/>
    </w:pPr>
    <w:rPr>
      <w:rFonts w:ascii="宋体" w:hAnsi="Courier New"/>
    </w:rPr>
  </w:style>
  <w:style w:type="paragraph" w:customStyle="1" w:styleId="12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9">
    <w:name w:val="样式 仿宋_GB2312 行距: 固定值 24 磅"/>
    <w:basedOn w:val="1"/>
    <w:qFormat/>
    <w:uiPriority w:val="0"/>
    <w:pPr>
      <w:spacing w:line="480" w:lineRule="exact"/>
      <w:ind w:firstLine="560" w:firstLineChars="200"/>
    </w:pPr>
    <w:rPr>
      <w:rFonts w:ascii="宋体" w:hAnsi="宋体" w:cs="宋体"/>
      <w:sz w:val="24"/>
      <w:szCs w:val="28"/>
    </w:rPr>
  </w:style>
  <w:style w:type="paragraph" w:customStyle="1" w:styleId="1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31">
    <w:name w:val="列出段落1"/>
    <w:basedOn w:val="1"/>
    <w:qFormat/>
    <w:uiPriority w:val="0"/>
    <w:pPr>
      <w:ind w:firstLine="420" w:firstLineChars="200"/>
    </w:pPr>
    <w:rPr>
      <w:rFonts w:ascii="Calibri" w:hAnsi="Calibri"/>
      <w:kern w:val="0"/>
      <w:szCs w:val="20"/>
    </w:rPr>
  </w:style>
  <w:style w:type="paragraph" w:customStyle="1" w:styleId="13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1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Char2"/>
    <w:basedOn w:val="1"/>
    <w:qFormat/>
    <w:uiPriority w:val="0"/>
  </w:style>
  <w:style w:type="paragraph" w:customStyle="1" w:styleId="137">
    <w:name w:val="戚的正文"/>
    <w:basedOn w:val="129"/>
    <w:qFormat/>
    <w:uiPriority w:val="0"/>
    <w:pPr>
      <w:spacing w:line="560" w:lineRule="exact"/>
      <w:ind w:firstLine="200"/>
    </w:pPr>
    <w:rPr>
      <w:szCs w:val="24"/>
    </w:rPr>
  </w:style>
  <w:style w:type="paragraph" w:customStyle="1" w:styleId="138">
    <w:name w:val="Fließtext"/>
    <w:basedOn w:val="1"/>
    <w:qFormat/>
    <w:uiPriority w:val="0"/>
    <w:pPr>
      <w:overflowPunct w:val="0"/>
      <w:autoSpaceDE w:val="0"/>
      <w:autoSpaceDN w:val="0"/>
      <w:adjustRightInd w:val="0"/>
      <w:textAlignment w:val="baseline"/>
    </w:pPr>
    <w:rPr>
      <w:kern w:val="28"/>
    </w:rPr>
  </w:style>
  <w:style w:type="character" w:customStyle="1" w:styleId="139">
    <w:name w:val="标题 5 Char"/>
    <w:basedOn w:val="40"/>
    <w:link w:val="8"/>
    <w:qFormat/>
    <w:uiPriority w:val="0"/>
    <w:rPr>
      <w:b/>
      <w:kern w:val="2"/>
      <w:sz w:val="28"/>
    </w:rPr>
  </w:style>
  <w:style w:type="character" w:customStyle="1" w:styleId="140">
    <w:name w:val="文档结构图 Char"/>
    <w:basedOn w:val="40"/>
    <w:link w:val="13"/>
    <w:qFormat/>
    <w:uiPriority w:val="0"/>
    <w:rPr>
      <w:rFonts w:ascii="宋体"/>
      <w:kern w:val="2"/>
      <w:sz w:val="18"/>
      <w:szCs w:val="18"/>
    </w:rPr>
  </w:style>
  <w:style w:type="character" w:customStyle="1" w:styleId="141">
    <w:name w:val="标题 Char"/>
    <w:basedOn w:val="40"/>
    <w:link w:val="35"/>
    <w:qFormat/>
    <w:uiPriority w:val="0"/>
    <w:rPr>
      <w:b/>
      <w:sz w:val="24"/>
      <w:lang w:val="en-GB"/>
    </w:rPr>
  </w:style>
  <w:style w:type="character" w:customStyle="1" w:styleId="142">
    <w:name w:val="font512"/>
    <w:basedOn w:val="40"/>
    <w:qFormat/>
    <w:uiPriority w:val="0"/>
    <w:rPr>
      <w:rFonts w:hint="eastAsia" w:ascii="宋体" w:hAnsi="宋体" w:eastAsia="宋体" w:cs="宋体"/>
      <w:color w:val="FF0000"/>
      <w:sz w:val="24"/>
      <w:szCs w:val="24"/>
      <w:u w:val="none"/>
    </w:rPr>
  </w:style>
  <w:style w:type="character" w:customStyle="1" w:styleId="143">
    <w:name w:val="font151"/>
    <w:basedOn w:val="40"/>
    <w:qFormat/>
    <w:uiPriority w:val="0"/>
    <w:rPr>
      <w:rFonts w:hint="eastAsia" w:ascii="宋体" w:hAnsi="宋体" w:eastAsia="宋体" w:cs="宋体"/>
      <w:color w:val="000000"/>
      <w:sz w:val="24"/>
      <w:szCs w:val="24"/>
      <w:u w:val="none"/>
    </w:rPr>
  </w:style>
  <w:style w:type="character" w:customStyle="1" w:styleId="144">
    <w:name w:val="font271"/>
    <w:basedOn w:val="40"/>
    <w:qFormat/>
    <w:uiPriority w:val="0"/>
    <w:rPr>
      <w:rFonts w:hint="default" w:ascii="Arial" w:hAnsi="Arial" w:cs="Arial"/>
      <w:color w:val="000000"/>
      <w:sz w:val="24"/>
      <w:szCs w:val="24"/>
      <w:u w:val="none"/>
    </w:rPr>
  </w:style>
  <w:style w:type="character" w:customStyle="1" w:styleId="145">
    <w:name w:val="font281"/>
    <w:basedOn w:val="40"/>
    <w:qFormat/>
    <w:uiPriority w:val="0"/>
    <w:rPr>
      <w:rFonts w:hint="default" w:ascii="Arial" w:hAnsi="Arial" w:cs="Arial"/>
      <w:color w:val="000000"/>
      <w:sz w:val="20"/>
      <w:szCs w:val="20"/>
      <w:u w:val="none"/>
    </w:rPr>
  </w:style>
  <w:style w:type="character" w:customStyle="1" w:styleId="146">
    <w:name w:val="font581"/>
    <w:basedOn w:val="40"/>
    <w:qFormat/>
    <w:uiPriority w:val="0"/>
    <w:rPr>
      <w:rFonts w:ascii="Calibri" w:hAnsi="Calibri" w:cs="Calibri"/>
      <w:color w:val="000000"/>
      <w:sz w:val="21"/>
      <w:szCs w:val="21"/>
      <w:u w:val="none"/>
    </w:rPr>
  </w:style>
  <w:style w:type="character" w:customStyle="1" w:styleId="147">
    <w:name w:val="font551"/>
    <w:basedOn w:val="40"/>
    <w:qFormat/>
    <w:uiPriority w:val="0"/>
    <w:rPr>
      <w:rFonts w:hint="eastAsia" w:ascii="宋体" w:hAnsi="宋体" w:eastAsia="宋体" w:cs="宋体"/>
      <w:color w:val="000000"/>
      <w:sz w:val="21"/>
      <w:szCs w:val="21"/>
      <w:u w:val="none"/>
    </w:rPr>
  </w:style>
  <w:style w:type="character" w:customStyle="1" w:styleId="148">
    <w:name w:val="font571"/>
    <w:basedOn w:val="40"/>
    <w:qFormat/>
    <w:uiPriority w:val="0"/>
    <w:rPr>
      <w:rFonts w:hint="eastAsia" w:ascii="等线" w:hAnsi="等线" w:eastAsia="等线" w:cs="等线"/>
      <w:color w:val="FF0000"/>
      <w:sz w:val="24"/>
      <w:szCs w:val="24"/>
      <w:u w:val="none"/>
    </w:rPr>
  </w:style>
  <w:style w:type="character" w:customStyle="1" w:styleId="149">
    <w:name w:val="font191"/>
    <w:basedOn w:val="40"/>
    <w:qFormat/>
    <w:uiPriority w:val="0"/>
    <w:rPr>
      <w:rFonts w:hint="eastAsia" w:ascii="等线" w:hAnsi="等线" w:eastAsia="等线" w:cs="等线"/>
      <w:color w:val="000000"/>
      <w:sz w:val="24"/>
      <w:szCs w:val="24"/>
      <w:u w:val="none"/>
    </w:rPr>
  </w:style>
  <w:style w:type="character" w:customStyle="1" w:styleId="150">
    <w:name w:val="font341"/>
    <w:basedOn w:val="40"/>
    <w:qFormat/>
    <w:uiPriority w:val="0"/>
    <w:rPr>
      <w:rFonts w:hint="eastAsia" w:ascii="等线" w:hAnsi="等线" w:eastAsia="等线" w:cs="等线"/>
      <w:color w:val="000000"/>
      <w:sz w:val="24"/>
      <w:szCs w:val="24"/>
      <w:u w:val="none"/>
    </w:rPr>
  </w:style>
  <w:style w:type="character" w:customStyle="1" w:styleId="151">
    <w:name w:val="font591"/>
    <w:basedOn w:val="40"/>
    <w:qFormat/>
    <w:uiPriority w:val="0"/>
    <w:rPr>
      <w:rFonts w:hint="default" w:ascii="Calibri" w:hAnsi="Calibri" w:cs="Calibri"/>
      <w:color w:val="000000"/>
      <w:sz w:val="21"/>
      <w:szCs w:val="21"/>
      <w:u w:val="none"/>
    </w:rPr>
  </w:style>
  <w:style w:type="character" w:customStyle="1" w:styleId="152">
    <w:name w:val="font141"/>
    <w:basedOn w:val="40"/>
    <w:qFormat/>
    <w:uiPriority w:val="0"/>
    <w:rPr>
      <w:rFonts w:hint="eastAsia" w:ascii="宋体" w:hAnsi="宋体" w:eastAsia="宋体" w:cs="宋体"/>
      <w:color w:val="000000"/>
      <w:sz w:val="24"/>
      <w:szCs w:val="24"/>
      <w:u w:val="none"/>
    </w:rPr>
  </w:style>
  <w:style w:type="paragraph" w:customStyle="1" w:styleId="153">
    <w:name w:val="正文首行缩进1"/>
    <w:basedOn w:val="3"/>
    <w:qFormat/>
    <w:uiPriority w:val="0"/>
    <w:pPr>
      <w:autoSpaceDE/>
      <w:autoSpaceDN/>
      <w:adjustRightInd/>
      <w:spacing w:before="100" w:beforeAutospacing="1"/>
      <w:ind w:left="0" w:firstLine="420" w:firstLineChars="100"/>
      <w:jc w:val="both"/>
    </w:pPr>
    <w:rPr>
      <w:sz w:val="20"/>
      <w:szCs w:val="20"/>
      <w:lang w:val="en-US" w:eastAsia="zh-CN"/>
    </w:rPr>
  </w:style>
  <w:style w:type="paragraph" w:customStyle="1" w:styleId="154">
    <w:name w:val="正文_0_1"/>
    <w:qFormat/>
    <w:uiPriority w:val="0"/>
    <w:pPr>
      <w:widowControl w:val="0"/>
      <w:jc w:val="both"/>
    </w:pPr>
    <w:rPr>
      <w:rFonts w:ascii="等线 Light" w:hAnsi="等线 Light" w:eastAsia="等线 Light" w:cs="等线 Light"/>
      <w:kern w:val="2"/>
      <w:sz w:val="21"/>
      <w:szCs w:val="22"/>
      <w:lang w:val="en-US" w:eastAsia="zh-CN" w:bidi="ar-SA"/>
    </w:rPr>
  </w:style>
  <w:style w:type="table" w:customStyle="1" w:styleId="155">
    <w:name w:val="Table Normal"/>
    <w:unhideWhenUsed/>
    <w:qFormat/>
    <w:uiPriority w:val="0"/>
    <w:tblPr>
      <w:tblCellMar>
        <w:top w:w="0" w:type="dxa"/>
        <w:left w:w="0" w:type="dxa"/>
        <w:bottom w:w="0" w:type="dxa"/>
        <w:right w:w="0" w:type="dxa"/>
      </w:tblCellMar>
    </w:tblPr>
  </w:style>
  <w:style w:type="paragraph" w:customStyle="1" w:styleId="156">
    <w:name w:val="正文_1"/>
    <w:qFormat/>
    <w:uiPriority w:val="0"/>
    <w:pPr>
      <w:widowControl w:val="0"/>
      <w:jc w:val="both"/>
    </w:pPr>
    <w:rPr>
      <w:rFonts w:ascii="黑体" w:hAnsi="黑体" w:eastAsia="@???|CS?o｡ﾀ?" w:cs="黑体"/>
      <w:kern w:val="2"/>
      <w:sz w:val="21"/>
      <w:szCs w:val="24"/>
      <w:lang w:val="en-US" w:eastAsia="zh-CN" w:bidi="ar-SA"/>
    </w:rPr>
  </w:style>
  <w:style w:type="paragraph" w:customStyle="1" w:styleId="157">
    <w:name w:val="纯文本_1"/>
    <w:basedOn w:val="154"/>
    <w:qFormat/>
    <w:uiPriority w:val="0"/>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37161</Words>
  <Characters>38452</Characters>
  <Lines>632</Lines>
  <Paragraphs>178</Paragraphs>
  <TotalTime>24</TotalTime>
  <ScaleCrop>false</ScaleCrop>
  <LinksUpToDate>false</LinksUpToDate>
  <CharactersWithSpaces>39522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2023-06-29T05:07:00Z</dcterms:created>
  <dc:creator>微软用户</dc:creator>
  <cp:lastModifiedBy>NTKO</cp:lastModifiedBy>
  <cp:lastPrinted>2025-03-04T03:29:48Z</cp:lastPrinted>
  <dcterms:modified xsi:type="dcterms:W3CDTF">2025-03-04T03:31:56Z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45C76A4C49F4450AB4CE5529B1AD423F_13</vt:lpwstr>
  </property>
  <property fmtid="{D5CDD505-2E9C-101B-9397-08002B2CF9AE}" pid="4" name="KSOTemplateDocerSaveRecord">
    <vt:lpwstr>eyJoZGlkIjoiNWVjNWU4ZWRhNzAyZjI2MDA0ZTBlYTc4YWNlMGY2MWYiLCJ1c2VySWQiOiI0MjE5NzY5NTQifQ==</vt:lpwstr>
  </property>
</Properties>
</file>