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A257A">
      <w:pPr>
        <w:spacing w:line="360" w:lineRule="auto"/>
        <w:jc w:val="center"/>
        <w:rPr>
          <w:rFonts w:hint="eastAsia" w:ascii="仿宋" w:hAnsi="仿宋" w:eastAsia="仿宋" w:cs="仿宋"/>
          <w:b/>
          <w:sz w:val="24"/>
          <w:highlight w:val="none"/>
        </w:rPr>
      </w:pPr>
    </w:p>
    <w:p w14:paraId="2BE00236">
      <w:pPr>
        <w:adjustRightInd/>
        <w:spacing w:line="360" w:lineRule="auto"/>
        <w:jc w:val="center"/>
        <w:rPr>
          <w:rFonts w:hint="eastAsia" w:ascii="仿宋" w:hAnsi="仿宋" w:eastAsia="仿宋" w:cs="仿宋"/>
          <w:b/>
          <w:sz w:val="48"/>
          <w:szCs w:val="48"/>
          <w:highlight w:val="none"/>
        </w:rPr>
      </w:pPr>
    </w:p>
    <w:p w14:paraId="7B1C5886">
      <w:pPr>
        <w:adjustRightInd/>
        <w:spacing w:line="360" w:lineRule="auto"/>
        <w:jc w:val="center"/>
        <w:rPr>
          <w:rFonts w:hint="eastAsia" w:ascii="仿宋" w:hAnsi="仿宋" w:eastAsia="仿宋" w:cs="仿宋"/>
          <w:sz w:val="44"/>
          <w:szCs w:val="44"/>
          <w:highlight w:val="none"/>
          <w:lang w:eastAsia="zh-CN"/>
        </w:rPr>
      </w:pPr>
      <w:r>
        <w:rPr>
          <w:rFonts w:hint="eastAsia" w:ascii="仿宋" w:hAnsi="仿宋" w:eastAsia="仿宋" w:cs="仿宋"/>
          <w:sz w:val="44"/>
          <w:szCs w:val="44"/>
          <w:highlight w:val="none"/>
          <w:lang w:eastAsia="zh-CN"/>
        </w:rPr>
        <w:t>城东初中新建项目涉大运河遗产及文物影响评估报告编制服务</w:t>
      </w:r>
    </w:p>
    <w:p w14:paraId="0693432E">
      <w:pPr>
        <w:pStyle w:val="23"/>
        <w:rPr>
          <w:rFonts w:hint="eastAsia" w:ascii="仿宋" w:hAnsi="仿宋" w:eastAsia="仿宋" w:cs="仿宋"/>
          <w:highlight w:val="none"/>
        </w:rPr>
      </w:pPr>
    </w:p>
    <w:p w14:paraId="6CD68475">
      <w:pPr>
        <w:adjustRightInd/>
        <w:spacing w:line="360" w:lineRule="auto"/>
        <w:jc w:val="center"/>
        <w:rPr>
          <w:rFonts w:hint="eastAsia" w:ascii="仿宋" w:hAnsi="仿宋" w:eastAsia="仿宋" w:cs="仿宋"/>
          <w:highlight w:val="none"/>
        </w:rPr>
      </w:pPr>
      <w:r>
        <w:rPr>
          <w:rFonts w:hint="eastAsia" w:ascii="仿宋" w:hAnsi="仿宋" w:eastAsia="仿宋" w:cs="仿宋"/>
          <w:b/>
          <w:bCs/>
          <w:sz w:val="48"/>
          <w:szCs w:val="48"/>
          <w:highlight w:val="none"/>
        </w:rPr>
        <w:t>交易文件</w:t>
      </w:r>
    </w:p>
    <w:p w14:paraId="693B5966">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（电子交易标）</w:t>
      </w:r>
    </w:p>
    <w:p w14:paraId="5B486ADF">
      <w:pPr>
        <w:snapToGrid w:val="0"/>
        <w:spacing w:line="360" w:lineRule="auto"/>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val="en-US" w:eastAsia="zh-CN"/>
        </w:rPr>
        <w:t>ZJJCCG-08-13</w:t>
      </w:r>
    </w:p>
    <w:p w14:paraId="33B2464E">
      <w:pPr>
        <w:adjustRightInd/>
        <w:spacing w:line="360" w:lineRule="auto"/>
        <w:rPr>
          <w:rFonts w:hint="eastAsia" w:ascii="仿宋" w:hAnsi="仿宋" w:eastAsia="仿宋" w:cs="仿宋"/>
          <w:sz w:val="28"/>
          <w:szCs w:val="20"/>
          <w:highlight w:val="none"/>
        </w:rPr>
      </w:pPr>
    </w:p>
    <w:p w14:paraId="22295959">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1525CF6A">
      <w:pPr>
        <w:spacing w:line="360" w:lineRule="auto"/>
        <w:jc w:val="center"/>
        <w:rPr>
          <w:rFonts w:hint="eastAsia" w:ascii="仿宋" w:hAnsi="仿宋" w:eastAsia="仿宋" w:cs="仿宋"/>
          <w:b/>
          <w:sz w:val="44"/>
          <w:szCs w:val="44"/>
          <w:highlight w:val="none"/>
        </w:rPr>
      </w:pPr>
    </w:p>
    <w:p w14:paraId="75719FC6">
      <w:pPr>
        <w:spacing w:line="360" w:lineRule="auto"/>
        <w:jc w:val="center"/>
        <w:rPr>
          <w:rFonts w:hint="eastAsia" w:ascii="仿宋" w:hAnsi="仿宋" w:eastAsia="仿宋" w:cs="仿宋"/>
          <w:sz w:val="24"/>
          <w:highlight w:val="none"/>
        </w:rPr>
      </w:pPr>
    </w:p>
    <w:p w14:paraId="5203A22F">
      <w:pPr>
        <w:spacing w:line="360" w:lineRule="auto"/>
        <w:jc w:val="center"/>
        <w:rPr>
          <w:rFonts w:hint="eastAsia" w:ascii="仿宋" w:hAnsi="仿宋" w:eastAsia="仿宋" w:cs="仿宋"/>
          <w:sz w:val="24"/>
          <w:highlight w:val="none"/>
        </w:rPr>
      </w:pPr>
    </w:p>
    <w:p w14:paraId="7606D8C5">
      <w:pPr>
        <w:spacing w:line="360" w:lineRule="auto"/>
        <w:rPr>
          <w:rFonts w:hint="eastAsia" w:ascii="仿宋" w:hAnsi="仿宋" w:eastAsia="仿宋" w:cs="仿宋"/>
          <w:sz w:val="32"/>
          <w:szCs w:val="32"/>
          <w:highlight w:val="none"/>
        </w:rPr>
      </w:pPr>
    </w:p>
    <w:p w14:paraId="4EB9EA5D">
      <w:pPr>
        <w:pStyle w:val="44"/>
        <w:rPr>
          <w:rFonts w:hint="eastAsia" w:ascii="仿宋" w:hAnsi="仿宋" w:eastAsia="仿宋" w:cs="仿宋"/>
          <w:sz w:val="32"/>
          <w:szCs w:val="32"/>
          <w:highlight w:val="none"/>
        </w:rPr>
      </w:pPr>
    </w:p>
    <w:p w14:paraId="18188061">
      <w:pPr>
        <w:rPr>
          <w:rFonts w:hint="eastAsia" w:ascii="仿宋" w:hAnsi="仿宋" w:eastAsia="仿宋" w:cs="仿宋"/>
          <w:sz w:val="32"/>
          <w:szCs w:val="32"/>
          <w:highlight w:val="none"/>
        </w:rPr>
      </w:pPr>
    </w:p>
    <w:p w14:paraId="7754CD07">
      <w:pPr>
        <w:pStyle w:val="44"/>
        <w:rPr>
          <w:rFonts w:hint="eastAsia" w:ascii="仿宋" w:hAnsi="仿宋" w:eastAsia="仿宋" w:cs="仿宋"/>
          <w:highlight w:val="none"/>
        </w:rPr>
      </w:pPr>
    </w:p>
    <w:p w14:paraId="28C5C294">
      <w:pPr>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杭州市萧山区教育局 </w:t>
      </w:r>
    </w:p>
    <w:p w14:paraId="78B9B65E">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浙江佳诚工程咨询股份有限公司</w:t>
      </w:r>
    </w:p>
    <w:p w14:paraId="30304AC7">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w:t>
      </w:r>
      <w:r>
        <w:rPr>
          <w:rFonts w:hint="eastAsia" w:ascii="仿宋" w:hAnsi="仿宋" w:eastAsia="仿宋" w:cs="仿宋"/>
          <w:b/>
          <w:sz w:val="32"/>
          <w:szCs w:val="32"/>
          <w:highlight w:val="none"/>
          <w:lang w:val="en-US" w:eastAsia="zh-CN"/>
        </w:rPr>
        <w:t>四</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eastAsia="zh-CN"/>
        </w:rPr>
        <w:t>八</w:t>
      </w:r>
      <w:r>
        <w:rPr>
          <w:rFonts w:hint="eastAsia" w:ascii="仿宋" w:hAnsi="仿宋" w:eastAsia="仿宋" w:cs="仿宋"/>
          <w:b/>
          <w:sz w:val="32"/>
          <w:szCs w:val="32"/>
          <w:highlight w:val="none"/>
        </w:rPr>
        <w:t>月</w:t>
      </w:r>
      <w:r>
        <w:rPr>
          <w:rFonts w:hint="eastAsia" w:ascii="仿宋" w:hAnsi="仿宋" w:eastAsia="仿宋" w:cs="仿宋"/>
          <w:b/>
          <w:sz w:val="32"/>
          <w:szCs w:val="32"/>
          <w:highlight w:val="none"/>
          <w:lang w:val="en-US" w:eastAsia="zh-CN"/>
        </w:rPr>
        <w:t>十三</w:t>
      </w:r>
      <w:r>
        <w:rPr>
          <w:rFonts w:hint="eastAsia" w:ascii="仿宋" w:hAnsi="仿宋" w:eastAsia="仿宋" w:cs="仿宋"/>
          <w:b/>
          <w:sz w:val="32"/>
          <w:szCs w:val="32"/>
          <w:highlight w:val="none"/>
        </w:rPr>
        <w:t>日</w:t>
      </w:r>
    </w:p>
    <w:p w14:paraId="6A779175">
      <w:pPr>
        <w:pStyle w:val="60"/>
        <w:rPr>
          <w:rFonts w:hint="eastAsia" w:ascii="仿宋" w:hAnsi="仿宋" w:eastAsia="仿宋" w:cs="仿宋"/>
          <w:highlight w:val="none"/>
        </w:rPr>
      </w:pPr>
    </w:p>
    <w:p w14:paraId="4DC4F01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14:paraId="6D9A5600">
      <w:pPr>
        <w:spacing w:line="360" w:lineRule="auto"/>
        <w:jc w:val="center"/>
        <w:rPr>
          <w:rFonts w:hint="eastAsia" w:ascii="仿宋" w:hAnsi="仿宋" w:eastAsia="仿宋" w:cs="仿宋"/>
          <w:sz w:val="24"/>
          <w:highlight w:val="none"/>
        </w:rPr>
      </w:pPr>
    </w:p>
    <w:p w14:paraId="136E61D0">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7F4D10E8">
      <w:pPr>
        <w:spacing w:line="360" w:lineRule="auto"/>
        <w:rPr>
          <w:rFonts w:hint="eastAsia" w:ascii="仿宋" w:hAnsi="仿宋" w:eastAsia="仿宋" w:cs="仿宋"/>
          <w:sz w:val="32"/>
          <w:szCs w:val="32"/>
          <w:highlight w:val="none"/>
        </w:rPr>
      </w:pPr>
    </w:p>
    <w:p w14:paraId="0F18B3B4">
      <w:pPr>
        <w:spacing w:line="360" w:lineRule="auto"/>
        <w:rPr>
          <w:rFonts w:hint="eastAsia" w:ascii="仿宋" w:hAnsi="仿宋" w:eastAsia="仿宋" w:cs="仿宋"/>
          <w:sz w:val="32"/>
          <w:szCs w:val="32"/>
          <w:highlight w:val="none"/>
        </w:rPr>
      </w:pPr>
    </w:p>
    <w:p w14:paraId="45497BCA">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交易公告</w:t>
      </w:r>
    </w:p>
    <w:p w14:paraId="16904CB0">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供应商须知</w:t>
      </w:r>
    </w:p>
    <w:p w14:paraId="36D758AD">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60620D9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评审办法</w:t>
      </w:r>
    </w:p>
    <w:p w14:paraId="79625758">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应提交的有关格式范例</w:t>
      </w:r>
    </w:p>
    <w:p w14:paraId="7D8F8DAD">
      <w:pPr>
        <w:pStyle w:val="23"/>
        <w:rPr>
          <w:rFonts w:hint="eastAsia" w:ascii="仿宋" w:hAnsi="仿宋" w:eastAsia="仿宋" w:cs="仿宋"/>
          <w:highlight w:val="none"/>
          <w:lang w:val="en-US" w:eastAsia="zh-CN"/>
        </w:rPr>
      </w:pPr>
      <w:r>
        <w:rPr>
          <w:rFonts w:hint="eastAsia" w:ascii="仿宋" w:hAnsi="仿宋" w:eastAsia="仿宋" w:cs="仿宋"/>
          <w:sz w:val="32"/>
          <w:szCs w:val="32"/>
          <w:highlight w:val="none"/>
          <w:lang w:val="en-US" w:eastAsia="zh-CN"/>
        </w:rPr>
        <w:t xml:space="preserve">        第六部分      拟签订的合同文本</w:t>
      </w:r>
    </w:p>
    <w:p w14:paraId="52469569">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44C98EBB">
      <w:pPr>
        <w:spacing w:line="360" w:lineRule="auto"/>
        <w:ind w:firstLine="549" w:firstLineChars="229"/>
        <w:rPr>
          <w:rFonts w:hint="eastAsia" w:ascii="仿宋" w:hAnsi="仿宋" w:eastAsia="仿宋" w:cs="仿宋"/>
          <w:sz w:val="24"/>
          <w:highlight w:val="none"/>
        </w:rPr>
      </w:pPr>
    </w:p>
    <w:p w14:paraId="7E3894DE">
      <w:pPr>
        <w:spacing w:line="360" w:lineRule="auto"/>
        <w:ind w:firstLine="549" w:firstLineChars="229"/>
        <w:rPr>
          <w:rFonts w:hint="eastAsia" w:ascii="仿宋" w:hAnsi="仿宋" w:eastAsia="仿宋" w:cs="仿宋"/>
          <w:sz w:val="24"/>
          <w:highlight w:val="none"/>
        </w:rPr>
      </w:pPr>
    </w:p>
    <w:p w14:paraId="1B1C8187">
      <w:pPr>
        <w:spacing w:line="360" w:lineRule="auto"/>
        <w:ind w:firstLine="549" w:firstLineChars="229"/>
        <w:rPr>
          <w:rFonts w:hint="eastAsia" w:ascii="仿宋" w:hAnsi="仿宋" w:eastAsia="仿宋" w:cs="仿宋"/>
          <w:sz w:val="24"/>
          <w:highlight w:val="none"/>
        </w:rPr>
      </w:pPr>
    </w:p>
    <w:p w14:paraId="2F9B823D">
      <w:pPr>
        <w:spacing w:line="360" w:lineRule="auto"/>
        <w:ind w:firstLine="549" w:firstLineChars="229"/>
        <w:rPr>
          <w:rFonts w:hint="eastAsia" w:ascii="仿宋" w:hAnsi="仿宋" w:eastAsia="仿宋" w:cs="仿宋"/>
          <w:sz w:val="24"/>
          <w:highlight w:val="none"/>
        </w:rPr>
      </w:pPr>
    </w:p>
    <w:p w14:paraId="6E1ACD06">
      <w:pPr>
        <w:spacing w:line="360" w:lineRule="auto"/>
        <w:ind w:firstLine="549" w:firstLineChars="229"/>
        <w:rPr>
          <w:rFonts w:hint="eastAsia" w:ascii="仿宋" w:hAnsi="仿宋" w:eastAsia="仿宋" w:cs="仿宋"/>
          <w:sz w:val="24"/>
          <w:highlight w:val="none"/>
        </w:rPr>
      </w:pPr>
    </w:p>
    <w:p w14:paraId="6C3AA306">
      <w:pPr>
        <w:spacing w:line="360" w:lineRule="auto"/>
        <w:ind w:firstLine="549" w:firstLineChars="229"/>
        <w:rPr>
          <w:rFonts w:hint="eastAsia" w:ascii="仿宋" w:hAnsi="仿宋" w:eastAsia="仿宋" w:cs="仿宋"/>
          <w:sz w:val="24"/>
          <w:highlight w:val="none"/>
        </w:rPr>
      </w:pPr>
    </w:p>
    <w:p w14:paraId="7942D342">
      <w:pPr>
        <w:spacing w:line="360" w:lineRule="auto"/>
        <w:ind w:firstLine="549" w:firstLineChars="229"/>
        <w:rPr>
          <w:rFonts w:hint="eastAsia" w:ascii="仿宋" w:hAnsi="仿宋" w:eastAsia="仿宋" w:cs="仿宋"/>
          <w:sz w:val="24"/>
          <w:highlight w:val="none"/>
        </w:rPr>
      </w:pPr>
    </w:p>
    <w:p w14:paraId="0792451B">
      <w:pPr>
        <w:spacing w:line="360" w:lineRule="auto"/>
        <w:ind w:firstLine="549" w:firstLineChars="229"/>
        <w:rPr>
          <w:rFonts w:hint="eastAsia" w:ascii="仿宋" w:hAnsi="仿宋" w:eastAsia="仿宋" w:cs="仿宋"/>
          <w:sz w:val="24"/>
          <w:highlight w:val="none"/>
        </w:rPr>
      </w:pPr>
    </w:p>
    <w:p w14:paraId="693A664B">
      <w:pPr>
        <w:spacing w:line="360" w:lineRule="auto"/>
        <w:ind w:firstLine="549" w:firstLineChars="229"/>
        <w:rPr>
          <w:rFonts w:hint="eastAsia" w:ascii="仿宋" w:hAnsi="仿宋" w:eastAsia="仿宋" w:cs="仿宋"/>
          <w:sz w:val="24"/>
          <w:highlight w:val="none"/>
        </w:rPr>
      </w:pPr>
    </w:p>
    <w:p w14:paraId="4B8D5D97">
      <w:pPr>
        <w:spacing w:line="360" w:lineRule="auto"/>
        <w:ind w:firstLine="549" w:firstLineChars="229"/>
        <w:rPr>
          <w:rFonts w:hint="eastAsia" w:ascii="仿宋" w:hAnsi="仿宋" w:eastAsia="仿宋" w:cs="仿宋"/>
          <w:sz w:val="24"/>
          <w:highlight w:val="none"/>
        </w:rPr>
      </w:pPr>
    </w:p>
    <w:p w14:paraId="1372A47D">
      <w:pPr>
        <w:spacing w:line="360" w:lineRule="auto"/>
        <w:ind w:firstLine="549" w:firstLineChars="229"/>
        <w:rPr>
          <w:rFonts w:hint="eastAsia" w:ascii="仿宋" w:hAnsi="仿宋" w:eastAsia="仿宋" w:cs="仿宋"/>
          <w:sz w:val="24"/>
          <w:highlight w:val="none"/>
        </w:rPr>
      </w:pPr>
    </w:p>
    <w:p w14:paraId="23EA0CAB">
      <w:pPr>
        <w:spacing w:line="360" w:lineRule="auto"/>
        <w:ind w:firstLine="549" w:firstLineChars="229"/>
        <w:rPr>
          <w:rFonts w:hint="eastAsia" w:ascii="仿宋" w:hAnsi="仿宋" w:eastAsia="仿宋" w:cs="仿宋"/>
          <w:sz w:val="24"/>
          <w:highlight w:val="none"/>
        </w:rPr>
      </w:pPr>
    </w:p>
    <w:p w14:paraId="70700AC9">
      <w:pPr>
        <w:spacing w:line="360" w:lineRule="auto"/>
        <w:rPr>
          <w:rFonts w:hint="eastAsia" w:ascii="仿宋" w:hAnsi="仿宋" w:eastAsia="仿宋" w:cs="仿宋"/>
          <w:sz w:val="24"/>
          <w:highlight w:val="none"/>
        </w:rPr>
      </w:pPr>
    </w:p>
    <w:p w14:paraId="0B9C903E">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交易公告</w:t>
      </w:r>
    </w:p>
    <w:p w14:paraId="2AC65DA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项目概况</w:t>
      </w:r>
    </w:p>
    <w:p w14:paraId="2CAA868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城东初中新建项目涉大运河遗产及文物影响评估报告编制服务</w:t>
      </w:r>
      <w:r>
        <w:rPr>
          <w:rFonts w:hint="eastAsia" w:ascii="仿宋" w:hAnsi="仿宋" w:eastAsia="仿宋" w:cs="仿宋"/>
          <w:sz w:val="24"/>
          <w:highlight w:val="none"/>
        </w:rPr>
        <w:t>的潜在供应商应在</w:t>
      </w:r>
      <w:r>
        <w:rPr>
          <w:rFonts w:hint="eastAsia" w:ascii="仿宋" w:hAnsi="仿宋" w:eastAsia="仿宋" w:cs="仿宋"/>
          <w:sz w:val="24"/>
          <w:highlight w:val="none"/>
          <w:lang w:eastAsia="zh-CN"/>
        </w:rPr>
        <w:t>乐采云平台</w:t>
      </w:r>
      <w:r>
        <w:rPr>
          <w:rFonts w:hint="eastAsia" w:ascii="仿宋" w:hAnsi="仿宋" w:eastAsia="仿宋" w:cs="仿宋"/>
          <w:sz w:val="24"/>
          <w:highlight w:val="none"/>
        </w:rPr>
        <w:t>（</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8"/>
          <w:rFonts w:hint="eastAsia" w:ascii="仿宋" w:hAnsi="仿宋" w:eastAsia="仿宋" w:cs="仿宋"/>
          <w:snapToGrid/>
          <w:color w:val="auto"/>
          <w:kern w:val="2"/>
          <w:sz w:val="24"/>
          <w:szCs w:val="24"/>
          <w:highlight w:val="none"/>
        </w:rPr>
        <w:t>获取（下载）交易文件，并于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 xml:space="preserve">点 </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0分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递交（上传）响应文件。</w:t>
      </w:r>
    </w:p>
    <w:p w14:paraId="325CAD97">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3B5644C6">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highlight w:val="none"/>
          <w:lang w:val="en-US" w:eastAsia="zh-CN"/>
        </w:rPr>
      </w:pPr>
      <w:r>
        <w:rPr>
          <w:rFonts w:hint="eastAsia" w:ascii="仿宋" w:hAnsi="仿宋" w:eastAsia="仿宋" w:cs="仿宋"/>
          <w:b/>
          <w:sz w:val="24"/>
          <w:highlight w:val="none"/>
        </w:rPr>
        <w:t>项目编号：ZJJCCG-08-13</w:t>
      </w:r>
    </w:p>
    <w:p w14:paraId="7E98E92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城东初中新建项目涉大运河遗产及文物影响评估报告编制服务</w:t>
      </w:r>
    </w:p>
    <w:p w14:paraId="412A2E7C">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lang w:val="en-US" w:eastAsia="zh-CN"/>
        </w:rPr>
      </w:pPr>
      <w:r>
        <w:rPr>
          <w:rFonts w:hint="eastAsia" w:ascii="仿宋" w:hAnsi="仿宋" w:eastAsia="仿宋" w:cs="仿宋"/>
          <w:b/>
          <w:sz w:val="24"/>
          <w:highlight w:val="none"/>
        </w:rPr>
        <w:t>预算金额（元）：</w:t>
      </w:r>
      <w:r>
        <w:rPr>
          <w:rFonts w:hint="eastAsia" w:ascii="仿宋" w:hAnsi="仿宋" w:eastAsia="仿宋" w:cs="仿宋"/>
          <w:b/>
          <w:sz w:val="24"/>
          <w:highlight w:val="none"/>
          <w:lang w:val="en-US" w:eastAsia="zh-CN"/>
        </w:rPr>
        <w:t>300000</w:t>
      </w:r>
    </w:p>
    <w:p w14:paraId="7DF82D42">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Cs/>
          <w:sz w:val="24"/>
          <w:highlight w:val="none"/>
          <w:lang w:val="en-US" w:eastAsia="zh-CN"/>
        </w:rPr>
      </w:pPr>
      <w:r>
        <w:rPr>
          <w:rFonts w:hint="eastAsia" w:ascii="仿宋" w:hAnsi="仿宋" w:eastAsia="仿宋" w:cs="仿宋"/>
          <w:b/>
          <w:sz w:val="24"/>
          <w:highlight w:val="none"/>
        </w:rPr>
        <w:t>最高限价（元）：3</w:t>
      </w:r>
      <w:r>
        <w:rPr>
          <w:rFonts w:hint="eastAsia" w:ascii="仿宋" w:hAnsi="仿宋" w:eastAsia="仿宋" w:cs="仿宋"/>
          <w:b/>
          <w:sz w:val="24"/>
          <w:highlight w:val="none"/>
          <w:lang w:val="en-US" w:eastAsia="zh-CN"/>
        </w:rPr>
        <w:t>00000</w:t>
      </w:r>
    </w:p>
    <w:p w14:paraId="6CA5F0C4">
      <w:pPr>
        <w:pStyle w:val="15"/>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szCs w:val="24"/>
          <w:highlight w:val="none"/>
        </w:rPr>
        <w:t>详见交易需求。</w:t>
      </w:r>
    </w:p>
    <w:p w14:paraId="19B1AA76">
      <w:pPr>
        <w:pStyle w:val="15"/>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highlight w:val="none"/>
          <w:lang w:val="en-US" w:eastAsia="zh-CN"/>
        </w:rPr>
      </w:pPr>
      <w:r>
        <w:rPr>
          <w:rFonts w:hint="eastAsia" w:ascii="仿宋" w:hAnsi="仿宋" w:eastAsia="仿宋" w:cs="仿宋"/>
          <w:b/>
          <w:snapToGrid/>
          <w:color w:val="auto"/>
          <w:kern w:val="2"/>
          <w:sz w:val="24"/>
          <w:szCs w:val="24"/>
          <w:highlight w:val="none"/>
          <w:lang w:val="en-US" w:eastAsia="zh-CN" w:bidi="ar-SA"/>
        </w:rPr>
        <w:t>合同履约期限：</w:t>
      </w:r>
      <w:r>
        <w:rPr>
          <w:rFonts w:hint="eastAsia" w:ascii="仿宋" w:hAnsi="仿宋" w:eastAsia="仿宋" w:cs="仿宋"/>
          <w:color w:val="auto"/>
          <w:sz w:val="24"/>
          <w:szCs w:val="24"/>
          <w:highlight w:val="none"/>
        </w:rPr>
        <w:t>详见采购需求</w:t>
      </w:r>
      <w:r>
        <w:rPr>
          <w:rFonts w:hint="eastAsia" w:ascii="仿宋" w:hAnsi="仿宋" w:eastAsia="仿宋" w:cs="仿宋"/>
          <w:color w:val="auto"/>
          <w:sz w:val="24"/>
          <w:szCs w:val="24"/>
          <w:highlight w:val="none"/>
          <w:lang w:eastAsia="zh-CN"/>
        </w:rPr>
        <w:t>。</w:t>
      </w:r>
    </w:p>
    <w:p w14:paraId="0A280219">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本项目接受联合体交易：（ ）是；（√）否 </w:t>
      </w:r>
      <w:r>
        <w:rPr>
          <w:rFonts w:hint="eastAsia" w:ascii="仿宋" w:hAnsi="仿宋" w:eastAsia="仿宋" w:cs="仿宋"/>
          <w:kern w:val="0"/>
          <w:sz w:val="24"/>
          <w:highlight w:val="none"/>
        </w:rPr>
        <w:t>。</w:t>
      </w:r>
    </w:p>
    <w:p w14:paraId="35009A7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456EEBF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1.满足《中华人民共和国政府采购法》第二十二条规定或符合浙财采监【2013】24号《关于规范政府采购供应商资格设定及资格审查的通知》第六条规定</w:t>
      </w:r>
      <w:r>
        <w:rPr>
          <w:rFonts w:hint="eastAsia" w:ascii="仿宋" w:hAnsi="仿宋" w:eastAsia="仿宋" w:cs="仿宋"/>
          <w:sz w:val="24"/>
          <w:szCs w:val="28"/>
          <w:highlight w:val="none"/>
          <w:lang w:eastAsia="zh-CN"/>
        </w:rPr>
        <w:t>。</w:t>
      </w:r>
    </w:p>
    <w:p w14:paraId="63F371F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2.未被“信用中国”（www.creditchina.gov.cn）、中国政府采购网（www.ccgp.gov.cn）列入失信被执行人、重大税收违法案件当事人名单、政府采购严重违法失信行为记录名单。</w:t>
      </w:r>
    </w:p>
    <w:p w14:paraId="12D8CE0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3.落实政府采购政策需满足的资格要求：专门面向中小企业</w:t>
      </w:r>
      <w:r>
        <w:rPr>
          <w:rFonts w:hint="eastAsia" w:ascii="仿宋" w:hAnsi="仿宋" w:eastAsia="仿宋" w:cs="仿宋"/>
          <w:sz w:val="24"/>
          <w:szCs w:val="28"/>
          <w:highlight w:val="none"/>
          <w:lang w:eastAsia="zh-CN"/>
        </w:rPr>
        <w:t>。</w:t>
      </w:r>
    </w:p>
    <w:p w14:paraId="69E3CEC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sz w:val="24"/>
          <w:szCs w:val="28"/>
          <w:highlight w:val="none"/>
        </w:rPr>
        <w:t>4.本项目的特定资格要求：投标人需具有文物保护工程勘察设计乙级及以上资质。</w:t>
      </w:r>
    </w:p>
    <w:p w14:paraId="5A33DFD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三、获取交易文件 </w:t>
      </w:r>
    </w:p>
    <w:p w14:paraId="58C401A3">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134F4922">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lang w:eastAsia="zh-CN"/>
        </w:rPr>
        <w:t>乐采云平台</w:t>
      </w:r>
      <w:r>
        <w:rPr>
          <w:rFonts w:hint="eastAsia" w:ascii="仿宋" w:hAnsi="仿宋" w:eastAsia="仿宋" w:cs="仿宋"/>
          <w:sz w:val="24"/>
          <w:highlight w:val="none"/>
        </w:rPr>
        <w:t>（</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w:t>
      </w:r>
    </w:p>
    <w:p w14:paraId="1FEDC54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 xml:space="preserve">采云平台www.lecaiyun.com/在线申请获取采购文件（进入“项目采购”应用，在获取采购文件菜单中选择项目，申请获取采购文件）。 </w:t>
      </w:r>
    </w:p>
    <w:p w14:paraId="0BA87BC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45FADF3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四、提交响应文件截止时间、交易时间和地点</w:t>
      </w:r>
    </w:p>
    <w:p w14:paraId="3C211C24">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提交响应文件截止时间：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 xml:space="preserve">日 </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 xml:space="preserve">点 </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0 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6737C5AD">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交易地点（网址）：</w:t>
      </w:r>
      <w:r>
        <w:rPr>
          <w:rFonts w:hint="eastAsia" w:ascii="仿宋" w:hAnsi="仿宋" w:eastAsia="仿宋" w:cs="仿宋"/>
          <w:sz w:val="24"/>
          <w:highlight w:val="none"/>
          <w:lang w:eastAsia="zh-CN"/>
        </w:rPr>
        <w:t>乐采云平台</w:t>
      </w:r>
      <w:r>
        <w:rPr>
          <w:rFonts w:hint="eastAsia" w:ascii="仿宋" w:hAnsi="仿宋" w:eastAsia="仿宋" w:cs="仿宋"/>
          <w:sz w:val="24"/>
          <w:highlight w:val="none"/>
        </w:rPr>
        <w:t>（</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w:t>
      </w:r>
    </w:p>
    <w:p w14:paraId="1E946A27">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Cs/>
          <w:sz w:val="24"/>
          <w:highlight w:val="none"/>
          <w:u w:val="single"/>
        </w:rPr>
      </w:pPr>
      <w:r>
        <w:rPr>
          <w:rFonts w:hint="eastAsia" w:ascii="仿宋" w:hAnsi="仿宋" w:eastAsia="仿宋" w:cs="仿宋"/>
          <w:b/>
          <w:sz w:val="24"/>
          <w:highlight w:val="none"/>
        </w:rPr>
        <w:t>交易时间：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bookmarkStart w:id="391" w:name="_GoBack"/>
      <w:bookmarkEnd w:id="391"/>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0 分</w:t>
      </w:r>
    </w:p>
    <w:p w14:paraId="20A2A68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交易地点（网址）：</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采云平台（</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w:t>
      </w:r>
    </w:p>
    <w:p w14:paraId="24B2EAEF">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0C77BF9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 3日。</w:t>
      </w:r>
    </w:p>
    <w:p w14:paraId="52C65D92">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33DED8A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1.供应商认为交易文件使自己的权益受到损害的，可以自获取交易文件之日或者交易文件公告期限届满之日（公告期限届满后获取交易文件的，以公告期限届满之日为准）起3  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3FE51CA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2.其他事项：电子交易（招响应）的说明：①电子交易：本项目以数据电文形式，依托“</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平台（www.lecaiyun.com）”进行交易活动，不接受纸质响应文件；②交易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采云电子交易客户端”----前往“浙江政府采购网-下载专区-电子交易客户端”进行下载并安装；③交易（采购）文件的获取：使用账号登录或者使用CA登录</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采云平台；进入“项目采购”应用，在获取采购文件菜单中选择项目，获取交易文件；④响应文件的制作：在“</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采云电子交易客户端”中完成“填写基本信息”、“导入响应文件”、“标书关联”、“标书检查”、“电子签名”、“生成电子标书”等操作；⑤采购人、采购机构将依托</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采购云平台”上传递交的响应文件无法按时解密，供应商递交了备份响应文件的，以备份响应文件为依据，否则视为响应文件撤回。通过“采购云平台”上传递交的响应文件已按时解密的，备份响应文件自动失效。供应商仅提交备份响应文件，未在电子交易平台传输递交响应文件的，交易无效；⑩具体操作指南：详见</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采云平台“服务中心-帮助文档-项目采购-操作流程-电子招响应-采购项目电子交易管理操作指南-供应商”。</w:t>
      </w:r>
    </w:p>
    <w:p w14:paraId="35A459D7">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6E2B72A8">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1.采购人信息</w:t>
      </w:r>
    </w:p>
    <w:p w14:paraId="66BB5C3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名 称：杭州市萧山区教育局 </w:t>
      </w:r>
    </w:p>
    <w:p w14:paraId="2193597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地址：杭州市萧山区西河路197号</w:t>
      </w:r>
    </w:p>
    <w:p w14:paraId="3ADF471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项目联系人（询问）：来文英</w:t>
      </w:r>
    </w:p>
    <w:p w14:paraId="1ED3970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项目联系方式（询问）：13867105260</w:t>
      </w:r>
      <w:bookmarkStart w:id="11" w:name="_Toc28359086"/>
      <w:bookmarkStart w:id="12" w:name="_Toc28359009"/>
    </w:p>
    <w:p w14:paraId="2F5FF56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2.采购代理机构信息</w:t>
      </w:r>
      <w:bookmarkEnd w:id="11"/>
      <w:bookmarkEnd w:id="12"/>
    </w:p>
    <w:p w14:paraId="6AC52D1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名 称：</w:t>
      </w:r>
      <w:r>
        <w:rPr>
          <w:rFonts w:hint="eastAsia" w:ascii="仿宋" w:hAnsi="仿宋" w:eastAsia="仿宋" w:cs="仿宋"/>
          <w:sz w:val="24"/>
          <w:szCs w:val="28"/>
          <w:highlight w:val="none"/>
          <w:lang w:eastAsia="zh-CN"/>
        </w:rPr>
        <w:t>浙江佳诚工程咨询股份有限公司</w:t>
      </w:r>
    </w:p>
    <w:p w14:paraId="769975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地址：</w:t>
      </w:r>
      <w:r>
        <w:rPr>
          <w:rFonts w:hint="eastAsia" w:ascii="仿宋" w:hAnsi="仿宋" w:eastAsia="仿宋" w:cs="仿宋"/>
          <w:sz w:val="24"/>
          <w:szCs w:val="28"/>
          <w:highlight w:val="none"/>
          <w:lang w:eastAsia="zh-CN"/>
        </w:rPr>
        <w:t>萧山区民营企业发展大厦A座12楼</w:t>
      </w:r>
    </w:p>
    <w:p w14:paraId="0BBFD39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项目联系人（询问）：</w:t>
      </w:r>
      <w:r>
        <w:rPr>
          <w:rFonts w:hint="eastAsia" w:ascii="仿宋" w:hAnsi="仿宋" w:eastAsia="仿宋" w:cs="仿宋"/>
          <w:sz w:val="24"/>
          <w:szCs w:val="28"/>
          <w:highlight w:val="none"/>
          <w:lang w:eastAsia="zh-CN"/>
        </w:rPr>
        <w:t>夏婷</w:t>
      </w:r>
      <w:r>
        <w:rPr>
          <w:rFonts w:hint="eastAsia" w:ascii="仿宋" w:hAnsi="仿宋" w:eastAsia="仿宋" w:cs="仿宋"/>
          <w:sz w:val="24"/>
          <w:szCs w:val="28"/>
          <w:highlight w:val="none"/>
        </w:rPr>
        <w:t xml:space="preserve"> </w:t>
      </w:r>
    </w:p>
    <w:p w14:paraId="7CD09A69">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项目联系方式（询问）：</w:t>
      </w:r>
      <w:r>
        <w:rPr>
          <w:rFonts w:hint="eastAsia" w:ascii="仿宋" w:hAnsi="仿宋" w:eastAsia="仿宋" w:cs="仿宋"/>
          <w:sz w:val="24"/>
          <w:szCs w:val="28"/>
          <w:highlight w:val="none"/>
          <w:lang w:val="en-US" w:eastAsia="zh-CN"/>
        </w:rPr>
        <w:t>0571-82951586/15967157761</w:t>
      </w:r>
    </w:p>
    <w:p w14:paraId="3A7C998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采购机构质疑接收人：</w:t>
      </w:r>
      <w:r>
        <w:rPr>
          <w:rFonts w:hint="eastAsia" w:ascii="仿宋" w:hAnsi="仿宋" w:eastAsia="仿宋" w:cs="仿宋"/>
          <w:sz w:val="24"/>
          <w:szCs w:val="28"/>
          <w:highlight w:val="none"/>
          <w:lang w:eastAsia="zh-CN"/>
        </w:rPr>
        <w:t>周立军</w:t>
      </w:r>
      <w:r>
        <w:rPr>
          <w:rFonts w:hint="eastAsia" w:ascii="仿宋" w:hAnsi="仿宋" w:eastAsia="仿宋" w:cs="仿宋"/>
          <w:sz w:val="24"/>
          <w:szCs w:val="28"/>
          <w:highlight w:val="none"/>
        </w:rPr>
        <w:t xml:space="preserve">  </w:t>
      </w:r>
    </w:p>
    <w:p w14:paraId="7CEA24E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联系方式：</w:t>
      </w:r>
      <w:r>
        <w:rPr>
          <w:rFonts w:hint="eastAsia" w:ascii="仿宋" w:hAnsi="仿宋" w:eastAsia="仿宋" w:cs="仿宋"/>
          <w:sz w:val="24"/>
          <w:szCs w:val="28"/>
          <w:highlight w:val="none"/>
          <w:lang w:val="en-US" w:eastAsia="zh-CN"/>
        </w:rPr>
        <w:t>19906716509</w:t>
      </w:r>
      <w:r>
        <w:rPr>
          <w:rFonts w:hint="eastAsia" w:ascii="仿宋" w:hAnsi="仿宋" w:eastAsia="仿宋" w:cs="仿宋"/>
          <w:sz w:val="24"/>
          <w:szCs w:val="28"/>
          <w:highlight w:val="none"/>
        </w:rPr>
        <w:t xml:space="preserve"> </w:t>
      </w:r>
    </w:p>
    <w:p w14:paraId="234300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地址：</w:t>
      </w:r>
      <w:r>
        <w:rPr>
          <w:rFonts w:hint="eastAsia" w:ascii="仿宋" w:hAnsi="仿宋" w:eastAsia="仿宋" w:cs="仿宋"/>
          <w:sz w:val="24"/>
          <w:szCs w:val="28"/>
          <w:highlight w:val="none"/>
          <w:lang w:eastAsia="zh-CN"/>
        </w:rPr>
        <w:t>萧山区民营企业发展大厦A座12楼</w:t>
      </w:r>
    </w:p>
    <w:p w14:paraId="094968A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邮箱：</w:t>
      </w:r>
      <w:r>
        <w:rPr>
          <w:rFonts w:hint="eastAsia" w:ascii="仿宋" w:hAnsi="仿宋" w:eastAsia="仿宋" w:cs="仿宋"/>
          <w:sz w:val="24"/>
          <w:szCs w:val="28"/>
          <w:highlight w:val="none"/>
          <w:lang w:val="en-US" w:eastAsia="zh-CN"/>
        </w:rPr>
        <w:t>384231257</w:t>
      </w:r>
      <w:r>
        <w:rPr>
          <w:rFonts w:hint="eastAsia" w:ascii="仿宋" w:hAnsi="仿宋" w:eastAsia="仿宋" w:cs="仿宋"/>
          <w:sz w:val="24"/>
          <w:szCs w:val="28"/>
          <w:highlight w:val="none"/>
        </w:rPr>
        <w:t xml:space="preserve">@qq.com </w:t>
      </w:r>
    </w:p>
    <w:p w14:paraId="49183CE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采云（www.lecaiyun.com），点击右侧咨询小采，获取采小蜜智能服务管家帮助，或拨打</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采云服务热线95763获取热线服务帮助。</w:t>
      </w:r>
    </w:p>
    <w:p w14:paraId="437B998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CA问题联系电话（人工）：汇信CA 400-888-4636；天谷CA 400-087-8198。                           </w:t>
      </w:r>
    </w:p>
    <w:p w14:paraId="12227B58">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w:t>
      </w:r>
      <w:bookmarkEnd w:id="9"/>
      <w:r>
        <w:rPr>
          <w:rFonts w:hint="eastAsia" w:ascii="仿宋" w:hAnsi="仿宋" w:eastAsia="仿宋" w:cs="仿宋"/>
          <w:b/>
          <w:sz w:val="36"/>
          <w:szCs w:val="20"/>
          <w:highlight w:val="none"/>
        </w:rPr>
        <w:t>供应商须知</w:t>
      </w:r>
    </w:p>
    <w:p w14:paraId="1720F2E0">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CC7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tblHeader/>
        </w:trPr>
        <w:tc>
          <w:tcPr>
            <w:tcW w:w="629" w:type="dxa"/>
            <w:noWrap w:val="0"/>
            <w:vAlign w:val="center"/>
          </w:tcPr>
          <w:p w14:paraId="294915DE">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43" w:type="dxa"/>
            <w:noWrap w:val="0"/>
            <w:vAlign w:val="center"/>
          </w:tcPr>
          <w:p w14:paraId="530A1DF1">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事项</w:t>
            </w:r>
          </w:p>
        </w:tc>
        <w:tc>
          <w:tcPr>
            <w:tcW w:w="6095" w:type="dxa"/>
            <w:noWrap w:val="0"/>
            <w:vAlign w:val="center"/>
          </w:tcPr>
          <w:p w14:paraId="4C2099C5">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本项目的特别规定</w:t>
            </w:r>
          </w:p>
        </w:tc>
      </w:tr>
      <w:tr w14:paraId="4C59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7" w:hRule="atLeast"/>
          <w:tblHeader/>
        </w:trPr>
        <w:tc>
          <w:tcPr>
            <w:tcW w:w="629" w:type="dxa"/>
            <w:noWrap w:val="0"/>
            <w:vAlign w:val="center"/>
          </w:tcPr>
          <w:p w14:paraId="6451E186">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43" w:type="dxa"/>
            <w:noWrap w:val="0"/>
            <w:vAlign w:val="center"/>
          </w:tcPr>
          <w:p w14:paraId="38F3E67A">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项目属性与核心产品</w:t>
            </w:r>
          </w:p>
        </w:tc>
        <w:tc>
          <w:tcPr>
            <w:tcW w:w="6095" w:type="dxa"/>
            <w:noWrap w:val="0"/>
            <w:vAlign w:val="center"/>
          </w:tcPr>
          <w:p w14:paraId="2500CDA7">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服务类。</w:t>
            </w:r>
          </w:p>
        </w:tc>
      </w:tr>
      <w:tr w14:paraId="3D4B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8" w:hRule="atLeast"/>
          <w:tblHeader/>
        </w:trPr>
        <w:tc>
          <w:tcPr>
            <w:tcW w:w="629" w:type="dxa"/>
            <w:noWrap w:val="0"/>
            <w:vAlign w:val="center"/>
          </w:tcPr>
          <w:p w14:paraId="351F4A16">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843" w:type="dxa"/>
            <w:noWrap w:val="0"/>
            <w:vAlign w:val="center"/>
          </w:tcPr>
          <w:p w14:paraId="724700CB">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采购标的对应的中小企业划分标准所属行业</w:t>
            </w:r>
          </w:p>
        </w:tc>
        <w:tc>
          <w:tcPr>
            <w:tcW w:w="6095" w:type="dxa"/>
            <w:noWrap w:val="0"/>
            <w:vAlign w:val="center"/>
          </w:tcPr>
          <w:p w14:paraId="7DFF3B19">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（1）标的：</w:t>
            </w:r>
            <w:r>
              <w:rPr>
                <w:rFonts w:hint="eastAsia" w:ascii="仿宋" w:hAnsi="仿宋" w:eastAsia="仿宋" w:cs="仿宋"/>
                <w:bCs/>
                <w:kern w:val="0"/>
                <w:sz w:val="24"/>
                <w:szCs w:val="24"/>
                <w:highlight w:val="none"/>
                <w:u w:val="single"/>
                <w:lang w:eastAsia="zh-CN"/>
              </w:rPr>
              <w:t>城东初中新建项目涉大运河遗产及文物影响评估报告编制服务</w:t>
            </w:r>
            <w:r>
              <w:rPr>
                <w:rFonts w:hint="eastAsia" w:ascii="仿宋" w:hAnsi="仿宋" w:eastAsia="仿宋" w:cs="仿宋"/>
                <w:kern w:val="0"/>
                <w:sz w:val="24"/>
                <w:szCs w:val="24"/>
                <w:highlight w:val="none"/>
              </w:rPr>
              <w:t>，属于</w:t>
            </w:r>
            <w:r>
              <w:rPr>
                <w:rFonts w:hint="eastAsia" w:ascii="仿宋" w:hAnsi="仿宋" w:eastAsia="仿宋" w:cs="仿宋"/>
                <w:bCs/>
                <w:kern w:val="0"/>
                <w:sz w:val="24"/>
                <w:szCs w:val="24"/>
                <w:highlight w:val="none"/>
                <w:u w:val="single"/>
              </w:rPr>
              <w:t>其他未列明行业</w:t>
            </w:r>
            <w:r>
              <w:rPr>
                <w:rFonts w:hint="eastAsia" w:ascii="仿宋" w:hAnsi="仿宋" w:eastAsia="仿宋" w:cs="仿宋"/>
                <w:kern w:val="0"/>
                <w:sz w:val="24"/>
                <w:szCs w:val="24"/>
                <w:highlight w:val="none"/>
              </w:rPr>
              <w:t>；</w:t>
            </w:r>
          </w:p>
          <w:p w14:paraId="3F008794">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行业划分标准：</w:t>
            </w:r>
          </w:p>
          <w:p w14:paraId="49488803">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《关于印发中小企业划型标准规定的通知》工信部联企业〔2011〕300号</w:t>
            </w:r>
          </w:p>
        </w:tc>
      </w:tr>
      <w:tr w14:paraId="04B3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tblHeader/>
        </w:trPr>
        <w:tc>
          <w:tcPr>
            <w:tcW w:w="629" w:type="dxa"/>
            <w:noWrap w:val="0"/>
            <w:vAlign w:val="center"/>
          </w:tcPr>
          <w:p w14:paraId="589C7AA4">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843" w:type="dxa"/>
            <w:noWrap w:val="0"/>
            <w:vAlign w:val="center"/>
          </w:tcPr>
          <w:p w14:paraId="3E018B5A">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分包</w:t>
            </w:r>
          </w:p>
        </w:tc>
        <w:tc>
          <w:tcPr>
            <w:tcW w:w="6095" w:type="dxa"/>
            <w:noWrap w:val="0"/>
            <w:vAlign w:val="center"/>
          </w:tcPr>
          <w:p w14:paraId="6DB632B7">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kern w:val="0"/>
                <w:sz w:val="24"/>
                <w:szCs w:val="24"/>
                <w:highlight w:val="none"/>
              </w:rPr>
              <w:t>B</w:t>
            </w:r>
            <w:r>
              <w:rPr>
                <w:rFonts w:hint="eastAsia" w:ascii="仿宋" w:hAnsi="仿宋" w:eastAsia="仿宋" w:cs="仿宋"/>
                <w:sz w:val="24"/>
                <w:szCs w:val="24"/>
                <w:highlight w:val="none"/>
              </w:rPr>
              <w:t>不同意分包。</w:t>
            </w:r>
          </w:p>
        </w:tc>
      </w:tr>
      <w:tr w14:paraId="4A40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tblHeader/>
        </w:trPr>
        <w:tc>
          <w:tcPr>
            <w:tcW w:w="629" w:type="dxa"/>
            <w:noWrap w:val="0"/>
            <w:vAlign w:val="center"/>
          </w:tcPr>
          <w:p w14:paraId="6F39C985">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843" w:type="dxa"/>
            <w:noWrap w:val="0"/>
            <w:vAlign w:val="center"/>
          </w:tcPr>
          <w:p w14:paraId="53A69A52">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交易前答疑会或现场考察</w:t>
            </w:r>
          </w:p>
        </w:tc>
        <w:tc>
          <w:tcPr>
            <w:tcW w:w="6095" w:type="dxa"/>
            <w:noWrap w:val="0"/>
            <w:vAlign w:val="center"/>
          </w:tcPr>
          <w:p w14:paraId="5C18700C">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不组织。</w:t>
            </w:r>
          </w:p>
        </w:tc>
      </w:tr>
      <w:tr w14:paraId="08AC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tblHeader/>
        </w:trPr>
        <w:tc>
          <w:tcPr>
            <w:tcW w:w="629" w:type="dxa"/>
            <w:noWrap w:val="0"/>
            <w:vAlign w:val="center"/>
          </w:tcPr>
          <w:p w14:paraId="02B7FCA4">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843" w:type="dxa"/>
            <w:noWrap w:val="0"/>
            <w:vAlign w:val="center"/>
          </w:tcPr>
          <w:p w14:paraId="069F33F3">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样品提供</w:t>
            </w:r>
          </w:p>
        </w:tc>
        <w:tc>
          <w:tcPr>
            <w:tcW w:w="6095" w:type="dxa"/>
            <w:noWrap w:val="0"/>
            <w:vAlign w:val="center"/>
          </w:tcPr>
          <w:p w14:paraId="203ACB1A">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b/>
                <w:sz w:val="24"/>
                <w:szCs w:val="24"/>
                <w:highlight w:val="none"/>
              </w:rPr>
            </w:pPr>
            <w:r>
              <w:rPr>
                <w:rFonts w:hint="eastAsia" w:ascii="仿宋" w:hAnsi="仿宋" w:eastAsia="仿宋" w:cs="仿宋"/>
                <w:bCs/>
                <w:sz w:val="24"/>
                <w:szCs w:val="24"/>
                <w:highlight w:val="none"/>
              </w:rPr>
              <w:t>（√）A不要求提供。</w:t>
            </w:r>
          </w:p>
        </w:tc>
      </w:tr>
      <w:tr w14:paraId="500F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tblHeader/>
        </w:trPr>
        <w:tc>
          <w:tcPr>
            <w:tcW w:w="629" w:type="dxa"/>
            <w:noWrap w:val="0"/>
            <w:vAlign w:val="center"/>
          </w:tcPr>
          <w:p w14:paraId="701058B5">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843" w:type="dxa"/>
            <w:noWrap w:val="0"/>
            <w:vAlign w:val="center"/>
          </w:tcPr>
          <w:p w14:paraId="60301845">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Cs/>
                <w:sz w:val="24"/>
                <w:szCs w:val="24"/>
                <w:highlight w:val="none"/>
              </w:rPr>
            </w:pPr>
            <w:r>
              <w:rPr>
                <w:rFonts w:hint="eastAsia" w:ascii="仿宋" w:hAnsi="仿宋" w:eastAsia="仿宋" w:cs="仿宋"/>
                <w:b/>
                <w:sz w:val="24"/>
                <w:szCs w:val="24"/>
                <w:highlight w:val="none"/>
              </w:rPr>
              <w:t>方案讲解演示</w:t>
            </w:r>
          </w:p>
        </w:tc>
        <w:tc>
          <w:tcPr>
            <w:tcW w:w="6095" w:type="dxa"/>
            <w:noWrap w:val="0"/>
            <w:vAlign w:val="center"/>
          </w:tcPr>
          <w:p w14:paraId="121B0825">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b/>
                <w:kern w:val="0"/>
                <w:sz w:val="24"/>
                <w:szCs w:val="24"/>
                <w:highlight w:val="none"/>
                <w:lang w:val="zh-CN"/>
              </w:rPr>
            </w:pPr>
            <w:r>
              <w:rPr>
                <w:rFonts w:hint="eastAsia" w:ascii="仿宋" w:hAnsi="仿宋" w:eastAsia="仿宋" w:cs="仿宋"/>
                <w:sz w:val="24"/>
                <w:szCs w:val="24"/>
                <w:highlight w:val="none"/>
              </w:rPr>
              <w:t>（√）A不组织。</w:t>
            </w:r>
          </w:p>
        </w:tc>
      </w:tr>
      <w:tr w14:paraId="48C0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1" w:hRule="atLeast"/>
          <w:tblHeader/>
        </w:trPr>
        <w:tc>
          <w:tcPr>
            <w:tcW w:w="629" w:type="dxa"/>
            <w:noWrap w:val="0"/>
            <w:vAlign w:val="center"/>
          </w:tcPr>
          <w:p w14:paraId="11B707B8">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843" w:type="dxa"/>
            <w:noWrap w:val="0"/>
            <w:vAlign w:val="center"/>
          </w:tcPr>
          <w:p w14:paraId="7412DE3C">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供应商应当提供的资格、资信证明文件</w:t>
            </w:r>
          </w:p>
        </w:tc>
        <w:tc>
          <w:tcPr>
            <w:tcW w:w="6095" w:type="dxa"/>
            <w:noWrap w:val="0"/>
            <w:vAlign w:val="center"/>
          </w:tcPr>
          <w:p w14:paraId="64A458E9">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（1）资格证明文件：见交易文件第二部分11.1。</w:t>
            </w:r>
          </w:p>
          <w:p w14:paraId="546BCDFA">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供应商未提供有效的资格证明文件的，视为供应商不具备交易文件中规定的资格要求，交易无效。</w:t>
            </w:r>
          </w:p>
          <w:p w14:paraId="4CF48B47">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z w:val="24"/>
                <w:szCs w:val="24"/>
                <w:highlight w:val="none"/>
              </w:rPr>
              <w:t>（2）资信证明文件：根据交易文件要求提供。</w:t>
            </w:r>
          </w:p>
        </w:tc>
      </w:tr>
      <w:tr w14:paraId="5211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3" w:hRule="atLeast"/>
          <w:tblHeader/>
        </w:trPr>
        <w:tc>
          <w:tcPr>
            <w:tcW w:w="629" w:type="dxa"/>
            <w:noWrap w:val="0"/>
            <w:vAlign w:val="center"/>
          </w:tcPr>
          <w:p w14:paraId="273F07B4">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843" w:type="dxa"/>
            <w:noWrap w:val="0"/>
            <w:vAlign w:val="center"/>
          </w:tcPr>
          <w:p w14:paraId="74353AF5">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Cs/>
                <w:sz w:val="24"/>
                <w:szCs w:val="24"/>
                <w:highlight w:val="none"/>
              </w:rPr>
            </w:pPr>
            <w:r>
              <w:rPr>
                <w:rFonts w:hint="eastAsia" w:ascii="仿宋" w:hAnsi="仿宋" w:eastAsia="仿宋" w:cs="仿宋"/>
                <w:b/>
                <w:sz w:val="24"/>
                <w:szCs w:val="24"/>
                <w:highlight w:val="none"/>
              </w:rPr>
              <w:t>报价要求</w:t>
            </w:r>
          </w:p>
        </w:tc>
        <w:tc>
          <w:tcPr>
            <w:tcW w:w="6095" w:type="dxa"/>
            <w:noWrap w:val="0"/>
            <w:vAlign w:val="center"/>
          </w:tcPr>
          <w:p w14:paraId="2397B473">
            <w:pPr>
              <w:keepNext w:val="0"/>
              <w:keepLines w:val="0"/>
              <w:pageBreakBefore w:val="0"/>
              <w:kinsoku/>
              <w:wordWrap/>
              <w:overflowPunct/>
              <w:topLinePunct w:val="0"/>
              <w:bidi w:val="0"/>
              <w:adjustRightInd w:val="0"/>
              <w:spacing w:line="240" w:lineRule="auto"/>
              <w:ind w:firstLine="480" w:firstLineChars="200"/>
              <w:textAlignment w:val="auto"/>
              <w:rPr>
                <w:rFonts w:hint="eastAsia" w:ascii="仿宋" w:hAnsi="仿宋" w:eastAsia="仿宋" w:cs="仿宋"/>
                <w:strike/>
                <w:sz w:val="24"/>
                <w:szCs w:val="24"/>
                <w:highlight w:val="none"/>
                <w:lang w:val="zh-CN"/>
              </w:rPr>
            </w:pPr>
            <w:r>
              <w:rPr>
                <w:rFonts w:hint="eastAsia" w:ascii="仿宋" w:hAnsi="仿宋" w:eastAsia="仿宋" w:cs="仿宋"/>
                <w:sz w:val="24"/>
                <w:szCs w:val="24"/>
                <w:highlight w:val="none"/>
                <w:lang w:val="zh-CN"/>
              </w:rPr>
              <w:t>有关本项目实施所需的所有费用（含税费、含施工配合费用）均计入报价。</w:t>
            </w:r>
            <w:r>
              <w:rPr>
                <w:rFonts w:hint="eastAsia" w:ascii="仿宋" w:hAnsi="仿宋" w:eastAsia="仿宋" w:cs="仿宋"/>
                <w:sz w:val="24"/>
                <w:szCs w:val="24"/>
                <w:highlight w:val="none"/>
              </w:rPr>
              <w:t>交易一览表（报价表）是报价的唯一载体</w:t>
            </w:r>
            <w:r>
              <w:rPr>
                <w:rFonts w:hint="eastAsia" w:ascii="仿宋" w:hAnsi="仿宋" w:eastAsia="仿宋" w:cs="仿宋"/>
                <w:sz w:val="24"/>
                <w:szCs w:val="24"/>
                <w:highlight w:val="none"/>
                <w:lang w:val="zh-CN"/>
              </w:rPr>
              <w:t>。响应文件中价格全部采用人民币报价。交易文件未列明，而供应商认为必需的费用也需列入报价。</w:t>
            </w:r>
          </w:p>
          <w:p w14:paraId="54BFE465">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响应报价出现下列情形的，交易无效：</w:t>
            </w:r>
          </w:p>
          <w:p w14:paraId="67289558">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响应文件出现不是唯一的、有选择性响应报价（</w:t>
            </w:r>
            <w:r>
              <w:rPr>
                <w:rFonts w:hint="eastAsia" w:ascii="仿宋" w:hAnsi="仿宋" w:eastAsia="仿宋" w:cs="仿宋"/>
                <w:sz w:val="24"/>
                <w:szCs w:val="24"/>
                <w:highlight w:val="none"/>
              </w:rPr>
              <w:t>或不含税的响应报价或价税合计的报价</w:t>
            </w:r>
            <w:r>
              <w:rPr>
                <w:rFonts w:hint="eastAsia" w:ascii="仿宋" w:hAnsi="仿宋" w:eastAsia="仿宋" w:cs="仿宋"/>
                <w:sz w:val="24"/>
                <w:szCs w:val="24"/>
                <w:highlight w:val="none"/>
                <w:lang w:val="zh-CN"/>
              </w:rPr>
              <w:t>）的。</w:t>
            </w:r>
          </w:p>
          <w:p w14:paraId="7381321F">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价税合计报价</w:t>
            </w:r>
            <w:r>
              <w:rPr>
                <w:rFonts w:hint="eastAsia" w:ascii="仿宋" w:hAnsi="仿宋" w:eastAsia="仿宋" w:cs="仿宋"/>
                <w:sz w:val="24"/>
                <w:szCs w:val="24"/>
                <w:highlight w:val="none"/>
                <w:lang w:val="zh-CN"/>
              </w:rPr>
              <w:t>超过交易文件中规定的预算金额或者最高限价的；</w:t>
            </w:r>
          </w:p>
          <w:p w14:paraId="718990E0">
            <w:pPr>
              <w:keepNext w:val="0"/>
              <w:keepLines w:val="0"/>
              <w:pageBreakBefore w:val="0"/>
              <w:kinsoku/>
              <w:wordWrap/>
              <w:overflowPunct/>
              <w:topLinePunct w:val="0"/>
              <w:bidi w:val="0"/>
              <w:adjustRightInd w:val="0"/>
              <w:spacing w:line="24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报价明显低于其他通过符合性审查供应商的报价，有可能影响产品质量或者不能诚信履约的，未能按要求提供书面说明或者提交相关证明材料证明其报价合理性的；</w:t>
            </w:r>
          </w:p>
          <w:p w14:paraId="3F2DA456">
            <w:pPr>
              <w:keepNext w:val="0"/>
              <w:keepLines w:val="0"/>
              <w:pageBreakBefore w:val="0"/>
              <w:kinsoku/>
              <w:wordWrap/>
              <w:overflowPunct/>
              <w:topLinePunct w:val="0"/>
              <w:bidi w:val="0"/>
              <w:adjustRightInd w:val="0"/>
              <w:spacing w:line="24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供应商对根据修正原则修正后的报价不确认的。</w:t>
            </w:r>
          </w:p>
        </w:tc>
      </w:tr>
      <w:tr w14:paraId="41B5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trPr>
        <w:tc>
          <w:tcPr>
            <w:tcW w:w="629" w:type="dxa"/>
            <w:noWrap w:val="0"/>
            <w:vAlign w:val="center"/>
          </w:tcPr>
          <w:p w14:paraId="4C8883A5">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843" w:type="dxa"/>
            <w:noWrap w:val="0"/>
            <w:vAlign w:val="center"/>
          </w:tcPr>
          <w:p w14:paraId="06C542BE">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备份响应文件</w:t>
            </w:r>
          </w:p>
        </w:tc>
        <w:tc>
          <w:tcPr>
            <w:tcW w:w="6095" w:type="dxa"/>
            <w:noWrap w:val="0"/>
            <w:vAlign w:val="center"/>
          </w:tcPr>
          <w:p w14:paraId="1212CD4E">
            <w:pPr>
              <w:pStyle w:val="32"/>
              <w:keepNext w:val="0"/>
              <w:keepLines w:val="0"/>
              <w:pageBreakBefore w:val="0"/>
              <w:kinsoku/>
              <w:wordWrap/>
              <w:overflowPunct/>
              <w:topLinePunct w:val="0"/>
              <w:bidi w:val="0"/>
              <w:adjustRightInd w:val="0"/>
              <w:spacing w:line="240" w:lineRule="auto"/>
              <w:ind w:hanging="4"/>
              <w:textAlignment w:val="auto"/>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备份文件是否收取：不收取</w:t>
            </w:r>
          </w:p>
        </w:tc>
      </w:tr>
      <w:tr w14:paraId="37B6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2" w:hRule="atLeast"/>
          <w:tblHeader/>
        </w:trPr>
        <w:tc>
          <w:tcPr>
            <w:tcW w:w="629" w:type="dxa"/>
            <w:noWrap w:val="0"/>
            <w:vAlign w:val="center"/>
          </w:tcPr>
          <w:p w14:paraId="38ACF06D">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843" w:type="dxa"/>
            <w:noWrap w:val="0"/>
            <w:vAlign w:val="center"/>
          </w:tcPr>
          <w:p w14:paraId="51E23E6D">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采购机构代理费用</w:t>
            </w:r>
          </w:p>
        </w:tc>
        <w:tc>
          <w:tcPr>
            <w:tcW w:w="6095" w:type="dxa"/>
            <w:noWrap w:val="0"/>
            <w:vAlign w:val="center"/>
          </w:tcPr>
          <w:p w14:paraId="4E9E2817">
            <w:pPr>
              <w:pStyle w:val="32"/>
              <w:keepNext w:val="0"/>
              <w:keepLines w:val="0"/>
              <w:pageBreakBefore w:val="0"/>
              <w:kinsoku/>
              <w:wordWrap/>
              <w:overflowPunct/>
              <w:topLinePunct w:val="0"/>
              <w:bidi w:val="0"/>
              <w:adjustRightInd w:val="0"/>
              <w:spacing w:line="240" w:lineRule="auto"/>
              <w:ind w:hanging="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项目采购代理费由采购人支付。</w:t>
            </w:r>
          </w:p>
        </w:tc>
      </w:tr>
      <w:tr w14:paraId="47D4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7" w:hRule="atLeast"/>
          <w:tblHeader/>
        </w:trPr>
        <w:tc>
          <w:tcPr>
            <w:tcW w:w="629" w:type="dxa"/>
            <w:noWrap w:val="0"/>
            <w:vAlign w:val="center"/>
          </w:tcPr>
          <w:p w14:paraId="124EC7DD">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Cs/>
                <w:sz w:val="24"/>
                <w:szCs w:val="24"/>
                <w:highlight w:val="none"/>
              </w:rPr>
              <w:t>11</w:t>
            </w:r>
          </w:p>
        </w:tc>
        <w:tc>
          <w:tcPr>
            <w:tcW w:w="1843" w:type="dxa"/>
            <w:noWrap w:val="0"/>
            <w:vAlign w:val="center"/>
          </w:tcPr>
          <w:p w14:paraId="1731D7A9">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p>
          <w:p w14:paraId="0728BBA9">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履约保证金及质量保证金</w:t>
            </w:r>
          </w:p>
        </w:tc>
        <w:tc>
          <w:tcPr>
            <w:tcW w:w="6095" w:type="dxa"/>
            <w:noWrap w:val="0"/>
            <w:vAlign w:val="center"/>
          </w:tcPr>
          <w:p w14:paraId="76E90732">
            <w:pPr>
              <w:pStyle w:val="32"/>
              <w:keepNext w:val="0"/>
              <w:keepLines w:val="0"/>
              <w:pageBreakBefore w:val="0"/>
              <w:kinsoku/>
              <w:wordWrap/>
              <w:overflowPunct/>
              <w:topLinePunct w:val="0"/>
              <w:bidi w:val="0"/>
              <w:adjustRightInd w:val="0"/>
              <w:spacing w:line="240" w:lineRule="auto"/>
              <w:ind w:hanging="4"/>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履约保证金：成交金额的1%，合同签订后支付，履约完成后无息退还。</w:t>
            </w:r>
          </w:p>
          <w:p w14:paraId="179073FE">
            <w:pPr>
              <w:pStyle w:val="15"/>
              <w:keepNext w:val="0"/>
              <w:keepLines w:val="0"/>
              <w:pageBreakBefore w:val="0"/>
              <w:kinsoku/>
              <w:wordWrap/>
              <w:overflowPunct/>
              <w:topLinePunct w:val="0"/>
              <w:bidi w:val="0"/>
              <w:adjustRightInd w:val="0"/>
              <w:spacing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供应商应当银行、保险公司出具的保函等非现金形式提交。</w:t>
            </w:r>
          </w:p>
        </w:tc>
      </w:tr>
      <w:tr w14:paraId="0361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tblHeader/>
        </w:trPr>
        <w:tc>
          <w:tcPr>
            <w:tcW w:w="629" w:type="dxa"/>
            <w:noWrap w:val="0"/>
            <w:vAlign w:val="center"/>
          </w:tcPr>
          <w:p w14:paraId="36B0D9BF">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1843" w:type="dxa"/>
            <w:noWrap w:val="0"/>
            <w:vAlign w:val="center"/>
          </w:tcPr>
          <w:p w14:paraId="64AF9590">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资格审查</w:t>
            </w:r>
          </w:p>
        </w:tc>
        <w:tc>
          <w:tcPr>
            <w:tcW w:w="6095" w:type="dxa"/>
            <w:noWrap w:val="0"/>
            <w:vAlign w:val="center"/>
          </w:tcPr>
          <w:p w14:paraId="72542A74">
            <w:pPr>
              <w:pStyle w:val="32"/>
              <w:keepNext w:val="0"/>
              <w:keepLines w:val="0"/>
              <w:pageBreakBefore w:val="0"/>
              <w:kinsoku/>
              <w:wordWrap/>
              <w:overflowPunct/>
              <w:topLinePunct w:val="0"/>
              <w:bidi w:val="0"/>
              <w:adjustRightInd w:val="0"/>
              <w:spacing w:line="240" w:lineRule="auto"/>
              <w:ind w:hanging="4"/>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本项目由采购人进行资格文件。</w:t>
            </w:r>
          </w:p>
        </w:tc>
      </w:tr>
      <w:tr w14:paraId="457B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5" w:hRule="atLeast"/>
          <w:tblHeader/>
        </w:trPr>
        <w:tc>
          <w:tcPr>
            <w:tcW w:w="629" w:type="dxa"/>
            <w:noWrap w:val="0"/>
            <w:vAlign w:val="center"/>
          </w:tcPr>
          <w:p w14:paraId="344A7CBC">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1843" w:type="dxa"/>
            <w:noWrap w:val="0"/>
            <w:vAlign w:val="center"/>
          </w:tcPr>
          <w:p w14:paraId="04F7C71E">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质疑接收人及答复</w:t>
            </w:r>
          </w:p>
        </w:tc>
        <w:tc>
          <w:tcPr>
            <w:tcW w:w="6095" w:type="dxa"/>
            <w:noWrap w:val="0"/>
            <w:vAlign w:val="center"/>
          </w:tcPr>
          <w:p w14:paraId="250A549B">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采购机构质疑接收人：</w:t>
            </w:r>
            <w:r>
              <w:rPr>
                <w:rFonts w:hint="eastAsia" w:ascii="仿宋" w:hAnsi="仿宋" w:eastAsia="仿宋" w:cs="仿宋"/>
                <w:sz w:val="24"/>
                <w:szCs w:val="24"/>
                <w:highlight w:val="none"/>
                <w:u w:val="single"/>
                <w:lang w:eastAsia="zh-CN"/>
              </w:rPr>
              <w:t>周立军</w:t>
            </w:r>
          </w:p>
          <w:p w14:paraId="1E8FF77A">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lang w:val="en-US" w:eastAsia="zh-CN"/>
              </w:rPr>
              <w:t>19906716509</w:t>
            </w:r>
          </w:p>
          <w:p w14:paraId="1EE624C4">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lang w:val="en-US" w:eastAsia="zh-CN"/>
              </w:rPr>
              <w:t>萧山区民营企业发展大厦A座12楼</w:t>
            </w:r>
          </w:p>
          <w:p w14:paraId="5F4AAF8B">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邮箱：</w:t>
            </w:r>
            <w:r>
              <w:rPr>
                <w:rFonts w:hint="eastAsia" w:ascii="仿宋" w:hAnsi="仿宋" w:eastAsia="仿宋" w:cs="仿宋"/>
                <w:sz w:val="24"/>
                <w:szCs w:val="24"/>
                <w:highlight w:val="none"/>
                <w:u w:val="single"/>
                <w:lang w:val="en-US" w:eastAsia="zh-CN"/>
              </w:rPr>
              <w:t>384231257</w:t>
            </w:r>
            <w:r>
              <w:rPr>
                <w:rFonts w:hint="eastAsia" w:ascii="仿宋" w:hAnsi="仿宋" w:eastAsia="仿宋" w:cs="仿宋"/>
                <w:sz w:val="24"/>
                <w:szCs w:val="24"/>
                <w:highlight w:val="none"/>
                <w:u w:val="single"/>
              </w:rPr>
              <w:t xml:space="preserve"> @qq.com</w:t>
            </w:r>
          </w:p>
          <w:p w14:paraId="63E225CC">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如通过邮箱方式发送质疑，须提交符合法规及交易文件要求的质疑文件（参考附件2），盖章扫描后发送，质疑的受理按答复主体划分以采购人或采购机构邮箱回复确认受理为准。</w:t>
            </w:r>
          </w:p>
          <w:p w14:paraId="54F6D267">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本项目涉及资格条件、采购需求、评分办法及采购过程中有关现场考察或交易前答疑会事项由采购人进行答复。</w:t>
            </w:r>
          </w:p>
          <w:p w14:paraId="63B7BA8E">
            <w:pPr>
              <w:pStyle w:val="32"/>
              <w:keepNext w:val="0"/>
              <w:keepLines w:val="0"/>
              <w:pageBreakBefore w:val="0"/>
              <w:kinsoku/>
              <w:wordWrap/>
              <w:overflowPunct/>
              <w:topLinePunct w:val="0"/>
              <w:bidi w:val="0"/>
              <w:adjustRightInd w:val="0"/>
              <w:spacing w:line="240" w:lineRule="auto"/>
              <w:ind w:hanging="4"/>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涉及流程组织等相关事项，由采购机构进行答复。</w:t>
            </w:r>
          </w:p>
        </w:tc>
      </w:tr>
      <w:tr w14:paraId="62E5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blHeader/>
        </w:trPr>
        <w:tc>
          <w:tcPr>
            <w:tcW w:w="629" w:type="dxa"/>
            <w:noWrap w:val="0"/>
            <w:vAlign w:val="center"/>
          </w:tcPr>
          <w:p w14:paraId="28B16404">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w:t>
            </w:r>
          </w:p>
        </w:tc>
        <w:tc>
          <w:tcPr>
            <w:tcW w:w="1843" w:type="dxa"/>
            <w:noWrap w:val="0"/>
            <w:vAlign w:val="center"/>
          </w:tcPr>
          <w:p w14:paraId="057D8744">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特别说明</w:t>
            </w:r>
          </w:p>
        </w:tc>
        <w:tc>
          <w:tcPr>
            <w:tcW w:w="6095" w:type="dxa"/>
            <w:noWrap w:val="0"/>
            <w:vAlign w:val="center"/>
          </w:tcPr>
          <w:p w14:paraId="2FC29E70">
            <w:pPr>
              <w:keepNext w:val="0"/>
              <w:keepLines w:val="0"/>
              <w:pageBreakBefore w:val="0"/>
              <w:kinsoku/>
              <w:wordWrap/>
              <w:overflowPunct/>
              <w:topLinePunct w:val="0"/>
              <w:bidi w:val="0"/>
              <w:adjustRightInd w:val="0"/>
              <w:spacing w:line="240" w:lineRule="auto"/>
              <w:textAlignment w:val="auto"/>
              <w:rPr>
                <w:rFonts w:hint="eastAsia" w:ascii="仿宋" w:hAnsi="仿宋" w:eastAsia="仿宋" w:cs="仿宋"/>
                <w:snapToGrid w:val="0"/>
                <w:kern w:val="28"/>
                <w:sz w:val="24"/>
                <w:szCs w:val="24"/>
                <w:highlight w:val="none"/>
              </w:rPr>
            </w:pPr>
            <w:r>
              <w:rPr>
                <w:rFonts w:hint="eastAsia" w:ascii="仿宋" w:hAnsi="仿宋" w:eastAsia="仿宋" w:cs="仿宋"/>
                <w:b/>
                <w:sz w:val="24"/>
                <w:szCs w:val="24"/>
                <w:highlight w:val="none"/>
              </w:rPr>
              <w:t>本项目通用总则条款与前附表等专用特别规定有冲突之处，以专用条款（特别规定）为准</w:t>
            </w:r>
          </w:p>
        </w:tc>
      </w:tr>
    </w:tbl>
    <w:p w14:paraId="216479B2">
      <w:pPr>
        <w:snapToGrid w:val="0"/>
        <w:spacing w:line="360" w:lineRule="auto"/>
        <w:jc w:val="center"/>
        <w:rPr>
          <w:rFonts w:hint="eastAsia" w:ascii="仿宋" w:hAnsi="仿宋" w:eastAsia="仿宋" w:cs="仿宋"/>
          <w:b/>
          <w:sz w:val="32"/>
          <w:szCs w:val="20"/>
          <w:highlight w:val="none"/>
        </w:rPr>
      </w:pPr>
    </w:p>
    <w:bookmarkEnd w:id="10"/>
    <w:p w14:paraId="111C1768">
      <w:pPr>
        <w:rPr>
          <w:rFonts w:hint="eastAsia" w:ascii="仿宋" w:hAnsi="仿宋" w:eastAsia="仿宋" w:cs="仿宋"/>
          <w:b/>
          <w:sz w:val="32"/>
          <w:szCs w:val="20"/>
          <w:highlight w:val="none"/>
        </w:rPr>
      </w:pPr>
      <w:bookmarkStart w:id="13" w:name="_Toc164416483"/>
      <w:bookmarkStart w:id="14" w:name="第三部分"/>
      <w:r>
        <w:rPr>
          <w:rFonts w:hint="eastAsia" w:ascii="仿宋" w:hAnsi="仿宋" w:eastAsia="仿宋" w:cs="仿宋"/>
          <w:b/>
          <w:sz w:val="32"/>
          <w:szCs w:val="20"/>
          <w:highlight w:val="none"/>
        </w:rPr>
        <w:br w:type="page"/>
      </w:r>
    </w:p>
    <w:p w14:paraId="286CF351">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14:paraId="411D4C36">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14:paraId="260A160A">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本交易文件适用于该项目的交易、资格审查及信用信息查询、评审、定标、合同、验收等行为（法律、法规另有规定的，从其规定）。</w:t>
      </w:r>
    </w:p>
    <w:p w14:paraId="7E9C789F">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14:paraId="23690C3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“采购人”系指交易公告中载明的本项目的采购人。</w:t>
      </w:r>
    </w:p>
    <w:p w14:paraId="49E5432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“采购机构”系指交易公告中载明的本项目的采购机构。</w:t>
      </w:r>
    </w:p>
    <w:p w14:paraId="3E3F0E9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“供应商”系指是指响应交易、参加交易竞争的法人、其他组织或者自然人。</w:t>
      </w:r>
    </w:p>
    <w:p w14:paraId="1DBF1D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1E9C7A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099A07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2.6“电子交易平台”是指本项目采购活动所依托的采购云平台（www.lecaiyun.com）。</w:t>
      </w:r>
    </w:p>
    <w:p w14:paraId="1B4DCF3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r>
        <w:rPr>
          <w:rFonts w:hint="eastAsia" w:ascii="仿宋" w:hAnsi="仿宋" w:eastAsia="仿宋" w:cs="仿宋"/>
          <w:bCs/>
          <w:sz w:val="24"/>
          <w:highlight w:val="none"/>
        </w:rPr>
        <w:t>√</w:t>
      </w:r>
      <w:r>
        <w:rPr>
          <w:rFonts w:hint="eastAsia" w:ascii="仿宋" w:hAnsi="仿宋" w:eastAsia="仿宋" w:cs="仿宋"/>
          <w:sz w:val="24"/>
          <w:highlight w:val="none"/>
        </w:rPr>
        <w:t>）” 系指适用本项目的要求，“（  ）”系指不适用本项目的要求。</w:t>
      </w:r>
    </w:p>
    <w:p w14:paraId="1A49F8B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 询问、质疑、投诉</w:t>
      </w:r>
    </w:p>
    <w:p w14:paraId="1B4C3F82">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.1供应商询问</w:t>
      </w:r>
    </w:p>
    <w:p w14:paraId="49894A2B">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48E490FA">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3.2供应商质疑</w:t>
      </w:r>
    </w:p>
    <w:p w14:paraId="65F64FF0">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3.2</w:t>
      </w:r>
      <w:r>
        <w:rPr>
          <w:rFonts w:hint="eastAsia" w:ascii="仿宋" w:hAnsi="仿宋" w:eastAsia="仿宋" w:cs="仿宋"/>
          <w:sz w:val="24"/>
          <w:highlight w:val="none"/>
        </w:rPr>
        <w:t>.1提出质疑的供应商应当是参与所质疑项目采购活动的供应商。潜在供应商已依法获取其可质疑的交易文件的，可以对该文件提出质疑。</w:t>
      </w:r>
    </w:p>
    <w:p w14:paraId="1AACD25C">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3.2</w:t>
      </w:r>
      <w:r>
        <w:rPr>
          <w:rFonts w:hint="eastAsia" w:ascii="仿宋" w:hAnsi="仿宋" w:eastAsia="仿宋" w:cs="仿宋"/>
          <w:sz w:val="24"/>
          <w:highlight w:val="none"/>
        </w:rPr>
        <w:t>.2供应商认为交易文件、采购过程和成交结果使自己的权益受到损害的，可以在知道或者应知其权益受到损害之日起 3日内，以书面形式向采购人或者采购机构提出质疑，否则，采购人或者采购机构不予受理：</w:t>
      </w:r>
    </w:p>
    <w:p w14:paraId="63935F4A">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3.2.2.1对交易文件提出质疑的，质疑期限为供应商获得交易文件之日或者交易文件公告期限届满之日起计算。</w:t>
      </w:r>
    </w:p>
    <w:p w14:paraId="73C7F423">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3.2.2.2对采购过程提出质疑的，质疑期限为各采购程序环节结束之日起计算。对同一采购程序环节的质疑，供应商须一次性提出。</w:t>
      </w:r>
    </w:p>
    <w:p w14:paraId="0201BAE4">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3.2.2.3对采购结果提出质疑的，质疑期限自采购结果公告期限届满之日起计算。</w:t>
      </w:r>
    </w:p>
    <w:p w14:paraId="38081612">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3.2.3</w:t>
      </w:r>
      <w:r>
        <w:rPr>
          <w:rFonts w:hint="eastAsia" w:ascii="仿宋" w:hAnsi="仿宋" w:eastAsia="仿宋" w:cs="仿宋"/>
          <w:sz w:val="24"/>
          <w:highlight w:val="none"/>
        </w:rPr>
        <w:t>供应商提出质疑应当提交质疑函和必要的证明材料。质疑函应当包括下列内容：</w:t>
      </w:r>
    </w:p>
    <w:p w14:paraId="73FC30ED">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3.2.3.1供应商的姓名或者名称、地址、邮编、联系人及联系电话；</w:t>
      </w:r>
    </w:p>
    <w:p w14:paraId="1522646B">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3.2.3.2质疑项目的名称、编号；</w:t>
      </w:r>
    </w:p>
    <w:p w14:paraId="7717B16D">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3.2.3.3具体、明确的质疑事项和与质疑事项相关的请求；</w:t>
      </w:r>
    </w:p>
    <w:p w14:paraId="201E66B3">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3.2.3.4事实依据；</w:t>
      </w:r>
    </w:p>
    <w:p w14:paraId="6364E31E">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3.2.3.5必要的法律依据；</w:t>
      </w:r>
    </w:p>
    <w:p w14:paraId="1C53648F">
      <w:pPr>
        <w:pStyle w:val="3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3.2.3.6提出质疑的日期。</w:t>
      </w:r>
    </w:p>
    <w:p w14:paraId="50AAC545">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5F169928">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691F46CC">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3.2</w:t>
      </w:r>
      <w:r>
        <w:rPr>
          <w:rFonts w:hint="eastAsia" w:ascii="仿宋" w:hAnsi="仿宋" w:eastAsia="仿宋" w:cs="仿宋"/>
          <w:highlight w:val="none"/>
        </w:rPr>
        <w:t>.4采购人或者采购机构应当在收到供应商的书面质疑后3日内作出答复，并以书面形式通知质疑供应商和其他与质疑处理结果有利害关系的采购当事人，但答复的内 容不得涉及商业秘密。</w:t>
      </w:r>
    </w:p>
    <w:p w14:paraId="62003E43">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3.2</w:t>
      </w:r>
      <w:r>
        <w:rPr>
          <w:rFonts w:hint="eastAsia" w:ascii="仿宋" w:hAnsi="仿宋" w:eastAsia="仿宋" w:cs="仿宋"/>
          <w:highlight w:val="none"/>
        </w:rPr>
        <w:t>.5询问或者质疑事项可能影响采购结果的，采购人应当暂停签订合同，已经签订合同的，应当中止履行合同。</w:t>
      </w:r>
    </w:p>
    <w:p w14:paraId="2B262070">
      <w:pPr>
        <w:pStyle w:val="889"/>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3.3供应商投诉</w:t>
      </w:r>
    </w:p>
    <w:p w14:paraId="505F39CB">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3.3.1质疑供应商对采购人、采购机构的答复不满意或者采购人、采购机构未在规定的时间内作出答复的，可以在答复期满后十五个工作日内向同级采购监督管理部门提出投诉。</w:t>
      </w:r>
    </w:p>
    <w:p w14:paraId="0BE88C2F">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3.3.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7DC5E0AC">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3.3.3供应商投诉应当有明确的请求和必要的证明材料。</w:t>
      </w:r>
    </w:p>
    <w:p w14:paraId="37F617DB">
      <w:pPr>
        <w:pStyle w:val="131"/>
        <w:snapToGrid w:val="0"/>
        <w:spacing w:before="0"/>
        <w:ind w:firstLine="360"/>
        <w:rPr>
          <w:rFonts w:hint="eastAsia" w:ascii="仿宋" w:hAnsi="仿宋" w:eastAsia="仿宋" w:cs="仿宋"/>
          <w:sz w:val="18"/>
          <w:szCs w:val="18"/>
          <w:highlight w:val="none"/>
        </w:rPr>
      </w:pPr>
    </w:p>
    <w:p w14:paraId="18C7009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二、交易文件的构成、澄清、修改</w:t>
      </w:r>
    </w:p>
    <w:p w14:paraId="676A15D2">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4．交易文件的构成</w:t>
      </w:r>
    </w:p>
    <w:p w14:paraId="53C675EF">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4.1交易文件包括下列文件及附件：</w:t>
      </w:r>
    </w:p>
    <w:p w14:paraId="6BF70DB9">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4.1.1交易公告；</w:t>
      </w:r>
    </w:p>
    <w:p w14:paraId="0A7D390B">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4.1.2供应商须知；</w:t>
      </w:r>
    </w:p>
    <w:p w14:paraId="5AE2B25A">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4.1.3采购需求；</w:t>
      </w:r>
    </w:p>
    <w:p w14:paraId="29510A1A">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4.1.4评标办法；</w:t>
      </w:r>
    </w:p>
    <w:p w14:paraId="4478EFFF">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4.1.5拟签订的合同文本；</w:t>
      </w:r>
    </w:p>
    <w:p w14:paraId="6DE13180">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4.1.6</w:t>
      </w:r>
      <w:r>
        <w:rPr>
          <w:rFonts w:hint="eastAsia" w:ascii="仿宋" w:hAnsi="仿宋" w:eastAsia="仿宋" w:cs="仿宋"/>
          <w:sz w:val="24"/>
          <w:szCs w:val="24"/>
          <w:highlight w:val="none"/>
        </w:rPr>
        <w:t>应提交的有关格式范例。</w:t>
      </w:r>
    </w:p>
    <w:p w14:paraId="4086D1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4.2与本项目有关的</w:t>
      </w:r>
      <w:r>
        <w:rPr>
          <w:rFonts w:hint="eastAsia" w:ascii="仿宋" w:hAnsi="仿宋" w:eastAsia="仿宋" w:cs="仿宋"/>
          <w:bCs/>
          <w:sz w:val="24"/>
          <w:highlight w:val="none"/>
        </w:rPr>
        <w:t>澄清或者修改的内容为交易文件的组成部分</w:t>
      </w:r>
      <w:r>
        <w:rPr>
          <w:rFonts w:hint="eastAsia" w:ascii="仿宋" w:hAnsi="仿宋" w:eastAsia="仿宋" w:cs="仿宋"/>
          <w:sz w:val="24"/>
          <w:highlight w:val="none"/>
        </w:rPr>
        <w:t>。</w:t>
      </w:r>
    </w:p>
    <w:p w14:paraId="5CE1E7D3">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5.交易文件的澄清、修改</w:t>
      </w:r>
    </w:p>
    <w:p w14:paraId="6CA820DF">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5.1已获取交易文件的潜在供应商，若有问题需要澄清，应于交易截止时间前，以书面形式向采购机构提出。</w:t>
      </w:r>
    </w:p>
    <w:p w14:paraId="4407A26E">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4BB6A4C2">
      <w:pPr>
        <w:pStyle w:val="23"/>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17EDD743">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三、交易</w:t>
      </w:r>
    </w:p>
    <w:p w14:paraId="14ECF38F">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6.交易文件的获取</w:t>
      </w:r>
    </w:p>
    <w:p w14:paraId="0080EF40">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详见交易公告中获取交易文件的时间期限、地点、方式及交易文件售价。</w:t>
      </w:r>
    </w:p>
    <w:p w14:paraId="4890A9C1">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7.交易前答疑会或现场考察</w:t>
      </w:r>
    </w:p>
    <w:p w14:paraId="3F0460E1">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采购人组织潜在供应商现场考察或者召开交易前答疑会的，潜在供应商按第二部分供应商须知前附表的规定参加现场考察或者交易前答疑会。</w:t>
      </w:r>
    </w:p>
    <w:p w14:paraId="2CD3F63B">
      <w:pPr>
        <w:pStyle w:val="32"/>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8.交易保证金:</w:t>
      </w:r>
    </w:p>
    <w:p w14:paraId="31EA71F5">
      <w:pPr>
        <w:spacing w:line="360" w:lineRule="auto"/>
        <w:ind w:left="481" w:leftChars="229" w:firstLine="60" w:firstLineChars="25"/>
        <w:rPr>
          <w:rFonts w:hint="eastAsia" w:ascii="仿宋" w:hAnsi="仿宋" w:eastAsia="仿宋" w:cs="仿宋"/>
          <w:b/>
          <w:bCs/>
          <w:sz w:val="24"/>
          <w:highlight w:val="none"/>
        </w:rPr>
      </w:pPr>
      <w:r>
        <w:rPr>
          <w:rFonts w:hint="eastAsia" w:ascii="仿宋" w:hAnsi="仿宋" w:eastAsia="仿宋" w:cs="仿宋"/>
          <w:b/>
          <w:bCs/>
          <w:snapToGrid w:val="0"/>
          <w:sz w:val="24"/>
          <w:highlight w:val="none"/>
        </w:rPr>
        <w:t>本项目交易保证金</w:t>
      </w:r>
      <w:bookmarkStart w:id="15" w:name="_Hlk520233919"/>
      <w:r>
        <w:rPr>
          <w:rFonts w:hint="eastAsia" w:ascii="仿宋" w:hAnsi="仿宋" w:eastAsia="仿宋" w:cs="仿宋"/>
          <w:b/>
          <w:bCs/>
          <w:snapToGrid w:val="0"/>
          <w:sz w:val="24"/>
          <w:highlight w:val="none"/>
        </w:rPr>
        <w:t>不收取。</w:t>
      </w:r>
    </w:p>
    <w:bookmarkEnd w:id="15"/>
    <w:p w14:paraId="67E84B7C">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9. 响应文件的语言</w:t>
      </w:r>
    </w:p>
    <w:p w14:paraId="7E52145F">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响应文件及供应商与采购有关的来往通知、函件和文件均应使用中文。</w:t>
      </w:r>
    </w:p>
    <w:p w14:paraId="40BFBB60">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响应文件的组成</w:t>
      </w:r>
    </w:p>
    <w:p w14:paraId="52A639A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294BD275">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10.1.1符合参加采购活动应当具备的一般条件的承诺函；</w:t>
      </w:r>
    </w:p>
    <w:p w14:paraId="750EBCD0">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10.1.2本项目的特定资格要求。</w:t>
      </w:r>
    </w:p>
    <w:p w14:paraId="12294EB6">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10.1.3营业执照或事业法人登记证证明材料（复印件）</w:t>
      </w:r>
    </w:p>
    <w:p w14:paraId="47E8E5F5">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10.1.4具有履行合同所必需的设备和专业技术能力的承诺函</w:t>
      </w:r>
    </w:p>
    <w:p w14:paraId="28A574BB">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10.1.5参加政府采购活动前三年内，在经营活动中没有重大违法记录的声明</w:t>
      </w:r>
    </w:p>
    <w:p w14:paraId="463B6A1C">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10.1.6 具有良好商业信誉特别声明</w:t>
      </w:r>
    </w:p>
    <w:p w14:paraId="1BC97EF2">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10.1.7 信用中国、中国政府采购网查询结果</w:t>
      </w:r>
    </w:p>
    <w:p w14:paraId="3A8045D7">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10.</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65F29A9">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10.2.1响应函；</w:t>
      </w:r>
      <w:r>
        <w:rPr>
          <w:rFonts w:hint="eastAsia" w:ascii="仿宋" w:hAnsi="仿宋" w:eastAsia="仿宋" w:cs="仿宋"/>
          <w:sz w:val="24"/>
          <w:highlight w:val="none"/>
          <w:lang w:val="zh-CN"/>
        </w:rPr>
        <w:t xml:space="preserve"> </w:t>
      </w:r>
    </w:p>
    <w:p w14:paraId="1D9A6DB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10.2.2授权委托书或法定代表人（单位负责人、自然人本人）身份证明；</w:t>
      </w:r>
    </w:p>
    <w:p w14:paraId="7E28CBE1">
      <w:pPr>
        <w:snapToGrid w:val="0"/>
        <w:spacing w:line="360" w:lineRule="auto"/>
        <w:ind w:firstLine="960" w:firstLineChars="400"/>
        <w:rPr>
          <w:rFonts w:hint="eastAsia" w:ascii="仿宋" w:hAnsi="仿宋" w:eastAsia="仿宋" w:cs="仿宋"/>
          <w:highlight w:val="none"/>
        </w:rPr>
      </w:pPr>
      <w:r>
        <w:rPr>
          <w:rFonts w:hint="eastAsia" w:ascii="仿宋" w:hAnsi="仿宋" w:eastAsia="仿宋" w:cs="仿宋"/>
          <w:sz w:val="24"/>
          <w:highlight w:val="none"/>
        </w:rPr>
        <w:t>10.2.3符合性审查资料；</w:t>
      </w:r>
    </w:p>
    <w:p w14:paraId="67F9C538">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10.2.4交易标的清单；</w:t>
      </w:r>
    </w:p>
    <w:p w14:paraId="625F76B8">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10.2.5</w:t>
      </w:r>
      <w:r>
        <w:rPr>
          <w:rFonts w:hint="eastAsia" w:ascii="仿宋" w:hAnsi="仿宋" w:eastAsia="仿宋" w:cs="仿宋"/>
          <w:sz w:val="24"/>
          <w:highlight w:val="none"/>
          <w:lang w:val="zh-CN"/>
        </w:rPr>
        <w:t>采购供应商廉洁自律承诺书</w:t>
      </w:r>
      <w:r>
        <w:rPr>
          <w:rFonts w:hint="eastAsia" w:ascii="仿宋" w:hAnsi="仿宋" w:eastAsia="仿宋" w:cs="仿宋"/>
          <w:sz w:val="24"/>
          <w:highlight w:val="none"/>
        </w:rPr>
        <w:t>；</w:t>
      </w:r>
    </w:p>
    <w:p w14:paraId="336308A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10.2.</w:t>
      </w:r>
      <w:r>
        <w:rPr>
          <w:rFonts w:hint="eastAsia" w:ascii="仿宋" w:hAnsi="仿宋" w:eastAsia="仿宋" w:cs="仿宋"/>
          <w:sz w:val="24"/>
          <w:highlight w:val="none"/>
        </w:rPr>
        <w:t xml:space="preserve">6 </w:t>
      </w:r>
      <w:r>
        <w:rPr>
          <w:rFonts w:hint="eastAsia" w:ascii="仿宋" w:hAnsi="仿宋" w:eastAsia="仿宋" w:cs="仿宋"/>
          <w:sz w:val="24"/>
          <w:highlight w:val="none"/>
          <w:lang w:val="zh-CN"/>
        </w:rPr>
        <w:t>供应商需要说明的其它文件和资料。</w:t>
      </w:r>
    </w:p>
    <w:p w14:paraId="6897CFF2">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10.</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F3A27C9">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10.3.1交易一览表（报价表）；</w:t>
      </w:r>
    </w:p>
    <w:p w14:paraId="623A549D">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响应文件含有采购人不能接受的附加条件的，交易无效；</w:t>
      </w:r>
    </w:p>
    <w:p w14:paraId="00C3BF27">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供应商提供虚假材料交易的，交易无效。</w:t>
      </w:r>
    </w:p>
    <w:p w14:paraId="592F3C26">
      <w:pPr>
        <w:pStyle w:val="131"/>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11</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响应文件的编制</w:t>
      </w:r>
    </w:p>
    <w:p w14:paraId="356F1542">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38B9714C">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.2供应商进行电子交易（响应）应安装客户端软件—“</w:t>
      </w:r>
      <w:r>
        <w:rPr>
          <w:rFonts w:hint="eastAsia" w:ascii="仿宋" w:hAnsi="仿宋" w:eastAsia="仿宋" w:cs="仿宋"/>
          <w:kern w:val="0"/>
          <w:sz w:val="24"/>
          <w:highlight w:val="none"/>
          <w:lang w:val="en-US" w:eastAsia="zh-CN"/>
        </w:rPr>
        <w:t>乐</w:t>
      </w:r>
      <w:r>
        <w:rPr>
          <w:rFonts w:hint="eastAsia" w:ascii="仿宋" w:hAnsi="仿宋" w:eastAsia="仿宋" w:cs="仿宋"/>
          <w:kern w:val="0"/>
          <w:sz w:val="24"/>
          <w:highlight w:val="none"/>
          <w:lang w:val="zh-CN"/>
        </w:rPr>
        <w:t>采云电子交易客户端”，并按照交易文件和电子交易平台的要求编制并加密响应文件。供应商未按规定加密的响应文件，电子交易平台将拒收并提示。</w:t>
      </w:r>
    </w:p>
    <w:p w14:paraId="24536C91">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.3使用“</w:t>
      </w:r>
      <w:r>
        <w:rPr>
          <w:rFonts w:hint="eastAsia" w:ascii="仿宋" w:hAnsi="仿宋" w:eastAsia="仿宋" w:cs="仿宋"/>
          <w:kern w:val="0"/>
          <w:sz w:val="24"/>
          <w:highlight w:val="none"/>
          <w:lang w:val="en-US" w:eastAsia="zh-CN"/>
        </w:rPr>
        <w:t>乐</w:t>
      </w:r>
      <w:r>
        <w:rPr>
          <w:rFonts w:hint="eastAsia" w:ascii="仿宋" w:hAnsi="仿宋" w:eastAsia="仿宋" w:cs="仿宋"/>
          <w:kern w:val="0"/>
          <w:sz w:val="24"/>
          <w:highlight w:val="none"/>
          <w:lang w:val="zh-CN"/>
        </w:rPr>
        <w:t>采云电子交易客户端”需要提前申领CA数字证书，申领流程请自行前往“浙江政府采购网-下载专区-电子交易客户端-CA驱动和申领流程”进行查阅。</w:t>
      </w:r>
    </w:p>
    <w:p w14:paraId="4287EACE">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12.响应文件的签署、盖章</w:t>
      </w:r>
    </w:p>
    <w:p w14:paraId="67EF8E44">
      <w:pPr>
        <w:pStyle w:val="131"/>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12.1响应文件按照交易文件第六部分格式要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▲供应商的响应文件未按照交易文件要求签署、盖章的，其交易无效</w:t>
      </w:r>
      <w:r>
        <w:rPr>
          <w:rFonts w:hint="eastAsia" w:ascii="仿宋" w:hAnsi="仿宋" w:eastAsia="仿宋" w:cs="仿宋"/>
          <w:szCs w:val="24"/>
          <w:highlight w:val="none"/>
        </w:rPr>
        <w:t>。</w:t>
      </w:r>
    </w:p>
    <w:p w14:paraId="40085380">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12.2为确保网上操作合法、有效和安全，供应商应当在交易截止时间前完成在“</w:t>
      </w:r>
      <w:r>
        <w:rPr>
          <w:rFonts w:hint="eastAsia" w:ascii="仿宋" w:hAnsi="仿宋" w:eastAsia="仿宋" w:cs="仿宋"/>
          <w:highlight w:val="none"/>
          <w:lang w:val="en-US" w:eastAsia="zh-CN"/>
        </w:rPr>
        <w:t>乐</w:t>
      </w:r>
      <w:r>
        <w:rPr>
          <w:rFonts w:hint="eastAsia" w:ascii="仿宋" w:hAnsi="仿宋" w:eastAsia="仿宋" w:cs="仿宋"/>
          <w:highlight w:val="none"/>
        </w:rPr>
        <w:t>采云平台”的身份认证，确保在电子交易（响应）过程中能够对相关数据电文进行加密和使用电子签名。</w:t>
      </w:r>
    </w:p>
    <w:p w14:paraId="6066FADA">
      <w:pPr>
        <w:pStyle w:val="131"/>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12.3交易文件对响应文件签署、盖章的要求适用于电子签名。</w:t>
      </w:r>
    </w:p>
    <w:p w14:paraId="4654838A">
      <w:pPr>
        <w:pStyle w:val="131"/>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13. 响应文件的提交、补充、修改、撤回</w:t>
      </w:r>
    </w:p>
    <w:p w14:paraId="161BDA3F">
      <w:pPr>
        <w:pStyle w:val="131"/>
        <w:ind w:firstLine="480"/>
        <w:rPr>
          <w:rFonts w:hint="eastAsia" w:ascii="仿宋" w:hAnsi="仿宋" w:eastAsia="仿宋" w:cs="仿宋"/>
          <w:szCs w:val="24"/>
          <w:highlight w:val="none"/>
        </w:rPr>
      </w:pPr>
      <w:r>
        <w:rPr>
          <w:rFonts w:hint="eastAsia" w:ascii="仿宋" w:hAnsi="仿宋" w:eastAsia="仿宋" w:cs="仿宋"/>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EAA5895">
      <w:pPr>
        <w:pStyle w:val="131"/>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13.2电子交易平台收到响应文件，将妥善保存并即时向供应商发出确认回执通知。在交易截止时间前，除供应商补充、修改或者撤回响应文件外，任何单位和个人不得解密或提取响应文件。</w:t>
      </w:r>
    </w:p>
    <w:p w14:paraId="71939DA4">
      <w:pPr>
        <w:pStyle w:val="131"/>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13.3采购人、采购机构可以视情况延长响应文件提交的截止时间。在上述情况下，采购机构与供应商以前在交易截止期方面的全部权利、责任和义务，将适用于延长至新的交易截止期。</w:t>
      </w:r>
    </w:p>
    <w:p w14:paraId="03C32EA7">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14.备份响应文件</w:t>
      </w:r>
    </w:p>
    <w:p w14:paraId="21D303AC">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kern w:val="28"/>
          <w:sz w:val="24"/>
          <w:szCs w:val="24"/>
          <w:highlight w:val="none"/>
        </w:rPr>
        <w:t>不收取备份响应文件</w:t>
      </w:r>
    </w:p>
    <w:p w14:paraId="702FE30C">
      <w:pPr>
        <w:pStyle w:val="131"/>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15.响应文件的无效处理</w:t>
      </w:r>
    </w:p>
    <w:p w14:paraId="608F283B">
      <w:pPr>
        <w:pStyle w:val="24"/>
        <w:spacing w:line="36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有交易文件第四部分</w:t>
      </w:r>
      <w:r>
        <w:rPr>
          <w:rFonts w:hint="eastAsia" w:ascii="仿宋" w:hAnsi="仿宋" w:eastAsia="仿宋" w:cs="仿宋"/>
          <w:highlight w:val="none"/>
        </w:rPr>
        <w:t>4.2规定</w:t>
      </w:r>
      <w:r>
        <w:rPr>
          <w:rFonts w:hint="eastAsia" w:ascii="仿宋" w:hAnsi="仿宋" w:eastAsia="仿宋" w:cs="仿宋"/>
          <w:szCs w:val="21"/>
          <w:highlight w:val="none"/>
        </w:rPr>
        <w:t>的情形之一的，交易无效：</w:t>
      </w:r>
    </w:p>
    <w:p w14:paraId="22390033">
      <w:pPr>
        <w:pStyle w:val="131"/>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16.交易有效期</w:t>
      </w:r>
    </w:p>
    <w:p w14:paraId="03945944">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16.1交易有效期为从提交响应文件的截止之日起90天。▲</w:t>
      </w:r>
      <w:r>
        <w:rPr>
          <w:rFonts w:hint="eastAsia" w:ascii="仿宋" w:hAnsi="仿宋" w:eastAsia="仿宋" w:cs="仿宋"/>
          <w:b/>
          <w:sz w:val="24"/>
          <w:szCs w:val="20"/>
          <w:highlight w:val="none"/>
        </w:rPr>
        <w:t>供应商的响应文件中承</w:t>
      </w:r>
      <w:r>
        <w:rPr>
          <w:rFonts w:hint="eastAsia" w:ascii="仿宋" w:hAnsi="仿宋" w:eastAsia="仿宋" w:cs="仿宋"/>
          <w:b/>
          <w:sz w:val="24"/>
          <w:szCs w:val="21"/>
          <w:highlight w:val="none"/>
        </w:rPr>
        <w:t>诺的交易有效期少于交易文件中载明的交易有效期的，交易无效。</w:t>
      </w:r>
    </w:p>
    <w:p w14:paraId="24B37F8B">
      <w:pPr>
        <w:pStyle w:val="131"/>
        <w:spacing w:before="0"/>
        <w:ind w:firstLine="480"/>
        <w:rPr>
          <w:rFonts w:hint="eastAsia" w:ascii="仿宋" w:hAnsi="仿宋" w:eastAsia="仿宋" w:cs="仿宋"/>
          <w:highlight w:val="none"/>
        </w:rPr>
      </w:pPr>
      <w:r>
        <w:rPr>
          <w:rFonts w:hint="eastAsia" w:ascii="仿宋" w:hAnsi="仿宋" w:eastAsia="仿宋" w:cs="仿宋"/>
          <w:highlight w:val="none"/>
        </w:rPr>
        <w:t>16.2响应文件合格投递后，自</w:t>
      </w:r>
      <w:r>
        <w:rPr>
          <w:rFonts w:hint="eastAsia" w:ascii="仿宋" w:hAnsi="仿宋" w:eastAsia="仿宋" w:cs="仿宋"/>
          <w:szCs w:val="21"/>
          <w:highlight w:val="none"/>
        </w:rPr>
        <w:t>交易</w:t>
      </w:r>
      <w:r>
        <w:rPr>
          <w:rFonts w:hint="eastAsia" w:ascii="仿宋" w:hAnsi="仿宋" w:eastAsia="仿宋" w:cs="仿宋"/>
          <w:highlight w:val="none"/>
        </w:rPr>
        <w:t>截止日期起，在</w:t>
      </w:r>
      <w:r>
        <w:rPr>
          <w:rFonts w:hint="eastAsia" w:ascii="仿宋" w:hAnsi="仿宋" w:eastAsia="仿宋" w:cs="仿宋"/>
          <w:szCs w:val="21"/>
          <w:highlight w:val="none"/>
        </w:rPr>
        <w:t>交易</w:t>
      </w:r>
      <w:r>
        <w:rPr>
          <w:rFonts w:hint="eastAsia" w:ascii="仿宋" w:hAnsi="仿宋" w:eastAsia="仿宋" w:cs="仿宋"/>
          <w:highlight w:val="none"/>
        </w:rPr>
        <w:t>有效期内有效。</w:t>
      </w:r>
    </w:p>
    <w:p w14:paraId="4F21D004">
      <w:pPr>
        <w:pStyle w:val="131"/>
        <w:spacing w:before="0"/>
        <w:ind w:firstLine="480"/>
        <w:rPr>
          <w:rFonts w:hint="eastAsia" w:ascii="仿宋" w:hAnsi="仿宋" w:eastAsia="仿宋" w:cs="仿宋"/>
          <w:highlight w:val="none"/>
        </w:rPr>
      </w:pPr>
      <w:r>
        <w:rPr>
          <w:rFonts w:hint="eastAsia" w:ascii="仿宋" w:hAnsi="仿宋" w:eastAsia="仿宋" w:cs="仿宋"/>
          <w:highlight w:val="none"/>
        </w:rPr>
        <w:t>16.3在原定</w:t>
      </w:r>
      <w:r>
        <w:rPr>
          <w:rFonts w:hint="eastAsia" w:ascii="仿宋" w:hAnsi="仿宋" w:eastAsia="仿宋" w:cs="仿宋"/>
          <w:szCs w:val="21"/>
          <w:highlight w:val="none"/>
        </w:rPr>
        <w:t>交易</w:t>
      </w:r>
      <w:r>
        <w:rPr>
          <w:rFonts w:hint="eastAsia" w:ascii="仿宋" w:hAnsi="仿宋" w:eastAsia="仿宋" w:cs="仿宋"/>
          <w:highlight w:val="none"/>
        </w:rPr>
        <w:t>有效期满之前，如果出现特殊情况，采购机构可以以书面形式通知供应商延长</w:t>
      </w:r>
      <w:r>
        <w:rPr>
          <w:rFonts w:hint="eastAsia" w:ascii="仿宋" w:hAnsi="仿宋" w:eastAsia="仿宋" w:cs="仿宋"/>
          <w:szCs w:val="21"/>
          <w:highlight w:val="none"/>
        </w:rPr>
        <w:t>交易</w:t>
      </w:r>
      <w:r>
        <w:rPr>
          <w:rFonts w:hint="eastAsia" w:ascii="仿宋" w:hAnsi="仿宋" w:eastAsia="仿宋" w:cs="仿宋"/>
          <w:highlight w:val="none"/>
        </w:rPr>
        <w:t>有效期。供应商同意延长的，不得要求或被允许修改其响应文件，供应商拒绝延长的，其</w:t>
      </w:r>
      <w:r>
        <w:rPr>
          <w:rFonts w:hint="eastAsia" w:ascii="仿宋" w:hAnsi="仿宋" w:eastAsia="仿宋" w:cs="仿宋"/>
          <w:szCs w:val="21"/>
          <w:highlight w:val="none"/>
        </w:rPr>
        <w:t>交易</w:t>
      </w:r>
      <w:r>
        <w:rPr>
          <w:rFonts w:hint="eastAsia" w:ascii="仿宋" w:hAnsi="仿宋" w:eastAsia="仿宋" w:cs="仿宋"/>
          <w:highlight w:val="none"/>
        </w:rPr>
        <w:t>无效。</w:t>
      </w:r>
    </w:p>
    <w:p w14:paraId="5AA8A9D3">
      <w:pPr>
        <w:pStyle w:val="131"/>
        <w:spacing w:before="0"/>
        <w:ind w:firstLine="643"/>
        <w:rPr>
          <w:rFonts w:hint="eastAsia" w:ascii="仿宋" w:hAnsi="仿宋" w:eastAsia="仿宋" w:cs="仿宋"/>
          <w:b/>
          <w:sz w:val="32"/>
          <w:highlight w:val="none"/>
        </w:rPr>
      </w:pPr>
    </w:p>
    <w:p w14:paraId="18156C10">
      <w:pPr>
        <w:pStyle w:val="131"/>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四、交易、资格审查</w:t>
      </w:r>
    </w:p>
    <w:p w14:paraId="1ACBE2E1">
      <w:pPr>
        <w:pStyle w:val="557"/>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17.交易</w:t>
      </w:r>
      <w:r>
        <w:rPr>
          <w:rFonts w:hint="eastAsia" w:ascii="仿宋" w:hAnsi="仿宋" w:eastAsia="仿宋" w:cs="仿宋"/>
          <w:sz w:val="24"/>
          <w:highlight w:val="none"/>
        </w:rPr>
        <w:t xml:space="preserve"> </w:t>
      </w:r>
    </w:p>
    <w:p w14:paraId="72C3AE3B">
      <w:pPr>
        <w:pStyle w:val="557"/>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17.1采购机构按照交易文件规定的时间通过电子交易平台组织交易，所有供应商均应当准时在线参加。供应商不足3家的，不得交易。</w:t>
      </w:r>
    </w:p>
    <w:p w14:paraId="24B3E60F">
      <w:pPr>
        <w:pStyle w:val="557"/>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17.2交易时，电子交易平台按交易时间自动提取所有响应文件。采购机构依托电子交易平台发起开始解密指令，供应商按照平台提示和交易文件的规定在半小时内完成在线解密。</w:t>
      </w:r>
    </w:p>
    <w:p w14:paraId="423F2A06">
      <w:pPr>
        <w:pStyle w:val="557"/>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17.3</w:t>
      </w:r>
      <w:r>
        <w:rPr>
          <w:rFonts w:hint="eastAsia" w:ascii="仿宋" w:hAnsi="仿宋" w:eastAsia="仿宋" w:cs="仿宋"/>
          <w:b/>
          <w:sz w:val="24"/>
          <w:highlight w:val="none"/>
        </w:rPr>
        <w:t>响应文件未按时解密，供应商提供了备份响应文件的，以备份响应文件作为依据，否则视为响应文件撤回。响应文件已按时解密的，备份响应文件自动失效。</w:t>
      </w:r>
    </w:p>
    <w:p w14:paraId="4B28D9FC">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18、资格审查</w:t>
      </w:r>
    </w:p>
    <w:p w14:paraId="767A8C0A">
      <w:pPr>
        <w:pStyle w:val="131"/>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18.1</w:t>
      </w:r>
      <w:r>
        <w:rPr>
          <w:rFonts w:hint="eastAsia" w:ascii="仿宋" w:hAnsi="仿宋" w:eastAsia="仿宋" w:cs="仿宋"/>
          <w:szCs w:val="21"/>
          <w:highlight w:val="none"/>
        </w:rPr>
        <w:t>交易</w:t>
      </w:r>
      <w:r>
        <w:rPr>
          <w:rFonts w:hint="eastAsia" w:ascii="仿宋" w:hAnsi="仿宋" w:eastAsia="仿宋" w:cs="仿宋"/>
          <w:kern w:val="0"/>
          <w:szCs w:val="24"/>
          <w:highlight w:val="none"/>
        </w:rPr>
        <w:t>后，采购人或采购机构将依法对供应商的资格进行审查。</w:t>
      </w:r>
    </w:p>
    <w:p w14:paraId="0F2872A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18.2</w:t>
      </w:r>
      <w:r>
        <w:rPr>
          <w:rFonts w:hint="eastAsia" w:ascii="仿宋" w:hAnsi="仿宋" w:eastAsia="仿宋" w:cs="仿宋"/>
          <w:sz w:val="24"/>
          <w:highlight w:val="none"/>
        </w:rPr>
        <w:t>采购人或采购机构依据法律法规和交易文件的规定，对供应商的基本资格条件、特定资格条件进行审查。</w:t>
      </w:r>
    </w:p>
    <w:p w14:paraId="704E2207">
      <w:pPr>
        <w:pStyle w:val="13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18.3供应商未按照交易文件要求提供与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供应商不具备交易文件中规定的资格要求，其响应无效。</w:t>
      </w:r>
    </w:p>
    <w:p w14:paraId="1001D0E2">
      <w:pPr>
        <w:pStyle w:val="13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18.</w:t>
      </w:r>
      <w:r>
        <w:rPr>
          <w:rFonts w:hint="eastAsia" w:ascii="仿宋" w:hAnsi="仿宋" w:eastAsia="仿宋" w:cs="仿宋"/>
          <w:highlight w:val="none"/>
        </w:rPr>
        <w:t>4对未通过资格审查的供应商，采购人或采购机构告知其未通过的原因。</w:t>
      </w:r>
    </w:p>
    <w:p w14:paraId="139675A5">
      <w:pPr>
        <w:pStyle w:val="13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18.</w:t>
      </w:r>
      <w:r>
        <w:rPr>
          <w:rFonts w:hint="eastAsia" w:ascii="仿宋" w:hAnsi="仿宋" w:eastAsia="仿宋" w:cs="仿宋"/>
          <w:highlight w:val="none"/>
        </w:rPr>
        <w:t>5合格供应商不足3家的，不再评标。</w:t>
      </w:r>
    </w:p>
    <w:p w14:paraId="7A12B433">
      <w:pPr>
        <w:pStyle w:val="131"/>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19、信用信息查询</w:t>
      </w:r>
    </w:p>
    <w:p w14:paraId="364D720B">
      <w:pPr>
        <w:pStyle w:val="131"/>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19.1信用信息查询渠道及截止时间：采购机构将通过“信用中国”网站(www.creditchina.gov.cn)、中国政府采购网(www.ccgp.gov.cn)渠道查询供应商交易截止时间当天的信用记录。</w:t>
      </w:r>
    </w:p>
    <w:p w14:paraId="47B19CCC">
      <w:pPr>
        <w:pStyle w:val="131"/>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19.2信用信息查询记录和证据留存的具体方式：现场查询的供应商的信用记录、查询结果经确认后将与交易文件一起存档。</w:t>
      </w:r>
    </w:p>
    <w:p w14:paraId="1C08BB71">
      <w:pPr>
        <w:pStyle w:val="131"/>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19.3信用信息的使用规则：经查询列入失信被执行人名单、重大税收违法案件当事人名单、政府采购严重违法失信行为记录名单的供应商将被拒绝参与采购活动。</w:t>
      </w:r>
    </w:p>
    <w:p w14:paraId="042A2BBE">
      <w:pPr>
        <w:pStyle w:val="13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76F2B5B8">
      <w:pPr>
        <w:pStyle w:val="131"/>
        <w:spacing w:before="0"/>
        <w:ind w:firstLine="0" w:firstLineChars="0"/>
        <w:rPr>
          <w:rFonts w:hint="eastAsia" w:ascii="仿宋" w:hAnsi="仿宋" w:eastAsia="仿宋" w:cs="仿宋"/>
          <w:kern w:val="0"/>
          <w:szCs w:val="24"/>
          <w:highlight w:val="none"/>
        </w:rPr>
      </w:pPr>
    </w:p>
    <w:p w14:paraId="09694CFD">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14:paraId="32C2EF9E">
      <w:pPr>
        <w:spacing w:line="360" w:lineRule="auto"/>
        <w:rPr>
          <w:rFonts w:hint="eastAsia" w:ascii="仿宋" w:hAnsi="仿宋" w:eastAsia="仿宋" w:cs="仿宋"/>
          <w:b/>
          <w:sz w:val="24"/>
          <w:highlight w:val="none"/>
        </w:rPr>
      </w:pPr>
      <w:bookmarkStart w:id="16" w:name="_Toc91899903"/>
      <w:r>
        <w:rPr>
          <w:rFonts w:hint="eastAsia" w:ascii="仿宋" w:hAnsi="仿宋" w:eastAsia="仿宋" w:cs="仿宋"/>
          <w:b/>
          <w:sz w:val="24"/>
          <w:highlight w:val="none"/>
        </w:rPr>
        <w:t>20.</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sz w:val="24"/>
          <w:highlight w:val="none"/>
        </w:rPr>
        <w:t>详见交易文件第四部分评标办法。</w:t>
      </w:r>
    </w:p>
    <w:p w14:paraId="59373088">
      <w:pPr>
        <w:spacing w:line="360" w:lineRule="auto"/>
        <w:rPr>
          <w:rFonts w:hint="eastAsia" w:ascii="仿宋" w:hAnsi="仿宋" w:eastAsia="仿宋" w:cs="仿宋"/>
          <w:b/>
          <w:sz w:val="24"/>
          <w:highlight w:val="none"/>
        </w:rPr>
      </w:pPr>
    </w:p>
    <w:p w14:paraId="4E08C672">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6E63CF50">
      <w:pPr>
        <w:pStyle w:val="24"/>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21. 确定成交供应商</w:t>
      </w:r>
    </w:p>
    <w:p w14:paraId="19387995">
      <w:pPr>
        <w:pStyle w:val="131"/>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采购人将自收到评审报告之日起5个工作日内通过电子交易平台在评审报告推荐的成交候选人中按顺序确定成交供应商。</w:t>
      </w:r>
    </w:p>
    <w:p w14:paraId="1CFABFA2">
      <w:pPr>
        <w:pStyle w:val="131"/>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22. 成交通知与成交结果公告</w:t>
      </w:r>
    </w:p>
    <w:p w14:paraId="3DDF38B5">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22.1自成交人确定之日起2个工作日内，采购机构通过电子交易平台向成交人发出成交通知书，同时编制发布采购结果公告。采购机构也可以以纸质形式进行成交通知。</w:t>
      </w:r>
    </w:p>
    <w:p w14:paraId="0ABFB5F0">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22.2成交结果公告内容包括采购人及其委托的采购机构的名称、地址、联系方式，项目名称和项目编号，成交人名称、地址和成交金额，主要成交标的的名称、规格型号、数量、单价、服务要求。</w:t>
      </w:r>
    </w:p>
    <w:p w14:paraId="2AE8A7FF">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22.3公告期限为1个工作日。</w:t>
      </w:r>
    </w:p>
    <w:p w14:paraId="41DB42C7">
      <w:pPr>
        <w:snapToGrid w:val="0"/>
        <w:spacing w:line="360" w:lineRule="auto"/>
        <w:ind w:left="120" w:leftChars="57" w:firstLine="482" w:firstLineChars="150"/>
        <w:jc w:val="center"/>
        <w:rPr>
          <w:rFonts w:hint="eastAsia" w:ascii="仿宋" w:hAnsi="仿宋" w:eastAsia="仿宋" w:cs="仿宋"/>
          <w:b/>
          <w:sz w:val="32"/>
          <w:highlight w:val="none"/>
        </w:rPr>
      </w:pPr>
    </w:p>
    <w:p w14:paraId="7BDD4F27">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3125B801">
      <w:pPr>
        <w:pStyle w:val="24"/>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23. 合同的签订</w:t>
      </w:r>
    </w:p>
    <w:p w14:paraId="5A74D898">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23.1</w:t>
      </w:r>
      <w:r>
        <w:rPr>
          <w:rFonts w:hint="eastAsia" w:ascii="仿宋" w:hAnsi="仿宋" w:eastAsia="仿宋" w:cs="仿宋"/>
          <w:kern w:val="0"/>
          <w:sz w:val="24"/>
          <w:highlight w:val="none"/>
        </w:rPr>
        <w:t xml:space="preserve"> 采购人与成交人应当在成交通知书发出之日起二十日内，按照交易文件确定的事项签订采购合同。</w:t>
      </w:r>
    </w:p>
    <w:p w14:paraId="7E2C992D">
      <w:pPr>
        <w:pStyle w:val="131"/>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w:t>
      </w:r>
      <w:r>
        <w:rPr>
          <w:rFonts w:hint="eastAsia" w:ascii="仿宋" w:hAnsi="仿宋" w:eastAsia="仿宋" w:cs="仿宋"/>
          <w:kern w:val="0"/>
          <w:highlight w:val="none"/>
        </w:rPr>
        <w:t>3</w:t>
      </w:r>
      <w:r>
        <w:rPr>
          <w:rFonts w:hint="eastAsia" w:ascii="仿宋" w:hAnsi="仿宋" w:eastAsia="仿宋" w:cs="仿宋"/>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43376132">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23.3如签订合同并生效后，供应商无故拒绝或延期，除按照合同条款处理外，列入不良行为记录一次，并给予通报。  </w:t>
      </w:r>
    </w:p>
    <w:p w14:paraId="4C240F2F">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23.4成交供应商拒绝与采购人签订合同的，采购人可以按照评审报告推荐的成交或者成交候选人名单排序，确定下一候选人为成交供应商，也可以重新开展采购活动。</w:t>
      </w:r>
    </w:p>
    <w:p w14:paraId="5EBCCCDC">
      <w:pPr>
        <w:pStyle w:val="131"/>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23.5采购合同由采购人与成交供应商根据交易文件、响应文件等内容签订。</w:t>
      </w:r>
    </w:p>
    <w:p w14:paraId="711FDBB0">
      <w:pPr>
        <w:pStyle w:val="24"/>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24. 履约保证金</w:t>
      </w:r>
    </w:p>
    <w:p w14:paraId="06F3EBAD">
      <w:pPr>
        <w:tabs>
          <w:tab w:val="left" w:pos="0"/>
        </w:tabs>
        <w:spacing w:line="360" w:lineRule="auto"/>
        <w:ind w:firstLine="482"/>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。履约保证金的数额不得超过采购合同金额的1%。鼓励和支持供应商以银行、保险公司出具的保函形式提供履约保证金。</w:t>
      </w:r>
      <w:r>
        <w:rPr>
          <w:rFonts w:hint="eastAsia" w:ascii="仿宋" w:hAnsi="仿宋" w:eastAsia="仿宋" w:cs="仿宋"/>
          <w:b/>
          <w:sz w:val="24"/>
          <w:highlight w:val="none"/>
        </w:rPr>
        <w:t>采购人不得拒收履约保函，项目验收结束后应及时退还。</w:t>
      </w:r>
    </w:p>
    <w:p w14:paraId="1B05576E">
      <w:pPr>
        <w:snapToGrid w:val="0"/>
        <w:spacing w:line="360" w:lineRule="auto"/>
        <w:ind w:firstLine="3357" w:firstLineChars="1045"/>
        <w:rPr>
          <w:rFonts w:hint="eastAsia" w:ascii="仿宋" w:hAnsi="仿宋" w:eastAsia="仿宋" w:cs="仿宋"/>
          <w:b/>
          <w:sz w:val="32"/>
          <w:highlight w:val="none"/>
        </w:rPr>
      </w:pPr>
    </w:p>
    <w:p w14:paraId="12C21EFC">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0D11611C">
      <w:pPr>
        <w:pStyle w:val="131"/>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5.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63CBC55">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25.1电子交易平台发生故障而无法登录访问的； </w:t>
      </w:r>
    </w:p>
    <w:p w14:paraId="0C14AF2E">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25.2电子交易平台应用或数据库出现错误，不能进行正常操作的；</w:t>
      </w:r>
    </w:p>
    <w:p w14:paraId="3755FC57">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25.3电子交易平台发现严重安全漏洞，有潜在泄密危险的；</w:t>
      </w:r>
    </w:p>
    <w:p w14:paraId="24E3E8E5">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25.4病毒发作导致不能进行正常操作的； </w:t>
      </w:r>
    </w:p>
    <w:p w14:paraId="77DACB22">
      <w:pPr>
        <w:pStyle w:val="131"/>
        <w:snapToGrid w:val="0"/>
        <w:spacing w:before="0"/>
        <w:ind w:firstLine="480"/>
        <w:rPr>
          <w:rFonts w:hint="eastAsia" w:ascii="仿宋" w:hAnsi="仿宋" w:eastAsia="仿宋" w:cs="仿宋"/>
          <w:highlight w:val="none"/>
        </w:rPr>
      </w:pPr>
      <w:r>
        <w:rPr>
          <w:rFonts w:hint="eastAsia" w:ascii="仿宋" w:hAnsi="仿宋" w:eastAsia="仿宋" w:cs="仿宋"/>
          <w:highlight w:val="none"/>
        </w:rPr>
        <w:t>25.5其他无法保证电子交易的公平、公正和安全的情况。</w:t>
      </w:r>
    </w:p>
    <w:p w14:paraId="32815DAD">
      <w:pPr>
        <w:pStyle w:val="131"/>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31D0CFCC">
      <w:pPr>
        <w:tabs>
          <w:tab w:val="left" w:pos="0"/>
        </w:tabs>
        <w:spacing w:line="360" w:lineRule="auto"/>
        <w:ind w:firstLine="480"/>
        <w:rPr>
          <w:rFonts w:hint="eastAsia" w:ascii="仿宋" w:hAnsi="仿宋" w:eastAsia="仿宋" w:cs="仿宋"/>
          <w:sz w:val="24"/>
          <w:highlight w:val="none"/>
        </w:rPr>
      </w:pPr>
    </w:p>
    <w:p w14:paraId="0DC40387">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353AF97B">
      <w:pPr>
        <w:pStyle w:val="24"/>
        <w:spacing w:line="360" w:lineRule="auto"/>
        <w:ind w:firstLine="0" w:firstLineChars="0"/>
        <w:rPr>
          <w:rFonts w:hint="eastAsia" w:ascii="仿宋" w:hAnsi="仿宋" w:eastAsia="仿宋" w:cs="仿宋"/>
          <w:kern w:val="0"/>
          <w:highlight w:val="none"/>
        </w:rPr>
      </w:pPr>
      <w:r>
        <w:rPr>
          <w:rFonts w:hint="eastAsia" w:ascii="仿宋" w:hAnsi="仿宋" w:eastAsia="仿宋" w:cs="仿宋"/>
          <w:b/>
          <w:highlight w:val="none"/>
        </w:rPr>
        <w:t>27.验收：</w:t>
      </w:r>
      <w:r>
        <w:rPr>
          <w:rFonts w:hint="eastAsia" w:ascii="仿宋" w:hAnsi="仿宋" w:eastAsia="仿宋" w:cs="仿宋"/>
          <w:kern w:val="0"/>
          <w:highlight w:val="none"/>
        </w:rPr>
        <w:t>采购人应当组织对供应商履约的验收。</w:t>
      </w:r>
    </w:p>
    <w:bookmarkEnd w:id="13"/>
    <w:bookmarkEnd w:id="14"/>
    <w:bookmarkEnd w:id="16"/>
    <w:p w14:paraId="39DB5A9F">
      <w:pPr>
        <w:spacing w:line="360" w:lineRule="auto"/>
        <w:jc w:val="center"/>
        <w:outlineLvl w:val="0"/>
        <w:rPr>
          <w:rFonts w:hint="eastAsia" w:ascii="仿宋" w:hAnsi="仿宋" w:eastAsia="仿宋" w:cs="仿宋"/>
          <w:b/>
          <w:sz w:val="13"/>
          <w:szCs w:val="13"/>
          <w:highlight w:val="none"/>
        </w:rPr>
      </w:pPr>
      <w:bookmarkStart w:id="17" w:name="第四部分"/>
    </w:p>
    <w:p w14:paraId="7E75F53C">
      <w:pPr>
        <w:spacing w:line="360" w:lineRule="auto"/>
        <w:jc w:val="center"/>
        <w:outlineLvl w:val="0"/>
        <w:rPr>
          <w:rFonts w:hint="eastAsia" w:ascii="仿宋" w:hAnsi="仿宋" w:eastAsia="仿宋" w:cs="仿宋"/>
          <w:b/>
          <w:sz w:val="36"/>
          <w:szCs w:val="36"/>
          <w:highlight w:val="none"/>
        </w:rPr>
      </w:pPr>
    </w:p>
    <w:p w14:paraId="05D996B6">
      <w:pPr>
        <w:spacing w:line="360" w:lineRule="auto"/>
        <w:jc w:val="center"/>
        <w:outlineLvl w:val="0"/>
        <w:rPr>
          <w:rFonts w:hint="eastAsia" w:ascii="仿宋" w:hAnsi="仿宋" w:eastAsia="仿宋" w:cs="仿宋"/>
          <w:b/>
          <w:sz w:val="36"/>
          <w:szCs w:val="36"/>
          <w:highlight w:val="none"/>
        </w:rPr>
      </w:pPr>
    </w:p>
    <w:p w14:paraId="1868D1DF">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采购需求</w:t>
      </w:r>
    </w:p>
    <w:p w14:paraId="568186EB">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属于实质性要求条款的，请用符号“▲”标明，否则属于非实质性要求。</w:t>
      </w:r>
    </w:p>
    <w:p w14:paraId="1E3FF521">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“★”系产品采购项目中单一产品或核心产品。</w:t>
      </w:r>
    </w:p>
    <w:p w14:paraId="729491EF">
      <w:pPr>
        <w:pStyle w:val="4"/>
        <w:spacing w:line="240" w:lineRule="auto"/>
        <w:jc w:val="center"/>
        <w:rPr>
          <w:rFonts w:hint="eastAsia" w:ascii="仿宋" w:hAnsi="仿宋" w:eastAsia="仿宋" w:cs="仿宋"/>
          <w:sz w:val="28"/>
          <w:szCs w:val="28"/>
          <w:highlight w:val="none"/>
        </w:rPr>
      </w:pPr>
      <w:bookmarkStart w:id="18" w:name="_Toc523909753"/>
      <w:r>
        <w:rPr>
          <w:rFonts w:hint="eastAsia" w:ascii="仿宋" w:hAnsi="仿宋" w:eastAsia="仿宋" w:cs="仿宋"/>
          <w:sz w:val="28"/>
          <w:szCs w:val="28"/>
          <w:highlight w:val="none"/>
        </w:rPr>
        <w:t>一、交易一览表</w:t>
      </w:r>
      <w:bookmarkEnd w:id="18"/>
    </w:p>
    <w:p w14:paraId="3EEE97A1">
      <w:pPr>
        <w:spacing w:line="400" w:lineRule="exact"/>
        <w:rPr>
          <w:rFonts w:hint="eastAsia" w:ascii="仿宋" w:hAnsi="仿宋" w:eastAsia="仿宋" w:cs="仿宋"/>
          <w:sz w:val="24"/>
          <w:highlight w:val="none"/>
          <w:u w:val="single"/>
        </w:rPr>
      </w:pPr>
      <w:r>
        <w:rPr>
          <w:rFonts w:hint="eastAsia" w:ascii="仿宋" w:hAnsi="仿宋" w:eastAsia="仿宋" w:cs="仿宋"/>
          <w:sz w:val="24"/>
          <w:highlight w:val="none"/>
        </w:rPr>
        <w:t>标项：1</w:t>
      </w:r>
    </w:p>
    <w:tbl>
      <w:tblPr>
        <w:tblStyle w:val="6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4123"/>
        <w:gridCol w:w="1440"/>
        <w:gridCol w:w="694"/>
        <w:gridCol w:w="693"/>
        <w:gridCol w:w="1173"/>
        <w:gridCol w:w="836"/>
      </w:tblGrid>
      <w:tr w14:paraId="5759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700" w:type="dxa"/>
            <w:noWrap w:val="0"/>
            <w:tcMar>
              <w:top w:w="15" w:type="dxa"/>
              <w:left w:w="15" w:type="dxa"/>
              <w:bottom w:w="0" w:type="dxa"/>
              <w:right w:w="15" w:type="dxa"/>
            </w:tcMar>
            <w:vAlign w:val="center"/>
          </w:tcPr>
          <w:p w14:paraId="6C861FB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4123" w:type="dxa"/>
            <w:noWrap w:val="0"/>
            <w:tcMar>
              <w:top w:w="15" w:type="dxa"/>
              <w:left w:w="15" w:type="dxa"/>
              <w:bottom w:w="0" w:type="dxa"/>
              <w:right w:w="15" w:type="dxa"/>
            </w:tcMar>
            <w:vAlign w:val="center"/>
          </w:tcPr>
          <w:p w14:paraId="3D732A2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名称</w:t>
            </w:r>
          </w:p>
        </w:tc>
        <w:tc>
          <w:tcPr>
            <w:tcW w:w="1440" w:type="dxa"/>
            <w:noWrap w:val="0"/>
            <w:tcMar>
              <w:top w:w="15" w:type="dxa"/>
              <w:left w:w="15" w:type="dxa"/>
              <w:bottom w:w="0" w:type="dxa"/>
              <w:right w:w="15" w:type="dxa"/>
            </w:tcMar>
            <w:vAlign w:val="center"/>
          </w:tcPr>
          <w:p w14:paraId="010349F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规格型号与参数</w:t>
            </w:r>
          </w:p>
        </w:tc>
        <w:tc>
          <w:tcPr>
            <w:tcW w:w="694" w:type="dxa"/>
            <w:noWrap w:val="0"/>
            <w:tcMar>
              <w:top w:w="15" w:type="dxa"/>
              <w:left w:w="15" w:type="dxa"/>
              <w:bottom w:w="0" w:type="dxa"/>
              <w:right w:w="15" w:type="dxa"/>
            </w:tcMar>
            <w:vAlign w:val="center"/>
          </w:tcPr>
          <w:p w14:paraId="144A0EC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单位</w:t>
            </w:r>
          </w:p>
        </w:tc>
        <w:tc>
          <w:tcPr>
            <w:tcW w:w="693" w:type="dxa"/>
            <w:noWrap w:val="0"/>
            <w:tcMar>
              <w:top w:w="15" w:type="dxa"/>
              <w:left w:w="15" w:type="dxa"/>
              <w:bottom w:w="0" w:type="dxa"/>
              <w:right w:w="15" w:type="dxa"/>
            </w:tcMar>
            <w:vAlign w:val="center"/>
          </w:tcPr>
          <w:p w14:paraId="50DDD0F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数量</w:t>
            </w:r>
          </w:p>
        </w:tc>
        <w:tc>
          <w:tcPr>
            <w:tcW w:w="1173" w:type="dxa"/>
            <w:noWrap w:val="0"/>
            <w:vAlign w:val="center"/>
          </w:tcPr>
          <w:p w14:paraId="6F2B0EC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最高限价</w:t>
            </w:r>
          </w:p>
        </w:tc>
        <w:tc>
          <w:tcPr>
            <w:tcW w:w="836" w:type="dxa"/>
            <w:noWrap w:val="0"/>
            <w:vAlign w:val="center"/>
          </w:tcPr>
          <w:p w14:paraId="0934481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备注</w:t>
            </w:r>
          </w:p>
        </w:tc>
      </w:tr>
      <w:tr w14:paraId="268C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700" w:type="dxa"/>
            <w:noWrap w:val="0"/>
            <w:tcMar>
              <w:top w:w="15" w:type="dxa"/>
              <w:left w:w="15" w:type="dxa"/>
              <w:bottom w:w="0" w:type="dxa"/>
              <w:right w:w="15" w:type="dxa"/>
            </w:tcMar>
            <w:vAlign w:val="center"/>
          </w:tcPr>
          <w:p w14:paraId="642E2A1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4123" w:type="dxa"/>
            <w:noWrap w:val="0"/>
            <w:tcMar>
              <w:top w:w="15" w:type="dxa"/>
              <w:left w:w="15" w:type="dxa"/>
              <w:bottom w:w="0" w:type="dxa"/>
              <w:right w:w="15" w:type="dxa"/>
            </w:tcMar>
            <w:vAlign w:val="center"/>
          </w:tcPr>
          <w:p w14:paraId="61E242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城东初中新建项目涉大运河遗产及文物影响评估报告编制服务</w:t>
            </w:r>
          </w:p>
        </w:tc>
        <w:tc>
          <w:tcPr>
            <w:tcW w:w="1440" w:type="dxa"/>
            <w:noWrap w:val="0"/>
            <w:tcMar>
              <w:top w:w="15" w:type="dxa"/>
              <w:left w:w="15" w:type="dxa"/>
              <w:bottom w:w="0" w:type="dxa"/>
              <w:right w:w="15" w:type="dxa"/>
            </w:tcMar>
            <w:vAlign w:val="center"/>
          </w:tcPr>
          <w:p w14:paraId="428092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详见需求</w:t>
            </w:r>
          </w:p>
        </w:tc>
        <w:tc>
          <w:tcPr>
            <w:tcW w:w="694" w:type="dxa"/>
            <w:noWrap w:val="0"/>
            <w:tcMar>
              <w:top w:w="15" w:type="dxa"/>
              <w:left w:w="15" w:type="dxa"/>
              <w:bottom w:w="0" w:type="dxa"/>
              <w:right w:w="15" w:type="dxa"/>
            </w:tcMar>
            <w:vAlign w:val="center"/>
          </w:tcPr>
          <w:p w14:paraId="00BD967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Cs/>
                <w:sz w:val="24"/>
                <w:highlight w:val="none"/>
              </w:rPr>
            </w:pPr>
            <w:r>
              <w:rPr>
                <w:rFonts w:hint="eastAsia" w:ascii="仿宋" w:hAnsi="仿宋" w:eastAsia="仿宋" w:cs="仿宋"/>
                <w:sz w:val="24"/>
                <w:highlight w:val="none"/>
              </w:rPr>
              <w:t>批</w:t>
            </w:r>
          </w:p>
        </w:tc>
        <w:tc>
          <w:tcPr>
            <w:tcW w:w="693" w:type="dxa"/>
            <w:noWrap w:val="0"/>
            <w:tcMar>
              <w:top w:w="15" w:type="dxa"/>
              <w:left w:w="15" w:type="dxa"/>
              <w:bottom w:w="0" w:type="dxa"/>
              <w:right w:w="15" w:type="dxa"/>
            </w:tcMar>
            <w:vAlign w:val="center"/>
          </w:tcPr>
          <w:p w14:paraId="14F6F69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Cs/>
                <w:sz w:val="24"/>
                <w:highlight w:val="none"/>
              </w:rPr>
            </w:pPr>
            <w:r>
              <w:rPr>
                <w:rFonts w:hint="eastAsia" w:ascii="仿宋" w:hAnsi="仿宋" w:eastAsia="仿宋" w:cs="仿宋"/>
                <w:position w:val="-6"/>
                <w:sz w:val="24"/>
                <w:highlight w:val="none"/>
              </w:rPr>
              <w:t>1</w:t>
            </w:r>
          </w:p>
        </w:tc>
        <w:tc>
          <w:tcPr>
            <w:tcW w:w="1173" w:type="dxa"/>
            <w:noWrap w:val="0"/>
            <w:vAlign w:val="center"/>
          </w:tcPr>
          <w:p w14:paraId="71BE67B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300000元</w:t>
            </w:r>
          </w:p>
        </w:tc>
        <w:tc>
          <w:tcPr>
            <w:tcW w:w="836" w:type="dxa"/>
            <w:noWrap w:val="0"/>
            <w:vAlign w:val="center"/>
          </w:tcPr>
          <w:p w14:paraId="2C1EC0D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Cs/>
                <w:sz w:val="24"/>
                <w:highlight w:val="none"/>
              </w:rPr>
            </w:pPr>
          </w:p>
        </w:tc>
      </w:tr>
    </w:tbl>
    <w:p w14:paraId="7F2E0213">
      <w:pPr>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二、交易需求</w:t>
      </w:r>
    </w:p>
    <w:p w14:paraId="6906FC53">
      <w:pPr>
        <w:pStyle w:val="81"/>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bCs/>
          <w:highlight w:val="none"/>
          <w:lang w:val="en-US"/>
        </w:rPr>
      </w:pPr>
      <w:r>
        <w:rPr>
          <w:rFonts w:hint="eastAsia" w:ascii="仿宋" w:hAnsi="仿宋" w:eastAsia="仿宋" w:cs="仿宋"/>
          <w:b/>
          <w:bCs/>
          <w:highlight w:val="none"/>
          <w:lang w:val="en-US" w:eastAsia="zh-CN"/>
        </w:rPr>
        <w:t>1、</w:t>
      </w:r>
      <w:r>
        <w:rPr>
          <w:rFonts w:hint="eastAsia" w:ascii="仿宋" w:hAnsi="仿宋" w:eastAsia="仿宋" w:cs="仿宋"/>
          <w:b/>
          <w:bCs/>
          <w:highlight w:val="none"/>
          <w:lang w:val="en-US"/>
        </w:rPr>
        <w:t>技术需求</w:t>
      </w:r>
    </w:p>
    <w:p w14:paraId="62F95EE6">
      <w:pPr>
        <w:pStyle w:val="23"/>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1.1</w:t>
      </w:r>
      <w:r>
        <w:rPr>
          <w:rFonts w:hint="eastAsia" w:ascii="仿宋" w:hAnsi="仿宋" w:eastAsia="仿宋" w:cs="仿宋"/>
          <w:color w:val="auto"/>
          <w:kern w:val="0"/>
          <w:szCs w:val="21"/>
          <w:highlight w:val="none"/>
        </w:rPr>
        <w:t>招标范围:根据</w:t>
      </w:r>
      <w:r>
        <w:rPr>
          <w:rFonts w:hint="eastAsia" w:ascii="仿宋" w:hAnsi="仿宋" w:eastAsia="仿宋" w:cs="仿宋"/>
          <w:color w:val="auto"/>
          <w:kern w:val="0"/>
          <w:szCs w:val="21"/>
          <w:highlight w:val="none"/>
          <w:lang w:val="en-US" w:eastAsia="zh-CN"/>
        </w:rPr>
        <w:t>遗产</w:t>
      </w:r>
      <w:r>
        <w:rPr>
          <w:rFonts w:hint="eastAsia" w:ascii="仿宋" w:hAnsi="仿宋" w:eastAsia="仿宋" w:cs="仿宋"/>
          <w:color w:val="auto"/>
          <w:kern w:val="0"/>
          <w:szCs w:val="21"/>
          <w:highlight w:val="none"/>
        </w:rPr>
        <w:t>文物影响与评估的相关法律、法规和区域规划</w:t>
      </w:r>
      <w:r>
        <w:rPr>
          <w:rFonts w:hint="eastAsia" w:ascii="仿宋" w:hAnsi="仿宋" w:eastAsia="仿宋" w:cs="仿宋"/>
          <w:color w:val="auto"/>
          <w:kern w:val="0"/>
          <w:szCs w:val="21"/>
          <w:highlight w:val="none"/>
          <w:lang w:val="en-US" w:eastAsia="zh-CN"/>
        </w:rPr>
        <w:t>遗产</w:t>
      </w:r>
      <w:r>
        <w:rPr>
          <w:rFonts w:hint="eastAsia" w:ascii="仿宋" w:hAnsi="仿宋" w:eastAsia="仿宋" w:cs="仿宋"/>
          <w:color w:val="auto"/>
          <w:kern w:val="0"/>
          <w:szCs w:val="21"/>
          <w:highlight w:val="none"/>
        </w:rPr>
        <w:t>文物评价规范要求，负责本项目</w:t>
      </w:r>
      <w:r>
        <w:rPr>
          <w:rFonts w:hint="eastAsia" w:ascii="仿宋" w:hAnsi="仿宋" w:eastAsia="仿宋" w:cs="仿宋"/>
          <w:color w:val="auto"/>
          <w:kern w:val="0"/>
          <w:szCs w:val="21"/>
          <w:highlight w:val="none"/>
          <w:lang w:eastAsia="zh-CN"/>
        </w:rPr>
        <w:t>遗产文物</w:t>
      </w:r>
      <w:r>
        <w:rPr>
          <w:rFonts w:hint="eastAsia" w:ascii="仿宋" w:hAnsi="仿宋" w:eastAsia="仿宋" w:cs="仿宋"/>
          <w:color w:val="auto"/>
          <w:kern w:val="0"/>
          <w:szCs w:val="21"/>
          <w:highlight w:val="none"/>
        </w:rPr>
        <w:t>影响与评估评价报告书的编制，包括对建设项目涉及和影响区域内已有</w:t>
      </w:r>
      <w:r>
        <w:rPr>
          <w:rFonts w:hint="eastAsia" w:ascii="仿宋" w:hAnsi="仿宋" w:eastAsia="仿宋" w:cs="仿宋"/>
          <w:color w:val="auto"/>
          <w:kern w:val="0"/>
          <w:szCs w:val="21"/>
          <w:highlight w:val="none"/>
          <w:lang w:eastAsia="zh-CN"/>
        </w:rPr>
        <w:t>遗产文物</w:t>
      </w:r>
      <w:r>
        <w:rPr>
          <w:rFonts w:hint="eastAsia" w:ascii="仿宋" w:hAnsi="仿宋" w:eastAsia="仿宋" w:cs="仿宋"/>
          <w:color w:val="auto"/>
          <w:kern w:val="0"/>
          <w:szCs w:val="21"/>
          <w:highlight w:val="none"/>
        </w:rPr>
        <w:t>普查资料成果，已公布为各级</w:t>
      </w:r>
      <w:r>
        <w:rPr>
          <w:rFonts w:hint="eastAsia" w:ascii="仿宋" w:hAnsi="仿宋" w:eastAsia="仿宋" w:cs="仿宋"/>
          <w:color w:val="auto"/>
          <w:kern w:val="0"/>
          <w:szCs w:val="21"/>
          <w:highlight w:val="none"/>
          <w:lang w:eastAsia="zh-CN"/>
        </w:rPr>
        <w:t>遗产文物</w:t>
      </w:r>
      <w:r>
        <w:rPr>
          <w:rFonts w:hint="eastAsia" w:ascii="仿宋" w:hAnsi="仿宋" w:eastAsia="仿宋" w:cs="仿宋"/>
          <w:color w:val="auto"/>
          <w:kern w:val="0"/>
          <w:szCs w:val="21"/>
          <w:highlight w:val="none"/>
        </w:rPr>
        <w:t>保护单位保护范围和建议控制的相关资料，项目</w:t>
      </w:r>
      <w:r>
        <w:rPr>
          <w:rFonts w:hint="eastAsia" w:ascii="仿宋" w:hAnsi="仿宋" w:eastAsia="仿宋" w:cs="仿宋"/>
          <w:color w:val="auto"/>
          <w:kern w:val="0"/>
          <w:szCs w:val="21"/>
          <w:highlight w:val="none"/>
          <w:lang w:val="en-US" w:eastAsia="zh-CN"/>
        </w:rPr>
        <w:t>区</w:t>
      </w:r>
      <w:r>
        <w:rPr>
          <w:rFonts w:hint="eastAsia" w:ascii="仿宋" w:hAnsi="仿宋" w:eastAsia="仿宋" w:cs="仿宋"/>
          <w:color w:val="auto"/>
          <w:kern w:val="0"/>
          <w:szCs w:val="21"/>
          <w:highlight w:val="none"/>
        </w:rPr>
        <w:t>域环境影响评价、监测方案的制定及实施、环境影响预测与评价、公众参与调查、环境影响评价报告评审、报批等全面评价项目的</w:t>
      </w:r>
      <w:r>
        <w:rPr>
          <w:rFonts w:hint="eastAsia" w:ascii="仿宋" w:hAnsi="仿宋" w:eastAsia="仿宋" w:cs="仿宋"/>
          <w:color w:val="auto"/>
          <w:kern w:val="0"/>
          <w:szCs w:val="21"/>
          <w:highlight w:val="none"/>
          <w:lang w:eastAsia="zh-CN"/>
        </w:rPr>
        <w:t>遗产文物</w:t>
      </w:r>
      <w:r>
        <w:rPr>
          <w:rFonts w:hint="eastAsia" w:ascii="仿宋" w:hAnsi="仿宋" w:eastAsia="仿宋" w:cs="仿宋"/>
          <w:color w:val="auto"/>
          <w:kern w:val="0"/>
          <w:szCs w:val="21"/>
          <w:highlight w:val="none"/>
        </w:rPr>
        <w:t>影响，提出预防和减轻不良影响的相关对策和措施，完成</w:t>
      </w:r>
      <w:r>
        <w:rPr>
          <w:rFonts w:hint="eastAsia" w:ascii="仿宋" w:hAnsi="仿宋" w:eastAsia="仿宋" w:cs="仿宋"/>
          <w:color w:val="auto"/>
          <w:kern w:val="0"/>
          <w:szCs w:val="21"/>
          <w:highlight w:val="none"/>
          <w:lang w:eastAsia="zh-CN"/>
        </w:rPr>
        <w:t>遗产文物</w:t>
      </w:r>
      <w:r>
        <w:rPr>
          <w:rFonts w:hint="eastAsia" w:ascii="仿宋" w:hAnsi="仿宋" w:eastAsia="仿宋" w:cs="仿宋"/>
          <w:color w:val="auto"/>
          <w:kern w:val="0"/>
          <w:szCs w:val="21"/>
          <w:highlight w:val="none"/>
        </w:rPr>
        <w:t>影响评估工作。</w:t>
      </w:r>
    </w:p>
    <w:p w14:paraId="58C7FB32">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snapToGrid w:val="0"/>
          <w:color w:val="000000" w:themeColor="text1"/>
          <w:kern w:val="0"/>
          <w:sz w:val="24"/>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1"/>
          <w:highlight w:val="none"/>
          <w:lang w:val="en-US" w:eastAsia="zh-CN" w:bidi="ar-SA"/>
          <w14:textFill>
            <w14:solidFill>
              <w14:schemeClr w14:val="tx1"/>
            </w14:solidFill>
          </w14:textFill>
        </w:rPr>
        <w:t>1.2协助业主单位将遗产文物影响评估报告送达文物主管部门，及时将主管部门的审批意见进行修改；协助业主单位取得文物主管部门的行政许可。</w:t>
      </w:r>
    </w:p>
    <w:p w14:paraId="6078D6E8">
      <w:pPr>
        <w:keepNext w:val="0"/>
        <w:keepLines w:val="0"/>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2、商务需求</w:t>
      </w:r>
    </w:p>
    <w:p w14:paraId="7C83885C">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snapToGrid w:val="0"/>
          <w:kern w:val="0"/>
          <w:sz w:val="24"/>
          <w:highlight w:val="none"/>
        </w:rPr>
      </w:pPr>
      <w:r>
        <w:rPr>
          <w:rFonts w:hint="eastAsia" w:ascii="仿宋" w:hAnsi="仿宋" w:eastAsia="仿宋" w:cs="仿宋"/>
          <w:b/>
          <w:sz w:val="24"/>
          <w:highlight w:val="none"/>
        </w:rPr>
        <w:t xml:space="preserve"> </w:t>
      </w:r>
      <w:r>
        <w:rPr>
          <w:rFonts w:hint="eastAsia" w:ascii="仿宋" w:hAnsi="仿宋" w:eastAsia="仿宋" w:cs="仿宋"/>
          <w:b/>
          <w:bCs/>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服务期：</w:t>
      </w:r>
      <w:r>
        <w:rPr>
          <w:rFonts w:hint="eastAsia" w:ascii="仿宋" w:hAnsi="仿宋" w:eastAsia="仿宋" w:cs="仿宋"/>
          <w:sz w:val="24"/>
          <w:highlight w:val="none"/>
          <w:lang w:val="en-US" w:eastAsia="zh-CN"/>
        </w:rPr>
        <w:t>按采购人要求时间范围内</w:t>
      </w:r>
      <w:r>
        <w:rPr>
          <w:rFonts w:hint="eastAsia" w:ascii="仿宋" w:hAnsi="仿宋" w:eastAsia="仿宋" w:cs="仿宋"/>
          <w:snapToGrid w:val="0"/>
          <w:color w:val="auto"/>
          <w:kern w:val="0"/>
          <w:sz w:val="24"/>
          <w:szCs w:val="21"/>
          <w:highlight w:val="none"/>
          <w:lang w:val="zh-CN" w:eastAsia="zh-CN" w:bidi="ar-SA"/>
        </w:rPr>
        <w:t>完成工作内容并提交成果报告。</w:t>
      </w:r>
    </w:p>
    <w:p w14:paraId="41AE271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服务地点：</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 xml:space="preserve">指定地点。                            </w:t>
      </w:r>
    </w:p>
    <w:p w14:paraId="1E4208B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）付款方式</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lang w:eastAsia="zh-CN"/>
        </w:rPr>
        <w:t>在乙方出具</w:t>
      </w:r>
      <w:r>
        <w:rPr>
          <w:rFonts w:hint="eastAsia" w:ascii="仿宋" w:hAnsi="仿宋" w:eastAsia="仿宋" w:cs="仿宋"/>
          <w:color w:val="auto"/>
          <w:sz w:val="24"/>
          <w:highlight w:val="none"/>
        </w:rPr>
        <w:t>评估报告</w:t>
      </w:r>
      <w:r>
        <w:rPr>
          <w:rFonts w:hint="eastAsia" w:ascii="仿宋" w:hAnsi="仿宋" w:eastAsia="仿宋" w:cs="仿宋"/>
          <w:color w:val="auto"/>
          <w:sz w:val="24"/>
          <w:highlight w:val="none"/>
          <w:lang w:eastAsia="zh-CN"/>
        </w:rPr>
        <w:t>且项目概算批复</w:t>
      </w:r>
      <w:r>
        <w:rPr>
          <w:rFonts w:hint="eastAsia" w:ascii="仿宋" w:hAnsi="仿宋" w:eastAsia="仿宋" w:cs="仿宋"/>
          <w:color w:val="auto"/>
          <w:sz w:val="24"/>
          <w:highlight w:val="none"/>
        </w:rPr>
        <w:t>后支付合同总金额</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在</w:t>
      </w:r>
      <w:r>
        <w:rPr>
          <w:rFonts w:hint="eastAsia" w:ascii="仿宋" w:hAnsi="仿宋" w:eastAsia="仿宋" w:cs="仿宋"/>
          <w:color w:val="auto"/>
          <w:sz w:val="24"/>
          <w:highlight w:val="none"/>
        </w:rPr>
        <w:t>取得文物主管部门行政批复文件后支付</w:t>
      </w:r>
      <w:r>
        <w:rPr>
          <w:rFonts w:hint="eastAsia" w:ascii="仿宋" w:hAnsi="仿宋" w:eastAsia="仿宋" w:cs="仿宋"/>
          <w:color w:val="auto"/>
          <w:sz w:val="24"/>
          <w:highlight w:val="none"/>
          <w:lang w:eastAsia="zh-CN"/>
        </w:rPr>
        <w:t>至</w:t>
      </w:r>
      <w:r>
        <w:rPr>
          <w:rFonts w:hint="eastAsia" w:ascii="仿宋" w:hAnsi="仿宋" w:eastAsia="仿宋" w:cs="仿宋"/>
          <w:color w:val="auto"/>
          <w:sz w:val="24"/>
          <w:highlight w:val="none"/>
        </w:rPr>
        <w:t>合同总金额</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w:t>
      </w:r>
    </w:p>
    <w:p w14:paraId="030216F8">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注：</w:t>
      </w:r>
    </w:p>
    <w:p w14:paraId="5F87736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1、交易文件中打</w:t>
      </w:r>
      <w:r>
        <w:rPr>
          <w:rFonts w:hint="eastAsia" w:ascii="仿宋" w:hAnsi="仿宋" w:eastAsia="仿宋" w:cs="仿宋"/>
          <w:b/>
          <w:bCs/>
          <w:sz w:val="24"/>
          <w:highlight w:val="none"/>
        </w:rPr>
        <w:t>▲</w:t>
      </w:r>
      <w:r>
        <w:rPr>
          <w:rFonts w:hint="eastAsia" w:ascii="仿宋" w:hAnsi="仿宋" w:eastAsia="仿宋" w:cs="仿宋"/>
          <w:sz w:val="24"/>
          <w:highlight w:val="none"/>
        </w:rPr>
        <w:t>内容为实质性要求，不允许有负偏离，否则将以涉及无效响应条款作无效响应。</w:t>
      </w:r>
    </w:p>
    <w:p w14:paraId="268BDD4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lang w:val="en-US" w:eastAsia="zh-CN"/>
        </w:rPr>
        <w:t>2、上述</w:t>
      </w:r>
      <w:r>
        <w:rPr>
          <w:rFonts w:hint="eastAsia" w:ascii="仿宋" w:hAnsi="仿宋" w:eastAsia="仿宋" w:cs="仿宋"/>
          <w:sz w:val="24"/>
          <w:highlight w:val="none"/>
        </w:rPr>
        <w:t>费用费用包括但不限于对建设项目涉及和影响区域内已有</w:t>
      </w:r>
      <w:r>
        <w:rPr>
          <w:rFonts w:hint="eastAsia" w:ascii="仿宋" w:hAnsi="仿宋" w:eastAsia="仿宋" w:cs="仿宋"/>
          <w:sz w:val="24"/>
          <w:highlight w:val="none"/>
          <w:lang w:eastAsia="zh-CN"/>
        </w:rPr>
        <w:t>遗产文物</w:t>
      </w:r>
      <w:r>
        <w:rPr>
          <w:rFonts w:hint="eastAsia" w:ascii="仿宋" w:hAnsi="仿宋" w:eastAsia="仿宋" w:cs="仿宋"/>
          <w:sz w:val="24"/>
          <w:highlight w:val="none"/>
        </w:rPr>
        <w:t>普查资料成果，已公布为各级</w:t>
      </w:r>
      <w:r>
        <w:rPr>
          <w:rFonts w:hint="eastAsia" w:ascii="仿宋" w:hAnsi="仿宋" w:eastAsia="仿宋" w:cs="仿宋"/>
          <w:sz w:val="24"/>
          <w:highlight w:val="none"/>
          <w:lang w:eastAsia="zh-CN"/>
        </w:rPr>
        <w:t>遗产文物</w:t>
      </w:r>
      <w:r>
        <w:rPr>
          <w:rFonts w:hint="eastAsia" w:ascii="仿宋" w:hAnsi="仿宋" w:eastAsia="仿宋" w:cs="仿宋"/>
          <w:sz w:val="24"/>
          <w:highlight w:val="none"/>
        </w:rPr>
        <w:t>保护单位保护范围和建议控制的相关资料，项目</w:t>
      </w:r>
      <w:r>
        <w:rPr>
          <w:rFonts w:hint="eastAsia" w:ascii="仿宋" w:hAnsi="仿宋" w:eastAsia="仿宋" w:cs="仿宋"/>
          <w:sz w:val="24"/>
          <w:highlight w:val="none"/>
          <w:lang w:val="en-US" w:eastAsia="zh-CN"/>
        </w:rPr>
        <w:t>区</w:t>
      </w:r>
      <w:r>
        <w:rPr>
          <w:rFonts w:hint="eastAsia" w:ascii="仿宋" w:hAnsi="仿宋" w:eastAsia="仿宋" w:cs="仿宋"/>
          <w:sz w:val="24"/>
          <w:highlight w:val="none"/>
        </w:rPr>
        <w:t>域环境影响评价、监测方案的制定及实施、环境影响预测与评价、公众参与调查、环境影响评价报告评审、报批等全面评价项目的</w:t>
      </w:r>
      <w:r>
        <w:rPr>
          <w:rFonts w:hint="eastAsia" w:ascii="仿宋" w:hAnsi="仿宋" w:eastAsia="仿宋" w:cs="仿宋"/>
          <w:sz w:val="24"/>
          <w:highlight w:val="none"/>
          <w:lang w:eastAsia="zh-CN"/>
        </w:rPr>
        <w:t>遗产文物</w:t>
      </w:r>
      <w:r>
        <w:rPr>
          <w:rFonts w:hint="eastAsia" w:ascii="仿宋" w:hAnsi="仿宋" w:eastAsia="仿宋" w:cs="仿宋"/>
          <w:sz w:val="24"/>
          <w:highlight w:val="none"/>
        </w:rPr>
        <w:t>影响，提出预防和减轻不良影响的相关对策和措施</w:t>
      </w:r>
      <w:r>
        <w:rPr>
          <w:rFonts w:hint="eastAsia" w:ascii="仿宋" w:hAnsi="仿宋" w:eastAsia="仿宋" w:cs="仿宋"/>
          <w:sz w:val="24"/>
          <w:highlight w:val="none"/>
          <w:lang w:eastAsia="zh-CN"/>
        </w:rPr>
        <w:t>、遗产文物</w:t>
      </w:r>
      <w:r>
        <w:rPr>
          <w:rFonts w:hint="eastAsia" w:ascii="仿宋" w:hAnsi="仿宋" w:eastAsia="仿宋" w:cs="仿宋"/>
          <w:sz w:val="24"/>
          <w:highlight w:val="none"/>
        </w:rPr>
        <w:t>影响评估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评审费、专家费、差旅费等</w:t>
      </w:r>
      <w:r>
        <w:rPr>
          <w:rFonts w:hint="eastAsia" w:ascii="仿宋" w:hAnsi="仿宋" w:eastAsia="仿宋" w:cs="仿宋"/>
          <w:sz w:val="24"/>
          <w:highlight w:val="none"/>
        </w:rPr>
        <w:t>及根据法律、法规、政策要求的</w:t>
      </w:r>
      <w:r>
        <w:rPr>
          <w:rFonts w:hint="eastAsia" w:ascii="仿宋" w:hAnsi="仿宋" w:eastAsia="仿宋" w:cs="仿宋"/>
          <w:sz w:val="24"/>
          <w:highlight w:val="none"/>
          <w:lang w:val="en-US" w:eastAsia="zh-CN"/>
        </w:rPr>
        <w:t>相关一切费用</w:t>
      </w:r>
      <w:r>
        <w:rPr>
          <w:rFonts w:hint="eastAsia" w:ascii="仿宋" w:hAnsi="仿宋" w:eastAsia="仿宋" w:cs="仿宋"/>
          <w:sz w:val="24"/>
          <w:highlight w:val="none"/>
        </w:rPr>
        <w:t>。</w:t>
      </w:r>
    </w:p>
    <w:p w14:paraId="56C1A39B">
      <w:pPr>
        <w:numPr>
          <w:ilvl w:val="0"/>
          <w:numId w:val="1"/>
        </w:numPr>
        <w:snapToGrid w:val="0"/>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bookmarkStart w:id="19" w:name="_Toc184310290"/>
      <w:bookmarkEnd w:id="19"/>
      <w:bookmarkStart w:id="20" w:name="_Toc184313279"/>
      <w:bookmarkEnd w:id="20"/>
      <w:bookmarkStart w:id="21" w:name="_Toc184314457"/>
      <w:bookmarkEnd w:id="21"/>
      <w:bookmarkStart w:id="22" w:name="_Toc184310288"/>
      <w:bookmarkEnd w:id="22"/>
      <w:bookmarkStart w:id="23" w:name="_Toc184314461"/>
      <w:bookmarkEnd w:id="23"/>
      <w:bookmarkStart w:id="24" w:name="_Toc184313258"/>
      <w:bookmarkEnd w:id="24"/>
      <w:bookmarkStart w:id="25" w:name="_Toc184308084"/>
      <w:bookmarkEnd w:id="25"/>
      <w:bookmarkStart w:id="26" w:name="_Toc184310313"/>
      <w:bookmarkEnd w:id="26"/>
      <w:bookmarkStart w:id="27" w:name="_Toc184310280"/>
      <w:bookmarkEnd w:id="27"/>
      <w:bookmarkStart w:id="28" w:name="_Toc184308096"/>
      <w:bookmarkEnd w:id="28"/>
      <w:bookmarkStart w:id="29" w:name="_Toc184314437"/>
      <w:bookmarkEnd w:id="29"/>
      <w:bookmarkStart w:id="30" w:name="_Toc184313297"/>
      <w:bookmarkEnd w:id="30"/>
      <w:bookmarkStart w:id="31" w:name="_Toc184313301"/>
      <w:bookmarkEnd w:id="31"/>
      <w:bookmarkStart w:id="32" w:name="_Toc184314441"/>
      <w:bookmarkEnd w:id="32"/>
      <w:bookmarkStart w:id="33" w:name="_Toc184314427"/>
      <w:bookmarkEnd w:id="33"/>
      <w:bookmarkStart w:id="34" w:name="_Toc184313283"/>
      <w:bookmarkEnd w:id="34"/>
      <w:bookmarkStart w:id="35" w:name="_Toc184313263"/>
      <w:bookmarkEnd w:id="35"/>
      <w:bookmarkStart w:id="36" w:name="_Toc184314447"/>
      <w:bookmarkEnd w:id="36"/>
      <w:bookmarkStart w:id="37" w:name="_Toc184308058"/>
      <w:bookmarkEnd w:id="37"/>
      <w:bookmarkStart w:id="38" w:name="_Toc184310338"/>
      <w:bookmarkEnd w:id="38"/>
      <w:bookmarkStart w:id="39" w:name="_Toc184310282"/>
      <w:bookmarkEnd w:id="39"/>
      <w:bookmarkStart w:id="40" w:name="_Toc184310322"/>
      <w:bookmarkEnd w:id="40"/>
      <w:bookmarkStart w:id="41" w:name="_Toc184314480"/>
      <w:bookmarkEnd w:id="41"/>
      <w:bookmarkStart w:id="42" w:name="_Toc184314454"/>
      <w:bookmarkEnd w:id="42"/>
      <w:bookmarkStart w:id="43" w:name="_Toc184313259"/>
      <w:bookmarkEnd w:id="43"/>
      <w:bookmarkStart w:id="44" w:name="_Toc184314446"/>
      <w:bookmarkEnd w:id="44"/>
      <w:bookmarkStart w:id="45" w:name="_Toc184313295"/>
      <w:bookmarkEnd w:id="45"/>
      <w:bookmarkStart w:id="46" w:name="_Toc184310307"/>
      <w:bookmarkEnd w:id="46"/>
      <w:bookmarkStart w:id="47" w:name="_Toc184310312"/>
      <w:bookmarkEnd w:id="47"/>
      <w:bookmarkStart w:id="48" w:name="_Toc184310325"/>
      <w:bookmarkEnd w:id="48"/>
      <w:bookmarkStart w:id="49" w:name="_Toc184314445"/>
      <w:bookmarkEnd w:id="49"/>
      <w:bookmarkStart w:id="50" w:name="_Toc184312082"/>
      <w:bookmarkEnd w:id="50"/>
      <w:bookmarkStart w:id="51" w:name="_Toc184313303"/>
      <w:bookmarkEnd w:id="51"/>
      <w:bookmarkStart w:id="52" w:name="_Toc184314434"/>
      <w:bookmarkEnd w:id="52"/>
      <w:bookmarkStart w:id="53" w:name="_Toc184314424"/>
      <w:bookmarkEnd w:id="53"/>
      <w:bookmarkStart w:id="54" w:name="_Toc184313305"/>
      <w:bookmarkEnd w:id="54"/>
      <w:bookmarkStart w:id="55" w:name="_Toc184313257"/>
      <w:bookmarkEnd w:id="55"/>
      <w:bookmarkStart w:id="56" w:name="_Toc184313285"/>
      <w:bookmarkEnd w:id="56"/>
      <w:bookmarkStart w:id="57" w:name="_Toc184312105"/>
      <w:bookmarkEnd w:id="57"/>
      <w:bookmarkStart w:id="58" w:name="_Toc184310337"/>
      <w:bookmarkEnd w:id="58"/>
      <w:bookmarkStart w:id="59" w:name="_Toc184313248"/>
      <w:bookmarkEnd w:id="59"/>
      <w:bookmarkStart w:id="60" w:name="_Toc184308063"/>
      <w:bookmarkEnd w:id="60"/>
      <w:bookmarkStart w:id="61" w:name="_Toc184310329"/>
      <w:bookmarkEnd w:id="61"/>
      <w:bookmarkStart w:id="62" w:name="_Toc184314459"/>
      <w:bookmarkEnd w:id="62"/>
      <w:bookmarkStart w:id="63" w:name="_Toc184308053"/>
      <w:bookmarkEnd w:id="63"/>
      <w:bookmarkStart w:id="64" w:name="_Toc184310272"/>
      <w:bookmarkEnd w:id="64"/>
      <w:bookmarkStart w:id="65" w:name="_Toc184314422"/>
      <w:bookmarkEnd w:id="65"/>
      <w:bookmarkStart w:id="66" w:name="_Toc184310293"/>
      <w:bookmarkEnd w:id="66"/>
      <w:bookmarkStart w:id="67" w:name="_Toc184313280"/>
      <w:bookmarkEnd w:id="67"/>
      <w:bookmarkStart w:id="68" w:name="_Toc184310315"/>
      <w:bookmarkEnd w:id="68"/>
      <w:bookmarkStart w:id="69" w:name="_Toc184314452"/>
      <w:bookmarkEnd w:id="69"/>
      <w:bookmarkStart w:id="70" w:name="_Toc184314473"/>
      <w:bookmarkEnd w:id="70"/>
      <w:bookmarkStart w:id="71" w:name="_Toc184313271"/>
      <w:bookmarkEnd w:id="71"/>
      <w:bookmarkStart w:id="72" w:name="_Toc184312072"/>
      <w:bookmarkEnd w:id="72"/>
      <w:bookmarkStart w:id="73" w:name="_Toc184314456"/>
      <w:bookmarkEnd w:id="73"/>
      <w:bookmarkStart w:id="74" w:name="_Toc184312067"/>
      <w:bookmarkEnd w:id="74"/>
      <w:bookmarkStart w:id="75" w:name="_Toc184313309"/>
      <w:bookmarkEnd w:id="75"/>
      <w:bookmarkStart w:id="76" w:name="_Toc184314415"/>
      <w:bookmarkEnd w:id="76"/>
      <w:bookmarkStart w:id="77" w:name="_Toc184314469"/>
      <w:bookmarkEnd w:id="77"/>
      <w:bookmarkStart w:id="78" w:name="_Toc184314460"/>
      <w:bookmarkEnd w:id="78"/>
      <w:bookmarkStart w:id="79" w:name="_Toc184312108"/>
      <w:bookmarkEnd w:id="79"/>
      <w:bookmarkStart w:id="80" w:name="_Toc184310276"/>
      <w:bookmarkEnd w:id="80"/>
      <w:bookmarkStart w:id="81" w:name="_Toc184313249"/>
      <w:bookmarkEnd w:id="81"/>
      <w:bookmarkStart w:id="82" w:name="_Toc184312139"/>
      <w:bookmarkEnd w:id="82"/>
      <w:bookmarkStart w:id="83" w:name="_Toc184314418"/>
      <w:bookmarkEnd w:id="83"/>
      <w:bookmarkStart w:id="84" w:name="_Toc184314482"/>
      <w:bookmarkEnd w:id="84"/>
      <w:bookmarkStart w:id="85" w:name="_Toc184308078"/>
      <w:bookmarkEnd w:id="85"/>
      <w:bookmarkStart w:id="86" w:name="_Toc184313265"/>
      <w:bookmarkEnd w:id="86"/>
      <w:bookmarkStart w:id="87" w:name="_Toc184314414"/>
      <w:bookmarkEnd w:id="87"/>
      <w:bookmarkStart w:id="88" w:name="_Toc184308097"/>
      <w:bookmarkEnd w:id="88"/>
      <w:bookmarkStart w:id="89" w:name="_Toc184313281"/>
      <w:bookmarkEnd w:id="89"/>
      <w:bookmarkStart w:id="90" w:name="_Toc184312081"/>
      <w:bookmarkEnd w:id="90"/>
      <w:bookmarkStart w:id="91" w:name="_Toc184312096"/>
      <w:bookmarkEnd w:id="91"/>
      <w:bookmarkStart w:id="92" w:name="_Toc184308102"/>
      <w:bookmarkEnd w:id="92"/>
      <w:bookmarkStart w:id="93" w:name="_Toc184313246"/>
      <w:bookmarkEnd w:id="93"/>
      <w:bookmarkStart w:id="94" w:name="_Toc184314465"/>
      <w:bookmarkEnd w:id="94"/>
      <w:bookmarkStart w:id="95" w:name="_Toc184312089"/>
      <w:bookmarkEnd w:id="95"/>
      <w:bookmarkStart w:id="96" w:name="_Toc184308069"/>
      <w:bookmarkEnd w:id="96"/>
      <w:bookmarkStart w:id="97" w:name="_Toc184310330"/>
      <w:bookmarkEnd w:id="97"/>
      <w:bookmarkStart w:id="98" w:name="_Toc184310286"/>
      <w:bookmarkEnd w:id="98"/>
      <w:bookmarkStart w:id="99" w:name="_Toc184308092"/>
      <w:bookmarkEnd w:id="99"/>
      <w:bookmarkStart w:id="100" w:name="_Toc184308054"/>
      <w:bookmarkEnd w:id="100"/>
      <w:bookmarkStart w:id="101" w:name="_Toc184310295"/>
      <w:bookmarkEnd w:id="101"/>
      <w:bookmarkStart w:id="102" w:name="_Toc184314423"/>
      <w:bookmarkEnd w:id="102"/>
      <w:bookmarkStart w:id="103" w:name="_Toc184312111"/>
      <w:bookmarkEnd w:id="103"/>
      <w:bookmarkStart w:id="104" w:name="_Toc184312120"/>
      <w:bookmarkEnd w:id="104"/>
      <w:bookmarkStart w:id="105" w:name="_Toc184308081"/>
      <w:bookmarkEnd w:id="105"/>
      <w:bookmarkStart w:id="106" w:name="_Toc184308077"/>
      <w:bookmarkEnd w:id="106"/>
      <w:bookmarkStart w:id="107" w:name="_Toc184310277"/>
      <w:bookmarkEnd w:id="107"/>
      <w:bookmarkStart w:id="108" w:name="_Toc184310306"/>
      <w:bookmarkEnd w:id="108"/>
      <w:bookmarkStart w:id="109" w:name="_Toc184314455"/>
      <w:bookmarkEnd w:id="109"/>
      <w:bookmarkStart w:id="110" w:name="_Toc184312090"/>
      <w:bookmarkEnd w:id="110"/>
      <w:bookmarkStart w:id="111" w:name="_Toc184313307"/>
      <w:bookmarkEnd w:id="111"/>
      <w:bookmarkStart w:id="112" w:name="_Toc184312074"/>
      <w:bookmarkEnd w:id="112"/>
      <w:bookmarkStart w:id="113" w:name="_Toc184308104"/>
      <w:bookmarkEnd w:id="113"/>
      <w:bookmarkStart w:id="114" w:name="_Toc184310302"/>
      <w:bookmarkEnd w:id="114"/>
      <w:bookmarkStart w:id="115" w:name="_Toc184312107"/>
      <w:bookmarkEnd w:id="115"/>
      <w:bookmarkStart w:id="116" w:name="_Toc184308057"/>
      <w:bookmarkEnd w:id="116"/>
      <w:bookmarkStart w:id="117" w:name="_Toc184314477"/>
      <w:bookmarkEnd w:id="117"/>
      <w:bookmarkStart w:id="118" w:name="_Toc184313240"/>
      <w:bookmarkEnd w:id="118"/>
      <w:bookmarkStart w:id="119" w:name="_Toc184313300"/>
      <w:bookmarkEnd w:id="119"/>
      <w:bookmarkStart w:id="120" w:name="_Toc184310343"/>
      <w:bookmarkEnd w:id="120"/>
      <w:bookmarkStart w:id="121" w:name="_Toc184314476"/>
      <w:bookmarkEnd w:id="121"/>
      <w:bookmarkStart w:id="122" w:name="_Toc184308064"/>
      <w:bookmarkEnd w:id="122"/>
      <w:bookmarkStart w:id="123" w:name="_Toc184308036"/>
      <w:bookmarkEnd w:id="123"/>
      <w:bookmarkStart w:id="124" w:name="_Toc184310320"/>
      <w:bookmarkEnd w:id="124"/>
      <w:bookmarkStart w:id="125" w:name="_Toc184313260"/>
      <w:bookmarkEnd w:id="125"/>
      <w:bookmarkStart w:id="126" w:name="_Toc184312133"/>
      <w:bookmarkEnd w:id="126"/>
      <w:bookmarkStart w:id="127" w:name="_Toc184314430"/>
      <w:bookmarkEnd w:id="127"/>
      <w:bookmarkStart w:id="128" w:name="_Toc184310326"/>
      <w:bookmarkEnd w:id="128"/>
      <w:bookmarkStart w:id="129" w:name="_Toc184313247"/>
      <w:bookmarkEnd w:id="129"/>
      <w:bookmarkStart w:id="130" w:name="_Toc184310289"/>
      <w:bookmarkEnd w:id="130"/>
      <w:bookmarkStart w:id="131" w:name="_Toc184310291"/>
      <w:bookmarkEnd w:id="131"/>
      <w:bookmarkStart w:id="132" w:name="_Toc184312117"/>
      <w:bookmarkEnd w:id="132"/>
      <w:bookmarkStart w:id="133" w:name="_Toc184310318"/>
      <w:bookmarkEnd w:id="133"/>
      <w:bookmarkStart w:id="134" w:name="_Toc184313239"/>
      <w:bookmarkEnd w:id="134"/>
      <w:bookmarkStart w:id="135" w:name="_Toc184314412"/>
      <w:bookmarkEnd w:id="135"/>
      <w:bookmarkStart w:id="136" w:name="_Toc184312099"/>
      <w:bookmarkEnd w:id="136"/>
      <w:bookmarkStart w:id="137" w:name="_Toc184312083"/>
      <w:bookmarkEnd w:id="137"/>
      <w:bookmarkStart w:id="138" w:name="_Toc184310319"/>
      <w:bookmarkEnd w:id="138"/>
      <w:bookmarkStart w:id="139" w:name="_Toc184312125"/>
      <w:bookmarkEnd w:id="139"/>
      <w:bookmarkStart w:id="140" w:name="_Toc184312106"/>
      <w:bookmarkEnd w:id="140"/>
      <w:bookmarkStart w:id="141" w:name="_Toc184314440"/>
      <w:bookmarkEnd w:id="141"/>
      <w:bookmarkStart w:id="142" w:name="_Toc184312068"/>
      <w:bookmarkEnd w:id="142"/>
      <w:bookmarkStart w:id="143" w:name="_Toc184308090"/>
      <w:bookmarkEnd w:id="143"/>
      <w:bookmarkStart w:id="144" w:name="_Toc184313269"/>
      <w:bookmarkEnd w:id="144"/>
      <w:bookmarkStart w:id="145" w:name="_Toc184308108"/>
      <w:bookmarkEnd w:id="145"/>
      <w:bookmarkStart w:id="146" w:name="_Toc184313243"/>
      <w:bookmarkEnd w:id="146"/>
      <w:bookmarkStart w:id="147" w:name="_Toc184308094"/>
      <w:bookmarkEnd w:id="147"/>
      <w:bookmarkStart w:id="148" w:name="_Toc184314474"/>
      <w:bookmarkEnd w:id="148"/>
      <w:bookmarkStart w:id="149" w:name="_Toc184310308"/>
      <w:bookmarkEnd w:id="149"/>
      <w:bookmarkStart w:id="150" w:name="_Toc184312100"/>
      <w:bookmarkEnd w:id="150"/>
      <w:bookmarkStart w:id="151" w:name="_Toc184312136"/>
      <w:bookmarkEnd w:id="151"/>
      <w:bookmarkStart w:id="152" w:name="_Toc184308086"/>
      <w:bookmarkEnd w:id="152"/>
      <w:bookmarkStart w:id="153" w:name="_Toc184314442"/>
      <w:bookmarkEnd w:id="153"/>
      <w:bookmarkStart w:id="154" w:name="_Toc184313261"/>
      <w:bookmarkEnd w:id="154"/>
      <w:bookmarkStart w:id="155" w:name="_Toc184312114"/>
      <w:bookmarkEnd w:id="155"/>
      <w:bookmarkStart w:id="156" w:name="_Toc184314468"/>
      <w:bookmarkEnd w:id="156"/>
      <w:bookmarkStart w:id="157" w:name="_Toc184308041"/>
      <w:bookmarkEnd w:id="157"/>
      <w:bookmarkStart w:id="158" w:name="_Toc184314419"/>
      <w:bookmarkEnd w:id="158"/>
      <w:bookmarkStart w:id="159" w:name="_Toc184313276"/>
      <w:bookmarkEnd w:id="159"/>
      <w:bookmarkStart w:id="160" w:name="_Toc184308046"/>
      <w:bookmarkEnd w:id="160"/>
      <w:bookmarkStart w:id="161" w:name="_Toc184308038"/>
      <w:bookmarkEnd w:id="161"/>
      <w:bookmarkStart w:id="162" w:name="_Toc184312086"/>
      <w:bookmarkEnd w:id="162"/>
      <w:bookmarkStart w:id="163" w:name="_Toc184314416"/>
      <w:bookmarkEnd w:id="163"/>
      <w:bookmarkStart w:id="164" w:name="_Toc184314463"/>
      <w:bookmarkEnd w:id="164"/>
      <w:bookmarkStart w:id="165" w:name="_Toc184312101"/>
      <w:bookmarkEnd w:id="165"/>
      <w:bookmarkStart w:id="166" w:name="_Toc184308059"/>
      <w:bookmarkEnd w:id="166"/>
      <w:bookmarkStart w:id="167" w:name="_Toc184314450"/>
      <w:bookmarkEnd w:id="167"/>
      <w:bookmarkStart w:id="168" w:name="_Toc184308087"/>
      <w:bookmarkEnd w:id="168"/>
      <w:bookmarkStart w:id="169" w:name="_Toc184308056"/>
      <w:bookmarkEnd w:id="169"/>
      <w:bookmarkStart w:id="170" w:name="_Toc184312092"/>
      <w:bookmarkEnd w:id="170"/>
      <w:bookmarkStart w:id="171" w:name="_Toc184314449"/>
      <w:bookmarkEnd w:id="171"/>
      <w:bookmarkStart w:id="172" w:name="_Toc184313292"/>
      <w:bookmarkEnd w:id="172"/>
      <w:bookmarkStart w:id="173" w:name="_Toc184314481"/>
      <w:bookmarkEnd w:id="173"/>
      <w:bookmarkStart w:id="174" w:name="_Toc184313255"/>
      <w:bookmarkEnd w:id="174"/>
      <w:bookmarkStart w:id="175" w:name="_Toc184310274"/>
      <w:bookmarkEnd w:id="175"/>
      <w:bookmarkStart w:id="176" w:name="_Toc184313275"/>
      <w:bookmarkEnd w:id="176"/>
      <w:bookmarkStart w:id="177" w:name="_Toc184312094"/>
      <w:bookmarkEnd w:id="177"/>
      <w:bookmarkStart w:id="178" w:name="_Toc184314475"/>
      <w:bookmarkEnd w:id="178"/>
      <w:bookmarkStart w:id="179" w:name="_Toc184314458"/>
      <w:bookmarkEnd w:id="179"/>
      <w:bookmarkStart w:id="180" w:name="_Toc184313256"/>
      <w:bookmarkEnd w:id="180"/>
      <w:bookmarkStart w:id="181" w:name="_Toc184313288"/>
      <w:bookmarkEnd w:id="181"/>
      <w:bookmarkStart w:id="182" w:name="_Toc184314428"/>
      <w:bookmarkEnd w:id="182"/>
      <w:bookmarkStart w:id="183" w:name="_Toc184310294"/>
      <w:bookmarkEnd w:id="183"/>
      <w:bookmarkStart w:id="184" w:name="_Toc184314420"/>
      <w:bookmarkEnd w:id="184"/>
      <w:bookmarkStart w:id="185" w:name="_Toc184308040"/>
      <w:bookmarkEnd w:id="185"/>
      <w:bookmarkStart w:id="186" w:name="_Toc184312104"/>
      <w:bookmarkEnd w:id="186"/>
      <w:bookmarkStart w:id="187" w:name="_Toc184313252"/>
      <w:bookmarkEnd w:id="187"/>
      <w:bookmarkStart w:id="188" w:name="_Toc184308095"/>
      <w:bookmarkEnd w:id="188"/>
      <w:bookmarkStart w:id="189" w:name="_Toc184310284"/>
      <w:bookmarkEnd w:id="189"/>
      <w:bookmarkStart w:id="190" w:name="_Toc184308107"/>
      <w:bookmarkEnd w:id="190"/>
      <w:bookmarkStart w:id="191" w:name="_Toc184313282"/>
      <w:bookmarkEnd w:id="191"/>
      <w:bookmarkStart w:id="192" w:name="_Toc184312077"/>
      <w:bookmarkEnd w:id="192"/>
      <w:bookmarkStart w:id="193" w:name="_Toc184313308"/>
      <w:bookmarkEnd w:id="193"/>
      <w:bookmarkStart w:id="194" w:name="_Toc184310328"/>
      <w:bookmarkEnd w:id="194"/>
      <w:bookmarkStart w:id="195" w:name="_Toc184313254"/>
      <w:bookmarkEnd w:id="195"/>
      <w:bookmarkStart w:id="196" w:name="_Toc184314462"/>
      <w:bookmarkEnd w:id="196"/>
      <w:bookmarkStart w:id="197" w:name="_Toc184312138"/>
      <w:bookmarkEnd w:id="197"/>
      <w:bookmarkStart w:id="198" w:name="_Toc184313299"/>
      <w:bookmarkEnd w:id="198"/>
      <w:bookmarkStart w:id="199" w:name="_Toc184308091"/>
      <w:bookmarkEnd w:id="199"/>
      <w:bookmarkStart w:id="200" w:name="_Toc184313251"/>
      <w:bookmarkEnd w:id="200"/>
      <w:bookmarkStart w:id="201" w:name="_Toc184308070"/>
      <w:bookmarkEnd w:id="201"/>
      <w:bookmarkStart w:id="202" w:name="_Toc184314429"/>
      <w:bookmarkEnd w:id="202"/>
      <w:bookmarkStart w:id="203" w:name="_Toc184312097"/>
      <w:bookmarkEnd w:id="203"/>
      <w:bookmarkStart w:id="204" w:name="_Toc184314425"/>
      <w:bookmarkEnd w:id="204"/>
      <w:bookmarkStart w:id="205" w:name="_Toc184312085"/>
      <w:bookmarkEnd w:id="205"/>
      <w:bookmarkStart w:id="206" w:name="_Toc184308050"/>
      <w:bookmarkEnd w:id="206"/>
      <w:bookmarkStart w:id="207" w:name="_Toc184312132"/>
      <w:bookmarkEnd w:id="207"/>
      <w:bookmarkStart w:id="208" w:name="_Toc184312121"/>
      <w:bookmarkEnd w:id="208"/>
      <w:bookmarkStart w:id="209" w:name="_Toc184314466"/>
      <w:bookmarkEnd w:id="209"/>
      <w:bookmarkStart w:id="210" w:name="_Toc184308106"/>
      <w:bookmarkEnd w:id="210"/>
      <w:bookmarkStart w:id="211" w:name="_Toc184312098"/>
      <w:bookmarkEnd w:id="211"/>
      <w:bookmarkStart w:id="212" w:name="_Toc184308083"/>
      <w:bookmarkEnd w:id="212"/>
      <w:bookmarkStart w:id="213" w:name="_Toc184312122"/>
      <w:bookmarkEnd w:id="213"/>
      <w:bookmarkStart w:id="214" w:name="_Toc184313244"/>
      <w:bookmarkEnd w:id="214"/>
      <w:bookmarkStart w:id="215" w:name="_Toc184313273"/>
      <w:bookmarkEnd w:id="215"/>
      <w:bookmarkStart w:id="216" w:name="_Toc184312076"/>
      <w:bookmarkEnd w:id="216"/>
      <w:bookmarkStart w:id="217" w:name="_Toc184308061"/>
      <w:bookmarkEnd w:id="217"/>
      <w:bookmarkStart w:id="218" w:name="_Toc184310324"/>
      <w:bookmarkEnd w:id="218"/>
      <w:bookmarkStart w:id="219" w:name="_Toc184313264"/>
      <w:bookmarkEnd w:id="219"/>
      <w:bookmarkStart w:id="220" w:name="_Toc184310309"/>
      <w:bookmarkEnd w:id="220"/>
      <w:bookmarkStart w:id="221" w:name="_Toc184312129"/>
      <w:bookmarkEnd w:id="221"/>
      <w:bookmarkStart w:id="222" w:name="_Toc184312087"/>
      <w:bookmarkEnd w:id="222"/>
      <w:bookmarkStart w:id="223" w:name="_Toc184310333"/>
      <w:bookmarkEnd w:id="223"/>
      <w:bookmarkStart w:id="224" w:name="_Toc184313262"/>
      <w:bookmarkEnd w:id="224"/>
      <w:bookmarkStart w:id="225" w:name="_Toc184314417"/>
      <w:bookmarkEnd w:id="225"/>
      <w:bookmarkStart w:id="226" w:name="_Toc184308045"/>
      <w:bookmarkEnd w:id="226"/>
      <w:bookmarkStart w:id="227" w:name="_Toc184313250"/>
      <w:bookmarkEnd w:id="227"/>
      <w:bookmarkStart w:id="228" w:name="_Toc184314436"/>
      <w:bookmarkEnd w:id="228"/>
      <w:bookmarkStart w:id="229" w:name="_Toc184312091"/>
      <w:bookmarkEnd w:id="229"/>
      <w:bookmarkStart w:id="230" w:name="_Toc184313290"/>
      <w:bookmarkEnd w:id="230"/>
      <w:bookmarkStart w:id="231" w:name="_Toc184312116"/>
      <w:bookmarkEnd w:id="231"/>
      <w:bookmarkStart w:id="232" w:name="_Toc184312075"/>
      <w:bookmarkEnd w:id="232"/>
      <w:bookmarkStart w:id="233" w:name="_Toc184310332"/>
      <w:bookmarkEnd w:id="233"/>
      <w:bookmarkStart w:id="234" w:name="_Toc184312135"/>
      <w:bookmarkEnd w:id="234"/>
      <w:bookmarkStart w:id="235" w:name="_Toc184313287"/>
      <w:bookmarkEnd w:id="235"/>
      <w:bookmarkStart w:id="236" w:name="_Toc184308089"/>
      <w:bookmarkEnd w:id="236"/>
      <w:bookmarkStart w:id="237" w:name="_Toc184314471"/>
      <w:bookmarkEnd w:id="237"/>
      <w:bookmarkStart w:id="238" w:name="_Toc184314426"/>
      <w:bookmarkEnd w:id="238"/>
      <w:bookmarkStart w:id="239" w:name="_Toc184308052"/>
      <w:bookmarkEnd w:id="239"/>
      <w:bookmarkStart w:id="240" w:name="_Toc184314432"/>
      <w:bookmarkEnd w:id="240"/>
      <w:bookmarkStart w:id="241" w:name="_Toc184312128"/>
      <w:bookmarkEnd w:id="241"/>
      <w:bookmarkStart w:id="242" w:name="_Toc184308044"/>
      <w:bookmarkEnd w:id="242"/>
      <w:bookmarkStart w:id="243" w:name="_Toc184312070"/>
      <w:bookmarkEnd w:id="243"/>
      <w:bookmarkStart w:id="244" w:name="_Toc184308047"/>
      <w:bookmarkEnd w:id="244"/>
      <w:bookmarkStart w:id="245" w:name="_Toc184312119"/>
      <w:bookmarkEnd w:id="245"/>
      <w:bookmarkStart w:id="246" w:name="_Toc184308039"/>
      <w:bookmarkEnd w:id="246"/>
      <w:bookmarkStart w:id="247" w:name="_Toc184314464"/>
      <w:bookmarkEnd w:id="247"/>
      <w:bookmarkStart w:id="248" w:name="_Toc184313286"/>
      <w:bookmarkEnd w:id="248"/>
      <w:bookmarkStart w:id="249" w:name="_Toc184308085"/>
      <w:bookmarkEnd w:id="249"/>
      <w:bookmarkStart w:id="250" w:name="_Toc184313241"/>
      <w:bookmarkEnd w:id="250"/>
      <w:bookmarkStart w:id="251" w:name="_Toc184310300"/>
      <w:bookmarkEnd w:id="251"/>
      <w:bookmarkStart w:id="252" w:name="_Toc184310314"/>
      <w:bookmarkEnd w:id="252"/>
      <w:bookmarkStart w:id="253" w:name="_Toc184312109"/>
      <w:bookmarkEnd w:id="253"/>
      <w:bookmarkStart w:id="254" w:name="_Toc184308042"/>
      <w:bookmarkEnd w:id="254"/>
      <w:bookmarkStart w:id="255" w:name="_Toc184314435"/>
      <w:bookmarkEnd w:id="255"/>
      <w:bookmarkStart w:id="256" w:name="_Toc184308103"/>
      <w:bookmarkEnd w:id="256"/>
      <w:bookmarkStart w:id="257" w:name="_Toc184310331"/>
      <w:bookmarkEnd w:id="257"/>
      <w:bookmarkStart w:id="258" w:name="_Toc184314453"/>
      <w:bookmarkEnd w:id="258"/>
      <w:bookmarkStart w:id="259" w:name="_Toc184310321"/>
      <w:bookmarkEnd w:id="259"/>
      <w:bookmarkStart w:id="260" w:name="_Toc184312102"/>
      <w:bookmarkEnd w:id="260"/>
      <w:bookmarkStart w:id="261" w:name="_Toc184313302"/>
      <w:bookmarkEnd w:id="261"/>
      <w:bookmarkStart w:id="262" w:name="_Toc184313310"/>
      <w:bookmarkEnd w:id="262"/>
      <w:bookmarkStart w:id="263" w:name="_Toc184312095"/>
      <w:bookmarkEnd w:id="263"/>
      <w:bookmarkStart w:id="264" w:name="_Toc184310335"/>
      <w:bookmarkEnd w:id="264"/>
      <w:bookmarkStart w:id="265" w:name="_Toc184308037"/>
      <w:bookmarkEnd w:id="265"/>
      <w:bookmarkStart w:id="266" w:name="_Toc184314472"/>
      <w:bookmarkEnd w:id="266"/>
      <w:bookmarkStart w:id="267" w:name="_Toc184310273"/>
      <w:bookmarkEnd w:id="267"/>
      <w:bookmarkStart w:id="268" w:name="_Toc184310341"/>
      <w:bookmarkEnd w:id="268"/>
      <w:bookmarkStart w:id="269" w:name="_Toc184308071"/>
      <w:bookmarkEnd w:id="269"/>
      <w:bookmarkStart w:id="270" w:name="_Toc184310311"/>
      <w:bookmarkEnd w:id="270"/>
      <w:bookmarkStart w:id="271" w:name="_Toc184313298"/>
      <w:bookmarkEnd w:id="271"/>
      <w:bookmarkStart w:id="272" w:name="_Toc184310310"/>
      <w:bookmarkEnd w:id="272"/>
      <w:bookmarkStart w:id="273" w:name="_Toc184310327"/>
      <w:bookmarkEnd w:id="273"/>
      <w:bookmarkStart w:id="274" w:name="_Toc184308048"/>
      <w:bookmarkEnd w:id="274"/>
      <w:bookmarkStart w:id="275" w:name="_Toc184313296"/>
      <w:bookmarkEnd w:id="275"/>
      <w:bookmarkStart w:id="276" w:name="_Toc184313294"/>
      <w:bookmarkEnd w:id="276"/>
      <w:bookmarkStart w:id="277" w:name="_Toc184308068"/>
      <w:bookmarkEnd w:id="277"/>
      <w:bookmarkStart w:id="278" w:name="_Toc184310299"/>
      <w:bookmarkEnd w:id="278"/>
      <w:bookmarkStart w:id="279" w:name="_Toc184312137"/>
      <w:bookmarkEnd w:id="279"/>
      <w:bookmarkStart w:id="280" w:name="_Toc184314451"/>
      <w:bookmarkEnd w:id="280"/>
      <w:bookmarkStart w:id="281" w:name="_Toc184310344"/>
      <w:bookmarkEnd w:id="281"/>
      <w:bookmarkStart w:id="282" w:name="_Toc184308062"/>
      <w:bookmarkEnd w:id="282"/>
      <w:bookmarkStart w:id="283" w:name="_Toc184308060"/>
      <w:bookmarkEnd w:id="283"/>
      <w:bookmarkStart w:id="284" w:name="_Toc184312071"/>
      <w:bookmarkEnd w:id="284"/>
      <w:bookmarkStart w:id="285" w:name="_Toc184308075"/>
      <w:bookmarkEnd w:id="285"/>
      <w:bookmarkStart w:id="286" w:name="_Toc184310303"/>
      <w:bookmarkEnd w:id="286"/>
      <w:bookmarkStart w:id="287" w:name="_Toc184310304"/>
      <w:bookmarkEnd w:id="287"/>
      <w:bookmarkStart w:id="288" w:name="_Toc184308082"/>
      <w:bookmarkEnd w:id="288"/>
      <w:bookmarkStart w:id="289" w:name="_Toc184313253"/>
      <w:bookmarkEnd w:id="289"/>
      <w:bookmarkStart w:id="290" w:name="_Toc184308066"/>
      <w:bookmarkEnd w:id="290"/>
      <w:bookmarkStart w:id="291" w:name="_Toc184310317"/>
      <w:bookmarkEnd w:id="291"/>
      <w:bookmarkStart w:id="292" w:name="_Toc184312078"/>
      <w:bookmarkEnd w:id="292"/>
      <w:bookmarkStart w:id="293" w:name="_Toc184310281"/>
      <w:bookmarkEnd w:id="293"/>
      <w:bookmarkStart w:id="294" w:name="_Toc184308099"/>
      <w:bookmarkEnd w:id="294"/>
      <w:bookmarkStart w:id="295" w:name="_Toc184308088"/>
      <w:bookmarkEnd w:id="295"/>
      <w:bookmarkStart w:id="296" w:name="_Toc184310292"/>
      <w:bookmarkEnd w:id="296"/>
      <w:bookmarkStart w:id="297" w:name="_Toc184313274"/>
      <w:bookmarkEnd w:id="297"/>
      <w:bookmarkStart w:id="298" w:name="_Toc184312069"/>
      <w:bookmarkEnd w:id="298"/>
      <w:bookmarkStart w:id="299" w:name="_Toc184310340"/>
      <w:bookmarkEnd w:id="299"/>
      <w:bookmarkStart w:id="300" w:name="_Toc184313277"/>
      <w:bookmarkEnd w:id="300"/>
      <w:bookmarkStart w:id="301" w:name="_Toc184310336"/>
      <w:bookmarkEnd w:id="301"/>
      <w:bookmarkStart w:id="302" w:name="_Toc184310301"/>
      <w:bookmarkEnd w:id="302"/>
      <w:bookmarkStart w:id="303" w:name="_Toc184312088"/>
      <w:bookmarkEnd w:id="303"/>
      <w:bookmarkStart w:id="304" w:name="_Toc184312079"/>
      <w:bookmarkEnd w:id="304"/>
      <w:bookmarkStart w:id="305" w:name="_Toc184312113"/>
      <w:bookmarkEnd w:id="305"/>
      <w:bookmarkStart w:id="306" w:name="_Toc184314413"/>
      <w:bookmarkEnd w:id="306"/>
      <w:bookmarkStart w:id="307" w:name="_Toc184314479"/>
      <w:bookmarkEnd w:id="307"/>
      <w:bookmarkStart w:id="308" w:name="_Toc184314431"/>
      <w:bookmarkEnd w:id="308"/>
      <w:bookmarkStart w:id="309" w:name="_Toc184308055"/>
      <w:bookmarkEnd w:id="309"/>
      <w:bookmarkStart w:id="310" w:name="_Toc184314448"/>
      <w:bookmarkEnd w:id="310"/>
      <w:bookmarkStart w:id="311" w:name="_Toc184313304"/>
      <w:bookmarkEnd w:id="311"/>
      <w:bookmarkStart w:id="312" w:name="_Toc184310342"/>
      <w:bookmarkEnd w:id="312"/>
      <w:bookmarkStart w:id="313" w:name="_Toc184314443"/>
      <w:bookmarkEnd w:id="313"/>
      <w:bookmarkStart w:id="314" w:name="_Toc184312112"/>
      <w:bookmarkEnd w:id="314"/>
      <w:bookmarkStart w:id="315" w:name="_Toc184313266"/>
      <w:bookmarkEnd w:id="315"/>
      <w:bookmarkStart w:id="316" w:name="_Toc184312084"/>
      <w:bookmarkEnd w:id="316"/>
      <w:bookmarkStart w:id="317" w:name="_Toc184310305"/>
      <w:bookmarkEnd w:id="317"/>
      <w:bookmarkStart w:id="318" w:name="_Toc184314478"/>
      <w:bookmarkEnd w:id="318"/>
      <w:bookmarkStart w:id="319" w:name="_Toc184312073"/>
      <w:bookmarkEnd w:id="319"/>
      <w:bookmarkStart w:id="320" w:name="_Toc184314470"/>
      <w:bookmarkEnd w:id="320"/>
      <w:bookmarkStart w:id="321" w:name="_Toc184312124"/>
      <w:bookmarkEnd w:id="321"/>
      <w:bookmarkStart w:id="322" w:name="_Toc184308093"/>
      <w:bookmarkEnd w:id="322"/>
      <w:bookmarkStart w:id="323" w:name="_Toc184310285"/>
      <w:bookmarkEnd w:id="323"/>
      <w:bookmarkStart w:id="324" w:name="_Toc184308101"/>
      <w:bookmarkEnd w:id="324"/>
      <w:bookmarkStart w:id="325" w:name="_Toc184313289"/>
      <w:bookmarkEnd w:id="325"/>
      <w:bookmarkStart w:id="326" w:name="_Toc184312131"/>
      <w:bookmarkEnd w:id="326"/>
      <w:bookmarkStart w:id="327" w:name="_Toc184308051"/>
      <w:bookmarkEnd w:id="327"/>
      <w:bookmarkStart w:id="328" w:name="_Toc184310296"/>
      <w:bookmarkEnd w:id="328"/>
      <w:bookmarkStart w:id="329" w:name="_Toc184308073"/>
      <w:bookmarkEnd w:id="329"/>
      <w:bookmarkStart w:id="330" w:name="_Toc184310275"/>
      <w:bookmarkEnd w:id="330"/>
      <w:bookmarkStart w:id="331" w:name="_Toc184310334"/>
      <w:bookmarkEnd w:id="331"/>
      <w:bookmarkStart w:id="332" w:name="_Toc184313270"/>
      <w:bookmarkEnd w:id="332"/>
      <w:bookmarkStart w:id="333" w:name="_Toc184312126"/>
      <w:bookmarkEnd w:id="333"/>
      <w:bookmarkStart w:id="334" w:name="_Toc184313268"/>
      <w:bookmarkEnd w:id="334"/>
      <w:bookmarkStart w:id="335" w:name="_Toc184313245"/>
      <w:bookmarkEnd w:id="335"/>
      <w:bookmarkStart w:id="336" w:name="_Toc184313242"/>
      <w:bookmarkEnd w:id="336"/>
      <w:bookmarkStart w:id="337" w:name="_Toc184312118"/>
      <w:bookmarkEnd w:id="337"/>
      <w:bookmarkStart w:id="338" w:name="_Toc184310298"/>
      <w:bookmarkEnd w:id="338"/>
      <w:bookmarkStart w:id="339" w:name="_Toc184312127"/>
      <w:bookmarkEnd w:id="339"/>
      <w:bookmarkStart w:id="340" w:name="_Toc184308076"/>
      <w:bookmarkEnd w:id="340"/>
      <w:bookmarkStart w:id="341" w:name="_Toc184313278"/>
      <w:bookmarkEnd w:id="341"/>
      <w:bookmarkStart w:id="342" w:name="_Toc184313293"/>
      <w:bookmarkEnd w:id="342"/>
      <w:bookmarkStart w:id="343" w:name="_Toc184314439"/>
      <w:bookmarkEnd w:id="343"/>
      <w:bookmarkStart w:id="344" w:name="_Toc184308080"/>
      <w:bookmarkEnd w:id="344"/>
      <w:bookmarkStart w:id="345" w:name="_Toc184313306"/>
      <w:bookmarkEnd w:id="345"/>
      <w:bookmarkStart w:id="346" w:name="_Toc184314410"/>
      <w:bookmarkEnd w:id="346"/>
      <w:bookmarkStart w:id="347" w:name="_Toc184313291"/>
      <w:bookmarkEnd w:id="347"/>
      <w:bookmarkStart w:id="348" w:name="_Toc184310287"/>
      <w:bookmarkEnd w:id="348"/>
      <w:bookmarkStart w:id="349" w:name="_Toc184312123"/>
      <w:bookmarkEnd w:id="349"/>
      <w:bookmarkStart w:id="350" w:name="_Toc184310283"/>
      <w:bookmarkEnd w:id="350"/>
      <w:bookmarkStart w:id="351" w:name="_Toc184308065"/>
      <w:bookmarkEnd w:id="351"/>
      <w:bookmarkStart w:id="352" w:name="_Toc184312093"/>
      <w:bookmarkEnd w:id="352"/>
      <w:bookmarkStart w:id="353" w:name="_Toc184310278"/>
      <w:bookmarkEnd w:id="353"/>
      <w:bookmarkStart w:id="354" w:name="_Toc184308105"/>
      <w:bookmarkEnd w:id="354"/>
      <w:bookmarkStart w:id="355" w:name="_Toc184313284"/>
      <w:bookmarkEnd w:id="355"/>
      <w:bookmarkStart w:id="356" w:name="_Toc184308043"/>
      <w:bookmarkEnd w:id="356"/>
      <w:bookmarkStart w:id="357" w:name="_Toc184313238"/>
      <w:bookmarkEnd w:id="357"/>
      <w:bookmarkStart w:id="358" w:name="_Toc184310279"/>
      <w:bookmarkEnd w:id="358"/>
      <w:bookmarkStart w:id="359" w:name="_Toc184312115"/>
      <w:bookmarkEnd w:id="359"/>
      <w:bookmarkStart w:id="360" w:name="_Toc184308049"/>
      <w:bookmarkEnd w:id="360"/>
      <w:bookmarkStart w:id="361" w:name="_Toc184313267"/>
      <w:bookmarkEnd w:id="361"/>
      <w:bookmarkStart w:id="362" w:name="_Toc184308072"/>
      <w:bookmarkEnd w:id="362"/>
      <w:bookmarkStart w:id="363" w:name="_Toc184314444"/>
      <w:bookmarkEnd w:id="363"/>
      <w:bookmarkStart w:id="364" w:name="_Toc184310297"/>
      <w:bookmarkEnd w:id="364"/>
      <w:bookmarkStart w:id="365" w:name="_Toc184314433"/>
      <w:bookmarkEnd w:id="365"/>
      <w:bookmarkStart w:id="366" w:name="_Toc184308100"/>
      <w:bookmarkEnd w:id="366"/>
      <w:bookmarkStart w:id="367" w:name="_Toc184310316"/>
      <w:bookmarkEnd w:id="367"/>
      <w:bookmarkStart w:id="368" w:name="_Toc184313272"/>
      <w:bookmarkEnd w:id="368"/>
      <w:bookmarkStart w:id="369" w:name="_Toc184310339"/>
      <w:bookmarkEnd w:id="369"/>
      <w:bookmarkStart w:id="370" w:name="_Toc184312130"/>
      <w:bookmarkEnd w:id="370"/>
      <w:bookmarkStart w:id="371" w:name="_Toc184314411"/>
      <w:bookmarkEnd w:id="371"/>
      <w:bookmarkStart w:id="372" w:name="_Toc184312110"/>
      <w:bookmarkEnd w:id="372"/>
      <w:bookmarkStart w:id="373" w:name="_Toc184314467"/>
      <w:bookmarkEnd w:id="373"/>
      <w:bookmarkStart w:id="374" w:name="_Toc184312080"/>
      <w:bookmarkEnd w:id="374"/>
      <w:bookmarkStart w:id="375" w:name="_Toc184308098"/>
      <w:bookmarkEnd w:id="375"/>
      <w:bookmarkStart w:id="376" w:name="_Toc184310323"/>
      <w:bookmarkEnd w:id="376"/>
      <w:bookmarkStart w:id="377" w:name="_Toc184314421"/>
      <w:bookmarkEnd w:id="377"/>
      <w:bookmarkStart w:id="378" w:name="_Toc184312103"/>
      <w:bookmarkEnd w:id="378"/>
      <w:bookmarkStart w:id="379" w:name="_Toc184308067"/>
      <w:bookmarkEnd w:id="379"/>
      <w:bookmarkStart w:id="380" w:name="_Toc184308079"/>
      <w:bookmarkEnd w:id="380"/>
      <w:bookmarkStart w:id="381" w:name="_Toc184308074"/>
      <w:bookmarkEnd w:id="381"/>
      <w:bookmarkStart w:id="382" w:name="_Toc184314438"/>
      <w:bookmarkEnd w:id="382"/>
      <w:bookmarkStart w:id="383" w:name="_Toc184312134"/>
      <w:bookmarkEnd w:id="383"/>
      <w:r>
        <w:rPr>
          <w:rFonts w:hint="eastAsia" w:ascii="仿宋" w:hAnsi="仿宋" w:eastAsia="仿宋" w:cs="仿宋"/>
          <w:b/>
          <w:sz w:val="36"/>
          <w:szCs w:val="36"/>
          <w:highlight w:val="none"/>
        </w:rPr>
        <w:t>评标办法</w:t>
      </w:r>
    </w:p>
    <w:p w14:paraId="55BAAEDD">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p w14:paraId="01508BA3">
      <w:pPr>
        <w:spacing w:line="360" w:lineRule="auto"/>
        <w:ind w:firstLine="482" w:firstLineChars="200"/>
        <w:rPr>
          <w:rFonts w:hint="eastAsia" w:ascii="仿宋" w:hAnsi="仿宋" w:eastAsia="仿宋" w:cs="仿宋"/>
          <w:b/>
          <w:bCs/>
          <w:sz w:val="24"/>
          <w:highlight w:val="none"/>
          <w:lang w:val="zh-CN"/>
        </w:rPr>
      </w:pPr>
      <w:bookmarkStart w:id="384" w:name="_Hlk497393397"/>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lang w:val="zh-CN"/>
        </w:rPr>
        <w:t>商务技术</w:t>
      </w:r>
      <w:bookmarkEnd w:id="384"/>
      <w:r>
        <w:rPr>
          <w:rFonts w:hint="eastAsia" w:ascii="仿宋" w:hAnsi="仿宋" w:eastAsia="仿宋" w:cs="仿宋"/>
          <w:b/>
          <w:bCs/>
          <w:sz w:val="24"/>
          <w:highlight w:val="none"/>
          <w:lang w:val="zh-CN"/>
        </w:rPr>
        <w:t>(</w:t>
      </w:r>
      <w:r>
        <w:rPr>
          <w:rFonts w:hint="eastAsia" w:ascii="仿宋" w:hAnsi="仿宋" w:eastAsia="仿宋" w:cs="仿宋"/>
          <w:b/>
          <w:bCs/>
          <w:sz w:val="24"/>
          <w:highlight w:val="none"/>
          <w:lang w:val="en-US" w:eastAsia="zh-CN"/>
        </w:rPr>
        <w:t>9</w:t>
      </w:r>
      <w:r>
        <w:rPr>
          <w:rFonts w:hint="eastAsia" w:ascii="仿宋" w:hAnsi="仿宋" w:eastAsia="仿宋" w:cs="仿宋"/>
          <w:b/>
          <w:bCs/>
          <w:sz w:val="24"/>
          <w:highlight w:val="none"/>
        </w:rPr>
        <w:t>0</w:t>
      </w:r>
      <w:r>
        <w:rPr>
          <w:rFonts w:hint="eastAsia" w:ascii="仿宋" w:hAnsi="仿宋" w:eastAsia="仿宋" w:cs="仿宋"/>
          <w:b/>
          <w:bCs/>
          <w:sz w:val="24"/>
          <w:highlight w:val="none"/>
          <w:lang w:val="zh-CN"/>
        </w:rPr>
        <w:t>分)</w:t>
      </w:r>
    </w:p>
    <w:tbl>
      <w:tblPr>
        <w:tblStyle w:val="6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45"/>
        <w:gridCol w:w="5823"/>
        <w:gridCol w:w="778"/>
        <w:gridCol w:w="987"/>
      </w:tblGrid>
      <w:tr w14:paraId="59B4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03482659">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分类</w:t>
            </w:r>
          </w:p>
        </w:tc>
        <w:tc>
          <w:tcPr>
            <w:tcW w:w="745" w:type="dxa"/>
            <w:noWrap w:val="0"/>
            <w:vAlign w:val="center"/>
          </w:tcPr>
          <w:p w14:paraId="3ACCF432">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序号</w:t>
            </w:r>
          </w:p>
        </w:tc>
        <w:tc>
          <w:tcPr>
            <w:tcW w:w="5823" w:type="dxa"/>
            <w:noWrap w:val="0"/>
            <w:vAlign w:val="center"/>
          </w:tcPr>
          <w:p w14:paraId="1B40F1D1">
            <w:pPr>
              <w:pStyle w:val="24"/>
              <w:tabs>
                <w:tab w:val="left" w:pos="1260"/>
              </w:tabs>
              <w:spacing w:line="360" w:lineRule="exact"/>
              <w:ind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评分内容和标准</w:t>
            </w:r>
          </w:p>
        </w:tc>
        <w:tc>
          <w:tcPr>
            <w:tcW w:w="778" w:type="dxa"/>
            <w:noWrap w:val="0"/>
            <w:vAlign w:val="center"/>
          </w:tcPr>
          <w:p w14:paraId="7663B1A6">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权重</w:t>
            </w:r>
          </w:p>
        </w:tc>
        <w:tc>
          <w:tcPr>
            <w:tcW w:w="987" w:type="dxa"/>
            <w:noWrap w:val="0"/>
            <w:vAlign w:val="center"/>
          </w:tcPr>
          <w:p w14:paraId="68169220">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主观/客观分</w:t>
            </w:r>
          </w:p>
        </w:tc>
      </w:tr>
      <w:tr w14:paraId="7145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00" w:type="dxa"/>
            <w:vMerge w:val="restart"/>
            <w:noWrap w:val="0"/>
            <w:vAlign w:val="center"/>
          </w:tcPr>
          <w:p w14:paraId="73AD8933">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商务资信（14分）</w:t>
            </w:r>
          </w:p>
        </w:tc>
        <w:tc>
          <w:tcPr>
            <w:tcW w:w="745" w:type="dxa"/>
            <w:noWrap w:val="0"/>
            <w:vAlign w:val="center"/>
          </w:tcPr>
          <w:p w14:paraId="392DDA40">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1</w:t>
            </w:r>
          </w:p>
        </w:tc>
        <w:tc>
          <w:tcPr>
            <w:tcW w:w="5823" w:type="dxa"/>
            <w:noWrap w:val="0"/>
            <w:vAlign w:val="top"/>
          </w:tcPr>
          <w:p w14:paraId="379CECDA">
            <w:pPr>
              <w:tabs>
                <w:tab w:val="left" w:pos="1260"/>
              </w:tabs>
              <w:spacing w:after="0" w:line="360" w:lineRule="exact"/>
              <w:jc w:val="both"/>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2021年8月1日以来</w:t>
            </w:r>
            <w:r>
              <w:rPr>
                <w:rFonts w:hint="eastAsia" w:ascii="仿宋" w:hAnsi="仿宋" w:eastAsia="仿宋" w:cs="仿宋_GB2312"/>
                <w:color w:val="auto"/>
              </w:rPr>
              <w:t>（含）</w:t>
            </w:r>
            <w:r>
              <w:rPr>
                <w:rFonts w:hint="eastAsia" w:ascii="仿宋" w:hAnsi="仿宋" w:eastAsia="仿宋" w:cs="仿宋"/>
                <w:color w:val="auto"/>
                <w:kern w:val="2"/>
                <w:sz w:val="21"/>
                <w:szCs w:val="24"/>
                <w:highlight w:val="none"/>
                <w:lang w:val="en-US" w:eastAsia="zh-CN" w:bidi="ar-SA"/>
              </w:rPr>
              <w:t>投标人承担过类似（文物影响评估涉及大运河）业绩的，每个业绩得0.5分，最高得1分，其余不得分。业绩合同未能体现相关服务内容的，须提供业主证明文件扫描件，否则不予计分。</w:t>
            </w:r>
          </w:p>
          <w:p w14:paraId="5407552D">
            <w:pPr>
              <w:tabs>
                <w:tab w:val="left" w:pos="1260"/>
              </w:tabs>
              <w:spacing w:after="0" w:line="360" w:lineRule="exact"/>
              <w:jc w:val="both"/>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注：投标文件提供相应业绩合同扫描件及国家局批复文件，否则不予计分。</w:t>
            </w:r>
          </w:p>
        </w:tc>
        <w:tc>
          <w:tcPr>
            <w:tcW w:w="778" w:type="dxa"/>
            <w:noWrap w:val="0"/>
            <w:vAlign w:val="center"/>
          </w:tcPr>
          <w:p w14:paraId="7ABC5EBB">
            <w:pPr>
              <w:pStyle w:val="24"/>
              <w:tabs>
                <w:tab w:val="left" w:pos="1260"/>
              </w:tabs>
              <w:spacing w:line="360" w:lineRule="exact"/>
              <w:ind w:left="0" w:leftChars="0" w:right="199" w:rightChars="95"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1</w:t>
            </w:r>
          </w:p>
        </w:tc>
        <w:tc>
          <w:tcPr>
            <w:tcW w:w="987" w:type="dxa"/>
            <w:noWrap w:val="0"/>
            <w:vAlign w:val="center"/>
          </w:tcPr>
          <w:p w14:paraId="563BE050">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客观分</w:t>
            </w:r>
          </w:p>
        </w:tc>
      </w:tr>
      <w:tr w14:paraId="00AB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700" w:type="dxa"/>
            <w:vMerge w:val="continue"/>
            <w:noWrap w:val="0"/>
            <w:vAlign w:val="center"/>
          </w:tcPr>
          <w:p w14:paraId="73E01E8F">
            <w:pPr>
              <w:pStyle w:val="24"/>
              <w:tabs>
                <w:tab w:val="left" w:pos="1260"/>
              </w:tabs>
              <w:spacing w:line="360" w:lineRule="exact"/>
              <w:ind w:firstLine="0" w:firstLineChars="0"/>
              <w:jc w:val="center"/>
              <w:rPr>
                <w:rFonts w:hint="eastAsia" w:ascii="仿宋" w:hAnsi="仿宋" w:eastAsia="仿宋" w:cs="仿宋"/>
                <w:color w:val="auto"/>
                <w:kern w:val="2"/>
                <w:sz w:val="21"/>
                <w:szCs w:val="24"/>
                <w:highlight w:val="none"/>
                <w:lang w:val="en-US" w:eastAsia="zh-CN" w:bidi="ar-SA"/>
              </w:rPr>
            </w:pPr>
          </w:p>
        </w:tc>
        <w:tc>
          <w:tcPr>
            <w:tcW w:w="745" w:type="dxa"/>
            <w:noWrap w:val="0"/>
            <w:vAlign w:val="center"/>
          </w:tcPr>
          <w:p w14:paraId="39E358AF">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2</w:t>
            </w:r>
          </w:p>
        </w:tc>
        <w:tc>
          <w:tcPr>
            <w:tcW w:w="5823" w:type="dxa"/>
            <w:noWrap w:val="0"/>
            <w:vAlign w:val="top"/>
          </w:tcPr>
          <w:p w14:paraId="04F71E3B">
            <w:pPr>
              <w:tabs>
                <w:tab w:val="left" w:pos="1260"/>
              </w:tabs>
              <w:spacing w:after="0" w:line="360" w:lineRule="exact"/>
              <w:jc w:val="both"/>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拟派项目负责人：拟投入项目负责人具有文物保护工程责任设计师证书的得2分。</w:t>
            </w:r>
          </w:p>
          <w:p w14:paraId="779000C7">
            <w:pPr>
              <w:tabs>
                <w:tab w:val="left" w:pos="1260"/>
              </w:tabs>
              <w:spacing w:after="0" w:line="360" w:lineRule="exact"/>
              <w:jc w:val="both"/>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（提供证书复印件及本单位为其缴纳的近三个月的社保凭证，不提供或提供不全的不得分）</w:t>
            </w:r>
          </w:p>
        </w:tc>
        <w:tc>
          <w:tcPr>
            <w:tcW w:w="778" w:type="dxa"/>
            <w:noWrap w:val="0"/>
            <w:vAlign w:val="center"/>
          </w:tcPr>
          <w:p w14:paraId="0EA3D97E">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2</w:t>
            </w:r>
          </w:p>
        </w:tc>
        <w:tc>
          <w:tcPr>
            <w:tcW w:w="987" w:type="dxa"/>
            <w:noWrap w:val="0"/>
            <w:vAlign w:val="center"/>
          </w:tcPr>
          <w:p w14:paraId="2C17A7FB">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客观分</w:t>
            </w:r>
          </w:p>
        </w:tc>
      </w:tr>
      <w:tr w14:paraId="25C5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00" w:type="dxa"/>
            <w:vMerge w:val="continue"/>
            <w:noWrap w:val="0"/>
            <w:vAlign w:val="center"/>
          </w:tcPr>
          <w:p w14:paraId="03583DAA">
            <w:pPr>
              <w:pStyle w:val="24"/>
              <w:tabs>
                <w:tab w:val="left" w:pos="1260"/>
              </w:tabs>
              <w:spacing w:line="360" w:lineRule="exact"/>
              <w:ind w:firstLine="0" w:firstLineChars="0"/>
              <w:jc w:val="center"/>
              <w:rPr>
                <w:rFonts w:hint="eastAsia" w:ascii="仿宋" w:hAnsi="仿宋" w:eastAsia="仿宋" w:cs="仿宋"/>
                <w:color w:val="auto"/>
                <w:kern w:val="2"/>
                <w:sz w:val="21"/>
                <w:szCs w:val="24"/>
                <w:highlight w:val="none"/>
                <w:lang w:val="en-US" w:eastAsia="zh-CN" w:bidi="ar-SA"/>
              </w:rPr>
            </w:pPr>
          </w:p>
        </w:tc>
        <w:tc>
          <w:tcPr>
            <w:tcW w:w="745" w:type="dxa"/>
            <w:noWrap w:val="0"/>
            <w:vAlign w:val="center"/>
          </w:tcPr>
          <w:p w14:paraId="465603CC">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3</w:t>
            </w:r>
          </w:p>
        </w:tc>
        <w:tc>
          <w:tcPr>
            <w:tcW w:w="5823" w:type="dxa"/>
            <w:noWrap w:val="0"/>
            <w:vAlign w:val="top"/>
          </w:tcPr>
          <w:p w14:paraId="3A453CE8">
            <w:pPr>
              <w:tabs>
                <w:tab w:val="left" w:pos="1260"/>
              </w:tabs>
              <w:spacing w:after="0" w:line="360" w:lineRule="exact"/>
              <w:jc w:val="both"/>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项目组其他人员：项目组人员每有一个中级及以上职称的得1分，最高得5分，未提供的不得分；</w:t>
            </w:r>
          </w:p>
          <w:p w14:paraId="35D2EBE0">
            <w:pPr>
              <w:tabs>
                <w:tab w:val="left" w:pos="1260"/>
              </w:tabs>
              <w:spacing w:after="0" w:line="360" w:lineRule="exact"/>
              <w:jc w:val="both"/>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【证明材料：提供行政主管部门颁发的职称证书及在本单位连续缴纳的近三个月社保证明复印件加盖公章。】</w:t>
            </w:r>
          </w:p>
        </w:tc>
        <w:tc>
          <w:tcPr>
            <w:tcW w:w="778" w:type="dxa"/>
            <w:noWrap w:val="0"/>
            <w:vAlign w:val="center"/>
          </w:tcPr>
          <w:p w14:paraId="79C1F77E">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5</w:t>
            </w:r>
          </w:p>
        </w:tc>
        <w:tc>
          <w:tcPr>
            <w:tcW w:w="987" w:type="dxa"/>
            <w:noWrap w:val="0"/>
            <w:vAlign w:val="center"/>
          </w:tcPr>
          <w:p w14:paraId="091B4538">
            <w:pPr>
              <w:pStyle w:val="24"/>
              <w:tabs>
                <w:tab w:val="left" w:pos="1260"/>
              </w:tabs>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客观分</w:t>
            </w:r>
          </w:p>
        </w:tc>
      </w:tr>
      <w:tr w14:paraId="6140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0" w:type="dxa"/>
            <w:vMerge w:val="continue"/>
            <w:noWrap w:val="0"/>
            <w:vAlign w:val="center"/>
          </w:tcPr>
          <w:p w14:paraId="150C677E">
            <w:pPr>
              <w:pStyle w:val="24"/>
              <w:spacing w:line="360" w:lineRule="exact"/>
              <w:ind w:firstLine="0" w:firstLineChars="0"/>
              <w:jc w:val="center"/>
              <w:rPr>
                <w:rFonts w:hint="eastAsia" w:ascii="仿宋" w:hAnsi="仿宋" w:eastAsia="仿宋" w:cs="仿宋"/>
                <w:color w:val="auto"/>
                <w:kern w:val="0"/>
                <w:highlight w:val="none"/>
              </w:rPr>
            </w:pPr>
          </w:p>
        </w:tc>
        <w:tc>
          <w:tcPr>
            <w:tcW w:w="745" w:type="dxa"/>
            <w:noWrap w:val="0"/>
            <w:vAlign w:val="center"/>
          </w:tcPr>
          <w:p w14:paraId="6579AA06">
            <w:pPr>
              <w:pStyle w:val="24"/>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4</w:t>
            </w:r>
          </w:p>
        </w:tc>
        <w:tc>
          <w:tcPr>
            <w:tcW w:w="5823" w:type="dxa"/>
            <w:noWrap w:val="0"/>
            <w:vAlign w:val="top"/>
          </w:tcPr>
          <w:p w14:paraId="3BD94593">
            <w:pPr>
              <w:spacing w:after="0" w:line="360" w:lineRule="exact"/>
              <w:jc w:val="both"/>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项目组其他人员：项目组人员有文物保护工程责任设计师或省级及以上文物保护工程从业人员上岗证，一名 2分，最多得6分【证明材料：提供行政主管部门颁发的证书及在本单位连续缴纳的近三个月社保证明复印件加盖公章。】</w:t>
            </w:r>
          </w:p>
        </w:tc>
        <w:tc>
          <w:tcPr>
            <w:tcW w:w="778" w:type="dxa"/>
            <w:noWrap w:val="0"/>
            <w:vAlign w:val="center"/>
          </w:tcPr>
          <w:p w14:paraId="319D85D9">
            <w:pPr>
              <w:pStyle w:val="24"/>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6</w:t>
            </w:r>
          </w:p>
        </w:tc>
        <w:tc>
          <w:tcPr>
            <w:tcW w:w="987" w:type="dxa"/>
            <w:noWrap w:val="0"/>
            <w:vAlign w:val="center"/>
          </w:tcPr>
          <w:p w14:paraId="7342F649">
            <w:pPr>
              <w:pStyle w:val="24"/>
              <w:spacing w:line="360" w:lineRule="exact"/>
              <w:ind w:left="0" w:leftChars="0" w:firstLine="0" w:firstLine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客观分</w:t>
            </w:r>
          </w:p>
        </w:tc>
      </w:tr>
      <w:tr w14:paraId="1A25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blHeader/>
          <w:jc w:val="center"/>
        </w:trPr>
        <w:tc>
          <w:tcPr>
            <w:tcW w:w="700" w:type="dxa"/>
            <w:vMerge w:val="restart"/>
            <w:noWrap w:val="0"/>
            <w:vAlign w:val="center"/>
          </w:tcPr>
          <w:p w14:paraId="4D28F599">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技术分（</w:t>
            </w:r>
            <w:r>
              <w:rPr>
                <w:rFonts w:hint="eastAsia" w:ascii="仿宋" w:hAnsi="仿宋" w:eastAsia="仿宋" w:cs="仿宋"/>
                <w:color w:val="auto"/>
                <w:highlight w:val="none"/>
                <w:lang w:val="en-US" w:eastAsia="zh-CN"/>
              </w:rPr>
              <w:t>76</w:t>
            </w:r>
            <w:r>
              <w:rPr>
                <w:rFonts w:hint="eastAsia" w:ascii="仿宋" w:hAnsi="仿宋" w:eastAsia="仿宋" w:cs="仿宋"/>
                <w:color w:val="auto"/>
                <w:highlight w:val="none"/>
              </w:rPr>
              <w:t>分）</w:t>
            </w:r>
          </w:p>
        </w:tc>
        <w:tc>
          <w:tcPr>
            <w:tcW w:w="745" w:type="dxa"/>
            <w:noWrap w:val="0"/>
            <w:vAlign w:val="center"/>
          </w:tcPr>
          <w:p w14:paraId="0E7F0DE4">
            <w:pPr>
              <w:spacing w:line="4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5823" w:type="dxa"/>
            <w:noWrap w:val="0"/>
            <w:vAlign w:val="top"/>
          </w:tcPr>
          <w:p w14:paraId="01D3BD20">
            <w:pPr>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对项目概况的阐释（</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w:t>
            </w:r>
          </w:p>
          <w:p w14:paraId="7A15D7E4">
            <w:pPr>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w:t>
            </w:r>
            <w:r>
              <w:rPr>
                <w:rFonts w:hint="eastAsia" w:ascii="仿宋" w:hAnsi="仿宋" w:eastAsia="仿宋" w:cs="仿宋"/>
                <w:color w:val="auto"/>
                <w:szCs w:val="21"/>
                <w:highlight w:val="none"/>
                <w:lang w:val="en-US" w:eastAsia="zh-CN"/>
              </w:rPr>
              <w:t>学校</w:t>
            </w:r>
            <w:r>
              <w:rPr>
                <w:rFonts w:hint="eastAsia" w:ascii="仿宋" w:hAnsi="仿宋" w:eastAsia="仿宋" w:cs="仿宋"/>
                <w:color w:val="auto"/>
                <w:szCs w:val="21"/>
                <w:highlight w:val="none"/>
              </w:rPr>
              <w:t>涉及的文保单位等背景情况的理解及分析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对文物保护相关法律法规、类似项目案例对比及现状情况的理解及分析，阐述合理、科学的得1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分，阐述基本合理、科学的得1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分，阐述欠科学合理，可操作性欠缺的得7分，未提供的不得分。</w:t>
            </w:r>
          </w:p>
        </w:tc>
        <w:tc>
          <w:tcPr>
            <w:tcW w:w="778" w:type="dxa"/>
            <w:noWrap w:val="0"/>
            <w:vAlign w:val="center"/>
          </w:tcPr>
          <w:p w14:paraId="18169341">
            <w:pPr>
              <w:spacing w:line="3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987" w:type="dxa"/>
            <w:noWrap w:val="0"/>
            <w:vAlign w:val="center"/>
          </w:tcPr>
          <w:p w14:paraId="32204D8E">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6851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blHeader/>
          <w:jc w:val="center"/>
        </w:trPr>
        <w:tc>
          <w:tcPr>
            <w:tcW w:w="700" w:type="dxa"/>
            <w:vMerge w:val="continue"/>
            <w:noWrap w:val="0"/>
            <w:vAlign w:val="center"/>
          </w:tcPr>
          <w:p w14:paraId="1B8FBF68">
            <w:pPr>
              <w:spacing w:line="400" w:lineRule="exact"/>
              <w:jc w:val="center"/>
              <w:rPr>
                <w:rFonts w:hint="eastAsia" w:ascii="仿宋" w:hAnsi="仿宋" w:eastAsia="仿宋" w:cs="仿宋"/>
                <w:color w:val="auto"/>
                <w:highlight w:val="none"/>
              </w:rPr>
            </w:pPr>
          </w:p>
        </w:tc>
        <w:tc>
          <w:tcPr>
            <w:tcW w:w="745" w:type="dxa"/>
            <w:noWrap w:val="0"/>
            <w:vAlign w:val="center"/>
          </w:tcPr>
          <w:p w14:paraId="04870DE1">
            <w:pPr>
              <w:spacing w:line="4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5823" w:type="dxa"/>
            <w:noWrap w:val="0"/>
            <w:vAlign w:val="top"/>
          </w:tcPr>
          <w:p w14:paraId="5FE50668">
            <w:pPr>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文物保护专项服务方案：（1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p w14:paraId="36B729D6">
            <w:pPr>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评委对文物保护专项方案进行评审；方案合理、科学，可操作性强的得1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分，方案基本合理、科学，具有可操作性的得1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分，方案欠科学合理，可操作性欠缺的得7分，未提供的不得分。</w:t>
            </w:r>
          </w:p>
        </w:tc>
        <w:tc>
          <w:tcPr>
            <w:tcW w:w="778" w:type="dxa"/>
            <w:noWrap w:val="0"/>
            <w:vAlign w:val="center"/>
          </w:tcPr>
          <w:p w14:paraId="36A572C6">
            <w:pPr>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p>
        </w:tc>
        <w:tc>
          <w:tcPr>
            <w:tcW w:w="987" w:type="dxa"/>
            <w:noWrap w:val="0"/>
            <w:vAlign w:val="center"/>
          </w:tcPr>
          <w:p w14:paraId="7F0E0E05">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2712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blHeader/>
          <w:jc w:val="center"/>
        </w:trPr>
        <w:tc>
          <w:tcPr>
            <w:tcW w:w="700" w:type="dxa"/>
            <w:vMerge w:val="continue"/>
            <w:noWrap w:val="0"/>
            <w:vAlign w:val="center"/>
          </w:tcPr>
          <w:p w14:paraId="530E3378">
            <w:pPr>
              <w:spacing w:line="400" w:lineRule="exact"/>
              <w:jc w:val="center"/>
              <w:rPr>
                <w:rFonts w:hint="eastAsia" w:ascii="仿宋" w:hAnsi="仿宋" w:eastAsia="仿宋" w:cs="仿宋"/>
                <w:color w:val="auto"/>
                <w:highlight w:val="none"/>
              </w:rPr>
            </w:pPr>
          </w:p>
        </w:tc>
        <w:tc>
          <w:tcPr>
            <w:tcW w:w="745" w:type="dxa"/>
            <w:noWrap w:val="0"/>
            <w:vAlign w:val="center"/>
          </w:tcPr>
          <w:p w14:paraId="68CC04FF">
            <w:pPr>
              <w:spacing w:line="4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5823" w:type="dxa"/>
            <w:noWrap w:val="0"/>
            <w:vAlign w:val="center"/>
          </w:tcPr>
          <w:p w14:paraId="759A1C44">
            <w:pPr>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文物保护与影响减缓措施（15分）</w:t>
            </w:r>
          </w:p>
          <w:p w14:paraId="6B435296">
            <w:pPr>
              <w:autoSpaceDE w:val="0"/>
              <w:autoSpaceDN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评委根据投标人文物保护与影响减缓措施进行评审；方案合理、科学，可操作性强的得15分，方案基本合理、科学，具有可操作性的得12分，方案欠科学合理，可操作性欠缺的得7分，未提供的不得分。</w:t>
            </w:r>
          </w:p>
        </w:tc>
        <w:tc>
          <w:tcPr>
            <w:tcW w:w="778" w:type="dxa"/>
            <w:noWrap w:val="0"/>
            <w:vAlign w:val="center"/>
          </w:tcPr>
          <w:p w14:paraId="52FE7F7A">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987" w:type="dxa"/>
            <w:noWrap w:val="0"/>
            <w:vAlign w:val="center"/>
          </w:tcPr>
          <w:p w14:paraId="6598E09A">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6171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blHeader/>
          <w:jc w:val="center"/>
        </w:trPr>
        <w:tc>
          <w:tcPr>
            <w:tcW w:w="700" w:type="dxa"/>
            <w:vMerge w:val="continue"/>
            <w:noWrap w:val="0"/>
            <w:vAlign w:val="center"/>
          </w:tcPr>
          <w:p w14:paraId="0FA8C2EF">
            <w:pPr>
              <w:spacing w:line="400" w:lineRule="exact"/>
              <w:jc w:val="center"/>
              <w:rPr>
                <w:rFonts w:hint="eastAsia" w:ascii="仿宋" w:hAnsi="仿宋" w:eastAsia="仿宋" w:cs="仿宋"/>
                <w:color w:val="auto"/>
                <w:highlight w:val="none"/>
              </w:rPr>
            </w:pPr>
          </w:p>
        </w:tc>
        <w:tc>
          <w:tcPr>
            <w:tcW w:w="745" w:type="dxa"/>
            <w:noWrap w:val="0"/>
            <w:vAlign w:val="center"/>
          </w:tcPr>
          <w:p w14:paraId="20393AF7">
            <w:pPr>
              <w:spacing w:line="4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5823" w:type="dxa"/>
            <w:noWrap w:val="0"/>
            <w:vAlign w:val="top"/>
          </w:tcPr>
          <w:p w14:paraId="2887532A">
            <w:pPr>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应急措施方案：（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p w14:paraId="000C3778">
            <w:pPr>
              <w:autoSpaceDE w:val="0"/>
              <w:autoSpaceDN w:val="0"/>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评委对突发事件时的应急预案及相应的措施等方案等进行评审；方案合理、科学，可操作性强的得</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分，方案基本合理、科学，具有可操作性的得7分，方案欠科学合理，可操作性欠缺的得5分，未提供的</w:t>
            </w:r>
            <w:r>
              <w:rPr>
                <w:rStyle w:val="968"/>
                <w:rFonts w:hint="eastAsia" w:ascii="仿宋" w:hAnsi="仿宋" w:eastAsia="仿宋" w:cs="仿宋"/>
                <w:color w:val="auto"/>
                <w:szCs w:val="21"/>
                <w:highlight w:val="none"/>
              </w:rPr>
              <w:t>不得分</w:t>
            </w:r>
            <w:r>
              <w:rPr>
                <w:rFonts w:hint="eastAsia" w:ascii="仿宋" w:hAnsi="仿宋" w:eastAsia="仿宋" w:cs="仿宋"/>
                <w:color w:val="auto"/>
                <w:szCs w:val="21"/>
                <w:highlight w:val="none"/>
              </w:rPr>
              <w:t>。</w:t>
            </w:r>
          </w:p>
        </w:tc>
        <w:tc>
          <w:tcPr>
            <w:tcW w:w="778" w:type="dxa"/>
            <w:noWrap w:val="0"/>
            <w:vAlign w:val="center"/>
          </w:tcPr>
          <w:p w14:paraId="545F29B0">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987" w:type="dxa"/>
            <w:noWrap w:val="0"/>
            <w:vAlign w:val="center"/>
          </w:tcPr>
          <w:p w14:paraId="0302ADAC">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1E54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blHeader/>
          <w:jc w:val="center"/>
        </w:trPr>
        <w:tc>
          <w:tcPr>
            <w:tcW w:w="700" w:type="dxa"/>
            <w:vMerge w:val="continue"/>
            <w:noWrap w:val="0"/>
            <w:vAlign w:val="center"/>
          </w:tcPr>
          <w:p w14:paraId="1C5E62A1">
            <w:pPr>
              <w:spacing w:line="400" w:lineRule="exact"/>
              <w:jc w:val="center"/>
              <w:rPr>
                <w:rFonts w:hint="eastAsia" w:ascii="仿宋" w:hAnsi="仿宋" w:eastAsia="仿宋" w:cs="仿宋"/>
                <w:color w:val="auto"/>
                <w:highlight w:val="none"/>
              </w:rPr>
            </w:pPr>
          </w:p>
        </w:tc>
        <w:tc>
          <w:tcPr>
            <w:tcW w:w="745" w:type="dxa"/>
            <w:noWrap w:val="0"/>
            <w:vAlign w:val="center"/>
          </w:tcPr>
          <w:p w14:paraId="7022B77A">
            <w:pPr>
              <w:spacing w:line="4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p>
        </w:tc>
        <w:tc>
          <w:tcPr>
            <w:tcW w:w="5823" w:type="dxa"/>
            <w:noWrap w:val="0"/>
            <w:vAlign w:val="top"/>
          </w:tcPr>
          <w:p w14:paraId="7C98984F">
            <w:pPr>
              <w:snapToGrid w:val="0"/>
              <w:spacing w:line="3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据投标人针对本项目提供的工作进度保证措施进行评审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方案合理、科学，可操作性强的得9分，方案基本合理、科学，具有可操作性的得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分，方案欠科学合理，可操作性欠缺的得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分，未提供的</w:t>
            </w:r>
            <w:r>
              <w:rPr>
                <w:rStyle w:val="968"/>
                <w:rFonts w:hint="eastAsia" w:ascii="仿宋" w:hAnsi="仿宋" w:eastAsia="仿宋" w:cs="仿宋"/>
                <w:color w:val="auto"/>
                <w:szCs w:val="21"/>
                <w:highlight w:val="none"/>
              </w:rPr>
              <w:t>不得分</w:t>
            </w:r>
            <w:r>
              <w:rPr>
                <w:rFonts w:hint="eastAsia" w:ascii="仿宋" w:hAnsi="仿宋" w:eastAsia="仿宋" w:cs="仿宋"/>
                <w:color w:val="auto"/>
                <w:szCs w:val="21"/>
                <w:highlight w:val="none"/>
              </w:rPr>
              <w:t>。</w:t>
            </w:r>
          </w:p>
        </w:tc>
        <w:tc>
          <w:tcPr>
            <w:tcW w:w="778" w:type="dxa"/>
            <w:noWrap w:val="0"/>
            <w:vAlign w:val="center"/>
          </w:tcPr>
          <w:p w14:paraId="4342D83C">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987" w:type="dxa"/>
            <w:noWrap w:val="0"/>
            <w:vAlign w:val="center"/>
          </w:tcPr>
          <w:p w14:paraId="05076AED">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556C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700" w:type="dxa"/>
            <w:vMerge w:val="continue"/>
            <w:noWrap w:val="0"/>
            <w:vAlign w:val="center"/>
          </w:tcPr>
          <w:p w14:paraId="4D8E8790">
            <w:pPr>
              <w:spacing w:line="400" w:lineRule="exact"/>
              <w:jc w:val="center"/>
              <w:rPr>
                <w:rFonts w:hint="eastAsia" w:ascii="仿宋" w:hAnsi="仿宋" w:eastAsia="仿宋" w:cs="仿宋"/>
                <w:color w:val="auto"/>
                <w:highlight w:val="none"/>
              </w:rPr>
            </w:pPr>
          </w:p>
        </w:tc>
        <w:tc>
          <w:tcPr>
            <w:tcW w:w="745" w:type="dxa"/>
            <w:noWrap w:val="0"/>
            <w:vAlign w:val="center"/>
          </w:tcPr>
          <w:p w14:paraId="1DEFD7B6">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5823" w:type="dxa"/>
            <w:noWrap w:val="0"/>
            <w:vAlign w:val="top"/>
          </w:tcPr>
          <w:p w14:paraId="6D642E2B">
            <w:pPr>
              <w:autoSpaceDE w:val="0"/>
              <w:autoSpaceDN w:val="0"/>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根据投标人针对本项目提供的质量保证措施进行评审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方案合理、科学，可操作性强的得</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分，方案基本合理、科学，具有可操作性的得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分，方案欠科学合理，可操作性欠缺的得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分，未提供的</w:t>
            </w:r>
            <w:r>
              <w:rPr>
                <w:rStyle w:val="968"/>
                <w:rFonts w:hint="eastAsia" w:ascii="仿宋" w:hAnsi="仿宋" w:eastAsia="仿宋" w:cs="仿宋"/>
                <w:color w:val="auto"/>
                <w:szCs w:val="21"/>
                <w:highlight w:val="none"/>
              </w:rPr>
              <w:t>不得分</w:t>
            </w:r>
            <w:r>
              <w:rPr>
                <w:rFonts w:hint="eastAsia" w:ascii="仿宋" w:hAnsi="仿宋" w:eastAsia="仿宋" w:cs="仿宋"/>
                <w:color w:val="auto"/>
                <w:szCs w:val="21"/>
                <w:highlight w:val="none"/>
              </w:rPr>
              <w:t>。</w:t>
            </w:r>
          </w:p>
        </w:tc>
        <w:tc>
          <w:tcPr>
            <w:tcW w:w="778" w:type="dxa"/>
            <w:noWrap w:val="0"/>
            <w:vAlign w:val="center"/>
          </w:tcPr>
          <w:p w14:paraId="1A013BF2">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987" w:type="dxa"/>
            <w:noWrap w:val="0"/>
            <w:vAlign w:val="center"/>
          </w:tcPr>
          <w:p w14:paraId="566A3355">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110D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700" w:type="dxa"/>
            <w:vMerge w:val="continue"/>
            <w:noWrap w:val="0"/>
            <w:vAlign w:val="center"/>
          </w:tcPr>
          <w:p w14:paraId="3AED57B3">
            <w:pPr>
              <w:spacing w:line="400" w:lineRule="exact"/>
              <w:jc w:val="center"/>
              <w:rPr>
                <w:rFonts w:hint="eastAsia" w:ascii="仿宋" w:hAnsi="仿宋" w:eastAsia="仿宋" w:cs="仿宋"/>
                <w:color w:val="auto"/>
                <w:highlight w:val="none"/>
              </w:rPr>
            </w:pPr>
          </w:p>
        </w:tc>
        <w:tc>
          <w:tcPr>
            <w:tcW w:w="745" w:type="dxa"/>
            <w:noWrap w:val="0"/>
            <w:vAlign w:val="center"/>
          </w:tcPr>
          <w:p w14:paraId="57A7F012">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5823" w:type="dxa"/>
            <w:noWrap w:val="0"/>
            <w:vAlign w:val="top"/>
          </w:tcPr>
          <w:p w14:paraId="05DDB64E">
            <w:pPr>
              <w:autoSpaceDE w:val="0"/>
              <w:autoSpaceDN w:val="0"/>
              <w:snapToGrid w:val="0"/>
              <w:spacing w:line="3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根据投标人针对本项目提供的售后服务方案进行评审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方案合理、科学，可操作性强的得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分，方方案欠科学合理，可操作性欠缺的得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分，未提供的</w:t>
            </w:r>
            <w:r>
              <w:rPr>
                <w:rStyle w:val="968"/>
                <w:rFonts w:hint="eastAsia" w:ascii="仿宋" w:hAnsi="仿宋" w:eastAsia="仿宋" w:cs="仿宋"/>
                <w:color w:val="auto"/>
                <w:szCs w:val="21"/>
                <w:highlight w:val="none"/>
              </w:rPr>
              <w:t>不得分</w:t>
            </w:r>
            <w:r>
              <w:rPr>
                <w:rFonts w:hint="eastAsia" w:ascii="仿宋" w:hAnsi="仿宋" w:eastAsia="仿宋" w:cs="仿宋"/>
                <w:color w:val="auto"/>
                <w:szCs w:val="21"/>
                <w:highlight w:val="none"/>
              </w:rPr>
              <w:t>。</w:t>
            </w:r>
          </w:p>
        </w:tc>
        <w:tc>
          <w:tcPr>
            <w:tcW w:w="778" w:type="dxa"/>
            <w:noWrap w:val="0"/>
            <w:vAlign w:val="center"/>
          </w:tcPr>
          <w:p w14:paraId="3C37D58B">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987" w:type="dxa"/>
            <w:noWrap w:val="0"/>
            <w:vAlign w:val="center"/>
          </w:tcPr>
          <w:p w14:paraId="485175BD">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3523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700" w:type="dxa"/>
            <w:vMerge w:val="continue"/>
            <w:noWrap w:val="0"/>
            <w:vAlign w:val="center"/>
          </w:tcPr>
          <w:p w14:paraId="569A60A8">
            <w:pPr>
              <w:spacing w:line="400" w:lineRule="exact"/>
              <w:jc w:val="center"/>
              <w:rPr>
                <w:rFonts w:hint="eastAsia" w:ascii="仿宋" w:hAnsi="仿宋" w:eastAsia="仿宋" w:cs="仿宋"/>
                <w:color w:val="auto"/>
                <w:highlight w:val="none"/>
              </w:rPr>
            </w:pPr>
          </w:p>
        </w:tc>
        <w:tc>
          <w:tcPr>
            <w:tcW w:w="745" w:type="dxa"/>
            <w:noWrap w:val="0"/>
            <w:vAlign w:val="center"/>
          </w:tcPr>
          <w:p w14:paraId="3A7E30EC">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5823" w:type="dxa"/>
            <w:noWrap w:val="0"/>
            <w:vAlign w:val="top"/>
          </w:tcPr>
          <w:p w14:paraId="5E8646EB">
            <w:pPr>
              <w:autoSpaceDE w:val="0"/>
              <w:autoSpaceDN w:val="0"/>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根据供应商依据本项目服务要求、实际作业需求提出的合理化建议进行打分。</w:t>
            </w:r>
          </w:p>
          <w:p w14:paraId="088265D5">
            <w:pPr>
              <w:autoSpaceDE w:val="0"/>
              <w:autoSpaceDN w:val="0"/>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建议合理，可实现性强，具有改进意义的得6分；</w:t>
            </w:r>
          </w:p>
          <w:p w14:paraId="53FA153A">
            <w:pPr>
              <w:autoSpaceDE w:val="0"/>
              <w:autoSpaceDN w:val="0"/>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建议合理，可实现性较为强，具有改进意义的得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p w14:paraId="4A73437A">
            <w:pPr>
              <w:autoSpaceDE w:val="0"/>
              <w:autoSpaceDN w:val="0"/>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建议可实现性较差，几乎没有改进意义的得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p w14:paraId="3A64AFCC">
            <w:pPr>
              <w:autoSpaceDE w:val="0"/>
              <w:autoSpaceDN w:val="0"/>
              <w:snapToGrid w:val="0"/>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未提及此项不得分。</w:t>
            </w:r>
          </w:p>
        </w:tc>
        <w:tc>
          <w:tcPr>
            <w:tcW w:w="778" w:type="dxa"/>
            <w:noWrap w:val="0"/>
            <w:vAlign w:val="center"/>
          </w:tcPr>
          <w:p w14:paraId="78ACB0AD">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987" w:type="dxa"/>
            <w:noWrap w:val="0"/>
            <w:vAlign w:val="center"/>
          </w:tcPr>
          <w:p w14:paraId="6D687E55">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bl>
    <w:p w14:paraId="654C9D33">
      <w:pPr>
        <w:widowControl/>
        <w:spacing w:line="360" w:lineRule="auto"/>
        <w:rPr>
          <w:rFonts w:hint="eastAsia" w:ascii="仿宋" w:hAnsi="仿宋" w:eastAsia="仿宋" w:cs="仿宋"/>
          <w:sz w:val="24"/>
          <w:highlight w:val="none"/>
        </w:rPr>
      </w:pPr>
      <w:r>
        <w:rPr>
          <w:rFonts w:hint="eastAsia" w:ascii="仿宋" w:hAnsi="仿宋" w:eastAsia="仿宋" w:cs="仿宋"/>
          <w:b/>
          <w:sz w:val="24"/>
          <w:highlight w:val="none"/>
        </w:rPr>
        <w:t>备注：</w:t>
      </w:r>
      <w:r>
        <w:rPr>
          <w:rFonts w:hint="eastAsia" w:ascii="仿宋" w:hAnsi="仿宋" w:eastAsia="仿宋" w:cs="仿宋"/>
          <w:sz w:val="24"/>
          <w:highlight w:val="none"/>
        </w:rPr>
        <w:t>1、评分条款中涉及的业绩、荣誉、人员、社保等分公司均有效。</w:t>
      </w:r>
    </w:p>
    <w:p w14:paraId="192307AF">
      <w:pPr>
        <w:widowControl/>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2DF3CB9B">
      <w:pPr>
        <w:widowControl/>
        <w:spacing w:line="360" w:lineRule="auto"/>
        <w:rPr>
          <w:rFonts w:hint="eastAsia" w:ascii="仿宋" w:hAnsi="仿宋" w:eastAsia="仿宋" w:cs="仿宋"/>
          <w:sz w:val="24"/>
          <w:highlight w:val="none"/>
        </w:rPr>
      </w:pPr>
      <w:r>
        <w:rPr>
          <w:rFonts w:hint="eastAsia" w:ascii="仿宋" w:hAnsi="仿宋" w:eastAsia="仿宋" w:cs="仿宋"/>
          <w:sz w:val="24"/>
          <w:highlight w:val="none"/>
        </w:rPr>
        <w:t>3、供应商编制投标文件（商务技术文件部分）时，建议按此目录（序号和内容）提供评标标准相应的商务技术资料。</w:t>
      </w:r>
    </w:p>
    <w:p w14:paraId="75CF3139">
      <w:pPr>
        <w:widowControl/>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2、价格分（</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0分）</w:t>
      </w:r>
    </w:p>
    <w:tbl>
      <w:tblPr>
        <w:tblStyle w:val="6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6940"/>
      </w:tblGrid>
      <w:tr w14:paraId="71B4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94" w:type="dxa"/>
            <w:noWrap w:val="0"/>
            <w:vAlign w:val="center"/>
          </w:tcPr>
          <w:p w14:paraId="0DD82FBB">
            <w:pPr>
              <w:spacing w:line="240" w:lineRule="auto"/>
              <w:jc w:val="center"/>
              <w:rPr>
                <w:rFonts w:hint="eastAsia" w:ascii="仿宋" w:hAnsi="仿宋" w:eastAsia="仿宋" w:cs="仿宋"/>
                <w:sz w:val="24"/>
                <w:highlight w:val="none"/>
              </w:rPr>
            </w:pPr>
            <w:r>
              <w:rPr>
                <w:rFonts w:hint="eastAsia" w:ascii="仿宋" w:hAnsi="仿宋" w:eastAsia="仿宋" w:cs="仿宋"/>
                <w:sz w:val="24"/>
                <w:highlight w:val="none"/>
              </w:rPr>
              <w:t>价格分</w:t>
            </w:r>
          </w:p>
        </w:tc>
        <w:tc>
          <w:tcPr>
            <w:tcW w:w="6940" w:type="dxa"/>
            <w:noWrap w:val="0"/>
            <w:vAlign w:val="center"/>
          </w:tcPr>
          <w:p w14:paraId="5389BBAA">
            <w:pPr>
              <w:spacing w:line="240" w:lineRule="auto"/>
              <w:jc w:val="center"/>
              <w:rPr>
                <w:rFonts w:hint="eastAsia" w:ascii="仿宋" w:hAnsi="仿宋" w:eastAsia="仿宋" w:cs="仿宋"/>
                <w:sz w:val="24"/>
                <w:highlight w:val="none"/>
              </w:rPr>
            </w:pPr>
            <w:r>
              <w:rPr>
                <w:rFonts w:hint="eastAsia" w:ascii="仿宋" w:hAnsi="仿宋" w:eastAsia="仿宋" w:cs="仿宋"/>
                <w:sz w:val="24"/>
                <w:highlight w:val="none"/>
              </w:rPr>
              <w:t>计    算    方    法</w:t>
            </w:r>
          </w:p>
        </w:tc>
      </w:tr>
      <w:tr w14:paraId="41DD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noWrap w:val="0"/>
            <w:vAlign w:val="center"/>
          </w:tcPr>
          <w:p w14:paraId="0B253752">
            <w:pPr>
              <w:autoSpaceDE w:val="0"/>
              <w:autoSpaceDN w:val="0"/>
              <w:spacing w:line="240" w:lineRule="auto"/>
              <w:jc w:val="center"/>
              <w:rPr>
                <w:rFonts w:hint="eastAsia" w:ascii="仿宋" w:hAnsi="仿宋" w:eastAsia="仿宋" w:cs="仿宋"/>
                <w:sz w:val="24"/>
                <w:highlight w:val="none"/>
              </w:rPr>
            </w:pPr>
            <w:r>
              <w:rPr>
                <w:rFonts w:hint="eastAsia" w:ascii="仿宋" w:hAnsi="仿宋" w:eastAsia="仿宋" w:cs="仿宋"/>
                <w:sz w:val="24"/>
                <w:highlight w:val="none"/>
              </w:rPr>
              <w:t>价格权值=0.</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w:t>
            </w:r>
          </w:p>
        </w:tc>
        <w:tc>
          <w:tcPr>
            <w:tcW w:w="6940" w:type="dxa"/>
            <w:noWrap w:val="0"/>
            <w:vAlign w:val="center"/>
          </w:tcPr>
          <w:p w14:paraId="2FDCEAB6">
            <w:pPr>
              <w:widowControl/>
              <w:spacing w:line="240" w:lineRule="auto"/>
              <w:rPr>
                <w:rFonts w:hint="eastAsia" w:ascii="仿宋" w:hAnsi="仿宋" w:eastAsia="仿宋" w:cs="仿宋"/>
                <w:sz w:val="24"/>
                <w:highlight w:val="none"/>
              </w:rPr>
            </w:pPr>
            <w:r>
              <w:rPr>
                <w:rFonts w:hint="eastAsia" w:ascii="仿宋" w:hAnsi="仿宋" w:eastAsia="仿宋" w:cs="仿宋"/>
                <w:sz w:val="24"/>
                <w:highlight w:val="none"/>
              </w:rPr>
              <w:t>最低有效投标价格为评标基准价</w:t>
            </w:r>
          </w:p>
          <w:p w14:paraId="3E85B9FE">
            <w:pPr>
              <w:widowControl/>
              <w:spacing w:line="240" w:lineRule="auto"/>
              <w:rPr>
                <w:rFonts w:hint="eastAsia" w:ascii="仿宋" w:hAnsi="仿宋" w:eastAsia="仿宋" w:cs="仿宋"/>
                <w:sz w:val="24"/>
                <w:highlight w:val="none"/>
              </w:rPr>
            </w:pPr>
            <w:r>
              <w:rPr>
                <w:rFonts w:hint="eastAsia" w:ascii="仿宋" w:hAnsi="仿宋" w:eastAsia="仿宋" w:cs="仿宋"/>
                <w:sz w:val="24"/>
                <w:highlight w:val="none"/>
              </w:rPr>
              <w:t xml:space="preserve">投标报价得分=(评标基准价／投标报价)×价格权值×100 </w:t>
            </w:r>
          </w:p>
          <w:p w14:paraId="768749FA">
            <w:pPr>
              <w:autoSpaceDE w:val="0"/>
              <w:autoSpaceDN w:val="0"/>
              <w:spacing w:line="240" w:lineRule="auto"/>
              <w:rPr>
                <w:rFonts w:hint="eastAsia" w:ascii="仿宋" w:hAnsi="仿宋" w:eastAsia="仿宋" w:cs="仿宋"/>
                <w:sz w:val="24"/>
                <w:highlight w:val="none"/>
              </w:rPr>
            </w:pPr>
            <w:r>
              <w:rPr>
                <w:rFonts w:hint="eastAsia" w:ascii="仿宋" w:hAnsi="仿宋" w:eastAsia="仿宋" w:cs="仿宋"/>
                <w:sz w:val="24"/>
                <w:highlight w:val="none"/>
              </w:rPr>
              <w:t>（计算得分保留小数点后2位）</w:t>
            </w:r>
          </w:p>
        </w:tc>
      </w:tr>
    </w:tbl>
    <w:p w14:paraId="7B763AA3">
      <w:pPr>
        <w:pStyle w:val="5"/>
        <w:rPr>
          <w:rFonts w:hint="eastAsia" w:ascii="仿宋" w:hAnsi="仿宋" w:eastAsia="仿宋" w:cs="仿宋"/>
          <w:highlight w:val="none"/>
        </w:rPr>
      </w:pPr>
    </w:p>
    <w:p w14:paraId="41788CF6">
      <w:pPr>
        <w:rPr>
          <w:rFonts w:hint="eastAsia" w:ascii="仿宋" w:hAnsi="仿宋" w:eastAsia="仿宋" w:cs="仿宋"/>
          <w:highlight w:val="none"/>
        </w:rPr>
      </w:pPr>
    </w:p>
    <w:p w14:paraId="5D95C261">
      <w:pPr>
        <w:pStyle w:val="23"/>
        <w:rPr>
          <w:rFonts w:hint="eastAsia" w:ascii="仿宋" w:hAnsi="仿宋" w:eastAsia="仿宋" w:cs="仿宋"/>
          <w:highlight w:val="none"/>
        </w:rPr>
      </w:pPr>
    </w:p>
    <w:p w14:paraId="4883483E">
      <w:pPr>
        <w:rPr>
          <w:rFonts w:hint="eastAsia" w:ascii="仿宋" w:hAnsi="仿宋" w:eastAsia="仿宋" w:cs="仿宋"/>
          <w:highlight w:val="none"/>
        </w:rPr>
      </w:pPr>
    </w:p>
    <w:bookmarkEnd w:id="17"/>
    <w:p w14:paraId="7FC8D590">
      <w:pPr>
        <w:snapToGrid w:val="0"/>
        <w:spacing w:line="360" w:lineRule="auto"/>
        <w:rPr>
          <w:rFonts w:hint="eastAsia" w:ascii="仿宋" w:hAnsi="仿宋" w:eastAsia="仿宋" w:cs="仿宋"/>
          <w:b/>
          <w:sz w:val="28"/>
          <w:szCs w:val="28"/>
          <w:highlight w:val="none"/>
        </w:rPr>
      </w:pPr>
      <w:bookmarkStart w:id="385" w:name="第五部分"/>
      <w:bookmarkStart w:id="386" w:name="_Toc86217003"/>
      <w:r>
        <w:rPr>
          <w:rFonts w:hint="eastAsia" w:ascii="仿宋" w:hAnsi="仿宋" w:eastAsia="仿宋" w:cs="仿宋"/>
          <w:b/>
          <w:sz w:val="32"/>
          <w:highlight w:val="none"/>
        </w:rPr>
        <w:t>一、评标方法</w:t>
      </w:r>
    </w:p>
    <w:p w14:paraId="569C2A33">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综合评分法，是指投标文件满足交易文件全部实质性要求，且按照评审因素的量化指标评审得分最高的前5家供应商为成交候选人的评审方法。</w:t>
      </w:r>
    </w:p>
    <w:p w14:paraId="7B516B7C">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14:paraId="366D969F">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2.评标标准：</w:t>
      </w:r>
      <w:r>
        <w:rPr>
          <w:rFonts w:hint="eastAsia" w:ascii="仿宋" w:hAnsi="仿宋" w:eastAsia="仿宋" w:cs="仿宋"/>
          <w:kern w:val="0"/>
          <w:sz w:val="24"/>
          <w:highlight w:val="none"/>
        </w:rPr>
        <w:t>见评标办法前附表。</w:t>
      </w:r>
    </w:p>
    <w:p w14:paraId="18A71CA6">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14:paraId="1A1EBE75">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评标委员会应当对符合资格的响应人的响应文件进行符合性审查，以确定其是否满足交易文件的实质性要求。不满足交易文件的实质性要求的，投标无效。</w:t>
      </w:r>
    </w:p>
    <w:p w14:paraId="0F31A72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评标委员会应当按照交易文件中规定的评标方法和标准，对符合性审查合格的响应文件进行商务和技术评估，综合比较与评价。</w:t>
      </w:r>
    </w:p>
    <w:p w14:paraId="42E7DAD4">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评标委员会各成员应当独立对每个响应人的商务和技术文件进行评价，并汇总商务技术得分情况。</w:t>
      </w:r>
    </w:p>
    <w:p w14:paraId="4F275FDF">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43886A92">
      <w:pPr>
        <w:pStyle w:val="131"/>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3.4.1响应文件报价出现前后不一致的，按照下列规定修正：</w:t>
      </w:r>
    </w:p>
    <w:p w14:paraId="5D705B44">
      <w:pPr>
        <w:pStyle w:val="131"/>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3.4.1.1响应文件中开标一览表(报价表)内容与响应文件中相应内容不一致的，以开标一览表(报价表)为准;</w:t>
      </w:r>
    </w:p>
    <w:p w14:paraId="202EA272">
      <w:pPr>
        <w:pStyle w:val="131"/>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74FCBAFF">
      <w:pPr>
        <w:pStyle w:val="131"/>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564DE711">
      <w:pPr>
        <w:pStyle w:val="131"/>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00FAAC5A">
      <w:pPr>
        <w:pStyle w:val="131"/>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《政府采购货物和服务招标投标管理办法》第五十一条第二款的规定经响应人确认后产生约束力。</w:t>
      </w:r>
    </w:p>
    <w:p w14:paraId="32821BC7">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3.4.2响应文件出现不是唯一的、有选择性投标报价的，投标无效。</w:t>
      </w:r>
    </w:p>
    <w:p w14:paraId="6DD7D84B">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3.4.3投标报价超过交易文件中规定的预算金额或者最高限价的，投标无效。</w:t>
      </w:r>
    </w:p>
    <w:p w14:paraId="2B9B9AE3">
      <w:pPr>
        <w:pStyle w:val="131"/>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投标处理。</w:t>
      </w:r>
    </w:p>
    <w:p w14:paraId="4B45EF31">
      <w:pPr>
        <w:pStyle w:val="131"/>
        <w:ind w:firstLine="482"/>
        <w:rPr>
          <w:rFonts w:hint="eastAsia" w:ascii="仿宋" w:hAnsi="仿宋" w:eastAsia="仿宋" w:cs="仿宋"/>
          <w:kern w:val="0"/>
          <w:highlight w:val="none"/>
        </w:rPr>
      </w:pPr>
      <w:r>
        <w:rPr>
          <w:rFonts w:hint="eastAsia" w:ascii="仿宋" w:hAnsi="仿宋" w:eastAsia="仿宋" w:cs="仿宋"/>
          <w:b/>
          <w:kern w:val="0"/>
          <w:highlight w:val="none"/>
        </w:rPr>
        <w:t>3.5排序与推荐。</w:t>
      </w:r>
      <w:r>
        <w:rPr>
          <w:rFonts w:hint="eastAsia" w:ascii="仿宋" w:hAnsi="仿宋" w:eastAsia="仿宋" w:cs="仿宋"/>
          <w:kern w:val="0"/>
          <w:highlight w:val="none"/>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前5名供应商为排名第一至第五的成交候选人。</w:t>
      </w:r>
    </w:p>
    <w:p w14:paraId="4C39C7F7">
      <w:pPr>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rPr>
        <w:t>多家响应人提供相同品牌产品（单一产品采购项目中的该产品或者非单一产品采购项目的核心产品）且通过资格审查、符合性审查的不同响应人参加同一合同项下投标的，按一家响应人计算，评审后得分最高的同品牌响应人获得成交人推荐资格；评审得分相同的，采取随机抽取方式确定，其他同品牌响应人不作为中标候选人。</w:t>
      </w:r>
    </w:p>
    <w:p w14:paraId="7B00D26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AE27A2">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14:paraId="565861A5">
      <w:pPr>
        <w:pStyle w:val="131"/>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4.1响应人澄清、说明或者补正。</w:t>
      </w:r>
      <w:r>
        <w:rPr>
          <w:rFonts w:hint="eastAsia" w:ascii="仿宋" w:hAnsi="仿宋" w:eastAsia="仿宋" w:cs="仿宋"/>
          <w:kern w:val="0"/>
          <w:szCs w:val="24"/>
          <w:highlight w:val="none"/>
        </w:rPr>
        <w:t>对于响应文件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D422272">
      <w:pPr>
        <w:pStyle w:val="24"/>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有下列情形之一的，投标无效：</w:t>
      </w:r>
    </w:p>
    <w:p w14:paraId="338A439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4.2.1响应人不具备交易文件中规定的资格要求的（响应人未提供有效的资格文件的，视为响应人不具备交易文件中规定的资格要求）；</w:t>
      </w:r>
    </w:p>
    <w:p w14:paraId="6543ABF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4.2.2响应文件未按照交易文件要求签署、盖章的；</w:t>
      </w:r>
    </w:p>
    <w:p w14:paraId="74A10A5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4.2.3交易发起人拟采购的产品属于政府强制采购的节能产品品目清单范围的，响应人未按交易文件要求提供国家确定的认证机构出具的、处于有效期之内的节能产品认证证书的；</w:t>
      </w:r>
    </w:p>
    <w:p w14:paraId="74C727FB">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4.2.4响应文件含有交易发起人不能接受的附加条件的；</w:t>
      </w:r>
    </w:p>
    <w:p w14:paraId="1A12D39C">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4.2.5响应文件中承诺的投标有效期少于交易文件中载明的投标有效期的；</w:t>
      </w:r>
    </w:p>
    <w:p w14:paraId="3369DAA4">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4.2.6响应文件出现不是唯一的、有选择性投标报价的;</w:t>
      </w:r>
    </w:p>
    <w:p w14:paraId="03D0A4F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4.2.7投标报价超过交易文件中规定的预算金额或者最高限价的;</w:t>
      </w:r>
    </w:p>
    <w:p w14:paraId="09DC6BF3">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4.2.8报价明显低于其他通过符合性审查响应人的报价，有可能影响产品质量或者不能诚信履约的，未能按要求提供书面说明或者提交相关证明材料，不能证明其报价合理性的;</w:t>
      </w:r>
    </w:p>
    <w:p w14:paraId="6C85152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4.2.9响应人对根据修正原则修正后的报价不确认的；</w:t>
      </w:r>
    </w:p>
    <w:p w14:paraId="4B15BB1F">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4.2.10响应人提供虚假材料投标的；</w:t>
      </w:r>
    </w:p>
    <w:p w14:paraId="137302CA">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4.2.11响应人有恶意串通、妨碍其他响应人的竞争行为、损害交易发起人或者其他响应人的合法权益情形的；</w:t>
      </w:r>
    </w:p>
    <w:p w14:paraId="31810861">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4.2.12响应人仅提交备份响应文件，未在电子交易平台传输递交响应文件的，投标无效；</w:t>
      </w:r>
    </w:p>
    <w:p w14:paraId="21CB1B68">
      <w:pPr>
        <w:pStyle w:val="3"/>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响应文件不满足交易文件的其它实质性要求的；</w:t>
      </w:r>
    </w:p>
    <w:p w14:paraId="2F7F7057">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14:paraId="7C02D85F">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 xml:space="preserve">五、评审报告 </w:t>
      </w:r>
    </w:p>
    <w:p w14:paraId="76F69F8C">
      <w:pPr>
        <w:pStyle w:val="131"/>
        <w:widowControl/>
        <w:adjustRightInd/>
        <w:snapToGrid w:val="0"/>
        <w:spacing w:before="0"/>
        <w:ind w:firstLine="482"/>
        <w:rPr>
          <w:rFonts w:hint="eastAsia" w:ascii="仿宋" w:hAnsi="仿宋" w:eastAsia="仿宋" w:cs="仿宋"/>
          <w:szCs w:val="24"/>
          <w:highlight w:val="none"/>
        </w:rPr>
      </w:pPr>
      <w:r>
        <w:rPr>
          <w:rFonts w:hint="eastAsia" w:ascii="仿宋" w:hAnsi="仿宋" w:eastAsia="仿宋" w:cs="仿宋"/>
          <w:b/>
          <w:szCs w:val="24"/>
          <w:highlight w:val="none"/>
          <w:lang w:val="en-US" w:eastAsia="zh-CN"/>
        </w:rPr>
        <w:t>5.1</w:t>
      </w:r>
      <w:r>
        <w:rPr>
          <w:rFonts w:hint="eastAsia" w:ascii="仿宋" w:hAnsi="仿宋" w:eastAsia="仿宋" w:cs="仿宋"/>
          <w:b/>
          <w:szCs w:val="24"/>
          <w:highlight w:val="none"/>
        </w:rPr>
        <w:t xml:space="preserve"> 评审报告与推荐成交候选人。</w:t>
      </w:r>
      <w:r>
        <w:rPr>
          <w:rFonts w:hint="eastAsia" w:ascii="仿宋" w:hAnsi="仿宋" w:eastAsia="仿宋" w:cs="仿宋"/>
          <w:szCs w:val="24"/>
          <w:highlight w:val="none"/>
        </w:rPr>
        <w:t>评审委员会根据全体评审成员签字的原始评审记录和评审结果编写评审报告，并推荐成交候选人</w:t>
      </w: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名，评审报告由评审委员会成员签字确认提交。</w:t>
      </w:r>
    </w:p>
    <w:p w14:paraId="21CAE830">
      <w:pPr>
        <w:pStyle w:val="131"/>
        <w:widowControl/>
        <w:adjustRightInd/>
        <w:snapToGrid w:val="0"/>
        <w:spacing w:before="0"/>
        <w:ind w:firstLine="482"/>
        <w:rPr>
          <w:rFonts w:hint="eastAsia" w:ascii="仿宋" w:hAnsi="仿宋" w:eastAsia="仿宋" w:cs="仿宋"/>
          <w:kern w:val="0"/>
          <w:highlight w:val="none"/>
        </w:rPr>
      </w:pPr>
      <w:r>
        <w:rPr>
          <w:rFonts w:hint="eastAsia" w:ascii="仿宋" w:hAnsi="仿宋" w:eastAsia="仿宋" w:cs="仿宋"/>
          <w:b/>
          <w:highlight w:val="none"/>
          <w:lang w:val="en-US" w:eastAsia="zh-CN"/>
        </w:rPr>
        <w:t>5.2</w:t>
      </w:r>
      <w:r>
        <w:rPr>
          <w:rFonts w:hint="eastAsia" w:ascii="仿宋" w:hAnsi="仿宋" w:eastAsia="仿宋" w:cs="仿宋"/>
          <w:b/>
          <w:highlight w:val="none"/>
        </w:rPr>
        <w:t>评审争议事项处理。</w:t>
      </w:r>
      <w:r>
        <w:rPr>
          <w:rFonts w:hint="eastAsia" w:ascii="仿宋" w:hAnsi="仿宋" w:eastAsia="仿宋" w:cs="仿宋"/>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1B2D593A">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六、 废标</w:t>
      </w:r>
    </w:p>
    <w:p w14:paraId="214582CF">
      <w:pPr>
        <w:pStyle w:val="24"/>
        <w:snapToGrid w:val="0"/>
        <w:spacing w:line="360" w:lineRule="auto"/>
        <w:ind w:firstLine="482"/>
        <w:rPr>
          <w:rFonts w:hint="eastAsia" w:ascii="仿宋" w:hAnsi="仿宋" w:eastAsia="仿宋" w:cs="仿宋"/>
          <w:highlight w:val="none"/>
        </w:rPr>
      </w:pPr>
      <w:r>
        <w:rPr>
          <w:rStyle w:val="967"/>
          <w:rFonts w:hint="eastAsia" w:ascii="仿宋" w:hAnsi="仿宋" w:eastAsia="仿宋" w:cs="仿宋"/>
          <w:sz w:val="24"/>
          <w:szCs w:val="24"/>
          <w:highlight w:val="none"/>
          <w:lang w:val="en-US" w:eastAsia="zh-CN"/>
        </w:rPr>
        <w:t>6</w:t>
      </w:r>
      <w:r>
        <w:rPr>
          <w:rStyle w:val="967"/>
          <w:rFonts w:hint="eastAsia" w:ascii="仿宋" w:hAnsi="仿宋" w:eastAsia="仿宋" w:cs="仿宋"/>
          <w:sz w:val="24"/>
          <w:szCs w:val="24"/>
          <w:highlight w:val="none"/>
        </w:rPr>
        <w:t>.废标。</w:t>
      </w:r>
      <w:r>
        <w:rPr>
          <w:rFonts w:hint="eastAsia" w:ascii="仿宋" w:hAnsi="仿宋" w:eastAsia="仿宋" w:cs="仿宋"/>
          <w:highlight w:val="none"/>
        </w:rPr>
        <w:t>根据《中华人民共和国政府采购法》第三十六条之规定，在采购中，出现下列情形之一的，应予废标：</w:t>
      </w:r>
    </w:p>
    <w:p w14:paraId="28F7A411">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.1符合专业条件的供应商或者对交易文件作实质响应的供应商不足7家的；</w:t>
      </w:r>
    </w:p>
    <w:p w14:paraId="52088571">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.2出现影响采购公正的违法、违规行为的；</w:t>
      </w:r>
    </w:p>
    <w:p w14:paraId="2953B8E1">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.3供应商的报价均超过了采购预算，交易发起人不能支付的；</w:t>
      </w:r>
    </w:p>
    <w:p w14:paraId="52CA0417">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.4因重大变故，采购任务取消的。</w:t>
      </w:r>
    </w:p>
    <w:p w14:paraId="145D8E2E">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废标后，代理机构应当将废标理由通知所有供应商。</w:t>
      </w:r>
    </w:p>
    <w:p w14:paraId="539A1392">
      <w:pPr>
        <w:pStyle w:val="24"/>
        <w:snapToGrid w:val="0"/>
        <w:spacing w:line="360" w:lineRule="auto"/>
        <w:ind w:firstLine="482"/>
        <w:rPr>
          <w:rFonts w:hint="eastAsia" w:ascii="仿宋" w:hAnsi="仿宋" w:eastAsia="仿宋" w:cs="仿宋"/>
          <w:highlight w:val="none"/>
        </w:rPr>
      </w:pPr>
      <w:r>
        <w:rPr>
          <w:rStyle w:val="967"/>
          <w:rFonts w:hint="eastAsia" w:ascii="仿宋" w:hAnsi="仿宋" w:eastAsia="仿宋" w:cs="仿宋"/>
          <w:sz w:val="24"/>
          <w:szCs w:val="24"/>
          <w:highlight w:val="none"/>
          <w:lang w:val="en-US" w:eastAsia="zh-CN"/>
        </w:rPr>
        <w:t>7</w:t>
      </w:r>
      <w:r>
        <w:rPr>
          <w:rStyle w:val="967"/>
          <w:rFonts w:hint="eastAsia" w:ascii="仿宋" w:hAnsi="仿宋" w:eastAsia="仿宋" w:cs="仿宋"/>
          <w:sz w:val="24"/>
          <w:szCs w:val="24"/>
          <w:highlight w:val="none"/>
        </w:rPr>
        <w:t>.修改交易文件，重新组织采购活动。</w:t>
      </w:r>
      <w:r>
        <w:rPr>
          <w:rFonts w:hint="eastAsia" w:ascii="仿宋" w:hAnsi="仿宋" w:eastAsia="仿宋" w:cs="仿宋"/>
          <w:highlight w:val="none"/>
        </w:rPr>
        <w:t>评审委员会发现交易文件存在歧义、重大缺陷导致评审工作无法进行，或者交易文件内容违反国家有关强制性规定的，将停止评审工作，并与交易发起人、代理机构沟通并作书面记录。交易发起人、代理机构确认后，将修改交易文件，重新组织采购活动。</w:t>
      </w:r>
    </w:p>
    <w:p w14:paraId="7B28EA4E">
      <w:pPr>
        <w:pStyle w:val="24"/>
        <w:snapToGrid w:val="0"/>
        <w:spacing w:line="360" w:lineRule="auto"/>
        <w:ind w:firstLine="482"/>
        <w:rPr>
          <w:rFonts w:hint="eastAsia" w:ascii="仿宋" w:hAnsi="仿宋" w:eastAsia="仿宋" w:cs="仿宋"/>
          <w:highlight w:val="none"/>
        </w:rPr>
      </w:pPr>
      <w:r>
        <w:rPr>
          <w:rStyle w:val="967"/>
          <w:rFonts w:hint="eastAsia" w:ascii="仿宋" w:hAnsi="仿宋" w:eastAsia="仿宋" w:cs="仿宋"/>
          <w:sz w:val="24"/>
          <w:szCs w:val="24"/>
          <w:highlight w:val="none"/>
          <w:lang w:val="en-US" w:eastAsia="zh-CN"/>
        </w:rPr>
        <w:t>8</w:t>
      </w:r>
      <w:r>
        <w:rPr>
          <w:rStyle w:val="967"/>
          <w:rFonts w:hint="eastAsia" w:ascii="仿宋" w:hAnsi="仿宋" w:eastAsia="仿宋" w:cs="仿宋"/>
          <w:sz w:val="24"/>
          <w:szCs w:val="24"/>
          <w:highlight w:val="none"/>
        </w:rPr>
        <w:t>.重新开展采购。</w:t>
      </w:r>
      <w:r>
        <w:rPr>
          <w:rFonts w:hint="eastAsia" w:ascii="仿宋" w:hAnsi="仿宋" w:eastAsia="仿宋" w:cs="仿宋"/>
          <w:highlight w:val="none"/>
        </w:rPr>
        <w:t>有政府采购法第七十一条、第七十二条规定的违法行为之一，影响或者可能影响成交结果的，依照下列规定处理：</w:t>
      </w:r>
    </w:p>
    <w:p w14:paraId="5F89BED8">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.1未确定中标或者成交人的，终止本次采购活动，重新开展采购活动。</w:t>
      </w:r>
    </w:p>
    <w:p w14:paraId="1CEAA0D0">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.2已确定中标或者成交人但尚未签订采购合同的，中标或者成交结果无效，从合格的中标或者成交候选人中另行确定中标或者成交人；没有合格的中标或者成交候选人的，重新开展采购活动。</w:t>
      </w:r>
    </w:p>
    <w:p w14:paraId="58E96FFC">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.3采购合同已签订但尚未履行的，撤销合同，从合格的中标或者成交候选人中另行确定中标或者成交人；没有合格的中标或者成交候选人的，重新开展采购活动。</w:t>
      </w:r>
    </w:p>
    <w:p w14:paraId="459A6F1B">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.4采购合同已经履行，给交易发起人、供应商造成损失的，由责任人承担赔偿责任。</w:t>
      </w:r>
    </w:p>
    <w:p w14:paraId="55CE6ED2">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.5采购当事人有其他违反采购法</w:t>
      </w:r>
      <w:r>
        <w:rPr>
          <w:rFonts w:hint="eastAsia" w:ascii="仿宋" w:hAnsi="仿宋" w:eastAsia="仿宋" w:cs="仿宋"/>
          <w:kern w:val="0"/>
          <w:highlight w:val="none"/>
        </w:rPr>
        <w:t>或者采购法实施条例等法律法规规定</w:t>
      </w:r>
      <w:r>
        <w:rPr>
          <w:rFonts w:hint="eastAsia" w:ascii="仿宋" w:hAnsi="仿宋" w:eastAsia="仿宋" w:cs="仿宋"/>
          <w:highlight w:val="none"/>
        </w:rPr>
        <w:t>的行为，经改正后仍然影响或者可能影响中标、成交结果或者依法被认定为中标、成交无效的，依照</w:t>
      </w:r>
      <w:r>
        <w:rPr>
          <w:rFonts w:hint="eastAsia" w:ascii="仿宋" w:hAnsi="仿宋" w:eastAsia="仿宋" w:cs="仿宋"/>
          <w:highlight w:val="none"/>
          <w:lang w:val="en-US" w:eastAsia="zh-CN"/>
        </w:rPr>
        <w:t>8</w:t>
      </w:r>
      <w:r>
        <w:rPr>
          <w:rFonts w:hint="eastAsia" w:ascii="仿宋" w:hAnsi="仿宋" w:eastAsia="仿宋" w:cs="仿宋"/>
          <w:highlight w:val="none"/>
        </w:rPr>
        <w:t>.1-</w:t>
      </w:r>
      <w:r>
        <w:rPr>
          <w:rFonts w:hint="eastAsia" w:ascii="仿宋" w:hAnsi="仿宋" w:eastAsia="仿宋" w:cs="仿宋"/>
          <w:highlight w:val="none"/>
          <w:lang w:val="en-US" w:eastAsia="zh-CN"/>
        </w:rPr>
        <w:t>8</w:t>
      </w:r>
      <w:r>
        <w:rPr>
          <w:rFonts w:hint="eastAsia" w:ascii="仿宋" w:hAnsi="仿宋" w:eastAsia="仿宋" w:cs="仿宋"/>
          <w:highlight w:val="none"/>
        </w:rPr>
        <w:t>.4规定处理。</w:t>
      </w:r>
    </w:p>
    <w:p w14:paraId="4C0475D9">
      <w:pPr>
        <w:spacing w:line="360" w:lineRule="auto"/>
        <w:ind w:left="720" w:leftChars="343" w:firstLine="1084" w:firstLineChars="300"/>
        <w:outlineLvl w:val="0"/>
        <w:rPr>
          <w:rFonts w:hint="eastAsia" w:ascii="仿宋" w:hAnsi="仿宋" w:eastAsia="仿宋" w:cs="仿宋"/>
          <w:b/>
          <w:sz w:val="36"/>
          <w:szCs w:val="36"/>
          <w:highlight w:val="none"/>
        </w:rPr>
      </w:pPr>
    </w:p>
    <w:p w14:paraId="700A89E4">
      <w:pPr>
        <w:spacing w:line="360" w:lineRule="auto"/>
        <w:ind w:left="720" w:leftChars="343" w:firstLine="1084" w:firstLineChars="300"/>
        <w:outlineLvl w:val="0"/>
        <w:rPr>
          <w:rFonts w:hint="eastAsia" w:ascii="仿宋" w:hAnsi="仿宋" w:eastAsia="仿宋" w:cs="仿宋"/>
          <w:b/>
          <w:sz w:val="36"/>
          <w:szCs w:val="36"/>
          <w:highlight w:val="none"/>
        </w:rPr>
        <w:sectPr>
          <w:pgSz w:w="11906" w:h="16838"/>
          <w:pgMar w:top="1276" w:right="1418" w:bottom="1247" w:left="1418" w:header="851" w:footer="992" w:gutter="0"/>
          <w:cols w:space="720" w:num="1"/>
          <w:titlePg/>
          <w:docGrid w:linePitch="312" w:charSpace="0"/>
        </w:sectPr>
      </w:pPr>
    </w:p>
    <w:p w14:paraId="727C6CD4">
      <w:pPr>
        <w:pStyle w:val="23"/>
        <w:rPr>
          <w:rFonts w:hint="eastAsia" w:ascii="仿宋" w:hAnsi="仿宋" w:eastAsia="仿宋" w:cs="仿宋"/>
          <w:highlight w:val="none"/>
        </w:rPr>
      </w:pPr>
    </w:p>
    <w:p w14:paraId="62F49D49">
      <w:pPr>
        <w:spacing w:line="360" w:lineRule="auto"/>
        <w:ind w:left="720" w:firstLine="723" w:firstLineChars="200"/>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第五部分</w:t>
      </w:r>
      <w:bookmarkEnd w:id="385"/>
      <w:r>
        <w:rPr>
          <w:rFonts w:hint="eastAsia" w:ascii="仿宋" w:hAnsi="仿宋" w:eastAsia="仿宋" w:cs="仿宋"/>
          <w:b/>
          <w:sz w:val="36"/>
          <w:szCs w:val="20"/>
          <w:highlight w:val="none"/>
        </w:rPr>
        <w:t xml:space="preserve"> </w:t>
      </w:r>
      <w:bookmarkEnd w:id="386"/>
      <w:r>
        <w:rPr>
          <w:rFonts w:hint="eastAsia" w:ascii="仿宋" w:hAnsi="仿宋" w:eastAsia="仿宋" w:cs="仿宋"/>
          <w:b/>
          <w:sz w:val="36"/>
          <w:szCs w:val="20"/>
          <w:highlight w:val="none"/>
        </w:rPr>
        <w:t>应提交的有关格式范例</w:t>
      </w:r>
    </w:p>
    <w:p w14:paraId="179E3EC4">
      <w:pPr>
        <w:spacing w:line="360" w:lineRule="auto"/>
        <w:jc w:val="center"/>
        <w:outlineLvl w:val="0"/>
        <w:rPr>
          <w:rFonts w:hint="eastAsia" w:ascii="仿宋" w:hAnsi="仿宋" w:eastAsia="仿宋" w:cs="仿宋"/>
          <w:b/>
          <w:kern w:val="0"/>
          <w:sz w:val="36"/>
          <w:szCs w:val="36"/>
          <w:highlight w:val="none"/>
        </w:rPr>
      </w:pPr>
    </w:p>
    <w:p w14:paraId="36CE5622">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5740CB9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60D608E0">
      <w:pPr>
        <w:spacing w:line="360" w:lineRule="auto"/>
        <w:jc w:val="center"/>
        <w:outlineLvl w:val="0"/>
        <w:rPr>
          <w:rFonts w:hint="eastAsia" w:ascii="仿宋" w:hAnsi="仿宋" w:eastAsia="仿宋" w:cs="仿宋"/>
          <w:b/>
          <w:kern w:val="0"/>
          <w:sz w:val="36"/>
          <w:szCs w:val="36"/>
          <w:highlight w:val="none"/>
        </w:rPr>
      </w:pPr>
    </w:p>
    <w:p w14:paraId="47BAD1A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（1）符合参加采购活动应当具备的一般条件的承诺函……………（页码）</w:t>
      </w:r>
    </w:p>
    <w:p w14:paraId="613FAB2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（2）本项目的特定资格要求………………………………………………（页码）</w:t>
      </w:r>
    </w:p>
    <w:p w14:paraId="351A3FA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（3）营业执照或事业法人登记证证明材料（复印件）……………（页码）</w:t>
      </w:r>
    </w:p>
    <w:p w14:paraId="437E349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（4）具有履行合同所必需的设备和专业技术能力的承诺函……………（页码）</w:t>
      </w:r>
    </w:p>
    <w:p w14:paraId="747B5ED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（5）参加政府采购活动前三年内，在经营活动中没有重大违法记录的声明……（页码）</w:t>
      </w:r>
    </w:p>
    <w:p w14:paraId="14FDBE3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（6）具有良好商业信誉特别声明………………………………………………（页码）</w:t>
      </w:r>
    </w:p>
    <w:p w14:paraId="2825C02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（7） 信用中国、中国政府采购网查询结果……………………………………（页码）</w:t>
      </w:r>
    </w:p>
    <w:p w14:paraId="37BDC07B">
      <w:pPr>
        <w:snapToGrid w:val="0"/>
        <w:spacing w:line="360" w:lineRule="auto"/>
        <w:rPr>
          <w:rFonts w:hint="eastAsia" w:ascii="仿宋" w:hAnsi="仿宋" w:eastAsia="仿宋" w:cs="仿宋"/>
          <w:sz w:val="24"/>
          <w:highlight w:val="none"/>
        </w:rPr>
      </w:pPr>
    </w:p>
    <w:p w14:paraId="6D0FD5BE">
      <w:pPr>
        <w:snapToGrid w:val="0"/>
        <w:spacing w:line="360" w:lineRule="auto"/>
        <w:ind w:firstLine="480" w:firstLineChars="200"/>
        <w:rPr>
          <w:rFonts w:hint="eastAsia" w:ascii="仿宋" w:hAnsi="仿宋" w:eastAsia="仿宋" w:cs="仿宋"/>
          <w:sz w:val="24"/>
          <w:highlight w:val="none"/>
        </w:rPr>
      </w:pPr>
    </w:p>
    <w:p w14:paraId="35BEDAA0">
      <w:pPr>
        <w:spacing w:line="360" w:lineRule="auto"/>
        <w:ind w:firstLine="480" w:firstLineChars="200"/>
        <w:rPr>
          <w:rFonts w:hint="eastAsia" w:ascii="仿宋" w:hAnsi="仿宋" w:eastAsia="仿宋" w:cs="仿宋"/>
          <w:sz w:val="24"/>
          <w:highlight w:val="none"/>
        </w:rPr>
      </w:pPr>
    </w:p>
    <w:p w14:paraId="619CC6B0">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符合参加采购活动应当具备的一般条件的承诺函</w:t>
      </w:r>
    </w:p>
    <w:p w14:paraId="794E96B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w:t>
      </w:r>
      <w:r>
        <w:rPr>
          <w:rFonts w:hint="eastAsia" w:ascii="仿宋" w:hAnsi="仿宋" w:eastAsia="仿宋" w:cs="仿宋"/>
          <w:sz w:val="24"/>
          <w:highlight w:val="none"/>
          <w:u w:val="single"/>
          <w:lang w:val="en-US" w:eastAsia="zh-CN"/>
        </w:rPr>
        <w:t>名称</w:t>
      </w:r>
      <w:r>
        <w:rPr>
          <w:rFonts w:hint="eastAsia" w:ascii="仿宋" w:hAnsi="仿宋" w:eastAsia="仿宋" w:cs="仿宋"/>
          <w:sz w:val="24"/>
          <w:highlight w:val="none"/>
          <w:u w:val="single"/>
        </w:rPr>
        <w:t>）</w:t>
      </w:r>
      <w:r>
        <w:rPr>
          <w:rFonts w:hint="eastAsia" w:ascii="仿宋" w:hAnsi="仿宋" w:eastAsia="仿宋" w:cs="仿宋"/>
          <w:sz w:val="24"/>
          <w:highlight w:val="none"/>
        </w:rPr>
        <w:t>：</w:t>
      </w:r>
    </w:p>
    <w:p w14:paraId="7768E93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（项目名称）【交易编号：（采购编号）】</w:t>
      </w:r>
      <w:r>
        <w:rPr>
          <w:rFonts w:hint="eastAsia" w:ascii="仿宋" w:hAnsi="仿宋" w:eastAsia="仿宋" w:cs="仿宋"/>
          <w:sz w:val="24"/>
          <w:highlight w:val="none"/>
        </w:rPr>
        <w:t>采购活动，郑重承诺：</w:t>
      </w:r>
    </w:p>
    <w:p w14:paraId="416A491A">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（一）具备以下条件：</w:t>
      </w:r>
    </w:p>
    <w:p w14:paraId="15931A4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0D7A3EA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5C839A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74346FE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2DC6E03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5、参加采购活动前三年内，在经营活动中没有重大违法记录；</w:t>
      </w:r>
    </w:p>
    <w:p w14:paraId="107CED6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14C560C">
      <w:pPr>
        <w:snapToGrid w:val="0"/>
        <w:spacing w:line="360" w:lineRule="auto"/>
        <w:ind w:firstLine="480" w:firstLineChars="200"/>
        <w:rPr>
          <w:rFonts w:hint="eastAsia" w:ascii="仿宋" w:hAnsi="仿宋" w:eastAsia="仿宋" w:cs="仿宋"/>
          <w:kern w:val="0"/>
          <w:sz w:val="24"/>
          <w:szCs w:val="22"/>
          <w:highlight w:val="none"/>
        </w:rPr>
      </w:pPr>
      <w:r>
        <w:rPr>
          <w:rFonts w:hint="eastAsia" w:ascii="仿宋" w:hAnsi="仿宋" w:eastAsia="仿宋" w:cs="仿宋"/>
          <w:kern w:val="0"/>
          <w:sz w:val="24"/>
          <w:szCs w:val="22"/>
          <w:highlight w:val="none"/>
        </w:rPr>
        <w:t>7、未被“信用中国”（www.creditchina.gov.cn）、中国政府采购网（www.ccgp.gov.cn）列入失信被执行人、重大税收违法案件当事人名单、政府采购严重违法失信行为记录名单。</w:t>
      </w:r>
    </w:p>
    <w:p w14:paraId="2D49D65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8、本项目不接受联合体参与（潜在供应商能独立完成本项目）。</w:t>
      </w:r>
    </w:p>
    <w:p w14:paraId="7428187A">
      <w:pPr>
        <w:snapToGrid w:val="0"/>
        <w:spacing w:line="360" w:lineRule="auto"/>
        <w:ind w:firstLine="480" w:firstLineChars="200"/>
        <w:rPr>
          <w:rFonts w:hint="eastAsia" w:ascii="仿宋" w:hAnsi="仿宋" w:eastAsia="仿宋" w:cs="仿宋"/>
          <w:sz w:val="24"/>
          <w:highlight w:val="none"/>
        </w:rPr>
      </w:pPr>
    </w:p>
    <w:p w14:paraId="2713778B">
      <w:pPr>
        <w:pStyle w:val="81"/>
        <w:rPr>
          <w:rFonts w:hint="eastAsia" w:ascii="仿宋" w:hAnsi="仿宋" w:eastAsia="仿宋" w:cs="仿宋"/>
          <w:highlight w:val="none"/>
        </w:rPr>
      </w:pPr>
    </w:p>
    <w:p w14:paraId="378B8E16">
      <w:pPr>
        <w:pStyle w:val="81"/>
        <w:rPr>
          <w:rFonts w:hint="eastAsia" w:ascii="仿宋" w:hAnsi="仿宋" w:eastAsia="仿宋" w:cs="仿宋"/>
          <w:highlight w:val="none"/>
        </w:rPr>
      </w:pPr>
    </w:p>
    <w:p w14:paraId="153F560D">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68E398F7">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EA38E5F">
      <w:pPr>
        <w:snapToGrid w:val="0"/>
        <w:spacing w:line="360" w:lineRule="auto"/>
        <w:ind w:right="480"/>
        <w:jc w:val="center"/>
        <w:rPr>
          <w:rFonts w:hint="eastAsia" w:ascii="仿宋" w:hAnsi="仿宋" w:eastAsia="仿宋" w:cs="仿宋"/>
          <w:b/>
          <w:kern w:val="0"/>
          <w:sz w:val="32"/>
          <w:szCs w:val="32"/>
          <w:highlight w:val="none"/>
        </w:rPr>
      </w:pPr>
    </w:p>
    <w:p w14:paraId="5BE3E5C8">
      <w:pPr>
        <w:snapToGrid w:val="0"/>
        <w:spacing w:line="360" w:lineRule="auto"/>
        <w:ind w:right="480"/>
        <w:jc w:val="center"/>
        <w:rPr>
          <w:rFonts w:hint="eastAsia" w:ascii="仿宋" w:hAnsi="仿宋" w:eastAsia="仿宋" w:cs="仿宋"/>
          <w:b/>
          <w:kern w:val="0"/>
          <w:sz w:val="32"/>
          <w:szCs w:val="32"/>
          <w:highlight w:val="none"/>
        </w:rPr>
      </w:pPr>
    </w:p>
    <w:p w14:paraId="055129DF">
      <w:pPr>
        <w:pStyle w:val="23"/>
        <w:rPr>
          <w:rFonts w:hint="eastAsia" w:ascii="仿宋" w:hAnsi="仿宋" w:eastAsia="仿宋" w:cs="仿宋"/>
          <w:b/>
          <w:kern w:val="0"/>
          <w:sz w:val="32"/>
          <w:szCs w:val="32"/>
          <w:highlight w:val="none"/>
        </w:rPr>
      </w:pPr>
    </w:p>
    <w:p w14:paraId="41C4D897">
      <w:pPr>
        <w:rPr>
          <w:rFonts w:hint="eastAsia" w:ascii="仿宋" w:hAnsi="仿宋" w:eastAsia="仿宋" w:cs="仿宋"/>
          <w:b/>
          <w:kern w:val="0"/>
          <w:sz w:val="32"/>
          <w:szCs w:val="32"/>
          <w:highlight w:val="none"/>
        </w:rPr>
      </w:pPr>
    </w:p>
    <w:p w14:paraId="05F8FA7A">
      <w:pPr>
        <w:pStyle w:val="23"/>
        <w:rPr>
          <w:rFonts w:hint="eastAsia" w:ascii="仿宋" w:hAnsi="仿宋" w:eastAsia="仿宋" w:cs="仿宋"/>
          <w:b/>
          <w:kern w:val="0"/>
          <w:sz w:val="32"/>
          <w:szCs w:val="32"/>
          <w:highlight w:val="none"/>
        </w:rPr>
      </w:pPr>
    </w:p>
    <w:p w14:paraId="3A5B47A7">
      <w:pPr>
        <w:rPr>
          <w:rFonts w:hint="eastAsia" w:ascii="仿宋" w:hAnsi="仿宋" w:eastAsia="仿宋" w:cs="仿宋"/>
          <w:b/>
          <w:kern w:val="0"/>
          <w:sz w:val="32"/>
          <w:szCs w:val="32"/>
          <w:highlight w:val="none"/>
        </w:rPr>
      </w:pPr>
    </w:p>
    <w:p w14:paraId="283BCE4E">
      <w:pPr>
        <w:pStyle w:val="23"/>
        <w:rPr>
          <w:rFonts w:hint="eastAsia" w:ascii="仿宋" w:hAnsi="仿宋" w:eastAsia="仿宋" w:cs="仿宋"/>
          <w:b/>
          <w:kern w:val="0"/>
          <w:sz w:val="32"/>
          <w:szCs w:val="32"/>
          <w:highlight w:val="none"/>
        </w:rPr>
      </w:pPr>
    </w:p>
    <w:p w14:paraId="65F9C73B">
      <w:pPr>
        <w:rPr>
          <w:rFonts w:hint="eastAsia" w:ascii="仿宋" w:hAnsi="仿宋" w:eastAsia="仿宋" w:cs="仿宋"/>
          <w:highlight w:val="none"/>
        </w:rPr>
      </w:pPr>
    </w:p>
    <w:p w14:paraId="38A31623">
      <w:pPr>
        <w:snapToGrid w:val="0"/>
        <w:spacing w:line="360" w:lineRule="auto"/>
        <w:ind w:right="480"/>
        <w:jc w:val="center"/>
        <w:rPr>
          <w:rFonts w:hint="eastAsia" w:ascii="仿宋" w:hAnsi="仿宋" w:eastAsia="仿宋" w:cs="仿宋"/>
          <w:b/>
          <w:kern w:val="0"/>
          <w:sz w:val="32"/>
          <w:szCs w:val="32"/>
          <w:highlight w:val="none"/>
        </w:rPr>
      </w:pPr>
    </w:p>
    <w:p w14:paraId="7B38921A">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二、本项目的特定资格要求</w:t>
      </w:r>
    </w:p>
    <w:p w14:paraId="34273E91">
      <w:pPr>
        <w:spacing w:line="360" w:lineRule="auto"/>
        <w:jc w:val="center"/>
        <w:rPr>
          <w:rFonts w:hint="eastAsia" w:ascii="仿宋" w:hAnsi="仿宋" w:eastAsia="仿宋" w:cs="仿宋"/>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（根据交易公告本项目的特定资格要求提供相应的材料；未要求的，无需提供</w:t>
      </w:r>
    </w:p>
    <w:p w14:paraId="77CA7D01">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三、营业执照或事业法人登记证证明材料（复印件）</w:t>
      </w:r>
    </w:p>
    <w:p w14:paraId="5D302B49">
      <w:pPr>
        <w:snapToGrid w:val="0"/>
        <w:spacing w:line="360" w:lineRule="auto"/>
        <w:outlineLvl w:val="0"/>
        <w:rPr>
          <w:rFonts w:hint="eastAsia" w:ascii="仿宋" w:hAnsi="仿宋" w:eastAsia="仿宋" w:cs="仿宋"/>
          <w:b/>
          <w:kern w:val="0"/>
          <w:sz w:val="32"/>
          <w:szCs w:val="32"/>
          <w:highlight w:val="none"/>
        </w:rPr>
      </w:pPr>
    </w:p>
    <w:p w14:paraId="4FEF3952">
      <w:pPr>
        <w:snapToGrid w:val="0"/>
        <w:spacing w:line="360" w:lineRule="auto"/>
        <w:outlineLvl w:val="0"/>
        <w:rPr>
          <w:rFonts w:hint="eastAsia" w:ascii="仿宋" w:hAnsi="仿宋" w:eastAsia="仿宋" w:cs="仿宋"/>
          <w:b/>
          <w:kern w:val="0"/>
          <w:sz w:val="32"/>
          <w:szCs w:val="32"/>
          <w:highlight w:val="none"/>
        </w:rPr>
      </w:pPr>
    </w:p>
    <w:p w14:paraId="4867B090">
      <w:pPr>
        <w:snapToGrid w:val="0"/>
        <w:spacing w:line="360" w:lineRule="auto"/>
        <w:outlineLvl w:val="0"/>
        <w:rPr>
          <w:rFonts w:hint="eastAsia" w:ascii="仿宋" w:hAnsi="仿宋" w:eastAsia="仿宋" w:cs="仿宋"/>
          <w:b/>
          <w:kern w:val="0"/>
          <w:sz w:val="32"/>
          <w:szCs w:val="32"/>
          <w:highlight w:val="none"/>
        </w:rPr>
      </w:pPr>
    </w:p>
    <w:p w14:paraId="49B57C24">
      <w:pPr>
        <w:snapToGrid w:val="0"/>
        <w:spacing w:line="360" w:lineRule="auto"/>
        <w:outlineLvl w:val="0"/>
        <w:rPr>
          <w:rFonts w:hint="eastAsia" w:ascii="仿宋" w:hAnsi="仿宋" w:eastAsia="仿宋" w:cs="仿宋"/>
          <w:b/>
          <w:kern w:val="0"/>
          <w:sz w:val="32"/>
          <w:szCs w:val="32"/>
          <w:highlight w:val="none"/>
        </w:rPr>
      </w:pPr>
    </w:p>
    <w:p w14:paraId="2427119D">
      <w:pPr>
        <w:snapToGrid w:val="0"/>
        <w:spacing w:line="360" w:lineRule="auto"/>
        <w:outlineLvl w:val="0"/>
        <w:rPr>
          <w:rFonts w:hint="eastAsia" w:ascii="仿宋" w:hAnsi="仿宋" w:eastAsia="仿宋" w:cs="仿宋"/>
          <w:b/>
          <w:kern w:val="0"/>
          <w:sz w:val="32"/>
          <w:szCs w:val="32"/>
          <w:highlight w:val="none"/>
        </w:rPr>
      </w:pPr>
    </w:p>
    <w:p w14:paraId="026100C7">
      <w:pPr>
        <w:snapToGrid w:val="0"/>
        <w:spacing w:line="360" w:lineRule="auto"/>
        <w:outlineLvl w:val="0"/>
        <w:rPr>
          <w:rFonts w:hint="eastAsia" w:ascii="仿宋" w:hAnsi="仿宋" w:eastAsia="仿宋" w:cs="仿宋"/>
          <w:b/>
          <w:kern w:val="0"/>
          <w:sz w:val="32"/>
          <w:szCs w:val="32"/>
          <w:highlight w:val="none"/>
        </w:rPr>
      </w:pPr>
    </w:p>
    <w:p w14:paraId="539B56A1">
      <w:pPr>
        <w:snapToGrid w:val="0"/>
        <w:spacing w:line="360" w:lineRule="auto"/>
        <w:outlineLvl w:val="0"/>
        <w:rPr>
          <w:rFonts w:hint="eastAsia" w:ascii="仿宋" w:hAnsi="仿宋" w:eastAsia="仿宋" w:cs="仿宋"/>
          <w:b/>
          <w:kern w:val="0"/>
          <w:sz w:val="32"/>
          <w:szCs w:val="32"/>
          <w:highlight w:val="none"/>
        </w:rPr>
      </w:pPr>
    </w:p>
    <w:p w14:paraId="76CC7056">
      <w:pPr>
        <w:snapToGrid w:val="0"/>
        <w:spacing w:line="360" w:lineRule="auto"/>
        <w:outlineLvl w:val="0"/>
        <w:rPr>
          <w:rFonts w:hint="eastAsia" w:ascii="仿宋" w:hAnsi="仿宋" w:eastAsia="仿宋" w:cs="仿宋"/>
          <w:b/>
          <w:kern w:val="0"/>
          <w:sz w:val="32"/>
          <w:szCs w:val="32"/>
          <w:highlight w:val="none"/>
        </w:rPr>
      </w:pPr>
    </w:p>
    <w:p w14:paraId="012255C3">
      <w:pPr>
        <w:snapToGrid w:val="0"/>
        <w:spacing w:line="360" w:lineRule="auto"/>
        <w:outlineLvl w:val="0"/>
        <w:rPr>
          <w:rFonts w:hint="eastAsia" w:ascii="仿宋" w:hAnsi="仿宋" w:eastAsia="仿宋" w:cs="仿宋"/>
          <w:b/>
          <w:kern w:val="0"/>
          <w:sz w:val="32"/>
          <w:szCs w:val="32"/>
          <w:highlight w:val="none"/>
        </w:rPr>
      </w:pPr>
    </w:p>
    <w:p w14:paraId="3A9E603D">
      <w:pPr>
        <w:pStyle w:val="23"/>
        <w:rPr>
          <w:rFonts w:hint="eastAsia" w:ascii="仿宋" w:hAnsi="仿宋" w:eastAsia="仿宋" w:cs="仿宋"/>
          <w:b/>
          <w:kern w:val="0"/>
          <w:sz w:val="32"/>
          <w:szCs w:val="32"/>
          <w:highlight w:val="none"/>
        </w:rPr>
      </w:pPr>
    </w:p>
    <w:p w14:paraId="1B80FDCE">
      <w:pPr>
        <w:rPr>
          <w:rFonts w:hint="eastAsia" w:ascii="仿宋" w:hAnsi="仿宋" w:eastAsia="仿宋" w:cs="仿宋"/>
          <w:b/>
          <w:kern w:val="0"/>
          <w:sz w:val="32"/>
          <w:szCs w:val="32"/>
          <w:highlight w:val="none"/>
        </w:rPr>
      </w:pPr>
    </w:p>
    <w:p w14:paraId="44C33098">
      <w:pPr>
        <w:pStyle w:val="23"/>
        <w:rPr>
          <w:rFonts w:hint="eastAsia" w:ascii="仿宋" w:hAnsi="仿宋" w:eastAsia="仿宋" w:cs="仿宋"/>
          <w:b/>
          <w:kern w:val="0"/>
          <w:sz w:val="32"/>
          <w:szCs w:val="32"/>
          <w:highlight w:val="none"/>
        </w:rPr>
      </w:pPr>
    </w:p>
    <w:p w14:paraId="1667A446">
      <w:pPr>
        <w:rPr>
          <w:rFonts w:hint="eastAsia" w:ascii="仿宋" w:hAnsi="仿宋" w:eastAsia="仿宋" w:cs="仿宋"/>
          <w:b/>
          <w:kern w:val="0"/>
          <w:sz w:val="32"/>
          <w:szCs w:val="32"/>
          <w:highlight w:val="none"/>
        </w:rPr>
      </w:pPr>
    </w:p>
    <w:p w14:paraId="4F1980D4">
      <w:pPr>
        <w:pStyle w:val="23"/>
        <w:rPr>
          <w:rFonts w:hint="eastAsia" w:ascii="仿宋" w:hAnsi="仿宋" w:eastAsia="仿宋" w:cs="仿宋"/>
          <w:b/>
          <w:kern w:val="0"/>
          <w:sz w:val="32"/>
          <w:szCs w:val="32"/>
          <w:highlight w:val="none"/>
        </w:rPr>
      </w:pPr>
    </w:p>
    <w:p w14:paraId="582B516D">
      <w:pPr>
        <w:rPr>
          <w:rFonts w:hint="eastAsia" w:ascii="仿宋" w:hAnsi="仿宋" w:eastAsia="仿宋" w:cs="仿宋"/>
          <w:b/>
          <w:kern w:val="0"/>
          <w:sz w:val="32"/>
          <w:szCs w:val="32"/>
          <w:highlight w:val="none"/>
        </w:rPr>
      </w:pPr>
    </w:p>
    <w:p w14:paraId="2FD83988">
      <w:pPr>
        <w:pStyle w:val="23"/>
        <w:rPr>
          <w:rFonts w:hint="eastAsia" w:ascii="仿宋" w:hAnsi="仿宋" w:eastAsia="仿宋" w:cs="仿宋"/>
          <w:b/>
          <w:kern w:val="0"/>
          <w:sz w:val="32"/>
          <w:szCs w:val="32"/>
          <w:highlight w:val="none"/>
        </w:rPr>
      </w:pPr>
    </w:p>
    <w:p w14:paraId="323FD3DC">
      <w:pPr>
        <w:rPr>
          <w:rFonts w:hint="eastAsia" w:ascii="仿宋" w:hAnsi="仿宋" w:eastAsia="仿宋" w:cs="仿宋"/>
          <w:b/>
          <w:kern w:val="0"/>
          <w:sz w:val="32"/>
          <w:szCs w:val="32"/>
          <w:highlight w:val="none"/>
        </w:rPr>
      </w:pPr>
    </w:p>
    <w:p w14:paraId="212DB5B5">
      <w:pPr>
        <w:pStyle w:val="23"/>
        <w:rPr>
          <w:rFonts w:hint="eastAsia" w:ascii="仿宋" w:hAnsi="仿宋" w:eastAsia="仿宋" w:cs="仿宋"/>
          <w:b/>
          <w:kern w:val="0"/>
          <w:sz w:val="32"/>
          <w:szCs w:val="32"/>
          <w:highlight w:val="none"/>
        </w:rPr>
      </w:pPr>
    </w:p>
    <w:p w14:paraId="11195415">
      <w:pPr>
        <w:rPr>
          <w:rFonts w:hint="eastAsia" w:ascii="仿宋" w:hAnsi="仿宋" w:eastAsia="仿宋" w:cs="仿宋"/>
          <w:b/>
          <w:kern w:val="0"/>
          <w:sz w:val="32"/>
          <w:szCs w:val="32"/>
          <w:highlight w:val="none"/>
        </w:rPr>
      </w:pPr>
    </w:p>
    <w:p w14:paraId="491B148A">
      <w:pPr>
        <w:pStyle w:val="23"/>
        <w:rPr>
          <w:rFonts w:hint="eastAsia" w:ascii="仿宋" w:hAnsi="仿宋" w:eastAsia="仿宋" w:cs="仿宋"/>
          <w:b/>
          <w:kern w:val="0"/>
          <w:sz w:val="32"/>
          <w:szCs w:val="32"/>
          <w:highlight w:val="none"/>
        </w:rPr>
      </w:pPr>
    </w:p>
    <w:p w14:paraId="34E84657">
      <w:pPr>
        <w:rPr>
          <w:rFonts w:hint="eastAsia" w:ascii="仿宋" w:hAnsi="仿宋" w:eastAsia="仿宋" w:cs="仿宋"/>
          <w:highlight w:val="none"/>
        </w:rPr>
      </w:pPr>
    </w:p>
    <w:p w14:paraId="3ED7C1F2">
      <w:pPr>
        <w:snapToGrid w:val="0"/>
        <w:spacing w:line="360" w:lineRule="auto"/>
        <w:outlineLvl w:val="0"/>
        <w:rPr>
          <w:rFonts w:hint="eastAsia" w:ascii="仿宋" w:hAnsi="仿宋" w:eastAsia="仿宋" w:cs="仿宋"/>
          <w:b/>
          <w:kern w:val="0"/>
          <w:sz w:val="32"/>
          <w:szCs w:val="32"/>
          <w:highlight w:val="none"/>
        </w:rPr>
      </w:pPr>
    </w:p>
    <w:p w14:paraId="50AA5D20">
      <w:pPr>
        <w:pStyle w:val="23"/>
        <w:rPr>
          <w:rFonts w:hint="eastAsia" w:ascii="仿宋" w:hAnsi="仿宋" w:eastAsia="仿宋" w:cs="仿宋"/>
          <w:b/>
          <w:kern w:val="0"/>
          <w:sz w:val="32"/>
          <w:szCs w:val="32"/>
          <w:highlight w:val="none"/>
        </w:rPr>
      </w:pPr>
    </w:p>
    <w:p w14:paraId="0A1F94A9">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四、具有履行合同所必需的设备和专业技术能力的承诺函</w:t>
      </w:r>
    </w:p>
    <w:p w14:paraId="6BD63A1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（采购人</w:t>
      </w:r>
      <w:r>
        <w:rPr>
          <w:rFonts w:hint="eastAsia" w:ascii="仿宋" w:hAnsi="仿宋" w:eastAsia="仿宋" w:cs="仿宋"/>
          <w:sz w:val="24"/>
          <w:highlight w:val="none"/>
          <w:u w:val="single"/>
          <w:lang w:val="en-US" w:eastAsia="zh-CN"/>
        </w:rPr>
        <w:t>名称</w:t>
      </w:r>
      <w:r>
        <w:rPr>
          <w:rFonts w:hint="eastAsia" w:ascii="仿宋" w:hAnsi="仿宋" w:eastAsia="仿宋" w:cs="仿宋"/>
          <w:sz w:val="24"/>
          <w:highlight w:val="none"/>
          <w:u w:val="single"/>
        </w:rPr>
        <w:t>）</w:t>
      </w:r>
      <w:r>
        <w:rPr>
          <w:rFonts w:hint="eastAsia" w:ascii="仿宋" w:hAnsi="仿宋" w:eastAsia="仿宋" w:cs="仿宋"/>
          <w:sz w:val="24"/>
          <w:highlight w:val="none"/>
        </w:rPr>
        <w:t>：</w:t>
      </w:r>
    </w:p>
    <w:p w14:paraId="3DF49F7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我方郑重承诺，我方具有履行</w:t>
      </w:r>
      <w:r>
        <w:rPr>
          <w:rFonts w:hint="eastAsia" w:ascii="仿宋" w:hAnsi="仿宋" w:eastAsia="仿宋" w:cs="仿宋"/>
          <w:sz w:val="24"/>
          <w:highlight w:val="none"/>
          <w:u w:val="single"/>
        </w:rPr>
        <w:t>（项目名称）</w:t>
      </w:r>
      <w:r>
        <w:rPr>
          <w:rFonts w:hint="eastAsia" w:ascii="仿宋" w:hAnsi="仿宋" w:eastAsia="仿宋" w:cs="仿宋"/>
          <w:sz w:val="24"/>
          <w:highlight w:val="none"/>
        </w:rPr>
        <w:t>（交易编号：</w:t>
      </w:r>
      <w:r>
        <w:rPr>
          <w:rFonts w:hint="eastAsia" w:ascii="仿宋" w:hAnsi="仿宋" w:eastAsia="仿宋" w:cs="仿宋"/>
          <w:sz w:val="24"/>
          <w:highlight w:val="none"/>
          <w:u w:val="single"/>
        </w:rPr>
        <w:t>（采购编号）</w:t>
      </w:r>
      <w:r>
        <w:rPr>
          <w:rFonts w:hint="eastAsia" w:ascii="仿宋" w:hAnsi="仿宋" w:eastAsia="仿宋" w:cs="仿宋"/>
          <w:sz w:val="24"/>
          <w:highlight w:val="none"/>
        </w:rPr>
        <w:t>）合同所必需的设备和专业技术能力。如中标，我方将保证合同顺利履行。</w:t>
      </w:r>
    </w:p>
    <w:p w14:paraId="6248B93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F82CB6D">
      <w:pPr>
        <w:snapToGrid w:val="0"/>
        <w:spacing w:line="360" w:lineRule="auto"/>
        <w:ind w:firstLine="5040" w:firstLineChars="2100"/>
        <w:rPr>
          <w:rFonts w:hint="eastAsia" w:ascii="仿宋" w:hAnsi="仿宋" w:eastAsia="仿宋" w:cs="仿宋"/>
          <w:sz w:val="24"/>
          <w:highlight w:val="none"/>
        </w:rPr>
      </w:pPr>
      <w:r>
        <w:rPr>
          <w:rFonts w:hint="eastAsia" w:ascii="仿宋" w:hAnsi="仿宋" w:eastAsia="仿宋" w:cs="仿宋"/>
          <w:sz w:val="24"/>
          <w:highlight w:val="none"/>
        </w:rPr>
        <w:t xml:space="preserve"> 供应商名称(公章)：</w:t>
      </w:r>
    </w:p>
    <w:p w14:paraId="39D1AE5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法定代表人或其授权代表(签字或盖章)：</w:t>
      </w:r>
    </w:p>
    <w:p w14:paraId="639FD59B">
      <w:pPr>
        <w:snapToGrid w:val="0"/>
        <w:spacing w:line="360" w:lineRule="auto"/>
        <w:ind w:firstLine="5160" w:firstLineChars="215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5EB5828">
      <w:pPr>
        <w:spacing w:line="360" w:lineRule="auto"/>
        <w:ind w:left="472" w:hanging="472" w:hangingChars="147"/>
        <w:jc w:val="left"/>
        <w:rPr>
          <w:rFonts w:hint="eastAsia" w:ascii="仿宋" w:hAnsi="仿宋" w:eastAsia="仿宋" w:cs="仿宋"/>
          <w:b/>
          <w:kern w:val="0"/>
          <w:sz w:val="32"/>
          <w:szCs w:val="32"/>
          <w:highlight w:val="none"/>
        </w:rPr>
      </w:pPr>
    </w:p>
    <w:p w14:paraId="0610855E">
      <w:pPr>
        <w:spacing w:line="360" w:lineRule="auto"/>
        <w:ind w:left="472" w:hanging="472" w:hangingChars="147"/>
        <w:jc w:val="left"/>
        <w:rPr>
          <w:rFonts w:hint="eastAsia" w:ascii="仿宋" w:hAnsi="仿宋" w:eastAsia="仿宋" w:cs="仿宋"/>
          <w:b/>
          <w:kern w:val="0"/>
          <w:sz w:val="32"/>
          <w:szCs w:val="32"/>
          <w:highlight w:val="none"/>
        </w:rPr>
      </w:pPr>
    </w:p>
    <w:p w14:paraId="03ED819D">
      <w:pPr>
        <w:spacing w:line="360" w:lineRule="auto"/>
        <w:ind w:left="472" w:hanging="472" w:hangingChars="147"/>
        <w:jc w:val="left"/>
        <w:rPr>
          <w:rFonts w:hint="eastAsia" w:ascii="仿宋" w:hAnsi="仿宋" w:eastAsia="仿宋" w:cs="仿宋"/>
          <w:b/>
          <w:kern w:val="0"/>
          <w:sz w:val="32"/>
          <w:szCs w:val="32"/>
          <w:highlight w:val="none"/>
        </w:rPr>
      </w:pPr>
    </w:p>
    <w:p w14:paraId="321B7BFA">
      <w:pPr>
        <w:spacing w:line="360" w:lineRule="auto"/>
        <w:jc w:val="left"/>
        <w:rPr>
          <w:rFonts w:hint="eastAsia" w:ascii="仿宋" w:hAnsi="仿宋" w:eastAsia="仿宋" w:cs="仿宋"/>
          <w:b/>
          <w:kern w:val="0"/>
          <w:sz w:val="32"/>
          <w:szCs w:val="32"/>
          <w:highlight w:val="none"/>
        </w:rPr>
      </w:pPr>
    </w:p>
    <w:p w14:paraId="45365D2B">
      <w:pPr>
        <w:pStyle w:val="23"/>
        <w:rPr>
          <w:rFonts w:hint="eastAsia" w:ascii="仿宋" w:hAnsi="仿宋" w:eastAsia="仿宋" w:cs="仿宋"/>
          <w:b/>
          <w:kern w:val="0"/>
          <w:sz w:val="32"/>
          <w:szCs w:val="32"/>
          <w:highlight w:val="none"/>
        </w:rPr>
      </w:pPr>
    </w:p>
    <w:p w14:paraId="71DADA23">
      <w:pPr>
        <w:rPr>
          <w:rFonts w:hint="eastAsia" w:ascii="仿宋" w:hAnsi="仿宋" w:eastAsia="仿宋" w:cs="仿宋"/>
          <w:b/>
          <w:kern w:val="0"/>
          <w:sz w:val="32"/>
          <w:szCs w:val="32"/>
          <w:highlight w:val="none"/>
        </w:rPr>
      </w:pPr>
    </w:p>
    <w:p w14:paraId="208A314E">
      <w:pPr>
        <w:pStyle w:val="23"/>
        <w:rPr>
          <w:rFonts w:hint="eastAsia" w:ascii="仿宋" w:hAnsi="仿宋" w:eastAsia="仿宋" w:cs="仿宋"/>
          <w:b/>
          <w:kern w:val="0"/>
          <w:sz w:val="32"/>
          <w:szCs w:val="32"/>
          <w:highlight w:val="none"/>
        </w:rPr>
      </w:pPr>
    </w:p>
    <w:p w14:paraId="64DEB2AA">
      <w:pPr>
        <w:rPr>
          <w:rFonts w:hint="eastAsia" w:ascii="仿宋" w:hAnsi="仿宋" w:eastAsia="仿宋" w:cs="仿宋"/>
          <w:b/>
          <w:kern w:val="0"/>
          <w:sz w:val="32"/>
          <w:szCs w:val="32"/>
          <w:highlight w:val="none"/>
        </w:rPr>
      </w:pPr>
    </w:p>
    <w:p w14:paraId="6F445BCA">
      <w:pPr>
        <w:pStyle w:val="23"/>
        <w:rPr>
          <w:rFonts w:hint="eastAsia" w:ascii="仿宋" w:hAnsi="仿宋" w:eastAsia="仿宋" w:cs="仿宋"/>
          <w:b/>
          <w:kern w:val="0"/>
          <w:sz w:val="32"/>
          <w:szCs w:val="32"/>
          <w:highlight w:val="none"/>
        </w:rPr>
      </w:pPr>
    </w:p>
    <w:p w14:paraId="42AFAA6E">
      <w:pPr>
        <w:rPr>
          <w:rFonts w:hint="eastAsia" w:ascii="仿宋" w:hAnsi="仿宋" w:eastAsia="仿宋" w:cs="仿宋"/>
          <w:b/>
          <w:kern w:val="0"/>
          <w:sz w:val="32"/>
          <w:szCs w:val="32"/>
          <w:highlight w:val="none"/>
        </w:rPr>
      </w:pPr>
    </w:p>
    <w:p w14:paraId="7356FA67">
      <w:pPr>
        <w:pStyle w:val="23"/>
        <w:rPr>
          <w:rFonts w:hint="eastAsia" w:ascii="仿宋" w:hAnsi="仿宋" w:eastAsia="仿宋" w:cs="仿宋"/>
          <w:b/>
          <w:kern w:val="0"/>
          <w:sz w:val="32"/>
          <w:szCs w:val="32"/>
          <w:highlight w:val="none"/>
        </w:rPr>
      </w:pPr>
    </w:p>
    <w:p w14:paraId="1E71B171">
      <w:pPr>
        <w:rPr>
          <w:rFonts w:hint="eastAsia" w:ascii="仿宋" w:hAnsi="仿宋" w:eastAsia="仿宋" w:cs="仿宋"/>
          <w:b/>
          <w:kern w:val="0"/>
          <w:sz w:val="32"/>
          <w:szCs w:val="32"/>
          <w:highlight w:val="none"/>
        </w:rPr>
      </w:pPr>
    </w:p>
    <w:p w14:paraId="62521BC7">
      <w:pPr>
        <w:pStyle w:val="23"/>
        <w:rPr>
          <w:rFonts w:hint="eastAsia" w:ascii="仿宋" w:hAnsi="仿宋" w:eastAsia="仿宋" w:cs="仿宋"/>
          <w:b/>
          <w:kern w:val="0"/>
          <w:sz w:val="32"/>
          <w:szCs w:val="32"/>
          <w:highlight w:val="none"/>
        </w:rPr>
      </w:pPr>
    </w:p>
    <w:p w14:paraId="632DC27A">
      <w:pPr>
        <w:rPr>
          <w:rFonts w:hint="eastAsia" w:ascii="仿宋" w:hAnsi="仿宋" w:eastAsia="仿宋" w:cs="仿宋"/>
          <w:b/>
          <w:kern w:val="0"/>
          <w:sz w:val="32"/>
          <w:szCs w:val="32"/>
          <w:highlight w:val="none"/>
        </w:rPr>
      </w:pPr>
    </w:p>
    <w:p w14:paraId="7561DD9C">
      <w:pPr>
        <w:pStyle w:val="23"/>
        <w:rPr>
          <w:rFonts w:hint="eastAsia" w:ascii="仿宋" w:hAnsi="仿宋" w:eastAsia="仿宋" w:cs="仿宋"/>
          <w:b/>
          <w:kern w:val="0"/>
          <w:sz w:val="32"/>
          <w:szCs w:val="32"/>
          <w:highlight w:val="none"/>
        </w:rPr>
      </w:pPr>
    </w:p>
    <w:p w14:paraId="5C906D93">
      <w:pPr>
        <w:rPr>
          <w:rFonts w:hint="eastAsia" w:ascii="仿宋" w:hAnsi="仿宋" w:eastAsia="仿宋" w:cs="仿宋"/>
          <w:b/>
          <w:kern w:val="0"/>
          <w:sz w:val="32"/>
          <w:szCs w:val="32"/>
          <w:highlight w:val="none"/>
        </w:rPr>
      </w:pPr>
    </w:p>
    <w:p w14:paraId="436332C5">
      <w:pPr>
        <w:pStyle w:val="23"/>
        <w:rPr>
          <w:rFonts w:hint="eastAsia" w:ascii="仿宋" w:hAnsi="仿宋" w:eastAsia="仿宋" w:cs="仿宋"/>
          <w:b/>
          <w:kern w:val="0"/>
          <w:sz w:val="32"/>
          <w:szCs w:val="32"/>
          <w:highlight w:val="none"/>
        </w:rPr>
      </w:pPr>
    </w:p>
    <w:p w14:paraId="2E0501DF">
      <w:pPr>
        <w:rPr>
          <w:rFonts w:hint="eastAsia" w:ascii="仿宋" w:hAnsi="仿宋" w:eastAsia="仿宋" w:cs="仿宋"/>
          <w:highlight w:val="none"/>
        </w:rPr>
      </w:pPr>
    </w:p>
    <w:p w14:paraId="5F7A8CA6">
      <w:pPr>
        <w:spacing w:line="360" w:lineRule="auto"/>
        <w:rPr>
          <w:rFonts w:hint="eastAsia" w:ascii="仿宋" w:hAnsi="仿宋" w:eastAsia="仿宋" w:cs="仿宋"/>
          <w:b/>
          <w:kern w:val="0"/>
          <w:sz w:val="32"/>
          <w:szCs w:val="32"/>
          <w:highlight w:val="none"/>
        </w:rPr>
      </w:pPr>
    </w:p>
    <w:p w14:paraId="0B9589E6">
      <w:pPr>
        <w:spacing w:line="360" w:lineRule="auto"/>
        <w:ind w:left="472" w:hanging="472" w:hangingChars="147"/>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五、参加政府采购活动前三年内，在经营活动中没有重大违法记录的声明</w:t>
      </w:r>
    </w:p>
    <w:p w14:paraId="2364C8BA">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w:t>
      </w:r>
      <w:r>
        <w:rPr>
          <w:rFonts w:hint="eastAsia" w:ascii="仿宋" w:hAnsi="仿宋" w:eastAsia="仿宋" w:cs="仿宋"/>
          <w:sz w:val="24"/>
          <w:highlight w:val="none"/>
          <w:u w:val="single"/>
          <w:lang w:val="en-US" w:eastAsia="zh-CN"/>
        </w:rPr>
        <w:t>名称</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w:t>
      </w:r>
    </w:p>
    <w:p w14:paraId="63686D4B">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声明交易截止时间前三年，在</w:t>
      </w:r>
      <w:r>
        <w:rPr>
          <w:rFonts w:hint="eastAsia" w:ascii="仿宋" w:hAnsi="仿宋" w:eastAsia="仿宋" w:cs="仿宋"/>
          <w:kern w:val="0"/>
          <w:sz w:val="24"/>
          <w:highlight w:val="none"/>
        </w:rPr>
        <w:t>经营活动中</w:t>
      </w:r>
      <w:r>
        <w:rPr>
          <w:rFonts w:hint="eastAsia" w:ascii="仿宋" w:hAnsi="仿宋" w:eastAsia="仿宋" w:cs="仿宋"/>
          <w:sz w:val="24"/>
          <w:highlight w:val="none"/>
        </w:rPr>
        <w:t>没有重大违法记录</w:t>
      </w:r>
      <w:r>
        <w:rPr>
          <w:rFonts w:hint="eastAsia" w:ascii="仿宋" w:hAnsi="仿宋" w:eastAsia="仿宋" w:cs="仿宋"/>
          <w:sz w:val="24"/>
          <w:szCs w:val="20"/>
          <w:highlight w:val="none"/>
        </w:rPr>
        <w:t xml:space="preserve">。 </w:t>
      </w:r>
    </w:p>
    <w:p w14:paraId="5A85168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0ABF9488">
      <w:pPr>
        <w:snapToGrid w:val="0"/>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 xml:space="preserve">   供应商名称(公章)：</w:t>
      </w:r>
    </w:p>
    <w:p w14:paraId="68771405">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法定代表人或其授权代表(</w:t>
      </w:r>
      <w:r>
        <w:rPr>
          <w:rFonts w:hint="eastAsia" w:ascii="仿宋" w:hAnsi="仿宋" w:eastAsia="仿宋" w:cs="仿宋"/>
          <w:sz w:val="24"/>
          <w:highlight w:val="none"/>
        </w:rPr>
        <w:t>签字或盖章</w:t>
      </w:r>
      <w:r>
        <w:rPr>
          <w:rFonts w:hint="eastAsia" w:ascii="仿宋" w:hAnsi="仿宋" w:eastAsia="仿宋" w:cs="仿宋"/>
          <w:kern w:val="0"/>
          <w:sz w:val="24"/>
          <w:highlight w:val="none"/>
          <w:lang w:val="zh-CN"/>
        </w:rPr>
        <w:t>)：</w:t>
      </w:r>
    </w:p>
    <w:p w14:paraId="76B6EA05">
      <w:pPr>
        <w:snapToGrid w:val="0"/>
        <w:spacing w:line="360" w:lineRule="auto"/>
        <w:ind w:firstLine="5160" w:firstLineChars="21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CD1493">
      <w:pPr>
        <w:snapToGrid w:val="0"/>
        <w:spacing w:line="360" w:lineRule="auto"/>
        <w:rPr>
          <w:rFonts w:hint="eastAsia" w:ascii="仿宋" w:hAnsi="仿宋" w:eastAsia="仿宋" w:cs="仿宋"/>
          <w:b/>
          <w:kern w:val="0"/>
          <w:sz w:val="32"/>
          <w:szCs w:val="32"/>
          <w:highlight w:val="none"/>
        </w:rPr>
      </w:pPr>
    </w:p>
    <w:p w14:paraId="7EAA7A3C">
      <w:pPr>
        <w:snapToGrid w:val="0"/>
        <w:spacing w:line="360" w:lineRule="auto"/>
        <w:rPr>
          <w:rFonts w:hint="eastAsia" w:ascii="仿宋" w:hAnsi="仿宋" w:eastAsia="仿宋" w:cs="仿宋"/>
          <w:b/>
          <w:kern w:val="0"/>
          <w:sz w:val="32"/>
          <w:szCs w:val="32"/>
          <w:highlight w:val="none"/>
        </w:rPr>
      </w:pPr>
    </w:p>
    <w:p w14:paraId="0D3B9AD1">
      <w:pPr>
        <w:snapToGrid w:val="0"/>
        <w:spacing w:line="360" w:lineRule="auto"/>
        <w:rPr>
          <w:rFonts w:hint="eastAsia" w:ascii="仿宋" w:hAnsi="仿宋" w:eastAsia="仿宋" w:cs="仿宋"/>
          <w:b/>
          <w:kern w:val="0"/>
          <w:sz w:val="32"/>
          <w:szCs w:val="32"/>
          <w:highlight w:val="none"/>
        </w:rPr>
      </w:pPr>
    </w:p>
    <w:p w14:paraId="10E20E35">
      <w:pPr>
        <w:snapToGrid w:val="0"/>
        <w:spacing w:line="360" w:lineRule="auto"/>
        <w:rPr>
          <w:rFonts w:hint="eastAsia" w:ascii="仿宋" w:hAnsi="仿宋" w:eastAsia="仿宋" w:cs="仿宋"/>
          <w:b/>
          <w:kern w:val="0"/>
          <w:sz w:val="32"/>
          <w:szCs w:val="32"/>
          <w:highlight w:val="none"/>
        </w:rPr>
      </w:pPr>
    </w:p>
    <w:p w14:paraId="2784BFC7">
      <w:pPr>
        <w:snapToGrid w:val="0"/>
        <w:spacing w:line="360" w:lineRule="auto"/>
        <w:rPr>
          <w:rFonts w:hint="eastAsia" w:ascii="仿宋" w:hAnsi="仿宋" w:eastAsia="仿宋" w:cs="仿宋"/>
          <w:b/>
          <w:kern w:val="0"/>
          <w:sz w:val="32"/>
          <w:szCs w:val="32"/>
          <w:highlight w:val="none"/>
        </w:rPr>
      </w:pPr>
    </w:p>
    <w:p w14:paraId="221EEA0A">
      <w:pPr>
        <w:snapToGrid w:val="0"/>
        <w:spacing w:line="360" w:lineRule="auto"/>
        <w:rPr>
          <w:rFonts w:hint="eastAsia" w:ascii="仿宋" w:hAnsi="仿宋" w:eastAsia="仿宋" w:cs="仿宋"/>
          <w:b/>
          <w:kern w:val="0"/>
          <w:sz w:val="32"/>
          <w:szCs w:val="32"/>
          <w:highlight w:val="none"/>
        </w:rPr>
      </w:pPr>
    </w:p>
    <w:p w14:paraId="7CD2E568">
      <w:pPr>
        <w:snapToGrid w:val="0"/>
        <w:spacing w:line="360" w:lineRule="auto"/>
        <w:rPr>
          <w:rFonts w:hint="eastAsia" w:ascii="仿宋" w:hAnsi="仿宋" w:eastAsia="仿宋" w:cs="仿宋"/>
          <w:b/>
          <w:kern w:val="0"/>
          <w:sz w:val="32"/>
          <w:szCs w:val="32"/>
          <w:highlight w:val="none"/>
        </w:rPr>
      </w:pPr>
    </w:p>
    <w:p w14:paraId="488EA9B5">
      <w:pPr>
        <w:snapToGrid w:val="0"/>
        <w:spacing w:line="360" w:lineRule="auto"/>
        <w:rPr>
          <w:rFonts w:hint="eastAsia" w:ascii="仿宋" w:hAnsi="仿宋" w:eastAsia="仿宋" w:cs="仿宋"/>
          <w:b/>
          <w:kern w:val="0"/>
          <w:sz w:val="32"/>
          <w:szCs w:val="32"/>
          <w:highlight w:val="none"/>
        </w:rPr>
      </w:pPr>
    </w:p>
    <w:p w14:paraId="31153D33">
      <w:pPr>
        <w:snapToGrid w:val="0"/>
        <w:spacing w:line="360" w:lineRule="auto"/>
        <w:rPr>
          <w:rFonts w:hint="eastAsia" w:ascii="仿宋" w:hAnsi="仿宋" w:eastAsia="仿宋" w:cs="仿宋"/>
          <w:b/>
          <w:kern w:val="0"/>
          <w:sz w:val="32"/>
          <w:szCs w:val="32"/>
          <w:highlight w:val="none"/>
        </w:rPr>
      </w:pPr>
    </w:p>
    <w:p w14:paraId="37699D48">
      <w:pPr>
        <w:snapToGrid w:val="0"/>
        <w:spacing w:line="360" w:lineRule="auto"/>
        <w:rPr>
          <w:rFonts w:hint="eastAsia" w:ascii="仿宋" w:hAnsi="仿宋" w:eastAsia="仿宋" w:cs="仿宋"/>
          <w:b/>
          <w:kern w:val="0"/>
          <w:sz w:val="32"/>
          <w:szCs w:val="32"/>
          <w:highlight w:val="none"/>
        </w:rPr>
      </w:pPr>
    </w:p>
    <w:p w14:paraId="6B1F9912">
      <w:pPr>
        <w:snapToGrid w:val="0"/>
        <w:spacing w:line="360" w:lineRule="auto"/>
        <w:rPr>
          <w:rFonts w:hint="eastAsia" w:ascii="仿宋" w:hAnsi="仿宋" w:eastAsia="仿宋" w:cs="仿宋"/>
          <w:b/>
          <w:kern w:val="0"/>
          <w:sz w:val="32"/>
          <w:szCs w:val="32"/>
          <w:highlight w:val="none"/>
        </w:rPr>
      </w:pPr>
    </w:p>
    <w:p w14:paraId="1EF90D89">
      <w:pPr>
        <w:snapToGrid w:val="0"/>
        <w:spacing w:line="360" w:lineRule="auto"/>
        <w:rPr>
          <w:rFonts w:hint="eastAsia" w:ascii="仿宋" w:hAnsi="仿宋" w:eastAsia="仿宋" w:cs="仿宋"/>
          <w:b/>
          <w:kern w:val="0"/>
          <w:sz w:val="32"/>
          <w:szCs w:val="32"/>
          <w:highlight w:val="none"/>
        </w:rPr>
      </w:pPr>
    </w:p>
    <w:p w14:paraId="36E55D4A">
      <w:pPr>
        <w:pStyle w:val="23"/>
        <w:rPr>
          <w:rFonts w:hint="eastAsia" w:ascii="仿宋" w:hAnsi="仿宋" w:eastAsia="仿宋" w:cs="仿宋"/>
          <w:highlight w:val="none"/>
        </w:rPr>
      </w:pPr>
    </w:p>
    <w:p w14:paraId="5ABB927B">
      <w:pPr>
        <w:snapToGrid w:val="0"/>
        <w:spacing w:line="360" w:lineRule="auto"/>
        <w:rPr>
          <w:rFonts w:hint="eastAsia" w:ascii="仿宋" w:hAnsi="仿宋" w:eastAsia="仿宋" w:cs="仿宋"/>
          <w:b/>
          <w:kern w:val="0"/>
          <w:sz w:val="32"/>
          <w:szCs w:val="32"/>
          <w:highlight w:val="none"/>
        </w:rPr>
      </w:pPr>
    </w:p>
    <w:p w14:paraId="25FB2886">
      <w:pPr>
        <w:pStyle w:val="23"/>
        <w:rPr>
          <w:rFonts w:hint="eastAsia" w:ascii="仿宋" w:hAnsi="仿宋" w:eastAsia="仿宋" w:cs="仿宋"/>
          <w:highlight w:val="none"/>
        </w:rPr>
      </w:pPr>
    </w:p>
    <w:p w14:paraId="0B929C9E">
      <w:pPr>
        <w:snapToGrid w:val="0"/>
        <w:spacing w:line="360" w:lineRule="auto"/>
        <w:rPr>
          <w:rFonts w:hint="eastAsia" w:ascii="仿宋" w:hAnsi="仿宋" w:eastAsia="仿宋" w:cs="仿宋"/>
          <w:b/>
          <w:kern w:val="0"/>
          <w:sz w:val="32"/>
          <w:szCs w:val="32"/>
          <w:highlight w:val="none"/>
        </w:rPr>
      </w:pPr>
    </w:p>
    <w:p w14:paraId="5E1B5FEA">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六、具有良好商业信誉特别声明</w:t>
      </w:r>
    </w:p>
    <w:p w14:paraId="3840680B">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w:t>
      </w:r>
      <w:r>
        <w:rPr>
          <w:rFonts w:hint="eastAsia" w:ascii="仿宋" w:hAnsi="仿宋" w:eastAsia="仿宋" w:cs="仿宋"/>
          <w:sz w:val="24"/>
          <w:highlight w:val="none"/>
          <w:u w:val="single"/>
          <w:lang w:val="en-US" w:eastAsia="zh-CN"/>
        </w:rPr>
        <w:t>名称</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w:t>
      </w:r>
    </w:p>
    <w:p w14:paraId="7F680E82">
      <w:pPr>
        <w:snapToGrid w:val="0"/>
        <w:spacing w:line="360" w:lineRule="auto"/>
        <w:ind w:firstLine="480"/>
        <w:rPr>
          <w:rFonts w:hint="eastAsia" w:ascii="仿宋" w:hAnsi="仿宋" w:eastAsia="仿宋" w:cs="仿宋"/>
          <w:kern w:val="0"/>
          <w:sz w:val="24"/>
          <w:highlight w:val="none"/>
          <w:lang w:val="zh-CN"/>
        </w:rPr>
      </w:pPr>
      <w:r>
        <w:rPr>
          <w:rFonts w:hint="eastAsia" w:ascii="仿宋" w:hAnsi="仿宋" w:eastAsia="仿宋" w:cs="仿宋"/>
          <w:sz w:val="24"/>
          <w:highlight w:val="none"/>
        </w:rPr>
        <w:t>截至交易截止时间，我方具有良好的商业信誉，不存在下列情形（包括但不限于）：</w:t>
      </w:r>
    </w:p>
    <w:p w14:paraId="7E6569D7">
      <w:pPr>
        <w:pStyle w:val="131"/>
        <w:spacing w:before="0"/>
        <w:ind w:firstLine="495" w:firstLineChars="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b/>
          <w:szCs w:val="24"/>
          <w:highlight w:val="none"/>
        </w:rPr>
        <w:t>、</w:t>
      </w:r>
      <w:r>
        <w:rPr>
          <w:rFonts w:hint="eastAsia" w:ascii="仿宋" w:hAnsi="仿宋" w:eastAsia="仿宋" w:cs="仿宋"/>
          <w:highlight w:val="none"/>
        </w:rPr>
        <w:t>按照交易文件规定的信用信息查询渠道及截止时间，经查询列入失信被执行人名单、重大税收违法案件当事人名单、政府采购严重违法失信行为记录名单；</w:t>
      </w:r>
    </w:p>
    <w:p w14:paraId="70A3F633">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2、截至交易截止时间，因违反《浙江省政府采购供应商注册及诚信管理暂行办法》而被列入‘黑名单’，在处罚有效期内。</w:t>
      </w:r>
    </w:p>
    <w:p w14:paraId="7C3D7398">
      <w:pPr>
        <w:snapToGrid w:val="0"/>
        <w:spacing w:line="360" w:lineRule="auto"/>
        <w:ind w:firstLine="5040" w:firstLineChars="21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5563AFD2">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法定代表人或其授权代表(签字</w:t>
      </w:r>
      <w:r>
        <w:rPr>
          <w:rFonts w:hint="eastAsia" w:ascii="仿宋" w:hAnsi="仿宋" w:eastAsia="仿宋" w:cs="仿宋"/>
          <w:sz w:val="24"/>
          <w:highlight w:val="none"/>
        </w:rPr>
        <w:t>签字或盖章</w:t>
      </w:r>
      <w:r>
        <w:rPr>
          <w:rFonts w:hint="eastAsia" w:ascii="仿宋" w:hAnsi="仿宋" w:eastAsia="仿宋" w:cs="仿宋"/>
          <w:kern w:val="0"/>
          <w:sz w:val="24"/>
          <w:highlight w:val="none"/>
          <w:lang w:val="zh-CN"/>
        </w:rPr>
        <w:t>)：</w:t>
      </w:r>
    </w:p>
    <w:p w14:paraId="0B7B0A40">
      <w:pPr>
        <w:snapToGrid w:val="0"/>
        <w:spacing w:line="360" w:lineRule="auto"/>
        <w:ind w:firstLine="5160" w:firstLineChars="21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2F888D8">
      <w:pPr>
        <w:spacing w:line="360" w:lineRule="auto"/>
        <w:rPr>
          <w:rFonts w:hint="eastAsia" w:ascii="仿宋" w:hAnsi="仿宋" w:eastAsia="仿宋" w:cs="仿宋"/>
          <w:b/>
          <w:sz w:val="32"/>
          <w:szCs w:val="32"/>
          <w:highlight w:val="none"/>
        </w:rPr>
      </w:pPr>
    </w:p>
    <w:p w14:paraId="08B3B5E6">
      <w:pPr>
        <w:spacing w:line="360" w:lineRule="auto"/>
        <w:rPr>
          <w:rFonts w:hint="eastAsia" w:ascii="仿宋" w:hAnsi="仿宋" w:eastAsia="仿宋" w:cs="仿宋"/>
          <w:b/>
          <w:sz w:val="32"/>
          <w:szCs w:val="32"/>
          <w:highlight w:val="none"/>
        </w:rPr>
      </w:pPr>
    </w:p>
    <w:p w14:paraId="7FD22706">
      <w:pPr>
        <w:spacing w:line="360" w:lineRule="auto"/>
        <w:rPr>
          <w:rFonts w:hint="eastAsia" w:ascii="仿宋" w:hAnsi="仿宋" w:eastAsia="仿宋" w:cs="仿宋"/>
          <w:b/>
          <w:sz w:val="32"/>
          <w:szCs w:val="32"/>
          <w:highlight w:val="none"/>
        </w:rPr>
      </w:pPr>
    </w:p>
    <w:p w14:paraId="76B1E9D9">
      <w:pPr>
        <w:spacing w:line="360" w:lineRule="auto"/>
        <w:rPr>
          <w:rFonts w:hint="eastAsia" w:ascii="仿宋" w:hAnsi="仿宋" w:eastAsia="仿宋" w:cs="仿宋"/>
          <w:b/>
          <w:sz w:val="32"/>
          <w:szCs w:val="32"/>
          <w:highlight w:val="none"/>
        </w:rPr>
      </w:pPr>
    </w:p>
    <w:p w14:paraId="5BA0CA09">
      <w:pPr>
        <w:spacing w:line="360" w:lineRule="auto"/>
        <w:rPr>
          <w:rFonts w:hint="eastAsia" w:ascii="仿宋" w:hAnsi="仿宋" w:eastAsia="仿宋" w:cs="仿宋"/>
          <w:b/>
          <w:sz w:val="32"/>
          <w:szCs w:val="32"/>
          <w:highlight w:val="none"/>
        </w:rPr>
      </w:pPr>
    </w:p>
    <w:p w14:paraId="6379A96A">
      <w:pPr>
        <w:spacing w:line="360" w:lineRule="auto"/>
        <w:rPr>
          <w:rFonts w:hint="eastAsia" w:ascii="仿宋" w:hAnsi="仿宋" w:eastAsia="仿宋" w:cs="仿宋"/>
          <w:b/>
          <w:sz w:val="32"/>
          <w:szCs w:val="32"/>
          <w:highlight w:val="none"/>
        </w:rPr>
      </w:pPr>
    </w:p>
    <w:p w14:paraId="19A04996">
      <w:pPr>
        <w:pStyle w:val="2"/>
        <w:ind w:left="0" w:firstLine="0"/>
        <w:rPr>
          <w:rFonts w:hint="eastAsia" w:ascii="仿宋" w:hAnsi="仿宋" w:eastAsia="仿宋" w:cs="仿宋"/>
          <w:highlight w:val="none"/>
        </w:rPr>
      </w:pPr>
    </w:p>
    <w:p w14:paraId="567BA30A">
      <w:pPr>
        <w:rPr>
          <w:rFonts w:hint="eastAsia" w:ascii="仿宋" w:hAnsi="仿宋" w:eastAsia="仿宋" w:cs="仿宋"/>
          <w:highlight w:val="none"/>
        </w:rPr>
      </w:pPr>
    </w:p>
    <w:p w14:paraId="6C0B6002">
      <w:pPr>
        <w:spacing w:line="360" w:lineRule="auto"/>
        <w:rPr>
          <w:rFonts w:hint="eastAsia" w:ascii="仿宋" w:hAnsi="仿宋" w:eastAsia="仿宋" w:cs="仿宋"/>
          <w:b/>
          <w:sz w:val="32"/>
          <w:szCs w:val="32"/>
          <w:highlight w:val="none"/>
        </w:rPr>
      </w:pPr>
    </w:p>
    <w:p w14:paraId="423D6936">
      <w:pPr>
        <w:spacing w:line="360" w:lineRule="auto"/>
        <w:rPr>
          <w:rFonts w:hint="eastAsia" w:ascii="仿宋" w:hAnsi="仿宋" w:eastAsia="仿宋" w:cs="仿宋"/>
          <w:b/>
          <w:sz w:val="32"/>
          <w:szCs w:val="32"/>
          <w:highlight w:val="none"/>
        </w:rPr>
      </w:pPr>
    </w:p>
    <w:p w14:paraId="4CABAC40">
      <w:pPr>
        <w:spacing w:line="360" w:lineRule="auto"/>
        <w:rPr>
          <w:rFonts w:hint="eastAsia" w:ascii="仿宋" w:hAnsi="仿宋" w:eastAsia="仿宋" w:cs="仿宋"/>
          <w:b/>
          <w:sz w:val="32"/>
          <w:szCs w:val="32"/>
          <w:highlight w:val="none"/>
        </w:rPr>
      </w:pPr>
    </w:p>
    <w:p w14:paraId="1DFEE38C">
      <w:pPr>
        <w:spacing w:line="360" w:lineRule="auto"/>
        <w:rPr>
          <w:rFonts w:hint="eastAsia" w:ascii="仿宋" w:hAnsi="仿宋" w:eastAsia="仿宋" w:cs="仿宋"/>
          <w:b/>
          <w:sz w:val="32"/>
          <w:szCs w:val="32"/>
          <w:highlight w:val="none"/>
        </w:rPr>
      </w:pPr>
    </w:p>
    <w:p w14:paraId="44EA4373">
      <w:pPr>
        <w:spacing w:line="360" w:lineRule="auto"/>
        <w:rPr>
          <w:rFonts w:hint="eastAsia" w:ascii="仿宋" w:hAnsi="仿宋" w:eastAsia="仿宋" w:cs="仿宋"/>
          <w:b/>
          <w:sz w:val="32"/>
          <w:szCs w:val="32"/>
          <w:highlight w:val="none"/>
        </w:rPr>
      </w:pPr>
    </w:p>
    <w:p w14:paraId="5C6E66BC">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七、信用中国、中国政府采购网查询结果</w:t>
      </w:r>
    </w:p>
    <w:p w14:paraId="09325B7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“信用中国”（www.creditchina.gov.cn）、中国政府采购网（www.ccgp.gov.cn）列入失信被执行人、重大税收违法案件当事人名单、政府采购严重违法失信行为记录名查询结果截图</w:t>
      </w:r>
    </w:p>
    <w:p w14:paraId="10F9773B">
      <w:pPr>
        <w:snapToGrid w:val="0"/>
        <w:spacing w:line="360" w:lineRule="auto"/>
        <w:ind w:right="480"/>
        <w:jc w:val="center"/>
        <w:rPr>
          <w:rFonts w:hint="eastAsia" w:ascii="仿宋" w:hAnsi="仿宋" w:eastAsia="仿宋" w:cs="仿宋"/>
          <w:b/>
          <w:kern w:val="0"/>
          <w:sz w:val="32"/>
          <w:szCs w:val="32"/>
          <w:highlight w:val="none"/>
        </w:rPr>
      </w:pPr>
    </w:p>
    <w:p w14:paraId="7BA9A57E">
      <w:pPr>
        <w:snapToGrid w:val="0"/>
        <w:spacing w:line="360" w:lineRule="auto"/>
        <w:ind w:right="480"/>
        <w:jc w:val="center"/>
        <w:rPr>
          <w:rFonts w:hint="eastAsia" w:ascii="仿宋" w:hAnsi="仿宋" w:eastAsia="仿宋" w:cs="仿宋"/>
          <w:b/>
          <w:kern w:val="0"/>
          <w:sz w:val="32"/>
          <w:szCs w:val="32"/>
          <w:highlight w:val="none"/>
        </w:rPr>
      </w:pPr>
    </w:p>
    <w:p w14:paraId="18E70FEE">
      <w:pPr>
        <w:snapToGrid w:val="0"/>
        <w:spacing w:line="360" w:lineRule="auto"/>
        <w:ind w:right="480"/>
        <w:jc w:val="center"/>
        <w:rPr>
          <w:rFonts w:hint="eastAsia" w:ascii="仿宋" w:hAnsi="仿宋" w:eastAsia="仿宋" w:cs="仿宋"/>
          <w:b/>
          <w:kern w:val="0"/>
          <w:sz w:val="32"/>
          <w:szCs w:val="32"/>
          <w:highlight w:val="none"/>
        </w:rPr>
      </w:pPr>
    </w:p>
    <w:p w14:paraId="00E6DDB0">
      <w:pPr>
        <w:spacing w:line="360" w:lineRule="auto"/>
        <w:ind w:right="420" w:firstLine="3614" w:firstLineChars="1000"/>
        <w:rPr>
          <w:rFonts w:hint="eastAsia" w:ascii="仿宋" w:hAnsi="仿宋" w:eastAsia="仿宋" w:cs="仿宋"/>
          <w:b/>
          <w:kern w:val="0"/>
          <w:sz w:val="36"/>
          <w:szCs w:val="36"/>
          <w:highlight w:val="none"/>
        </w:rPr>
        <w:sectPr>
          <w:pgSz w:w="11906" w:h="16838"/>
          <w:pgMar w:top="1276" w:right="1418" w:bottom="1247" w:left="1418" w:header="851" w:footer="992" w:gutter="0"/>
          <w:cols w:space="720" w:num="1"/>
          <w:titlePg/>
          <w:docGrid w:linePitch="312" w:charSpace="0"/>
        </w:sectPr>
      </w:pPr>
    </w:p>
    <w:p w14:paraId="73859097">
      <w:pPr>
        <w:spacing w:line="360" w:lineRule="auto"/>
        <w:ind w:right="420" w:firstLine="3614" w:firstLineChars="100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34202810">
      <w:pPr>
        <w:spacing w:line="360" w:lineRule="auto"/>
        <w:jc w:val="center"/>
        <w:outlineLvl w:val="0"/>
        <w:rPr>
          <w:rFonts w:hint="eastAsia" w:ascii="仿宋" w:hAnsi="仿宋" w:eastAsia="仿宋" w:cs="仿宋"/>
          <w:b/>
          <w:kern w:val="0"/>
          <w:sz w:val="24"/>
          <w:highlight w:val="none"/>
        </w:rPr>
      </w:pPr>
    </w:p>
    <w:p w14:paraId="308C03A2">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40B9B1F1">
      <w:pPr>
        <w:snapToGrid w:val="0"/>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（1）响应函…………………………………………………………………………（页码）</w:t>
      </w:r>
    </w:p>
    <w:p w14:paraId="12D2219C">
      <w:pPr>
        <w:snapToGrid w:val="0"/>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（2）授权委托书或法定代表人（单位负责人、自然人本人）身份证明………（页码）</w:t>
      </w:r>
    </w:p>
    <w:p w14:paraId="25C10EE6">
      <w:pPr>
        <w:snapToGrid w:val="0"/>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（3）符合性审查资料………………………………………………………………（页码）</w:t>
      </w:r>
    </w:p>
    <w:p w14:paraId="0AF44222">
      <w:pPr>
        <w:snapToGrid w:val="0"/>
        <w:spacing w:line="360" w:lineRule="auto"/>
        <w:ind w:firstLine="420" w:firstLineChars="175"/>
        <w:rPr>
          <w:rFonts w:hint="eastAsia" w:ascii="仿宋" w:hAnsi="仿宋" w:eastAsia="仿宋" w:cs="仿宋"/>
          <w:sz w:val="24"/>
          <w:highlight w:val="none"/>
        </w:rPr>
      </w:pPr>
      <w:r>
        <w:rPr>
          <w:rFonts w:hint="eastAsia" w:ascii="仿宋" w:hAnsi="仿宋" w:eastAsia="仿宋" w:cs="仿宋"/>
          <w:sz w:val="24"/>
          <w:highlight w:val="none"/>
        </w:rPr>
        <w:t>（4） 交易标的清单………………………………………………………………（页码）</w:t>
      </w:r>
    </w:p>
    <w:p w14:paraId="4A0DC0D3">
      <w:pPr>
        <w:snapToGrid w:val="0"/>
        <w:spacing w:line="360" w:lineRule="auto"/>
        <w:ind w:firstLine="420" w:firstLineChars="175"/>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采购供应商廉洁自律承诺书</w:t>
      </w:r>
      <w:r>
        <w:rPr>
          <w:rFonts w:hint="eastAsia" w:ascii="仿宋" w:hAnsi="仿宋" w:eastAsia="仿宋" w:cs="仿宋"/>
          <w:sz w:val="24"/>
          <w:highlight w:val="none"/>
        </w:rPr>
        <w:t>…………………………………………………（页码）</w:t>
      </w:r>
    </w:p>
    <w:p w14:paraId="47693A46">
      <w:pPr>
        <w:snapToGrid w:val="0"/>
        <w:spacing w:line="360" w:lineRule="auto"/>
        <w:ind w:firstLine="420" w:firstLineChars="175"/>
        <w:rPr>
          <w:rFonts w:hint="eastAsia" w:ascii="仿宋" w:hAnsi="仿宋" w:eastAsia="仿宋" w:cs="仿宋"/>
          <w:sz w:val="24"/>
          <w:highlight w:val="none"/>
          <w:lang w:val="zh-CN"/>
        </w:rPr>
      </w:pPr>
      <w:r>
        <w:rPr>
          <w:rFonts w:hint="eastAsia" w:ascii="仿宋" w:hAnsi="仿宋" w:eastAsia="仿宋" w:cs="仿宋"/>
          <w:sz w:val="24"/>
          <w:highlight w:val="none"/>
        </w:rPr>
        <w:t>（6）</w:t>
      </w:r>
      <w:r>
        <w:rPr>
          <w:rFonts w:hint="eastAsia" w:ascii="仿宋" w:hAnsi="仿宋" w:eastAsia="仿宋" w:cs="仿宋"/>
          <w:sz w:val="24"/>
          <w:highlight w:val="none"/>
          <w:lang w:val="zh-CN"/>
        </w:rPr>
        <w:t>供应商需要说明的其它文件和资料</w:t>
      </w:r>
      <w:r>
        <w:rPr>
          <w:rFonts w:hint="eastAsia" w:ascii="仿宋" w:hAnsi="仿宋" w:eastAsia="仿宋" w:cs="仿宋"/>
          <w:sz w:val="24"/>
          <w:highlight w:val="none"/>
        </w:rPr>
        <w:t>………………………………………（页码）</w:t>
      </w:r>
    </w:p>
    <w:p w14:paraId="4899817F">
      <w:pPr>
        <w:snapToGrid w:val="0"/>
        <w:spacing w:line="360" w:lineRule="auto"/>
        <w:jc w:val="center"/>
        <w:rPr>
          <w:rFonts w:hint="eastAsia" w:ascii="仿宋" w:hAnsi="仿宋" w:eastAsia="仿宋" w:cs="仿宋"/>
          <w:b/>
          <w:kern w:val="0"/>
          <w:sz w:val="32"/>
          <w:szCs w:val="32"/>
          <w:highlight w:val="none"/>
          <w:lang w:val="zh-CN"/>
        </w:rPr>
      </w:pPr>
    </w:p>
    <w:p w14:paraId="75FDED69">
      <w:pPr>
        <w:snapToGrid w:val="0"/>
        <w:spacing w:line="360" w:lineRule="auto"/>
        <w:jc w:val="center"/>
        <w:outlineLvl w:val="0"/>
        <w:rPr>
          <w:rFonts w:hint="eastAsia" w:ascii="仿宋" w:hAnsi="仿宋" w:eastAsia="仿宋" w:cs="仿宋"/>
          <w:b/>
          <w:kern w:val="0"/>
          <w:sz w:val="32"/>
          <w:szCs w:val="32"/>
          <w:highlight w:val="none"/>
        </w:rPr>
      </w:pPr>
    </w:p>
    <w:p w14:paraId="783E4760">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7039355">
      <w:pPr>
        <w:snapToGrid w:val="0"/>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一、响应</w:t>
      </w:r>
      <w:r>
        <w:rPr>
          <w:rFonts w:hint="eastAsia" w:ascii="仿宋" w:hAnsi="仿宋" w:eastAsia="仿宋" w:cs="仿宋"/>
          <w:b/>
          <w:sz w:val="32"/>
          <w:szCs w:val="32"/>
          <w:highlight w:val="none"/>
        </w:rPr>
        <w:t>函</w:t>
      </w:r>
    </w:p>
    <w:p w14:paraId="7F94FC50">
      <w:pPr>
        <w:snapToGrid w:val="0"/>
        <w:spacing w:line="400" w:lineRule="exact"/>
        <w:rPr>
          <w:rFonts w:hint="eastAsia" w:ascii="仿宋" w:hAnsi="仿宋" w:eastAsia="仿宋" w:cs="仿宋"/>
          <w:sz w:val="24"/>
          <w:highlight w:val="none"/>
          <w:u w:val="single"/>
        </w:rPr>
      </w:pPr>
      <w:r>
        <w:rPr>
          <w:rFonts w:hint="eastAsia" w:ascii="仿宋" w:hAnsi="仿宋" w:eastAsia="仿宋" w:cs="仿宋"/>
          <w:sz w:val="24"/>
          <w:highlight w:val="none"/>
          <w:u w:val="single"/>
        </w:rPr>
        <w:t>（采购人</w:t>
      </w:r>
      <w:r>
        <w:rPr>
          <w:rFonts w:hint="eastAsia" w:ascii="仿宋" w:hAnsi="仿宋" w:eastAsia="仿宋" w:cs="仿宋"/>
          <w:sz w:val="24"/>
          <w:highlight w:val="none"/>
          <w:u w:val="single"/>
          <w:lang w:val="en-US" w:eastAsia="zh-CN"/>
        </w:rPr>
        <w:t>名称</w:t>
      </w:r>
      <w:r>
        <w:rPr>
          <w:rFonts w:hint="eastAsia" w:ascii="仿宋" w:hAnsi="仿宋" w:eastAsia="仿宋" w:cs="仿宋"/>
          <w:sz w:val="24"/>
          <w:highlight w:val="none"/>
          <w:u w:val="single"/>
        </w:rPr>
        <w:t>）：</w:t>
      </w:r>
    </w:p>
    <w:p w14:paraId="2D697C0A">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rPr>
        <w:t>（项目名称）【交易编号：（采购编号）】</w:t>
      </w:r>
      <w:r>
        <w:rPr>
          <w:rFonts w:hint="eastAsia" w:ascii="仿宋" w:hAnsi="仿宋" w:eastAsia="仿宋" w:cs="仿宋"/>
          <w:sz w:val="24"/>
          <w:highlight w:val="none"/>
        </w:rPr>
        <w:t>交易的有关活动，并对此项目进行交易。为此：</w:t>
      </w:r>
    </w:p>
    <w:p w14:paraId="02F6F3BE">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1、我方承诺交易有效期从提交响应文件的截止之日起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本响应文件在交易有效期满之前均具有约束力。</w:t>
      </w:r>
    </w:p>
    <w:p w14:paraId="6C18D27C">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2、我方的响应文件包括以下内容：</w:t>
      </w:r>
    </w:p>
    <w:p w14:paraId="72EB6F5E">
      <w:pPr>
        <w:snapToGrid w:val="0"/>
        <w:spacing w:line="40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2A92CB26">
      <w:pPr>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27340FE5">
      <w:pPr>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2.1.2本项目的特定资格要求（如果有）。</w:t>
      </w:r>
    </w:p>
    <w:p w14:paraId="27807529">
      <w:pPr>
        <w:snapToGrid w:val="0"/>
        <w:spacing w:line="400" w:lineRule="exact"/>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27ABCD7D">
      <w:pPr>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2.2.1响应函；</w:t>
      </w:r>
      <w:r>
        <w:rPr>
          <w:rFonts w:hint="eastAsia" w:ascii="仿宋" w:hAnsi="仿宋" w:eastAsia="仿宋" w:cs="仿宋"/>
          <w:sz w:val="24"/>
          <w:highlight w:val="none"/>
          <w:lang w:val="zh-CN"/>
        </w:rPr>
        <w:t xml:space="preserve"> </w:t>
      </w:r>
    </w:p>
    <w:p w14:paraId="2EEBEB61">
      <w:pPr>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17994C18">
      <w:pPr>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2.2.3符合性审查资料；</w:t>
      </w:r>
    </w:p>
    <w:p w14:paraId="3AD818DB">
      <w:pPr>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 交易标的清单；</w:t>
      </w:r>
    </w:p>
    <w:p w14:paraId="119BD87C">
      <w:pPr>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2.2.5商务技术偏离表；</w:t>
      </w:r>
    </w:p>
    <w:p w14:paraId="0E5D4612">
      <w:pPr>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w:t>
      </w:r>
      <w:r>
        <w:rPr>
          <w:rFonts w:hint="eastAsia" w:ascii="仿宋" w:hAnsi="仿宋" w:eastAsia="仿宋" w:cs="仿宋"/>
          <w:sz w:val="24"/>
          <w:highlight w:val="none"/>
          <w:lang w:val="zh-CN"/>
        </w:rPr>
        <w:t>采购供应商廉洁自律承诺书；</w:t>
      </w:r>
    </w:p>
    <w:p w14:paraId="5C588E19">
      <w:pPr>
        <w:snapToGrid w:val="0"/>
        <w:spacing w:line="400" w:lineRule="exact"/>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2.2.7</w:t>
      </w:r>
      <w:r>
        <w:rPr>
          <w:rFonts w:hint="eastAsia" w:ascii="仿宋" w:hAnsi="仿宋" w:eastAsia="仿宋" w:cs="仿宋"/>
          <w:sz w:val="24"/>
          <w:highlight w:val="none"/>
          <w:lang w:val="zh-CN"/>
        </w:rPr>
        <w:t>项目实施计划：详细的项目组织实施方案（工作时间进度表、工作程序或步骤、管理和协调方法等）；</w:t>
      </w:r>
    </w:p>
    <w:p w14:paraId="59B61339">
      <w:pPr>
        <w:snapToGrid w:val="0"/>
        <w:spacing w:line="400" w:lineRule="exact"/>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2.2.8</w:t>
      </w:r>
      <w:r>
        <w:rPr>
          <w:rFonts w:hint="eastAsia" w:ascii="仿宋" w:hAnsi="仿宋" w:eastAsia="仿宋" w:cs="仿宋"/>
          <w:sz w:val="24"/>
          <w:highlight w:val="none"/>
          <w:lang w:val="zh-CN"/>
        </w:rPr>
        <w:t xml:space="preserve">货物或设备存放、安装和调试的技术要求； </w:t>
      </w:r>
    </w:p>
    <w:p w14:paraId="3444E711">
      <w:pPr>
        <w:snapToGrid w:val="0"/>
        <w:spacing w:line="400" w:lineRule="exact"/>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2.2.9</w:t>
      </w:r>
      <w:r>
        <w:rPr>
          <w:rFonts w:hint="eastAsia" w:ascii="仿宋" w:hAnsi="仿宋" w:eastAsia="仿宋" w:cs="仿宋"/>
          <w:sz w:val="24"/>
          <w:highlight w:val="none"/>
          <w:lang w:val="zh-CN"/>
        </w:rPr>
        <w:t>售后服务、技术支持承诺；</w:t>
      </w:r>
    </w:p>
    <w:p w14:paraId="3B244DC3">
      <w:pPr>
        <w:snapToGrid w:val="0"/>
        <w:spacing w:line="400" w:lineRule="exact"/>
        <w:ind w:left="420" w:leftChars="200" w:firstLine="480" w:firstLineChars="200"/>
        <w:rPr>
          <w:rFonts w:hint="eastAsia" w:ascii="仿宋" w:hAnsi="仿宋" w:eastAsia="仿宋" w:cs="仿宋"/>
          <w:highlight w:val="none"/>
        </w:rPr>
      </w:pPr>
      <w:r>
        <w:rPr>
          <w:rFonts w:hint="eastAsia" w:ascii="仿宋" w:hAnsi="仿宋" w:eastAsia="仿宋" w:cs="仿宋"/>
          <w:sz w:val="24"/>
          <w:highlight w:val="none"/>
        </w:rPr>
        <w:t>2.2.10</w:t>
      </w:r>
      <w:r>
        <w:rPr>
          <w:rFonts w:hint="eastAsia" w:ascii="仿宋" w:hAnsi="仿宋" w:eastAsia="仿宋" w:cs="仿宋"/>
          <w:sz w:val="24"/>
          <w:highlight w:val="none"/>
          <w:lang w:val="zh-CN"/>
        </w:rPr>
        <w:t>供应商需要说明的其它文件和资料。</w:t>
      </w:r>
    </w:p>
    <w:p w14:paraId="121E6E37">
      <w:pPr>
        <w:snapToGrid w:val="0"/>
        <w:spacing w:line="40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67F31325">
      <w:pPr>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2.3.1交易一览表（报价表）</w:t>
      </w:r>
    </w:p>
    <w:p w14:paraId="7E503EEE">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3、我方承诺除商务技术偏离表列出的偏离外，我方响应交易文件的全部要求。</w:t>
      </w:r>
    </w:p>
    <w:p w14:paraId="77C0216B">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4、如我方成交，我方承诺：</w:t>
      </w:r>
    </w:p>
    <w:p w14:paraId="1FECE801">
      <w:pPr>
        <w:snapToGrid w:val="0"/>
        <w:spacing w:line="40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4.1在收到成交通知书后，在成交通知书规定的期限内与你方签订合同； </w:t>
      </w:r>
    </w:p>
    <w:p w14:paraId="5CE0FBB3">
      <w:pPr>
        <w:snapToGrid w:val="0"/>
        <w:spacing w:line="40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783ED907">
      <w:pPr>
        <w:snapToGrid w:val="0"/>
        <w:spacing w:line="40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4.3按照交易文件要求提交履约保证金； </w:t>
      </w:r>
    </w:p>
    <w:p w14:paraId="7D49E028">
      <w:pPr>
        <w:snapToGrid w:val="0"/>
        <w:spacing w:line="40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1DFC5EA2">
      <w:pPr>
        <w:snapToGrid w:val="0"/>
        <w:spacing w:line="40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B20CA53">
      <w:pPr>
        <w:spacing w:line="40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供应商名称（电子签名）：                          </w:t>
      </w:r>
    </w:p>
    <w:p w14:paraId="19144C26">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72417DEB">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45014C2">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E2FAC79">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68BAB67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4EF56E92">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w:t>
      </w:r>
      <w:r>
        <w:rPr>
          <w:rFonts w:hint="eastAsia" w:ascii="仿宋" w:hAnsi="仿宋" w:eastAsia="仿宋" w:cs="仿宋"/>
          <w:highlight w:val="none"/>
        </w:rPr>
        <w:t xml:space="preserve">                               </w:t>
      </w:r>
    </w:p>
    <w:p w14:paraId="10FCA59A">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w:t>
      </w:r>
      <w:r>
        <w:rPr>
          <w:rFonts w:hint="eastAsia" w:ascii="仿宋" w:hAnsi="仿宋" w:eastAsia="仿宋" w:cs="仿宋"/>
          <w:sz w:val="24"/>
          <w:highlight w:val="none"/>
          <w:u w:val="single"/>
          <w:lang w:val="en-US" w:eastAsia="zh-CN"/>
        </w:rPr>
        <w:t>名称</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w:t>
      </w:r>
    </w:p>
    <w:p w14:paraId="140AE1BE">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rPr>
        <w:t>（项目名称）【交易编号：（采购编号）】</w:t>
      </w:r>
      <w:r>
        <w:rPr>
          <w:rFonts w:hint="eastAsia" w:ascii="仿宋" w:hAnsi="仿宋" w:eastAsia="仿宋" w:cs="仿宋"/>
          <w:kern w:val="0"/>
          <w:sz w:val="24"/>
          <w:highlight w:val="none"/>
          <w:lang w:val="zh-CN"/>
        </w:rPr>
        <w:t>采购交易的一切事项，其法律后果由我方承担。</w:t>
      </w:r>
    </w:p>
    <w:p w14:paraId="2E3BC6D1">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4F841EA2">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75F99865">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14:paraId="33E95812">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1D59D321">
      <w:pPr>
        <w:snapToGrid w:val="0"/>
        <w:spacing w:line="360" w:lineRule="auto"/>
        <w:rPr>
          <w:rFonts w:hint="eastAsia" w:ascii="仿宋" w:hAnsi="仿宋" w:eastAsia="仿宋" w:cs="仿宋"/>
          <w:sz w:val="24"/>
          <w:highlight w:val="none"/>
        </w:rPr>
      </w:pPr>
    </w:p>
    <w:p w14:paraId="4C5906AA">
      <w:pPr>
        <w:spacing w:line="360" w:lineRule="auto"/>
        <w:ind w:right="420"/>
        <w:rPr>
          <w:rFonts w:hint="eastAsia" w:ascii="仿宋" w:hAnsi="仿宋" w:eastAsia="仿宋" w:cs="仿宋"/>
          <w:b/>
          <w:kern w:val="0"/>
          <w:sz w:val="32"/>
          <w:szCs w:val="32"/>
          <w:highlight w:val="none"/>
        </w:rPr>
      </w:pPr>
    </w:p>
    <w:p w14:paraId="19AFB082">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三、符合性审查资料</w:t>
      </w:r>
    </w:p>
    <w:p w14:paraId="15021563">
      <w:pPr>
        <w:jc w:val="center"/>
        <w:rPr>
          <w:rFonts w:hint="eastAsia" w:ascii="仿宋" w:hAnsi="仿宋" w:eastAsia="仿宋" w:cs="仿宋"/>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14:paraId="5E08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5292C957">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065" w:type="dxa"/>
            <w:noWrap w:val="0"/>
            <w:vAlign w:val="center"/>
          </w:tcPr>
          <w:p w14:paraId="5E3B4BF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3477" w:type="dxa"/>
            <w:noWrap w:val="0"/>
            <w:vAlign w:val="center"/>
          </w:tcPr>
          <w:p w14:paraId="32E7C85C">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noWrap w:val="0"/>
            <w:vAlign w:val="center"/>
          </w:tcPr>
          <w:p w14:paraId="5D384AAE">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响应文件中的</w:t>
            </w:r>
          </w:p>
          <w:p w14:paraId="4E45751C">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321B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noWrap w:val="0"/>
            <w:vAlign w:val="center"/>
          </w:tcPr>
          <w:p w14:paraId="212D653A">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65" w:type="dxa"/>
            <w:noWrap w:val="0"/>
            <w:vAlign w:val="center"/>
          </w:tcPr>
          <w:p w14:paraId="0B1855B9">
            <w:pPr>
              <w:jc w:val="center"/>
              <w:rPr>
                <w:rFonts w:hint="eastAsia" w:ascii="仿宋" w:hAnsi="仿宋" w:eastAsia="仿宋" w:cs="仿宋"/>
                <w:sz w:val="24"/>
                <w:highlight w:val="none"/>
              </w:rPr>
            </w:pPr>
            <w:r>
              <w:rPr>
                <w:rFonts w:hint="eastAsia" w:ascii="仿宋" w:hAnsi="仿宋" w:eastAsia="仿宋" w:cs="仿宋"/>
                <w:sz w:val="24"/>
                <w:highlight w:val="none"/>
              </w:rPr>
              <w:t>响应文件按照交易文件要求签署、盖章。</w:t>
            </w:r>
          </w:p>
        </w:tc>
        <w:tc>
          <w:tcPr>
            <w:tcW w:w="3477" w:type="dxa"/>
            <w:noWrap w:val="0"/>
            <w:vAlign w:val="center"/>
          </w:tcPr>
          <w:p w14:paraId="68E2FC18">
            <w:pPr>
              <w:jc w:val="cente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418" w:type="dxa"/>
            <w:noWrap w:val="0"/>
            <w:vAlign w:val="center"/>
          </w:tcPr>
          <w:p w14:paraId="570C2D81">
            <w:pPr>
              <w:jc w:val="center"/>
              <w:rPr>
                <w:rFonts w:hint="eastAsia" w:ascii="仿宋" w:hAnsi="仿宋" w:eastAsia="仿宋" w:cs="仿宋"/>
                <w:sz w:val="24"/>
                <w:highlight w:val="none"/>
              </w:rPr>
            </w:pPr>
            <w:r>
              <w:rPr>
                <w:rFonts w:hint="eastAsia" w:ascii="仿宋" w:hAnsi="仿宋" w:eastAsia="仿宋" w:cs="仿宋"/>
                <w:sz w:val="24"/>
                <w:highlight w:val="none"/>
              </w:rPr>
              <w:t>见响应文件</w:t>
            </w:r>
          </w:p>
          <w:p w14:paraId="4EAFD80A">
            <w:pPr>
              <w:jc w:val="cente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6592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D2ABD6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065" w:type="dxa"/>
            <w:noWrap w:val="0"/>
            <w:vAlign w:val="center"/>
          </w:tcPr>
          <w:p w14:paraId="19A51D03">
            <w:pPr>
              <w:jc w:val="center"/>
              <w:rPr>
                <w:rFonts w:hint="eastAsia" w:ascii="仿宋" w:hAnsi="仿宋" w:eastAsia="仿宋" w:cs="仿宋"/>
                <w:sz w:val="24"/>
                <w:highlight w:val="none"/>
              </w:rPr>
            </w:pPr>
            <w:r>
              <w:rPr>
                <w:rFonts w:hint="eastAsia" w:ascii="仿宋" w:hAnsi="仿宋" w:eastAsia="仿宋" w:cs="仿宋"/>
                <w:sz w:val="24"/>
                <w:highlight w:val="none"/>
              </w:rPr>
              <w:t>响应文件中承诺的交易有效期不少于交易文件中载明的交易有效期。</w:t>
            </w:r>
          </w:p>
        </w:tc>
        <w:tc>
          <w:tcPr>
            <w:tcW w:w="3477" w:type="dxa"/>
            <w:noWrap w:val="0"/>
            <w:vAlign w:val="center"/>
          </w:tcPr>
          <w:p w14:paraId="675A818A">
            <w:pPr>
              <w:jc w:val="center"/>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418" w:type="dxa"/>
            <w:noWrap w:val="0"/>
            <w:vAlign w:val="center"/>
          </w:tcPr>
          <w:p w14:paraId="3C29612F">
            <w:pPr>
              <w:jc w:val="cente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1517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9060F27">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065" w:type="dxa"/>
            <w:noWrap w:val="0"/>
            <w:vAlign w:val="center"/>
          </w:tcPr>
          <w:p w14:paraId="5A0A8E86">
            <w:pPr>
              <w:jc w:val="center"/>
              <w:rPr>
                <w:rFonts w:hint="eastAsia" w:ascii="仿宋" w:hAnsi="仿宋" w:eastAsia="仿宋" w:cs="仿宋"/>
                <w:sz w:val="24"/>
                <w:highlight w:val="none"/>
              </w:rPr>
            </w:pPr>
            <w:r>
              <w:rPr>
                <w:rFonts w:hint="eastAsia" w:ascii="仿宋" w:hAnsi="仿宋" w:eastAsia="仿宋" w:cs="仿宋"/>
                <w:sz w:val="24"/>
                <w:highlight w:val="none"/>
              </w:rPr>
              <w:t>响应文件满足交易文件的其它实质性要求。</w:t>
            </w:r>
          </w:p>
        </w:tc>
        <w:tc>
          <w:tcPr>
            <w:tcW w:w="3477" w:type="dxa"/>
            <w:noWrap w:val="0"/>
            <w:vAlign w:val="center"/>
          </w:tcPr>
          <w:p w14:paraId="20FF1632">
            <w:pPr>
              <w:jc w:val="center"/>
              <w:rPr>
                <w:rFonts w:hint="eastAsia" w:ascii="仿宋" w:hAnsi="仿宋" w:eastAsia="仿宋" w:cs="仿宋"/>
                <w:sz w:val="24"/>
                <w:highlight w:val="none"/>
              </w:rPr>
            </w:pPr>
            <w:r>
              <w:rPr>
                <w:rFonts w:hint="eastAsia" w:ascii="仿宋" w:hAnsi="仿宋" w:eastAsia="仿宋" w:cs="仿宋"/>
                <w:kern w:val="0"/>
                <w:sz w:val="24"/>
                <w:highlight w:val="none"/>
              </w:rPr>
              <w:t>交易文件其它实质性要求相应的材料（“▲” 系指实质性要求条款，交易文件无其它实质性要求的，无需提供）</w:t>
            </w:r>
          </w:p>
        </w:tc>
        <w:tc>
          <w:tcPr>
            <w:tcW w:w="1418" w:type="dxa"/>
            <w:noWrap w:val="0"/>
            <w:vAlign w:val="center"/>
          </w:tcPr>
          <w:p w14:paraId="58744D24">
            <w:pPr>
              <w:jc w:val="cente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2E477453">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D2EAF46">
      <w:pPr>
        <w:jc w:val="center"/>
        <w:rPr>
          <w:rFonts w:hint="eastAsia" w:ascii="仿宋" w:hAnsi="仿宋" w:eastAsia="仿宋" w:cs="仿宋"/>
          <w:b/>
          <w:kern w:val="0"/>
          <w:sz w:val="32"/>
          <w:szCs w:val="32"/>
          <w:highlight w:val="none"/>
        </w:rPr>
      </w:pPr>
    </w:p>
    <w:p w14:paraId="6E6FE139">
      <w:pPr>
        <w:jc w:val="center"/>
        <w:rPr>
          <w:rFonts w:hint="eastAsia" w:ascii="仿宋" w:hAnsi="仿宋" w:eastAsia="仿宋" w:cs="仿宋"/>
          <w:b/>
          <w:kern w:val="0"/>
          <w:sz w:val="32"/>
          <w:szCs w:val="32"/>
          <w:highlight w:val="none"/>
        </w:rPr>
      </w:pPr>
    </w:p>
    <w:p w14:paraId="658C369D">
      <w:pPr>
        <w:jc w:val="center"/>
        <w:rPr>
          <w:rFonts w:hint="eastAsia" w:ascii="仿宋" w:hAnsi="仿宋" w:eastAsia="仿宋" w:cs="仿宋"/>
          <w:b/>
          <w:kern w:val="0"/>
          <w:sz w:val="32"/>
          <w:szCs w:val="32"/>
          <w:highlight w:val="none"/>
        </w:rPr>
      </w:pPr>
    </w:p>
    <w:p w14:paraId="5BB0B428">
      <w:pPr>
        <w:jc w:val="center"/>
        <w:rPr>
          <w:rFonts w:hint="eastAsia" w:ascii="仿宋" w:hAnsi="仿宋" w:eastAsia="仿宋" w:cs="仿宋"/>
          <w:b/>
          <w:kern w:val="0"/>
          <w:sz w:val="32"/>
          <w:szCs w:val="32"/>
          <w:highlight w:val="none"/>
        </w:rPr>
      </w:pPr>
    </w:p>
    <w:p w14:paraId="7A75E6C3">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四、交易标的清单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6D9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C15246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5C01F3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CB8B0B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56B26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35B79A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75B842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65A4F5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5A03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300D13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DBD72A5">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582C2B0">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0C3D072">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77F70C1">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5FF7E8E">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3D2933A">
            <w:pPr>
              <w:spacing w:line="360" w:lineRule="auto"/>
              <w:jc w:val="center"/>
              <w:rPr>
                <w:rFonts w:hint="eastAsia" w:ascii="仿宋" w:hAnsi="仿宋" w:eastAsia="仿宋" w:cs="仿宋"/>
                <w:sz w:val="24"/>
                <w:highlight w:val="none"/>
              </w:rPr>
            </w:pPr>
          </w:p>
        </w:tc>
      </w:tr>
      <w:tr w14:paraId="3BD2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A8014F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EF0656A">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7928A9E">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B7EC104">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17D03D02">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D76E588">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ADFD8D6">
            <w:pPr>
              <w:spacing w:line="360" w:lineRule="auto"/>
              <w:jc w:val="center"/>
              <w:rPr>
                <w:rFonts w:hint="eastAsia" w:ascii="仿宋" w:hAnsi="仿宋" w:eastAsia="仿宋" w:cs="仿宋"/>
                <w:sz w:val="24"/>
                <w:highlight w:val="none"/>
              </w:rPr>
            </w:pPr>
          </w:p>
        </w:tc>
      </w:tr>
      <w:tr w14:paraId="3710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A197C6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EA15557">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BEA15A2">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B80E76A">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3971B36">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6A7EE03">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7364418">
            <w:pPr>
              <w:spacing w:line="360" w:lineRule="auto"/>
              <w:jc w:val="center"/>
              <w:rPr>
                <w:rFonts w:hint="eastAsia" w:ascii="仿宋" w:hAnsi="仿宋" w:eastAsia="仿宋" w:cs="仿宋"/>
                <w:sz w:val="24"/>
                <w:highlight w:val="none"/>
              </w:rPr>
            </w:pPr>
          </w:p>
        </w:tc>
      </w:tr>
    </w:tbl>
    <w:p w14:paraId="4526534E">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DAF3539">
      <w:pPr>
        <w:jc w:val="center"/>
        <w:rPr>
          <w:rFonts w:hint="eastAsia" w:ascii="仿宋" w:hAnsi="仿宋" w:eastAsia="仿宋" w:cs="仿宋"/>
          <w:b/>
          <w:kern w:val="0"/>
          <w:sz w:val="32"/>
          <w:szCs w:val="32"/>
          <w:highlight w:val="none"/>
        </w:rPr>
      </w:pPr>
    </w:p>
    <w:p w14:paraId="0F145931">
      <w:pPr>
        <w:jc w:val="center"/>
        <w:rPr>
          <w:rFonts w:hint="eastAsia" w:ascii="仿宋" w:hAnsi="仿宋" w:eastAsia="仿宋" w:cs="仿宋"/>
          <w:b/>
          <w:kern w:val="0"/>
          <w:sz w:val="32"/>
          <w:szCs w:val="32"/>
          <w:highlight w:val="none"/>
        </w:rPr>
      </w:pPr>
    </w:p>
    <w:p w14:paraId="34A70616">
      <w:pPr>
        <w:rPr>
          <w:rFonts w:hint="eastAsia" w:ascii="仿宋" w:hAnsi="仿宋" w:eastAsia="仿宋" w:cs="仿宋"/>
          <w:b/>
          <w:bCs/>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1BE9470">
      <w:pPr>
        <w:pStyle w:val="23"/>
        <w:rPr>
          <w:rFonts w:hint="eastAsia" w:ascii="仿宋" w:hAnsi="仿宋" w:eastAsia="仿宋" w:cs="仿宋"/>
          <w:highlight w:val="none"/>
          <w:lang w:val="en-US"/>
        </w:rPr>
      </w:pPr>
    </w:p>
    <w:p w14:paraId="7F3FE4B7">
      <w:pPr>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五</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采购供应商廉洁自律承诺书</w:t>
      </w:r>
    </w:p>
    <w:p w14:paraId="2114F58F">
      <w:pPr>
        <w:snapToGrid w:val="0"/>
        <w:spacing w:line="360" w:lineRule="auto"/>
        <w:rPr>
          <w:rFonts w:hint="eastAsia" w:ascii="仿宋" w:hAnsi="仿宋" w:eastAsia="仿宋" w:cs="仿宋"/>
          <w:sz w:val="24"/>
          <w:highlight w:val="none"/>
        </w:rPr>
      </w:pPr>
    </w:p>
    <w:p w14:paraId="60856442">
      <w:pPr>
        <w:snapToGrid w:val="0"/>
        <w:spacing w:line="360" w:lineRule="auto"/>
        <w:rPr>
          <w:rFonts w:hint="eastAsia" w:ascii="仿宋" w:hAnsi="仿宋" w:eastAsia="仿宋" w:cs="仿宋"/>
          <w:kern w:val="0"/>
          <w:sz w:val="24"/>
          <w:highlight w:val="none"/>
          <w:u w:val="single"/>
        </w:rPr>
      </w:pPr>
      <w:r>
        <w:rPr>
          <w:rFonts w:hint="eastAsia" w:ascii="仿宋" w:hAnsi="仿宋" w:eastAsia="仿宋" w:cs="仿宋"/>
          <w:sz w:val="24"/>
          <w:highlight w:val="none"/>
          <w:u w:val="single"/>
        </w:rPr>
        <w:t>（采购人</w:t>
      </w:r>
      <w:r>
        <w:rPr>
          <w:rFonts w:hint="eastAsia" w:ascii="仿宋" w:hAnsi="仿宋" w:eastAsia="仿宋" w:cs="仿宋"/>
          <w:sz w:val="24"/>
          <w:highlight w:val="none"/>
          <w:u w:val="single"/>
          <w:lang w:val="en-US" w:eastAsia="zh-CN"/>
        </w:rPr>
        <w:t>名称</w:t>
      </w:r>
      <w:r>
        <w:rPr>
          <w:rFonts w:hint="eastAsia" w:ascii="仿宋" w:hAnsi="仿宋" w:eastAsia="仿宋" w:cs="仿宋"/>
          <w:sz w:val="24"/>
          <w:highlight w:val="none"/>
          <w:u w:val="single"/>
        </w:rPr>
        <w:t>）</w:t>
      </w:r>
      <w:r>
        <w:rPr>
          <w:rFonts w:hint="eastAsia" w:ascii="仿宋" w:hAnsi="仿宋" w:eastAsia="仿宋" w:cs="仿宋"/>
          <w:kern w:val="0"/>
          <w:sz w:val="24"/>
          <w:highlight w:val="none"/>
          <w:u w:val="single"/>
          <w:lang w:val="zh-CN"/>
        </w:rPr>
        <w:t>：</w:t>
      </w:r>
    </w:p>
    <w:p w14:paraId="5F19D99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项目交易要求参加交易。在这次交易过程中和成交后，我们将严格遵守国家法律法规要求，并郑重承诺：</w:t>
      </w:r>
    </w:p>
    <w:p w14:paraId="35CFFA4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3CD6F9DF">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9A2116C">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716B3DE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7F5A4FC3">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1711C1AC">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6A070F6E">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六、严格遵守相关法律法规，诚实守信，合法经营，坚决抵制各种违法违纪行为。 </w:t>
      </w:r>
    </w:p>
    <w:p w14:paraId="7113EC44">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有权立即取消我单位交易、成交或在建项目的建设资格，有权拒绝我单位在一定时期内进入你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12BC0F91">
      <w:pPr>
        <w:autoSpaceDE w:val="0"/>
        <w:autoSpaceDN w:val="0"/>
        <w:spacing w:line="360" w:lineRule="auto"/>
        <w:ind w:left="2"/>
        <w:jc w:val="left"/>
        <w:rPr>
          <w:rFonts w:hint="eastAsia" w:ascii="仿宋" w:hAnsi="仿宋" w:eastAsia="仿宋" w:cs="仿宋"/>
          <w:kern w:val="0"/>
          <w:sz w:val="24"/>
          <w:highlight w:val="none"/>
          <w:lang w:val="zh-CN"/>
        </w:rPr>
      </w:pPr>
    </w:p>
    <w:p w14:paraId="5FFD4868">
      <w:pPr>
        <w:autoSpaceDE w:val="0"/>
        <w:autoSpaceDN w:val="0"/>
        <w:spacing w:line="360" w:lineRule="auto"/>
        <w:ind w:left="2"/>
        <w:jc w:val="left"/>
        <w:rPr>
          <w:rFonts w:hint="eastAsia" w:ascii="仿宋" w:hAnsi="仿宋" w:eastAsia="仿宋" w:cs="仿宋"/>
          <w:kern w:val="0"/>
          <w:sz w:val="24"/>
          <w:highlight w:val="none"/>
          <w:lang w:val="zh-CN"/>
        </w:rPr>
      </w:pPr>
    </w:p>
    <w:p w14:paraId="38B76689">
      <w:pPr>
        <w:autoSpaceDE w:val="0"/>
        <w:autoSpaceDN w:val="0"/>
        <w:spacing w:line="360" w:lineRule="auto"/>
        <w:ind w:left="2"/>
        <w:jc w:val="left"/>
        <w:rPr>
          <w:rFonts w:hint="eastAsia" w:ascii="仿宋" w:hAnsi="仿宋" w:eastAsia="仿宋" w:cs="仿宋"/>
          <w:kern w:val="0"/>
          <w:sz w:val="24"/>
          <w:highlight w:val="none"/>
          <w:lang w:val="zh-CN"/>
        </w:rPr>
      </w:pPr>
    </w:p>
    <w:p w14:paraId="562467CB">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78E1783D">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C382B4E">
      <w:pPr>
        <w:spacing w:line="360" w:lineRule="auto"/>
        <w:jc w:val="center"/>
        <w:rPr>
          <w:rFonts w:hint="eastAsia" w:ascii="仿宋" w:hAnsi="仿宋" w:eastAsia="仿宋" w:cs="仿宋"/>
          <w:b/>
          <w:bCs/>
          <w:sz w:val="24"/>
          <w:highlight w:val="none"/>
        </w:rPr>
      </w:pPr>
    </w:p>
    <w:p w14:paraId="56D34E25">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C12B05E">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354C442E">
      <w:pPr>
        <w:ind w:firstLine="1911" w:firstLineChars="595"/>
        <w:rPr>
          <w:rFonts w:hint="eastAsia" w:ascii="仿宋" w:hAnsi="仿宋" w:eastAsia="仿宋" w:cs="仿宋"/>
          <w:b/>
          <w:kern w:val="0"/>
          <w:sz w:val="32"/>
          <w:szCs w:val="32"/>
          <w:highlight w:val="none"/>
          <w:lang w:val="zh-CN"/>
        </w:rPr>
      </w:pPr>
    </w:p>
    <w:p w14:paraId="1A72AB71">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w:t>
      </w:r>
      <w:r>
        <w:rPr>
          <w:rFonts w:hint="eastAsia" w:ascii="仿宋" w:hAnsi="仿宋" w:eastAsia="仿宋" w:cs="仿宋"/>
          <w:b/>
          <w:kern w:val="0"/>
          <w:sz w:val="32"/>
          <w:szCs w:val="32"/>
          <w:highlight w:val="none"/>
          <w:lang w:val="zh-CN"/>
        </w:rPr>
        <w:t>供应商需要说明的其它文件和资料</w:t>
      </w:r>
    </w:p>
    <w:p w14:paraId="220133F8">
      <w:pPr>
        <w:spacing w:line="360" w:lineRule="auto"/>
        <w:jc w:val="center"/>
        <w:outlineLvl w:val="0"/>
        <w:rPr>
          <w:rFonts w:hint="eastAsia" w:ascii="仿宋" w:hAnsi="仿宋" w:eastAsia="仿宋" w:cs="仿宋"/>
          <w:b/>
          <w:kern w:val="0"/>
          <w:sz w:val="36"/>
          <w:szCs w:val="36"/>
          <w:highlight w:val="none"/>
        </w:rPr>
      </w:pPr>
    </w:p>
    <w:p w14:paraId="016FCA01">
      <w:pPr>
        <w:spacing w:line="360" w:lineRule="auto"/>
        <w:jc w:val="center"/>
        <w:outlineLvl w:val="0"/>
        <w:rPr>
          <w:rFonts w:hint="eastAsia" w:ascii="仿宋" w:hAnsi="仿宋" w:eastAsia="仿宋" w:cs="仿宋"/>
          <w:b/>
          <w:kern w:val="0"/>
          <w:sz w:val="36"/>
          <w:szCs w:val="36"/>
          <w:highlight w:val="none"/>
        </w:rPr>
        <w:sectPr>
          <w:pgSz w:w="11906" w:h="16838"/>
          <w:pgMar w:top="1276" w:right="1418" w:bottom="1247" w:left="1418" w:header="851" w:footer="992" w:gutter="0"/>
          <w:cols w:space="720" w:num="1"/>
          <w:titlePg/>
          <w:docGrid w:linePitch="312" w:charSpace="0"/>
        </w:sectPr>
      </w:pPr>
    </w:p>
    <w:p w14:paraId="62273AFA">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6BEED03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0280A13">
      <w:pPr>
        <w:spacing w:line="360" w:lineRule="auto"/>
        <w:jc w:val="center"/>
        <w:outlineLvl w:val="0"/>
        <w:rPr>
          <w:rFonts w:hint="eastAsia" w:ascii="仿宋" w:hAnsi="仿宋" w:eastAsia="仿宋" w:cs="仿宋"/>
          <w:b/>
          <w:kern w:val="0"/>
          <w:sz w:val="36"/>
          <w:szCs w:val="36"/>
          <w:highlight w:val="none"/>
        </w:rPr>
      </w:pPr>
    </w:p>
    <w:p w14:paraId="63D324D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（1）交易一览表（报价表）………………………………………………………（页码）</w:t>
      </w:r>
    </w:p>
    <w:p w14:paraId="31AA4757">
      <w:pPr>
        <w:snapToGrid w:val="0"/>
        <w:spacing w:line="360" w:lineRule="auto"/>
        <w:ind w:right="480"/>
        <w:jc w:val="center"/>
        <w:rPr>
          <w:rFonts w:hint="eastAsia" w:ascii="仿宋" w:hAnsi="仿宋" w:eastAsia="仿宋" w:cs="仿宋"/>
          <w:b/>
          <w:kern w:val="0"/>
          <w:sz w:val="32"/>
          <w:szCs w:val="32"/>
          <w:highlight w:val="none"/>
        </w:rPr>
      </w:pPr>
    </w:p>
    <w:p w14:paraId="086953BF">
      <w:pPr>
        <w:snapToGrid w:val="0"/>
        <w:spacing w:line="360" w:lineRule="auto"/>
        <w:ind w:right="480"/>
        <w:jc w:val="center"/>
        <w:rPr>
          <w:rFonts w:hint="eastAsia" w:ascii="仿宋" w:hAnsi="仿宋" w:eastAsia="仿宋" w:cs="仿宋"/>
          <w:b/>
          <w:kern w:val="0"/>
          <w:sz w:val="32"/>
          <w:szCs w:val="32"/>
          <w:highlight w:val="none"/>
        </w:rPr>
      </w:pPr>
    </w:p>
    <w:p w14:paraId="2F623923">
      <w:pPr>
        <w:snapToGrid w:val="0"/>
        <w:spacing w:line="360" w:lineRule="auto"/>
        <w:ind w:right="480"/>
        <w:jc w:val="center"/>
        <w:rPr>
          <w:rFonts w:hint="eastAsia" w:ascii="仿宋" w:hAnsi="仿宋" w:eastAsia="仿宋" w:cs="仿宋"/>
          <w:b/>
          <w:kern w:val="0"/>
          <w:sz w:val="32"/>
          <w:szCs w:val="32"/>
          <w:highlight w:val="none"/>
        </w:rPr>
      </w:pPr>
    </w:p>
    <w:p w14:paraId="18EB6C57">
      <w:pPr>
        <w:snapToGrid w:val="0"/>
        <w:spacing w:line="360" w:lineRule="auto"/>
        <w:ind w:right="480"/>
        <w:jc w:val="center"/>
        <w:rPr>
          <w:rFonts w:hint="eastAsia" w:ascii="仿宋" w:hAnsi="仿宋" w:eastAsia="仿宋" w:cs="仿宋"/>
          <w:b/>
          <w:kern w:val="0"/>
          <w:sz w:val="32"/>
          <w:szCs w:val="32"/>
          <w:highlight w:val="none"/>
        </w:rPr>
      </w:pPr>
    </w:p>
    <w:p w14:paraId="1DB88365">
      <w:pPr>
        <w:snapToGrid w:val="0"/>
        <w:spacing w:line="360" w:lineRule="auto"/>
        <w:ind w:right="480"/>
        <w:jc w:val="center"/>
        <w:rPr>
          <w:rFonts w:hint="eastAsia" w:ascii="仿宋" w:hAnsi="仿宋" w:eastAsia="仿宋" w:cs="仿宋"/>
          <w:b/>
          <w:kern w:val="0"/>
          <w:sz w:val="32"/>
          <w:szCs w:val="32"/>
          <w:highlight w:val="none"/>
        </w:rPr>
      </w:pPr>
    </w:p>
    <w:p w14:paraId="261E2B77">
      <w:pPr>
        <w:snapToGrid w:val="0"/>
        <w:spacing w:line="360" w:lineRule="auto"/>
        <w:ind w:right="480"/>
        <w:jc w:val="center"/>
        <w:rPr>
          <w:rFonts w:hint="eastAsia" w:ascii="仿宋" w:hAnsi="仿宋" w:eastAsia="仿宋" w:cs="仿宋"/>
          <w:b/>
          <w:kern w:val="0"/>
          <w:sz w:val="32"/>
          <w:szCs w:val="32"/>
          <w:highlight w:val="none"/>
        </w:rPr>
      </w:pPr>
    </w:p>
    <w:p w14:paraId="011606E5">
      <w:pPr>
        <w:snapToGrid w:val="0"/>
        <w:spacing w:line="360" w:lineRule="auto"/>
        <w:ind w:right="480"/>
        <w:jc w:val="center"/>
        <w:rPr>
          <w:rFonts w:hint="eastAsia" w:ascii="仿宋" w:hAnsi="仿宋" w:eastAsia="仿宋" w:cs="仿宋"/>
          <w:b/>
          <w:kern w:val="0"/>
          <w:sz w:val="32"/>
          <w:szCs w:val="32"/>
          <w:highlight w:val="none"/>
        </w:rPr>
      </w:pPr>
    </w:p>
    <w:p w14:paraId="3F22BDD1">
      <w:pPr>
        <w:snapToGrid w:val="0"/>
        <w:spacing w:line="360" w:lineRule="auto"/>
        <w:ind w:right="480"/>
        <w:jc w:val="center"/>
        <w:rPr>
          <w:rFonts w:hint="eastAsia" w:ascii="仿宋" w:hAnsi="仿宋" w:eastAsia="仿宋" w:cs="仿宋"/>
          <w:b/>
          <w:kern w:val="0"/>
          <w:sz w:val="32"/>
          <w:szCs w:val="32"/>
          <w:highlight w:val="none"/>
        </w:rPr>
      </w:pPr>
    </w:p>
    <w:p w14:paraId="2A9B4700">
      <w:pPr>
        <w:snapToGrid w:val="0"/>
        <w:spacing w:line="360" w:lineRule="auto"/>
        <w:ind w:right="480"/>
        <w:jc w:val="center"/>
        <w:rPr>
          <w:rFonts w:hint="eastAsia" w:ascii="仿宋" w:hAnsi="仿宋" w:eastAsia="仿宋" w:cs="仿宋"/>
          <w:b/>
          <w:kern w:val="0"/>
          <w:sz w:val="32"/>
          <w:szCs w:val="32"/>
          <w:highlight w:val="none"/>
        </w:rPr>
      </w:pPr>
    </w:p>
    <w:p w14:paraId="5CD6B4BC">
      <w:pPr>
        <w:snapToGrid w:val="0"/>
        <w:spacing w:line="360" w:lineRule="auto"/>
        <w:ind w:right="480"/>
        <w:jc w:val="center"/>
        <w:rPr>
          <w:rFonts w:hint="eastAsia" w:ascii="仿宋" w:hAnsi="仿宋" w:eastAsia="仿宋" w:cs="仿宋"/>
          <w:b/>
          <w:kern w:val="0"/>
          <w:sz w:val="32"/>
          <w:szCs w:val="32"/>
          <w:highlight w:val="none"/>
        </w:rPr>
      </w:pPr>
    </w:p>
    <w:p w14:paraId="610FF4F7">
      <w:pPr>
        <w:snapToGrid w:val="0"/>
        <w:spacing w:line="360" w:lineRule="auto"/>
        <w:ind w:right="480"/>
        <w:jc w:val="center"/>
        <w:rPr>
          <w:rFonts w:hint="eastAsia" w:ascii="仿宋" w:hAnsi="仿宋" w:eastAsia="仿宋" w:cs="仿宋"/>
          <w:b/>
          <w:kern w:val="0"/>
          <w:sz w:val="32"/>
          <w:szCs w:val="32"/>
          <w:highlight w:val="none"/>
        </w:rPr>
      </w:pPr>
    </w:p>
    <w:p w14:paraId="28F18356">
      <w:pPr>
        <w:snapToGrid w:val="0"/>
        <w:spacing w:line="360" w:lineRule="auto"/>
        <w:ind w:right="480"/>
        <w:jc w:val="center"/>
        <w:rPr>
          <w:rFonts w:hint="eastAsia" w:ascii="仿宋" w:hAnsi="仿宋" w:eastAsia="仿宋" w:cs="仿宋"/>
          <w:b/>
          <w:kern w:val="0"/>
          <w:sz w:val="32"/>
          <w:szCs w:val="32"/>
          <w:highlight w:val="none"/>
        </w:rPr>
      </w:pPr>
    </w:p>
    <w:p w14:paraId="675903CF">
      <w:pPr>
        <w:snapToGrid w:val="0"/>
        <w:spacing w:line="360" w:lineRule="auto"/>
        <w:ind w:right="480"/>
        <w:jc w:val="center"/>
        <w:rPr>
          <w:rFonts w:hint="eastAsia" w:ascii="仿宋" w:hAnsi="仿宋" w:eastAsia="仿宋" w:cs="仿宋"/>
          <w:b/>
          <w:kern w:val="0"/>
          <w:sz w:val="32"/>
          <w:szCs w:val="32"/>
          <w:highlight w:val="none"/>
        </w:rPr>
      </w:pPr>
    </w:p>
    <w:p w14:paraId="139798AA">
      <w:pPr>
        <w:snapToGrid w:val="0"/>
        <w:spacing w:line="360" w:lineRule="auto"/>
        <w:ind w:right="480"/>
        <w:jc w:val="center"/>
        <w:rPr>
          <w:rFonts w:hint="eastAsia" w:ascii="仿宋" w:hAnsi="仿宋" w:eastAsia="仿宋" w:cs="仿宋"/>
          <w:b/>
          <w:kern w:val="0"/>
          <w:sz w:val="32"/>
          <w:szCs w:val="32"/>
          <w:highlight w:val="none"/>
        </w:rPr>
      </w:pPr>
    </w:p>
    <w:p w14:paraId="2FB7C29A">
      <w:pPr>
        <w:snapToGrid w:val="0"/>
        <w:spacing w:line="360" w:lineRule="auto"/>
        <w:ind w:right="480"/>
        <w:jc w:val="center"/>
        <w:rPr>
          <w:rFonts w:hint="eastAsia" w:ascii="仿宋" w:hAnsi="仿宋" w:eastAsia="仿宋" w:cs="仿宋"/>
          <w:b/>
          <w:kern w:val="0"/>
          <w:sz w:val="32"/>
          <w:szCs w:val="32"/>
          <w:highlight w:val="none"/>
        </w:rPr>
      </w:pPr>
    </w:p>
    <w:p w14:paraId="0242DCEF">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1906" w:h="16838"/>
          <w:pgMar w:top="1276" w:right="1418" w:bottom="1247" w:left="1418" w:header="851" w:footer="992" w:gutter="0"/>
          <w:cols w:space="720" w:num="1"/>
          <w:titlePg/>
          <w:docGrid w:linePitch="312" w:charSpace="0"/>
        </w:sectPr>
      </w:pPr>
    </w:p>
    <w:p w14:paraId="20E9D1F1">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一、交易一览表（报价表）</w:t>
      </w:r>
    </w:p>
    <w:p w14:paraId="070BEE8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w:t>
      </w:r>
      <w:r>
        <w:rPr>
          <w:rFonts w:hint="eastAsia" w:ascii="仿宋" w:hAnsi="仿宋" w:eastAsia="仿宋" w:cs="仿宋"/>
          <w:sz w:val="24"/>
          <w:highlight w:val="none"/>
          <w:u w:val="single"/>
          <w:lang w:val="en-US" w:eastAsia="zh-CN"/>
        </w:rPr>
        <w:t>名称</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w:t>
      </w:r>
    </w:p>
    <w:p w14:paraId="50B539CF">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按你方交易文件要求，我们，本响应文件签字方，谨此向你方发出要约如下：如你方接受本交易，我方承诺按照如下交易一览表（报价表）的价格完成</w:t>
      </w:r>
      <w:r>
        <w:rPr>
          <w:rFonts w:hint="eastAsia" w:ascii="仿宋" w:hAnsi="仿宋" w:eastAsia="仿宋" w:cs="仿宋"/>
          <w:sz w:val="24"/>
          <w:highlight w:val="none"/>
          <w:u w:val="single"/>
        </w:rPr>
        <w:t>（项目名称）【交易编号：（采购编号）】</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660D22FD">
      <w:pPr>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交易一览表（报价表）(单位均为人民币元)</w:t>
      </w:r>
    </w:p>
    <w:tbl>
      <w:tblPr>
        <w:tblStyle w:val="966"/>
        <w:tblW w:w="10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5487"/>
        <w:gridCol w:w="2790"/>
        <w:gridCol w:w="1061"/>
      </w:tblGrid>
      <w:tr w14:paraId="79473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40" w:type="dxa"/>
            <w:noWrap w:val="0"/>
            <w:vAlign w:val="top"/>
          </w:tcPr>
          <w:p w14:paraId="7AC5EFF7">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5487" w:type="dxa"/>
            <w:noWrap w:val="0"/>
            <w:vAlign w:val="top"/>
          </w:tcPr>
          <w:p w14:paraId="62A4FC8C">
            <w:pPr>
              <w:jc w:val="center"/>
              <w:rPr>
                <w:rFonts w:hint="eastAsia" w:ascii="仿宋" w:hAnsi="仿宋" w:eastAsia="仿宋" w:cs="仿宋"/>
                <w:sz w:val="24"/>
                <w:highlight w:val="none"/>
              </w:rPr>
            </w:pPr>
            <w:r>
              <w:rPr>
                <w:rFonts w:hint="eastAsia" w:ascii="仿宋" w:hAnsi="仿宋" w:eastAsia="仿宋" w:cs="仿宋"/>
                <w:sz w:val="24"/>
                <w:highlight w:val="none"/>
              </w:rPr>
              <w:t>项 目</w:t>
            </w:r>
          </w:p>
        </w:tc>
        <w:tc>
          <w:tcPr>
            <w:tcW w:w="2790" w:type="dxa"/>
            <w:noWrap w:val="0"/>
            <w:vAlign w:val="top"/>
          </w:tcPr>
          <w:p w14:paraId="26DB4C96">
            <w:pPr>
              <w:jc w:val="center"/>
              <w:rPr>
                <w:rFonts w:hint="eastAsia" w:ascii="仿宋" w:hAnsi="仿宋" w:eastAsia="仿宋" w:cs="仿宋"/>
                <w:sz w:val="24"/>
                <w:highlight w:val="none"/>
              </w:rPr>
            </w:pPr>
            <w:r>
              <w:rPr>
                <w:rFonts w:hint="eastAsia" w:ascii="仿宋" w:hAnsi="仿宋" w:eastAsia="仿宋" w:cs="仿宋"/>
                <w:sz w:val="24"/>
                <w:highlight w:val="none"/>
              </w:rPr>
              <w:t>报价</w:t>
            </w:r>
          </w:p>
        </w:tc>
        <w:tc>
          <w:tcPr>
            <w:tcW w:w="1061" w:type="dxa"/>
            <w:noWrap w:val="0"/>
            <w:vAlign w:val="top"/>
          </w:tcPr>
          <w:p w14:paraId="63EAC51D">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467B4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6" w:hRule="atLeast"/>
          <w:jc w:val="center"/>
        </w:trPr>
        <w:tc>
          <w:tcPr>
            <w:tcW w:w="840" w:type="dxa"/>
            <w:noWrap w:val="0"/>
            <w:vAlign w:val="center"/>
          </w:tcPr>
          <w:p w14:paraId="1881BDD8">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5487" w:type="dxa"/>
            <w:noWrap w:val="0"/>
            <w:vAlign w:val="center"/>
          </w:tcPr>
          <w:p w14:paraId="15B9DA89">
            <w:pPr>
              <w:spacing w:line="360" w:lineRule="auto"/>
              <w:jc w:val="left"/>
              <w:rPr>
                <w:rFonts w:hint="eastAsia" w:ascii="仿宋" w:hAnsi="仿宋" w:eastAsia="仿宋" w:cs="仿宋"/>
                <w:sz w:val="24"/>
                <w:highlight w:val="none"/>
              </w:rPr>
            </w:pPr>
          </w:p>
        </w:tc>
        <w:tc>
          <w:tcPr>
            <w:tcW w:w="2790" w:type="dxa"/>
            <w:noWrap w:val="0"/>
            <w:vAlign w:val="center"/>
          </w:tcPr>
          <w:p w14:paraId="0E483094">
            <w:pPr>
              <w:jc w:val="center"/>
              <w:rPr>
                <w:rFonts w:hint="eastAsia" w:ascii="仿宋" w:hAnsi="仿宋" w:eastAsia="仿宋" w:cs="仿宋"/>
                <w:sz w:val="24"/>
                <w:highlight w:val="none"/>
              </w:rPr>
            </w:pPr>
          </w:p>
        </w:tc>
        <w:tc>
          <w:tcPr>
            <w:tcW w:w="1061" w:type="dxa"/>
            <w:noWrap w:val="0"/>
            <w:vAlign w:val="top"/>
          </w:tcPr>
          <w:p w14:paraId="0EE8B385">
            <w:pPr>
              <w:jc w:val="center"/>
              <w:rPr>
                <w:rFonts w:hint="eastAsia" w:ascii="仿宋" w:hAnsi="仿宋" w:eastAsia="仿宋" w:cs="仿宋"/>
                <w:sz w:val="24"/>
                <w:highlight w:val="none"/>
              </w:rPr>
            </w:pPr>
          </w:p>
        </w:tc>
      </w:tr>
      <w:tr w14:paraId="25642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6327" w:type="dxa"/>
            <w:gridSpan w:val="2"/>
            <w:noWrap w:val="0"/>
            <w:vAlign w:val="center"/>
          </w:tcPr>
          <w:p w14:paraId="1ABA998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3851" w:type="dxa"/>
            <w:gridSpan w:val="2"/>
            <w:noWrap w:val="0"/>
            <w:vAlign w:val="center"/>
          </w:tcPr>
          <w:p w14:paraId="75A5B88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大写：</w:t>
            </w:r>
          </w:p>
        </w:tc>
      </w:tr>
    </w:tbl>
    <w:p w14:paraId="28DCBCAD">
      <w:pPr>
        <w:snapToGrid w:val="0"/>
        <w:spacing w:line="360" w:lineRule="auto"/>
        <w:rPr>
          <w:rFonts w:hint="eastAsia" w:ascii="仿宋" w:hAnsi="仿宋" w:eastAsia="仿宋" w:cs="仿宋"/>
          <w:b/>
          <w:kern w:val="0"/>
          <w:sz w:val="24"/>
          <w:highlight w:val="none"/>
          <w:lang w:val="zh-CN"/>
        </w:rPr>
      </w:pPr>
    </w:p>
    <w:p w14:paraId="3965C83C">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注：</w:t>
      </w:r>
      <w:r>
        <w:rPr>
          <w:rFonts w:hint="eastAsia" w:ascii="仿宋" w:hAnsi="仿宋" w:eastAsia="仿宋" w:cs="仿宋"/>
          <w:kern w:val="0"/>
          <w:sz w:val="24"/>
          <w:highlight w:val="none"/>
          <w:lang w:val="zh-CN"/>
        </w:rPr>
        <w:t>1、供应商需按本表格式填写，不得自行更改。</w:t>
      </w:r>
    </w:p>
    <w:p w14:paraId="3967676C">
      <w:pPr>
        <w:numPr>
          <w:ilvl w:val="0"/>
          <w:numId w:val="2"/>
        </w:num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响应报价应包括响应文件所确定的测绘范围内全部工作内容以及按合同规定精心组织测绘和为完成上述测绘内容所必须的设施、材料、技术、劳务、交通、差旅、现场服务及其它必须的全部费用。</w:t>
      </w:r>
      <w:r>
        <w:rPr>
          <w:rFonts w:hint="eastAsia" w:ascii="仿宋" w:hAnsi="仿宋" w:eastAsia="仿宋" w:cs="仿宋"/>
          <w:kern w:val="0"/>
          <w:sz w:val="24"/>
          <w:highlight w:val="none"/>
        </w:rPr>
        <w:t xml:space="preserve">  </w:t>
      </w:r>
    </w:p>
    <w:p w14:paraId="4FAB5FFF">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3、供应商应充分考虑测绘服务期间各类价格的风险、物价上涨因素、国家政策性调整风险和自然条件，响应所填总价一次性包干，今后不作任何调整。</w:t>
      </w:r>
    </w:p>
    <w:p w14:paraId="7CB4436F">
      <w:pPr>
        <w:pStyle w:val="23"/>
        <w:rPr>
          <w:rFonts w:hint="eastAsia" w:ascii="仿宋" w:hAnsi="仿宋" w:eastAsia="仿宋" w:cs="仿宋"/>
          <w:highlight w:val="none"/>
          <w:lang w:val="en-US"/>
        </w:rPr>
      </w:pPr>
    </w:p>
    <w:p w14:paraId="69144CDD">
      <w:pPr>
        <w:spacing w:line="360" w:lineRule="auto"/>
        <w:jc w:val="left"/>
        <w:rPr>
          <w:rFonts w:hint="eastAsia" w:ascii="仿宋" w:hAnsi="仿宋" w:eastAsia="仿宋" w:cs="仿宋"/>
          <w:b/>
          <w:spacing w:val="6"/>
          <w:sz w:val="32"/>
          <w:szCs w:val="32"/>
          <w:highlight w:val="none"/>
        </w:rPr>
      </w:pPr>
    </w:p>
    <w:p w14:paraId="1DFA6427">
      <w:pPr>
        <w:pStyle w:val="23"/>
        <w:rPr>
          <w:rFonts w:hint="eastAsia" w:ascii="仿宋" w:hAnsi="仿宋" w:eastAsia="仿宋" w:cs="仿宋"/>
          <w:b/>
          <w:spacing w:val="6"/>
          <w:sz w:val="32"/>
          <w:szCs w:val="32"/>
          <w:highlight w:val="none"/>
        </w:rPr>
      </w:pPr>
    </w:p>
    <w:p w14:paraId="3AA5893A">
      <w:pPr>
        <w:rPr>
          <w:rFonts w:hint="eastAsia" w:ascii="仿宋" w:hAnsi="仿宋" w:eastAsia="仿宋" w:cs="仿宋"/>
          <w:b/>
          <w:spacing w:val="6"/>
          <w:sz w:val="32"/>
          <w:szCs w:val="32"/>
          <w:highlight w:val="none"/>
        </w:rPr>
      </w:pPr>
    </w:p>
    <w:p w14:paraId="076E5589">
      <w:pPr>
        <w:rPr>
          <w:rFonts w:hint="eastAsia" w:ascii="仿宋" w:hAnsi="仿宋" w:eastAsia="仿宋" w:cs="仿宋"/>
          <w:b/>
          <w:spacing w:val="6"/>
          <w:sz w:val="32"/>
          <w:szCs w:val="32"/>
          <w:highlight w:val="none"/>
        </w:rPr>
      </w:pPr>
    </w:p>
    <w:p w14:paraId="5D886163">
      <w:pPr>
        <w:pStyle w:val="23"/>
        <w:rPr>
          <w:rFonts w:hint="eastAsia" w:ascii="仿宋" w:hAnsi="仿宋" w:eastAsia="仿宋" w:cs="仿宋"/>
          <w:highlight w:val="none"/>
        </w:rPr>
      </w:pPr>
    </w:p>
    <w:p w14:paraId="52D852DF">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1E588B5B">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2DFFD402">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C3C7A8F">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470C2DB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2A08BA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E0296D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4A4FA4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A1BF08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D9F39A1">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7A5EEAD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6790FA9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B2A2EC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361A98B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264A015">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297A245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4045AC3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544B41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5F8766E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C5CB7B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9CF021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082497A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52C4F23A">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141D323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1FB2B85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7B5CF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ACC4C2E">
      <w:pPr>
        <w:spacing w:line="360" w:lineRule="auto"/>
        <w:jc w:val="center"/>
        <w:rPr>
          <w:rFonts w:hint="eastAsia" w:ascii="仿宋" w:hAnsi="仿宋" w:eastAsia="仿宋" w:cs="仿宋"/>
          <w:b/>
          <w:bCs/>
          <w:sz w:val="24"/>
          <w:highlight w:val="none"/>
        </w:rPr>
      </w:pPr>
    </w:p>
    <w:p w14:paraId="704A25C9">
      <w:pPr>
        <w:spacing w:line="360" w:lineRule="auto"/>
        <w:rPr>
          <w:rFonts w:hint="eastAsia" w:ascii="仿宋" w:hAnsi="仿宋" w:eastAsia="仿宋" w:cs="仿宋"/>
          <w:b/>
          <w:sz w:val="24"/>
          <w:highlight w:val="none"/>
        </w:rPr>
      </w:pPr>
    </w:p>
    <w:p w14:paraId="3C1861D9">
      <w:pPr>
        <w:spacing w:line="360" w:lineRule="auto"/>
        <w:rPr>
          <w:rFonts w:hint="eastAsia" w:ascii="仿宋" w:hAnsi="仿宋" w:eastAsia="仿宋" w:cs="仿宋"/>
          <w:b/>
          <w:sz w:val="24"/>
          <w:highlight w:val="none"/>
        </w:rPr>
      </w:pPr>
    </w:p>
    <w:p w14:paraId="07677B14">
      <w:pPr>
        <w:spacing w:line="360" w:lineRule="auto"/>
        <w:rPr>
          <w:rFonts w:hint="eastAsia" w:ascii="仿宋" w:hAnsi="仿宋" w:eastAsia="仿宋" w:cs="仿宋"/>
          <w:b/>
          <w:sz w:val="24"/>
          <w:highlight w:val="none"/>
        </w:rPr>
      </w:pPr>
    </w:p>
    <w:p w14:paraId="6C9274F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3B0C942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7300523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4564D8C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6A8E454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1952834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77632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6F0F5DA3">
      <w:pPr>
        <w:widowControl/>
        <w:spacing w:line="360" w:lineRule="auto"/>
        <w:ind w:firstLine="600" w:firstLineChars="200"/>
        <w:jc w:val="left"/>
        <w:rPr>
          <w:rFonts w:hint="eastAsia" w:ascii="仿宋" w:hAnsi="仿宋" w:eastAsia="仿宋" w:cs="仿宋"/>
          <w:sz w:val="30"/>
          <w:szCs w:val="30"/>
          <w:highlight w:val="none"/>
        </w:rPr>
      </w:pPr>
    </w:p>
    <w:p w14:paraId="4FC34FAD">
      <w:pPr>
        <w:spacing w:line="360" w:lineRule="auto"/>
        <w:jc w:val="center"/>
        <w:rPr>
          <w:rFonts w:hint="eastAsia" w:ascii="仿宋" w:hAnsi="仿宋" w:eastAsia="仿宋" w:cs="仿宋"/>
          <w:b/>
          <w:spacing w:val="6"/>
          <w:sz w:val="32"/>
          <w:szCs w:val="32"/>
          <w:highlight w:val="none"/>
        </w:rPr>
      </w:pPr>
    </w:p>
    <w:p w14:paraId="7ABDC6B6">
      <w:pPr>
        <w:spacing w:line="360" w:lineRule="auto"/>
        <w:jc w:val="center"/>
        <w:rPr>
          <w:rFonts w:hint="eastAsia" w:ascii="仿宋" w:hAnsi="仿宋" w:eastAsia="仿宋" w:cs="仿宋"/>
          <w:b/>
          <w:spacing w:val="6"/>
          <w:sz w:val="32"/>
          <w:szCs w:val="32"/>
          <w:highlight w:val="none"/>
        </w:rPr>
      </w:pPr>
    </w:p>
    <w:p w14:paraId="5A18D2CC">
      <w:pPr>
        <w:spacing w:line="360" w:lineRule="auto"/>
        <w:jc w:val="center"/>
        <w:rPr>
          <w:rFonts w:hint="eastAsia" w:ascii="仿宋" w:hAnsi="仿宋" w:eastAsia="仿宋" w:cs="仿宋"/>
          <w:b/>
          <w:spacing w:val="6"/>
          <w:sz w:val="32"/>
          <w:szCs w:val="32"/>
          <w:highlight w:val="none"/>
        </w:rPr>
      </w:pPr>
    </w:p>
    <w:p w14:paraId="42D3B1A9">
      <w:pPr>
        <w:spacing w:line="360" w:lineRule="auto"/>
        <w:jc w:val="center"/>
        <w:rPr>
          <w:rFonts w:hint="eastAsia" w:ascii="仿宋" w:hAnsi="仿宋" w:eastAsia="仿宋" w:cs="仿宋"/>
          <w:b/>
          <w:spacing w:val="6"/>
          <w:sz w:val="32"/>
          <w:szCs w:val="32"/>
          <w:highlight w:val="none"/>
        </w:rPr>
      </w:pPr>
    </w:p>
    <w:p w14:paraId="35603D0B">
      <w:pPr>
        <w:spacing w:line="360" w:lineRule="auto"/>
        <w:jc w:val="center"/>
        <w:rPr>
          <w:rFonts w:hint="eastAsia" w:ascii="仿宋" w:hAnsi="仿宋" w:eastAsia="仿宋" w:cs="仿宋"/>
          <w:b/>
          <w:spacing w:val="6"/>
          <w:sz w:val="32"/>
          <w:szCs w:val="32"/>
          <w:highlight w:val="none"/>
        </w:rPr>
      </w:pPr>
    </w:p>
    <w:p w14:paraId="761F528B">
      <w:pPr>
        <w:spacing w:line="360" w:lineRule="auto"/>
        <w:jc w:val="center"/>
        <w:rPr>
          <w:rFonts w:hint="eastAsia" w:ascii="仿宋" w:hAnsi="仿宋" w:eastAsia="仿宋" w:cs="仿宋"/>
          <w:b/>
          <w:spacing w:val="6"/>
          <w:sz w:val="32"/>
          <w:szCs w:val="32"/>
          <w:highlight w:val="none"/>
        </w:rPr>
      </w:pPr>
    </w:p>
    <w:p w14:paraId="5F2DB37A">
      <w:pPr>
        <w:spacing w:line="360" w:lineRule="auto"/>
        <w:jc w:val="center"/>
        <w:rPr>
          <w:rFonts w:hint="eastAsia" w:ascii="仿宋" w:hAnsi="仿宋" w:eastAsia="仿宋" w:cs="仿宋"/>
          <w:b/>
          <w:spacing w:val="6"/>
          <w:sz w:val="32"/>
          <w:szCs w:val="32"/>
          <w:highlight w:val="none"/>
        </w:rPr>
      </w:pPr>
    </w:p>
    <w:p w14:paraId="2C1DCD68">
      <w:pPr>
        <w:spacing w:line="360" w:lineRule="auto"/>
        <w:jc w:val="center"/>
        <w:rPr>
          <w:rFonts w:hint="eastAsia" w:ascii="仿宋" w:hAnsi="仿宋" w:eastAsia="仿宋" w:cs="仿宋"/>
          <w:b/>
          <w:spacing w:val="6"/>
          <w:sz w:val="32"/>
          <w:szCs w:val="32"/>
          <w:highlight w:val="none"/>
        </w:rPr>
      </w:pPr>
    </w:p>
    <w:p w14:paraId="67DD0DB2">
      <w:pPr>
        <w:spacing w:line="360" w:lineRule="auto"/>
        <w:jc w:val="center"/>
        <w:rPr>
          <w:rFonts w:hint="eastAsia" w:ascii="仿宋" w:hAnsi="仿宋" w:eastAsia="仿宋" w:cs="仿宋"/>
          <w:b/>
          <w:spacing w:val="6"/>
          <w:sz w:val="32"/>
          <w:szCs w:val="32"/>
          <w:highlight w:val="none"/>
        </w:rPr>
      </w:pPr>
    </w:p>
    <w:p w14:paraId="1D4865CC">
      <w:pPr>
        <w:spacing w:line="360" w:lineRule="auto"/>
        <w:jc w:val="center"/>
        <w:rPr>
          <w:rFonts w:hint="eastAsia" w:ascii="仿宋" w:hAnsi="仿宋" w:eastAsia="仿宋" w:cs="仿宋"/>
          <w:b/>
          <w:spacing w:val="6"/>
          <w:sz w:val="32"/>
          <w:szCs w:val="32"/>
          <w:highlight w:val="none"/>
        </w:rPr>
      </w:pPr>
    </w:p>
    <w:p w14:paraId="535C54A2">
      <w:pPr>
        <w:spacing w:line="360" w:lineRule="auto"/>
        <w:jc w:val="center"/>
        <w:rPr>
          <w:rFonts w:hint="eastAsia" w:ascii="仿宋" w:hAnsi="仿宋" w:eastAsia="仿宋" w:cs="仿宋"/>
          <w:b/>
          <w:spacing w:val="6"/>
          <w:sz w:val="32"/>
          <w:szCs w:val="32"/>
          <w:highlight w:val="none"/>
        </w:rPr>
      </w:pPr>
    </w:p>
    <w:p w14:paraId="22A7F593">
      <w:pPr>
        <w:spacing w:line="360" w:lineRule="auto"/>
        <w:jc w:val="left"/>
        <w:rPr>
          <w:rFonts w:hint="eastAsia" w:ascii="仿宋" w:hAnsi="仿宋" w:eastAsia="仿宋" w:cs="仿宋"/>
          <w:b/>
          <w:spacing w:val="6"/>
          <w:sz w:val="32"/>
          <w:szCs w:val="32"/>
          <w:highlight w:val="none"/>
        </w:rPr>
      </w:pPr>
    </w:p>
    <w:p w14:paraId="7E1A0DD5">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附件2：投诉书范本及制作说明</w:t>
      </w:r>
    </w:p>
    <w:p w14:paraId="649A755B">
      <w:pPr>
        <w:spacing w:line="360" w:lineRule="auto"/>
        <w:jc w:val="center"/>
        <w:rPr>
          <w:rFonts w:hint="eastAsia" w:ascii="仿宋" w:hAnsi="仿宋" w:eastAsia="仿宋" w:cs="仿宋"/>
          <w:b/>
          <w:sz w:val="24"/>
          <w:highlight w:val="none"/>
        </w:rPr>
      </w:pPr>
    </w:p>
    <w:p w14:paraId="73B7F396">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4DC40507">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79246F6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459EDA8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DF9FCF7">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5AF21F59">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8AF209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8641FE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6E604FE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F18605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32069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3596EA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112E7E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7B352A8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69381D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1BDA2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5746D5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1F7B083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0E97166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25BEC64E">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4EB115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79450B0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149201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95E52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62897101">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34557B5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5A2FB85">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343FF8C">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1AB7F46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46A28DB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74EACD2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F5A329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1ED2A35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EB2F9EE">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6B3A41B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C64EC29">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531273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5746A7F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61B66DE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6D1E826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2C25628">
      <w:pPr>
        <w:spacing w:line="360" w:lineRule="auto"/>
        <w:rPr>
          <w:rFonts w:hint="eastAsia" w:ascii="仿宋" w:hAnsi="仿宋" w:eastAsia="仿宋" w:cs="仿宋"/>
          <w:b/>
          <w:sz w:val="24"/>
          <w:highlight w:val="none"/>
        </w:rPr>
      </w:pPr>
    </w:p>
    <w:p w14:paraId="63E52296">
      <w:pPr>
        <w:spacing w:line="360" w:lineRule="auto"/>
        <w:rPr>
          <w:rFonts w:hint="eastAsia" w:ascii="仿宋" w:hAnsi="仿宋" w:eastAsia="仿宋" w:cs="仿宋"/>
          <w:b/>
          <w:sz w:val="24"/>
          <w:highlight w:val="none"/>
        </w:rPr>
      </w:pPr>
    </w:p>
    <w:p w14:paraId="56C34A27">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2B8E6352">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A70902B">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743A47F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6F1D6D4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6CE2ACB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452DEF1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3D9C2BFF">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27A413BE">
      <w:pPr>
        <w:spacing w:line="360" w:lineRule="auto"/>
        <w:rPr>
          <w:rFonts w:hint="eastAsia" w:ascii="仿宋" w:hAnsi="仿宋" w:eastAsia="仿宋" w:cs="仿宋"/>
          <w:b/>
          <w:sz w:val="24"/>
          <w:highlight w:val="none"/>
        </w:rPr>
      </w:pPr>
    </w:p>
    <w:p w14:paraId="797F37B1">
      <w:pPr>
        <w:autoSpaceDE w:val="0"/>
        <w:autoSpaceDN w:val="0"/>
        <w:jc w:val="center"/>
        <w:rPr>
          <w:rFonts w:hint="eastAsia" w:ascii="仿宋" w:hAnsi="仿宋" w:eastAsia="仿宋" w:cs="仿宋"/>
          <w:b/>
          <w:spacing w:val="6"/>
          <w:sz w:val="32"/>
          <w:szCs w:val="32"/>
          <w:highlight w:val="none"/>
        </w:rPr>
      </w:pPr>
    </w:p>
    <w:p w14:paraId="2501BB6F">
      <w:pPr>
        <w:autoSpaceDE w:val="0"/>
        <w:autoSpaceDN w:val="0"/>
        <w:jc w:val="center"/>
        <w:rPr>
          <w:rFonts w:hint="eastAsia" w:ascii="仿宋" w:hAnsi="仿宋" w:eastAsia="仿宋" w:cs="仿宋"/>
          <w:b/>
          <w:spacing w:val="6"/>
          <w:sz w:val="32"/>
          <w:szCs w:val="32"/>
          <w:highlight w:val="none"/>
        </w:rPr>
      </w:pPr>
    </w:p>
    <w:p w14:paraId="70119FFC">
      <w:pPr>
        <w:autoSpaceDE w:val="0"/>
        <w:autoSpaceDN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w:t>
      </w:r>
    </w:p>
    <w:p w14:paraId="3ACD8DB4">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业务专用章使用说明函</w:t>
      </w:r>
    </w:p>
    <w:p w14:paraId="53359EFF">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采购人名称</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w:t>
      </w:r>
    </w:p>
    <w:p w14:paraId="5190CE6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u w:val="single"/>
        </w:rPr>
        <w:t xml:space="preserve">(供应商全称)   </w:t>
      </w:r>
      <w:r>
        <w:rPr>
          <w:rFonts w:hint="eastAsia" w:ascii="仿宋" w:hAnsi="仿宋" w:eastAsia="仿宋" w:cs="仿宋"/>
          <w:sz w:val="24"/>
          <w:highlight w:val="none"/>
        </w:rPr>
        <w:t>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项目名称</w:t>
      </w:r>
      <w:r>
        <w:rPr>
          <w:rFonts w:hint="eastAsia" w:ascii="仿宋" w:hAnsi="仿宋" w:eastAsia="仿宋" w:cs="仿宋"/>
          <w:sz w:val="24"/>
          <w:highlight w:val="none"/>
          <w:u w:val="single"/>
          <w:lang w:eastAsia="zh-CN"/>
        </w:rPr>
        <w:t>）</w:t>
      </w:r>
      <w:r>
        <w:rPr>
          <w:rFonts w:hint="eastAsia" w:ascii="仿宋" w:hAnsi="仿宋" w:eastAsia="仿宋" w:cs="仿宋"/>
          <w:kern w:val="0"/>
          <w:sz w:val="24"/>
          <w:highlight w:val="none"/>
          <w:u w:val="single"/>
          <w:lang w:val="zh-CN"/>
        </w:rPr>
        <w:t>【交易编号：</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采购编号</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w:t>
      </w:r>
      <w:r>
        <w:rPr>
          <w:rFonts w:hint="eastAsia" w:ascii="仿宋" w:hAnsi="仿宋" w:eastAsia="仿宋" w:cs="仿宋"/>
          <w:bCs/>
          <w:sz w:val="24"/>
          <w:highlight w:val="none"/>
        </w:rPr>
        <w:t>交易活动中作如下说明：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0169CC8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46EDE0E7">
      <w:pPr>
        <w:spacing w:line="360" w:lineRule="auto"/>
        <w:ind w:firstLine="494"/>
        <w:rPr>
          <w:rFonts w:hint="eastAsia" w:ascii="仿宋" w:hAnsi="仿宋" w:eastAsia="仿宋" w:cs="仿宋"/>
          <w:sz w:val="24"/>
          <w:highlight w:val="none"/>
        </w:rPr>
      </w:pPr>
    </w:p>
    <w:p w14:paraId="6E4291B2">
      <w:pPr>
        <w:spacing w:line="360" w:lineRule="auto"/>
        <w:ind w:firstLine="494"/>
        <w:rPr>
          <w:rFonts w:hint="eastAsia" w:ascii="仿宋" w:hAnsi="仿宋" w:eastAsia="仿宋" w:cs="仿宋"/>
          <w:sz w:val="24"/>
          <w:highlight w:val="none"/>
        </w:rPr>
      </w:pPr>
    </w:p>
    <w:p w14:paraId="54EAB4B3">
      <w:pPr>
        <w:spacing w:line="360" w:lineRule="auto"/>
        <w:ind w:firstLine="494"/>
        <w:rPr>
          <w:rFonts w:hint="eastAsia" w:ascii="仿宋" w:hAnsi="仿宋" w:eastAsia="仿宋" w:cs="仿宋"/>
          <w:sz w:val="24"/>
          <w:highlight w:val="none"/>
        </w:rPr>
      </w:pPr>
    </w:p>
    <w:p w14:paraId="0D060B9A">
      <w:pPr>
        <w:spacing w:line="360" w:lineRule="auto"/>
        <w:ind w:firstLine="494"/>
        <w:rPr>
          <w:rFonts w:hint="eastAsia" w:ascii="仿宋" w:hAnsi="仿宋" w:eastAsia="仿宋" w:cs="仿宋"/>
          <w:sz w:val="24"/>
          <w:highlight w:val="none"/>
        </w:rPr>
      </w:pPr>
    </w:p>
    <w:p w14:paraId="04317290">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响应单位（法定名称章）：</w:t>
      </w:r>
    </w:p>
    <w:p w14:paraId="750147E2">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7A501237">
      <w:pPr>
        <w:rPr>
          <w:rFonts w:hint="eastAsia" w:ascii="仿宋" w:hAnsi="仿宋" w:eastAsia="仿宋" w:cs="仿宋"/>
          <w:sz w:val="24"/>
          <w:highlight w:val="none"/>
        </w:rPr>
      </w:pPr>
      <w:r>
        <w:rPr>
          <w:rFonts w:hint="eastAsia" w:ascii="仿宋" w:hAnsi="仿宋" w:eastAsia="仿宋" w:cs="仿宋"/>
          <w:b/>
          <w:bCs/>
          <w:sz w:val="24"/>
          <w:highlight w:val="none"/>
        </w:rPr>
        <w:t>附：</w:t>
      </w:r>
    </w:p>
    <w:p w14:paraId="5E35A1D7">
      <w:pPr>
        <w:spacing w:line="360" w:lineRule="auto"/>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响应单位法定名称章（印模）                响应单位“XX专用章”（印模）</w:t>
      </w:r>
    </w:p>
    <w:p w14:paraId="2C396E39">
      <w:pPr>
        <w:autoSpaceDE w:val="0"/>
        <w:autoSpaceDN w:val="0"/>
        <w:jc w:val="center"/>
        <w:rPr>
          <w:rFonts w:hint="eastAsia" w:ascii="仿宋" w:hAnsi="仿宋" w:eastAsia="仿宋" w:cs="仿宋"/>
          <w:b/>
          <w:spacing w:val="6"/>
          <w:sz w:val="32"/>
          <w:szCs w:val="32"/>
          <w:highlight w:val="none"/>
        </w:rPr>
      </w:pPr>
    </w:p>
    <w:p w14:paraId="646A7DAD">
      <w:pPr>
        <w:autoSpaceDE w:val="0"/>
        <w:autoSpaceDN w:val="0"/>
        <w:jc w:val="center"/>
        <w:rPr>
          <w:rFonts w:hint="eastAsia" w:ascii="仿宋" w:hAnsi="仿宋" w:eastAsia="仿宋" w:cs="仿宋"/>
          <w:b/>
          <w:spacing w:val="6"/>
          <w:sz w:val="32"/>
          <w:szCs w:val="32"/>
          <w:highlight w:val="none"/>
        </w:rPr>
      </w:pPr>
    </w:p>
    <w:p w14:paraId="641AB108">
      <w:pPr>
        <w:autoSpaceDE w:val="0"/>
        <w:autoSpaceDN w:val="0"/>
        <w:jc w:val="center"/>
        <w:rPr>
          <w:rFonts w:hint="eastAsia" w:ascii="仿宋" w:hAnsi="仿宋" w:eastAsia="仿宋" w:cs="仿宋"/>
          <w:b/>
          <w:spacing w:val="6"/>
          <w:sz w:val="32"/>
          <w:szCs w:val="32"/>
          <w:highlight w:val="none"/>
        </w:rPr>
      </w:pPr>
    </w:p>
    <w:p w14:paraId="615541E9">
      <w:pPr>
        <w:autoSpaceDE w:val="0"/>
        <w:autoSpaceDN w:val="0"/>
        <w:jc w:val="center"/>
        <w:rPr>
          <w:rFonts w:hint="eastAsia" w:ascii="仿宋" w:hAnsi="仿宋" w:eastAsia="仿宋" w:cs="仿宋"/>
          <w:b/>
          <w:spacing w:val="6"/>
          <w:sz w:val="32"/>
          <w:szCs w:val="32"/>
          <w:highlight w:val="none"/>
        </w:rPr>
      </w:pPr>
    </w:p>
    <w:p w14:paraId="200BA8DE">
      <w:pPr>
        <w:autoSpaceDE w:val="0"/>
        <w:autoSpaceDN w:val="0"/>
        <w:jc w:val="center"/>
        <w:rPr>
          <w:rFonts w:hint="eastAsia" w:ascii="仿宋" w:hAnsi="仿宋" w:eastAsia="仿宋" w:cs="仿宋"/>
          <w:b/>
          <w:spacing w:val="6"/>
          <w:sz w:val="32"/>
          <w:szCs w:val="32"/>
          <w:highlight w:val="none"/>
        </w:rPr>
      </w:pPr>
    </w:p>
    <w:p w14:paraId="31A6CD8C">
      <w:pPr>
        <w:autoSpaceDE w:val="0"/>
        <w:autoSpaceDN w:val="0"/>
        <w:jc w:val="center"/>
        <w:rPr>
          <w:rFonts w:hint="eastAsia" w:ascii="仿宋" w:hAnsi="仿宋" w:eastAsia="仿宋" w:cs="仿宋"/>
          <w:b/>
          <w:spacing w:val="6"/>
          <w:sz w:val="32"/>
          <w:szCs w:val="32"/>
          <w:highlight w:val="none"/>
        </w:rPr>
      </w:pPr>
    </w:p>
    <w:p w14:paraId="1DBC00FD">
      <w:pPr>
        <w:autoSpaceDE w:val="0"/>
        <w:autoSpaceDN w:val="0"/>
        <w:jc w:val="center"/>
        <w:rPr>
          <w:rFonts w:hint="eastAsia" w:ascii="仿宋" w:hAnsi="仿宋" w:eastAsia="仿宋" w:cs="仿宋"/>
          <w:b/>
          <w:spacing w:val="6"/>
          <w:sz w:val="32"/>
          <w:szCs w:val="32"/>
          <w:highlight w:val="none"/>
        </w:rPr>
      </w:pPr>
    </w:p>
    <w:p w14:paraId="78FA09CA">
      <w:pPr>
        <w:autoSpaceDE w:val="0"/>
        <w:autoSpaceDN w:val="0"/>
        <w:jc w:val="center"/>
        <w:rPr>
          <w:rFonts w:hint="eastAsia" w:ascii="仿宋" w:hAnsi="仿宋" w:eastAsia="仿宋" w:cs="仿宋"/>
          <w:b/>
          <w:spacing w:val="6"/>
          <w:sz w:val="32"/>
          <w:szCs w:val="32"/>
          <w:highlight w:val="none"/>
        </w:rPr>
      </w:pPr>
    </w:p>
    <w:p w14:paraId="15C10F98">
      <w:pPr>
        <w:autoSpaceDE w:val="0"/>
        <w:autoSpaceDN w:val="0"/>
        <w:jc w:val="center"/>
        <w:rPr>
          <w:rFonts w:hint="eastAsia" w:ascii="仿宋" w:hAnsi="仿宋" w:eastAsia="仿宋" w:cs="仿宋"/>
          <w:b/>
          <w:spacing w:val="6"/>
          <w:sz w:val="32"/>
          <w:szCs w:val="32"/>
          <w:highlight w:val="none"/>
        </w:rPr>
      </w:pPr>
    </w:p>
    <w:p w14:paraId="1D6F1E9E">
      <w:pPr>
        <w:autoSpaceDE w:val="0"/>
        <w:autoSpaceDN w:val="0"/>
        <w:jc w:val="center"/>
        <w:rPr>
          <w:rFonts w:hint="eastAsia" w:ascii="仿宋" w:hAnsi="仿宋" w:eastAsia="仿宋" w:cs="仿宋"/>
          <w:b/>
          <w:spacing w:val="6"/>
          <w:sz w:val="32"/>
          <w:szCs w:val="32"/>
          <w:highlight w:val="none"/>
        </w:rPr>
      </w:pPr>
    </w:p>
    <w:p w14:paraId="62CACF60">
      <w:pPr>
        <w:autoSpaceDE w:val="0"/>
        <w:autoSpaceDN w:val="0"/>
        <w:jc w:val="center"/>
        <w:rPr>
          <w:rFonts w:hint="eastAsia" w:ascii="仿宋" w:hAnsi="仿宋" w:eastAsia="仿宋" w:cs="仿宋"/>
          <w:b/>
          <w:spacing w:val="6"/>
          <w:sz w:val="32"/>
          <w:szCs w:val="32"/>
          <w:highlight w:val="none"/>
        </w:rPr>
      </w:pPr>
    </w:p>
    <w:p w14:paraId="781ADC58">
      <w:pPr>
        <w:autoSpaceDE w:val="0"/>
        <w:autoSpaceDN w:val="0"/>
        <w:jc w:val="center"/>
        <w:rPr>
          <w:rFonts w:hint="eastAsia" w:ascii="仿宋" w:hAnsi="仿宋" w:eastAsia="仿宋" w:cs="仿宋"/>
          <w:b/>
          <w:spacing w:val="6"/>
          <w:sz w:val="32"/>
          <w:szCs w:val="32"/>
          <w:highlight w:val="none"/>
        </w:rPr>
      </w:pPr>
    </w:p>
    <w:p w14:paraId="61EC2E82">
      <w:pPr>
        <w:autoSpaceDE w:val="0"/>
        <w:autoSpaceDN w:val="0"/>
        <w:jc w:val="center"/>
        <w:rPr>
          <w:rFonts w:hint="eastAsia" w:ascii="仿宋" w:hAnsi="仿宋" w:eastAsia="仿宋" w:cs="仿宋"/>
          <w:b/>
          <w:spacing w:val="6"/>
          <w:sz w:val="32"/>
          <w:szCs w:val="32"/>
          <w:highlight w:val="none"/>
        </w:rPr>
      </w:pPr>
    </w:p>
    <w:p w14:paraId="34555A34">
      <w:pPr>
        <w:autoSpaceDE w:val="0"/>
        <w:autoSpaceDN w:val="0"/>
        <w:jc w:val="center"/>
        <w:rPr>
          <w:rFonts w:hint="eastAsia" w:ascii="仿宋" w:hAnsi="仿宋" w:eastAsia="仿宋" w:cs="仿宋"/>
          <w:b/>
          <w:spacing w:val="6"/>
          <w:sz w:val="32"/>
          <w:szCs w:val="32"/>
          <w:highlight w:val="none"/>
        </w:rPr>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pPr>
    </w:p>
    <w:p w14:paraId="396CB5C7">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中小企业声明函</w:t>
      </w:r>
    </w:p>
    <w:p w14:paraId="3606CE18">
      <w:pPr>
        <w:spacing w:line="360" w:lineRule="auto"/>
        <w:jc w:val="center"/>
        <w:rPr>
          <w:rFonts w:hint="eastAsia" w:ascii="仿宋" w:hAnsi="仿宋" w:eastAsia="仿宋" w:cs="仿宋"/>
          <w:sz w:val="24"/>
          <w:highlight w:val="none"/>
          <w:u w:val="single"/>
        </w:rPr>
      </w:pPr>
    </w:p>
    <w:p w14:paraId="4FECE6F2">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3C4EF525">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F92354">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73A0C825">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 xml:space="preserve">（采购文件中明确的所属行业） </w:t>
      </w:r>
      <w:r>
        <w:rPr>
          <w:rFonts w:hint="eastAsia" w:ascii="仿宋" w:hAnsi="仿宋" w:eastAsia="仿宋" w:cs="仿宋"/>
          <w:sz w:val="24"/>
          <w:highlight w:val="none"/>
        </w:rPr>
        <w:t xml:space="preserve">；承建（承接）企业为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78BEFC34">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7D8F475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0E19A45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30D4556">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供应商名称（电子签名）：</w:t>
      </w:r>
    </w:p>
    <w:p w14:paraId="4321BE6E">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42320DC1">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646005C0">
      <w:pPr>
        <w:spacing w:line="360" w:lineRule="auto"/>
        <w:ind w:right="420"/>
        <w:rPr>
          <w:rFonts w:hint="eastAsia" w:ascii="仿宋" w:hAnsi="仿宋" w:eastAsia="仿宋" w:cs="仿宋"/>
          <w:sz w:val="24"/>
          <w:highlight w:val="none"/>
        </w:rPr>
      </w:pPr>
    </w:p>
    <w:p w14:paraId="5E92256B">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p>
    <w:p w14:paraId="080D15A5">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E608A92">
      <w:pPr>
        <w:spacing w:line="360" w:lineRule="auto"/>
        <w:ind w:right="420" w:firstLine="720" w:firstLineChars="3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B606BBE">
      <w:pPr>
        <w:pStyle w:val="23"/>
        <w:rPr>
          <w:rFonts w:hint="eastAsia" w:ascii="仿宋" w:hAnsi="仿宋" w:eastAsia="仿宋" w:cs="仿宋"/>
          <w:sz w:val="24"/>
          <w:highlight w:val="none"/>
        </w:rPr>
      </w:pPr>
    </w:p>
    <w:p w14:paraId="17321B52">
      <w:pPr>
        <w:rPr>
          <w:rFonts w:hint="eastAsia" w:ascii="仿宋" w:hAnsi="仿宋" w:eastAsia="仿宋" w:cs="仿宋"/>
          <w:sz w:val="24"/>
          <w:highlight w:val="none"/>
        </w:rPr>
      </w:pPr>
    </w:p>
    <w:p w14:paraId="10ACA64A">
      <w:pPr>
        <w:pStyle w:val="23"/>
        <w:rPr>
          <w:rFonts w:hint="eastAsia" w:ascii="仿宋" w:hAnsi="仿宋" w:eastAsia="仿宋" w:cs="仿宋"/>
          <w:sz w:val="24"/>
          <w:highlight w:val="none"/>
        </w:rPr>
      </w:pPr>
    </w:p>
    <w:p w14:paraId="067EA85B">
      <w:pPr>
        <w:rPr>
          <w:rFonts w:hint="eastAsia" w:ascii="仿宋" w:hAnsi="仿宋" w:eastAsia="仿宋" w:cs="仿宋"/>
          <w:sz w:val="24"/>
          <w:highlight w:val="none"/>
        </w:rPr>
      </w:pPr>
    </w:p>
    <w:p w14:paraId="55EB9D4A">
      <w:pPr>
        <w:pStyle w:val="23"/>
        <w:rPr>
          <w:rFonts w:hint="eastAsia" w:ascii="仿宋" w:hAnsi="仿宋" w:eastAsia="仿宋" w:cs="仿宋"/>
          <w:sz w:val="24"/>
          <w:highlight w:val="none"/>
        </w:rPr>
      </w:pPr>
    </w:p>
    <w:p w14:paraId="5C32013D">
      <w:pPr>
        <w:rPr>
          <w:rFonts w:hint="eastAsia" w:ascii="仿宋" w:hAnsi="仿宋" w:eastAsia="仿宋" w:cs="仿宋"/>
          <w:sz w:val="24"/>
          <w:highlight w:val="none"/>
        </w:rPr>
      </w:pPr>
    </w:p>
    <w:p w14:paraId="630956DA">
      <w:pPr>
        <w:pStyle w:val="23"/>
        <w:rPr>
          <w:rFonts w:hint="eastAsia" w:ascii="仿宋" w:hAnsi="仿宋" w:eastAsia="仿宋" w:cs="仿宋"/>
          <w:sz w:val="24"/>
          <w:highlight w:val="none"/>
        </w:rPr>
      </w:pPr>
    </w:p>
    <w:p w14:paraId="1B64D046">
      <w:pPr>
        <w:rPr>
          <w:rFonts w:hint="eastAsia" w:ascii="仿宋" w:hAnsi="仿宋" w:eastAsia="仿宋" w:cs="仿宋"/>
          <w:sz w:val="24"/>
          <w:highlight w:val="none"/>
        </w:rPr>
      </w:pPr>
    </w:p>
    <w:p w14:paraId="0021C0BE">
      <w:pPr>
        <w:pStyle w:val="23"/>
        <w:rPr>
          <w:rFonts w:hint="eastAsia" w:ascii="仿宋" w:hAnsi="仿宋" w:eastAsia="仿宋" w:cs="仿宋"/>
          <w:sz w:val="24"/>
          <w:highlight w:val="none"/>
        </w:rPr>
      </w:pPr>
    </w:p>
    <w:p w14:paraId="0AAF35C8">
      <w:pPr>
        <w:rPr>
          <w:rFonts w:hint="eastAsia" w:ascii="仿宋" w:hAnsi="仿宋" w:eastAsia="仿宋" w:cs="仿宋"/>
          <w:sz w:val="24"/>
          <w:highlight w:val="none"/>
        </w:rPr>
      </w:pPr>
    </w:p>
    <w:p w14:paraId="07F7F7AC">
      <w:pPr>
        <w:pStyle w:val="23"/>
        <w:rPr>
          <w:rFonts w:hint="eastAsia" w:ascii="仿宋" w:hAnsi="仿宋" w:eastAsia="仿宋" w:cs="仿宋"/>
          <w:sz w:val="24"/>
          <w:highlight w:val="none"/>
        </w:rPr>
      </w:pPr>
    </w:p>
    <w:p w14:paraId="75366994">
      <w:pPr>
        <w:rPr>
          <w:rFonts w:hint="eastAsia" w:ascii="仿宋" w:hAnsi="仿宋" w:eastAsia="仿宋" w:cs="仿宋"/>
          <w:sz w:val="24"/>
          <w:highlight w:val="none"/>
        </w:rPr>
      </w:pPr>
    </w:p>
    <w:p w14:paraId="3D221756">
      <w:pPr>
        <w:pStyle w:val="23"/>
        <w:rPr>
          <w:rFonts w:hint="eastAsia" w:ascii="仿宋" w:hAnsi="仿宋" w:eastAsia="仿宋" w:cs="仿宋"/>
          <w:sz w:val="24"/>
          <w:highlight w:val="none"/>
        </w:rPr>
      </w:pPr>
    </w:p>
    <w:p w14:paraId="4B6BEF27">
      <w:pPr>
        <w:rPr>
          <w:rFonts w:hint="eastAsia" w:ascii="仿宋" w:hAnsi="仿宋" w:eastAsia="仿宋" w:cs="仿宋"/>
          <w:sz w:val="24"/>
          <w:highlight w:val="none"/>
        </w:rPr>
      </w:pPr>
    </w:p>
    <w:p w14:paraId="0A552FE5">
      <w:pPr>
        <w:pStyle w:val="23"/>
        <w:rPr>
          <w:rFonts w:hint="eastAsia" w:ascii="仿宋" w:hAnsi="仿宋" w:eastAsia="仿宋" w:cs="仿宋"/>
          <w:sz w:val="24"/>
          <w:highlight w:val="none"/>
        </w:rPr>
      </w:pPr>
    </w:p>
    <w:p w14:paraId="2880730C">
      <w:pPr>
        <w:rPr>
          <w:rFonts w:hint="eastAsia" w:ascii="仿宋" w:hAnsi="仿宋" w:eastAsia="仿宋" w:cs="仿宋"/>
          <w:sz w:val="24"/>
          <w:highlight w:val="none"/>
        </w:rPr>
      </w:pPr>
    </w:p>
    <w:p w14:paraId="7B52CF5A">
      <w:pPr>
        <w:pStyle w:val="23"/>
        <w:rPr>
          <w:rFonts w:hint="eastAsia" w:ascii="仿宋" w:hAnsi="仿宋" w:eastAsia="仿宋" w:cs="仿宋"/>
          <w:sz w:val="24"/>
          <w:highlight w:val="none"/>
        </w:rPr>
      </w:pPr>
    </w:p>
    <w:p w14:paraId="384B4D85">
      <w:pPr>
        <w:rPr>
          <w:rFonts w:hint="eastAsia" w:ascii="仿宋" w:hAnsi="仿宋" w:eastAsia="仿宋" w:cs="仿宋"/>
          <w:sz w:val="24"/>
          <w:highlight w:val="none"/>
        </w:rPr>
      </w:pPr>
    </w:p>
    <w:p w14:paraId="17A76652">
      <w:pPr>
        <w:pStyle w:val="23"/>
        <w:rPr>
          <w:rFonts w:hint="eastAsia" w:ascii="仿宋" w:hAnsi="仿宋" w:eastAsia="仿宋" w:cs="仿宋"/>
          <w:sz w:val="24"/>
          <w:highlight w:val="none"/>
        </w:rPr>
      </w:pPr>
    </w:p>
    <w:p w14:paraId="0171565D">
      <w:pPr>
        <w:rPr>
          <w:rFonts w:hint="eastAsia" w:ascii="仿宋" w:hAnsi="仿宋" w:eastAsia="仿宋" w:cs="仿宋"/>
          <w:highlight w:val="none"/>
        </w:rPr>
      </w:pPr>
    </w:p>
    <w:p w14:paraId="18F2E61D">
      <w:pPr>
        <w:rPr>
          <w:rFonts w:hint="eastAsia" w:ascii="仿宋" w:hAnsi="仿宋" w:eastAsia="仿宋" w:cs="仿宋"/>
          <w:sz w:val="24"/>
          <w:highlight w:val="none"/>
        </w:rPr>
      </w:pPr>
    </w:p>
    <w:p w14:paraId="2066FA65">
      <w:pPr>
        <w:pStyle w:val="23"/>
        <w:rPr>
          <w:rFonts w:hint="eastAsia" w:ascii="仿宋" w:hAnsi="仿宋" w:eastAsia="仿宋" w:cs="仿宋"/>
          <w:sz w:val="24"/>
          <w:highlight w:val="none"/>
        </w:rPr>
      </w:pPr>
    </w:p>
    <w:p w14:paraId="28845288">
      <w:pPr>
        <w:rPr>
          <w:rFonts w:hint="eastAsia" w:ascii="仿宋" w:hAnsi="仿宋" w:eastAsia="仿宋" w:cs="仿宋"/>
          <w:sz w:val="24"/>
          <w:highlight w:val="none"/>
        </w:rPr>
      </w:pPr>
    </w:p>
    <w:p w14:paraId="7D3B0216">
      <w:pPr>
        <w:pStyle w:val="23"/>
        <w:rPr>
          <w:rFonts w:hint="eastAsia" w:ascii="仿宋" w:hAnsi="仿宋" w:eastAsia="仿宋" w:cs="仿宋"/>
          <w:sz w:val="24"/>
          <w:highlight w:val="none"/>
        </w:rPr>
      </w:pPr>
    </w:p>
    <w:p w14:paraId="005BB53B">
      <w:pPr>
        <w:rPr>
          <w:rFonts w:hint="eastAsia" w:ascii="仿宋" w:hAnsi="仿宋" w:eastAsia="仿宋" w:cs="仿宋"/>
          <w:sz w:val="24"/>
          <w:highlight w:val="none"/>
        </w:rPr>
      </w:pPr>
    </w:p>
    <w:p w14:paraId="7C78D1A5">
      <w:pPr>
        <w:pStyle w:val="23"/>
        <w:rPr>
          <w:rFonts w:hint="eastAsia" w:ascii="仿宋" w:hAnsi="仿宋" w:eastAsia="仿宋" w:cs="仿宋"/>
          <w:sz w:val="24"/>
          <w:highlight w:val="none"/>
        </w:rPr>
      </w:pPr>
    </w:p>
    <w:p w14:paraId="42F6F38E">
      <w:pPr>
        <w:rPr>
          <w:rFonts w:hint="eastAsia" w:ascii="仿宋" w:hAnsi="仿宋" w:eastAsia="仿宋" w:cs="仿宋"/>
          <w:sz w:val="24"/>
          <w:highlight w:val="none"/>
        </w:rPr>
      </w:pPr>
    </w:p>
    <w:p w14:paraId="6A08D4D9">
      <w:pPr>
        <w:pStyle w:val="23"/>
        <w:rPr>
          <w:rFonts w:hint="eastAsia" w:ascii="仿宋" w:hAnsi="仿宋" w:eastAsia="仿宋" w:cs="仿宋"/>
          <w:sz w:val="24"/>
          <w:highlight w:val="none"/>
        </w:rPr>
      </w:pPr>
    </w:p>
    <w:p w14:paraId="77A15624">
      <w:pPr>
        <w:rPr>
          <w:rFonts w:hint="eastAsia" w:ascii="仿宋" w:hAnsi="仿宋" w:eastAsia="仿宋" w:cs="仿宋"/>
          <w:sz w:val="24"/>
          <w:highlight w:val="none"/>
        </w:rPr>
      </w:pPr>
    </w:p>
    <w:p w14:paraId="4B895A82">
      <w:pPr>
        <w:pStyle w:val="23"/>
        <w:rPr>
          <w:rFonts w:hint="eastAsia" w:ascii="仿宋" w:hAnsi="仿宋" w:eastAsia="仿宋" w:cs="仿宋"/>
          <w:sz w:val="24"/>
          <w:highlight w:val="none"/>
        </w:rPr>
      </w:pPr>
    </w:p>
    <w:p w14:paraId="73DC2AE9">
      <w:pPr>
        <w:spacing w:line="360" w:lineRule="auto"/>
        <w:ind w:left="718" w:leftChars="342" w:firstLine="119" w:firstLineChars="33"/>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w:t>
      </w:r>
      <w:r>
        <w:rPr>
          <w:rFonts w:hint="eastAsia" w:ascii="仿宋" w:hAnsi="仿宋" w:eastAsia="仿宋" w:cs="仿宋"/>
          <w:b/>
          <w:sz w:val="36"/>
          <w:szCs w:val="36"/>
          <w:highlight w:val="none"/>
          <w:lang w:val="en-US" w:eastAsia="zh-CN"/>
        </w:rPr>
        <w:t>六</w:t>
      </w:r>
      <w:r>
        <w:rPr>
          <w:rFonts w:hint="eastAsia" w:ascii="仿宋" w:hAnsi="仿宋" w:eastAsia="仿宋" w:cs="仿宋"/>
          <w:b/>
          <w:sz w:val="36"/>
          <w:szCs w:val="36"/>
          <w:highlight w:val="none"/>
        </w:rPr>
        <w:t>部分 拟签订的合同文本</w:t>
      </w:r>
    </w:p>
    <w:p w14:paraId="278FE26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合同编号：</w:t>
      </w:r>
    </w:p>
    <w:p w14:paraId="4CE245D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签订地点：                                 签订时间：20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E4986D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w:t>
      </w:r>
    </w:p>
    <w:p w14:paraId="5AB1762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甲方（需方）：                                     </w:t>
      </w:r>
    </w:p>
    <w:p w14:paraId="5F8D94D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乙方（供方）：                                     </w:t>
      </w:r>
    </w:p>
    <w:p w14:paraId="49C7E6C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供、需双方根据杭州市萧山区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）交易结果和交易文件的要求，并经双方协调一致，订立本合同。</w:t>
      </w:r>
    </w:p>
    <w:p w14:paraId="2B091E8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一、合同文件：</w:t>
      </w:r>
    </w:p>
    <w:p w14:paraId="42258A5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1、合同条款。</w:t>
      </w:r>
    </w:p>
    <w:p w14:paraId="08ED54B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2、成交通知书。</w:t>
      </w:r>
    </w:p>
    <w:p w14:paraId="390405B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3、交易文件。</w:t>
      </w:r>
    </w:p>
    <w:p w14:paraId="60A4DA5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4、更正公告。</w:t>
      </w:r>
    </w:p>
    <w:p w14:paraId="4210E0D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5、成交单位响应文件。</w:t>
      </w:r>
    </w:p>
    <w:p w14:paraId="5E1DE82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6、其他。</w:t>
      </w:r>
    </w:p>
    <w:p w14:paraId="69FBCC2A">
      <w:pPr>
        <w:spacing w:line="440" w:lineRule="exact"/>
        <w:rPr>
          <w:rFonts w:hint="eastAsia" w:ascii="仿宋" w:hAnsi="仿宋" w:eastAsia="仿宋" w:cs="仿宋"/>
          <w:sz w:val="24"/>
          <w:highlight w:val="none"/>
        </w:rPr>
      </w:pPr>
      <w:r>
        <w:rPr>
          <w:rFonts w:hint="eastAsia" w:ascii="仿宋" w:hAnsi="仿宋" w:eastAsia="仿宋" w:cs="仿宋"/>
          <w:sz w:val="24"/>
          <w:highlight w:val="none"/>
        </w:rPr>
        <w:t>二、合同金额: 本合同金额为(大写)_________________元（￥</w:t>
      </w:r>
      <w:r>
        <w:rPr>
          <w:rFonts w:hint="eastAsia" w:ascii="仿宋" w:hAnsi="仿宋" w:eastAsia="仿宋" w:cs="仿宋"/>
          <w:sz w:val="24"/>
          <w:highlight w:val="none"/>
          <w:u w:val="single"/>
        </w:rPr>
        <w:t>　　　　</w:t>
      </w:r>
      <w:r>
        <w:rPr>
          <w:rFonts w:hint="eastAsia" w:ascii="仿宋" w:hAnsi="仿宋" w:eastAsia="仿宋" w:cs="仿宋"/>
          <w:sz w:val="24"/>
          <w:highlight w:val="none"/>
        </w:rPr>
        <w:t>元）人民币附：</w:t>
      </w:r>
    </w:p>
    <w:p w14:paraId="6ADF47D1">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《项目清单内容》</w:t>
      </w:r>
    </w:p>
    <w:tbl>
      <w:tblPr>
        <w:tblStyle w:val="6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2C8C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EF4943F">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CC7A9D4">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6789214">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3746688D">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7D4D03BB">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091D0EB">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成交总价（元）</w:t>
            </w:r>
          </w:p>
        </w:tc>
      </w:tr>
      <w:tr w14:paraId="6EBA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0EF7CFD0">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C804DE3">
            <w:pPr>
              <w:spacing w:line="440" w:lineRule="exact"/>
              <w:jc w:val="center"/>
              <w:rPr>
                <w:rFonts w:hint="eastAsia" w:ascii="仿宋" w:hAnsi="仿宋" w:eastAsia="仿宋" w:cs="仿宋"/>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C4F1889">
            <w:pPr>
              <w:spacing w:line="440" w:lineRule="exact"/>
              <w:jc w:val="center"/>
              <w:rPr>
                <w:rFonts w:hint="eastAsia" w:ascii="仿宋" w:hAnsi="仿宋" w:eastAsia="仿宋" w:cs="仿宋"/>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7547CBF6">
            <w:pPr>
              <w:spacing w:line="440" w:lineRule="exact"/>
              <w:jc w:val="center"/>
              <w:rPr>
                <w:rFonts w:hint="eastAsia" w:ascii="仿宋" w:hAnsi="仿宋" w:eastAsia="仿宋" w:cs="仿宋"/>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6346F39">
            <w:pPr>
              <w:spacing w:line="440" w:lineRule="exact"/>
              <w:jc w:val="center"/>
              <w:rPr>
                <w:rFonts w:hint="eastAsia" w:ascii="仿宋" w:hAnsi="仿宋" w:eastAsia="仿宋" w:cs="仿宋"/>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4539D65">
            <w:pPr>
              <w:spacing w:line="440" w:lineRule="exact"/>
              <w:jc w:val="center"/>
              <w:rPr>
                <w:rFonts w:hint="eastAsia" w:ascii="仿宋" w:hAnsi="仿宋" w:eastAsia="仿宋" w:cs="仿宋"/>
                <w:sz w:val="24"/>
                <w:highlight w:val="none"/>
              </w:rPr>
            </w:pPr>
          </w:p>
        </w:tc>
      </w:tr>
      <w:tr w14:paraId="2C89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BF75176">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9F4AD66">
            <w:pPr>
              <w:spacing w:line="440" w:lineRule="exact"/>
              <w:jc w:val="center"/>
              <w:rPr>
                <w:rFonts w:hint="eastAsia" w:ascii="仿宋" w:hAnsi="仿宋" w:eastAsia="仿宋" w:cs="仿宋"/>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C5175B">
            <w:pPr>
              <w:spacing w:line="440" w:lineRule="exact"/>
              <w:jc w:val="center"/>
              <w:rPr>
                <w:rFonts w:hint="eastAsia" w:ascii="仿宋" w:hAnsi="仿宋" w:eastAsia="仿宋" w:cs="仿宋"/>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4E53EA01">
            <w:pPr>
              <w:spacing w:line="440" w:lineRule="exact"/>
              <w:jc w:val="center"/>
              <w:rPr>
                <w:rFonts w:hint="eastAsia" w:ascii="仿宋" w:hAnsi="仿宋" w:eastAsia="仿宋" w:cs="仿宋"/>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9E2832E">
            <w:pPr>
              <w:spacing w:line="440" w:lineRule="exact"/>
              <w:jc w:val="center"/>
              <w:rPr>
                <w:rFonts w:hint="eastAsia" w:ascii="仿宋" w:hAnsi="仿宋" w:eastAsia="仿宋" w:cs="仿宋"/>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B99BF3E">
            <w:pPr>
              <w:spacing w:line="440" w:lineRule="exact"/>
              <w:jc w:val="center"/>
              <w:rPr>
                <w:rFonts w:hint="eastAsia" w:ascii="仿宋" w:hAnsi="仿宋" w:eastAsia="仿宋" w:cs="仿宋"/>
                <w:sz w:val="24"/>
                <w:highlight w:val="none"/>
              </w:rPr>
            </w:pPr>
          </w:p>
        </w:tc>
      </w:tr>
    </w:tbl>
    <w:p w14:paraId="10720B7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三、技术资料</w:t>
      </w:r>
    </w:p>
    <w:p w14:paraId="48BD6E9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1.乙方应按交易文件规定的时间向甲方提供有关技术资料。</w:t>
      </w:r>
    </w:p>
    <w:p w14:paraId="6A4A1CE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71372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四、知识产权</w:t>
      </w:r>
    </w:p>
    <w:p w14:paraId="49E05EB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乙方应保证提供服务过程中不会侵犯任何第三方的知识产权。</w:t>
      </w:r>
    </w:p>
    <w:p w14:paraId="41A79F8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五、履约保证金</w:t>
      </w:r>
    </w:p>
    <w:p w14:paraId="100317A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乙方交纳人民币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元作为本合同的履约保证金。</w:t>
      </w:r>
    </w:p>
    <w:p w14:paraId="1F45811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六、转包或分包</w:t>
      </w:r>
    </w:p>
    <w:p w14:paraId="02F0F23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1.本合同范围的服务，应由乙方直接供应，不得转让他人供应；</w:t>
      </w:r>
    </w:p>
    <w:p w14:paraId="536CB59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2.除非得到甲方的书面同意，乙方不得将本合同范围的服务全部或部分分包给他人供应；</w:t>
      </w:r>
    </w:p>
    <w:p w14:paraId="3DA3BB3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3.如有转让和未经甲方同意的分包行为，甲方有权解除合同，没收履约保证金并追究乙方的违约责任。</w:t>
      </w:r>
    </w:p>
    <w:p w14:paraId="5E218AD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七、服务质量保证期和服务质量保证金(选用)</w:t>
      </w:r>
    </w:p>
    <w:p w14:paraId="767B3BF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服务质量保证期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年。（自验收合格之日起计）</w:t>
      </w:r>
    </w:p>
    <w:p w14:paraId="1FCE48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服务质量保证金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p>
    <w:p w14:paraId="60E9AC0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八、合同履行时间、履行方式及履行地点</w:t>
      </w:r>
    </w:p>
    <w:p w14:paraId="687A7F0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履行时间：</w:t>
      </w:r>
    </w:p>
    <w:p w14:paraId="689B778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履行方式：</w:t>
      </w:r>
    </w:p>
    <w:p w14:paraId="6A318F3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履行地点：</w:t>
      </w:r>
    </w:p>
    <w:p w14:paraId="28E1F8F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九、款项支付</w:t>
      </w:r>
    </w:p>
    <w:p w14:paraId="0F959CB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1.付款方式：</w:t>
      </w:r>
    </w:p>
    <w:p w14:paraId="2C1593E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2.合同履行完毕，需方根据合同进行验收，验收合格后供应商按结算要求办理货款结算手续。</w:t>
      </w:r>
    </w:p>
    <w:p w14:paraId="1FC31D4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十、税费</w:t>
      </w:r>
    </w:p>
    <w:p w14:paraId="1380A36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14:paraId="6960C4D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十一、质量保证及后续服务</w:t>
      </w:r>
    </w:p>
    <w:p w14:paraId="42FC52D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乙方应按交易文件规定向甲方提供服务。</w:t>
      </w:r>
    </w:p>
    <w:p w14:paraId="1164EEE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乙方提供的服务成果在服务质量保证期内发生故障，乙方应负责免费提供后续服务。对达不到要求者，根据实际情况，经双方协商，可按以下办法处理：</w:t>
      </w:r>
    </w:p>
    <w:p w14:paraId="4F66EED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⑴重做：由乙方承担所发生的全部费用。</w:t>
      </w:r>
    </w:p>
    <w:p w14:paraId="1DAFAD8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⑵贬值处理：由甲乙双方合议定价。</w:t>
      </w:r>
    </w:p>
    <w:p w14:paraId="7586215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⑶解除合同。</w:t>
      </w:r>
    </w:p>
    <w:p w14:paraId="447CE9D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如在使用过程中发生问题，乙方在接到甲方通知后在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小时内到达甲方现场。</w:t>
      </w:r>
    </w:p>
    <w:p w14:paraId="40C9130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4.在服务质量保证期内，乙方应对出现的质量及安全问题负责处理解决并承担一切费用。</w:t>
      </w:r>
    </w:p>
    <w:p w14:paraId="5518EB2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十二、违约责任</w:t>
      </w:r>
    </w:p>
    <w:p w14:paraId="570FDE0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1.甲方无正当理由拒绝接收服务的，甲方向乙方偿付合同款项百分之</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作为违约金。</w:t>
      </w:r>
    </w:p>
    <w:p w14:paraId="2D5006E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2.甲方无故逾期验收和办理款项支付手续的，甲方应按逾期付款总额每日万分之</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向乙方支付违约金。</w:t>
      </w:r>
    </w:p>
    <w:p w14:paraId="0CA7357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3.乙方未能如期提供服务的，每日向甲方支付合同款项的千分之</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作为违约金。乙方超过约定日期10个工作日仍不能提供服务的，甲方可解除本合同，不予退还履约保证金，如造成甲方损失超过履约保证金的，超出部分由乙方继续承担赔偿责任。</w:t>
      </w:r>
    </w:p>
    <w:p w14:paraId="162B588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4.供方在服务项目验收合格之日起保修期内违反本合同有关承诺保证的，需方将有权不予退还质量保证金，损失赔偿不足部分，由乙方承担赔偿。</w:t>
      </w:r>
    </w:p>
    <w:p w14:paraId="5FDFF1D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5．如发现乙方违反交易文件和合同的有关规定，甲方有权根据约定对乙方进行处罚，并有权提前终止合同。</w:t>
      </w:r>
    </w:p>
    <w:p w14:paraId="70241BB1">
      <w:pPr>
        <w:spacing w:line="44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十三、争议的解决</w:t>
      </w:r>
    </w:p>
    <w:p w14:paraId="1A5BB96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因本合同引起的或与本合同有关的任何争议，合同双方应首先通过协商解决，达成书面协议，如协商不成，可选择下列第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种方式解决。</w:t>
      </w:r>
    </w:p>
    <w:p w14:paraId="63528FF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（1）提请杭州仲裁委员会按照该会仲裁规则进行仲裁，仲裁裁决是终局的，对合同双方均有约束力。</w:t>
      </w:r>
    </w:p>
    <w:p w14:paraId="6AA4498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（2）向有管辖权的人民法院提起诉讼。</w:t>
      </w:r>
    </w:p>
    <w:p w14:paraId="335424A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十四、合同生效</w:t>
      </w:r>
    </w:p>
    <w:p w14:paraId="7B5040D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1.成交供应商持成交通知书作为与需方签订合同的凭证。</w:t>
      </w:r>
    </w:p>
    <w:p w14:paraId="644E0FC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2.本合同经需、供双方法定代表人或其授权委托人签字并加盖单位公章后生效。</w:t>
      </w:r>
    </w:p>
    <w:p w14:paraId="6E416D9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3.本合同一式四份，需、供双方各执二份。</w:t>
      </w:r>
    </w:p>
    <w:p w14:paraId="12E53C18">
      <w:pPr>
        <w:spacing w:line="440" w:lineRule="exact"/>
        <w:ind w:firstLine="480" w:firstLineChars="200"/>
        <w:rPr>
          <w:rFonts w:hint="eastAsia" w:ascii="仿宋" w:hAnsi="仿宋" w:eastAsia="仿宋" w:cs="仿宋"/>
          <w:sz w:val="24"/>
          <w:highlight w:val="none"/>
        </w:rPr>
      </w:pPr>
    </w:p>
    <w:p w14:paraId="77C70D3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需方（盖章）：                     供方（盖章）：</w:t>
      </w:r>
    </w:p>
    <w:p w14:paraId="2CBB85B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                             地址：</w:t>
      </w:r>
    </w:p>
    <w:p w14:paraId="7D21594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法定代表人（或委托代理人）签名：   法定代表人（或委托代理人）签名：</w:t>
      </w:r>
    </w:p>
    <w:p w14:paraId="67E32C8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                         联系电话：</w:t>
      </w:r>
    </w:p>
    <w:p w14:paraId="45C1524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邮政编码：                         邮政编码：</w:t>
      </w:r>
    </w:p>
    <w:p w14:paraId="7906453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开户银行：                         开户银行：</w:t>
      </w:r>
    </w:p>
    <w:p w14:paraId="70448DCA">
      <w:pPr>
        <w:spacing w:line="440" w:lineRule="exact"/>
        <w:ind w:firstLine="480" w:firstLineChars="200"/>
        <w:rPr>
          <w:rFonts w:hint="eastAsia" w:ascii="仿宋" w:hAnsi="仿宋" w:eastAsia="仿宋" w:cs="仿宋"/>
          <w:b/>
          <w:spacing w:val="6"/>
          <w:sz w:val="32"/>
          <w:szCs w:val="32"/>
          <w:highlight w:val="none"/>
        </w:rPr>
      </w:pPr>
      <w:r>
        <w:rPr>
          <w:rFonts w:hint="eastAsia" w:ascii="仿宋" w:hAnsi="仿宋" w:eastAsia="仿宋" w:cs="仿宋"/>
          <w:sz w:val="24"/>
          <w:highlight w:val="none"/>
        </w:rPr>
        <w:t>帐号：                             帐号：</w:t>
      </w:r>
    </w:p>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B50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66A55F9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F81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294A13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B6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F1507B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1B9E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49E70E4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8A4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31391">
    <w:pPr>
      <w:pStyle w:val="40"/>
      <w:framePr w:wrap="around" w:vAnchor="text" w:hAnchor="margin" w:xAlign="right" w:y="1"/>
      <w:rPr>
        <w:rStyle w:val="74"/>
      </w:rPr>
    </w:pPr>
    <w:r>
      <w:fldChar w:fldCharType="begin"/>
    </w:r>
    <w:r>
      <w:rPr>
        <w:rStyle w:val="74"/>
      </w:rPr>
      <w:instrText xml:space="preserve">PAGE  </w:instrText>
    </w:r>
    <w:r>
      <w:fldChar w:fldCharType="end"/>
    </w:r>
  </w:p>
  <w:p w14:paraId="0BB7ACD6">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5BC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571C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24C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bookmarkStart w:id="387" w:name="_Toc91899912"/>
    <w:bookmarkStart w:id="388" w:name="_Toc164085800"/>
    <w:bookmarkStart w:id="389" w:name="_Toc36110187"/>
    <w:bookmarkStart w:id="390" w:name="_Toc131845147"/>
    <w:r>
      <w:rPr>
        <w:rFonts w:hint="eastAsia" w:ascii="仿宋_GB2312" w:eastAsia="仿宋_GB2312"/>
        <w:kern w:val="0"/>
        <w:szCs w:val="21"/>
      </w:rPr>
      <w:t xml:space="preserve"> 页</w:t>
    </w:r>
    <w:bookmarkEnd w:id="387"/>
    <w:bookmarkEnd w:id="388"/>
    <w:bookmarkEnd w:id="389"/>
    <w:bookmarkEnd w:id="3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5A83">
    <w:pPr>
      <w:pStyle w:val="42"/>
      <w:jc w:val="right"/>
      <w:rPr>
        <w:rFonts w:ascii="仿宋_GB2312" w:eastAsia="仿宋_GB2312"/>
        <w:b/>
        <w:i/>
        <w:u w:val="single"/>
      </w:rPr>
    </w:pPr>
    <w:r>
      <w:t></w:t>
    </w:r>
    <w:r>
      <w:rPr>
        <w:rFonts w:hint="eastAsia"/>
      </w:rPr>
      <w:t xml:space="preserve">                                                 交易</w:t>
    </w:r>
    <w:r>
      <w:t>文件</w:t>
    </w:r>
  </w:p>
  <w:p w14:paraId="2C0AEEDA">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6C2A">
    <w:pPr>
      <w:pStyle w:val="42"/>
    </w:pPr>
    <w:r>
      <w:t></w:t>
    </w:r>
    <w:r>
      <w:rPr>
        <w:rFonts w:hint="eastAsia"/>
      </w:rPr>
      <w:t xml:space="preserve">         </w:t>
    </w:r>
  </w:p>
  <w:p w14:paraId="70869AA4">
    <w:pPr>
      <w:pStyle w:val="42"/>
      <w:jc w:val="right"/>
    </w:pP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202D">
    <w:pPr>
      <w:pStyle w:val="42"/>
      <w:jc w:val="right"/>
      <w:rPr>
        <w:rFonts w:ascii="仿宋_GB2312" w:eastAsia="仿宋_GB2312"/>
        <w:b/>
        <w:i/>
        <w:u w:val="single"/>
      </w:rPr>
    </w:pPr>
    <w:r>
      <w:rPr>
        <w:rFonts w:hint="eastAsia"/>
      </w:rPr>
      <w:t xml:space="preserve">                                交易</w:t>
    </w:r>
    <w:r>
      <w:t>文件</w:t>
    </w:r>
  </w:p>
  <w:p w14:paraId="1E0888E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C5664">
    <w:pPr>
      <w:pStyle w:val="42"/>
      <w:jc w:val="right"/>
    </w:pPr>
    <w:r>
      <w:rPr>
        <w:rFonts w:hint="eastAsia"/>
      </w:rPr>
      <w:t xml:space="preserve">                                                                                                        交易</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53F7">
    <w:pPr>
      <w:pStyle w:val="42"/>
      <w:jc w:val="right"/>
      <w:rPr>
        <w:rFonts w:ascii="仿宋_GB2312" w:eastAsia="仿宋_GB2312"/>
        <w:b/>
        <w:i/>
        <w:iCs/>
        <w:u w:val="single"/>
      </w:rPr>
    </w:pPr>
    <w:r>
      <w:t></w:t>
    </w:r>
    <w:r>
      <w:rPr>
        <w:rFonts w:hint="eastAsia"/>
      </w:rPr>
      <w:t>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4113">
    <w:pPr>
      <w:pStyle w:val="42"/>
      <w:jc w:val="right"/>
    </w:pPr>
    <w:r>
      <w:t></w:t>
    </w:r>
    <w:r>
      <w:rPr>
        <w:rFonts w:hint="eastAsia"/>
      </w:rPr>
      <w:t xml:space="preserve">                                             交易</w:t>
    </w:r>
    <w: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025E">
    <w:pPr>
      <w:pStyle w:val="42"/>
      <w:jc w:val="right"/>
      <w:rPr>
        <w:rFonts w:ascii="仿宋_GB2312" w:eastAsia="仿宋_GB2312"/>
        <w:b/>
        <w:i/>
        <w:iCs/>
        <w:u w:val="single"/>
      </w:rPr>
    </w:pPr>
    <w:r>
      <w:t></w:t>
    </w:r>
    <w:r>
      <w:rPr>
        <w:rFonts w:hint="eastAsia"/>
      </w:rPr>
      <w:t>交易</w:t>
    </w:r>
    <w: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D64F">
    <w:pPr>
      <w:pStyle w:val="42"/>
      <w:jc w:val="right"/>
    </w:pPr>
    <w:r>
      <w:t></w:t>
    </w:r>
    <w:r>
      <w:rPr>
        <w:rFonts w:hint="eastAsia"/>
      </w:rPr>
      <w:t xml:space="preserve">                                             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0F36A"/>
    <w:multiLevelType w:val="singleLevel"/>
    <w:tmpl w:val="A570F36A"/>
    <w:lvl w:ilvl="0" w:tentative="0">
      <w:start w:val="4"/>
      <w:numFmt w:val="chineseCounting"/>
      <w:suff w:val="space"/>
      <w:lvlText w:val="第%1部分"/>
      <w:lvlJc w:val="left"/>
      <w:rPr>
        <w:rFonts w:hint="eastAsia"/>
      </w:rPr>
    </w:lvl>
  </w:abstractNum>
  <w:abstractNum w:abstractNumId="1">
    <w:nsid w:val="414BA3EF"/>
    <w:multiLevelType w:val="singleLevel"/>
    <w:tmpl w:val="414BA3E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mFhMzYxYjUzOTY5YzUyNjg4ZmM0MWUzN2Ri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0D"/>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E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6DF"/>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7B"/>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428"/>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0"/>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4F8"/>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93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837"/>
    <w:rsid w:val="010651D9"/>
    <w:rsid w:val="0117101D"/>
    <w:rsid w:val="011F6449"/>
    <w:rsid w:val="01236AFB"/>
    <w:rsid w:val="012F6635"/>
    <w:rsid w:val="019F7441"/>
    <w:rsid w:val="01B37585"/>
    <w:rsid w:val="01D55165"/>
    <w:rsid w:val="01DF6BF8"/>
    <w:rsid w:val="01EC2C57"/>
    <w:rsid w:val="025F0711"/>
    <w:rsid w:val="02660D5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C0C61"/>
    <w:rsid w:val="048F763B"/>
    <w:rsid w:val="049F330E"/>
    <w:rsid w:val="04AA775C"/>
    <w:rsid w:val="04AF1889"/>
    <w:rsid w:val="04D07A99"/>
    <w:rsid w:val="04DD04AE"/>
    <w:rsid w:val="04F66F48"/>
    <w:rsid w:val="051E28A6"/>
    <w:rsid w:val="05251E14"/>
    <w:rsid w:val="052878D5"/>
    <w:rsid w:val="05507636"/>
    <w:rsid w:val="056E7E5D"/>
    <w:rsid w:val="05770BD6"/>
    <w:rsid w:val="05A16594"/>
    <w:rsid w:val="05A7762D"/>
    <w:rsid w:val="05C04DC2"/>
    <w:rsid w:val="05D96713"/>
    <w:rsid w:val="060E5941"/>
    <w:rsid w:val="06110FAF"/>
    <w:rsid w:val="062C0CFF"/>
    <w:rsid w:val="06493CA7"/>
    <w:rsid w:val="06540256"/>
    <w:rsid w:val="065A6178"/>
    <w:rsid w:val="066F1CF3"/>
    <w:rsid w:val="068428E9"/>
    <w:rsid w:val="06930BB8"/>
    <w:rsid w:val="06CD24E2"/>
    <w:rsid w:val="06F83D29"/>
    <w:rsid w:val="07245D42"/>
    <w:rsid w:val="07264C62"/>
    <w:rsid w:val="07295018"/>
    <w:rsid w:val="0779354C"/>
    <w:rsid w:val="07BC1803"/>
    <w:rsid w:val="07E63242"/>
    <w:rsid w:val="08061376"/>
    <w:rsid w:val="08452D77"/>
    <w:rsid w:val="086401F8"/>
    <w:rsid w:val="08646E76"/>
    <w:rsid w:val="08751CAA"/>
    <w:rsid w:val="087E4C40"/>
    <w:rsid w:val="08A871D0"/>
    <w:rsid w:val="08C35CB1"/>
    <w:rsid w:val="08D66AD6"/>
    <w:rsid w:val="08DA33A3"/>
    <w:rsid w:val="08E80F13"/>
    <w:rsid w:val="092F403A"/>
    <w:rsid w:val="09335624"/>
    <w:rsid w:val="0944690F"/>
    <w:rsid w:val="09535675"/>
    <w:rsid w:val="095F057D"/>
    <w:rsid w:val="09642282"/>
    <w:rsid w:val="09685EB4"/>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54519"/>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EB76F2"/>
    <w:rsid w:val="0DF50604"/>
    <w:rsid w:val="0DF702FE"/>
    <w:rsid w:val="0E060E51"/>
    <w:rsid w:val="0E5604B2"/>
    <w:rsid w:val="0E57603F"/>
    <w:rsid w:val="0E6D5D79"/>
    <w:rsid w:val="0E9D0089"/>
    <w:rsid w:val="0EB803EE"/>
    <w:rsid w:val="0EF94D4B"/>
    <w:rsid w:val="0F4958DC"/>
    <w:rsid w:val="0F515DF7"/>
    <w:rsid w:val="0F596BA8"/>
    <w:rsid w:val="0F6248D2"/>
    <w:rsid w:val="0F693536"/>
    <w:rsid w:val="0F7B0511"/>
    <w:rsid w:val="0F7B76D9"/>
    <w:rsid w:val="0F816ACD"/>
    <w:rsid w:val="0F8C408F"/>
    <w:rsid w:val="0F9832DB"/>
    <w:rsid w:val="0FBF3FD2"/>
    <w:rsid w:val="0FBF7FF3"/>
    <w:rsid w:val="0FE167E2"/>
    <w:rsid w:val="10646583"/>
    <w:rsid w:val="107D4B15"/>
    <w:rsid w:val="108A3C80"/>
    <w:rsid w:val="108F6A5A"/>
    <w:rsid w:val="10C26171"/>
    <w:rsid w:val="10C76252"/>
    <w:rsid w:val="10F33360"/>
    <w:rsid w:val="10FB7989"/>
    <w:rsid w:val="10FC16EA"/>
    <w:rsid w:val="110F1D40"/>
    <w:rsid w:val="11266F33"/>
    <w:rsid w:val="118963A1"/>
    <w:rsid w:val="11C56FB5"/>
    <w:rsid w:val="11C6522A"/>
    <w:rsid w:val="11E104CC"/>
    <w:rsid w:val="11E20309"/>
    <w:rsid w:val="120D2FE7"/>
    <w:rsid w:val="12255233"/>
    <w:rsid w:val="12530213"/>
    <w:rsid w:val="127723A9"/>
    <w:rsid w:val="12862074"/>
    <w:rsid w:val="12883966"/>
    <w:rsid w:val="129E45B4"/>
    <w:rsid w:val="12D21374"/>
    <w:rsid w:val="12D81596"/>
    <w:rsid w:val="13072A44"/>
    <w:rsid w:val="131A1B7F"/>
    <w:rsid w:val="133A2B5B"/>
    <w:rsid w:val="135F4BE2"/>
    <w:rsid w:val="139B1A0A"/>
    <w:rsid w:val="139D25C7"/>
    <w:rsid w:val="13BF3CE4"/>
    <w:rsid w:val="141008D8"/>
    <w:rsid w:val="14125FE6"/>
    <w:rsid w:val="14500381"/>
    <w:rsid w:val="146D271E"/>
    <w:rsid w:val="14982588"/>
    <w:rsid w:val="149A5AD9"/>
    <w:rsid w:val="14A7619D"/>
    <w:rsid w:val="14B54F6A"/>
    <w:rsid w:val="150536C3"/>
    <w:rsid w:val="150C1963"/>
    <w:rsid w:val="151447A0"/>
    <w:rsid w:val="151614F8"/>
    <w:rsid w:val="154A6454"/>
    <w:rsid w:val="15762120"/>
    <w:rsid w:val="1629525B"/>
    <w:rsid w:val="167A6D83"/>
    <w:rsid w:val="16A8729C"/>
    <w:rsid w:val="16B33777"/>
    <w:rsid w:val="16BC70A7"/>
    <w:rsid w:val="16C6339E"/>
    <w:rsid w:val="16FE2244"/>
    <w:rsid w:val="1718034D"/>
    <w:rsid w:val="172F2D79"/>
    <w:rsid w:val="17557BEF"/>
    <w:rsid w:val="177E33A3"/>
    <w:rsid w:val="17B17250"/>
    <w:rsid w:val="17C0133A"/>
    <w:rsid w:val="17D349C1"/>
    <w:rsid w:val="17ED27B1"/>
    <w:rsid w:val="1830729E"/>
    <w:rsid w:val="1870062C"/>
    <w:rsid w:val="18817102"/>
    <w:rsid w:val="18830A15"/>
    <w:rsid w:val="18852B28"/>
    <w:rsid w:val="188B5321"/>
    <w:rsid w:val="18D42762"/>
    <w:rsid w:val="18DB1C64"/>
    <w:rsid w:val="18EA25F2"/>
    <w:rsid w:val="19932372"/>
    <w:rsid w:val="19A20DD5"/>
    <w:rsid w:val="19AE03F1"/>
    <w:rsid w:val="19CA28B1"/>
    <w:rsid w:val="1A071A03"/>
    <w:rsid w:val="1A1F16AE"/>
    <w:rsid w:val="1A3B5C77"/>
    <w:rsid w:val="1A984BAD"/>
    <w:rsid w:val="1A9B70A3"/>
    <w:rsid w:val="1AB8220E"/>
    <w:rsid w:val="1AE4166C"/>
    <w:rsid w:val="1AF06CFB"/>
    <w:rsid w:val="1AF11B8D"/>
    <w:rsid w:val="1B11359C"/>
    <w:rsid w:val="1B1D66C9"/>
    <w:rsid w:val="1B2A271F"/>
    <w:rsid w:val="1B530544"/>
    <w:rsid w:val="1B713184"/>
    <w:rsid w:val="1BA209CF"/>
    <w:rsid w:val="1BAA4748"/>
    <w:rsid w:val="1BB4777D"/>
    <w:rsid w:val="1BC85686"/>
    <w:rsid w:val="1BD75AB8"/>
    <w:rsid w:val="1BE22A26"/>
    <w:rsid w:val="1C0459C2"/>
    <w:rsid w:val="1C1B3B4A"/>
    <w:rsid w:val="1C7C11E5"/>
    <w:rsid w:val="1C88086E"/>
    <w:rsid w:val="1C935430"/>
    <w:rsid w:val="1D04432C"/>
    <w:rsid w:val="1D266CE1"/>
    <w:rsid w:val="1D3963AF"/>
    <w:rsid w:val="1D677DFC"/>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0447AC"/>
    <w:rsid w:val="20173E4B"/>
    <w:rsid w:val="202C303D"/>
    <w:rsid w:val="202D1DEC"/>
    <w:rsid w:val="204E48BC"/>
    <w:rsid w:val="20521A22"/>
    <w:rsid w:val="2058377E"/>
    <w:rsid w:val="208921B3"/>
    <w:rsid w:val="20973DEB"/>
    <w:rsid w:val="20B26522"/>
    <w:rsid w:val="20B44310"/>
    <w:rsid w:val="20BE410C"/>
    <w:rsid w:val="211116EB"/>
    <w:rsid w:val="213276BA"/>
    <w:rsid w:val="213C573C"/>
    <w:rsid w:val="216133FC"/>
    <w:rsid w:val="21AB746C"/>
    <w:rsid w:val="21D56769"/>
    <w:rsid w:val="21E52EF3"/>
    <w:rsid w:val="21FB5D7B"/>
    <w:rsid w:val="21FE57EE"/>
    <w:rsid w:val="220B1C3D"/>
    <w:rsid w:val="221D1D20"/>
    <w:rsid w:val="22334A87"/>
    <w:rsid w:val="228B4BE6"/>
    <w:rsid w:val="22BE6801"/>
    <w:rsid w:val="22D374A7"/>
    <w:rsid w:val="22E91FFA"/>
    <w:rsid w:val="233500BF"/>
    <w:rsid w:val="23377FF7"/>
    <w:rsid w:val="23635C0C"/>
    <w:rsid w:val="236B425F"/>
    <w:rsid w:val="23836192"/>
    <w:rsid w:val="23901F29"/>
    <w:rsid w:val="239C0061"/>
    <w:rsid w:val="23B908A4"/>
    <w:rsid w:val="23E95BEF"/>
    <w:rsid w:val="23FD0064"/>
    <w:rsid w:val="243429F5"/>
    <w:rsid w:val="245375B0"/>
    <w:rsid w:val="24642C0A"/>
    <w:rsid w:val="249307DC"/>
    <w:rsid w:val="24B22173"/>
    <w:rsid w:val="24B77ED6"/>
    <w:rsid w:val="24B95AD9"/>
    <w:rsid w:val="24BE24DA"/>
    <w:rsid w:val="24CF5825"/>
    <w:rsid w:val="24D663E6"/>
    <w:rsid w:val="24D77F2B"/>
    <w:rsid w:val="251B2213"/>
    <w:rsid w:val="253E4BFC"/>
    <w:rsid w:val="25441769"/>
    <w:rsid w:val="258B00E2"/>
    <w:rsid w:val="25A917A6"/>
    <w:rsid w:val="25BE27CC"/>
    <w:rsid w:val="25F74A5C"/>
    <w:rsid w:val="2628662C"/>
    <w:rsid w:val="262D45DE"/>
    <w:rsid w:val="2664229F"/>
    <w:rsid w:val="26871DC8"/>
    <w:rsid w:val="26924756"/>
    <w:rsid w:val="26A53EF9"/>
    <w:rsid w:val="26A94201"/>
    <w:rsid w:val="26AC274F"/>
    <w:rsid w:val="26C07C68"/>
    <w:rsid w:val="26F50582"/>
    <w:rsid w:val="27044A29"/>
    <w:rsid w:val="271D34C8"/>
    <w:rsid w:val="276142BF"/>
    <w:rsid w:val="27783712"/>
    <w:rsid w:val="27907362"/>
    <w:rsid w:val="27A10F50"/>
    <w:rsid w:val="28333E1D"/>
    <w:rsid w:val="28454BD6"/>
    <w:rsid w:val="28455253"/>
    <w:rsid w:val="28551971"/>
    <w:rsid w:val="285B1C53"/>
    <w:rsid w:val="289F7086"/>
    <w:rsid w:val="28C32028"/>
    <w:rsid w:val="28CC490F"/>
    <w:rsid w:val="28DE40AA"/>
    <w:rsid w:val="29345E77"/>
    <w:rsid w:val="294C65AD"/>
    <w:rsid w:val="29806583"/>
    <w:rsid w:val="298B3C4C"/>
    <w:rsid w:val="29ED27DF"/>
    <w:rsid w:val="29F26D24"/>
    <w:rsid w:val="2A15033F"/>
    <w:rsid w:val="2A1662C1"/>
    <w:rsid w:val="2A1C7367"/>
    <w:rsid w:val="2A2815FA"/>
    <w:rsid w:val="2A570191"/>
    <w:rsid w:val="2A68414C"/>
    <w:rsid w:val="2A6D6092"/>
    <w:rsid w:val="2A7D76B4"/>
    <w:rsid w:val="2B437463"/>
    <w:rsid w:val="2B7807EE"/>
    <w:rsid w:val="2BA50BF7"/>
    <w:rsid w:val="2BBF00EC"/>
    <w:rsid w:val="2BC37CFD"/>
    <w:rsid w:val="2BC51EC5"/>
    <w:rsid w:val="2BD5237F"/>
    <w:rsid w:val="2BE536CE"/>
    <w:rsid w:val="2BE758D9"/>
    <w:rsid w:val="2C09049E"/>
    <w:rsid w:val="2C0A653C"/>
    <w:rsid w:val="2C191F85"/>
    <w:rsid w:val="2C545AF4"/>
    <w:rsid w:val="2CE530FB"/>
    <w:rsid w:val="2CE82D6F"/>
    <w:rsid w:val="2D343236"/>
    <w:rsid w:val="2DD15014"/>
    <w:rsid w:val="2DF72DE4"/>
    <w:rsid w:val="2E0220AF"/>
    <w:rsid w:val="2E4B082A"/>
    <w:rsid w:val="2E5D4E86"/>
    <w:rsid w:val="2E5D790B"/>
    <w:rsid w:val="2E7C4AFF"/>
    <w:rsid w:val="2E9A3C18"/>
    <w:rsid w:val="2EB15996"/>
    <w:rsid w:val="2EBB0FEE"/>
    <w:rsid w:val="2EC63002"/>
    <w:rsid w:val="2EF75808"/>
    <w:rsid w:val="2F0A6B38"/>
    <w:rsid w:val="2F946CCB"/>
    <w:rsid w:val="2FD25781"/>
    <w:rsid w:val="2FFD7934"/>
    <w:rsid w:val="30733ACD"/>
    <w:rsid w:val="308C3862"/>
    <w:rsid w:val="309379D8"/>
    <w:rsid w:val="30A270F7"/>
    <w:rsid w:val="30AE2056"/>
    <w:rsid w:val="30B40D4C"/>
    <w:rsid w:val="30DF1478"/>
    <w:rsid w:val="30EC586F"/>
    <w:rsid w:val="318D26EA"/>
    <w:rsid w:val="3191056A"/>
    <w:rsid w:val="319C6071"/>
    <w:rsid w:val="31AC537E"/>
    <w:rsid w:val="31E3679B"/>
    <w:rsid w:val="31E732FD"/>
    <w:rsid w:val="324E1A61"/>
    <w:rsid w:val="32517576"/>
    <w:rsid w:val="32A64673"/>
    <w:rsid w:val="32BE5C2C"/>
    <w:rsid w:val="32FB6478"/>
    <w:rsid w:val="33263B3F"/>
    <w:rsid w:val="335039CF"/>
    <w:rsid w:val="336963EB"/>
    <w:rsid w:val="33816EEB"/>
    <w:rsid w:val="339C700A"/>
    <w:rsid w:val="33EB55CD"/>
    <w:rsid w:val="33EC4C02"/>
    <w:rsid w:val="340D2360"/>
    <w:rsid w:val="3410665D"/>
    <w:rsid w:val="34211214"/>
    <w:rsid w:val="342E63AB"/>
    <w:rsid w:val="34950E68"/>
    <w:rsid w:val="34986E94"/>
    <w:rsid w:val="34AF62C9"/>
    <w:rsid w:val="34CB4388"/>
    <w:rsid w:val="34FA6E12"/>
    <w:rsid w:val="35133E3C"/>
    <w:rsid w:val="354D7158"/>
    <w:rsid w:val="358D5588"/>
    <w:rsid w:val="35A30811"/>
    <w:rsid w:val="36160F00"/>
    <w:rsid w:val="363A3B40"/>
    <w:rsid w:val="365302AE"/>
    <w:rsid w:val="36607A0A"/>
    <w:rsid w:val="366E227C"/>
    <w:rsid w:val="366F2E0D"/>
    <w:rsid w:val="367B6A5C"/>
    <w:rsid w:val="36A74ADA"/>
    <w:rsid w:val="36AD3567"/>
    <w:rsid w:val="36AD60D5"/>
    <w:rsid w:val="36B224F9"/>
    <w:rsid w:val="36EC0CC9"/>
    <w:rsid w:val="373F410B"/>
    <w:rsid w:val="37EE7094"/>
    <w:rsid w:val="381C6576"/>
    <w:rsid w:val="38296C89"/>
    <w:rsid w:val="383002EB"/>
    <w:rsid w:val="38434BA9"/>
    <w:rsid w:val="38586797"/>
    <w:rsid w:val="38BC0149"/>
    <w:rsid w:val="38D87D1C"/>
    <w:rsid w:val="39152FAE"/>
    <w:rsid w:val="39636459"/>
    <w:rsid w:val="396B7F6C"/>
    <w:rsid w:val="39B417A9"/>
    <w:rsid w:val="39FC5695"/>
    <w:rsid w:val="3A006D8E"/>
    <w:rsid w:val="3A0E2F1E"/>
    <w:rsid w:val="3A3651E5"/>
    <w:rsid w:val="3A744481"/>
    <w:rsid w:val="3A8C7BEF"/>
    <w:rsid w:val="3A906246"/>
    <w:rsid w:val="3B2349B7"/>
    <w:rsid w:val="3B616CFF"/>
    <w:rsid w:val="3B6259F6"/>
    <w:rsid w:val="3B976654"/>
    <w:rsid w:val="3BC01EFC"/>
    <w:rsid w:val="3BCA786A"/>
    <w:rsid w:val="3BD31E2F"/>
    <w:rsid w:val="3BDE7FDA"/>
    <w:rsid w:val="3BF15831"/>
    <w:rsid w:val="3C105946"/>
    <w:rsid w:val="3C471448"/>
    <w:rsid w:val="3C5F759A"/>
    <w:rsid w:val="3C6C525A"/>
    <w:rsid w:val="3CCE23CB"/>
    <w:rsid w:val="3CD17D17"/>
    <w:rsid w:val="3D3356A3"/>
    <w:rsid w:val="3D3C7F39"/>
    <w:rsid w:val="3D440F09"/>
    <w:rsid w:val="3D4504A0"/>
    <w:rsid w:val="3D8734BB"/>
    <w:rsid w:val="3D9A11D4"/>
    <w:rsid w:val="3DA16D89"/>
    <w:rsid w:val="3DA364BE"/>
    <w:rsid w:val="3DAA55D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A35CC"/>
    <w:rsid w:val="3F1D1096"/>
    <w:rsid w:val="3F2F0234"/>
    <w:rsid w:val="3F6363FE"/>
    <w:rsid w:val="3F756B8F"/>
    <w:rsid w:val="3F95482B"/>
    <w:rsid w:val="4019356B"/>
    <w:rsid w:val="40532E94"/>
    <w:rsid w:val="40592157"/>
    <w:rsid w:val="406E1CAE"/>
    <w:rsid w:val="40A0133A"/>
    <w:rsid w:val="40B25CC9"/>
    <w:rsid w:val="40C31A53"/>
    <w:rsid w:val="40FF545D"/>
    <w:rsid w:val="410067C8"/>
    <w:rsid w:val="41410DFB"/>
    <w:rsid w:val="418F0D2A"/>
    <w:rsid w:val="41B75561"/>
    <w:rsid w:val="41BE7578"/>
    <w:rsid w:val="41D01505"/>
    <w:rsid w:val="4202031E"/>
    <w:rsid w:val="42474939"/>
    <w:rsid w:val="424C3C57"/>
    <w:rsid w:val="42613FF3"/>
    <w:rsid w:val="42660D96"/>
    <w:rsid w:val="428667D2"/>
    <w:rsid w:val="42CD1CE0"/>
    <w:rsid w:val="42E1381E"/>
    <w:rsid w:val="42ED6459"/>
    <w:rsid w:val="42FA2C2B"/>
    <w:rsid w:val="42FE58DD"/>
    <w:rsid w:val="43174B3D"/>
    <w:rsid w:val="434B790E"/>
    <w:rsid w:val="4360274F"/>
    <w:rsid w:val="43977AB6"/>
    <w:rsid w:val="43995767"/>
    <w:rsid w:val="43A3342B"/>
    <w:rsid w:val="43C77C27"/>
    <w:rsid w:val="43DE09EE"/>
    <w:rsid w:val="43E22C6F"/>
    <w:rsid w:val="44002FAD"/>
    <w:rsid w:val="440E5B1C"/>
    <w:rsid w:val="4430589B"/>
    <w:rsid w:val="4456696C"/>
    <w:rsid w:val="449101DD"/>
    <w:rsid w:val="44935E12"/>
    <w:rsid w:val="449D00C3"/>
    <w:rsid w:val="44DE1391"/>
    <w:rsid w:val="451B225C"/>
    <w:rsid w:val="452410C9"/>
    <w:rsid w:val="45317DFB"/>
    <w:rsid w:val="456D3CE4"/>
    <w:rsid w:val="4579042C"/>
    <w:rsid w:val="457F0571"/>
    <w:rsid w:val="45851176"/>
    <w:rsid w:val="45C57CA5"/>
    <w:rsid w:val="45C63B94"/>
    <w:rsid w:val="45FD067A"/>
    <w:rsid w:val="460E7DA5"/>
    <w:rsid w:val="461B5073"/>
    <w:rsid w:val="46422483"/>
    <w:rsid w:val="4659254A"/>
    <w:rsid w:val="465B0637"/>
    <w:rsid w:val="465E3F0D"/>
    <w:rsid w:val="466A16E6"/>
    <w:rsid w:val="4670384E"/>
    <w:rsid w:val="46893F2B"/>
    <w:rsid w:val="46BC6FEE"/>
    <w:rsid w:val="46C4686E"/>
    <w:rsid w:val="477B778F"/>
    <w:rsid w:val="478203EC"/>
    <w:rsid w:val="47B025FA"/>
    <w:rsid w:val="4809698F"/>
    <w:rsid w:val="4811697D"/>
    <w:rsid w:val="485D09A9"/>
    <w:rsid w:val="487A3E25"/>
    <w:rsid w:val="48875109"/>
    <w:rsid w:val="488B5503"/>
    <w:rsid w:val="48937E21"/>
    <w:rsid w:val="489A0361"/>
    <w:rsid w:val="48B94FF3"/>
    <w:rsid w:val="48E37AAB"/>
    <w:rsid w:val="48FD4B4C"/>
    <w:rsid w:val="490A68E0"/>
    <w:rsid w:val="491055FE"/>
    <w:rsid w:val="495F5B3E"/>
    <w:rsid w:val="496F77D7"/>
    <w:rsid w:val="497654FD"/>
    <w:rsid w:val="49B64211"/>
    <w:rsid w:val="49F31EF7"/>
    <w:rsid w:val="49F6167F"/>
    <w:rsid w:val="49FB5410"/>
    <w:rsid w:val="4A064FA0"/>
    <w:rsid w:val="4A16615C"/>
    <w:rsid w:val="4A4424D7"/>
    <w:rsid w:val="4AB82D0F"/>
    <w:rsid w:val="4AEB7664"/>
    <w:rsid w:val="4AFD7C19"/>
    <w:rsid w:val="4B0567D1"/>
    <w:rsid w:val="4B236AAE"/>
    <w:rsid w:val="4B44553C"/>
    <w:rsid w:val="4B707271"/>
    <w:rsid w:val="4B9739F7"/>
    <w:rsid w:val="4BEE2503"/>
    <w:rsid w:val="4C245A30"/>
    <w:rsid w:val="4C676029"/>
    <w:rsid w:val="4C7B78B7"/>
    <w:rsid w:val="4CB6685F"/>
    <w:rsid w:val="4CC367FE"/>
    <w:rsid w:val="4D077F3C"/>
    <w:rsid w:val="4D123355"/>
    <w:rsid w:val="4D2A3B31"/>
    <w:rsid w:val="4D312C52"/>
    <w:rsid w:val="4D4E3F0F"/>
    <w:rsid w:val="4D905305"/>
    <w:rsid w:val="4D964A72"/>
    <w:rsid w:val="4D984C5A"/>
    <w:rsid w:val="4D9C1254"/>
    <w:rsid w:val="4DC4528E"/>
    <w:rsid w:val="4E793892"/>
    <w:rsid w:val="4E800872"/>
    <w:rsid w:val="4EC569ED"/>
    <w:rsid w:val="4ED50EA1"/>
    <w:rsid w:val="4EEC050C"/>
    <w:rsid w:val="4F104EC3"/>
    <w:rsid w:val="4F47354A"/>
    <w:rsid w:val="4F515582"/>
    <w:rsid w:val="4F843BCE"/>
    <w:rsid w:val="4F911C54"/>
    <w:rsid w:val="4FDF63AF"/>
    <w:rsid w:val="4FE625E0"/>
    <w:rsid w:val="5021480F"/>
    <w:rsid w:val="5060304C"/>
    <w:rsid w:val="507B5B3A"/>
    <w:rsid w:val="509512A9"/>
    <w:rsid w:val="50962ECB"/>
    <w:rsid w:val="50A42E38"/>
    <w:rsid w:val="50A4577F"/>
    <w:rsid w:val="50B73D1F"/>
    <w:rsid w:val="50BD5BC9"/>
    <w:rsid w:val="50C11EEE"/>
    <w:rsid w:val="50E97CFC"/>
    <w:rsid w:val="50FA4028"/>
    <w:rsid w:val="510D65B7"/>
    <w:rsid w:val="511157AB"/>
    <w:rsid w:val="5139359C"/>
    <w:rsid w:val="5142540C"/>
    <w:rsid w:val="518832C8"/>
    <w:rsid w:val="51A0432A"/>
    <w:rsid w:val="51A86090"/>
    <w:rsid w:val="51B7396D"/>
    <w:rsid w:val="51E00C7B"/>
    <w:rsid w:val="522E4CC3"/>
    <w:rsid w:val="5244713B"/>
    <w:rsid w:val="52615633"/>
    <w:rsid w:val="52806BE0"/>
    <w:rsid w:val="52977FD4"/>
    <w:rsid w:val="52993584"/>
    <w:rsid w:val="52A05F9E"/>
    <w:rsid w:val="52A25790"/>
    <w:rsid w:val="52A96B6F"/>
    <w:rsid w:val="52B45975"/>
    <w:rsid w:val="52D94AA4"/>
    <w:rsid w:val="52DC16C8"/>
    <w:rsid w:val="52EA3A62"/>
    <w:rsid w:val="52F50BB8"/>
    <w:rsid w:val="53097272"/>
    <w:rsid w:val="53544462"/>
    <w:rsid w:val="5397158E"/>
    <w:rsid w:val="54013861"/>
    <w:rsid w:val="54487265"/>
    <w:rsid w:val="544D6070"/>
    <w:rsid w:val="54586DBB"/>
    <w:rsid w:val="545A1CB8"/>
    <w:rsid w:val="54605E1E"/>
    <w:rsid w:val="546E1AAF"/>
    <w:rsid w:val="54B3506A"/>
    <w:rsid w:val="54CA0D16"/>
    <w:rsid w:val="54DD4057"/>
    <w:rsid w:val="54E7490F"/>
    <w:rsid w:val="54F9696C"/>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2C1E2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23D7B"/>
    <w:rsid w:val="58917D2F"/>
    <w:rsid w:val="5894085C"/>
    <w:rsid w:val="58AE4F0C"/>
    <w:rsid w:val="58B85899"/>
    <w:rsid w:val="58E363A9"/>
    <w:rsid w:val="59294B66"/>
    <w:rsid w:val="595E1678"/>
    <w:rsid w:val="59643FFD"/>
    <w:rsid w:val="596D5BD4"/>
    <w:rsid w:val="5973413F"/>
    <w:rsid w:val="597E3DD8"/>
    <w:rsid w:val="59F04BB4"/>
    <w:rsid w:val="59F80043"/>
    <w:rsid w:val="5A09252F"/>
    <w:rsid w:val="5A0B2778"/>
    <w:rsid w:val="5A2A7C7B"/>
    <w:rsid w:val="5A364E1D"/>
    <w:rsid w:val="5A3E2560"/>
    <w:rsid w:val="5A5D3B6E"/>
    <w:rsid w:val="5A637A76"/>
    <w:rsid w:val="5A6D33BA"/>
    <w:rsid w:val="5A792B1F"/>
    <w:rsid w:val="5A874767"/>
    <w:rsid w:val="5AA85BE2"/>
    <w:rsid w:val="5AAD6F28"/>
    <w:rsid w:val="5ABF7E51"/>
    <w:rsid w:val="5AD14B46"/>
    <w:rsid w:val="5AD63A24"/>
    <w:rsid w:val="5B0D3DD0"/>
    <w:rsid w:val="5B2E1A1D"/>
    <w:rsid w:val="5B843A1C"/>
    <w:rsid w:val="5B873E3F"/>
    <w:rsid w:val="5BC44DEE"/>
    <w:rsid w:val="5BF878A6"/>
    <w:rsid w:val="5C02690E"/>
    <w:rsid w:val="5C196DA7"/>
    <w:rsid w:val="5C2A048C"/>
    <w:rsid w:val="5C80234E"/>
    <w:rsid w:val="5C8A680C"/>
    <w:rsid w:val="5CD42FF1"/>
    <w:rsid w:val="5CDA4186"/>
    <w:rsid w:val="5D0A190B"/>
    <w:rsid w:val="5D0C4701"/>
    <w:rsid w:val="5D0F0395"/>
    <w:rsid w:val="5D221076"/>
    <w:rsid w:val="5D397964"/>
    <w:rsid w:val="5D5A391C"/>
    <w:rsid w:val="5D5F10C0"/>
    <w:rsid w:val="5D891B7B"/>
    <w:rsid w:val="5DAD38EE"/>
    <w:rsid w:val="5E006862"/>
    <w:rsid w:val="5E0207B9"/>
    <w:rsid w:val="5E1834A1"/>
    <w:rsid w:val="5E261785"/>
    <w:rsid w:val="5E4A7017"/>
    <w:rsid w:val="5E501C5A"/>
    <w:rsid w:val="5E552BBA"/>
    <w:rsid w:val="5E611C10"/>
    <w:rsid w:val="5E7A0F3F"/>
    <w:rsid w:val="5E7D301B"/>
    <w:rsid w:val="5EF37C50"/>
    <w:rsid w:val="5EFC7377"/>
    <w:rsid w:val="5F012A1A"/>
    <w:rsid w:val="5F06174D"/>
    <w:rsid w:val="5F3A3602"/>
    <w:rsid w:val="5F45733B"/>
    <w:rsid w:val="5F6277C6"/>
    <w:rsid w:val="5F6D0B1D"/>
    <w:rsid w:val="5F8B1C87"/>
    <w:rsid w:val="5F8D0B82"/>
    <w:rsid w:val="5FCC5339"/>
    <w:rsid w:val="5FE34A5B"/>
    <w:rsid w:val="5FFE1E36"/>
    <w:rsid w:val="60232584"/>
    <w:rsid w:val="605864BB"/>
    <w:rsid w:val="607330CE"/>
    <w:rsid w:val="60825176"/>
    <w:rsid w:val="609A31DA"/>
    <w:rsid w:val="609F2AC4"/>
    <w:rsid w:val="60FA2EE8"/>
    <w:rsid w:val="60FD2770"/>
    <w:rsid w:val="61054A27"/>
    <w:rsid w:val="610A52BC"/>
    <w:rsid w:val="611D2366"/>
    <w:rsid w:val="61421856"/>
    <w:rsid w:val="615227C4"/>
    <w:rsid w:val="61616C24"/>
    <w:rsid w:val="61654E3F"/>
    <w:rsid w:val="6182292A"/>
    <w:rsid w:val="619F7F92"/>
    <w:rsid w:val="61A15272"/>
    <w:rsid w:val="61F94C26"/>
    <w:rsid w:val="62000E56"/>
    <w:rsid w:val="62244584"/>
    <w:rsid w:val="624F3E49"/>
    <w:rsid w:val="62632286"/>
    <w:rsid w:val="62885958"/>
    <w:rsid w:val="62F40B65"/>
    <w:rsid w:val="62FC2CFE"/>
    <w:rsid w:val="63024505"/>
    <w:rsid w:val="63594A6E"/>
    <w:rsid w:val="635B1DB5"/>
    <w:rsid w:val="63711FED"/>
    <w:rsid w:val="63880DDC"/>
    <w:rsid w:val="638D750D"/>
    <w:rsid w:val="63AC6CC0"/>
    <w:rsid w:val="63C948D0"/>
    <w:rsid w:val="64055776"/>
    <w:rsid w:val="64126704"/>
    <w:rsid w:val="64240056"/>
    <w:rsid w:val="643E143A"/>
    <w:rsid w:val="646730DA"/>
    <w:rsid w:val="648B6EEF"/>
    <w:rsid w:val="64C158BF"/>
    <w:rsid w:val="64CE2EAA"/>
    <w:rsid w:val="64FB2EEB"/>
    <w:rsid w:val="653C3090"/>
    <w:rsid w:val="65854376"/>
    <w:rsid w:val="658767BE"/>
    <w:rsid w:val="65892531"/>
    <w:rsid w:val="65DD0843"/>
    <w:rsid w:val="66195831"/>
    <w:rsid w:val="662E75B1"/>
    <w:rsid w:val="66342C2E"/>
    <w:rsid w:val="663E784C"/>
    <w:rsid w:val="66551A38"/>
    <w:rsid w:val="668B6A45"/>
    <w:rsid w:val="672F3F24"/>
    <w:rsid w:val="673B02FF"/>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0C5356"/>
    <w:rsid w:val="6A2406C8"/>
    <w:rsid w:val="6A8F2B46"/>
    <w:rsid w:val="6ADE0BD1"/>
    <w:rsid w:val="6AE96859"/>
    <w:rsid w:val="6B147746"/>
    <w:rsid w:val="6B24787C"/>
    <w:rsid w:val="6B533A81"/>
    <w:rsid w:val="6B573233"/>
    <w:rsid w:val="6B5B6274"/>
    <w:rsid w:val="6B897905"/>
    <w:rsid w:val="6B935D53"/>
    <w:rsid w:val="6BA73DCD"/>
    <w:rsid w:val="6C196F71"/>
    <w:rsid w:val="6C226FCB"/>
    <w:rsid w:val="6C31226F"/>
    <w:rsid w:val="6C552F0B"/>
    <w:rsid w:val="6C755C79"/>
    <w:rsid w:val="6C8C67B7"/>
    <w:rsid w:val="6C9D744C"/>
    <w:rsid w:val="6CBD142A"/>
    <w:rsid w:val="6CDC5FE7"/>
    <w:rsid w:val="6CFE67A8"/>
    <w:rsid w:val="6D167928"/>
    <w:rsid w:val="6D26299B"/>
    <w:rsid w:val="6D4772EC"/>
    <w:rsid w:val="6D7F77EA"/>
    <w:rsid w:val="6D9078AF"/>
    <w:rsid w:val="6DAA3FEF"/>
    <w:rsid w:val="6DC0172B"/>
    <w:rsid w:val="6DCB690C"/>
    <w:rsid w:val="6DD41A5B"/>
    <w:rsid w:val="6DF43C2E"/>
    <w:rsid w:val="6DF51CA3"/>
    <w:rsid w:val="6E00291A"/>
    <w:rsid w:val="6E641B01"/>
    <w:rsid w:val="6E8335BD"/>
    <w:rsid w:val="6E8E12EF"/>
    <w:rsid w:val="6E972936"/>
    <w:rsid w:val="6ED446C5"/>
    <w:rsid w:val="6F2A7D94"/>
    <w:rsid w:val="6F6F613B"/>
    <w:rsid w:val="6F712728"/>
    <w:rsid w:val="6F8331F1"/>
    <w:rsid w:val="6FA0300D"/>
    <w:rsid w:val="6FAE1A09"/>
    <w:rsid w:val="6FD75BF8"/>
    <w:rsid w:val="707723D0"/>
    <w:rsid w:val="70A628A5"/>
    <w:rsid w:val="70F5661B"/>
    <w:rsid w:val="71360107"/>
    <w:rsid w:val="71390A3D"/>
    <w:rsid w:val="713B688E"/>
    <w:rsid w:val="71D43752"/>
    <w:rsid w:val="71F1796A"/>
    <w:rsid w:val="72154626"/>
    <w:rsid w:val="72262B5D"/>
    <w:rsid w:val="72283FF7"/>
    <w:rsid w:val="722E7212"/>
    <w:rsid w:val="723A0474"/>
    <w:rsid w:val="725923E4"/>
    <w:rsid w:val="72864BF7"/>
    <w:rsid w:val="729023FC"/>
    <w:rsid w:val="731A3C82"/>
    <w:rsid w:val="73817B06"/>
    <w:rsid w:val="73BE1EA0"/>
    <w:rsid w:val="73C0646E"/>
    <w:rsid w:val="742222F5"/>
    <w:rsid w:val="74476126"/>
    <w:rsid w:val="74706664"/>
    <w:rsid w:val="747F3682"/>
    <w:rsid w:val="748516A9"/>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E00BF"/>
    <w:rsid w:val="77052AA4"/>
    <w:rsid w:val="77136511"/>
    <w:rsid w:val="77340A39"/>
    <w:rsid w:val="77351FD0"/>
    <w:rsid w:val="77472422"/>
    <w:rsid w:val="777F31F2"/>
    <w:rsid w:val="77805C96"/>
    <w:rsid w:val="77C2583C"/>
    <w:rsid w:val="77D1700D"/>
    <w:rsid w:val="77EC04CC"/>
    <w:rsid w:val="785013C6"/>
    <w:rsid w:val="78775729"/>
    <w:rsid w:val="78A42DB0"/>
    <w:rsid w:val="78A656AB"/>
    <w:rsid w:val="78AB1FA0"/>
    <w:rsid w:val="78B2245C"/>
    <w:rsid w:val="78E172CC"/>
    <w:rsid w:val="78EA1D1F"/>
    <w:rsid w:val="7904172F"/>
    <w:rsid w:val="790F7E27"/>
    <w:rsid w:val="792A231A"/>
    <w:rsid w:val="79316829"/>
    <w:rsid w:val="794A16AB"/>
    <w:rsid w:val="797E66A9"/>
    <w:rsid w:val="79A97383"/>
    <w:rsid w:val="79E27E8B"/>
    <w:rsid w:val="79F850CE"/>
    <w:rsid w:val="79FD443C"/>
    <w:rsid w:val="7A1D1975"/>
    <w:rsid w:val="7A3E5150"/>
    <w:rsid w:val="7A4670D6"/>
    <w:rsid w:val="7A534B63"/>
    <w:rsid w:val="7A574C10"/>
    <w:rsid w:val="7A615382"/>
    <w:rsid w:val="7A67303B"/>
    <w:rsid w:val="7AAB1D04"/>
    <w:rsid w:val="7ABA4368"/>
    <w:rsid w:val="7AD05746"/>
    <w:rsid w:val="7B257FFD"/>
    <w:rsid w:val="7B343476"/>
    <w:rsid w:val="7B547CDB"/>
    <w:rsid w:val="7B5729C6"/>
    <w:rsid w:val="7B5A2978"/>
    <w:rsid w:val="7B5A7E4C"/>
    <w:rsid w:val="7B667AF9"/>
    <w:rsid w:val="7B7468F8"/>
    <w:rsid w:val="7B8D34D7"/>
    <w:rsid w:val="7BA35164"/>
    <w:rsid w:val="7BCB1412"/>
    <w:rsid w:val="7BEE0103"/>
    <w:rsid w:val="7C0A0FE4"/>
    <w:rsid w:val="7C254906"/>
    <w:rsid w:val="7C2C4F72"/>
    <w:rsid w:val="7C590818"/>
    <w:rsid w:val="7C6F4674"/>
    <w:rsid w:val="7C7C10F6"/>
    <w:rsid w:val="7C853BEA"/>
    <w:rsid w:val="7C881368"/>
    <w:rsid w:val="7CBB319E"/>
    <w:rsid w:val="7CE27788"/>
    <w:rsid w:val="7D0357E5"/>
    <w:rsid w:val="7D0C32F1"/>
    <w:rsid w:val="7D0F408D"/>
    <w:rsid w:val="7D491C6C"/>
    <w:rsid w:val="7D5429C0"/>
    <w:rsid w:val="7D6E6D43"/>
    <w:rsid w:val="7D7069D2"/>
    <w:rsid w:val="7DB57A34"/>
    <w:rsid w:val="7DCD229C"/>
    <w:rsid w:val="7DE60973"/>
    <w:rsid w:val="7DEF0916"/>
    <w:rsid w:val="7E1E5218"/>
    <w:rsid w:val="7E3C687A"/>
    <w:rsid w:val="7E9A4E1F"/>
    <w:rsid w:val="7EA7723A"/>
    <w:rsid w:val="7ED03BDE"/>
    <w:rsid w:val="7ED700CE"/>
    <w:rsid w:val="7EF56FBB"/>
    <w:rsid w:val="7F0768EB"/>
    <w:rsid w:val="7F143BEC"/>
    <w:rsid w:val="7F4D213E"/>
    <w:rsid w:val="7F715AF2"/>
    <w:rsid w:val="7F78365F"/>
    <w:rsid w:val="7F886E69"/>
    <w:rsid w:val="7FAE2AE8"/>
    <w:rsid w:val="7FB751B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20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7"/>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next w:val="37"/>
    <w:link w:val="308"/>
    <w:qFormat/>
    <w:uiPriority w:val="0"/>
    <w:pPr>
      <w:spacing w:line="360" w:lineRule="auto"/>
      <w:ind w:firstLine="601"/>
      <w:textAlignment w:val="baseline"/>
    </w:pPr>
    <w:rPr>
      <w:rFonts w:ascii="宋体"/>
      <w:kern w:val="0"/>
      <w:sz w:val="28"/>
      <w:szCs w:val="20"/>
    </w:rPr>
  </w:style>
  <w:style w:type="paragraph" w:customStyle="1" w:styleId="37">
    <w:name w:val="z正文"/>
    <w:basedOn w:val="32"/>
    <w:qFormat/>
    <w:uiPriority w:val="99"/>
    <w:pPr>
      <w:tabs>
        <w:tab w:val="left" w:pos="525"/>
      </w:tabs>
      <w:snapToGrid w:val="0"/>
      <w:spacing w:line="360" w:lineRule="auto"/>
    </w:pPr>
    <w:rPr>
      <w:rFonts w:hAnsi="宋体"/>
      <w:sz w:val="24"/>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w:basedOn w:val="23"/>
    <w:link w:val="321"/>
    <w:qFormat/>
    <w:uiPriority w:val="0"/>
    <w:pPr>
      <w:ind w:firstLine="420"/>
    </w:pPr>
    <w:rPr>
      <w:rFonts w:hAnsi="Calibri" w:cs="Times New Roman"/>
      <w:snapToGrid/>
      <w:szCs w:val="20"/>
    </w:rPr>
  </w:style>
  <w:style w:type="paragraph" w:styleId="63">
    <w:name w:val="Body Text First Indent 2"/>
    <w:basedOn w:val="24"/>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link w:val="3"/>
    <w:qFormat/>
    <w:uiPriority w:val="0"/>
    <w:rPr>
      <w:rFonts w:ascii="仿宋_GB2312" w:hAnsi="仿宋" w:eastAsia="仿宋_GB2312"/>
      <w:b/>
      <w:bCs/>
      <w:sz w:val="32"/>
      <w:szCs w:val="32"/>
      <w:lang w:val="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样式 首行缩进:  2 字符4 + 首行缩进:  2 字符"/>
    <w:basedOn w:val="1"/>
    <w:qFormat/>
    <w:uiPriority w:val="0"/>
    <w:pPr>
      <w:adjustRightInd/>
      <w:spacing w:line="460" w:lineRule="exact"/>
      <w:ind w:firstLine="200" w:firstLineChars="200"/>
    </w:pPr>
    <w:rPr>
      <w:rFonts w:ascii="宋体" w:hAnsi="仿宋_GB2312" w:eastAsiaTheme="minorEastAsia" w:cstheme="minorBidi"/>
    </w:rPr>
  </w:style>
  <w:style w:type="paragraph" w:customStyle="1" w:styleId="965">
    <w:name w:val="表"/>
    <w:basedOn w:val="1"/>
    <w:qFormat/>
    <w:uiPriority w:val="0"/>
    <w:pPr>
      <w:snapToGrid w:val="0"/>
      <w:spacing w:line="280" w:lineRule="exact"/>
      <w:jc w:val="center"/>
    </w:pPr>
    <w:rPr>
      <w:snapToGrid w:val="0"/>
      <w:szCs w:val="18"/>
    </w:rPr>
  </w:style>
  <w:style w:type="table" w:customStyle="1" w:styleId="966">
    <w:name w:val="Table Normal"/>
    <w:unhideWhenUsed/>
    <w:qFormat/>
    <w:uiPriority w:val="0"/>
    <w:tblPr>
      <w:tblCellMar>
        <w:top w:w="0" w:type="dxa"/>
        <w:left w:w="0" w:type="dxa"/>
        <w:bottom w:w="0" w:type="dxa"/>
        <w:right w:w="0" w:type="dxa"/>
      </w:tblCellMar>
    </w:tblPr>
  </w:style>
  <w:style w:type="character" w:customStyle="1" w:styleId="967">
    <w:name w:val="标题 3 Char"/>
    <w:basedOn w:val="71"/>
    <w:link w:val="4"/>
    <w:qFormat/>
    <w:uiPriority w:val="9"/>
    <w:rPr>
      <w:b/>
      <w:bCs/>
      <w:sz w:val="32"/>
      <w:szCs w:val="32"/>
    </w:rPr>
  </w:style>
  <w:style w:type="character" w:customStyle="1" w:styleId="96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CB43D-DF66-4093-99D4-B7989505A3C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49</Pages>
  <Words>19964</Words>
  <Characters>21173</Characters>
  <Lines>189</Lines>
  <Paragraphs>53</Paragraphs>
  <TotalTime>1</TotalTime>
  <ScaleCrop>false</ScaleCrop>
  <LinksUpToDate>false</LinksUpToDate>
  <CharactersWithSpaces>24852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cp:lastModifiedBy>
  <cp:lastPrinted>2021-12-27T03:06:00Z</cp:lastPrinted>
  <dcterms:modified xsi:type="dcterms:W3CDTF">2024-08-13T07:03:30Z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E0A3C3610A3543DE8BE736EB15A5F1C0_13</vt:lpwstr>
  </property>
</Properties>
</file>