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48E40">
      <w:pPr>
        <w:spacing w:line="360" w:lineRule="auto"/>
        <w:jc w:val="center"/>
        <w:rPr>
          <w:rFonts w:hint="eastAsia" w:ascii="仿宋" w:hAnsi="仿宋" w:eastAsia="仿宋" w:cs="仿宋"/>
          <w:b/>
          <w:color w:val="000000"/>
          <w:sz w:val="24"/>
          <w:highlight w:val="none"/>
        </w:rPr>
      </w:pPr>
      <w:bookmarkStart w:id="441" w:name="_GoBack"/>
    </w:p>
    <w:p w14:paraId="448C1C2D">
      <w:pPr>
        <w:spacing w:line="360" w:lineRule="auto"/>
        <w:jc w:val="center"/>
        <w:rPr>
          <w:rFonts w:hint="eastAsia" w:ascii="仿宋" w:hAnsi="仿宋" w:eastAsia="仿宋" w:cs="仿宋"/>
          <w:b/>
          <w:color w:val="000000"/>
          <w:sz w:val="24"/>
          <w:highlight w:val="none"/>
        </w:rPr>
      </w:pPr>
    </w:p>
    <w:p w14:paraId="6FC7A17A">
      <w:pPr>
        <w:adjustRightInd/>
        <w:spacing w:line="360" w:lineRule="auto"/>
        <w:jc w:val="center"/>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进化中心粮库设备采购项目监理</w:t>
      </w:r>
    </w:p>
    <w:p w14:paraId="2EA7CE13">
      <w:pPr>
        <w:adjustRightInd/>
        <w:spacing w:line="360" w:lineRule="auto"/>
        <w:jc w:val="center"/>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交易文件</w:t>
      </w:r>
    </w:p>
    <w:p w14:paraId="483C3066">
      <w:pPr>
        <w:pStyle w:val="21"/>
        <w:spacing w:before="120"/>
        <w:ind w:firstLine="482"/>
        <w:rPr>
          <w:rFonts w:hint="eastAsia" w:ascii="仿宋" w:hAnsi="仿宋" w:eastAsia="仿宋" w:cs="仿宋"/>
          <w:b/>
          <w:bCs/>
          <w:highlight w:val="none"/>
        </w:rPr>
      </w:pPr>
    </w:p>
    <w:p w14:paraId="00A8ECE4">
      <w:pPr>
        <w:snapToGrid w:val="0"/>
        <w:spacing w:line="360" w:lineRule="auto"/>
        <w:jc w:val="center"/>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编号:</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ZJJC-20241204</w:t>
      </w:r>
    </w:p>
    <w:p w14:paraId="618884E5">
      <w:pPr>
        <w:adjustRightInd/>
        <w:spacing w:line="360" w:lineRule="auto"/>
        <w:jc w:val="center"/>
        <w:rPr>
          <w:rFonts w:hint="eastAsia" w:ascii="仿宋" w:hAnsi="仿宋" w:eastAsia="仿宋" w:cs="仿宋"/>
          <w:b/>
          <w:bCs/>
          <w:color w:val="000000"/>
          <w:sz w:val="56"/>
          <w:szCs w:val="72"/>
          <w:highlight w:val="none"/>
        </w:rPr>
      </w:pPr>
    </w:p>
    <w:p w14:paraId="40AB2D3F">
      <w:pPr>
        <w:adjustRightInd/>
        <w:spacing w:line="360" w:lineRule="auto"/>
        <w:jc w:val="center"/>
        <w:rPr>
          <w:rFonts w:hint="eastAsia" w:ascii="仿宋" w:hAnsi="仿宋" w:eastAsia="仿宋" w:cs="仿宋"/>
          <w:b/>
          <w:bCs/>
          <w:color w:val="000000"/>
          <w:sz w:val="56"/>
          <w:szCs w:val="72"/>
          <w:highlight w:val="none"/>
        </w:rPr>
      </w:pPr>
    </w:p>
    <w:p w14:paraId="00D565EC">
      <w:pPr>
        <w:adjustRightInd/>
        <w:spacing w:line="360" w:lineRule="auto"/>
        <w:jc w:val="center"/>
        <w:rPr>
          <w:rFonts w:hint="eastAsia" w:ascii="仿宋" w:hAnsi="仿宋" w:eastAsia="仿宋" w:cs="仿宋"/>
          <w:b/>
          <w:bCs/>
          <w:color w:val="000000"/>
          <w:sz w:val="56"/>
          <w:szCs w:val="72"/>
          <w:highlight w:val="none"/>
        </w:rPr>
      </w:pPr>
    </w:p>
    <w:p w14:paraId="324CADDD">
      <w:pPr>
        <w:adjustRightInd/>
        <w:spacing w:line="360" w:lineRule="auto"/>
        <w:jc w:val="center"/>
        <w:rPr>
          <w:rFonts w:hint="eastAsia" w:ascii="仿宋" w:hAnsi="仿宋" w:eastAsia="仿宋" w:cs="仿宋"/>
          <w:b/>
          <w:bCs/>
          <w:color w:val="000000"/>
          <w:spacing w:val="17"/>
          <w:w w:val="83"/>
          <w:kern w:val="0"/>
          <w:sz w:val="32"/>
          <w:szCs w:val="30"/>
          <w:highlight w:val="none"/>
        </w:rPr>
      </w:pPr>
    </w:p>
    <w:p w14:paraId="6964F53E">
      <w:pPr>
        <w:pStyle w:val="4"/>
        <w:numPr>
          <w:ilvl w:val="2"/>
          <w:numId w:val="0"/>
        </w:numPr>
        <w:ind w:left="180"/>
        <w:rPr>
          <w:rFonts w:hint="eastAsia" w:ascii="仿宋" w:hAnsi="仿宋" w:eastAsia="仿宋" w:cs="仿宋"/>
          <w:highlight w:val="none"/>
        </w:rPr>
      </w:pPr>
    </w:p>
    <w:p w14:paraId="61BD67EC">
      <w:pPr>
        <w:autoSpaceDE w:val="0"/>
        <w:autoSpaceDN w:val="0"/>
        <w:spacing w:line="600" w:lineRule="exact"/>
        <w:ind w:firstLine="393" w:firstLineChars="123"/>
        <w:jc w:val="center"/>
        <w:textAlignment w:val="bottom"/>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杭州萧山粮食购销有限责任公司</w:t>
      </w:r>
    </w:p>
    <w:p w14:paraId="3EDA1C91">
      <w:pPr>
        <w:autoSpaceDE w:val="0"/>
        <w:autoSpaceDN w:val="0"/>
        <w:spacing w:line="600" w:lineRule="exact"/>
        <w:ind w:firstLine="393" w:firstLineChars="123"/>
        <w:jc w:val="center"/>
        <w:textAlignment w:val="bottom"/>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浙江佳诚工程咨询股份有限公司</w:t>
      </w:r>
    </w:p>
    <w:p w14:paraId="177E5A00">
      <w:pPr>
        <w:autoSpaceDE w:val="0"/>
        <w:autoSpaceDN w:val="0"/>
        <w:spacing w:line="600" w:lineRule="exact"/>
        <w:ind w:firstLine="393" w:firstLineChars="123"/>
        <w:jc w:val="center"/>
        <w:textAlignment w:val="bottom"/>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二○二四年十二月</w:t>
      </w:r>
      <w:r>
        <w:rPr>
          <w:rFonts w:hint="eastAsia" w:ascii="仿宋" w:hAnsi="仿宋" w:eastAsia="仿宋" w:cs="仿宋"/>
          <w:color w:val="000000"/>
          <w:sz w:val="32"/>
          <w:szCs w:val="32"/>
          <w:highlight w:val="none"/>
          <w:lang w:val="en-US" w:eastAsia="zh-CN"/>
        </w:rPr>
        <w:t>四</w:t>
      </w:r>
      <w:r>
        <w:rPr>
          <w:rFonts w:hint="eastAsia" w:ascii="仿宋" w:hAnsi="仿宋" w:eastAsia="仿宋" w:cs="仿宋"/>
          <w:color w:val="000000"/>
          <w:sz w:val="32"/>
          <w:szCs w:val="32"/>
          <w:highlight w:val="none"/>
        </w:rPr>
        <w:t>日</w:t>
      </w:r>
    </w:p>
    <w:p w14:paraId="286A64CB">
      <w:pPr>
        <w:spacing w:line="360" w:lineRule="auto"/>
        <w:jc w:val="center"/>
        <w:rPr>
          <w:rFonts w:hint="eastAsia" w:ascii="仿宋" w:hAnsi="仿宋" w:eastAsia="仿宋" w:cs="仿宋"/>
          <w:bCs/>
          <w:color w:val="000000"/>
          <w:sz w:val="32"/>
          <w:szCs w:val="32"/>
          <w:highlight w:val="none"/>
        </w:rPr>
      </w:pPr>
    </w:p>
    <w:p w14:paraId="572016B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bookmarkStart w:id="0" w:name="_Hlt67893495"/>
      <w:bookmarkEnd w:id="0"/>
    </w:p>
    <w:p w14:paraId="63FDF753">
      <w:pPr>
        <w:spacing w:line="360" w:lineRule="auto"/>
        <w:jc w:val="center"/>
        <w:rPr>
          <w:rFonts w:hint="eastAsia" w:ascii="仿宋" w:hAnsi="仿宋" w:eastAsia="仿宋" w:cs="仿宋"/>
          <w:color w:val="000000"/>
          <w:sz w:val="24"/>
          <w:highlight w:val="none"/>
        </w:rPr>
      </w:pPr>
    </w:p>
    <w:p w14:paraId="20748787">
      <w:pPr>
        <w:spacing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目  录</w:t>
      </w:r>
    </w:p>
    <w:p w14:paraId="4EB4597B">
      <w:pPr>
        <w:spacing w:line="360" w:lineRule="auto"/>
        <w:rPr>
          <w:rFonts w:hint="eastAsia" w:ascii="仿宋" w:hAnsi="仿宋" w:eastAsia="仿宋" w:cs="仿宋"/>
          <w:color w:val="000000"/>
          <w:sz w:val="32"/>
          <w:szCs w:val="32"/>
          <w:highlight w:val="none"/>
        </w:rPr>
      </w:pPr>
    </w:p>
    <w:p w14:paraId="7DBD44AE">
      <w:pPr>
        <w:spacing w:line="360" w:lineRule="auto"/>
        <w:rPr>
          <w:rFonts w:hint="eastAsia" w:ascii="仿宋" w:hAnsi="仿宋" w:eastAsia="仿宋" w:cs="仿宋"/>
          <w:color w:val="000000"/>
          <w:sz w:val="32"/>
          <w:szCs w:val="32"/>
          <w:highlight w:val="none"/>
        </w:rPr>
      </w:pPr>
    </w:p>
    <w:p w14:paraId="6390A19B">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第一部分      招标公告</w:t>
      </w:r>
    </w:p>
    <w:p w14:paraId="6181CFFD">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第二部分      投标人须知</w:t>
      </w:r>
    </w:p>
    <w:p w14:paraId="4D8BDD82">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第三部分      采购需求</w:t>
      </w:r>
    </w:p>
    <w:p w14:paraId="131E2F26">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第四部分      评标方法及评分标准</w:t>
      </w:r>
    </w:p>
    <w:p w14:paraId="05D678A1">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第五部分      应提交的有关格式范例</w:t>
      </w:r>
    </w:p>
    <w:p w14:paraId="28F7C9BB">
      <w:pPr>
        <w:spacing w:line="360" w:lineRule="auto"/>
        <w:ind w:firstLine="549" w:firstLineChars="229"/>
        <w:rPr>
          <w:rFonts w:hint="eastAsia" w:ascii="仿宋" w:hAnsi="仿宋" w:eastAsia="仿宋" w:cs="仿宋"/>
          <w:color w:val="000000"/>
          <w:sz w:val="24"/>
          <w:highlight w:val="none"/>
        </w:rPr>
      </w:pPr>
      <w:bookmarkStart w:id="1" w:name="_Hlt91233176"/>
      <w:bookmarkEnd w:id="1"/>
      <w:bookmarkStart w:id="2" w:name="_Toc91899869"/>
    </w:p>
    <w:p w14:paraId="0A9DAC47">
      <w:pPr>
        <w:spacing w:line="360" w:lineRule="auto"/>
        <w:ind w:firstLine="549" w:firstLineChars="229"/>
        <w:rPr>
          <w:rFonts w:hint="eastAsia" w:ascii="仿宋" w:hAnsi="仿宋" w:eastAsia="仿宋" w:cs="仿宋"/>
          <w:color w:val="000000"/>
          <w:sz w:val="24"/>
          <w:highlight w:val="none"/>
        </w:rPr>
      </w:pPr>
    </w:p>
    <w:p w14:paraId="13641CC9">
      <w:pPr>
        <w:spacing w:line="360" w:lineRule="auto"/>
        <w:ind w:firstLine="549" w:firstLineChars="229"/>
        <w:rPr>
          <w:rFonts w:hint="eastAsia" w:ascii="仿宋" w:hAnsi="仿宋" w:eastAsia="仿宋" w:cs="仿宋"/>
          <w:color w:val="000000"/>
          <w:sz w:val="24"/>
          <w:highlight w:val="none"/>
        </w:rPr>
      </w:pPr>
    </w:p>
    <w:p w14:paraId="61449DCC">
      <w:pPr>
        <w:spacing w:line="360" w:lineRule="auto"/>
        <w:ind w:firstLine="549" w:firstLineChars="229"/>
        <w:rPr>
          <w:rFonts w:hint="eastAsia" w:ascii="仿宋" w:hAnsi="仿宋" w:eastAsia="仿宋" w:cs="仿宋"/>
          <w:color w:val="000000"/>
          <w:sz w:val="24"/>
          <w:highlight w:val="none"/>
        </w:rPr>
      </w:pPr>
    </w:p>
    <w:p w14:paraId="58F42199">
      <w:pPr>
        <w:spacing w:line="360" w:lineRule="auto"/>
        <w:ind w:firstLine="549" w:firstLineChars="229"/>
        <w:rPr>
          <w:rFonts w:hint="eastAsia" w:ascii="仿宋" w:hAnsi="仿宋" w:eastAsia="仿宋" w:cs="仿宋"/>
          <w:color w:val="000000"/>
          <w:sz w:val="24"/>
          <w:highlight w:val="none"/>
        </w:rPr>
      </w:pPr>
    </w:p>
    <w:p w14:paraId="2764469F">
      <w:pPr>
        <w:spacing w:line="360" w:lineRule="auto"/>
        <w:ind w:firstLine="549" w:firstLineChars="229"/>
        <w:rPr>
          <w:rFonts w:hint="eastAsia" w:ascii="仿宋" w:hAnsi="仿宋" w:eastAsia="仿宋" w:cs="仿宋"/>
          <w:color w:val="000000"/>
          <w:sz w:val="24"/>
          <w:highlight w:val="none"/>
        </w:rPr>
      </w:pPr>
    </w:p>
    <w:p w14:paraId="5A7C4D48">
      <w:pPr>
        <w:spacing w:line="360" w:lineRule="auto"/>
        <w:ind w:firstLine="549" w:firstLineChars="229"/>
        <w:rPr>
          <w:rFonts w:hint="eastAsia" w:ascii="仿宋" w:hAnsi="仿宋" w:eastAsia="仿宋" w:cs="仿宋"/>
          <w:color w:val="000000"/>
          <w:sz w:val="24"/>
          <w:highlight w:val="none"/>
        </w:rPr>
      </w:pPr>
    </w:p>
    <w:p w14:paraId="6CED88F1">
      <w:pPr>
        <w:spacing w:line="360" w:lineRule="auto"/>
        <w:ind w:firstLine="549" w:firstLineChars="229"/>
        <w:rPr>
          <w:rFonts w:hint="eastAsia" w:ascii="仿宋" w:hAnsi="仿宋" w:eastAsia="仿宋" w:cs="仿宋"/>
          <w:color w:val="000000"/>
          <w:sz w:val="24"/>
          <w:highlight w:val="none"/>
        </w:rPr>
      </w:pPr>
    </w:p>
    <w:p w14:paraId="3E5EB322">
      <w:pPr>
        <w:spacing w:line="360" w:lineRule="auto"/>
        <w:ind w:firstLine="549" w:firstLineChars="229"/>
        <w:rPr>
          <w:rFonts w:hint="eastAsia" w:ascii="仿宋" w:hAnsi="仿宋" w:eastAsia="仿宋" w:cs="仿宋"/>
          <w:color w:val="000000"/>
          <w:sz w:val="24"/>
          <w:highlight w:val="none"/>
        </w:rPr>
      </w:pPr>
    </w:p>
    <w:p w14:paraId="4A3C6286">
      <w:pPr>
        <w:spacing w:line="360" w:lineRule="auto"/>
        <w:ind w:firstLine="549" w:firstLineChars="229"/>
        <w:rPr>
          <w:rFonts w:hint="eastAsia" w:ascii="仿宋" w:hAnsi="仿宋" w:eastAsia="仿宋" w:cs="仿宋"/>
          <w:color w:val="000000"/>
          <w:sz w:val="24"/>
          <w:highlight w:val="none"/>
        </w:rPr>
      </w:pPr>
    </w:p>
    <w:p w14:paraId="7010FAC3">
      <w:pPr>
        <w:spacing w:line="360" w:lineRule="auto"/>
        <w:ind w:firstLine="549" w:firstLineChars="229"/>
        <w:rPr>
          <w:rFonts w:hint="eastAsia" w:ascii="仿宋" w:hAnsi="仿宋" w:eastAsia="仿宋" w:cs="仿宋"/>
          <w:color w:val="000000"/>
          <w:sz w:val="24"/>
          <w:highlight w:val="none"/>
        </w:rPr>
      </w:pPr>
    </w:p>
    <w:p w14:paraId="3C926C9F">
      <w:pPr>
        <w:spacing w:line="360" w:lineRule="auto"/>
        <w:ind w:firstLine="549" w:firstLineChars="229"/>
        <w:rPr>
          <w:rFonts w:hint="eastAsia" w:ascii="仿宋" w:hAnsi="仿宋" w:eastAsia="仿宋" w:cs="仿宋"/>
          <w:color w:val="000000"/>
          <w:sz w:val="24"/>
          <w:highlight w:val="none"/>
        </w:rPr>
      </w:pPr>
    </w:p>
    <w:p w14:paraId="5A5BF115">
      <w:pPr>
        <w:spacing w:line="360" w:lineRule="auto"/>
        <w:ind w:firstLine="549" w:firstLineChars="229"/>
        <w:rPr>
          <w:rFonts w:hint="eastAsia" w:ascii="仿宋" w:hAnsi="仿宋" w:eastAsia="仿宋" w:cs="仿宋"/>
          <w:color w:val="000000"/>
          <w:sz w:val="24"/>
          <w:highlight w:val="none"/>
        </w:rPr>
      </w:pPr>
    </w:p>
    <w:p w14:paraId="4A4CE6BC">
      <w:pPr>
        <w:spacing w:line="360" w:lineRule="auto"/>
        <w:rPr>
          <w:rFonts w:hint="eastAsia" w:ascii="仿宋" w:hAnsi="仿宋" w:eastAsia="仿宋" w:cs="仿宋"/>
          <w:color w:val="000000"/>
          <w:sz w:val="24"/>
          <w:highlight w:val="none"/>
        </w:rPr>
      </w:pPr>
    </w:p>
    <w:p w14:paraId="00ECE0EC">
      <w:pPr>
        <w:pStyle w:val="2"/>
        <w:rPr>
          <w:rFonts w:hint="eastAsia" w:ascii="仿宋" w:hAnsi="仿宋" w:eastAsia="仿宋" w:cs="仿宋"/>
          <w:highlight w:val="none"/>
        </w:rPr>
      </w:pPr>
      <w:bookmarkStart w:id="3" w:name="第一部分"/>
      <w:r>
        <w:rPr>
          <w:rFonts w:hint="eastAsia" w:ascii="仿宋" w:hAnsi="仿宋" w:eastAsia="仿宋" w:cs="仿宋"/>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highlight w:val="none"/>
        </w:rPr>
        <w:t>第一部分 招标公告</w:t>
      </w:r>
    </w:p>
    <w:p w14:paraId="28A5E4F7">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highlight w:val="none"/>
        </w:rPr>
      </w:pPr>
      <w:r>
        <w:rPr>
          <w:rFonts w:hint="eastAsia" w:ascii="仿宋" w:hAnsi="仿宋" w:eastAsia="仿宋" w:cs="仿宋"/>
          <w:sz w:val="24"/>
          <w:szCs w:val="28"/>
          <w:highlight w:val="none"/>
        </w:rPr>
        <w:t>项目概况：</w:t>
      </w:r>
    </w:p>
    <w:p w14:paraId="6570A564">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highlight w:val="none"/>
        </w:rPr>
      </w:pPr>
      <w:r>
        <w:rPr>
          <w:rFonts w:hint="eastAsia" w:ascii="仿宋" w:hAnsi="仿宋" w:eastAsia="仿宋" w:cs="仿宋"/>
          <w:sz w:val="24"/>
          <w:highlight w:val="none"/>
          <w:u w:val="single"/>
        </w:rPr>
        <w:t>进化中心粮库设备采购项目监理</w:t>
      </w:r>
      <w:r>
        <w:rPr>
          <w:rFonts w:hint="eastAsia" w:ascii="仿宋" w:hAnsi="仿宋" w:eastAsia="仿宋" w:cs="仿宋"/>
          <w:sz w:val="24"/>
          <w:highlight w:val="none"/>
        </w:rPr>
        <w:t>的潜在投标人应在乐采云平台（www.lecaiyun.com）（</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"https://www.zcygov.cn/）获取（下载）招标文件，并于2023年" </w:instrText>
      </w:r>
      <w:r>
        <w:rPr>
          <w:rFonts w:hint="eastAsia" w:ascii="仿宋" w:hAnsi="仿宋" w:eastAsia="仿宋" w:cs="仿宋"/>
          <w:highlight w:val="none"/>
        </w:rPr>
        <w:fldChar w:fldCharType="separate"/>
      </w:r>
      <w:r>
        <w:rPr>
          <w:rStyle w:val="20"/>
          <w:rFonts w:hint="eastAsia" w:ascii="仿宋" w:hAnsi="仿宋" w:eastAsia="仿宋" w:cs="仿宋"/>
          <w:sz w:val="24"/>
          <w:szCs w:val="24"/>
          <w:highlight w:val="none"/>
        </w:rPr>
        <w:t>获取（下载）交易文件，并于2024年</w:t>
      </w:r>
      <w:r>
        <w:rPr>
          <w:rStyle w:val="20"/>
          <w:rFonts w:hint="eastAsia" w:ascii="仿宋" w:hAnsi="仿宋" w:eastAsia="仿宋" w:cs="仿宋"/>
          <w:sz w:val="24"/>
          <w:szCs w:val="24"/>
          <w:highlight w:val="none"/>
        </w:rPr>
        <w:fldChar w:fldCharType="end"/>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bCs/>
          <w:sz w:val="24"/>
          <w:highlight w:val="none"/>
          <w:u w:val="single"/>
        </w:rPr>
        <w:t>点30分00秒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递交投标文件。</w:t>
      </w:r>
    </w:p>
    <w:p w14:paraId="46101D7A">
      <w:pPr>
        <w:pStyle w:val="3"/>
        <w:numPr>
          <w:ilvl w:val="0"/>
          <w:numId w:val="0"/>
        </w:numPr>
        <w:rPr>
          <w:rFonts w:hint="eastAsia" w:ascii="仿宋" w:hAnsi="仿宋" w:eastAsia="仿宋" w:cs="仿宋"/>
          <w:sz w:val="24"/>
          <w:szCs w:val="28"/>
          <w:highlight w:val="none"/>
        </w:rPr>
      </w:pPr>
      <w:bookmarkStart w:id="11" w:name="_Toc35393790"/>
      <w:bookmarkStart w:id="12" w:name="_Toc28359002"/>
      <w:bookmarkStart w:id="13" w:name="_Toc28359079"/>
      <w:bookmarkStart w:id="14" w:name="_Toc35393621"/>
      <w:bookmarkStart w:id="15" w:name="_Hlk24379207"/>
      <w:r>
        <w:rPr>
          <w:rFonts w:hint="eastAsia" w:ascii="仿宋" w:hAnsi="仿宋" w:eastAsia="仿宋" w:cs="仿宋"/>
          <w:sz w:val="24"/>
          <w:szCs w:val="28"/>
          <w:highlight w:val="none"/>
        </w:rPr>
        <w:t>一、项目基本情况</w:t>
      </w:r>
      <w:bookmarkEnd w:id="11"/>
      <w:bookmarkEnd w:id="12"/>
      <w:bookmarkEnd w:id="13"/>
      <w:bookmarkEnd w:id="14"/>
    </w:p>
    <w:p w14:paraId="65B98F38">
      <w:pPr>
        <w:spacing w:line="360" w:lineRule="auto"/>
        <w:ind w:left="420" w:leftChars="200"/>
        <w:jc w:val="left"/>
        <w:rPr>
          <w:rFonts w:hint="eastAsia" w:ascii="仿宋" w:hAnsi="仿宋" w:eastAsia="仿宋" w:cs="仿宋"/>
          <w:bCs/>
          <w:sz w:val="24"/>
          <w:highlight w:val="none"/>
        </w:rPr>
      </w:pPr>
      <w:r>
        <w:rPr>
          <w:rFonts w:hint="eastAsia" w:ascii="仿宋" w:hAnsi="仿宋" w:eastAsia="仿宋" w:cs="仿宋"/>
          <w:sz w:val="24"/>
          <w:szCs w:val="28"/>
          <w:highlight w:val="none"/>
        </w:rPr>
        <w:t>项目编号：</w:t>
      </w:r>
      <w:r>
        <w:rPr>
          <w:rFonts w:hint="eastAsia" w:ascii="仿宋" w:hAnsi="仿宋" w:eastAsia="仿宋" w:cs="仿宋"/>
          <w:bCs/>
          <w:sz w:val="24"/>
          <w:highlight w:val="none"/>
        </w:rPr>
        <w:t>ZJJC-20241204</w:t>
      </w:r>
    </w:p>
    <w:p w14:paraId="465DDFD5">
      <w:pPr>
        <w:spacing w:line="360" w:lineRule="auto"/>
        <w:ind w:left="420" w:leftChars="200"/>
        <w:jc w:val="left"/>
        <w:rPr>
          <w:rFonts w:hint="eastAsia" w:ascii="仿宋" w:hAnsi="仿宋" w:eastAsia="仿宋" w:cs="仿宋"/>
          <w:sz w:val="24"/>
          <w:highlight w:val="none"/>
          <w:u w:val="single"/>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u w:val="single"/>
        </w:rPr>
        <w:t>进化中心粮库设备采购项目监理</w:t>
      </w:r>
    </w:p>
    <w:p w14:paraId="2763329F">
      <w:pPr>
        <w:spacing w:line="360" w:lineRule="auto"/>
        <w:ind w:left="420" w:left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预算金额：45万元</w:t>
      </w:r>
      <w:r>
        <w:rPr>
          <w:rFonts w:hint="eastAsia" w:ascii="仿宋" w:hAnsi="仿宋" w:eastAsia="仿宋" w:cs="仿宋"/>
          <w:color w:val="000000" w:themeColor="text1"/>
          <w:sz w:val="24"/>
          <w:szCs w:val="28"/>
          <w:highlight w:val="none"/>
          <w14:textFill>
            <w14:solidFill>
              <w14:schemeClr w14:val="tx1"/>
            </w14:solidFill>
          </w14:textFill>
        </w:rPr>
        <w:t>（按设备采购金额4500万元的1%估算）</w:t>
      </w:r>
    </w:p>
    <w:p w14:paraId="11F7FE1D">
      <w:pPr>
        <w:spacing w:line="360" w:lineRule="auto"/>
        <w:ind w:left="420" w:left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最高限价：45万元</w:t>
      </w:r>
    </w:p>
    <w:p w14:paraId="08A76C25">
      <w:pPr>
        <w:spacing w:line="360" w:lineRule="auto"/>
        <w:ind w:left="420" w:left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采购需求：具体要求详见招标需求</w:t>
      </w:r>
    </w:p>
    <w:p w14:paraId="38CD5AED">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 xml:space="preserve">本项目是否接受联合体投标：（ ）是；（√）否 </w:t>
      </w:r>
    </w:p>
    <w:p w14:paraId="7E5B6137">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二、</w:t>
      </w:r>
      <w:bookmarkStart w:id="16" w:name="_Toc28359003"/>
      <w:bookmarkStart w:id="17" w:name="_Toc35393791"/>
      <w:bookmarkStart w:id="18" w:name="_Toc28359080"/>
      <w:bookmarkStart w:id="19" w:name="_Toc35393622"/>
      <w:r>
        <w:rPr>
          <w:rFonts w:hint="eastAsia" w:ascii="仿宋" w:hAnsi="仿宋" w:eastAsia="仿宋" w:cs="仿宋"/>
          <w:sz w:val="24"/>
          <w:szCs w:val="28"/>
          <w:highlight w:val="none"/>
        </w:rPr>
        <w:t>申请人的资格要求：</w:t>
      </w:r>
      <w:bookmarkEnd w:id="16"/>
      <w:bookmarkEnd w:id="17"/>
      <w:bookmarkEnd w:id="18"/>
      <w:bookmarkEnd w:id="19"/>
    </w:p>
    <w:p w14:paraId="14DDD887">
      <w:pPr>
        <w:spacing w:line="360" w:lineRule="auto"/>
        <w:ind w:firstLine="480"/>
        <w:rPr>
          <w:rFonts w:hint="eastAsia" w:ascii="仿宋" w:hAnsi="仿宋" w:eastAsia="仿宋" w:cs="仿宋"/>
          <w:snapToGrid w:val="0"/>
          <w:kern w:val="28"/>
          <w:sz w:val="24"/>
          <w:szCs w:val="20"/>
          <w:highlight w:val="none"/>
        </w:rPr>
      </w:pPr>
      <w:bookmarkStart w:id="20" w:name="_Toc28359004"/>
      <w:bookmarkStart w:id="21" w:name="_Toc35393623"/>
      <w:bookmarkStart w:id="22" w:name="_Toc28359081"/>
      <w:bookmarkStart w:id="23" w:name="_Toc35393792"/>
      <w:r>
        <w:rPr>
          <w:rFonts w:hint="eastAsia" w:ascii="仿宋" w:hAnsi="仿宋" w:eastAsia="仿宋" w:cs="仿宋"/>
          <w:sz w:val="24"/>
          <w:highlight w:val="none"/>
        </w:rPr>
        <w:t>1.</w:t>
      </w:r>
      <w:r>
        <w:rPr>
          <w:rFonts w:hint="eastAsia" w:ascii="仿宋" w:hAnsi="仿宋" w:eastAsia="仿宋"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12FF905">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2.落实政府采购政策需满足的资格要求：</w:t>
      </w:r>
      <w:r>
        <w:rPr>
          <w:rFonts w:hint="eastAsia" w:ascii="仿宋" w:hAnsi="仿宋" w:eastAsia="仿宋" w:cs="仿宋"/>
          <w:snapToGrid w:val="0"/>
          <w:kern w:val="28"/>
          <w:sz w:val="24"/>
          <w:szCs w:val="20"/>
          <w:highlight w:val="none"/>
        </w:rPr>
        <w:t>工程监理机电安装工程专业乙级及以上资质.</w:t>
      </w:r>
    </w:p>
    <w:p w14:paraId="26174205">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三、获取</w:t>
      </w:r>
      <w:bookmarkEnd w:id="20"/>
      <w:bookmarkEnd w:id="21"/>
      <w:bookmarkEnd w:id="22"/>
      <w:bookmarkEnd w:id="23"/>
      <w:r>
        <w:rPr>
          <w:rFonts w:hint="eastAsia" w:ascii="仿宋" w:hAnsi="仿宋" w:eastAsia="仿宋" w:cs="仿宋"/>
          <w:sz w:val="24"/>
          <w:szCs w:val="28"/>
          <w:highlight w:val="none"/>
        </w:rPr>
        <w:t>交易文件</w:t>
      </w:r>
    </w:p>
    <w:p w14:paraId="08E6C87E">
      <w:pPr>
        <w:spacing w:line="360" w:lineRule="auto"/>
        <w:ind w:firstLine="482" w:firstLineChars="200"/>
        <w:rPr>
          <w:rFonts w:hint="eastAsia" w:ascii="仿宋" w:hAnsi="仿宋" w:eastAsia="仿宋" w:cs="仿宋"/>
          <w:sz w:val="24"/>
          <w:highlight w:val="none"/>
        </w:rPr>
      </w:pPr>
      <w:bookmarkStart w:id="24" w:name="_Toc28359005"/>
      <w:bookmarkStart w:id="25" w:name="_Toc28359082"/>
      <w:bookmarkStart w:id="26" w:name="_Toc35393793"/>
      <w:bookmarkStart w:id="27"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2024年12月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F88032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乐采云平台（www.lecaiyun.com） </w:t>
      </w:r>
    </w:p>
    <w:p w14:paraId="02507A7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供应商登录乐采云平台（www.lecaiyun.com）在线申请获取交易文件（进入“项目采购”应用，在获取交易文件菜单中选择项目，申请获取交易文件）。 </w:t>
      </w:r>
    </w:p>
    <w:p w14:paraId="6EB2DEE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6DBED13C">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四、提交投标文件</w:t>
      </w:r>
      <w:bookmarkEnd w:id="24"/>
      <w:bookmarkEnd w:id="25"/>
      <w:r>
        <w:rPr>
          <w:rFonts w:hint="eastAsia" w:ascii="仿宋" w:hAnsi="仿宋" w:eastAsia="仿宋" w:cs="仿宋"/>
          <w:sz w:val="24"/>
          <w:szCs w:val="28"/>
          <w:highlight w:val="none"/>
        </w:rPr>
        <w:t>截止时间、开标时间和地点</w:t>
      </w:r>
      <w:bookmarkEnd w:id="26"/>
      <w:bookmarkEnd w:id="27"/>
    </w:p>
    <w:p w14:paraId="74DE822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2024年12月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点30分00秒</w:t>
      </w:r>
      <w:r>
        <w:rPr>
          <w:rFonts w:hint="eastAsia" w:ascii="仿宋" w:hAnsi="仿宋" w:eastAsia="仿宋" w:cs="仿宋"/>
          <w:sz w:val="24"/>
          <w:highlight w:val="none"/>
        </w:rPr>
        <w:t>（北京时间）</w:t>
      </w:r>
    </w:p>
    <w:p w14:paraId="6497A51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2024年12月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点30分00秒</w:t>
      </w:r>
    </w:p>
    <w:p w14:paraId="46FDC3A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开标（网址）：</w:t>
      </w:r>
      <w:r>
        <w:rPr>
          <w:rFonts w:hint="eastAsia" w:ascii="仿宋" w:hAnsi="仿宋" w:eastAsia="仿宋" w:cs="仿宋"/>
          <w:sz w:val="24"/>
          <w:highlight w:val="none"/>
        </w:rPr>
        <w:t>乐采云平台（www.lecaiyun.com）</w:t>
      </w:r>
    </w:p>
    <w:p w14:paraId="214790E1">
      <w:pPr>
        <w:pStyle w:val="3"/>
        <w:numPr>
          <w:ilvl w:val="0"/>
          <w:numId w:val="0"/>
        </w:numPr>
        <w:rPr>
          <w:rFonts w:hint="eastAsia" w:ascii="仿宋" w:hAnsi="仿宋" w:eastAsia="仿宋" w:cs="仿宋"/>
          <w:sz w:val="24"/>
          <w:szCs w:val="28"/>
          <w:highlight w:val="none"/>
        </w:rPr>
      </w:pPr>
      <w:bookmarkStart w:id="28" w:name="_Toc28359007"/>
      <w:bookmarkStart w:id="29" w:name="_Toc35393794"/>
      <w:bookmarkStart w:id="30" w:name="_Toc28359084"/>
      <w:bookmarkStart w:id="31" w:name="_Toc35393625"/>
      <w:r>
        <w:rPr>
          <w:rFonts w:hint="eastAsia" w:ascii="仿宋" w:hAnsi="仿宋" w:eastAsia="仿宋" w:cs="仿宋"/>
          <w:sz w:val="24"/>
          <w:szCs w:val="28"/>
          <w:highlight w:val="none"/>
        </w:rPr>
        <w:t>五、公告期限</w:t>
      </w:r>
      <w:bookmarkEnd w:id="28"/>
      <w:bookmarkEnd w:id="29"/>
      <w:bookmarkEnd w:id="30"/>
      <w:bookmarkEnd w:id="31"/>
    </w:p>
    <w:p w14:paraId="0ECE334F">
      <w:pPr>
        <w:spacing w:line="360" w:lineRule="auto"/>
        <w:ind w:firstLine="480" w:firstLineChars="200"/>
        <w:jc w:val="left"/>
        <w:rPr>
          <w:rFonts w:hint="eastAsia" w:ascii="仿宋" w:hAnsi="仿宋" w:eastAsia="仿宋" w:cs="仿宋"/>
          <w:kern w:val="0"/>
          <w:sz w:val="24"/>
          <w:szCs w:val="28"/>
          <w:highlight w:val="none"/>
        </w:rPr>
      </w:pPr>
      <w:r>
        <w:rPr>
          <w:rFonts w:hint="eastAsia" w:ascii="仿宋" w:hAnsi="仿宋" w:eastAsia="仿宋" w:cs="仿宋"/>
          <w:kern w:val="0"/>
          <w:sz w:val="24"/>
          <w:szCs w:val="28"/>
          <w:highlight w:val="none"/>
        </w:rPr>
        <w:t>自本公告发布之日起5个工作日。</w:t>
      </w:r>
    </w:p>
    <w:p w14:paraId="1EEC9B6E">
      <w:pPr>
        <w:pStyle w:val="3"/>
        <w:numPr>
          <w:ilvl w:val="0"/>
          <w:numId w:val="0"/>
        </w:numPr>
        <w:rPr>
          <w:rFonts w:hint="eastAsia" w:ascii="仿宋" w:hAnsi="仿宋" w:eastAsia="仿宋" w:cs="仿宋"/>
          <w:sz w:val="24"/>
          <w:szCs w:val="28"/>
          <w:highlight w:val="none"/>
        </w:rPr>
      </w:pPr>
      <w:bookmarkStart w:id="32" w:name="_Toc35393795"/>
      <w:bookmarkStart w:id="33" w:name="_Toc35393626"/>
      <w:r>
        <w:rPr>
          <w:rFonts w:hint="eastAsia" w:ascii="仿宋" w:hAnsi="仿宋" w:eastAsia="仿宋" w:cs="仿宋"/>
          <w:sz w:val="24"/>
          <w:szCs w:val="28"/>
          <w:highlight w:val="none"/>
        </w:rPr>
        <w:t>六、其他补充事宜</w:t>
      </w:r>
      <w:bookmarkEnd w:id="32"/>
      <w:bookmarkEnd w:id="33"/>
    </w:p>
    <w:p w14:paraId="33DED8AE">
      <w:pPr>
        <w:spacing w:line="360" w:lineRule="auto"/>
        <w:ind w:firstLine="480" w:firstLineChars="200"/>
        <w:rPr>
          <w:rFonts w:hint="eastAsia" w:ascii="仿宋" w:hAnsi="仿宋" w:eastAsia="仿宋" w:cs="仿宋"/>
          <w:sz w:val="24"/>
          <w:highlight w:val="none"/>
        </w:rPr>
      </w:pPr>
      <w:bookmarkStart w:id="34" w:name="_Toc35393796"/>
      <w:bookmarkStart w:id="35" w:name="_Toc35393627"/>
      <w:bookmarkStart w:id="36" w:name="_Toc28359085"/>
      <w:bookmarkStart w:id="37" w:name="_Toc28359008"/>
      <w:r>
        <w:rPr>
          <w:rFonts w:hint="eastAsia" w:ascii="仿宋" w:hAnsi="仿宋" w:eastAsia="仿宋" w:cs="仿宋"/>
          <w:sz w:val="24"/>
          <w:highlight w:val="none"/>
        </w:rPr>
        <w:t>1.供应商认为交易文件使自己的权益受到损害的，可以自获取交易文件之日或者交易文件公告期限届满之日（公告期限届满后获取交易文件的，以公告期限届满之日为准）起3  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FE51CA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其他事项：电子交易（招响应）的说明：①电子交易：本项目以数据电文形式，依托“乐采云平台（www.lecaiyun.com）”进行交易活动，不接受纸质响应文件；②交易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③交易（采购）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采购人、采购机构将依托乐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乐采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采购云平台”上传递交的响应文件无法按时解密，供应商递交了备份响应文件的，以备份响应文件为依据，否则视为响应文件撤回。通过“采购云平台”上传递交的响应文件已按时解密的，备份响应文件自动失效。供应商仅提交备份响应文件，未在电子交易平台传输递交响应文件的，交易无效；⑩具体操作指南：详见乐采云平台“服务中心-帮助文档-项目采购-操作流程-电子招响应-采购项目电子交易管理操作指南-供应商”。</w:t>
      </w:r>
    </w:p>
    <w:p w14:paraId="39F1C91D">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七、对本次招标提出询问，请按以下方式联系。</w:t>
      </w:r>
      <w:bookmarkEnd w:id="34"/>
      <w:bookmarkEnd w:id="35"/>
      <w:bookmarkEnd w:id="36"/>
      <w:bookmarkEnd w:id="37"/>
    </w:p>
    <w:p w14:paraId="0F0E0458">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采购人名称：杭州萧山粮食购销有限责任公司</w:t>
      </w:r>
    </w:p>
    <w:p w14:paraId="1774015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联系人姓名：许先生             电话：0571-82625665</w:t>
      </w:r>
    </w:p>
    <w:p w14:paraId="5D2AEABE">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代理机构名称：浙江佳诚工程咨询股份有限公司</w:t>
      </w:r>
    </w:p>
    <w:p w14:paraId="2968B3D0">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代理机构项目联系人姓名：翁林刚  电话：18106537718</w:t>
      </w:r>
    </w:p>
    <w:p w14:paraId="17F05140">
      <w:pPr>
        <w:spacing w:line="360" w:lineRule="auto"/>
        <w:jc w:val="left"/>
        <w:rPr>
          <w:rFonts w:hint="eastAsia" w:ascii="仿宋" w:hAnsi="仿宋" w:eastAsia="仿宋" w:cs="仿宋"/>
          <w:sz w:val="24"/>
          <w:szCs w:val="28"/>
          <w:highlight w:val="none"/>
        </w:rPr>
      </w:pPr>
      <w:r>
        <w:rPr>
          <w:rFonts w:hint="eastAsia" w:ascii="仿宋" w:hAnsi="仿宋" w:eastAsia="仿宋" w:cs="仿宋"/>
          <w:color w:val="0000FF"/>
          <w:sz w:val="24"/>
          <w:szCs w:val="28"/>
          <w:highlight w:val="none"/>
        </w:rPr>
        <w:t> </w:t>
      </w:r>
    </w:p>
    <w:p w14:paraId="49183C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若对项目采购电子交易系统操作有疑问，可登录乐采云（www.lecaiyun.com），点击右侧咨询小采，获取采小蜜智能服务管家帮助，或拨打乐采云服务热线95763获取热线服务帮助。</w:t>
      </w:r>
    </w:p>
    <w:p w14:paraId="646A9BEE">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3532D65">
      <w:pPr>
        <w:pStyle w:val="14"/>
        <w:jc w:val="both"/>
        <w:rPr>
          <w:rFonts w:hint="eastAsia" w:ascii="仿宋" w:hAnsi="仿宋" w:eastAsia="仿宋" w:cs="仿宋"/>
          <w:highlight w:val="none"/>
          <w:lang w:val="en-US"/>
        </w:rPr>
      </w:pPr>
    </w:p>
    <w:p w14:paraId="7D35FACA">
      <w:pPr>
        <w:pStyle w:val="2"/>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第二部分</w:t>
      </w:r>
      <w:bookmarkEnd w:id="8"/>
      <w:r>
        <w:rPr>
          <w:rFonts w:hint="eastAsia" w:ascii="仿宋" w:hAnsi="仿宋" w:eastAsia="仿宋" w:cs="仿宋"/>
          <w:highlight w:val="none"/>
        </w:rPr>
        <w:t xml:space="preserve"> 投标人须知</w:t>
      </w:r>
      <w:bookmarkEnd w:id="9"/>
    </w:p>
    <w:p w14:paraId="3C74C70C">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前附表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F68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5ABDD5C">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101FF1D">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3EECE6E">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本项目的特别规定</w:t>
            </w:r>
          </w:p>
        </w:tc>
      </w:tr>
      <w:tr w14:paraId="08AB4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B42C8C">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7F8E4E7D">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356EB4E">
            <w:pPr>
              <w:snapToGrid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有关本项目开展所需的</w:t>
            </w:r>
            <w:r>
              <w:rPr>
                <w:rFonts w:hint="eastAsia" w:ascii="仿宋" w:hAnsi="仿宋" w:eastAsia="仿宋" w:cs="仿宋"/>
                <w:sz w:val="24"/>
                <w:highlight w:val="none"/>
              </w:rPr>
              <w:t>所有</w:t>
            </w:r>
            <w:r>
              <w:rPr>
                <w:rFonts w:hint="eastAsia" w:ascii="仿宋" w:hAnsi="仿宋" w:eastAsia="仿宋" w:cs="仿宋"/>
                <w:color w:val="000000"/>
                <w:kern w:val="0"/>
                <w:sz w:val="24"/>
                <w:highlight w:val="none"/>
                <w:lang w:val="zh-CN"/>
              </w:rPr>
              <w:t>费用均计入报价。</w:t>
            </w:r>
            <w:r>
              <w:rPr>
                <w:rFonts w:hint="eastAsia" w:ascii="仿宋" w:hAnsi="仿宋" w:eastAsia="仿宋" w:cs="仿宋"/>
                <w:color w:val="000000"/>
                <w:sz w:val="24"/>
                <w:highlight w:val="none"/>
              </w:rPr>
              <w:t>《投标（开标）一览表》是报价的唯一载体</w:t>
            </w:r>
            <w:r>
              <w:rPr>
                <w:rFonts w:hint="eastAsia" w:ascii="仿宋" w:hAnsi="仿宋" w:eastAsia="仿宋" w:cs="仿宋"/>
                <w:color w:val="000000"/>
                <w:kern w:val="0"/>
                <w:sz w:val="24"/>
                <w:highlight w:val="none"/>
                <w:lang w:val="zh-CN"/>
              </w:rPr>
              <w:t>。投标文件中价格全部采用人民币报价。交易文件未列明，而投标人认为必需的费用也需列入报价。</w:t>
            </w:r>
          </w:p>
          <w:p w14:paraId="105F4C54">
            <w:pPr>
              <w:snapToGrid w:val="0"/>
              <w:spacing w:line="360" w:lineRule="auto"/>
              <w:jc w:val="left"/>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投标报价出现下列情形的，投标无效：</w:t>
            </w:r>
          </w:p>
          <w:p w14:paraId="1F5684D7">
            <w:pPr>
              <w:snapToGrid w:val="0"/>
              <w:spacing w:line="360" w:lineRule="auto"/>
              <w:jc w:val="left"/>
              <w:rPr>
                <w:rFonts w:hint="eastAsia" w:ascii="仿宋" w:hAnsi="仿宋" w:eastAsia="仿宋" w:cs="仿宋"/>
                <w:b/>
                <w:color w:val="000000"/>
                <w:kern w:val="0"/>
                <w:sz w:val="24"/>
                <w:highlight w:val="none"/>
                <w:lang w:val="zh-CN"/>
              </w:rPr>
            </w:pPr>
            <w:r>
              <w:rPr>
                <w:rFonts w:hint="eastAsia" w:ascii="仿宋" w:hAnsi="仿宋" w:eastAsia="仿宋" w:cs="仿宋"/>
                <w:b/>
                <w:color w:val="000000"/>
                <w:sz w:val="24"/>
                <w:highlight w:val="none"/>
              </w:rPr>
              <w:t>▲</w:t>
            </w:r>
            <w:r>
              <w:rPr>
                <w:rFonts w:hint="eastAsia" w:ascii="仿宋" w:hAnsi="仿宋" w:eastAsia="仿宋" w:cs="仿宋"/>
                <w:b/>
                <w:color w:val="000000"/>
                <w:kern w:val="0"/>
                <w:sz w:val="24"/>
                <w:highlight w:val="none"/>
                <w:lang w:val="zh-CN"/>
              </w:rPr>
              <w:t>投标文件出现不是唯一的、有选择性投标报价的；</w:t>
            </w:r>
          </w:p>
          <w:p w14:paraId="6217DBE0">
            <w:pPr>
              <w:snapToGrid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b/>
                <w:color w:val="000000"/>
                <w:sz w:val="24"/>
                <w:highlight w:val="none"/>
              </w:rPr>
              <w:t>▲投标报价高于本项目采购预算或者最高限价的;</w:t>
            </w:r>
          </w:p>
          <w:p w14:paraId="29F13335">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w:t>
            </w:r>
            <w:r>
              <w:rPr>
                <w:rFonts w:hint="eastAsia" w:ascii="仿宋" w:hAnsi="仿宋" w:eastAsia="仿宋" w:cs="仿宋"/>
                <w:b/>
                <w:color w:val="000000"/>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000000"/>
                <w:sz w:val="24"/>
                <w:szCs w:val="21"/>
                <w:highlight w:val="none"/>
              </w:rPr>
              <w:t>;</w:t>
            </w:r>
          </w:p>
          <w:p w14:paraId="51F29739">
            <w:pPr>
              <w:spacing w:line="360" w:lineRule="auto"/>
              <w:rPr>
                <w:rFonts w:hint="eastAsia" w:ascii="仿宋" w:hAnsi="仿宋" w:eastAsia="仿宋" w:cs="仿宋"/>
                <w:color w:val="000000"/>
                <w:sz w:val="24"/>
                <w:szCs w:val="21"/>
                <w:highlight w:val="none"/>
              </w:rPr>
            </w:pPr>
            <w:r>
              <w:rPr>
                <w:rFonts w:hint="eastAsia" w:ascii="仿宋" w:hAnsi="仿宋" w:eastAsia="仿宋" w:cs="仿宋"/>
                <w:b/>
                <w:color w:val="000000"/>
                <w:sz w:val="24"/>
                <w:highlight w:val="none"/>
              </w:rPr>
              <w:t>▲《投标（开标）一览表》填写不完整或字迹不能辨认或有漏项的；</w:t>
            </w:r>
          </w:p>
          <w:p w14:paraId="646331CB">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▲投标人对根据修正原则修正后的报价不确认的</w:t>
            </w:r>
            <w:r>
              <w:rPr>
                <w:rFonts w:hint="eastAsia" w:ascii="仿宋" w:hAnsi="仿宋" w:eastAsia="仿宋" w:cs="仿宋"/>
                <w:b/>
                <w:color w:val="000000"/>
                <w:sz w:val="24"/>
                <w:highlight w:val="none"/>
              </w:rPr>
              <w:t>。</w:t>
            </w:r>
          </w:p>
          <w:p w14:paraId="480617E1">
            <w:pPr>
              <w:spacing w:line="360" w:lineRule="auto"/>
              <w:rPr>
                <w:rFonts w:hint="eastAsia" w:ascii="仿宋" w:hAnsi="仿宋" w:eastAsia="仿宋" w:cs="仿宋"/>
                <w:color w:val="000000"/>
                <w:sz w:val="24"/>
                <w:highlight w:val="none"/>
              </w:rPr>
            </w:pPr>
            <w:r>
              <w:rPr>
                <w:rFonts w:hint="eastAsia" w:ascii="仿宋" w:hAnsi="仿宋" w:eastAsia="仿宋" w:cs="仿宋"/>
                <w:b/>
                <w:color w:val="000000"/>
                <w:kern w:val="0"/>
                <w:sz w:val="24"/>
                <w:highlight w:val="none"/>
              </w:rPr>
              <w:t>▲资格文件、商务技术文件与报价文件未分开制作</w:t>
            </w:r>
            <w:r>
              <w:rPr>
                <w:rFonts w:hint="eastAsia" w:ascii="仿宋" w:hAnsi="仿宋" w:eastAsia="仿宋" w:cs="仿宋"/>
                <w:b/>
                <w:color w:val="000000"/>
                <w:sz w:val="24"/>
                <w:highlight w:val="none"/>
              </w:rPr>
              <w:t>。</w:t>
            </w:r>
          </w:p>
        </w:tc>
      </w:tr>
      <w:tr w14:paraId="127B1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B76C96">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665508D">
            <w:pPr>
              <w:spacing w:line="360" w:lineRule="auto"/>
              <w:rPr>
                <w:rFonts w:hint="eastAsia" w:ascii="仿宋" w:hAnsi="仿宋" w:eastAsia="仿宋" w:cs="仿宋"/>
                <w:b/>
                <w:color w:val="000000"/>
                <w:sz w:val="24"/>
                <w:highlight w:val="none"/>
              </w:rPr>
            </w:pPr>
            <w:r>
              <w:rPr>
                <w:rFonts w:hint="eastAsia" w:ascii="仿宋" w:hAnsi="仿宋" w:eastAsia="仿宋" w:cs="仿宋"/>
                <w:b/>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5A8F6798">
            <w:pPr>
              <w:snapToGrid w:val="0"/>
              <w:spacing w:line="360" w:lineRule="auto"/>
              <w:rPr>
                <w:rFonts w:hint="eastAsia" w:ascii="仿宋" w:hAnsi="仿宋" w:eastAsia="仿宋" w:cs="仿宋"/>
                <w:color w:val="000000"/>
                <w:sz w:val="24"/>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B</w:t>
            </w:r>
            <w:r>
              <w:rPr>
                <w:rFonts w:hint="eastAsia" w:ascii="仿宋" w:hAnsi="仿宋" w:eastAsia="仿宋" w:cs="仿宋"/>
                <w:sz w:val="24"/>
                <w:highlight w:val="none"/>
              </w:rPr>
              <w:t>不同意分包。</w:t>
            </w:r>
          </w:p>
        </w:tc>
      </w:tr>
      <w:tr w14:paraId="47F46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1F444A">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8901E09">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5989CF1">
            <w:pPr>
              <w:numPr>
                <w:ilvl w:val="0"/>
                <w:numId w:val="3"/>
              </w:num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资格证明文件：</w:t>
            </w:r>
            <w:r>
              <w:rPr>
                <w:rFonts w:hint="eastAsia" w:ascii="仿宋" w:hAnsi="仿宋" w:eastAsia="仿宋" w:cs="仿宋"/>
                <w:kern w:val="0"/>
                <w:sz w:val="24"/>
                <w:highlight w:val="none"/>
              </w:rPr>
              <w:t>见交易文件第二部分11.1。</w:t>
            </w:r>
          </w:p>
          <w:p w14:paraId="5CD7ED28">
            <w:pPr>
              <w:numPr>
                <w:ilvl w:val="0"/>
                <w:numId w:val="3"/>
              </w:numPr>
              <w:spacing w:line="360" w:lineRule="auto"/>
              <w:rPr>
                <w:rFonts w:hint="eastAsia" w:ascii="仿宋" w:hAnsi="仿宋" w:eastAsia="仿宋" w:cs="仿宋"/>
                <w:color w:val="0000FF"/>
                <w:sz w:val="24"/>
                <w:highlight w:val="none"/>
              </w:rPr>
            </w:pPr>
            <w:r>
              <w:rPr>
                <w:rFonts w:hint="eastAsia" w:ascii="仿宋" w:hAnsi="仿宋" w:eastAsia="仿宋" w:cs="仿宋"/>
                <w:color w:val="000000"/>
                <w:sz w:val="24"/>
                <w:highlight w:val="none"/>
              </w:rPr>
              <w:t>资信证明文件：</w:t>
            </w:r>
            <w:r>
              <w:rPr>
                <w:rFonts w:hint="eastAsia" w:ascii="仿宋" w:hAnsi="仿宋" w:eastAsia="仿宋" w:cs="仿宋"/>
                <w:sz w:val="24"/>
                <w:highlight w:val="none"/>
              </w:rPr>
              <w:t>根据交易文件第四部分评标标准提供。</w:t>
            </w:r>
          </w:p>
          <w:p w14:paraId="6E997B17">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投标人未提供（1）的有效的资格证明文件的，视为投标人不具备交易文件中规定的资格要求，投标无效。</w:t>
            </w:r>
          </w:p>
        </w:tc>
      </w:tr>
      <w:tr w14:paraId="1238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3A440D">
            <w:pPr>
              <w:snapToGrid w:val="0"/>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DA45767">
            <w:pPr>
              <w:spacing w:line="360" w:lineRule="auto"/>
              <w:rPr>
                <w:rFonts w:hint="eastAsia" w:ascii="仿宋" w:hAnsi="仿宋" w:eastAsia="仿宋" w:cs="仿宋"/>
                <w:b/>
                <w:color w:val="000000"/>
                <w:sz w:val="24"/>
                <w:highlight w:val="none"/>
              </w:rPr>
            </w:pPr>
            <w:r>
              <w:rPr>
                <w:rFonts w:hint="eastAsia" w:ascii="仿宋" w:hAnsi="仿宋" w:eastAsia="仿宋" w:cs="仿宋"/>
                <w:b/>
                <w:sz w:val="24"/>
                <w:highlight w:val="none"/>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354279BB">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35F2C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636892">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1E217A6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246177D">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napToGrid w:val="0"/>
                <w:kern w:val="28"/>
                <w:sz w:val="24"/>
                <w:highlight w:val="none"/>
              </w:rPr>
              <w:t>无</w:t>
            </w:r>
          </w:p>
        </w:tc>
      </w:tr>
      <w:tr w14:paraId="6A807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ED680DC">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783AC0C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投标文件</w:t>
            </w:r>
          </w:p>
          <w:p w14:paraId="1B66B80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455B9B7B">
            <w:pPr>
              <w:pStyle w:val="10"/>
              <w:snapToGrid w:val="0"/>
              <w:spacing w:before="120" w:after="120" w:line="360" w:lineRule="auto"/>
              <w:rPr>
                <w:rFonts w:hint="eastAsia" w:ascii="仿宋" w:hAnsi="仿宋" w:eastAsia="仿宋" w:cs="仿宋"/>
                <w:sz w:val="24"/>
                <w:highlight w:val="none"/>
              </w:rPr>
            </w:pPr>
            <w:r>
              <w:rPr>
                <w:rFonts w:hint="eastAsia" w:ascii="仿宋" w:hAnsi="仿宋" w:eastAsia="仿宋" w:cs="仿宋"/>
                <w:sz w:val="24"/>
                <w:highlight w:val="none"/>
              </w:rPr>
              <w:t>本项目实行电子投标。</w:t>
            </w:r>
          </w:p>
          <w:p w14:paraId="3200C6B9">
            <w:pPr>
              <w:pStyle w:val="10"/>
              <w:snapToGrid w:val="0"/>
              <w:spacing w:before="120" w:after="120"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供应商应准备电子投标文件参与投标：</w:t>
            </w:r>
          </w:p>
          <w:p w14:paraId="2E3BE8D1">
            <w:pPr>
              <w:pStyle w:val="10"/>
              <w:numPr>
                <w:ilvl w:val="0"/>
                <w:numId w:val="4"/>
              </w:numPr>
              <w:snapToGrid w:val="0"/>
              <w:spacing w:before="120" w:after="120" w:line="360" w:lineRule="auto"/>
              <w:rPr>
                <w:rFonts w:hint="eastAsia" w:ascii="仿宋" w:hAnsi="仿宋" w:eastAsia="仿宋" w:cs="仿宋"/>
                <w:sz w:val="24"/>
                <w:highlight w:val="none"/>
              </w:rPr>
            </w:pPr>
            <w:r>
              <w:rPr>
                <w:rFonts w:hint="eastAsia" w:ascii="仿宋" w:hAnsi="仿宋" w:eastAsia="仿宋" w:cs="仿宋"/>
                <w:sz w:val="24"/>
                <w:highlight w:val="none"/>
              </w:rPr>
              <w:t>电子投标文件，按乐采云平台项目采购-电子招投标操作指南及本交易文件要求递交。</w:t>
            </w:r>
          </w:p>
          <w:p w14:paraId="6B6EC49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▲未传输递交电子投标文件的，投标无效。</w:t>
            </w:r>
          </w:p>
          <w:p w14:paraId="0EB02BB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▲未在系统解密时间内完成解密的，视为投标人自行放弃投标，投标无效。</w:t>
            </w:r>
          </w:p>
          <w:p w14:paraId="56FBFAC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本项目备份投标文件：不提供</w:t>
            </w:r>
          </w:p>
        </w:tc>
      </w:tr>
      <w:tr w14:paraId="6D08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B702D2">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40AE7E7">
            <w:pPr>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263A1B80">
            <w:pPr>
              <w:spacing w:line="360" w:lineRule="auto"/>
              <w:rPr>
                <w:rFonts w:hint="eastAsia" w:ascii="仿宋" w:hAnsi="仿宋" w:eastAsia="仿宋" w:cs="仿宋"/>
                <w:sz w:val="24"/>
                <w:highlight w:val="none"/>
              </w:rPr>
            </w:pPr>
            <w:r>
              <w:rPr>
                <w:rFonts w:hint="eastAsia" w:ascii="仿宋" w:hAnsi="仿宋" w:eastAsia="仿宋" w:cs="仿宋"/>
                <w:sz w:val="24"/>
                <w:highlight w:val="none"/>
              </w:rPr>
              <w:t>（√）A不组织。</w:t>
            </w:r>
          </w:p>
        </w:tc>
      </w:tr>
      <w:tr w14:paraId="511E3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494DDB4">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7C9571E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采购机构</w:t>
            </w:r>
          </w:p>
          <w:p w14:paraId="1F8E68A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7AB4961">
            <w:pPr>
              <w:pStyle w:val="5"/>
              <w:spacing w:line="360" w:lineRule="auto"/>
              <w:ind w:firstLine="0"/>
              <w:rPr>
                <w:rFonts w:hint="eastAsia" w:ascii="仿宋" w:hAnsi="仿宋" w:eastAsia="仿宋" w:cs="仿宋"/>
                <w:b/>
                <w:bCs/>
                <w:sz w:val="24"/>
                <w:highlight w:val="none"/>
              </w:rPr>
            </w:pPr>
            <w:r>
              <w:rPr>
                <w:rFonts w:hint="eastAsia" w:ascii="仿宋" w:hAnsi="仿宋" w:eastAsia="仿宋" w:cs="仿宋"/>
                <w:color w:val="auto"/>
                <w:sz w:val="24"/>
                <w:highlight w:val="none"/>
              </w:rPr>
              <w:t>/</w:t>
            </w:r>
          </w:p>
        </w:tc>
      </w:tr>
      <w:tr w14:paraId="0E6F8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F144E52">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836F91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23E253E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325DAA0D">
            <w:pPr>
              <w:pStyle w:val="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14:paraId="521772B1">
            <w:pPr>
              <w:pStyle w:val="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履约保证金：不收取</w:t>
            </w:r>
          </w:p>
          <w:p w14:paraId="7C5467B3">
            <w:pPr>
              <w:pStyle w:val="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供应商应当以支票、汇票等形式提交。</w:t>
            </w:r>
          </w:p>
        </w:tc>
      </w:tr>
      <w:tr w14:paraId="087D7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5D307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E75A14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E609DA5">
            <w:pPr>
              <w:pStyle w:val="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2224B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9F696E">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305504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246B2AC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本项目为</w:t>
            </w:r>
            <w:r>
              <w:rPr>
                <w:rFonts w:hint="eastAsia" w:ascii="仿宋" w:hAnsi="仿宋" w:eastAsia="仿宋" w:cs="仿宋"/>
                <w:sz w:val="24"/>
                <w:highlight w:val="none"/>
                <w:u w:val="single"/>
              </w:rPr>
              <w:t>服务类</w:t>
            </w:r>
            <w:r>
              <w:rPr>
                <w:rFonts w:hint="eastAsia" w:ascii="仿宋" w:hAnsi="仿宋" w:eastAsia="仿宋" w:cs="仿宋"/>
                <w:sz w:val="24"/>
                <w:highlight w:val="none"/>
              </w:rPr>
              <w:t>采购项目</w:t>
            </w:r>
          </w:p>
        </w:tc>
      </w:tr>
      <w:tr w14:paraId="23D19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77E507A">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E3F0DD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88AA8B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标项一</w:t>
            </w:r>
            <w:r>
              <w:rPr>
                <w:rFonts w:hint="eastAsia" w:ascii="仿宋" w:hAnsi="仿宋" w:eastAsia="仿宋" w:cs="仿宋"/>
                <w:sz w:val="24"/>
                <w:highlight w:val="none"/>
              </w:rPr>
              <w:t>为</w:t>
            </w:r>
            <w:r>
              <w:rPr>
                <w:rFonts w:hint="eastAsia" w:ascii="仿宋" w:hAnsi="仿宋" w:eastAsia="仿宋" w:cs="仿宋"/>
                <w:sz w:val="24"/>
                <w:highlight w:val="none"/>
                <w:u w:val="single"/>
              </w:rPr>
              <w:t>综合评估法</w:t>
            </w:r>
            <w:r>
              <w:rPr>
                <w:rFonts w:hint="eastAsia" w:ascii="仿宋" w:hAnsi="仿宋" w:eastAsia="仿宋" w:cs="仿宋"/>
                <w:sz w:val="24"/>
                <w:highlight w:val="none"/>
              </w:rPr>
              <w:t>采购项目</w:t>
            </w:r>
          </w:p>
        </w:tc>
      </w:tr>
    </w:tbl>
    <w:p w14:paraId="23975FFE">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注：本项目通用总则条款与前附表等专用特别规定有冲突之处，以专用条款（特别规定）为准</w:t>
      </w:r>
    </w:p>
    <w:p w14:paraId="3542DD75">
      <w:pPr>
        <w:adjustRightInd/>
        <w:spacing w:line="360" w:lineRule="auto"/>
        <w:ind w:firstLine="3845" w:firstLineChars="1197"/>
        <w:outlineLvl w:val="0"/>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br w:type="page"/>
      </w:r>
      <w:bookmarkEnd w:id="10"/>
      <w:bookmarkStart w:id="38" w:name="第三部分"/>
      <w:bookmarkStart w:id="39" w:name="_Toc164416483"/>
      <w:r>
        <w:rPr>
          <w:rFonts w:hint="eastAsia" w:ascii="仿宋" w:hAnsi="仿宋" w:eastAsia="仿宋" w:cs="仿宋"/>
          <w:b/>
          <w:color w:val="000000"/>
          <w:sz w:val="32"/>
          <w:szCs w:val="20"/>
          <w:highlight w:val="none"/>
        </w:rPr>
        <w:t>一、总则</w:t>
      </w:r>
    </w:p>
    <w:p w14:paraId="41F395AF">
      <w:pPr>
        <w:snapToGrid w:val="0"/>
        <w:spacing w:line="360" w:lineRule="auto"/>
        <w:ind w:firstLine="361" w:firstLineChars="150"/>
        <w:jc w:val="left"/>
        <w:outlineLvl w:val="1"/>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 适用范围</w:t>
      </w:r>
    </w:p>
    <w:p w14:paraId="0C29D685">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本交易文件适用于该项目的招标、资格审查及信用信息查询、评标、定标、合同、验收等行为（法律、法规另有规定的，从其规定）。</w:t>
      </w:r>
    </w:p>
    <w:p w14:paraId="2DA442F7">
      <w:pPr>
        <w:adjustRightInd/>
        <w:spacing w:line="360" w:lineRule="auto"/>
        <w:outlineLvl w:val="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 xml:space="preserve">   2.定义</w:t>
      </w:r>
    </w:p>
    <w:p w14:paraId="6489BF7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 “采购人”系指招标公告中载明的本项目的采购人。</w:t>
      </w:r>
    </w:p>
    <w:p w14:paraId="160A695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“采购机构”系指招标公告中载明的本项目的采购机构。</w:t>
      </w:r>
    </w:p>
    <w:p w14:paraId="2F37EFF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 “投标人”系指是指响应招标、参加投标竞争的法人、其他组织或者自然人。</w:t>
      </w:r>
    </w:p>
    <w:p w14:paraId="3C23620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 “负责人”系指法人企业的法定负责人，或其他组织为法律、行政法规规定代表单位行使职权的主要负责人，或自然人本人。</w:t>
      </w:r>
    </w:p>
    <w:p w14:paraId="44E78C6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 “▲” 系指实质性要求条款，“★”系产品采购项目中单一产品或核心产品。</w:t>
      </w:r>
    </w:p>
    <w:p w14:paraId="6DE0E8E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w:t>
      </w:r>
      <w:r>
        <w:rPr>
          <w:rFonts w:hint="eastAsia" w:ascii="仿宋" w:hAnsi="仿宋" w:eastAsia="仿宋" w:cs="仿宋"/>
          <w:sz w:val="24"/>
          <w:highlight w:val="none"/>
        </w:rPr>
        <w:t>” 系指适用本项目的要求，“</w:t>
      </w:r>
      <w:r>
        <w:rPr>
          <w:rFonts w:hint="eastAsia" w:ascii="仿宋" w:hAnsi="仿宋" w:eastAsia="仿宋" w:cs="仿宋"/>
          <w:b/>
          <w:sz w:val="24"/>
          <w:highlight w:val="none"/>
        </w:rPr>
        <w:t>（  ）</w:t>
      </w:r>
      <w:r>
        <w:rPr>
          <w:rFonts w:hint="eastAsia" w:ascii="仿宋" w:hAnsi="仿宋" w:eastAsia="仿宋" w:cs="仿宋"/>
          <w:kern w:val="0"/>
          <w:sz w:val="24"/>
          <w:highlight w:val="none"/>
        </w:rPr>
        <w:t>”</w:t>
      </w:r>
      <w:r>
        <w:rPr>
          <w:rFonts w:hint="eastAsia" w:ascii="仿宋" w:hAnsi="仿宋" w:eastAsia="仿宋" w:cs="仿宋"/>
          <w:sz w:val="24"/>
          <w:highlight w:val="none"/>
        </w:rPr>
        <w:t>系指不适用本项目的要求。</w:t>
      </w:r>
    </w:p>
    <w:p w14:paraId="3336CF50">
      <w:pPr>
        <w:spacing w:line="360" w:lineRule="auto"/>
        <w:ind w:firstLine="241" w:firstLineChars="1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color w:val="000000"/>
          <w:highlight w:val="none"/>
        </w:rPr>
        <w:t xml:space="preserve"> </w:t>
      </w:r>
      <w:r>
        <w:rPr>
          <w:rFonts w:hint="eastAsia" w:ascii="仿宋" w:hAnsi="仿宋" w:eastAsia="仿宋" w:cs="仿宋"/>
          <w:b/>
          <w:color w:val="000000"/>
          <w:sz w:val="24"/>
          <w:highlight w:val="none"/>
        </w:rPr>
        <w:t>采购项目需要落实的政府采购政策：无</w:t>
      </w:r>
    </w:p>
    <w:p w14:paraId="404F7326">
      <w:pPr>
        <w:spacing w:line="360" w:lineRule="auto"/>
        <w:ind w:firstLine="241" w:firstLineChars="1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4. 询问、质疑、投诉</w:t>
      </w:r>
      <w:r>
        <w:rPr>
          <w:rFonts w:hint="eastAsia" w:ascii="仿宋" w:hAnsi="仿宋" w:eastAsia="仿宋" w:cs="仿宋"/>
          <w:color w:val="000000"/>
          <w:kern w:val="0"/>
          <w:sz w:val="24"/>
          <w:highlight w:val="none"/>
          <w:lang w:val="zh-CN"/>
        </w:rPr>
        <w:t xml:space="preserve"> </w:t>
      </w:r>
    </w:p>
    <w:p w14:paraId="09BD2539">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1A93FC63">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FADDF7">
      <w:pPr>
        <w:autoSpaceDE w:val="0"/>
        <w:autoSpaceDN w:val="0"/>
        <w:spacing w:line="360" w:lineRule="auto"/>
        <w:ind w:firstLine="240" w:firstLineChars="1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4.2供应商质疑</w:t>
      </w:r>
    </w:p>
    <w:p w14:paraId="7F56DA7E">
      <w:pPr>
        <w:pStyle w:val="10"/>
        <w:spacing w:line="360" w:lineRule="auto"/>
        <w:ind w:right="-512"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4.2</w:t>
      </w:r>
      <w:r>
        <w:rPr>
          <w:rFonts w:hint="eastAsia" w:ascii="仿宋" w:hAnsi="仿宋" w:eastAsia="仿宋" w:cs="仿宋"/>
          <w:color w:val="000000"/>
          <w:sz w:val="24"/>
          <w:highlight w:val="none"/>
        </w:rPr>
        <w:t>.1提出质疑的供应商应当是参与所质疑项目采购活动的供应商。潜在供应商已依法获取其可质疑的交易文件的，可以对该文件提出质疑。</w:t>
      </w:r>
    </w:p>
    <w:p w14:paraId="06D0828C">
      <w:pPr>
        <w:pStyle w:val="10"/>
        <w:spacing w:line="360" w:lineRule="auto"/>
        <w:ind w:right="-512"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lang w:val="zh-CN"/>
        </w:rPr>
        <w:t>4.2</w:t>
      </w:r>
      <w:r>
        <w:rPr>
          <w:rFonts w:hint="eastAsia" w:ascii="仿宋" w:hAnsi="仿宋" w:eastAsia="仿宋" w:cs="仿宋"/>
          <w:color w:val="000000"/>
          <w:sz w:val="24"/>
          <w:highlight w:val="none"/>
        </w:rPr>
        <w:t>.2供应商认为交易文件、采购过程和成交结果使自己的权益受到损害的，可以在知道或者应知其权益受到损害之日起七个工作日内，以书面形式向采购人或者采购机构提出质</w:t>
      </w:r>
      <w:r>
        <w:rPr>
          <w:rFonts w:hint="eastAsia" w:ascii="仿宋" w:hAnsi="仿宋" w:eastAsia="仿宋" w:cs="仿宋"/>
          <w:sz w:val="24"/>
          <w:highlight w:val="none"/>
        </w:rPr>
        <w:t>疑，否则，采购人或者采购机构不予受理：</w:t>
      </w:r>
    </w:p>
    <w:p w14:paraId="1962F70C">
      <w:pPr>
        <w:pStyle w:val="22"/>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.4采购人或者采购机构应当在收到供应商的书面质疑后七个工作日内作出答复，并以书面形式通知质疑供应商和其他与质疑处理结果有利害关系的采购当事人，但答复的内容不得涉及商业秘密。</w:t>
      </w:r>
    </w:p>
    <w:p w14:paraId="3DEC9C2A">
      <w:pPr>
        <w:pStyle w:val="22"/>
        <w:shd w:val="clear" w:color="auto" w:fill="FFFFFF"/>
        <w:snapToGrid w:val="0"/>
        <w:spacing w:after="240" w:afterAutospacing="0" w:line="360" w:lineRule="auto"/>
        <w:ind w:firstLine="480"/>
        <w:contextualSpacing/>
        <w:rPr>
          <w:rFonts w:hint="eastAsia" w:ascii="仿宋" w:hAnsi="仿宋" w:eastAsia="仿宋" w:cs="仿宋"/>
          <w:color w:val="000000"/>
          <w:highlight w:val="none"/>
        </w:rPr>
      </w:pPr>
      <w:r>
        <w:rPr>
          <w:rFonts w:hint="eastAsia" w:ascii="仿宋" w:hAnsi="仿宋" w:eastAsia="仿宋" w:cs="仿宋"/>
          <w:color w:val="000000"/>
          <w:highlight w:val="none"/>
          <w:lang w:val="zh-CN"/>
        </w:rPr>
        <w:t>4.2</w:t>
      </w:r>
      <w:r>
        <w:rPr>
          <w:rFonts w:hint="eastAsia" w:ascii="仿宋" w:hAnsi="仿宋" w:eastAsia="仿宋" w:cs="仿宋"/>
          <w:color w:val="000000"/>
          <w:highlight w:val="none"/>
        </w:rPr>
        <w:t>.5询问或者质疑事项可能影响采购结果的，采购人应当暂停签订合同，已经签订合同的，应当中止履行合同。</w:t>
      </w:r>
    </w:p>
    <w:p w14:paraId="0C325692">
      <w:pPr>
        <w:pStyle w:val="23"/>
        <w:snapToGrid w:val="0"/>
        <w:spacing w:before="0"/>
        <w:ind w:firstLine="360"/>
        <w:rPr>
          <w:rFonts w:hint="eastAsia" w:ascii="仿宋" w:hAnsi="仿宋" w:eastAsia="仿宋" w:cs="仿宋"/>
          <w:color w:val="000000"/>
          <w:sz w:val="18"/>
          <w:szCs w:val="18"/>
          <w:highlight w:val="none"/>
        </w:rPr>
      </w:pPr>
    </w:p>
    <w:p w14:paraId="51E83DDC">
      <w:pPr>
        <w:adjustRightInd/>
        <w:spacing w:line="360" w:lineRule="auto"/>
        <w:jc w:val="center"/>
        <w:outlineLvl w:val="0"/>
        <w:rPr>
          <w:rFonts w:hint="eastAsia" w:ascii="仿宋" w:hAnsi="仿宋" w:eastAsia="仿宋" w:cs="仿宋"/>
          <w:b/>
          <w:color w:val="000000"/>
          <w:sz w:val="32"/>
          <w:szCs w:val="20"/>
          <w:highlight w:val="none"/>
        </w:rPr>
      </w:pPr>
      <w:bookmarkStart w:id="40" w:name="_Hlt74714665"/>
      <w:bookmarkEnd w:id="40"/>
      <w:bookmarkStart w:id="41" w:name="_Hlt74729768"/>
      <w:bookmarkEnd w:id="41"/>
      <w:bookmarkStart w:id="42" w:name="_Hlt75236290"/>
      <w:bookmarkEnd w:id="42"/>
      <w:bookmarkStart w:id="43" w:name="_Hlt74730295"/>
      <w:bookmarkEnd w:id="43"/>
      <w:bookmarkStart w:id="44" w:name="_Hlt68072990"/>
      <w:bookmarkEnd w:id="44"/>
      <w:bookmarkStart w:id="45" w:name="_Hlt68057669"/>
      <w:bookmarkEnd w:id="45"/>
      <w:bookmarkStart w:id="46" w:name="_Hlt74707468"/>
      <w:bookmarkEnd w:id="46"/>
      <w:bookmarkStart w:id="47" w:name="_Toc91899879"/>
      <w:r>
        <w:rPr>
          <w:rFonts w:hint="eastAsia" w:ascii="仿宋" w:hAnsi="仿宋" w:eastAsia="仿宋" w:cs="仿宋"/>
          <w:b/>
          <w:color w:val="000000"/>
          <w:sz w:val="32"/>
          <w:szCs w:val="20"/>
          <w:highlight w:val="none"/>
        </w:rPr>
        <w:t>二、</w:t>
      </w:r>
      <w:bookmarkEnd w:id="47"/>
      <w:r>
        <w:rPr>
          <w:rFonts w:hint="eastAsia" w:ascii="仿宋" w:hAnsi="仿宋" w:eastAsia="仿宋" w:cs="仿宋"/>
          <w:b/>
          <w:color w:val="000000"/>
          <w:sz w:val="32"/>
          <w:szCs w:val="20"/>
          <w:highlight w:val="none"/>
        </w:rPr>
        <w:t>交易文件的构成、澄清、修改</w:t>
      </w:r>
    </w:p>
    <w:p w14:paraId="5953B847">
      <w:pPr>
        <w:pStyle w:val="10"/>
        <w:spacing w:line="360" w:lineRule="auto"/>
        <w:ind w:right="-512" w:firstLine="576"/>
        <w:rPr>
          <w:rFonts w:hint="eastAsia" w:ascii="仿宋" w:hAnsi="仿宋" w:eastAsia="仿宋" w:cs="仿宋"/>
          <w:b/>
          <w:color w:val="000000"/>
          <w:sz w:val="24"/>
          <w:szCs w:val="24"/>
          <w:highlight w:val="none"/>
        </w:rPr>
      </w:pPr>
      <w:bookmarkStart w:id="48" w:name="_Toc91899880"/>
      <w:bookmarkStart w:id="49" w:name="_Hlt74730307"/>
      <w:r>
        <w:rPr>
          <w:rFonts w:hint="eastAsia" w:ascii="仿宋" w:hAnsi="仿宋" w:eastAsia="仿宋" w:cs="仿宋"/>
          <w:b/>
          <w:color w:val="000000"/>
          <w:sz w:val="24"/>
          <w:szCs w:val="24"/>
          <w:highlight w:val="none"/>
        </w:rPr>
        <w:t>5．交易文件的构成</w:t>
      </w:r>
      <w:bookmarkEnd w:id="48"/>
    </w:p>
    <w:bookmarkEnd w:id="49"/>
    <w:p w14:paraId="5A978B30">
      <w:pPr>
        <w:pStyle w:val="10"/>
        <w:spacing w:line="360" w:lineRule="auto"/>
        <w:ind w:right="-51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 交易文件包括下列文件及附件</w:t>
      </w:r>
    </w:p>
    <w:p w14:paraId="020289D9">
      <w:pPr>
        <w:pStyle w:val="10"/>
        <w:numPr>
          <w:ilvl w:val="0"/>
          <w:numId w:val="5"/>
        </w:numPr>
        <w:spacing w:line="360" w:lineRule="auto"/>
        <w:ind w:left="-359" w:right="-51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第一部分 招标公告</w:t>
      </w:r>
    </w:p>
    <w:p w14:paraId="0941367E">
      <w:pPr>
        <w:pStyle w:val="10"/>
        <w:numPr>
          <w:ilvl w:val="0"/>
          <w:numId w:val="5"/>
        </w:numPr>
        <w:spacing w:line="360" w:lineRule="auto"/>
        <w:ind w:left="-359" w:right="-51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第二部分 投标人须知</w:t>
      </w:r>
    </w:p>
    <w:p w14:paraId="6129E03A">
      <w:pPr>
        <w:pStyle w:val="10"/>
        <w:numPr>
          <w:ilvl w:val="0"/>
          <w:numId w:val="5"/>
        </w:numPr>
        <w:spacing w:line="360" w:lineRule="auto"/>
        <w:ind w:left="-359" w:right="-51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第三部分 采购需求</w:t>
      </w:r>
    </w:p>
    <w:p w14:paraId="1E6E669B">
      <w:pPr>
        <w:pStyle w:val="10"/>
        <w:numPr>
          <w:ilvl w:val="0"/>
          <w:numId w:val="5"/>
        </w:numPr>
        <w:spacing w:line="360" w:lineRule="auto"/>
        <w:ind w:left="-359" w:right="-51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第四部分 评标方法及评分标准</w:t>
      </w:r>
    </w:p>
    <w:p w14:paraId="74289EBF">
      <w:pPr>
        <w:pStyle w:val="10"/>
        <w:numPr>
          <w:ilvl w:val="0"/>
          <w:numId w:val="5"/>
        </w:numPr>
        <w:spacing w:line="360" w:lineRule="auto"/>
        <w:ind w:left="-359" w:right="-51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第五部分 应提交的有关格式范例</w:t>
      </w:r>
    </w:p>
    <w:p w14:paraId="4493431E">
      <w:pPr>
        <w:wordWrap w:val="0"/>
        <w:spacing w:line="360" w:lineRule="auto"/>
        <w:ind w:firstLine="480" w:firstLineChars="200"/>
        <w:jc w:val="left"/>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5.2与本项目有关的</w:t>
      </w:r>
      <w:r>
        <w:rPr>
          <w:rFonts w:hint="eastAsia" w:ascii="仿宋" w:hAnsi="仿宋" w:eastAsia="仿宋" w:cs="仿宋"/>
          <w:bCs/>
          <w:color w:val="000000"/>
          <w:sz w:val="24"/>
          <w:highlight w:val="none"/>
        </w:rPr>
        <w:t>澄清或者修改等公告、内容亦为交易文件的组成部分，投标人须自行于招标公告所在网站获取相关信息</w:t>
      </w:r>
      <w:r>
        <w:rPr>
          <w:rFonts w:hint="eastAsia" w:ascii="仿宋" w:hAnsi="仿宋" w:eastAsia="仿宋" w:cs="仿宋"/>
          <w:color w:val="000000"/>
          <w:sz w:val="24"/>
          <w:highlight w:val="none"/>
        </w:rPr>
        <w:t>。</w:t>
      </w:r>
    </w:p>
    <w:p w14:paraId="13EBF847">
      <w:pPr>
        <w:pStyle w:val="10"/>
        <w:spacing w:line="360" w:lineRule="auto"/>
        <w:ind w:right="-512" w:firstLine="57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6. 交易文件的澄清、修改</w:t>
      </w:r>
    </w:p>
    <w:p w14:paraId="4EA12112">
      <w:pPr>
        <w:pStyle w:val="23"/>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6.1已获取交易文件的潜在投标人，若有问题需要澄清，应于投标截止时间前，以书面形式向采购机构提出，采购机构与采购人研究后，对认为有必要回答的问题，将以公告形式通知所有交易文件收受人。</w:t>
      </w:r>
    </w:p>
    <w:p w14:paraId="66FCB073">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6.2采购机构如对已发出的交易文件进行必要澄清或者修改的，将在发布招标公告的网站上发布更正、补遗公告，同时视情况延长投标截止时间和开标时间。该公告澄清或者修改的内容为交易文件的组成部分。</w:t>
      </w:r>
    </w:p>
    <w:p w14:paraId="53A82931">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w:t>
      </w:r>
      <w:r>
        <w:rPr>
          <w:rFonts w:hint="eastAsia" w:ascii="仿宋" w:hAnsi="仿宋" w:eastAsia="仿宋" w:cs="仿宋"/>
          <w:b/>
          <w:sz w:val="24"/>
          <w:szCs w:val="21"/>
          <w:highlight w:val="none"/>
        </w:rPr>
        <w:t>投标文件未按交易文件更正、补遗公告的澄清、修改的内容编制，又不符合实质性要求的，投标无效。</w:t>
      </w:r>
    </w:p>
    <w:p w14:paraId="19D770C7">
      <w:pPr>
        <w:pStyle w:val="6"/>
        <w:rPr>
          <w:rFonts w:hint="eastAsia" w:ascii="仿宋" w:hAnsi="仿宋" w:eastAsia="仿宋" w:cs="仿宋"/>
          <w:color w:val="000000"/>
          <w:sz w:val="18"/>
          <w:szCs w:val="18"/>
          <w:highlight w:val="none"/>
          <w:lang w:val="en-US"/>
        </w:rPr>
      </w:pPr>
      <w:r>
        <w:rPr>
          <w:rFonts w:hint="eastAsia" w:ascii="仿宋" w:hAnsi="仿宋" w:eastAsia="仿宋" w:cs="仿宋"/>
          <w:color w:val="000000"/>
          <w:szCs w:val="24"/>
          <w:highlight w:val="none"/>
          <w:lang w:val="en-US"/>
        </w:rPr>
        <w:t xml:space="preserve">    </w:t>
      </w:r>
    </w:p>
    <w:p w14:paraId="65326E76">
      <w:pPr>
        <w:adjustRightInd/>
        <w:spacing w:line="360" w:lineRule="auto"/>
        <w:jc w:val="center"/>
        <w:outlineLvl w:val="0"/>
        <w:rPr>
          <w:rFonts w:hint="eastAsia" w:ascii="仿宋" w:hAnsi="仿宋" w:eastAsia="仿宋" w:cs="仿宋"/>
          <w:b/>
          <w:color w:val="000000"/>
          <w:sz w:val="30"/>
          <w:szCs w:val="20"/>
          <w:highlight w:val="none"/>
        </w:rPr>
      </w:pPr>
      <w:bookmarkStart w:id="50" w:name="_Hlt75236011"/>
      <w:bookmarkEnd w:id="50"/>
      <w:bookmarkStart w:id="51" w:name="_Toc91899884"/>
      <w:r>
        <w:rPr>
          <w:rFonts w:hint="eastAsia" w:ascii="仿宋" w:hAnsi="仿宋" w:eastAsia="仿宋" w:cs="仿宋"/>
          <w:b/>
          <w:color w:val="000000"/>
          <w:sz w:val="30"/>
          <w:szCs w:val="20"/>
          <w:highlight w:val="none"/>
        </w:rPr>
        <w:t>三、</w:t>
      </w:r>
      <w:bookmarkEnd w:id="51"/>
      <w:r>
        <w:rPr>
          <w:rFonts w:hint="eastAsia" w:ascii="仿宋" w:hAnsi="仿宋" w:eastAsia="仿宋" w:cs="仿宋"/>
          <w:b/>
          <w:color w:val="000000"/>
          <w:sz w:val="30"/>
          <w:szCs w:val="20"/>
          <w:highlight w:val="none"/>
        </w:rPr>
        <w:t>投标</w:t>
      </w:r>
    </w:p>
    <w:p w14:paraId="135706DE">
      <w:pPr>
        <w:pStyle w:val="10"/>
        <w:spacing w:line="360" w:lineRule="auto"/>
        <w:ind w:right="-512" w:firstLine="576"/>
        <w:rPr>
          <w:rFonts w:hint="eastAsia" w:ascii="仿宋" w:hAnsi="仿宋" w:eastAsia="仿宋" w:cs="仿宋"/>
          <w:b/>
          <w:sz w:val="24"/>
          <w:szCs w:val="24"/>
          <w:highlight w:val="none"/>
        </w:rPr>
      </w:pPr>
      <w:bookmarkStart w:id="52" w:name="_Toc86216991"/>
      <w:bookmarkStart w:id="53" w:name="_Toc91899892"/>
      <w:r>
        <w:rPr>
          <w:rFonts w:hint="eastAsia" w:ascii="仿宋" w:hAnsi="仿宋" w:eastAsia="仿宋" w:cs="仿宋"/>
          <w:b/>
          <w:sz w:val="24"/>
          <w:szCs w:val="24"/>
          <w:highlight w:val="none"/>
        </w:rPr>
        <w:t>7.交易文件的获取</w:t>
      </w:r>
    </w:p>
    <w:p w14:paraId="708D12E8">
      <w:pPr>
        <w:spacing w:line="360" w:lineRule="auto"/>
        <w:rPr>
          <w:rFonts w:hint="eastAsia" w:ascii="仿宋" w:hAnsi="仿宋" w:eastAsia="仿宋" w:cs="仿宋"/>
          <w:snapToGrid w:val="0"/>
          <w:color w:val="000000"/>
          <w:kern w:val="28"/>
          <w:sz w:val="24"/>
          <w:highlight w:val="none"/>
        </w:rPr>
      </w:pPr>
      <w:r>
        <w:rPr>
          <w:rFonts w:hint="eastAsia" w:ascii="仿宋" w:hAnsi="仿宋" w:eastAsia="仿宋" w:cs="仿宋"/>
          <w:snapToGrid w:val="0"/>
          <w:color w:val="000000"/>
          <w:kern w:val="28"/>
          <w:sz w:val="24"/>
          <w:highlight w:val="none"/>
        </w:rPr>
        <w:t>详见招标公告中获取交易文件的时间期限、地点、方式。附件中直接下载仅供浏览使用。</w:t>
      </w:r>
    </w:p>
    <w:p w14:paraId="5F8E0279">
      <w:pPr>
        <w:spacing w:line="360" w:lineRule="auto"/>
        <w:ind w:firstLine="482" w:firstLineChars="200"/>
        <w:rPr>
          <w:rFonts w:hint="eastAsia" w:ascii="仿宋" w:hAnsi="仿宋" w:eastAsia="仿宋" w:cs="仿宋"/>
          <w:b/>
          <w:color w:val="000000"/>
          <w:sz w:val="24"/>
          <w:szCs w:val="21"/>
          <w:highlight w:val="none"/>
        </w:rPr>
      </w:pPr>
      <w:r>
        <w:rPr>
          <w:rFonts w:hint="eastAsia" w:ascii="仿宋" w:hAnsi="仿宋" w:eastAsia="仿宋" w:cs="仿宋"/>
          <w:b/>
          <w:color w:val="000000"/>
          <w:sz w:val="24"/>
          <w:highlight w:val="none"/>
        </w:rPr>
        <w:t>▲</w:t>
      </w:r>
      <w:r>
        <w:rPr>
          <w:rFonts w:hint="eastAsia" w:ascii="仿宋" w:hAnsi="仿宋" w:eastAsia="仿宋" w:cs="仿宋"/>
          <w:b/>
          <w:color w:val="000000"/>
          <w:sz w:val="24"/>
          <w:szCs w:val="21"/>
          <w:highlight w:val="none"/>
        </w:rPr>
        <w:t>未按照公告要求完</w:t>
      </w:r>
      <w:r>
        <w:rPr>
          <w:rFonts w:hint="eastAsia" w:ascii="仿宋" w:hAnsi="仿宋" w:eastAsia="仿宋" w:cs="仿宋"/>
          <w:b/>
          <w:sz w:val="24"/>
          <w:szCs w:val="21"/>
          <w:highlight w:val="none"/>
        </w:rPr>
        <w:t>成交易文件获取的</w:t>
      </w:r>
      <w:r>
        <w:rPr>
          <w:rFonts w:hint="eastAsia" w:ascii="仿宋" w:hAnsi="仿宋" w:eastAsia="仿宋" w:cs="仿宋"/>
          <w:b/>
          <w:color w:val="000000" w:themeColor="text1"/>
          <w:sz w:val="24"/>
          <w:szCs w:val="21"/>
          <w:highlight w:val="none"/>
          <w14:textFill>
            <w14:solidFill>
              <w14:schemeClr w14:val="tx1"/>
            </w14:solidFill>
          </w14:textFill>
        </w:rPr>
        <w:t>，投标无效。</w:t>
      </w:r>
    </w:p>
    <w:p w14:paraId="7EDDB3B9">
      <w:pPr>
        <w:pStyle w:val="10"/>
        <w:spacing w:line="360" w:lineRule="auto"/>
        <w:ind w:right="-512" w:firstLine="57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8.开标前答疑会或现场考察</w:t>
      </w:r>
    </w:p>
    <w:p w14:paraId="5F95C754">
      <w:pPr>
        <w:pStyle w:val="10"/>
        <w:spacing w:line="360" w:lineRule="auto"/>
        <w:ind w:right="-512"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color w:val="000000"/>
          <w:sz w:val="24"/>
          <w:szCs w:val="24"/>
          <w:highlight w:val="none"/>
        </w:rPr>
        <w:t>采购人不单独或分别组织只有一个供应商参加的现场考察和答疑会。</w:t>
      </w:r>
    </w:p>
    <w:p w14:paraId="3EDD4719">
      <w:pPr>
        <w:pStyle w:val="10"/>
        <w:spacing w:line="360" w:lineRule="auto"/>
        <w:ind w:right="-512" w:firstLine="576"/>
        <w:rPr>
          <w:rFonts w:hint="eastAsia" w:ascii="仿宋" w:hAnsi="仿宋" w:eastAsia="仿宋" w:cs="仿宋"/>
          <w:b/>
          <w:color w:val="000000"/>
          <w:szCs w:val="24"/>
          <w:highlight w:val="none"/>
        </w:rPr>
      </w:pPr>
      <w:r>
        <w:rPr>
          <w:rFonts w:hint="eastAsia" w:ascii="仿宋" w:hAnsi="仿宋" w:eastAsia="仿宋" w:cs="仿宋"/>
          <w:b/>
          <w:color w:val="000000"/>
          <w:kern w:val="28"/>
          <w:sz w:val="24"/>
          <w:szCs w:val="24"/>
          <w:highlight w:val="none"/>
        </w:rPr>
        <w:t>9.投标保证金</w:t>
      </w:r>
    </w:p>
    <w:p w14:paraId="6D11ECE6">
      <w:pPr>
        <w:pStyle w:val="23"/>
        <w:snapToGrid w:val="0"/>
        <w:spacing w:before="0"/>
        <w:ind w:firstLine="480"/>
        <w:rPr>
          <w:rFonts w:hint="eastAsia" w:ascii="仿宋" w:hAnsi="仿宋" w:eastAsia="仿宋" w:cs="仿宋"/>
          <w:color w:val="000000"/>
          <w:highlight w:val="none"/>
          <w:lang w:val="zh-CN"/>
        </w:rPr>
      </w:pPr>
      <w:r>
        <w:rPr>
          <w:rFonts w:hint="eastAsia" w:ascii="仿宋" w:hAnsi="仿宋" w:eastAsia="仿宋" w:cs="仿宋"/>
          <w:color w:val="000000"/>
          <w:highlight w:val="none"/>
        </w:rPr>
        <w:t>本项目不收取投标保证金。</w:t>
      </w:r>
    </w:p>
    <w:p w14:paraId="5A4B765A">
      <w:pPr>
        <w:pStyle w:val="10"/>
        <w:spacing w:line="360" w:lineRule="auto"/>
        <w:ind w:right="-512" w:firstLine="57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10. 投标文件的语言</w:t>
      </w:r>
    </w:p>
    <w:p w14:paraId="11A75C9A">
      <w:pPr>
        <w:autoSpaceDE w:val="0"/>
        <w:autoSpaceDN w:val="0"/>
        <w:spacing w:line="360" w:lineRule="auto"/>
        <w:ind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投标文件及投标人与采购有关的来往通知、函件和文件均应使用中文。</w:t>
      </w:r>
    </w:p>
    <w:p w14:paraId="08E74455">
      <w:pPr>
        <w:pStyle w:val="10"/>
        <w:spacing w:line="360" w:lineRule="auto"/>
        <w:ind w:right="-512" w:firstLine="57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11. 投标文件的组成</w:t>
      </w:r>
    </w:p>
    <w:p w14:paraId="02E467B8">
      <w:pPr>
        <w:snapToGrid w:val="0"/>
        <w:spacing w:line="360" w:lineRule="auto"/>
        <w:ind w:firstLine="480" w:firstLineChars="200"/>
        <w:rPr>
          <w:rFonts w:hint="eastAsia" w:ascii="仿宋" w:hAnsi="仿宋" w:eastAsia="仿宋" w:cs="仿宋"/>
          <w:sz w:val="24"/>
          <w:highlight w:val="none"/>
        </w:rPr>
      </w:pPr>
      <w:bookmarkStart w:id="54" w:name="_Toc91899887"/>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43B8978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11.1.1符合参加采购活动应当具备的一般条件的承诺函；</w:t>
      </w:r>
    </w:p>
    <w:p w14:paraId="2BDB715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11.1.2本项目的特定资格要求。</w:t>
      </w:r>
    </w:p>
    <w:p w14:paraId="6EE2F267">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4E01E3A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p>
    <w:p w14:paraId="54C7BD9B">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0F2EE0E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11.2.3符合性审查资料；</w:t>
      </w:r>
    </w:p>
    <w:p w14:paraId="7AA8B880">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11.2.4评标标准相应的商务技术资料；</w:t>
      </w:r>
    </w:p>
    <w:p w14:paraId="5F35A5EC">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11.2.5商务技术偏离表；</w:t>
      </w:r>
    </w:p>
    <w:p w14:paraId="04F9236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采购供应商廉洁自律承诺书；</w:t>
      </w:r>
    </w:p>
    <w:p w14:paraId="300B3FB8">
      <w:pPr>
        <w:spacing w:line="360" w:lineRule="auto"/>
        <w:ind w:firstLine="900" w:firstLineChars="375"/>
        <w:rPr>
          <w:rFonts w:hint="eastAsia" w:ascii="仿宋" w:hAnsi="仿宋" w:eastAsia="仿宋" w:cs="仿宋"/>
          <w:sz w:val="24"/>
          <w:highlight w:val="none"/>
          <w:lang w:val="zh-CN"/>
        </w:rPr>
      </w:pPr>
      <w:r>
        <w:rPr>
          <w:rFonts w:hint="eastAsia" w:ascii="仿宋" w:hAnsi="仿宋" w:eastAsia="仿宋" w:cs="仿宋"/>
          <w:sz w:val="24"/>
          <w:highlight w:val="none"/>
        </w:rPr>
        <w:t>11.2.7</w:t>
      </w:r>
      <w:r>
        <w:rPr>
          <w:rFonts w:hint="eastAsia" w:ascii="仿宋" w:hAnsi="仿宋" w:eastAsia="仿宋" w:cs="仿宋"/>
          <w:sz w:val="24"/>
          <w:highlight w:val="none"/>
          <w:lang w:val="zh-CN"/>
        </w:rPr>
        <w:t>供应商声明书</w:t>
      </w:r>
    </w:p>
    <w:p w14:paraId="7A846412">
      <w:pPr>
        <w:pStyle w:val="15"/>
        <w:ind w:firstLine="480"/>
        <w:rPr>
          <w:rFonts w:hint="eastAsia" w:ascii="仿宋" w:hAnsi="仿宋" w:eastAsia="仿宋" w:cs="仿宋"/>
          <w:highlight w:val="none"/>
        </w:rPr>
      </w:pPr>
      <w:r>
        <w:rPr>
          <w:rFonts w:hint="eastAsia" w:ascii="仿宋" w:hAnsi="仿宋" w:eastAsia="仿宋" w:cs="仿宋"/>
          <w:sz w:val="24"/>
          <w:highlight w:val="none"/>
        </w:rPr>
        <w:t>11.2.8其他供应商认为所需的资料</w:t>
      </w:r>
    </w:p>
    <w:p w14:paraId="7E6C06D3">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0F010DA">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356F5EA1">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CC1BC0E">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投标人提供虚假材料投标的，投标无效。</w:t>
      </w:r>
    </w:p>
    <w:p w14:paraId="0C6D8398">
      <w:pPr>
        <w:pStyle w:val="23"/>
        <w:snapToGrid w:val="0"/>
        <w:spacing w:before="0"/>
        <w:ind w:firstLine="0" w:firstLineChars="0"/>
        <w:outlineLvl w:val="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12</w:t>
      </w:r>
      <w:r>
        <w:rPr>
          <w:rFonts w:hint="eastAsia" w:ascii="仿宋" w:hAnsi="仿宋" w:eastAsia="仿宋" w:cs="仿宋"/>
          <w:b/>
          <w:color w:val="000000"/>
          <w:kern w:val="0"/>
          <w:szCs w:val="24"/>
          <w:highlight w:val="none"/>
          <w:lang w:val="zh-CN"/>
        </w:rPr>
        <w:t xml:space="preserve">. </w:t>
      </w:r>
      <w:r>
        <w:rPr>
          <w:rFonts w:hint="eastAsia" w:ascii="仿宋" w:hAnsi="仿宋" w:eastAsia="仿宋" w:cs="仿宋"/>
          <w:b/>
          <w:color w:val="000000"/>
          <w:szCs w:val="24"/>
          <w:highlight w:val="none"/>
        </w:rPr>
        <w:t>投标文件的编制</w:t>
      </w:r>
    </w:p>
    <w:p w14:paraId="26816D56">
      <w:pPr>
        <w:spacing w:line="360" w:lineRule="auto"/>
        <w:ind w:firstLine="482" w:firstLineChars="200"/>
        <w:rPr>
          <w:rFonts w:hint="eastAsia" w:ascii="仿宋" w:hAnsi="仿宋" w:eastAsia="仿宋" w:cs="仿宋"/>
          <w:b/>
          <w:color w:val="000000"/>
          <w:sz w:val="24"/>
          <w:szCs w:val="21"/>
          <w:highlight w:val="none"/>
        </w:rPr>
      </w:pPr>
      <w:r>
        <w:rPr>
          <w:rFonts w:hint="eastAsia" w:ascii="仿宋" w:hAnsi="仿宋" w:eastAsia="仿宋" w:cs="仿宋"/>
          <w:b/>
          <w:color w:val="000000"/>
          <w:sz w:val="24"/>
          <w:highlight w:val="none"/>
        </w:rPr>
        <w:t>▲投标文件未按本条规定的格式编制的，投标无效；</w:t>
      </w:r>
    </w:p>
    <w:p w14:paraId="76628DD4">
      <w:pPr>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12.1投标文件分为资格文件、商务技术文件、报价文件三部分。各投标人在编制投标文件时请按照交易文件第五部分规定的格式进行，混乱的编排导致投标文件被误读或评标委员会查找不到有效文件是投标人的风险。</w:t>
      </w:r>
    </w:p>
    <w:p w14:paraId="175E7BC2">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12.2投标人进行电子交易应安装客户端软件—“</w:t>
      </w:r>
      <w:r>
        <w:rPr>
          <w:rFonts w:hint="eastAsia" w:ascii="仿宋" w:hAnsi="仿宋" w:eastAsia="仿宋" w:cs="仿宋"/>
          <w:kern w:val="0"/>
          <w:sz w:val="24"/>
          <w:highlight w:val="none"/>
        </w:rPr>
        <w:t>乐</w:t>
      </w:r>
      <w:r>
        <w:rPr>
          <w:rFonts w:hint="eastAsia" w:ascii="仿宋" w:hAnsi="仿宋" w:eastAsia="仿宋" w:cs="仿宋"/>
          <w:kern w:val="0"/>
          <w:sz w:val="24"/>
          <w:highlight w:val="none"/>
          <w:lang w:val="zh-CN"/>
        </w:rPr>
        <w:t>采云电子交易客户端”，并按照交易文件和电子交易平台的要求编制并加密投标文件。投标人未按规定加密的投标文件，电子交易平台将拒收并提示。</w:t>
      </w:r>
    </w:p>
    <w:bookmarkEnd w:id="54"/>
    <w:p w14:paraId="22CDFA91">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w:t>
      </w:r>
      <w:r>
        <w:rPr>
          <w:rFonts w:hint="eastAsia" w:ascii="仿宋" w:hAnsi="仿宋" w:eastAsia="仿宋" w:cs="仿宋"/>
          <w:kern w:val="0"/>
          <w:sz w:val="24"/>
          <w:highlight w:val="none"/>
        </w:rPr>
        <w:t>乐</w:t>
      </w:r>
      <w:r>
        <w:rPr>
          <w:rFonts w:hint="eastAsia" w:ascii="仿宋" w:hAnsi="仿宋" w:eastAsia="仿宋" w:cs="仿宋"/>
          <w:kern w:val="0"/>
          <w:sz w:val="24"/>
          <w:highlight w:val="none"/>
          <w:lang w:val="zh-CN"/>
        </w:rPr>
        <w:t>采云电子交易客户端”需要提前申领CA数字证书，申领流程请自行前往“浙江政府采购网-下载专区-电子交易客户端-CA驱动和申领流程”进行查阅。</w:t>
      </w:r>
    </w:p>
    <w:p w14:paraId="7BE32520">
      <w:pPr>
        <w:pStyle w:val="23"/>
        <w:snapToGrid w:val="0"/>
        <w:spacing w:before="0"/>
        <w:ind w:firstLine="482"/>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12.4纸质备份文件（如有）的制作要求：</w:t>
      </w:r>
    </w:p>
    <w:p w14:paraId="6CCA2610">
      <w:pPr>
        <w:pStyle w:val="23"/>
        <w:snapToGrid w:val="0"/>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12.4.1投标人制作纸质投标文件须在投标文件封面上标明“正本”与“副本”字样、项目名称与标项号，并加盖投标人公章。正本内容与副本不一致时，以正本为准。</w:t>
      </w:r>
    </w:p>
    <w:p w14:paraId="5AA0039D">
      <w:pPr>
        <w:pStyle w:val="23"/>
        <w:snapToGrid w:val="0"/>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12.4.2投标文件正本应使用不能擦去的墨水打印或书写</w:t>
      </w:r>
      <w:r>
        <w:rPr>
          <w:rFonts w:hint="eastAsia" w:ascii="仿宋" w:hAnsi="仿宋" w:eastAsia="仿宋" w:cs="仿宋"/>
          <w:color w:val="000000"/>
          <w:highlight w:val="none"/>
        </w:rPr>
        <w:t>。</w:t>
      </w:r>
    </w:p>
    <w:p w14:paraId="258E917A">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12.4.3全套投标文件应无涂改和行间插字，除非这些删改是根据采购机构要求进行，或者是投标人造成的必须修改的错误。所修改处应由法定代表人或其授权代表签字盖章予以确认。</w:t>
      </w:r>
    </w:p>
    <w:p w14:paraId="7CBF367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12.4.4 投标文件建议采用A4幅面，按顺序统一编目编码装订成册。</w:t>
      </w:r>
      <w:r>
        <w:rPr>
          <w:rFonts w:hint="eastAsia" w:ascii="仿宋" w:hAnsi="仿宋" w:eastAsia="仿宋" w:cs="仿宋"/>
          <w:b/>
          <w:color w:val="000000"/>
          <w:sz w:val="24"/>
          <w:highlight w:val="none"/>
        </w:rPr>
        <w:t>提倡双面打印</w:t>
      </w:r>
      <w:r>
        <w:rPr>
          <w:rFonts w:hint="eastAsia" w:ascii="仿宋" w:hAnsi="仿宋" w:eastAsia="仿宋" w:cs="仿宋"/>
          <w:color w:val="000000"/>
          <w:sz w:val="24"/>
          <w:highlight w:val="none"/>
        </w:rPr>
        <w:t>。</w:t>
      </w:r>
    </w:p>
    <w:p w14:paraId="57DA2208">
      <w:pPr>
        <w:snapToGrid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13.投标文件的装订、签署、盖章</w:t>
      </w:r>
    </w:p>
    <w:p w14:paraId="259040E1">
      <w:pPr>
        <w:pStyle w:val="23"/>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13.1投标文件按照交易文件第五部分格式要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▲投标人的投标文件未按照交易文件要求签署、盖章的，其投标无效</w:t>
      </w:r>
      <w:r>
        <w:rPr>
          <w:rFonts w:hint="eastAsia" w:ascii="仿宋" w:hAnsi="仿宋" w:eastAsia="仿宋" w:cs="仿宋"/>
          <w:szCs w:val="24"/>
          <w:highlight w:val="none"/>
        </w:rPr>
        <w:t>。</w:t>
      </w:r>
      <w:r>
        <w:rPr>
          <w:rFonts w:hint="eastAsia" w:ascii="仿宋" w:hAnsi="仿宋" w:eastAsia="仿宋" w:cs="仿宋"/>
          <w:highlight w:val="none"/>
        </w:rPr>
        <w:t>投标截止时间前完成在“乐采云平台”的身份认证，确保在电子投标过程中能够对相关数据电文进行加密和使用公章。</w:t>
      </w:r>
    </w:p>
    <w:p w14:paraId="48D89B20">
      <w:pPr>
        <w:pStyle w:val="23"/>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13.2交易文件对投标文件签署、盖章的要求适用于公章（盖章）。</w:t>
      </w:r>
    </w:p>
    <w:p w14:paraId="46BC0491">
      <w:pPr>
        <w:pStyle w:val="23"/>
        <w:spacing w:before="0"/>
        <w:ind w:firstLine="0" w:firstLineChars="0"/>
        <w:rPr>
          <w:rFonts w:hint="eastAsia" w:ascii="仿宋" w:hAnsi="仿宋" w:eastAsia="仿宋" w:cs="仿宋"/>
          <w:b/>
          <w:szCs w:val="24"/>
          <w:highlight w:val="none"/>
        </w:rPr>
      </w:pPr>
      <w:r>
        <w:rPr>
          <w:rFonts w:hint="eastAsia" w:ascii="仿宋" w:hAnsi="仿宋" w:eastAsia="仿宋" w:cs="仿宋"/>
          <w:b/>
          <w:color w:val="000000"/>
          <w:highlight w:val="none"/>
        </w:rPr>
        <w:t>14.</w:t>
      </w:r>
      <w:r>
        <w:rPr>
          <w:rFonts w:hint="eastAsia" w:ascii="仿宋" w:hAnsi="仿宋" w:eastAsia="仿宋" w:cs="仿宋"/>
          <w:b/>
          <w:highlight w:val="none"/>
        </w:rPr>
        <w:t xml:space="preserve"> </w:t>
      </w:r>
      <w:r>
        <w:rPr>
          <w:rFonts w:hint="eastAsia" w:ascii="仿宋" w:hAnsi="仿宋" w:eastAsia="仿宋" w:cs="仿宋"/>
          <w:b/>
          <w:szCs w:val="24"/>
          <w:highlight w:val="none"/>
        </w:rPr>
        <w:t>投标文件的提交、补充、修改、撤回</w:t>
      </w:r>
    </w:p>
    <w:p w14:paraId="7DD09FB8">
      <w:pPr>
        <w:pStyle w:val="23"/>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E93D75">
      <w:pPr>
        <w:pStyle w:val="23"/>
        <w:spacing w:before="0"/>
        <w:ind w:firstLine="600" w:firstLineChars="25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CB2B55">
      <w:pPr>
        <w:pStyle w:val="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14.3采购机构可以视情况延长投标文件提交的截止时间。在上述情况下，采购机构与投标人以前在投标截止期方面的全部权利、责任和义务，将适用于延长至新的投标截止期。</w:t>
      </w:r>
    </w:p>
    <w:p w14:paraId="3553B830">
      <w:pPr>
        <w:pStyle w:val="23"/>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492F02D6">
      <w:pPr>
        <w:pStyle w:val="23"/>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14.4.1 投标人的补充、修改文件，应按本须知规定编制、密封、标志和递交，如果一份投标文件有几份函件时，应注明哪一份有效，否则所作修改视为无效。</w:t>
      </w:r>
    </w:p>
    <w:p w14:paraId="586CAF36">
      <w:pPr>
        <w:pStyle w:val="23"/>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14.4.2投标人对投标文件的修改均要加以说明，否则其修改将被视为无效。</w:t>
      </w:r>
    </w:p>
    <w:p w14:paraId="515B5BE9">
      <w:pPr>
        <w:pStyle w:val="23"/>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575F3EED">
      <w:pPr>
        <w:pStyle w:val="23"/>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14.4.4</w:t>
      </w:r>
      <w:r>
        <w:rPr>
          <w:rFonts w:hint="eastAsia" w:ascii="仿宋" w:hAnsi="仿宋" w:eastAsia="仿宋" w:cs="仿宋"/>
          <w:color w:val="000000"/>
          <w:highlight w:val="none"/>
        </w:rPr>
        <w:t>在开标后规定的投标有效期内</w:t>
      </w:r>
      <w:r>
        <w:rPr>
          <w:rFonts w:hint="eastAsia" w:ascii="仿宋" w:hAnsi="仿宋" w:eastAsia="仿宋" w:cs="仿宋"/>
          <w:color w:val="000000"/>
          <w:szCs w:val="24"/>
          <w:highlight w:val="none"/>
        </w:rPr>
        <w:t>，投标人不能撤销投标文件。</w:t>
      </w:r>
    </w:p>
    <w:p w14:paraId="05405970">
      <w:pPr>
        <w:snapToGrid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15.投标文件的递交</w:t>
      </w:r>
    </w:p>
    <w:p w14:paraId="1D6BFB24">
      <w:pPr>
        <w:pStyle w:val="23"/>
        <w:ind w:firstLine="480"/>
        <w:rPr>
          <w:rFonts w:hint="eastAsia" w:ascii="仿宋" w:hAnsi="仿宋" w:eastAsia="仿宋" w:cs="仿宋"/>
          <w:szCs w:val="24"/>
          <w:highlight w:val="none"/>
        </w:rPr>
      </w:pPr>
      <w:r>
        <w:rPr>
          <w:rFonts w:hint="eastAsia" w:ascii="仿宋" w:hAnsi="仿宋" w:eastAsia="仿宋" w:cs="仿宋"/>
          <w:szCs w:val="24"/>
          <w:highlight w:val="none"/>
        </w:rPr>
        <w:t>15.1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4F3382">
      <w:pPr>
        <w:pStyle w:val="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15.2采购机构可以视情况延长投标文件提交的截止时间。在上述情况下，采购机构与投标人以前在投标截止期方面的全部权利、责任和义务，将适用于延长至新的投标截止期。</w:t>
      </w:r>
    </w:p>
    <w:bookmarkEnd w:id="52"/>
    <w:bookmarkEnd w:id="53"/>
    <w:p w14:paraId="2308C822">
      <w:pPr>
        <w:pStyle w:val="23"/>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16.投标文件的无效处理</w:t>
      </w:r>
    </w:p>
    <w:p w14:paraId="48E086C5">
      <w:pPr>
        <w:pStyle w:val="8"/>
        <w:spacing w:line="360" w:lineRule="auto"/>
        <w:ind w:firstLine="360" w:firstLineChars="15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有交易文件第四部分</w:t>
      </w:r>
      <w:r>
        <w:rPr>
          <w:rFonts w:hint="eastAsia" w:ascii="仿宋" w:hAnsi="仿宋" w:eastAsia="仿宋" w:cs="仿宋"/>
          <w:color w:val="000000"/>
          <w:highlight w:val="none"/>
        </w:rPr>
        <w:t>第13项规定</w:t>
      </w:r>
      <w:r>
        <w:rPr>
          <w:rFonts w:hint="eastAsia" w:ascii="仿宋" w:hAnsi="仿宋" w:eastAsia="仿宋" w:cs="仿宋"/>
          <w:color w:val="000000"/>
          <w:szCs w:val="21"/>
          <w:highlight w:val="none"/>
        </w:rPr>
        <w:t>的情形之一的，投标无效：</w:t>
      </w:r>
    </w:p>
    <w:p w14:paraId="083CA622">
      <w:pPr>
        <w:pStyle w:val="23"/>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17.投标有效期</w:t>
      </w:r>
    </w:p>
    <w:p w14:paraId="064094BC">
      <w:pPr>
        <w:spacing w:line="360" w:lineRule="auto"/>
        <w:ind w:firstLine="480" w:firstLineChars="200"/>
        <w:rPr>
          <w:rFonts w:hint="eastAsia" w:ascii="仿宋" w:hAnsi="仿宋" w:eastAsia="仿宋" w:cs="仿宋"/>
          <w:b/>
          <w:color w:val="000000"/>
          <w:sz w:val="24"/>
          <w:szCs w:val="21"/>
          <w:highlight w:val="none"/>
        </w:rPr>
      </w:pPr>
      <w:r>
        <w:rPr>
          <w:rFonts w:hint="eastAsia" w:ascii="仿宋" w:hAnsi="仿宋" w:eastAsia="仿宋" w:cs="仿宋"/>
          <w:color w:val="000000"/>
          <w:sz w:val="24"/>
          <w:szCs w:val="20"/>
          <w:highlight w:val="none"/>
        </w:rPr>
        <w:t>17.1投标有效期为从提交投标文件的截止之日起90天。▲</w:t>
      </w:r>
      <w:r>
        <w:rPr>
          <w:rFonts w:hint="eastAsia" w:ascii="仿宋" w:hAnsi="仿宋" w:eastAsia="仿宋" w:cs="仿宋"/>
          <w:b/>
          <w:color w:val="000000"/>
          <w:sz w:val="24"/>
          <w:szCs w:val="20"/>
          <w:highlight w:val="none"/>
        </w:rPr>
        <w:t>投标人的投标文件中承</w:t>
      </w:r>
      <w:r>
        <w:rPr>
          <w:rFonts w:hint="eastAsia" w:ascii="仿宋" w:hAnsi="仿宋" w:eastAsia="仿宋" w:cs="仿宋"/>
          <w:b/>
          <w:color w:val="000000"/>
          <w:sz w:val="24"/>
          <w:szCs w:val="21"/>
          <w:highlight w:val="none"/>
        </w:rPr>
        <w:t>诺的投标有效期少于交易文件中载明的投标有效期的，投标无效。</w:t>
      </w:r>
    </w:p>
    <w:p w14:paraId="2AC59D27">
      <w:pPr>
        <w:pStyle w:val="23"/>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17.2投标文件合格投递后，自投标截止日期起，在投标有效期内有效。</w:t>
      </w:r>
    </w:p>
    <w:p w14:paraId="5239DFA5">
      <w:pPr>
        <w:pStyle w:val="23"/>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17.3在原定投标有效期满之前，如果出现特殊情况，采购机构可以以公告形式通知投标人延长投标有效期。</w:t>
      </w:r>
      <w:r>
        <w:rPr>
          <w:rFonts w:hint="eastAsia" w:ascii="仿宋" w:hAnsi="仿宋" w:eastAsia="仿宋" w:cs="仿宋"/>
          <w:highlight w:val="none"/>
        </w:rPr>
        <w:t>投标人同意延长的，不得要求或被允许修改其投标文件，投标人拒绝延长的，其</w:t>
      </w:r>
      <w:r>
        <w:rPr>
          <w:rFonts w:hint="eastAsia" w:ascii="仿宋" w:hAnsi="仿宋" w:eastAsia="仿宋" w:cs="仿宋"/>
          <w:color w:val="000000"/>
          <w:highlight w:val="none"/>
        </w:rPr>
        <w:t>投标无效</w:t>
      </w:r>
      <w:r>
        <w:rPr>
          <w:rFonts w:hint="eastAsia" w:ascii="仿宋" w:hAnsi="仿宋" w:eastAsia="仿宋" w:cs="仿宋"/>
          <w:highlight w:val="none"/>
        </w:rPr>
        <w:t>。</w:t>
      </w:r>
    </w:p>
    <w:p w14:paraId="647AC548">
      <w:pPr>
        <w:pStyle w:val="23"/>
        <w:spacing w:before="0"/>
        <w:ind w:firstLine="0" w:firstLineChars="0"/>
        <w:jc w:val="center"/>
        <w:rPr>
          <w:rFonts w:hint="eastAsia" w:ascii="仿宋" w:hAnsi="仿宋" w:eastAsia="仿宋" w:cs="仿宋"/>
          <w:b/>
          <w:color w:val="000000"/>
          <w:sz w:val="32"/>
          <w:highlight w:val="none"/>
        </w:rPr>
      </w:pPr>
      <w:bookmarkStart w:id="55" w:name="_Toc91899897"/>
    </w:p>
    <w:p w14:paraId="0967B8FB">
      <w:pPr>
        <w:pStyle w:val="23"/>
        <w:spacing w:before="0"/>
        <w:ind w:firstLine="0"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四、</w:t>
      </w:r>
      <w:bookmarkEnd w:id="55"/>
      <w:r>
        <w:rPr>
          <w:rFonts w:hint="eastAsia" w:ascii="仿宋" w:hAnsi="仿宋" w:eastAsia="仿宋" w:cs="仿宋"/>
          <w:b/>
          <w:color w:val="000000"/>
          <w:sz w:val="32"/>
          <w:highlight w:val="none"/>
        </w:rPr>
        <w:t>开标、资格审查与信用信息查询</w:t>
      </w:r>
    </w:p>
    <w:p w14:paraId="067472C4">
      <w:pPr>
        <w:pStyle w:val="24"/>
        <w:spacing w:before="0" w:line="360" w:lineRule="auto"/>
        <w:ind w:left="0" w:firstLine="241" w:firstLineChars="100"/>
        <w:contextualSpacing/>
        <w:rPr>
          <w:rFonts w:hint="eastAsia" w:ascii="仿宋" w:hAnsi="仿宋" w:eastAsia="仿宋" w:cs="仿宋"/>
          <w:color w:val="FF0000"/>
          <w:sz w:val="24"/>
          <w:highlight w:val="none"/>
        </w:rPr>
      </w:pPr>
      <w:r>
        <w:rPr>
          <w:rFonts w:hint="eastAsia" w:ascii="仿宋" w:hAnsi="仿宋" w:eastAsia="仿宋" w:cs="仿宋"/>
          <w:b/>
          <w:color w:val="000000"/>
          <w:sz w:val="24"/>
          <w:szCs w:val="24"/>
          <w:highlight w:val="none"/>
        </w:rPr>
        <w:t>18.开标</w:t>
      </w:r>
    </w:p>
    <w:p w14:paraId="256D6524">
      <w:pPr>
        <w:pStyle w:val="24"/>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18.1采购机构按照交易文件规定的时间通过电子交易平台组织开标，所有投标人均应当准时在线参加。投标人不足3家的，不得开标。</w:t>
      </w:r>
    </w:p>
    <w:p w14:paraId="7B5C9DE7">
      <w:pPr>
        <w:pStyle w:val="24"/>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18.2开标时，电子交易平台按开标时间自动提取所有投标文件。采购机构依托电子交易平台发起开始解密指令，投标人按照平台提示和交易文件的规定在半小时内完成在线解密。</w:t>
      </w:r>
    </w:p>
    <w:p w14:paraId="2060E67D">
      <w:pPr>
        <w:pStyle w:val="24"/>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18.3项目允许提供备份文件时，仅因乐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sz w:val="24"/>
          <w:highlight w:val="none"/>
        </w:rPr>
        <w:t>投标文件已按时解密的，备份投标文件自动失效。</w:t>
      </w:r>
    </w:p>
    <w:p w14:paraId="3AC4648C">
      <w:pPr>
        <w:pStyle w:val="24"/>
        <w:spacing w:before="0" w:line="360" w:lineRule="auto"/>
        <w:ind w:left="0" w:firstLine="480" w:firstLineChars="200"/>
        <w:contextualSpacing/>
        <w:rPr>
          <w:rFonts w:hint="eastAsia" w:ascii="仿宋" w:hAnsi="仿宋" w:eastAsia="仿宋" w:cs="仿宋"/>
          <w:color w:val="000000"/>
          <w:sz w:val="24"/>
          <w:highlight w:val="none"/>
        </w:rPr>
      </w:pPr>
      <w:r>
        <w:rPr>
          <w:rFonts w:hint="eastAsia" w:ascii="仿宋" w:hAnsi="仿宋" w:eastAsia="仿宋" w:cs="仿宋"/>
          <w:color w:val="000000"/>
          <w:sz w:val="24"/>
          <w:highlight w:val="none"/>
        </w:rPr>
        <w:t>18.4 备份投标文件的接收在交易文件确定的时间、地点进行。</w:t>
      </w:r>
    </w:p>
    <w:p w14:paraId="63BA0011">
      <w:pPr>
        <w:widowControl/>
        <w:spacing w:before="100" w:beforeAutospacing="1" w:after="240" w:line="360" w:lineRule="auto"/>
        <w:jc w:val="left"/>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　19、资格审查</w:t>
      </w:r>
    </w:p>
    <w:p w14:paraId="7BF32539">
      <w:pPr>
        <w:pStyle w:val="23"/>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19.1开标后，采购人将依法对投标人的资格进行审查。</w:t>
      </w:r>
    </w:p>
    <w:p w14:paraId="777C421A">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19.2</w:t>
      </w:r>
      <w:r>
        <w:rPr>
          <w:rFonts w:hint="eastAsia" w:ascii="仿宋" w:hAnsi="仿宋" w:eastAsia="仿宋" w:cs="仿宋"/>
          <w:color w:val="000000"/>
          <w:sz w:val="24"/>
          <w:highlight w:val="none"/>
        </w:rPr>
        <w:t>采购人或采购机构依据法律法规和交易文件的规定，对投标人的基本资格条件、特定资格条件进行审查。</w:t>
      </w:r>
    </w:p>
    <w:p w14:paraId="76C3ED67">
      <w:pPr>
        <w:pStyle w:val="23"/>
        <w:spacing w:before="0"/>
        <w:ind w:firstLine="480"/>
        <w:rPr>
          <w:rFonts w:hint="eastAsia" w:ascii="仿宋" w:hAnsi="仿宋" w:eastAsia="仿宋" w:cs="仿宋"/>
          <w:color w:val="000000"/>
          <w:highlight w:val="none"/>
        </w:rPr>
      </w:pPr>
      <w:r>
        <w:rPr>
          <w:rFonts w:hint="eastAsia" w:ascii="仿宋" w:hAnsi="仿宋" w:eastAsia="仿宋" w:cs="仿宋"/>
          <w:color w:val="000000"/>
          <w:kern w:val="0"/>
          <w:szCs w:val="24"/>
          <w:highlight w:val="none"/>
        </w:rPr>
        <w:t>19.3投标人未按照交易文件要求提供与</w:t>
      </w:r>
      <w:r>
        <w:rPr>
          <w:rFonts w:hint="eastAsia" w:ascii="仿宋" w:hAnsi="仿宋" w:eastAsia="仿宋" w:cs="仿宋"/>
          <w:color w:val="000000"/>
          <w:highlight w:val="none"/>
        </w:rPr>
        <w:t>基本资格条件、特定资格条件相应的</w:t>
      </w:r>
      <w:r>
        <w:rPr>
          <w:rFonts w:hint="eastAsia" w:ascii="仿宋" w:hAnsi="仿宋" w:eastAsia="仿宋" w:cs="仿宋"/>
          <w:color w:val="000000"/>
          <w:kern w:val="0"/>
          <w:szCs w:val="24"/>
          <w:highlight w:val="none"/>
        </w:rPr>
        <w:t>有效资格证明材料的，视为</w:t>
      </w:r>
      <w:r>
        <w:rPr>
          <w:rFonts w:hint="eastAsia" w:ascii="仿宋" w:hAnsi="仿宋" w:eastAsia="仿宋" w:cs="仿宋"/>
          <w:color w:val="000000"/>
          <w:highlight w:val="none"/>
        </w:rPr>
        <w:t>投标人不具备交易文件中规定的资格要求，其</w:t>
      </w:r>
      <w:r>
        <w:rPr>
          <w:rFonts w:hint="eastAsia" w:ascii="仿宋" w:hAnsi="仿宋" w:eastAsia="仿宋" w:cs="仿宋"/>
          <w:color w:val="000000"/>
          <w:kern w:val="0"/>
          <w:szCs w:val="24"/>
          <w:highlight w:val="none"/>
        </w:rPr>
        <w:t>投标无效</w:t>
      </w:r>
      <w:r>
        <w:rPr>
          <w:rFonts w:hint="eastAsia" w:ascii="仿宋" w:hAnsi="仿宋" w:eastAsia="仿宋" w:cs="仿宋"/>
          <w:color w:val="000000"/>
          <w:highlight w:val="none"/>
        </w:rPr>
        <w:t>。</w:t>
      </w:r>
    </w:p>
    <w:p w14:paraId="6470CAC5">
      <w:pPr>
        <w:pStyle w:val="23"/>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19.4对未通过资格审查的投标人，采购人或采购机构告知其未通过的原因。</w:t>
      </w:r>
    </w:p>
    <w:p w14:paraId="7F1C96F8">
      <w:pPr>
        <w:pStyle w:val="23"/>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19.5合格投标人不足3家的，不再评标。</w:t>
      </w:r>
    </w:p>
    <w:p w14:paraId="02F6EC87">
      <w:pPr>
        <w:pStyle w:val="23"/>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20、信用信息查询</w:t>
      </w:r>
    </w:p>
    <w:p w14:paraId="4064E735">
      <w:pPr>
        <w:pStyle w:val="23"/>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20.1信用信息查询渠道及截止时间：采购人或采购机构将通过“信用中国”网站(www.creditchina.gov.cn)、中国政府采购网(www.ccgp.gov.cn)渠道查询投标人投标截止时间前的信用记录。</w:t>
      </w:r>
    </w:p>
    <w:p w14:paraId="4BF14A1D">
      <w:pPr>
        <w:pStyle w:val="23"/>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20.2信用信息查询记录和证据留存的具体方式：现场查询的投标人的信用记录、查询结果经确认后将与交易文件一起存档。</w:t>
      </w:r>
    </w:p>
    <w:p w14:paraId="12E783D6">
      <w:pPr>
        <w:pStyle w:val="23"/>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20.3信用信息的使用规则：经查询列入失信被执行人名单、重大税收违法案件当事人名单、政府采购严重违法失信行为记录名单的投标人将被拒绝参与采购活动。</w:t>
      </w:r>
    </w:p>
    <w:p w14:paraId="52626E6B">
      <w:pPr>
        <w:pStyle w:val="23"/>
        <w:spacing w:before="0"/>
        <w:ind w:firstLine="0" w:firstLineChars="0"/>
        <w:rPr>
          <w:rFonts w:hint="eastAsia" w:ascii="仿宋" w:hAnsi="仿宋" w:eastAsia="仿宋" w:cs="仿宋"/>
          <w:color w:val="000000"/>
          <w:kern w:val="0"/>
          <w:szCs w:val="24"/>
          <w:highlight w:val="none"/>
        </w:rPr>
      </w:pPr>
    </w:p>
    <w:p w14:paraId="532C6DCE">
      <w:pPr>
        <w:snapToGrid w:val="0"/>
        <w:spacing w:line="360" w:lineRule="auto"/>
        <w:jc w:val="center"/>
        <w:outlineLvl w:val="0"/>
        <w:rPr>
          <w:rFonts w:hint="eastAsia" w:ascii="仿宋" w:hAnsi="仿宋" w:eastAsia="仿宋" w:cs="仿宋"/>
          <w:b/>
          <w:color w:val="000000"/>
          <w:sz w:val="36"/>
          <w:szCs w:val="36"/>
          <w:highlight w:val="none"/>
        </w:rPr>
      </w:pPr>
      <w:bookmarkStart w:id="56" w:name="_Hlt75236101"/>
      <w:bookmarkEnd w:id="56"/>
      <w:bookmarkStart w:id="57" w:name="_Toc91899902"/>
      <w:r>
        <w:rPr>
          <w:rFonts w:hint="eastAsia" w:ascii="仿宋" w:hAnsi="仿宋" w:eastAsia="仿宋" w:cs="仿宋"/>
          <w:b/>
          <w:color w:val="000000"/>
          <w:sz w:val="36"/>
          <w:szCs w:val="36"/>
          <w:highlight w:val="none"/>
        </w:rPr>
        <w:t>五、评标</w:t>
      </w:r>
      <w:bookmarkEnd w:id="57"/>
    </w:p>
    <w:p w14:paraId="708759CE">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21.</w:t>
      </w:r>
      <w:r>
        <w:rPr>
          <w:rFonts w:hint="eastAsia" w:ascii="仿宋" w:hAnsi="仿宋" w:eastAsia="仿宋" w:cs="仿宋"/>
          <w:color w:val="000000"/>
          <w:sz w:val="24"/>
          <w:highlight w:val="none"/>
        </w:rPr>
        <w:t>本项目原则上采用电子评审方法，若因乐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交易文件第四部分“评标方法及评分标准”</w:t>
      </w:r>
    </w:p>
    <w:p w14:paraId="105A6BC5">
      <w:pPr>
        <w:spacing w:line="360" w:lineRule="auto"/>
        <w:rPr>
          <w:rFonts w:hint="eastAsia" w:ascii="仿宋" w:hAnsi="仿宋" w:eastAsia="仿宋" w:cs="仿宋"/>
          <w:b/>
          <w:color w:val="000000"/>
          <w:sz w:val="24"/>
          <w:highlight w:val="none"/>
        </w:rPr>
      </w:pPr>
    </w:p>
    <w:p w14:paraId="2C7C68D8">
      <w:pPr>
        <w:snapToGrid w:val="0"/>
        <w:spacing w:line="360" w:lineRule="auto"/>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六、定 标</w:t>
      </w:r>
    </w:p>
    <w:p w14:paraId="22F76D30">
      <w:pPr>
        <w:pStyle w:val="8"/>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22. 确定中标供应商</w:t>
      </w:r>
    </w:p>
    <w:p w14:paraId="4189B1CD">
      <w:pPr>
        <w:pStyle w:val="23"/>
        <w:snapToGrid w:val="0"/>
        <w:spacing w:before="0"/>
        <w:ind w:firstLine="480"/>
        <w:rPr>
          <w:rFonts w:hint="eastAsia" w:ascii="仿宋" w:hAnsi="仿宋" w:eastAsia="仿宋" w:cs="仿宋"/>
          <w:b/>
          <w:color w:val="000000"/>
          <w:szCs w:val="24"/>
          <w:highlight w:val="none"/>
        </w:rPr>
      </w:pPr>
      <w:r>
        <w:rPr>
          <w:rFonts w:hint="eastAsia" w:ascii="仿宋" w:hAnsi="仿宋" w:eastAsia="仿宋" w:cs="仿宋"/>
          <w:color w:val="000000"/>
          <w:szCs w:val="24"/>
          <w:highlight w:val="none"/>
        </w:rPr>
        <w:t>采购机构将自评审结束之日起2个工作日内将评审报告送交采购人。采购人将自收到评审报告之日起5个工作日内在评审报告推荐的中标候选人中按顺序确定中标供应商。</w:t>
      </w:r>
    </w:p>
    <w:p w14:paraId="0C28B1DD">
      <w:pPr>
        <w:pStyle w:val="23"/>
        <w:snapToGrid w:val="0"/>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23. 中标通知与中标结果公告</w:t>
      </w:r>
    </w:p>
    <w:p w14:paraId="74137C6C">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23.1采购机构将在自中标人确定之日起2个工作日内，发布招标公告的网站上公告中标结果，同时发出中标通知书。</w:t>
      </w:r>
    </w:p>
    <w:p w14:paraId="68E0274C">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5861E60E">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23.3公告期限为1个工作日。</w:t>
      </w:r>
    </w:p>
    <w:p w14:paraId="6E0D4702">
      <w:pPr>
        <w:snapToGrid w:val="0"/>
        <w:spacing w:line="360" w:lineRule="auto"/>
        <w:ind w:left="120" w:leftChars="57" w:firstLine="482" w:firstLineChars="150"/>
        <w:jc w:val="center"/>
        <w:rPr>
          <w:rFonts w:hint="eastAsia" w:ascii="仿宋" w:hAnsi="仿宋" w:eastAsia="仿宋" w:cs="仿宋"/>
          <w:b/>
          <w:color w:val="000000"/>
          <w:sz w:val="32"/>
          <w:highlight w:val="none"/>
        </w:rPr>
      </w:pPr>
    </w:p>
    <w:p w14:paraId="1173DA8E">
      <w:pPr>
        <w:snapToGrid w:val="0"/>
        <w:spacing w:line="360" w:lineRule="auto"/>
        <w:ind w:left="120" w:leftChars="57" w:firstLine="482" w:firstLineChars="15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七、合同授予</w:t>
      </w:r>
    </w:p>
    <w:p w14:paraId="30CC59A4">
      <w:pPr>
        <w:pStyle w:val="8"/>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24. 合同的签订</w:t>
      </w:r>
    </w:p>
    <w:p w14:paraId="41429137">
      <w:pPr>
        <w:widowControl/>
        <w:shd w:val="clear" w:color="auto" w:fill="FFFFFF"/>
        <w:spacing w:line="360" w:lineRule="auto"/>
        <w:ind w:firstLine="48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24.1</w:t>
      </w:r>
      <w:r>
        <w:rPr>
          <w:rFonts w:hint="eastAsia" w:ascii="仿宋" w:hAnsi="仿宋" w:eastAsia="仿宋" w:cs="仿宋"/>
          <w:color w:val="000000"/>
          <w:kern w:val="0"/>
          <w:sz w:val="24"/>
          <w:highlight w:val="none"/>
        </w:rPr>
        <w:t xml:space="preserve"> 采购人与</w:t>
      </w:r>
      <w:r>
        <w:rPr>
          <w:rFonts w:hint="eastAsia" w:ascii="仿宋" w:hAnsi="仿宋" w:eastAsia="仿宋" w:cs="仿宋"/>
          <w:color w:val="000000"/>
          <w:sz w:val="24"/>
          <w:highlight w:val="none"/>
        </w:rPr>
        <w:t>中标人</w:t>
      </w:r>
      <w:r>
        <w:rPr>
          <w:rFonts w:hint="eastAsia" w:ascii="仿宋" w:hAnsi="仿宋" w:eastAsia="仿宋" w:cs="仿宋"/>
          <w:color w:val="000000"/>
          <w:kern w:val="0"/>
          <w:sz w:val="24"/>
          <w:highlight w:val="none"/>
        </w:rPr>
        <w:t>应当在</w:t>
      </w:r>
      <w:r>
        <w:rPr>
          <w:rFonts w:hint="eastAsia" w:ascii="仿宋" w:hAnsi="仿宋" w:eastAsia="仿宋" w:cs="仿宋"/>
          <w:color w:val="000000"/>
          <w:sz w:val="24"/>
          <w:highlight w:val="none"/>
        </w:rPr>
        <w:t>中标通知书</w:t>
      </w:r>
      <w:r>
        <w:rPr>
          <w:rFonts w:hint="eastAsia" w:ascii="仿宋" w:hAnsi="仿宋" w:eastAsia="仿宋" w:cs="仿宋"/>
          <w:color w:val="000000"/>
          <w:kern w:val="0"/>
          <w:sz w:val="24"/>
          <w:highlight w:val="none"/>
        </w:rPr>
        <w:t>发出之日起三十日内，按照交易文件确定的事项签订采购合同。</w:t>
      </w:r>
    </w:p>
    <w:p w14:paraId="04DD3EEB">
      <w:pPr>
        <w:pStyle w:val="23"/>
        <w:snapToGrid w:val="0"/>
        <w:spacing w:before="0"/>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24.2</w:t>
      </w:r>
      <w:r>
        <w:rPr>
          <w:rFonts w:hint="eastAsia" w:ascii="仿宋" w:hAnsi="仿宋" w:eastAsia="仿宋" w:cs="仿宋"/>
          <w:color w:val="000000"/>
          <w:highlight w:val="none"/>
        </w:rPr>
        <w:t>中标人</w:t>
      </w:r>
      <w:r>
        <w:rPr>
          <w:rFonts w:hint="eastAsia" w:ascii="仿宋" w:hAnsi="仿宋" w:eastAsia="仿宋" w:cs="仿宋"/>
          <w:color w:val="000000"/>
          <w:kern w:val="0"/>
          <w:highlight w:val="none"/>
          <w:lang w:val="zh-CN"/>
        </w:rPr>
        <w:t>按规定的日期、时间、地点，由法定代表人或其授权代表与采购人代表签订合同。</w:t>
      </w:r>
    </w:p>
    <w:p w14:paraId="5F283AF9">
      <w:pPr>
        <w:pStyle w:val="23"/>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24.3如签订合同并生效后，供应商无故拒绝或延期，除按照合同条款处理外，列入不良行为记录一次，并给予通报。</w:t>
      </w:r>
    </w:p>
    <w:p w14:paraId="435DC8BD">
      <w:pPr>
        <w:pStyle w:val="23"/>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24.4成交供应商拒绝与采购人签订合同的，采购人可以按照评审报告推荐的成交或者成交候选人名单排序，确定下一候选人为中标供应商，也可以重新开展采购活动。</w:t>
      </w:r>
    </w:p>
    <w:p w14:paraId="190C268E">
      <w:pPr>
        <w:pStyle w:val="8"/>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25. 履约保证金</w:t>
      </w:r>
    </w:p>
    <w:p w14:paraId="5BDCA52D">
      <w:pPr>
        <w:tabs>
          <w:tab w:val="left" w:pos="0"/>
        </w:tabs>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拟签订的合同文本要求</w:t>
      </w:r>
      <w:r>
        <w:rPr>
          <w:rFonts w:hint="eastAsia" w:ascii="仿宋" w:hAnsi="仿宋" w:eastAsia="仿宋" w:cs="仿宋"/>
          <w:color w:val="000000"/>
          <w:sz w:val="24"/>
          <w:highlight w:val="none"/>
        </w:rPr>
        <w:t>成交</w:t>
      </w:r>
      <w:r>
        <w:rPr>
          <w:rFonts w:hint="eastAsia" w:ascii="仿宋" w:hAnsi="仿宋" w:eastAsia="仿宋" w:cs="仿宋"/>
          <w:color w:val="000000"/>
          <w:kern w:val="0"/>
          <w:sz w:val="24"/>
          <w:highlight w:val="none"/>
        </w:rPr>
        <w:t>供应商提交履约保证金的，供应商应当以支票、汇票、等形式提交</w:t>
      </w:r>
      <w:r>
        <w:rPr>
          <w:rFonts w:hint="eastAsia" w:ascii="仿宋" w:hAnsi="仿宋" w:eastAsia="仿宋" w:cs="仿宋"/>
          <w:color w:val="000000"/>
          <w:sz w:val="24"/>
          <w:highlight w:val="none"/>
        </w:rPr>
        <w:t>。</w:t>
      </w:r>
    </w:p>
    <w:p w14:paraId="34757F8E">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570B9594">
      <w:pPr>
        <w:pStyle w:val="23"/>
        <w:snapToGrid w:val="0"/>
        <w:spacing w:before="0"/>
        <w:ind w:firstLine="0" w:firstLineChars="0"/>
        <w:rPr>
          <w:rFonts w:hint="eastAsia" w:ascii="仿宋" w:hAnsi="仿宋" w:eastAsia="仿宋" w:cs="仿宋"/>
          <w:highlight w:val="none"/>
        </w:rPr>
      </w:pPr>
      <w:r>
        <w:rPr>
          <w:rFonts w:hint="eastAsia" w:ascii="仿宋" w:hAnsi="仿宋" w:eastAsia="仿宋" w:cs="仿宋"/>
          <w:b/>
          <w:highlight w:val="none"/>
        </w:rPr>
        <w:t>26</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03C13078">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26.1电子交易平台发生故障而无法登录访问的； </w:t>
      </w:r>
    </w:p>
    <w:p w14:paraId="353A7683">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26.2电子交易平台应用或数据库出现错误，不能进行正常操作的；</w:t>
      </w:r>
    </w:p>
    <w:p w14:paraId="2F389030">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26.3电子交易平台发现严重安全漏洞，有潜在泄密危险的；</w:t>
      </w:r>
    </w:p>
    <w:p w14:paraId="1DD9D08C">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26.4病毒发作导致不能进行正常操作的； </w:t>
      </w:r>
    </w:p>
    <w:p w14:paraId="4A35E3F0">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26.5其他无法保证电子交易的公平、公正和安全的情况。</w:t>
      </w:r>
    </w:p>
    <w:p w14:paraId="0B6D981D">
      <w:pPr>
        <w:pStyle w:val="23"/>
        <w:snapToGrid w:val="0"/>
        <w:spacing w:before="0"/>
        <w:ind w:firstLine="480"/>
        <w:rPr>
          <w:rFonts w:hint="eastAsia" w:ascii="仿宋" w:hAnsi="仿宋" w:eastAsia="仿宋" w:cs="仿宋"/>
          <w:highlight w:val="none"/>
        </w:rPr>
      </w:pP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98E7B4F">
      <w:pPr>
        <w:snapToGrid w:val="0"/>
        <w:spacing w:line="360" w:lineRule="auto"/>
        <w:ind w:left="120" w:leftChars="57" w:firstLine="360" w:firstLineChars="1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F418813">
      <w:pPr>
        <w:snapToGrid w:val="0"/>
        <w:spacing w:line="360" w:lineRule="auto"/>
        <w:ind w:left="120" w:leftChars="57" w:firstLine="482" w:firstLineChars="15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九、验收</w:t>
      </w:r>
    </w:p>
    <w:p w14:paraId="33A068AB">
      <w:pPr>
        <w:pStyle w:val="8"/>
        <w:spacing w:line="360" w:lineRule="auto"/>
        <w:ind w:firstLine="0" w:firstLineChars="0"/>
        <w:rPr>
          <w:rFonts w:hint="eastAsia" w:ascii="仿宋" w:hAnsi="仿宋" w:eastAsia="仿宋" w:cs="仿宋"/>
          <w:b/>
          <w:color w:val="000000"/>
          <w:highlight w:val="none"/>
        </w:rPr>
      </w:pPr>
      <w:r>
        <w:rPr>
          <w:rFonts w:hint="eastAsia" w:ascii="仿宋" w:hAnsi="仿宋" w:eastAsia="仿宋" w:cs="仿宋"/>
          <w:b/>
          <w:color w:val="000000"/>
          <w:highlight w:val="none"/>
        </w:rPr>
        <w:t>27.验收</w:t>
      </w:r>
    </w:p>
    <w:p w14:paraId="2EA981F4">
      <w:pPr>
        <w:tabs>
          <w:tab w:val="left" w:pos="0"/>
        </w:tabs>
        <w:spacing w:line="360" w:lineRule="auto"/>
        <w:ind w:firstLine="480"/>
        <w:jc w:val="left"/>
        <w:rPr>
          <w:rFonts w:hint="eastAsia" w:ascii="仿宋" w:hAnsi="仿宋" w:eastAsia="仿宋" w:cs="仿宋"/>
          <w:color w:val="000000"/>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color w:val="000000"/>
          <w:kern w:val="0"/>
          <w:sz w:val="24"/>
          <w:highlight w:val="none"/>
        </w:rPr>
        <w:t>27.1采购人应当组织对供应商履约的验收。验收标准按区相关政策文件执行。</w:t>
      </w:r>
    </w:p>
    <w:bookmarkEnd w:id="38"/>
    <w:bookmarkEnd w:id="39"/>
    <w:p w14:paraId="7A89328C">
      <w:pPr>
        <w:pStyle w:val="2"/>
        <w:rPr>
          <w:rFonts w:hint="eastAsia" w:ascii="仿宋" w:hAnsi="仿宋" w:eastAsia="仿宋" w:cs="仿宋"/>
          <w:highlight w:val="none"/>
        </w:rPr>
      </w:pPr>
      <w:bookmarkStart w:id="58" w:name="第四部分"/>
      <w:r>
        <w:rPr>
          <w:rFonts w:hint="eastAsia" w:ascii="仿宋" w:hAnsi="仿宋" w:eastAsia="仿宋" w:cs="仿宋"/>
          <w:highlight w:val="none"/>
        </w:rPr>
        <w:t>第三部分   采购需求</w:t>
      </w:r>
    </w:p>
    <w:p w14:paraId="49B40D43">
      <w:pPr>
        <w:spacing w:line="360" w:lineRule="auto"/>
        <w:ind w:firstLine="480" w:firstLineChars="200"/>
        <w:rPr>
          <w:rFonts w:hint="eastAsia" w:ascii="仿宋" w:hAnsi="仿宋" w:eastAsia="仿宋" w:cs="仿宋"/>
          <w:bCs/>
          <w:sz w:val="24"/>
          <w:highlight w:val="none"/>
        </w:rPr>
      </w:pPr>
      <w:bookmarkStart w:id="59" w:name="_二期网络工程项目改造需求"/>
      <w:bookmarkEnd w:id="59"/>
    </w:p>
    <w:p w14:paraId="36D65507">
      <w:pPr>
        <w:pStyle w:val="4"/>
        <w:numPr>
          <w:ilvl w:val="2"/>
          <w:numId w:val="0"/>
        </w:numPr>
        <w:tabs>
          <w:tab w:val="clear" w:pos="900"/>
        </w:tabs>
        <w:spacing w:after="0" w:line="360" w:lineRule="auto"/>
        <w:jc w:val="left"/>
        <w:rPr>
          <w:rFonts w:hint="eastAsia" w:ascii="仿宋" w:hAnsi="仿宋" w:eastAsia="仿宋" w:cs="仿宋"/>
          <w:sz w:val="24"/>
          <w:highlight w:val="none"/>
        </w:rPr>
      </w:pPr>
      <w:r>
        <w:rPr>
          <w:rFonts w:hint="eastAsia" w:ascii="仿宋" w:hAnsi="仿宋" w:eastAsia="仿宋" w:cs="仿宋"/>
          <w:highlight w:val="none"/>
        </w:rPr>
        <w:t>一、技术需求</w:t>
      </w:r>
    </w:p>
    <w:p w14:paraId="385D71FF">
      <w:pPr>
        <w:pStyle w:val="5"/>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（一）监理服务范围</w:t>
      </w:r>
    </w:p>
    <w:p w14:paraId="41E1A267">
      <w:pPr>
        <w:pStyle w:val="5"/>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监理任务为对进化中心粮库设备采购项目（日处理250吨（原粮）大米加工设备</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"https://zfcg.czt.zj.gov.cn/site/detail?parentId=600007&amp;articleId=fdkN60ZSmRw3nk3b8ZbxTQ==、"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仓储保管工艺及机修设备、智能化系统设备、进化中心粮库日处理潮粮150吨烘干机及辅助配套设备采购项目（重招）、平房仓进出仓工艺设备、检化验设备等）提供监理服务，设备采购总额约4500万元（具体按实结算监理费）。</w:t>
      </w:r>
    </w:p>
    <w:p w14:paraId="2281404A">
      <w:pPr>
        <w:pStyle w:val="3"/>
        <w:numPr>
          <w:ilvl w:val="0"/>
          <w:numId w:val="0"/>
        </w:numPr>
        <w:tabs>
          <w:tab w:val="left" w:pos="420"/>
          <w:tab w:val="clear" w:pos="432"/>
        </w:tabs>
        <w:spacing w:line="240" w:lineRule="auto"/>
        <w:ind w:leftChars="200"/>
        <w:jc w:val="both"/>
        <w:rPr>
          <w:rFonts w:hint="eastAsia" w:ascii="仿宋" w:hAnsi="仿宋" w:eastAsia="仿宋" w:cs="仿宋"/>
          <w:b w:val="0"/>
          <w:sz w:val="24"/>
          <w:szCs w:val="24"/>
          <w:highlight w:val="none"/>
        </w:rPr>
      </w:pPr>
      <w:bookmarkStart w:id="60" w:name="_Toc51885424"/>
      <w:r>
        <w:rPr>
          <w:rFonts w:hint="eastAsia" w:ascii="仿宋" w:hAnsi="仿宋" w:eastAsia="仿宋" w:cs="仿宋"/>
          <w:sz w:val="24"/>
          <w:szCs w:val="24"/>
          <w:highlight w:val="none"/>
        </w:rPr>
        <w:t>（二）监理服务目标</w:t>
      </w:r>
      <w:bookmarkEnd w:id="60"/>
    </w:p>
    <w:p w14:paraId="0C1E708C">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根据国家有关规定，开展监理工作，具体目标如下：</w:t>
      </w:r>
    </w:p>
    <w:p w14:paraId="50B72CB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1.工程质量目标：在预定的工程进度和投资下，完成合同中所规定的工程监理项目，且满足承建合同中所规定的技术指标要求。</w:t>
      </w:r>
    </w:p>
    <w:p w14:paraId="2AD687D1">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2.工程进度目标：保证项目按照合同规定的时间内完成，实现项目建设的目标。</w:t>
      </w:r>
    </w:p>
    <w:p w14:paraId="139EAB3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3.工程投资目标：保证工程在合同规定的金额内完成，保证项目资金使用合理。</w:t>
      </w:r>
    </w:p>
    <w:p w14:paraId="369634AD">
      <w:pPr>
        <w:pStyle w:val="3"/>
        <w:numPr>
          <w:ilvl w:val="0"/>
          <w:numId w:val="0"/>
        </w:numPr>
        <w:tabs>
          <w:tab w:val="left" w:pos="420"/>
          <w:tab w:val="clear" w:pos="432"/>
        </w:tabs>
        <w:spacing w:line="240" w:lineRule="auto"/>
        <w:ind w:leftChars="200"/>
        <w:jc w:val="both"/>
        <w:rPr>
          <w:rFonts w:hint="eastAsia" w:ascii="仿宋" w:hAnsi="仿宋" w:eastAsia="仿宋" w:cs="仿宋"/>
          <w:sz w:val="24"/>
          <w:szCs w:val="24"/>
          <w:highlight w:val="none"/>
        </w:rPr>
      </w:pPr>
      <w:bookmarkStart w:id="61" w:name="_Toc51885425"/>
      <w:r>
        <w:rPr>
          <w:rFonts w:hint="eastAsia" w:ascii="仿宋" w:hAnsi="仿宋" w:eastAsia="仿宋" w:cs="仿宋"/>
          <w:sz w:val="24"/>
          <w:szCs w:val="24"/>
          <w:highlight w:val="none"/>
        </w:rPr>
        <w:t>（三）监理服务内容</w:t>
      </w:r>
      <w:bookmarkEnd w:id="61"/>
    </w:p>
    <w:p w14:paraId="5607E6A8">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本次监理的内容主要包括项目的质量、进度、投资、变更等控制以及文档管理、合同管理、安全管理和组织协调工作。</w:t>
      </w:r>
    </w:p>
    <w:p w14:paraId="3EFE74CD">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协助项目承建单位做好货物清点、安装调试，测试，培训，试运行和验收。被监理的项目验收完成的同时，视作监理项目完成。</w:t>
      </w:r>
    </w:p>
    <w:p w14:paraId="035EC9FC">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协助项目承建单位做好需求分析、概要设计、详细设计、实现、组装测试、确认测试、使用与维护等工作，验证、移交、验收。</w:t>
      </w:r>
    </w:p>
    <w:p w14:paraId="77308AF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针对以上项目建设情况，向业主方提出合理化的改进建议；协助业主方对项目各方开展工作协调、督办等，具体包括：相关各类项目会议的组织、记录，项目文档的起草、归档、移交等管理工作；通过全程监理，进行客观公正、全面的分析评价，避免系统出现薄弱环节，判断潜在故障和预期运行瓶颈，提出优化建议，保证工程的按时、高效完成。</w:t>
      </w:r>
      <w:bookmarkStart w:id="62" w:name="_Toc45044867"/>
      <w:bookmarkStart w:id="63" w:name="_Toc47190228"/>
      <w:bookmarkStart w:id="64" w:name="_Toc51885426"/>
      <w:bookmarkStart w:id="65" w:name="_Toc47189354"/>
      <w:bookmarkStart w:id="66" w:name="_Toc25162851"/>
    </w:p>
    <w:p w14:paraId="1C303313">
      <w:pPr>
        <w:pStyle w:val="3"/>
        <w:numPr>
          <w:ilvl w:val="0"/>
          <w:numId w:val="0"/>
        </w:numPr>
        <w:tabs>
          <w:tab w:val="left" w:pos="420"/>
          <w:tab w:val="clear" w:pos="432"/>
        </w:tabs>
        <w:spacing w:line="240" w:lineRule="auto"/>
        <w:ind w:left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（四）监理服务要求</w:t>
      </w:r>
      <w:bookmarkEnd w:id="62"/>
      <w:bookmarkEnd w:id="63"/>
      <w:bookmarkEnd w:id="64"/>
      <w:bookmarkEnd w:id="65"/>
    </w:p>
    <w:p w14:paraId="0313AD4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按照“四控制、三管理、一协调”的原则，保证项目在规定的时间内完成，并实现项目建设的目标。具体内容包括：</w:t>
      </w:r>
    </w:p>
    <w:p w14:paraId="5FCCBCE3">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1.项目组织及技术总体方案的把关</w:t>
      </w:r>
    </w:p>
    <w:p w14:paraId="2BE2FA5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（1）审核和确认承建单位的总体深化设计方案；</w:t>
      </w:r>
    </w:p>
    <w:p w14:paraId="731C1439">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（2）审核和确认项目建设过程中的各种关键技术方案；</w:t>
      </w:r>
    </w:p>
    <w:p w14:paraId="21FFCC09">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（3）审核和确认承建单位的组织和实施方案，和投标人提交的《项目计划》；</w:t>
      </w:r>
    </w:p>
    <w:p w14:paraId="54DFF24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（4）审核和确认承建单位的项目质量保证计划、质量控制体系（含质量控制的关键性节点）；</w:t>
      </w:r>
    </w:p>
    <w:p w14:paraId="5485922A">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（5）审核和确认承建单位的管理方案；</w:t>
      </w:r>
    </w:p>
    <w:p w14:paraId="312C27B9">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（6）审核和确认承建单位的测试计划；</w:t>
      </w:r>
    </w:p>
    <w:p w14:paraId="703C6B0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（7）审核和确认承建单位的项目进度计划、进度控制节点；</w:t>
      </w:r>
    </w:p>
    <w:p w14:paraId="4BD1F2D7">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（8）审核和确认项目资金支付金额及节点。</w:t>
      </w:r>
    </w:p>
    <w:p w14:paraId="0EC25719">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2.项目质量控制</w:t>
      </w:r>
    </w:p>
    <w:p w14:paraId="672677D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（1）质量的控制</w:t>
      </w:r>
    </w:p>
    <w:p w14:paraId="74FB1B74">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1）方案的审核和确认；</w:t>
      </w:r>
    </w:p>
    <w:p w14:paraId="1ACBE980">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2）审核关键设备、系统软件选型方案，协助供应商和建设方进行选型；</w:t>
      </w:r>
    </w:p>
    <w:p w14:paraId="7D9AE8CF">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3）对采购的硬件设备的质量进行现场报验、测试和验收；</w:t>
      </w:r>
    </w:p>
    <w:p w14:paraId="4644449A">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4）对设备安装、系统软件的安装调试进行验收；</w:t>
      </w:r>
    </w:p>
    <w:p w14:paraId="6585072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5）对系统集成进行总体验收。</w:t>
      </w:r>
    </w:p>
    <w:p w14:paraId="51ECDE0D">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（2）应用软件开发质量的控制</w:t>
      </w:r>
    </w:p>
    <w:p w14:paraId="7C9D1388">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1）应用软件开发的阶段性计划的审核和确认；</w:t>
      </w:r>
    </w:p>
    <w:p w14:paraId="08EC242A">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2）在对项目建设详细了解的基础上，协助项目的设计单位、承建实施单位和采购人进行把关；</w:t>
      </w:r>
    </w:p>
    <w:p w14:paraId="38E3E2F8">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3）对承建单位的质量进行审核；</w:t>
      </w:r>
    </w:p>
    <w:p w14:paraId="39521DE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4）对源代码、开发文件进行移交验收；</w:t>
      </w:r>
    </w:p>
    <w:p w14:paraId="5DD4C9C7">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（3）软件应用培训的质量控制</w:t>
      </w:r>
    </w:p>
    <w:p w14:paraId="3A5B37A9">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1）审核确认承建单位的培训计划；</w:t>
      </w:r>
    </w:p>
    <w:p w14:paraId="478EA55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2）监督承建单位实施其培训计划，并征求用户的反馈意见；</w:t>
      </w:r>
    </w:p>
    <w:p w14:paraId="2650698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3）审核确认承建单位的培训总结报告。</w:t>
      </w:r>
    </w:p>
    <w:p w14:paraId="2356D69C">
      <w:pPr>
        <w:spacing w:line="24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（4）组织实施系统性能和功能三方测试；</w:t>
      </w:r>
    </w:p>
    <w:p w14:paraId="3F1E5E4C">
      <w:pPr>
        <w:spacing w:line="24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（5）审核并确认第三方系统测试方案及结论；</w:t>
      </w:r>
    </w:p>
    <w:p w14:paraId="7DA2C7E8">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3.项目进度控制</w:t>
      </w:r>
    </w:p>
    <w:p w14:paraId="478D8139">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（1）审核承建单位的进度分解计划，确认分解计划可以保证总体计划目标；</w:t>
      </w:r>
    </w:p>
    <w:p w14:paraId="33B26AB0">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（2）对项目实施进度进行实时跟踪，并要求承建单位对进度计划进行动态调整，以确保项目的阶段和总体进度目标的实现；</w:t>
      </w:r>
    </w:p>
    <w:p w14:paraId="1C29F3E6">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（3）审核第三方测试单位的测试工作入场节点及进度计划，确认计划可以保证总体计划目标；</w:t>
      </w:r>
    </w:p>
    <w:p w14:paraId="31F90A1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（4）对第三方系统测试进度进行实时跟踪，以确保项目的阶段和总体进度目标的实现；</w:t>
      </w:r>
    </w:p>
    <w:p w14:paraId="765C9010">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（5）当工期目标严重偏离时，应及时指出，并提出对策建议，同时督促承建单位尽快采取措施。</w:t>
      </w:r>
    </w:p>
    <w:p w14:paraId="36039692">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4.项目投资控制</w:t>
      </w:r>
    </w:p>
    <w:p w14:paraId="09A3B7D4">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（1）通过对项目实施中的方案及设计的优化，确保投资控制在合理、性价比高的范围内；</w:t>
      </w:r>
    </w:p>
    <w:p w14:paraId="432E12E1">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（2）协助采购人做好项目支付预算的现金流量表，将付款进度与项目质量与形象进度结合起来。</w:t>
      </w:r>
    </w:p>
    <w:p w14:paraId="1E82DAA3">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5.项目变更控制</w:t>
      </w:r>
    </w:p>
    <w:p w14:paraId="5E826C7A">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（1）与建设单位确定项目变更流程和程序，对变更进行严格的控制。</w:t>
      </w:r>
    </w:p>
    <w:p w14:paraId="08C89986">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（2）协助采购人与项目承建单位关于工程变更、索赔、有关争议而进行的谈判。</w:t>
      </w:r>
    </w:p>
    <w:p w14:paraId="34FAEB69">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6.项目合同管理</w:t>
      </w:r>
    </w:p>
    <w:p w14:paraId="15F4179F">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（1）跟踪检查合同的执行情况，确保项目承建单位、第三方测试单位按时履约；</w:t>
      </w:r>
    </w:p>
    <w:p w14:paraId="228EBBE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（2）对合同工期的延误和延期进行审核确认；</w:t>
      </w:r>
    </w:p>
    <w:p w14:paraId="654C0E0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（3）对合同变更、索赔等事宜进行审核确认；</w:t>
      </w:r>
    </w:p>
    <w:p w14:paraId="0022C473">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（4）根据合同约定，审核项目承建单位、第三方测试单位提交的支付申请，签发付款凭证。</w:t>
      </w:r>
    </w:p>
    <w:p w14:paraId="26082F26">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7.信息管理/项目文档管理</w:t>
      </w:r>
    </w:p>
    <w:p w14:paraId="4A38BAB6">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（1）做好监理日记及项目大事记；</w:t>
      </w:r>
    </w:p>
    <w:p w14:paraId="522B0437">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（2）做好合同批复等各类往来文件的批复和存档；</w:t>
      </w:r>
    </w:p>
    <w:p w14:paraId="287A897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（3）做好项目协调会、技术专题会的会议纪要；</w:t>
      </w:r>
    </w:p>
    <w:p w14:paraId="1FA9897C">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（4）管理好实施期间的各类技术文档；</w:t>
      </w:r>
    </w:p>
    <w:p w14:paraId="284405C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（5）项目周报；</w:t>
      </w:r>
    </w:p>
    <w:p w14:paraId="7FFC640E">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（6）监理建议书；</w:t>
      </w:r>
    </w:p>
    <w:p w14:paraId="7A17465E">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（7）监理通知；</w:t>
      </w:r>
    </w:p>
    <w:p w14:paraId="562C7F60">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（8）各种会议纪要；</w:t>
      </w:r>
    </w:p>
    <w:p w14:paraId="25B98990">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（9）阶段性项目总结；</w:t>
      </w:r>
    </w:p>
    <w:p w14:paraId="1EB48C84">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（10）各承建方提交的技术文档。</w:t>
      </w:r>
    </w:p>
    <w:p w14:paraId="527EEE4A">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8.项目安全的管理</w:t>
      </w:r>
    </w:p>
    <w:p w14:paraId="6C893EC3">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（1）负责项目建设过程中所涉及的政府机密数据和资料的保护，保证不被非授权使用；</w:t>
      </w:r>
    </w:p>
    <w:p w14:paraId="2F54899E">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（2）负责项目建设施工过程中安全控制，确保不出现安全事故。</w:t>
      </w:r>
    </w:p>
    <w:p w14:paraId="55C56DF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（3）监督和落实项目承建单位（及设计项目分包单位）保密协议签订，项目相关工作人员的保密承诺书签订等；</w:t>
      </w:r>
    </w:p>
    <w:p w14:paraId="630458E2">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（4）制定项目信息安全管理及施工安全管理措施具体管理实施措施，并开展阶段性检查和情况通报。</w:t>
      </w:r>
    </w:p>
    <w:p w14:paraId="51F4C6AE">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9.项目知识产权的管理</w:t>
      </w:r>
    </w:p>
    <w:p w14:paraId="77601763">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（1）负责项目建设过程中所产生成果的知识产权保护，保证不被非授权使用；</w:t>
      </w:r>
    </w:p>
    <w:p w14:paraId="7F2483C1">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（2）负责项目建设过程中涉及知识产权的产品和系统的使用审核，保证业主方不在本项目建设中出现违反知识产权的行为。</w:t>
      </w:r>
    </w:p>
    <w:p w14:paraId="24C6896E">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10.经采购人委托，负责协调本项目所涉及的承建单位与使用方之间的工作关系，并协调解决项目建设过程中的各类纠纷。</w:t>
      </w:r>
    </w:p>
    <w:p w14:paraId="693C8F6D">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监理方应该通过必要的会议制度来实施协调工作，主要包括：</w:t>
      </w:r>
    </w:p>
    <w:p w14:paraId="1DE468C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（1）现场会；</w:t>
      </w:r>
    </w:p>
    <w:p w14:paraId="32023517">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（2）监理交底会；</w:t>
      </w:r>
    </w:p>
    <w:p w14:paraId="2B56CAE8">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（3）周例会；</w:t>
      </w:r>
    </w:p>
    <w:p w14:paraId="4F2CC9A4">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（4）监理协调会；</w:t>
      </w:r>
    </w:p>
    <w:p w14:paraId="22D8DD9F">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（5）专题讨论会；</w:t>
      </w:r>
    </w:p>
    <w:p w14:paraId="2FA5591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（6）专家论证会；</w:t>
      </w:r>
    </w:p>
    <w:p w14:paraId="298225A6">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（7）阶段工作总结会；</w:t>
      </w:r>
    </w:p>
    <w:p w14:paraId="7FA9E506">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（8）问题通报会；</w:t>
      </w:r>
    </w:p>
    <w:p w14:paraId="5B1E415B">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（9）阶段及最终验收会。</w:t>
      </w:r>
    </w:p>
    <w:p w14:paraId="74492972">
      <w:pPr>
        <w:pStyle w:val="3"/>
        <w:tabs>
          <w:tab w:val="left" w:pos="0"/>
        </w:tabs>
        <w:spacing w:line="240" w:lineRule="auto"/>
        <w:ind w:firstLine="482" w:firstLineChars="200"/>
        <w:jc w:val="both"/>
        <w:rPr>
          <w:rFonts w:hint="eastAsia" w:ascii="仿宋" w:hAnsi="仿宋" w:eastAsia="仿宋" w:cs="仿宋"/>
          <w:sz w:val="24"/>
          <w:szCs w:val="24"/>
          <w:highlight w:val="none"/>
        </w:rPr>
      </w:pPr>
      <w:bookmarkStart w:id="67" w:name="_Toc51885427"/>
      <w:r>
        <w:rPr>
          <w:rFonts w:hint="eastAsia" w:ascii="仿宋" w:hAnsi="仿宋" w:eastAsia="仿宋" w:cs="仿宋"/>
          <w:sz w:val="24"/>
          <w:szCs w:val="24"/>
          <w:highlight w:val="none"/>
        </w:rPr>
        <w:t>（五）监理服务工期</w:t>
      </w:r>
      <w:bookmarkEnd w:id="67"/>
    </w:p>
    <w:p w14:paraId="2263F9F9">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监理服务工期以主体建设项目合同签约之日起至项目竣工并通过终验的时间为准。</w:t>
      </w:r>
    </w:p>
    <w:p w14:paraId="5A4E675E">
      <w:pPr>
        <w:pStyle w:val="3"/>
        <w:tabs>
          <w:tab w:val="left" w:pos="420"/>
          <w:tab w:val="clear" w:pos="432"/>
        </w:tabs>
        <w:spacing w:line="240" w:lineRule="auto"/>
        <w:ind w:firstLine="482" w:firstLineChars="200"/>
        <w:jc w:val="both"/>
        <w:rPr>
          <w:rFonts w:hint="eastAsia" w:ascii="仿宋" w:hAnsi="仿宋" w:eastAsia="仿宋" w:cs="仿宋"/>
          <w:sz w:val="24"/>
          <w:szCs w:val="24"/>
          <w:highlight w:val="none"/>
        </w:rPr>
      </w:pPr>
      <w:bookmarkStart w:id="68" w:name="_Toc51885428"/>
      <w:r>
        <w:rPr>
          <w:rFonts w:hint="eastAsia" w:ascii="仿宋" w:hAnsi="仿宋" w:eastAsia="仿宋" w:cs="仿宋"/>
          <w:sz w:val="24"/>
          <w:szCs w:val="24"/>
          <w:highlight w:val="none"/>
        </w:rPr>
        <w:t>（六）监理人员队伍要求</w:t>
      </w:r>
      <w:bookmarkEnd w:id="68"/>
    </w:p>
    <w:bookmarkEnd w:id="66"/>
    <w:p w14:paraId="71610EDB">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1.对监理人员队伍的要求</w:t>
      </w:r>
    </w:p>
    <w:p w14:paraId="781AE174">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投标人须为本项目监理服务成立小组，</w:t>
      </w:r>
      <w:r>
        <w:rPr>
          <w:rFonts w:hint="eastAsia" w:ascii="仿宋" w:hAnsi="仿宋" w:eastAsia="仿宋" w:cs="仿宋"/>
          <w:sz w:val="24"/>
          <w:szCs w:val="24"/>
          <w:highlight w:val="none"/>
        </w:rPr>
        <w:t>其中设备安装期间至少2人常驻现场，</w:t>
      </w:r>
      <w:r>
        <w:rPr>
          <w:rFonts w:hint="eastAsia" w:ascii="仿宋" w:hAnsi="仿宋" w:eastAsia="仿宋" w:cs="仿宋"/>
          <w:sz w:val="24"/>
          <w:szCs w:val="24"/>
          <w:highlight w:val="none"/>
        </w:rPr>
        <w:t>▲项目负责人需具有机电安装工程监理工程师。</w:t>
      </w:r>
    </w:p>
    <w:p w14:paraId="6483F22A">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监理公司投入的办公设备、项目管控软件应满足项目需求，投入的检测设备应满足项目需求并具有合法性。</w:t>
      </w:r>
    </w:p>
    <w:p w14:paraId="7EC36CC6">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监理公司应具有自主独立知识产权的项目管控系统，更科学有效的协助业主管理项目，该管控软件需具备项目管理、监理管理方面的软件著作权证书以满足项目需求。</w:t>
      </w:r>
    </w:p>
    <w:p w14:paraId="1337C49E">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项目中标后按照承诺到位人员进场开展工作，项目施工期间不得随意变动。</w:t>
      </w:r>
    </w:p>
    <w:p w14:paraId="48538471">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2.对监理工作的要求</w:t>
      </w:r>
    </w:p>
    <w:p w14:paraId="1E9FAAB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监理工程师对应出具而未出具工程变更联系单及已出具的变更联系单的真实性负责，若出现以上问题，每发现一次扣1000元，并建议行业主管部门作出处理；累计五次及以上者，所有出现问题的联系单每一次扣3000元，以上应扣款项先从相应的履约保证金中扣除，待该部分扣完后，从监理服务费中扣除。 </w:t>
      </w:r>
    </w:p>
    <w:p w14:paraId="63E280ED">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未经采购人书面正式同意，监理人不得擅自更换项目总监及监理人员；驻场监理工程师到现场工作时间要达到100%，其它监理工程师根据项目需要随时到场。</w:t>
      </w:r>
    </w:p>
    <w:p w14:paraId="6BB3E35C">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工程项目总监及监理人员应与中标确定的人员相一致，未经采购人书面正式同意，监理人不得擅自更换项目总监、总监代表和监理人员；本工程项目总监、总监代表和监理人员应与中标确定的人员相一致，如监理人因特殊原因在监理过程中更换项目总监、总监代表和监理人员的，必须按相关文件规定办理；且更换的人员应具备相应资质。如未经采购人同意擅自更换的，中标人要赔偿业主单位相关费用，具体金额如下：更换项目总监的原则上要赔偿业主单位2万元/人次，更换项目总监代表原则上要赔偿业主单位1万元/人次，更换其他监理人员1万元/人次。</w:t>
      </w:r>
    </w:p>
    <w:p w14:paraId="6536EC75">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中标人在签订合同时，应同时签订《保密协议》及《廉政承诺书》。投标人须针对本监理项目专门成立监理工作组。</w:t>
      </w:r>
    </w:p>
    <w:p w14:paraId="1248B1F3">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3.服务准则</w:t>
      </w:r>
    </w:p>
    <w:p w14:paraId="4523A233">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遵照国家监理规范，以“守法、诚信、公正、科学”的准则执业，维护建设方与承建方的合法权益。遵守国家的法律和政府的有关条例、规定和办法，履行监理合同规定的义务和职责，不泄漏所监理项目各方认为需要保密的事项。</w:t>
      </w:r>
    </w:p>
    <w:p w14:paraId="1E0E5B6F">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经查实乙方及监理人员与承建单位发生非正常经济往来及其他徇私舞弊情况，业主方有权要求更换监理人员或更换全体监理项目班子，情况严重的，业主方有权终止合同。</w:t>
      </w:r>
    </w:p>
    <w:p w14:paraId="00FF423C">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（七）协助、配合项目审计工作</w:t>
      </w:r>
    </w:p>
    <w:p w14:paraId="63FA06DF">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项目实施过程中监理单位督促项目建设流程及审计要求，针对问题及时提出监理意见。项目审计阶段，监理单位协助和配合甲方完成项目审计工作。</w:t>
      </w:r>
    </w:p>
    <w:p w14:paraId="68C15A9D">
      <w:pPr>
        <w:spacing w:line="240" w:lineRule="auto"/>
        <w:ind w:firstLine="482" w:firstLineChars="200"/>
        <w:rPr>
          <w:rFonts w:hint="eastAsia" w:ascii="仿宋" w:hAnsi="仿宋" w:eastAsia="仿宋" w:cs="仿宋"/>
          <w:b/>
          <w:sz w:val="24"/>
          <w:szCs w:val="24"/>
          <w:highlight w:val="none"/>
        </w:rPr>
      </w:pPr>
    </w:p>
    <w:p w14:paraId="6D44630F">
      <w:pPr>
        <w:spacing w:line="24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二、商务需求</w:t>
      </w:r>
    </w:p>
    <w:p w14:paraId="107F4BB9">
      <w:pPr>
        <w:spacing w:line="24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2.1▲服务期限</w:t>
      </w:r>
      <w:r>
        <w:rPr>
          <w:rFonts w:hint="eastAsia" w:ascii="仿宋" w:hAnsi="仿宋" w:eastAsia="仿宋" w:cs="仿宋"/>
          <w:color w:val="000000"/>
          <w:sz w:val="24"/>
          <w:szCs w:val="24"/>
          <w:highlight w:val="none"/>
        </w:rPr>
        <w:t>：监理服务工期以主体建设项目合同签约之日起至项目竣工并通过终验的时间为准，</w:t>
      </w:r>
      <w:r>
        <w:rPr>
          <w:rFonts w:hint="eastAsia" w:ascii="仿宋" w:hAnsi="仿宋" w:eastAsia="仿宋" w:cs="仿宋"/>
          <w:color w:val="000000"/>
          <w:sz w:val="24"/>
          <w:szCs w:val="24"/>
          <w:highlight w:val="none"/>
        </w:rPr>
        <w:t>服务人员驻现场办公期间住宿、伙食及办公费用等自理。</w:t>
      </w:r>
    </w:p>
    <w:p w14:paraId="08A677C0">
      <w:pPr>
        <w:spacing w:line="24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2.2实施地点</w:t>
      </w:r>
      <w:r>
        <w:rPr>
          <w:rFonts w:hint="eastAsia" w:ascii="仿宋" w:hAnsi="仿宋" w:eastAsia="仿宋" w:cs="仿宋"/>
          <w:color w:val="000000"/>
          <w:sz w:val="24"/>
          <w:szCs w:val="24"/>
          <w:highlight w:val="none"/>
        </w:rPr>
        <w:t>：采购人指定地点。</w:t>
      </w:r>
    </w:p>
    <w:p w14:paraId="340D6C38">
      <w:pPr>
        <w:spacing w:line="24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2.3质量标准</w:t>
      </w:r>
      <w:r>
        <w:rPr>
          <w:rFonts w:hint="eastAsia" w:ascii="仿宋" w:hAnsi="仿宋" w:eastAsia="仿宋" w:cs="仿宋"/>
          <w:color w:val="000000"/>
          <w:sz w:val="24"/>
          <w:szCs w:val="24"/>
          <w:highlight w:val="none"/>
        </w:rPr>
        <w:t>：合格（符合采购文件要求、投标承诺以及国家、行业有关技术规范和标准）</w:t>
      </w:r>
    </w:p>
    <w:p w14:paraId="20A49BDB">
      <w:pPr>
        <w:spacing w:line="24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▲2.4.付款方式</w:t>
      </w:r>
    </w:p>
    <w:p w14:paraId="0F4FE1E1">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2.4.1合同签订后且在中标人的监理工程师进驻现场后10日内，采购人支付合同总价的20%作为预付款。</w:t>
      </w:r>
    </w:p>
    <w:p w14:paraId="11851287">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2.4.2所有项目通过竣工验收后10个工作日内，采购人支付至合同总价的70%给中标人。</w:t>
      </w:r>
    </w:p>
    <w:p w14:paraId="06ED152F">
      <w:pPr>
        <w:spacing w:line="24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2.4.3监理的所有项目通过终验和审计结算后，且符合采购人要求的10个工作日内，采购人支付最终结算金额的剩余尾款给中标人</w:t>
      </w:r>
      <w:r>
        <w:rPr>
          <w:rFonts w:hint="eastAsia" w:ascii="仿宋" w:hAnsi="仿宋" w:eastAsia="仿宋" w:cs="仿宋"/>
          <w:sz w:val="24"/>
          <w:szCs w:val="24"/>
          <w:highlight w:val="none"/>
          <w:lang w:eastAsia="zh-CN"/>
        </w:rPr>
        <w:t>。</w:t>
      </w:r>
    </w:p>
    <w:p w14:paraId="1B5730A8">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2.4.4结算款项时，中标人根据采购人要求开具符合规范的发票。</w:t>
      </w:r>
    </w:p>
    <w:p w14:paraId="0169D733">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2.4.5本项目服务费暂按4500万元（最终以结算审核为准）为取费基数，交易单位应根据交易文件提供的取费标准结合自身能力和力量的投入进行报价，暂定交易报价精确到元（保留整数），交易报价超过最高限价的作无效响应处理。成交费率（以千分比形式，四舍五入，保留两位小数；四舍五入后小数点后第二位为零时可只保留一位小数，小数点后二位均为零时可不保留小数）=暂定交易报价÷4500万元，成交费率为一次性包干今后不做调整。</w:t>
      </w:r>
      <w:r>
        <w:rPr>
          <w:rFonts w:hint="eastAsia" w:ascii="仿宋" w:hAnsi="仿宋" w:eastAsia="仿宋" w:cs="仿宋"/>
          <w:sz w:val="24"/>
          <w:szCs w:val="24"/>
          <w:highlight w:val="none"/>
          <w:lang w:val="en-US" w:eastAsia="zh-CN"/>
        </w:rPr>
        <w:t>最终</w:t>
      </w:r>
      <w:r>
        <w:rPr>
          <w:rFonts w:hint="eastAsia" w:ascii="仿宋" w:hAnsi="仿宋" w:eastAsia="仿宋" w:cs="仿宋"/>
          <w:sz w:val="24"/>
          <w:szCs w:val="24"/>
          <w:highlight w:val="none"/>
        </w:rPr>
        <w:t>服务费用按项目设备实际结算审核价金额与成交费率的乘积进行计算并予以结算。</w:t>
      </w:r>
    </w:p>
    <w:p w14:paraId="657542CB">
      <w:pPr>
        <w:snapToGrid w:val="0"/>
        <w:spacing w:line="24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注：1、交易文件中打▲内容为实质性要求，不允许有负偏离，否则将以涉及无效投标条款作无效投标。</w:t>
      </w:r>
    </w:p>
    <w:p w14:paraId="4A70DBC7">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77C5CA21">
      <w:pPr>
        <w:pStyle w:val="2"/>
        <w:numPr>
          <w:ilvl w:val="0"/>
          <w:numId w:val="6"/>
        </w:numPr>
        <w:rPr>
          <w:rFonts w:hint="eastAsia" w:ascii="仿宋" w:hAnsi="仿宋" w:eastAsia="仿宋" w:cs="仿宋"/>
          <w:sz w:val="32"/>
          <w:highlight w:val="none"/>
        </w:rPr>
      </w:pPr>
      <w:r>
        <w:rPr>
          <w:rFonts w:hint="eastAsia" w:ascii="仿宋" w:hAnsi="仿宋" w:eastAsia="仿宋" w:cs="仿宋"/>
          <w:highlight w:val="none"/>
        </w:rPr>
        <w:br w:type="page"/>
      </w:r>
      <w:r>
        <w:rPr>
          <w:rFonts w:hint="eastAsia" w:ascii="仿宋" w:hAnsi="仿宋" w:eastAsia="仿宋" w:cs="仿宋"/>
          <w:highlight w:val="none"/>
        </w:rPr>
        <w:t xml:space="preserve">  </w:t>
      </w:r>
      <w:bookmarkStart w:id="69" w:name="_Toc184312107"/>
      <w:bookmarkEnd w:id="69"/>
      <w:bookmarkStart w:id="70" w:name="_Toc184314415"/>
      <w:bookmarkEnd w:id="70"/>
      <w:bookmarkStart w:id="71" w:name="_Toc184308041"/>
      <w:bookmarkEnd w:id="71"/>
      <w:bookmarkStart w:id="72" w:name="_Toc184308049"/>
      <w:bookmarkEnd w:id="72"/>
      <w:bookmarkStart w:id="73" w:name="_Toc184313265"/>
      <w:bookmarkEnd w:id="73"/>
      <w:bookmarkStart w:id="74" w:name="_Toc184310321"/>
      <w:bookmarkEnd w:id="74"/>
      <w:bookmarkStart w:id="75" w:name="_Toc184310277"/>
      <w:bookmarkEnd w:id="75"/>
      <w:bookmarkStart w:id="76" w:name="_Toc184312092"/>
      <w:bookmarkEnd w:id="76"/>
      <w:bookmarkStart w:id="77" w:name="_Toc184314433"/>
      <w:bookmarkEnd w:id="77"/>
      <w:bookmarkStart w:id="78" w:name="_Toc184314477"/>
      <w:bookmarkEnd w:id="78"/>
      <w:bookmarkStart w:id="79" w:name="_Toc184310281"/>
      <w:bookmarkEnd w:id="79"/>
      <w:bookmarkStart w:id="80" w:name="_Toc184310319"/>
      <w:bookmarkEnd w:id="80"/>
      <w:bookmarkStart w:id="81" w:name="_Toc184310290"/>
      <w:bookmarkEnd w:id="81"/>
      <w:bookmarkStart w:id="82" w:name="_Toc184313288"/>
      <w:bookmarkEnd w:id="82"/>
      <w:bookmarkStart w:id="83" w:name="_Toc184310278"/>
      <w:bookmarkEnd w:id="83"/>
      <w:bookmarkStart w:id="84" w:name="_Toc184308040"/>
      <w:bookmarkEnd w:id="84"/>
      <w:bookmarkStart w:id="85" w:name="_Toc184310294"/>
      <w:bookmarkEnd w:id="85"/>
      <w:bookmarkStart w:id="86" w:name="_Toc184308104"/>
      <w:bookmarkEnd w:id="86"/>
      <w:bookmarkStart w:id="87" w:name="_Toc184314411"/>
      <w:bookmarkEnd w:id="87"/>
      <w:bookmarkStart w:id="88" w:name="_Toc184310340"/>
      <w:bookmarkEnd w:id="88"/>
      <w:bookmarkStart w:id="89" w:name="_Toc184313286"/>
      <w:bookmarkEnd w:id="89"/>
      <w:bookmarkStart w:id="90" w:name="_Toc184312124"/>
      <w:bookmarkEnd w:id="90"/>
      <w:bookmarkStart w:id="91" w:name="_Toc184310304"/>
      <w:bookmarkEnd w:id="91"/>
      <w:bookmarkStart w:id="92" w:name="_Toc184310342"/>
      <w:bookmarkEnd w:id="92"/>
      <w:bookmarkStart w:id="93" w:name="_Toc184314460"/>
      <w:bookmarkEnd w:id="93"/>
      <w:bookmarkStart w:id="94" w:name="_Toc184313284"/>
      <w:bookmarkEnd w:id="94"/>
      <w:bookmarkStart w:id="95" w:name="_Toc184308044"/>
      <w:bookmarkEnd w:id="95"/>
      <w:bookmarkStart w:id="96" w:name="_Toc184314437"/>
      <w:bookmarkEnd w:id="96"/>
      <w:bookmarkStart w:id="97" w:name="_Toc184310312"/>
      <w:bookmarkEnd w:id="97"/>
      <w:bookmarkStart w:id="98" w:name="_Toc184310338"/>
      <w:bookmarkEnd w:id="98"/>
      <w:bookmarkStart w:id="99" w:name="_Toc184308098"/>
      <w:bookmarkEnd w:id="99"/>
      <w:bookmarkStart w:id="100" w:name="_Toc184314449"/>
      <w:bookmarkEnd w:id="100"/>
      <w:bookmarkStart w:id="101" w:name="_Toc184314467"/>
      <w:bookmarkEnd w:id="101"/>
      <w:bookmarkStart w:id="102" w:name="_Toc184312080"/>
      <w:bookmarkEnd w:id="102"/>
      <w:bookmarkStart w:id="103" w:name="_Toc184314478"/>
      <w:bookmarkEnd w:id="103"/>
      <w:bookmarkStart w:id="104" w:name="_Toc184312128"/>
      <w:bookmarkEnd w:id="104"/>
      <w:bookmarkStart w:id="105" w:name="_Toc184312084"/>
      <w:bookmarkEnd w:id="105"/>
      <w:bookmarkStart w:id="106" w:name="_Toc184313285"/>
      <w:bookmarkEnd w:id="106"/>
      <w:bookmarkStart w:id="107" w:name="_Toc184314456"/>
      <w:bookmarkEnd w:id="107"/>
      <w:bookmarkStart w:id="108" w:name="_Toc184310292"/>
      <w:bookmarkEnd w:id="108"/>
      <w:bookmarkStart w:id="109" w:name="_Toc184313293"/>
      <w:bookmarkEnd w:id="109"/>
      <w:bookmarkStart w:id="110" w:name="_Toc184308050"/>
      <w:bookmarkEnd w:id="110"/>
      <w:bookmarkStart w:id="111" w:name="_Toc184313278"/>
      <w:bookmarkEnd w:id="111"/>
      <w:bookmarkStart w:id="112" w:name="_Toc184314476"/>
      <w:bookmarkEnd w:id="112"/>
      <w:bookmarkStart w:id="113" w:name="_Toc184310330"/>
      <w:bookmarkEnd w:id="113"/>
      <w:bookmarkStart w:id="114" w:name="_Toc184314473"/>
      <w:bookmarkEnd w:id="114"/>
      <w:bookmarkStart w:id="115" w:name="_Toc184312095"/>
      <w:bookmarkEnd w:id="115"/>
      <w:bookmarkStart w:id="116" w:name="_Toc184313254"/>
      <w:bookmarkEnd w:id="116"/>
      <w:bookmarkStart w:id="117" w:name="_Toc184310284"/>
      <w:bookmarkEnd w:id="117"/>
      <w:bookmarkStart w:id="118" w:name="_Toc184313258"/>
      <w:bookmarkEnd w:id="118"/>
      <w:bookmarkStart w:id="119" w:name="_Toc184310286"/>
      <w:bookmarkEnd w:id="119"/>
      <w:bookmarkStart w:id="120" w:name="_Toc184308087"/>
      <w:bookmarkEnd w:id="120"/>
      <w:bookmarkStart w:id="121" w:name="_Toc184310297"/>
      <w:bookmarkEnd w:id="121"/>
      <w:bookmarkStart w:id="122" w:name="_Toc184308052"/>
      <w:bookmarkEnd w:id="122"/>
      <w:bookmarkStart w:id="123" w:name="_Toc184312082"/>
      <w:bookmarkEnd w:id="123"/>
      <w:bookmarkStart w:id="124" w:name="_Toc184312113"/>
      <w:bookmarkEnd w:id="124"/>
      <w:bookmarkStart w:id="125" w:name="_Toc184310316"/>
      <w:bookmarkEnd w:id="125"/>
      <w:bookmarkStart w:id="126" w:name="_Toc184310280"/>
      <w:bookmarkEnd w:id="126"/>
      <w:bookmarkStart w:id="127" w:name="_Toc184312075"/>
      <w:bookmarkEnd w:id="127"/>
      <w:bookmarkStart w:id="128" w:name="_Toc184312090"/>
      <w:bookmarkEnd w:id="128"/>
      <w:bookmarkStart w:id="129" w:name="_Toc184308073"/>
      <w:bookmarkEnd w:id="129"/>
      <w:bookmarkStart w:id="130" w:name="_Toc184314468"/>
      <w:bookmarkEnd w:id="130"/>
      <w:bookmarkStart w:id="131" w:name="_Toc184308046"/>
      <w:bookmarkEnd w:id="131"/>
      <w:bookmarkStart w:id="132" w:name="_Toc184310317"/>
      <w:bookmarkEnd w:id="132"/>
      <w:bookmarkStart w:id="133" w:name="_Toc184313305"/>
      <w:bookmarkEnd w:id="133"/>
      <w:bookmarkStart w:id="134" w:name="_Toc184310287"/>
      <w:bookmarkEnd w:id="134"/>
      <w:bookmarkStart w:id="135" w:name="_Toc184312083"/>
      <w:bookmarkEnd w:id="135"/>
      <w:bookmarkStart w:id="136" w:name="_Toc184313307"/>
      <w:bookmarkEnd w:id="136"/>
      <w:bookmarkStart w:id="137" w:name="_Toc184314425"/>
      <w:bookmarkEnd w:id="137"/>
      <w:bookmarkStart w:id="138" w:name="_Toc184310274"/>
      <w:bookmarkEnd w:id="138"/>
      <w:bookmarkStart w:id="139" w:name="_Toc184313253"/>
      <w:bookmarkEnd w:id="139"/>
      <w:bookmarkStart w:id="140" w:name="_Toc184308079"/>
      <w:bookmarkEnd w:id="140"/>
      <w:bookmarkStart w:id="141" w:name="_Toc184310344"/>
      <w:bookmarkEnd w:id="141"/>
      <w:bookmarkStart w:id="142" w:name="_Toc184312069"/>
      <w:bookmarkEnd w:id="142"/>
      <w:bookmarkStart w:id="143" w:name="_Toc184312068"/>
      <w:bookmarkEnd w:id="143"/>
      <w:bookmarkStart w:id="144" w:name="_Toc184312097"/>
      <w:bookmarkEnd w:id="144"/>
      <w:bookmarkStart w:id="145" w:name="_Toc184310299"/>
      <w:bookmarkEnd w:id="145"/>
      <w:bookmarkStart w:id="146" w:name="_Toc184314435"/>
      <w:bookmarkEnd w:id="146"/>
      <w:bookmarkStart w:id="147" w:name="_Toc184314414"/>
      <w:bookmarkEnd w:id="147"/>
      <w:bookmarkStart w:id="148" w:name="_Toc184312085"/>
      <w:bookmarkEnd w:id="148"/>
      <w:bookmarkStart w:id="149" w:name="_Toc184308051"/>
      <w:bookmarkEnd w:id="149"/>
      <w:bookmarkStart w:id="150" w:name="_Toc184308080"/>
      <w:bookmarkEnd w:id="150"/>
      <w:bookmarkStart w:id="151" w:name="_Toc184312070"/>
      <w:bookmarkEnd w:id="151"/>
      <w:bookmarkStart w:id="152" w:name="_Toc184312111"/>
      <w:bookmarkEnd w:id="152"/>
      <w:bookmarkStart w:id="153" w:name="_Toc184314417"/>
      <w:bookmarkEnd w:id="153"/>
      <w:bookmarkStart w:id="154" w:name="_Toc184308101"/>
      <w:bookmarkEnd w:id="154"/>
      <w:bookmarkStart w:id="155" w:name="_Toc184313308"/>
      <w:bookmarkEnd w:id="155"/>
      <w:bookmarkStart w:id="156" w:name="_Toc184308054"/>
      <w:bookmarkEnd w:id="156"/>
      <w:bookmarkStart w:id="157" w:name="_Toc184314446"/>
      <w:bookmarkEnd w:id="157"/>
      <w:bookmarkStart w:id="158" w:name="_Toc184314431"/>
      <w:bookmarkEnd w:id="158"/>
      <w:bookmarkStart w:id="159" w:name="_Toc184310300"/>
      <w:bookmarkEnd w:id="159"/>
      <w:bookmarkStart w:id="160" w:name="_Toc184312132"/>
      <w:bookmarkEnd w:id="160"/>
      <w:bookmarkStart w:id="161" w:name="_Toc184312135"/>
      <w:bookmarkEnd w:id="161"/>
      <w:bookmarkStart w:id="162" w:name="_Toc184308093"/>
      <w:bookmarkEnd w:id="162"/>
      <w:bookmarkStart w:id="163" w:name="_Toc184310272"/>
      <w:bookmarkEnd w:id="163"/>
      <w:bookmarkStart w:id="164" w:name="_Toc184312074"/>
      <w:bookmarkEnd w:id="164"/>
      <w:bookmarkStart w:id="165" w:name="_Toc184314450"/>
      <w:bookmarkEnd w:id="165"/>
      <w:bookmarkStart w:id="166" w:name="_Toc184313263"/>
      <w:bookmarkEnd w:id="166"/>
      <w:bookmarkStart w:id="167" w:name="_Toc184313262"/>
      <w:bookmarkEnd w:id="167"/>
      <w:bookmarkStart w:id="168" w:name="_Toc184310334"/>
      <w:bookmarkEnd w:id="168"/>
      <w:bookmarkStart w:id="169" w:name="_Toc184313261"/>
      <w:bookmarkEnd w:id="169"/>
      <w:bookmarkStart w:id="170" w:name="_Toc184314454"/>
      <w:bookmarkEnd w:id="170"/>
      <w:bookmarkStart w:id="171" w:name="_Toc184313246"/>
      <w:bookmarkEnd w:id="171"/>
      <w:bookmarkStart w:id="172" w:name="_Toc184314458"/>
      <w:bookmarkEnd w:id="172"/>
      <w:bookmarkStart w:id="173" w:name="_Toc184314418"/>
      <w:bookmarkEnd w:id="173"/>
      <w:bookmarkStart w:id="174" w:name="_Toc184308106"/>
      <w:bookmarkEnd w:id="174"/>
      <w:bookmarkStart w:id="175" w:name="_Toc184312137"/>
      <w:bookmarkEnd w:id="175"/>
      <w:bookmarkStart w:id="176" w:name="_Toc184314412"/>
      <w:bookmarkEnd w:id="176"/>
      <w:bookmarkStart w:id="177" w:name="_Toc184310275"/>
      <w:bookmarkEnd w:id="177"/>
      <w:bookmarkStart w:id="178" w:name="_Toc184312114"/>
      <w:bookmarkEnd w:id="178"/>
      <w:bookmarkStart w:id="179" w:name="_Toc184310322"/>
      <w:bookmarkEnd w:id="179"/>
      <w:bookmarkStart w:id="180" w:name="_Toc184310336"/>
      <w:bookmarkEnd w:id="180"/>
      <w:bookmarkStart w:id="181" w:name="_Toc184312127"/>
      <w:bookmarkEnd w:id="181"/>
      <w:bookmarkStart w:id="182" w:name="_Toc184312117"/>
      <w:bookmarkEnd w:id="182"/>
      <w:bookmarkStart w:id="183" w:name="_Toc184312077"/>
      <w:bookmarkEnd w:id="183"/>
      <w:bookmarkStart w:id="184" w:name="_Toc184308045"/>
      <w:bookmarkEnd w:id="184"/>
      <w:bookmarkStart w:id="185" w:name="_Toc184313276"/>
      <w:bookmarkEnd w:id="185"/>
      <w:bookmarkStart w:id="186" w:name="_Toc184308053"/>
      <w:bookmarkEnd w:id="186"/>
      <w:bookmarkStart w:id="187" w:name="_Toc184310296"/>
      <w:bookmarkEnd w:id="187"/>
      <w:bookmarkStart w:id="188" w:name="_Toc184314416"/>
      <w:bookmarkEnd w:id="188"/>
      <w:bookmarkStart w:id="189" w:name="_Toc184313251"/>
      <w:bookmarkEnd w:id="189"/>
      <w:bookmarkStart w:id="190" w:name="_Toc184312089"/>
      <w:bookmarkEnd w:id="190"/>
      <w:bookmarkStart w:id="191" w:name="_Toc184310285"/>
      <w:bookmarkEnd w:id="191"/>
      <w:bookmarkStart w:id="192" w:name="_Toc184314465"/>
      <w:bookmarkEnd w:id="192"/>
      <w:bookmarkStart w:id="193" w:name="_Toc184313244"/>
      <w:bookmarkEnd w:id="193"/>
      <w:bookmarkStart w:id="194" w:name="_Toc184308058"/>
      <w:bookmarkEnd w:id="194"/>
      <w:bookmarkStart w:id="195" w:name="_Toc184312073"/>
      <w:bookmarkEnd w:id="195"/>
      <w:bookmarkStart w:id="196" w:name="_Toc184310279"/>
      <w:bookmarkEnd w:id="196"/>
      <w:bookmarkStart w:id="197" w:name="_Toc184313245"/>
      <w:bookmarkEnd w:id="197"/>
      <w:bookmarkStart w:id="198" w:name="_Toc184310289"/>
      <w:bookmarkEnd w:id="198"/>
      <w:bookmarkStart w:id="199" w:name="_Toc184313255"/>
      <w:bookmarkEnd w:id="199"/>
      <w:bookmarkStart w:id="200" w:name="_Toc184310337"/>
      <w:bookmarkEnd w:id="200"/>
      <w:bookmarkStart w:id="201" w:name="_Toc184310314"/>
      <w:bookmarkEnd w:id="201"/>
      <w:bookmarkStart w:id="202" w:name="_Toc184308043"/>
      <w:bookmarkEnd w:id="202"/>
      <w:bookmarkStart w:id="203" w:name="_Toc184313289"/>
      <w:bookmarkEnd w:id="203"/>
      <w:bookmarkStart w:id="204" w:name="_Toc184308091"/>
      <w:bookmarkEnd w:id="204"/>
      <w:bookmarkStart w:id="205" w:name="_Toc184310332"/>
      <w:bookmarkEnd w:id="205"/>
      <w:bookmarkStart w:id="206" w:name="_Toc184314424"/>
      <w:bookmarkEnd w:id="206"/>
      <w:bookmarkStart w:id="207" w:name="_Toc184313287"/>
      <w:bookmarkEnd w:id="207"/>
      <w:bookmarkStart w:id="208" w:name="_Toc184310288"/>
      <w:bookmarkEnd w:id="208"/>
      <w:bookmarkStart w:id="209" w:name="_Toc184313243"/>
      <w:bookmarkEnd w:id="209"/>
      <w:bookmarkStart w:id="210" w:name="_Toc184313280"/>
      <w:bookmarkEnd w:id="210"/>
      <w:bookmarkStart w:id="211" w:name="_Toc184310339"/>
      <w:bookmarkEnd w:id="211"/>
      <w:bookmarkStart w:id="212" w:name="_Toc184310327"/>
      <w:bookmarkEnd w:id="212"/>
      <w:bookmarkStart w:id="213" w:name="_Toc184310331"/>
      <w:bookmarkEnd w:id="213"/>
      <w:bookmarkStart w:id="214" w:name="_Toc184308090"/>
      <w:bookmarkEnd w:id="214"/>
      <w:bookmarkStart w:id="215" w:name="_Toc184313304"/>
      <w:bookmarkEnd w:id="215"/>
      <w:bookmarkStart w:id="216" w:name="_Toc184312094"/>
      <w:bookmarkEnd w:id="216"/>
      <w:bookmarkStart w:id="217" w:name="_Toc184310309"/>
      <w:bookmarkEnd w:id="217"/>
      <w:bookmarkStart w:id="218" w:name="_Toc184314422"/>
      <w:bookmarkEnd w:id="218"/>
      <w:bookmarkStart w:id="219" w:name="_Toc184308083"/>
      <w:bookmarkEnd w:id="219"/>
      <w:bookmarkStart w:id="220" w:name="_Toc184314464"/>
      <w:bookmarkEnd w:id="220"/>
      <w:bookmarkStart w:id="221" w:name="_Toc184314466"/>
      <w:bookmarkEnd w:id="221"/>
      <w:bookmarkStart w:id="222" w:name="_Toc184312130"/>
      <w:bookmarkEnd w:id="222"/>
      <w:bookmarkStart w:id="223" w:name="_Toc184314480"/>
      <w:bookmarkEnd w:id="223"/>
      <w:bookmarkStart w:id="224" w:name="_Toc184308092"/>
      <w:bookmarkEnd w:id="224"/>
      <w:bookmarkStart w:id="225" w:name="_Toc184310298"/>
      <w:bookmarkEnd w:id="225"/>
      <w:bookmarkStart w:id="226" w:name="_Toc184313241"/>
      <w:bookmarkEnd w:id="226"/>
      <w:bookmarkStart w:id="227" w:name="_Toc184313297"/>
      <w:bookmarkEnd w:id="227"/>
      <w:bookmarkStart w:id="228" w:name="_Toc184308096"/>
      <w:bookmarkEnd w:id="228"/>
      <w:bookmarkStart w:id="229" w:name="_Toc184310329"/>
      <w:bookmarkEnd w:id="229"/>
      <w:bookmarkStart w:id="230" w:name="_Toc184310328"/>
      <w:bookmarkEnd w:id="230"/>
      <w:bookmarkStart w:id="231" w:name="_Toc184314420"/>
      <w:bookmarkEnd w:id="231"/>
      <w:bookmarkStart w:id="232" w:name="_Toc184308038"/>
      <w:bookmarkEnd w:id="232"/>
      <w:bookmarkStart w:id="233" w:name="_Toc184308105"/>
      <w:bookmarkEnd w:id="233"/>
      <w:bookmarkStart w:id="234" w:name="_Toc184308102"/>
      <w:bookmarkEnd w:id="234"/>
      <w:bookmarkStart w:id="235" w:name="_Toc184313260"/>
      <w:bookmarkEnd w:id="235"/>
      <w:bookmarkStart w:id="236" w:name="_Toc184310333"/>
      <w:bookmarkEnd w:id="236"/>
      <w:bookmarkStart w:id="237" w:name="_Toc184312119"/>
      <w:bookmarkEnd w:id="237"/>
      <w:bookmarkStart w:id="238" w:name="_Toc184312118"/>
      <w:bookmarkEnd w:id="238"/>
      <w:bookmarkStart w:id="239" w:name="_Toc184310276"/>
      <w:bookmarkEnd w:id="239"/>
      <w:bookmarkStart w:id="240" w:name="_Toc184314427"/>
      <w:bookmarkEnd w:id="240"/>
      <w:bookmarkStart w:id="241" w:name="_Toc184313290"/>
      <w:bookmarkEnd w:id="241"/>
      <w:bookmarkStart w:id="242" w:name="_Toc184312123"/>
      <w:bookmarkEnd w:id="242"/>
      <w:bookmarkStart w:id="243" w:name="_Toc184308042"/>
      <w:bookmarkEnd w:id="243"/>
      <w:bookmarkStart w:id="244" w:name="_Toc184312125"/>
      <w:bookmarkEnd w:id="244"/>
      <w:bookmarkStart w:id="245" w:name="_Toc184310318"/>
      <w:bookmarkEnd w:id="245"/>
      <w:bookmarkStart w:id="246" w:name="_Toc184312121"/>
      <w:bookmarkEnd w:id="246"/>
      <w:bookmarkStart w:id="247" w:name="_Toc184312120"/>
      <w:bookmarkEnd w:id="247"/>
      <w:bookmarkStart w:id="248" w:name="_Toc184312116"/>
      <w:bookmarkEnd w:id="248"/>
      <w:bookmarkStart w:id="249" w:name="_Toc184314459"/>
      <w:bookmarkEnd w:id="249"/>
      <w:bookmarkStart w:id="250" w:name="_Toc184312072"/>
      <w:bookmarkEnd w:id="250"/>
      <w:bookmarkStart w:id="251" w:name="_Toc184313295"/>
      <w:bookmarkEnd w:id="251"/>
      <w:bookmarkStart w:id="252" w:name="_Toc184308095"/>
      <w:bookmarkEnd w:id="252"/>
      <w:bookmarkStart w:id="253" w:name="_Toc184308076"/>
      <w:bookmarkEnd w:id="253"/>
      <w:bookmarkStart w:id="254" w:name="_Toc184310335"/>
      <w:bookmarkEnd w:id="254"/>
      <w:bookmarkStart w:id="255" w:name="_Toc184312133"/>
      <w:bookmarkEnd w:id="255"/>
      <w:bookmarkStart w:id="256" w:name="_Toc184312134"/>
      <w:bookmarkEnd w:id="256"/>
      <w:bookmarkStart w:id="257" w:name="_Toc184313294"/>
      <w:bookmarkEnd w:id="257"/>
      <w:bookmarkStart w:id="258" w:name="_Toc184314479"/>
      <w:bookmarkEnd w:id="258"/>
      <w:bookmarkStart w:id="259" w:name="_Toc184308037"/>
      <w:bookmarkEnd w:id="259"/>
      <w:bookmarkStart w:id="260" w:name="_Toc184313298"/>
      <w:bookmarkEnd w:id="260"/>
      <w:bookmarkStart w:id="261" w:name="_Toc184308103"/>
      <w:bookmarkEnd w:id="261"/>
      <w:bookmarkStart w:id="262" w:name="_Toc184313267"/>
      <w:bookmarkEnd w:id="262"/>
      <w:bookmarkStart w:id="263" w:name="_Toc184310313"/>
      <w:bookmarkEnd w:id="263"/>
      <w:bookmarkStart w:id="264" w:name="_Toc184308072"/>
      <w:bookmarkEnd w:id="264"/>
      <w:bookmarkStart w:id="265" w:name="_Toc184312099"/>
      <w:bookmarkEnd w:id="265"/>
      <w:bookmarkStart w:id="266" w:name="_Toc184310324"/>
      <w:bookmarkEnd w:id="266"/>
      <w:bookmarkStart w:id="267" w:name="_Toc184310341"/>
      <w:bookmarkEnd w:id="267"/>
      <w:bookmarkStart w:id="268" w:name="_Toc184313269"/>
      <w:bookmarkEnd w:id="268"/>
      <w:bookmarkStart w:id="269" w:name="_Toc184313279"/>
      <w:bookmarkEnd w:id="269"/>
      <w:bookmarkStart w:id="270" w:name="_Toc184313309"/>
      <w:bookmarkEnd w:id="270"/>
      <w:bookmarkStart w:id="271" w:name="_Toc184314469"/>
      <w:bookmarkEnd w:id="271"/>
      <w:bookmarkStart w:id="272" w:name="_Toc184313250"/>
      <w:bookmarkEnd w:id="272"/>
      <w:bookmarkStart w:id="273" w:name="_Toc184308108"/>
      <w:bookmarkEnd w:id="273"/>
      <w:bookmarkStart w:id="274" w:name="_Toc184314439"/>
      <w:bookmarkEnd w:id="274"/>
      <w:bookmarkStart w:id="275" w:name="_Toc184312109"/>
      <w:bookmarkEnd w:id="275"/>
      <w:bookmarkStart w:id="276" w:name="_Toc184314470"/>
      <w:bookmarkEnd w:id="276"/>
      <w:bookmarkStart w:id="277" w:name="_Toc184314462"/>
      <w:bookmarkEnd w:id="277"/>
      <w:bookmarkStart w:id="278" w:name="_Toc184308089"/>
      <w:bookmarkEnd w:id="278"/>
      <w:bookmarkStart w:id="279" w:name="_Toc184310325"/>
      <w:bookmarkEnd w:id="279"/>
      <w:bookmarkStart w:id="280" w:name="_Toc184308069"/>
      <w:bookmarkEnd w:id="280"/>
      <w:bookmarkStart w:id="281" w:name="_Toc184314436"/>
      <w:bookmarkEnd w:id="281"/>
      <w:bookmarkStart w:id="282" w:name="_Toc184312091"/>
      <w:bookmarkEnd w:id="282"/>
      <w:bookmarkStart w:id="283" w:name="_Toc184314472"/>
      <w:bookmarkEnd w:id="283"/>
      <w:bookmarkStart w:id="284" w:name="_Toc184314451"/>
      <w:bookmarkEnd w:id="284"/>
      <w:bookmarkStart w:id="285" w:name="_Toc184308067"/>
      <w:bookmarkEnd w:id="285"/>
      <w:bookmarkStart w:id="286" w:name="_Toc184313274"/>
      <w:bookmarkEnd w:id="286"/>
      <w:bookmarkStart w:id="287" w:name="_Toc184308097"/>
      <w:bookmarkEnd w:id="287"/>
      <w:bookmarkStart w:id="288" w:name="_Toc184314443"/>
      <w:bookmarkEnd w:id="288"/>
      <w:bookmarkStart w:id="289" w:name="_Toc184314474"/>
      <w:bookmarkEnd w:id="289"/>
      <w:bookmarkStart w:id="290" w:name="_Toc184312126"/>
      <w:bookmarkEnd w:id="290"/>
      <w:bookmarkStart w:id="291" w:name="_Toc184314419"/>
      <w:bookmarkEnd w:id="291"/>
      <w:bookmarkStart w:id="292" w:name="_Toc184314457"/>
      <w:bookmarkEnd w:id="292"/>
      <w:bookmarkStart w:id="293" w:name="_Toc184312122"/>
      <w:bookmarkEnd w:id="293"/>
      <w:bookmarkStart w:id="294" w:name="_Toc184313264"/>
      <w:bookmarkEnd w:id="294"/>
      <w:bookmarkStart w:id="295" w:name="_Toc184308084"/>
      <w:bookmarkEnd w:id="295"/>
      <w:bookmarkStart w:id="296" w:name="_Toc184310305"/>
      <w:bookmarkEnd w:id="296"/>
      <w:bookmarkStart w:id="297" w:name="_Toc184310301"/>
      <w:bookmarkEnd w:id="297"/>
      <w:bookmarkStart w:id="298" w:name="_Toc184312071"/>
      <w:bookmarkEnd w:id="298"/>
      <w:bookmarkStart w:id="299" w:name="_Toc184314438"/>
      <w:bookmarkEnd w:id="299"/>
      <w:bookmarkStart w:id="300" w:name="_Toc184312131"/>
      <w:bookmarkEnd w:id="300"/>
      <w:bookmarkStart w:id="301" w:name="_Toc184313299"/>
      <w:bookmarkEnd w:id="301"/>
      <w:bookmarkStart w:id="302" w:name="_Toc184308100"/>
      <w:bookmarkEnd w:id="302"/>
      <w:bookmarkStart w:id="303" w:name="_Toc184313296"/>
      <w:bookmarkEnd w:id="303"/>
      <w:bookmarkStart w:id="304" w:name="_Toc184308099"/>
      <w:bookmarkEnd w:id="304"/>
      <w:bookmarkStart w:id="305" w:name="_Toc184310343"/>
      <w:bookmarkEnd w:id="305"/>
      <w:bookmarkStart w:id="306" w:name="_Toc184310311"/>
      <w:bookmarkEnd w:id="306"/>
      <w:bookmarkStart w:id="307" w:name="_Toc184310302"/>
      <w:bookmarkEnd w:id="307"/>
      <w:bookmarkStart w:id="308" w:name="_Toc184308048"/>
      <w:bookmarkEnd w:id="308"/>
      <w:bookmarkStart w:id="309" w:name="_Toc184314452"/>
      <w:bookmarkEnd w:id="309"/>
      <w:bookmarkStart w:id="310" w:name="_Toc184310306"/>
      <w:bookmarkEnd w:id="310"/>
      <w:bookmarkStart w:id="311" w:name="_Toc184314421"/>
      <w:bookmarkEnd w:id="311"/>
      <w:bookmarkStart w:id="312" w:name="_Toc184308070"/>
      <w:bookmarkEnd w:id="312"/>
      <w:bookmarkStart w:id="313" w:name="_Toc184314463"/>
      <w:bookmarkEnd w:id="313"/>
      <w:bookmarkStart w:id="314" w:name="_Toc184313239"/>
      <w:bookmarkEnd w:id="314"/>
      <w:bookmarkStart w:id="315" w:name="_Toc184314447"/>
      <w:bookmarkEnd w:id="315"/>
      <w:bookmarkStart w:id="316" w:name="_Toc184310283"/>
      <w:bookmarkEnd w:id="316"/>
      <w:bookmarkStart w:id="317" w:name="_Toc184314453"/>
      <w:bookmarkEnd w:id="317"/>
      <w:bookmarkStart w:id="318" w:name="_Toc184312112"/>
      <w:bookmarkEnd w:id="318"/>
      <w:bookmarkStart w:id="319" w:name="_Toc184313310"/>
      <w:bookmarkEnd w:id="319"/>
      <w:bookmarkStart w:id="320" w:name="_Toc184312078"/>
      <w:bookmarkEnd w:id="320"/>
      <w:bookmarkStart w:id="321" w:name="_Toc184312100"/>
      <w:bookmarkEnd w:id="321"/>
      <w:bookmarkStart w:id="322" w:name="_Toc184310323"/>
      <w:bookmarkEnd w:id="322"/>
      <w:bookmarkStart w:id="323" w:name="_Toc184308068"/>
      <w:bookmarkEnd w:id="323"/>
      <w:bookmarkStart w:id="324" w:name="_Toc184314461"/>
      <w:bookmarkEnd w:id="324"/>
      <w:bookmarkStart w:id="325" w:name="_Toc184308047"/>
      <w:bookmarkEnd w:id="325"/>
      <w:bookmarkStart w:id="326" w:name="_Toc184308088"/>
      <w:bookmarkEnd w:id="326"/>
      <w:bookmarkStart w:id="327" w:name="_Toc184313281"/>
      <w:bookmarkEnd w:id="327"/>
      <w:bookmarkStart w:id="328" w:name="_Toc184312081"/>
      <w:bookmarkEnd w:id="328"/>
      <w:bookmarkStart w:id="329" w:name="_Toc184308077"/>
      <w:bookmarkEnd w:id="329"/>
      <w:bookmarkStart w:id="330" w:name="_Toc184310315"/>
      <w:bookmarkEnd w:id="330"/>
      <w:bookmarkStart w:id="331" w:name="_Toc184314430"/>
      <w:bookmarkEnd w:id="331"/>
      <w:bookmarkStart w:id="332" w:name="_Toc184312139"/>
      <w:bookmarkEnd w:id="332"/>
      <w:bookmarkStart w:id="333" w:name="_Toc184313249"/>
      <w:bookmarkEnd w:id="333"/>
      <w:bookmarkStart w:id="334" w:name="_Toc184312104"/>
      <w:bookmarkEnd w:id="334"/>
      <w:bookmarkStart w:id="335" w:name="_Toc184313240"/>
      <w:bookmarkEnd w:id="335"/>
      <w:bookmarkStart w:id="336" w:name="_Toc184310273"/>
      <w:bookmarkEnd w:id="336"/>
      <w:bookmarkStart w:id="337" w:name="_Toc184312101"/>
      <w:bookmarkEnd w:id="337"/>
      <w:bookmarkStart w:id="338" w:name="_Toc184308063"/>
      <w:bookmarkEnd w:id="338"/>
      <w:bookmarkStart w:id="339" w:name="_Toc184313291"/>
      <w:bookmarkEnd w:id="339"/>
      <w:bookmarkStart w:id="340" w:name="_Toc184312138"/>
      <w:bookmarkEnd w:id="340"/>
      <w:bookmarkStart w:id="341" w:name="_Toc184312115"/>
      <w:bookmarkEnd w:id="341"/>
      <w:bookmarkStart w:id="342" w:name="_Toc184308107"/>
      <w:bookmarkEnd w:id="342"/>
      <w:bookmarkStart w:id="343" w:name="_Toc184314445"/>
      <w:bookmarkEnd w:id="343"/>
      <w:bookmarkStart w:id="344" w:name="_Toc184312106"/>
      <w:bookmarkEnd w:id="344"/>
      <w:bookmarkStart w:id="345" w:name="_Toc184314423"/>
      <w:bookmarkEnd w:id="345"/>
      <w:bookmarkStart w:id="346" w:name="_Toc184308094"/>
      <w:bookmarkEnd w:id="346"/>
      <w:bookmarkStart w:id="347" w:name="_Toc184313302"/>
      <w:bookmarkEnd w:id="347"/>
      <w:bookmarkStart w:id="348" w:name="_Toc184313242"/>
      <w:bookmarkEnd w:id="348"/>
      <w:bookmarkStart w:id="349" w:name="_Toc184308065"/>
      <w:bookmarkEnd w:id="349"/>
      <w:bookmarkStart w:id="350" w:name="_Toc184313270"/>
      <w:bookmarkEnd w:id="350"/>
      <w:bookmarkStart w:id="351" w:name="_Toc184313306"/>
      <w:bookmarkEnd w:id="351"/>
      <w:bookmarkStart w:id="352" w:name="_Toc184312102"/>
      <w:bookmarkEnd w:id="352"/>
      <w:bookmarkStart w:id="353" w:name="_Toc184313272"/>
      <w:bookmarkEnd w:id="353"/>
      <w:bookmarkStart w:id="354" w:name="_Toc184314440"/>
      <w:bookmarkEnd w:id="354"/>
      <w:bookmarkStart w:id="355" w:name="_Toc184308086"/>
      <w:bookmarkEnd w:id="355"/>
      <w:bookmarkStart w:id="356" w:name="_Toc184310303"/>
      <w:bookmarkEnd w:id="356"/>
      <w:bookmarkStart w:id="357" w:name="_Toc184308078"/>
      <w:bookmarkEnd w:id="357"/>
      <w:bookmarkStart w:id="358" w:name="_Toc184313277"/>
      <w:bookmarkEnd w:id="358"/>
      <w:bookmarkStart w:id="359" w:name="_Toc184314482"/>
      <w:bookmarkEnd w:id="359"/>
      <w:bookmarkStart w:id="360" w:name="_Toc184313273"/>
      <w:bookmarkEnd w:id="360"/>
      <w:bookmarkStart w:id="361" w:name="_Toc184314444"/>
      <w:bookmarkEnd w:id="361"/>
      <w:bookmarkStart w:id="362" w:name="_Toc184310291"/>
      <w:bookmarkEnd w:id="362"/>
      <w:bookmarkStart w:id="363" w:name="_Toc184314413"/>
      <w:bookmarkEnd w:id="363"/>
      <w:bookmarkStart w:id="364" w:name="_Toc184312105"/>
      <w:bookmarkEnd w:id="364"/>
      <w:bookmarkStart w:id="365" w:name="_Toc184308066"/>
      <w:bookmarkEnd w:id="365"/>
      <w:bookmarkStart w:id="366" w:name="_Toc184310308"/>
      <w:bookmarkEnd w:id="366"/>
      <w:bookmarkStart w:id="367" w:name="_Toc184314455"/>
      <w:bookmarkEnd w:id="367"/>
      <w:bookmarkStart w:id="368" w:name="_Toc184308056"/>
      <w:bookmarkEnd w:id="368"/>
      <w:bookmarkStart w:id="369" w:name="_Toc184310295"/>
      <w:bookmarkEnd w:id="369"/>
      <w:bookmarkStart w:id="370" w:name="_Toc184314441"/>
      <w:bookmarkEnd w:id="370"/>
      <w:bookmarkStart w:id="371" w:name="_Toc184312096"/>
      <w:bookmarkEnd w:id="371"/>
      <w:bookmarkStart w:id="372" w:name="_Toc184308071"/>
      <w:bookmarkEnd w:id="372"/>
      <w:bookmarkStart w:id="373" w:name="_Toc184308074"/>
      <w:bookmarkEnd w:id="373"/>
      <w:bookmarkStart w:id="374" w:name="_Toc184312087"/>
      <w:bookmarkEnd w:id="374"/>
      <w:bookmarkStart w:id="375" w:name="_Toc184314475"/>
      <w:bookmarkEnd w:id="375"/>
      <w:bookmarkStart w:id="376" w:name="_Toc184310320"/>
      <w:bookmarkEnd w:id="376"/>
      <w:bookmarkStart w:id="377" w:name="_Toc184313271"/>
      <w:bookmarkEnd w:id="377"/>
      <w:bookmarkStart w:id="378" w:name="_Toc184314481"/>
      <w:bookmarkEnd w:id="378"/>
      <w:bookmarkStart w:id="379" w:name="_Toc184308082"/>
      <w:bookmarkEnd w:id="379"/>
      <w:bookmarkStart w:id="380" w:name="_Toc184310326"/>
      <w:bookmarkEnd w:id="380"/>
      <w:bookmarkStart w:id="381" w:name="_Toc184308055"/>
      <w:bookmarkEnd w:id="381"/>
      <w:bookmarkStart w:id="382" w:name="_Toc184313247"/>
      <w:bookmarkEnd w:id="382"/>
      <w:bookmarkStart w:id="383" w:name="_Toc184310310"/>
      <w:bookmarkEnd w:id="383"/>
      <w:bookmarkStart w:id="384" w:name="_Toc184308064"/>
      <w:bookmarkEnd w:id="384"/>
      <w:bookmarkStart w:id="385" w:name="_Toc184314432"/>
      <w:bookmarkEnd w:id="385"/>
      <w:bookmarkStart w:id="386" w:name="_Toc184314428"/>
      <w:bookmarkEnd w:id="386"/>
      <w:bookmarkStart w:id="387" w:name="_Toc184314429"/>
      <w:bookmarkEnd w:id="387"/>
      <w:bookmarkStart w:id="388" w:name="_Toc184312079"/>
      <w:bookmarkEnd w:id="388"/>
      <w:bookmarkStart w:id="389" w:name="_Toc184312108"/>
      <w:bookmarkEnd w:id="389"/>
      <w:bookmarkStart w:id="390" w:name="_Toc184313283"/>
      <w:bookmarkEnd w:id="390"/>
      <w:bookmarkStart w:id="391" w:name="_Toc184313266"/>
      <w:bookmarkEnd w:id="391"/>
      <w:bookmarkStart w:id="392" w:name="_Toc184313256"/>
      <w:bookmarkEnd w:id="392"/>
      <w:bookmarkStart w:id="393" w:name="_Toc184308081"/>
      <w:bookmarkEnd w:id="393"/>
      <w:bookmarkStart w:id="394" w:name="_Toc184313303"/>
      <w:bookmarkEnd w:id="394"/>
      <w:bookmarkStart w:id="395" w:name="_Toc184308039"/>
      <w:bookmarkEnd w:id="395"/>
      <w:bookmarkStart w:id="396" w:name="_Toc184313300"/>
      <w:bookmarkEnd w:id="396"/>
      <w:bookmarkStart w:id="397" w:name="_Toc184312103"/>
      <w:bookmarkEnd w:id="397"/>
      <w:bookmarkStart w:id="398" w:name="_Toc184310307"/>
      <w:bookmarkEnd w:id="398"/>
      <w:bookmarkStart w:id="399" w:name="_Toc184314434"/>
      <w:bookmarkEnd w:id="399"/>
      <w:bookmarkStart w:id="400" w:name="_Toc184308057"/>
      <w:bookmarkEnd w:id="400"/>
      <w:bookmarkStart w:id="401" w:name="_Toc184314448"/>
      <w:bookmarkEnd w:id="401"/>
      <w:bookmarkStart w:id="402" w:name="_Toc184312067"/>
      <w:bookmarkEnd w:id="402"/>
      <w:bookmarkStart w:id="403" w:name="_Toc184310282"/>
      <w:bookmarkEnd w:id="403"/>
      <w:bookmarkStart w:id="404" w:name="_Toc184313292"/>
      <w:bookmarkEnd w:id="404"/>
      <w:bookmarkStart w:id="405" w:name="_Toc184312088"/>
      <w:bookmarkEnd w:id="405"/>
      <w:bookmarkStart w:id="406" w:name="_Toc184313252"/>
      <w:bookmarkEnd w:id="406"/>
      <w:bookmarkStart w:id="407" w:name="_Toc184313259"/>
      <w:bookmarkEnd w:id="407"/>
      <w:bookmarkStart w:id="408" w:name="_Toc184313282"/>
      <w:bookmarkEnd w:id="408"/>
      <w:bookmarkStart w:id="409" w:name="_Toc184313257"/>
      <w:bookmarkEnd w:id="409"/>
      <w:bookmarkStart w:id="410" w:name="_Toc184308036"/>
      <w:bookmarkEnd w:id="410"/>
      <w:bookmarkStart w:id="411" w:name="_Toc184308060"/>
      <w:bookmarkEnd w:id="411"/>
      <w:bookmarkStart w:id="412" w:name="_Toc184314471"/>
      <w:bookmarkEnd w:id="412"/>
      <w:bookmarkStart w:id="413" w:name="_Toc184312098"/>
      <w:bookmarkEnd w:id="413"/>
      <w:bookmarkStart w:id="414" w:name="_Toc184308075"/>
      <w:bookmarkEnd w:id="414"/>
      <w:bookmarkStart w:id="415" w:name="_Toc184314410"/>
      <w:bookmarkEnd w:id="415"/>
      <w:bookmarkStart w:id="416" w:name="_Toc184312093"/>
      <w:bookmarkEnd w:id="416"/>
      <w:bookmarkStart w:id="417" w:name="_Toc184308061"/>
      <w:bookmarkEnd w:id="417"/>
      <w:bookmarkStart w:id="418" w:name="_Toc184308062"/>
      <w:bookmarkEnd w:id="418"/>
      <w:bookmarkStart w:id="419" w:name="_Toc184312110"/>
      <w:bookmarkEnd w:id="419"/>
      <w:bookmarkStart w:id="420" w:name="_Toc184312076"/>
      <w:bookmarkEnd w:id="420"/>
      <w:bookmarkStart w:id="421" w:name="_Toc184312129"/>
      <w:bookmarkEnd w:id="421"/>
      <w:bookmarkStart w:id="422" w:name="_Toc184313248"/>
      <w:bookmarkEnd w:id="422"/>
      <w:bookmarkStart w:id="423" w:name="_Toc184312086"/>
      <w:bookmarkEnd w:id="423"/>
      <w:bookmarkStart w:id="424" w:name="_Toc184308085"/>
      <w:bookmarkEnd w:id="424"/>
      <w:bookmarkStart w:id="425" w:name="_Toc184313275"/>
      <w:bookmarkEnd w:id="425"/>
      <w:bookmarkStart w:id="426" w:name="_Toc184310293"/>
      <w:bookmarkEnd w:id="426"/>
      <w:bookmarkStart w:id="427" w:name="_Toc184313301"/>
      <w:bookmarkEnd w:id="427"/>
      <w:bookmarkStart w:id="428" w:name="_Toc184312136"/>
      <w:bookmarkEnd w:id="428"/>
      <w:bookmarkStart w:id="429" w:name="_Toc184308059"/>
      <w:bookmarkEnd w:id="429"/>
      <w:bookmarkStart w:id="430" w:name="_Toc184313268"/>
      <w:bookmarkEnd w:id="430"/>
      <w:bookmarkStart w:id="431" w:name="_Toc184314442"/>
      <w:bookmarkEnd w:id="431"/>
      <w:bookmarkStart w:id="432" w:name="_Toc184313238"/>
      <w:bookmarkEnd w:id="432"/>
      <w:bookmarkStart w:id="433" w:name="_Toc184314426"/>
      <w:bookmarkEnd w:id="433"/>
      <w:r>
        <w:rPr>
          <w:rFonts w:hint="eastAsia" w:ascii="仿宋" w:hAnsi="仿宋" w:eastAsia="仿宋" w:cs="仿宋"/>
          <w:highlight w:val="none"/>
        </w:rPr>
        <w:t>评标方法及评分标准</w:t>
      </w:r>
    </w:p>
    <w:p w14:paraId="6285E38E">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1EF4C5FD">
      <w:pPr>
        <w:pStyle w:val="30"/>
        <w:spacing w:line="360" w:lineRule="auto"/>
        <w:rPr>
          <w:rFonts w:hint="eastAsia" w:ascii="仿宋" w:hAnsi="仿宋" w:eastAsia="仿宋" w:cs="仿宋"/>
          <w:highlight w:val="none"/>
        </w:rPr>
      </w:pPr>
      <w:r>
        <w:rPr>
          <w:rFonts w:hint="eastAsia" w:ascii="仿宋" w:hAnsi="仿宋" w:eastAsia="仿宋" w:cs="仿宋"/>
          <w:highlight w:val="none"/>
        </w:rPr>
        <w:t>1、商务技术评分表（80分）：</w:t>
      </w:r>
    </w:p>
    <w:tbl>
      <w:tblPr>
        <w:tblStyle w:val="16"/>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2"/>
        <w:gridCol w:w="6060"/>
        <w:gridCol w:w="1254"/>
        <w:gridCol w:w="1015"/>
      </w:tblGrid>
      <w:tr w14:paraId="35FD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12" w:type="dxa"/>
            <w:gridSpan w:val="2"/>
            <w:shd w:val="clear" w:color="auto" w:fill="FFFFFF"/>
            <w:vAlign w:val="center"/>
          </w:tcPr>
          <w:p w14:paraId="0C834F8D">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评标内容及分值</w:t>
            </w:r>
          </w:p>
        </w:tc>
        <w:tc>
          <w:tcPr>
            <w:tcW w:w="1254" w:type="dxa"/>
            <w:shd w:val="clear" w:color="auto" w:fill="FFFFFF"/>
            <w:vAlign w:val="center"/>
          </w:tcPr>
          <w:p w14:paraId="3AD43030">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1015" w:type="dxa"/>
            <w:shd w:val="clear" w:color="auto" w:fill="FFFFFF"/>
            <w:vAlign w:val="center"/>
          </w:tcPr>
          <w:p w14:paraId="0299E523">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主/客观分</w:t>
            </w:r>
          </w:p>
        </w:tc>
      </w:tr>
      <w:tr w14:paraId="0A29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2" w:type="dxa"/>
            <w:vMerge w:val="restart"/>
            <w:shd w:val="clear" w:color="auto" w:fill="FFFFFF"/>
            <w:vAlign w:val="center"/>
          </w:tcPr>
          <w:p w14:paraId="752425FD">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 务</w:t>
            </w:r>
          </w:p>
          <w:p w14:paraId="65A9A5C7">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 信</w:t>
            </w:r>
          </w:p>
          <w:p w14:paraId="75829D39">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w:t>
            </w:r>
          </w:p>
          <w:p w14:paraId="6727E88B">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（15分</w:t>
            </w:r>
          </w:p>
        </w:tc>
        <w:tc>
          <w:tcPr>
            <w:tcW w:w="6060" w:type="dxa"/>
            <w:shd w:val="clear" w:color="auto" w:fill="FFFFFF"/>
          </w:tcPr>
          <w:p w14:paraId="3D9172CB">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根据供应商履约能力等情况综合评定</w:t>
            </w:r>
          </w:p>
        </w:tc>
        <w:tc>
          <w:tcPr>
            <w:tcW w:w="1254" w:type="dxa"/>
            <w:shd w:val="clear" w:color="auto" w:fill="FFFFFF"/>
            <w:vAlign w:val="center"/>
          </w:tcPr>
          <w:p w14:paraId="597C0C6E">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1015" w:type="dxa"/>
            <w:shd w:val="clear" w:color="auto" w:fill="FFFFFF"/>
            <w:vAlign w:val="center"/>
          </w:tcPr>
          <w:p w14:paraId="1DF1022C">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1552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2" w:type="dxa"/>
            <w:vMerge w:val="continue"/>
            <w:shd w:val="clear" w:color="auto" w:fill="FFFFFF"/>
          </w:tcPr>
          <w:p w14:paraId="04207910">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tcPr>
          <w:p w14:paraId="07A642FE">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投标人具有质量管理体系认证证书、环境管理体系认证证书、职业健康管理体系认证证书，每具有1个有效期内的证书的得 2分，本项最高得 6分。（响应文件中提供有效期内的证书复印件并加盖公章）。</w:t>
            </w:r>
          </w:p>
        </w:tc>
        <w:tc>
          <w:tcPr>
            <w:tcW w:w="1254" w:type="dxa"/>
            <w:shd w:val="clear" w:color="auto" w:fill="FFFFFF"/>
            <w:vAlign w:val="center"/>
          </w:tcPr>
          <w:p w14:paraId="44D2E187">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6分</w:t>
            </w:r>
          </w:p>
        </w:tc>
        <w:tc>
          <w:tcPr>
            <w:tcW w:w="1015" w:type="dxa"/>
            <w:shd w:val="clear" w:color="auto" w:fill="FFFFFF"/>
            <w:vAlign w:val="center"/>
          </w:tcPr>
          <w:p w14:paraId="3442EE37">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14:paraId="21BE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2" w:type="dxa"/>
            <w:vMerge w:val="continue"/>
            <w:shd w:val="clear" w:color="auto" w:fill="FFFFFF"/>
          </w:tcPr>
          <w:p w14:paraId="0D155E6F">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4161EF7B">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供应商自2019年12月1日（以合同签订时间为准）以来，提供类似项目业绩的合同复印件或中标通知书复印件编入投标文件，每个得0.5分，最高得2分。</w:t>
            </w:r>
          </w:p>
        </w:tc>
        <w:tc>
          <w:tcPr>
            <w:tcW w:w="1254" w:type="dxa"/>
            <w:shd w:val="clear" w:color="auto" w:fill="FFFFFF"/>
            <w:vAlign w:val="center"/>
          </w:tcPr>
          <w:p w14:paraId="51F57FF4">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2分</w:t>
            </w:r>
          </w:p>
        </w:tc>
        <w:tc>
          <w:tcPr>
            <w:tcW w:w="1015" w:type="dxa"/>
            <w:shd w:val="clear" w:color="auto" w:fill="FFFFFF"/>
            <w:vAlign w:val="center"/>
          </w:tcPr>
          <w:p w14:paraId="3E01A3CF">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14:paraId="4706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restart"/>
            <w:shd w:val="clear" w:color="auto" w:fill="FFFFFF"/>
            <w:vAlign w:val="center"/>
          </w:tcPr>
          <w:p w14:paraId="2AED8559">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w:t>
            </w:r>
          </w:p>
          <w:p w14:paraId="7A7F3194">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术</w:t>
            </w:r>
          </w:p>
          <w:p w14:paraId="4EE8FF59">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w:t>
            </w:r>
          </w:p>
          <w:p w14:paraId="1384ABE9">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（65）</w:t>
            </w:r>
          </w:p>
        </w:tc>
        <w:tc>
          <w:tcPr>
            <w:tcW w:w="6060" w:type="dxa"/>
            <w:shd w:val="clear" w:color="auto" w:fill="FFFFFF"/>
            <w:vAlign w:val="center"/>
          </w:tcPr>
          <w:p w14:paraId="61C939FE">
            <w:pPr>
              <w:adjustRightInd/>
              <w:spacing w:line="400"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bidi="ar"/>
              </w:rPr>
              <w:t>监理大纲内容编写情况</w:t>
            </w:r>
            <w:r>
              <w:rPr>
                <w:rFonts w:hint="eastAsia" w:ascii="仿宋" w:hAnsi="仿宋" w:eastAsia="仿宋" w:cs="仿宋"/>
                <w:sz w:val="24"/>
                <w:szCs w:val="24"/>
                <w:highlight w:val="none"/>
              </w:rPr>
              <w:t>综合评定（完善的得7-8分，较完善的得3-7分，不够完善的得0-3分。）</w:t>
            </w:r>
          </w:p>
        </w:tc>
        <w:tc>
          <w:tcPr>
            <w:tcW w:w="1254" w:type="dxa"/>
            <w:shd w:val="clear" w:color="auto" w:fill="FFFFFF"/>
            <w:vAlign w:val="center"/>
          </w:tcPr>
          <w:p w14:paraId="66E3C045">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8分</w:t>
            </w:r>
          </w:p>
        </w:tc>
        <w:tc>
          <w:tcPr>
            <w:tcW w:w="1015" w:type="dxa"/>
            <w:shd w:val="clear" w:color="auto" w:fill="FFFFFF"/>
            <w:vAlign w:val="center"/>
          </w:tcPr>
          <w:p w14:paraId="13DE00EF">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6AD2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3" w:hRule="atLeast"/>
        </w:trPr>
        <w:tc>
          <w:tcPr>
            <w:tcW w:w="952" w:type="dxa"/>
            <w:vMerge w:val="continue"/>
            <w:shd w:val="clear" w:color="auto" w:fill="FFFFFF"/>
          </w:tcPr>
          <w:p w14:paraId="59E6D7E6">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2D29DB7B">
            <w:pPr>
              <w:adjustRightInd/>
              <w:spacing w:line="400"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bidi="ar"/>
              </w:rPr>
              <w:t xml:space="preserve">项目监理部机构设置、人员配置、设备配备情况 </w:t>
            </w:r>
            <w:r>
              <w:rPr>
                <w:rFonts w:hint="eastAsia" w:ascii="仿宋" w:hAnsi="仿宋" w:eastAsia="仿宋" w:cs="仿宋"/>
                <w:sz w:val="24"/>
                <w:szCs w:val="24"/>
                <w:highlight w:val="none"/>
              </w:rPr>
              <w:t>（完善的得6-9分，较完善的得3-6分，不够完善的得0-3分。）</w:t>
            </w:r>
          </w:p>
        </w:tc>
        <w:tc>
          <w:tcPr>
            <w:tcW w:w="1254" w:type="dxa"/>
            <w:shd w:val="clear" w:color="auto" w:fill="FFFFFF"/>
            <w:vAlign w:val="center"/>
          </w:tcPr>
          <w:p w14:paraId="6AC5246D">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9分</w:t>
            </w:r>
          </w:p>
        </w:tc>
        <w:tc>
          <w:tcPr>
            <w:tcW w:w="1015" w:type="dxa"/>
            <w:shd w:val="clear" w:color="auto" w:fill="FFFFFF"/>
            <w:vAlign w:val="center"/>
          </w:tcPr>
          <w:p w14:paraId="4E6B55B1">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4818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52" w:type="dxa"/>
            <w:vMerge w:val="continue"/>
            <w:shd w:val="clear" w:color="auto" w:fill="FFFFFF"/>
          </w:tcPr>
          <w:p w14:paraId="2CCC4D89">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1FD96500">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保证进度和项目完成的方案和措施等（综合评定）  </w:t>
            </w:r>
            <w:r>
              <w:rPr>
                <w:rFonts w:hint="eastAsia" w:ascii="仿宋" w:hAnsi="仿宋" w:eastAsia="仿宋" w:cs="仿宋"/>
                <w:kern w:val="0"/>
                <w:sz w:val="24"/>
                <w:szCs w:val="24"/>
                <w:highlight w:val="none"/>
              </w:rPr>
              <w:t>（完善的得5-8分，较完善的得2-4分，不够完善的得0-1分。）</w:t>
            </w:r>
            <w:r>
              <w:rPr>
                <w:rFonts w:hint="eastAsia" w:ascii="仿宋" w:hAnsi="仿宋" w:eastAsia="仿宋" w:cs="仿宋"/>
                <w:sz w:val="24"/>
                <w:szCs w:val="24"/>
                <w:highlight w:val="none"/>
              </w:rPr>
              <w:t xml:space="preserve"> </w:t>
            </w:r>
          </w:p>
        </w:tc>
        <w:tc>
          <w:tcPr>
            <w:tcW w:w="1254" w:type="dxa"/>
            <w:shd w:val="clear" w:color="auto" w:fill="FFFFFF"/>
            <w:vAlign w:val="center"/>
          </w:tcPr>
          <w:p w14:paraId="42F13B92">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8分</w:t>
            </w:r>
          </w:p>
        </w:tc>
        <w:tc>
          <w:tcPr>
            <w:tcW w:w="1015" w:type="dxa"/>
            <w:shd w:val="clear" w:color="auto" w:fill="FFFFFF"/>
            <w:vAlign w:val="center"/>
          </w:tcPr>
          <w:p w14:paraId="3175823D">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5037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2" w:type="dxa"/>
            <w:vMerge w:val="continue"/>
            <w:shd w:val="clear" w:color="auto" w:fill="FFFFFF"/>
          </w:tcPr>
          <w:p w14:paraId="56033FC6">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665D8C5D">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项目负责人及技术力量安排等（综合评定）</w:t>
            </w:r>
            <w:r>
              <w:rPr>
                <w:rFonts w:hint="eastAsia" w:ascii="仿宋" w:hAnsi="仿宋" w:eastAsia="仿宋" w:cs="仿宋"/>
                <w:kern w:val="0"/>
                <w:sz w:val="24"/>
                <w:szCs w:val="24"/>
                <w:highlight w:val="none"/>
              </w:rPr>
              <w:t>（完善的得5-8分，较完善的得2-4分，不够完善的得0-1分。）</w:t>
            </w:r>
          </w:p>
        </w:tc>
        <w:tc>
          <w:tcPr>
            <w:tcW w:w="1254" w:type="dxa"/>
            <w:shd w:val="clear" w:color="auto" w:fill="FFFFFF"/>
            <w:vAlign w:val="center"/>
          </w:tcPr>
          <w:p w14:paraId="25791577">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8分</w:t>
            </w:r>
          </w:p>
        </w:tc>
        <w:tc>
          <w:tcPr>
            <w:tcW w:w="1015" w:type="dxa"/>
            <w:shd w:val="clear" w:color="auto" w:fill="FFFFFF"/>
            <w:vAlign w:val="center"/>
          </w:tcPr>
          <w:p w14:paraId="7DFA7575">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4E15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2" w:type="dxa"/>
            <w:vMerge w:val="continue"/>
            <w:shd w:val="clear" w:color="auto" w:fill="FFFFFF"/>
          </w:tcPr>
          <w:p w14:paraId="16C93C9E">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63A97864">
            <w:pPr>
              <w:adjustRightInd/>
              <w:spacing w:line="400" w:lineRule="exact"/>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对本项目的合理化建议（综合评定）  </w:t>
            </w:r>
            <w:r>
              <w:rPr>
                <w:rFonts w:hint="eastAsia" w:ascii="仿宋" w:hAnsi="仿宋" w:eastAsia="仿宋" w:cs="仿宋"/>
                <w:kern w:val="0"/>
                <w:sz w:val="24"/>
                <w:szCs w:val="24"/>
                <w:highlight w:val="none"/>
              </w:rPr>
              <w:t>（完善的得5-8分，较完善的得2-4分，不够完善的得0-1分。）</w:t>
            </w:r>
          </w:p>
        </w:tc>
        <w:tc>
          <w:tcPr>
            <w:tcW w:w="1254" w:type="dxa"/>
            <w:shd w:val="clear" w:color="auto" w:fill="FFFFFF"/>
            <w:vAlign w:val="center"/>
          </w:tcPr>
          <w:p w14:paraId="402C457D">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8分</w:t>
            </w:r>
          </w:p>
        </w:tc>
        <w:tc>
          <w:tcPr>
            <w:tcW w:w="1015" w:type="dxa"/>
            <w:shd w:val="clear" w:color="auto" w:fill="FFFFFF"/>
            <w:vAlign w:val="center"/>
          </w:tcPr>
          <w:p w14:paraId="5A8EDF5F">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1AD0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shd w:val="clear" w:color="auto" w:fill="FFFFFF"/>
          </w:tcPr>
          <w:p w14:paraId="59CCD28B">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2FC5584F">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服务质量保证情况（根据可实现程度、提供优惠、质保期等情况综合评定）  </w:t>
            </w:r>
          </w:p>
        </w:tc>
        <w:tc>
          <w:tcPr>
            <w:tcW w:w="1254" w:type="dxa"/>
            <w:shd w:val="clear" w:color="auto" w:fill="FFFFFF"/>
            <w:vAlign w:val="center"/>
          </w:tcPr>
          <w:p w14:paraId="263FA8C5">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6分</w:t>
            </w:r>
          </w:p>
        </w:tc>
        <w:tc>
          <w:tcPr>
            <w:tcW w:w="1015" w:type="dxa"/>
            <w:shd w:val="clear" w:color="auto" w:fill="FFFFFF"/>
            <w:vAlign w:val="center"/>
          </w:tcPr>
          <w:p w14:paraId="321695BF">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3029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52" w:type="dxa"/>
            <w:vMerge w:val="continue"/>
            <w:shd w:val="clear" w:color="auto" w:fill="FFFFFF"/>
          </w:tcPr>
          <w:p w14:paraId="2A92B67A">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418A4C83">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售后服务承诺（根据售后服务方案、措施、响应及本地化服务能力等情况综合评定对比打分）（完善的得6-8分，较完善的得3-6分，不够完善的得0-3分。</w:t>
            </w:r>
          </w:p>
        </w:tc>
        <w:tc>
          <w:tcPr>
            <w:tcW w:w="1254" w:type="dxa"/>
            <w:shd w:val="clear" w:color="auto" w:fill="FFFFFF"/>
            <w:vAlign w:val="center"/>
          </w:tcPr>
          <w:p w14:paraId="34712BE9">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8分</w:t>
            </w:r>
          </w:p>
        </w:tc>
        <w:tc>
          <w:tcPr>
            <w:tcW w:w="1015" w:type="dxa"/>
            <w:shd w:val="clear" w:color="auto" w:fill="FFFFFF"/>
            <w:vAlign w:val="center"/>
          </w:tcPr>
          <w:p w14:paraId="452DAF01">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28E1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52" w:type="dxa"/>
            <w:vMerge w:val="continue"/>
            <w:shd w:val="clear" w:color="auto" w:fill="FFFFFF"/>
          </w:tcPr>
          <w:p w14:paraId="1A966266">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6030E49F">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投标人提出协助审计的工作思路和工作方法，工作思路明确，方法合理、科学、可操作性强等情况。（完善的得3-5分，较完善的得1-2分，不够完善的得0-1分）。</w:t>
            </w:r>
          </w:p>
        </w:tc>
        <w:tc>
          <w:tcPr>
            <w:tcW w:w="1254" w:type="dxa"/>
            <w:shd w:val="clear" w:color="auto" w:fill="FFFFFF"/>
            <w:vAlign w:val="center"/>
          </w:tcPr>
          <w:p w14:paraId="521753EC">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1015" w:type="dxa"/>
            <w:shd w:val="clear" w:color="auto" w:fill="FFFFFF"/>
            <w:vAlign w:val="center"/>
          </w:tcPr>
          <w:p w14:paraId="75FF1A82">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r w14:paraId="23D6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9" w:hRule="atLeast"/>
        </w:trPr>
        <w:tc>
          <w:tcPr>
            <w:tcW w:w="952" w:type="dxa"/>
            <w:vMerge w:val="continue"/>
            <w:shd w:val="clear" w:color="auto" w:fill="FFFFFF"/>
          </w:tcPr>
          <w:p w14:paraId="7223ED80">
            <w:pPr>
              <w:adjustRightInd/>
              <w:spacing w:line="400" w:lineRule="exact"/>
              <w:jc w:val="center"/>
              <w:rPr>
                <w:rFonts w:hint="eastAsia" w:ascii="仿宋" w:hAnsi="仿宋" w:eastAsia="仿宋" w:cs="仿宋"/>
                <w:sz w:val="24"/>
                <w:szCs w:val="24"/>
                <w:highlight w:val="none"/>
              </w:rPr>
            </w:pPr>
          </w:p>
        </w:tc>
        <w:tc>
          <w:tcPr>
            <w:tcW w:w="6060" w:type="dxa"/>
            <w:shd w:val="clear" w:color="auto" w:fill="FFFFFF"/>
            <w:vAlign w:val="center"/>
          </w:tcPr>
          <w:p w14:paraId="6F3C5C28">
            <w:pPr>
              <w:adjustRightIn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投标人针对本项目建设提供咨询建议，阐述咨询工作实施的工作思路和工作方法（作业流程），工作思路明确，方法合理、科学、可操作性强等情况（完善的得3-5分，较完善的得1-2分，不够完善的得0-1分）。</w:t>
            </w:r>
          </w:p>
        </w:tc>
        <w:tc>
          <w:tcPr>
            <w:tcW w:w="1254" w:type="dxa"/>
            <w:shd w:val="clear" w:color="auto" w:fill="FFFFFF"/>
            <w:vAlign w:val="center"/>
          </w:tcPr>
          <w:p w14:paraId="25EF3184">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1015" w:type="dxa"/>
            <w:shd w:val="clear" w:color="auto" w:fill="FFFFFF"/>
            <w:vAlign w:val="center"/>
          </w:tcPr>
          <w:p w14:paraId="26D6663F">
            <w:pPr>
              <w:adjustRightInd/>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r>
    </w:tbl>
    <w:p w14:paraId="39767B1B">
      <w:pPr>
        <w:adjustRightInd/>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注：1）若交易人对供应商提供的证明资料要求为原件的，另行提出。</w:t>
      </w:r>
    </w:p>
    <w:p w14:paraId="2F922472">
      <w:pPr>
        <w:numPr>
          <w:ilvl w:val="0"/>
          <w:numId w:val="7"/>
        </w:numPr>
        <w:adjustRightInd/>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1AF515D">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rPr>
        <w:t>2、</w:t>
      </w:r>
      <w:r>
        <w:rPr>
          <w:rFonts w:hint="eastAsia" w:ascii="仿宋" w:hAnsi="仿宋" w:eastAsia="仿宋" w:cs="仿宋"/>
          <w:sz w:val="24"/>
          <w:highlight w:val="none"/>
        </w:rPr>
        <w:t>价格部分评分方法（20分）：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376"/>
      </w:tblGrid>
      <w:tr w14:paraId="6AA5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2898" w:type="dxa"/>
            <w:vAlign w:val="center"/>
          </w:tcPr>
          <w:p w14:paraId="710E6D43">
            <w:pPr>
              <w:adjustRightInd/>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价格权值</w:t>
            </w:r>
          </w:p>
        </w:tc>
        <w:tc>
          <w:tcPr>
            <w:tcW w:w="6376" w:type="dxa"/>
            <w:vAlign w:val="center"/>
          </w:tcPr>
          <w:p w14:paraId="7A89CF26">
            <w:pPr>
              <w:adjustRightInd/>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    算    方    法</w:t>
            </w:r>
          </w:p>
        </w:tc>
      </w:tr>
      <w:tr w14:paraId="6FB7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898" w:type="dxa"/>
            <w:vAlign w:val="center"/>
          </w:tcPr>
          <w:p w14:paraId="07E7E9FE">
            <w:pPr>
              <w:adjustRightInd/>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价格权值=0.20</w:t>
            </w:r>
          </w:p>
        </w:tc>
        <w:tc>
          <w:tcPr>
            <w:tcW w:w="6376" w:type="dxa"/>
            <w:vAlign w:val="center"/>
          </w:tcPr>
          <w:p w14:paraId="12420235">
            <w:pPr>
              <w:adjustRightInd/>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最低有效响应价格为评标基准价</w:t>
            </w:r>
          </w:p>
          <w:p w14:paraId="2876AEAC">
            <w:pPr>
              <w:adjustRightInd/>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响应报价得分=(评标基准价／响应报价)×价格权值×100</w:t>
            </w:r>
          </w:p>
          <w:p w14:paraId="25AB3652">
            <w:pPr>
              <w:adjustRightInd/>
              <w:rPr>
                <w:rFonts w:hint="eastAsia" w:ascii="仿宋" w:hAnsi="仿宋" w:eastAsia="仿宋" w:cs="仿宋"/>
                <w:sz w:val="24"/>
                <w:szCs w:val="24"/>
                <w:highlight w:val="none"/>
              </w:rPr>
            </w:pPr>
            <w:r>
              <w:rPr>
                <w:rFonts w:hint="eastAsia" w:ascii="仿宋" w:hAnsi="仿宋" w:eastAsia="仿宋" w:cs="仿宋"/>
                <w:sz w:val="24"/>
                <w:szCs w:val="24"/>
                <w:highlight w:val="none"/>
              </w:rPr>
              <w:t>（计算得分保留小数点后2位）</w:t>
            </w:r>
          </w:p>
        </w:tc>
      </w:tr>
    </w:tbl>
    <w:p w14:paraId="68AA3B5B">
      <w:pPr>
        <w:pStyle w:val="15"/>
        <w:ind w:left="0" w:leftChars="0" w:firstLine="0" w:firstLineChars="0"/>
        <w:rPr>
          <w:rFonts w:hint="eastAsia" w:ascii="仿宋" w:hAnsi="仿宋" w:eastAsia="仿宋" w:cs="仿宋"/>
          <w:sz w:val="24"/>
          <w:highlight w:val="none"/>
        </w:rPr>
      </w:pPr>
    </w:p>
    <w:p w14:paraId="2A85AD5A">
      <w:pPr>
        <w:pStyle w:val="15"/>
        <w:ind w:left="0" w:leftChars="0" w:firstLine="0" w:firstLineChars="0"/>
        <w:rPr>
          <w:rFonts w:hint="eastAsia" w:ascii="仿宋" w:hAnsi="仿宋" w:eastAsia="仿宋" w:cs="仿宋"/>
          <w:sz w:val="24"/>
          <w:highlight w:val="none"/>
        </w:rPr>
      </w:pPr>
    </w:p>
    <w:p w14:paraId="634DAF47">
      <w:pPr>
        <w:pStyle w:val="15"/>
        <w:ind w:left="0" w:leftChars="0" w:firstLine="0" w:firstLineChars="0"/>
        <w:rPr>
          <w:rFonts w:hint="eastAsia" w:ascii="仿宋" w:hAnsi="仿宋" w:eastAsia="仿宋" w:cs="仿宋"/>
          <w:sz w:val="24"/>
          <w:highlight w:val="none"/>
        </w:rPr>
      </w:pPr>
    </w:p>
    <w:p w14:paraId="4077D9B8">
      <w:pPr>
        <w:pStyle w:val="15"/>
        <w:ind w:left="0" w:leftChars="0" w:firstLine="0" w:firstLineChars="0"/>
        <w:rPr>
          <w:rFonts w:hint="eastAsia" w:ascii="仿宋" w:hAnsi="仿宋" w:eastAsia="仿宋" w:cs="仿宋"/>
          <w:sz w:val="24"/>
          <w:highlight w:val="none"/>
        </w:rPr>
      </w:pPr>
    </w:p>
    <w:p w14:paraId="793CF433">
      <w:pPr>
        <w:pStyle w:val="15"/>
        <w:ind w:left="0" w:leftChars="0" w:firstLine="0" w:firstLineChars="0"/>
        <w:rPr>
          <w:rFonts w:hint="eastAsia" w:ascii="仿宋" w:hAnsi="仿宋" w:eastAsia="仿宋" w:cs="仿宋"/>
          <w:sz w:val="24"/>
          <w:highlight w:val="none"/>
        </w:rPr>
      </w:pPr>
    </w:p>
    <w:p w14:paraId="2CCE3CE5">
      <w:pPr>
        <w:pStyle w:val="15"/>
        <w:ind w:left="0" w:leftChars="0" w:firstLine="0" w:firstLineChars="0"/>
        <w:rPr>
          <w:rFonts w:hint="eastAsia" w:ascii="仿宋" w:hAnsi="仿宋" w:eastAsia="仿宋" w:cs="仿宋"/>
          <w:sz w:val="24"/>
          <w:highlight w:val="none"/>
        </w:rPr>
      </w:pPr>
    </w:p>
    <w:p w14:paraId="1722E0DE">
      <w:pPr>
        <w:pStyle w:val="15"/>
        <w:ind w:left="0" w:leftChars="0" w:firstLine="0" w:firstLineChars="0"/>
        <w:rPr>
          <w:rFonts w:hint="eastAsia" w:ascii="仿宋" w:hAnsi="仿宋" w:eastAsia="仿宋" w:cs="仿宋"/>
          <w:sz w:val="24"/>
          <w:highlight w:val="none"/>
        </w:rPr>
      </w:pPr>
    </w:p>
    <w:p w14:paraId="4DBCB99F">
      <w:pPr>
        <w:pStyle w:val="15"/>
        <w:ind w:left="0" w:leftChars="0" w:firstLine="0" w:firstLineChars="0"/>
        <w:rPr>
          <w:rFonts w:hint="eastAsia" w:ascii="仿宋" w:hAnsi="仿宋" w:eastAsia="仿宋" w:cs="仿宋"/>
          <w:sz w:val="24"/>
          <w:highlight w:val="none"/>
        </w:rPr>
      </w:pPr>
    </w:p>
    <w:p w14:paraId="5E1D6243">
      <w:pPr>
        <w:pStyle w:val="15"/>
        <w:ind w:left="0" w:leftChars="0" w:firstLine="0" w:firstLineChars="0"/>
        <w:rPr>
          <w:rFonts w:hint="eastAsia" w:ascii="仿宋" w:hAnsi="仿宋" w:eastAsia="仿宋" w:cs="仿宋"/>
          <w:sz w:val="24"/>
          <w:highlight w:val="none"/>
        </w:rPr>
      </w:pPr>
    </w:p>
    <w:p w14:paraId="02863056">
      <w:pPr>
        <w:pStyle w:val="15"/>
        <w:ind w:left="0" w:leftChars="0" w:firstLine="0" w:firstLineChars="0"/>
        <w:rPr>
          <w:rFonts w:hint="eastAsia" w:ascii="仿宋" w:hAnsi="仿宋" w:eastAsia="仿宋" w:cs="仿宋"/>
          <w:sz w:val="24"/>
          <w:highlight w:val="none"/>
        </w:rPr>
      </w:pPr>
    </w:p>
    <w:p w14:paraId="234A0A00">
      <w:pPr>
        <w:pStyle w:val="15"/>
        <w:ind w:left="0" w:leftChars="0" w:firstLine="0" w:firstLineChars="0"/>
        <w:rPr>
          <w:rFonts w:hint="eastAsia" w:ascii="仿宋" w:hAnsi="仿宋" w:eastAsia="仿宋" w:cs="仿宋"/>
          <w:sz w:val="24"/>
          <w:highlight w:val="none"/>
        </w:rPr>
      </w:pPr>
    </w:p>
    <w:p w14:paraId="468BF6B4">
      <w:pPr>
        <w:pStyle w:val="15"/>
        <w:ind w:left="0" w:leftChars="0" w:firstLine="0" w:firstLineChars="0"/>
        <w:rPr>
          <w:rFonts w:hint="eastAsia" w:ascii="仿宋" w:hAnsi="仿宋" w:eastAsia="仿宋" w:cs="仿宋"/>
          <w:sz w:val="24"/>
          <w:highlight w:val="none"/>
        </w:rPr>
      </w:pPr>
    </w:p>
    <w:p w14:paraId="02A0AA22">
      <w:pPr>
        <w:pStyle w:val="15"/>
        <w:ind w:left="0" w:leftChars="0" w:firstLine="0" w:firstLineChars="0"/>
        <w:rPr>
          <w:rFonts w:hint="eastAsia" w:ascii="仿宋" w:hAnsi="仿宋" w:eastAsia="仿宋" w:cs="仿宋"/>
          <w:sz w:val="24"/>
          <w:highlight w:val="none"/>
        </w:rPr>
      </w:pPr>
    </w:p>
    <w:p w14:paraId="07D09D4C">
      <w:pPr>
        <w:pStyle w:val="15"/>
        <w:ind w:left="0" w:leftChars="0" w:firstLine="0" w:firstLineChars="0"/>
        <w:rPr>
          <w:rFonts w:hint="eastAsia" w:ascii="仿宋" w:hAnsi="仿宋" w:eastAsia="仿宋" w:cs="仿宋"/>
          <w:sz w:val="24"/>
          <w:highlight w:val="none"/>
        </w:rPr>
      </w:pPr>
    </w:p>
    <w:p w14:paraId="19AB4C65">
      <w:pPr>
        <w:pStyle w:val="15"/>
        <w:ind w:left="0" w:leftChars="0" w:firstLine="0" w:firstLineChars="0"/>
        <w:rPr>
          <w:rFonts w:hint="eastAsia" w:ascii="仿宋" w:hAnsi="仿宋" w:eastAsia="仿宋" w:cs="仿宋"/>
          <w:sz w:val="24"/>
          <w:highlight w:val="none"/>
        </w:rPr>
      </w:pPr>
    </w:p>
    <w:p w14:paraId="3B9D57BF">
      <w:pPr>
        <w:pStyle w:val="15"/>
        <w:ind w:left="0" w:leftChars="0" w:firstLine="0" w:firstLineChars="0"/>
        <w:rPr>
          <w:rFonts w:hint="eastAsia" w:ascii="仿宋" w:hAnsi="仿宋" w:eastAsia="仿宋" w:cs="仿宋"/>
          <w:sz w:val="24"/>
          <w:highlight w:val="none"/>
        </w:rPr>
      </w:pPr>
    </w:p>
    <w:p w14:paraId="0CC9F79F">
      <w:pPr>
        <w:pStyle w:val="15"/>
        <w:ind w:left="0" w:leftChars="0" w:firstLine="0" w:firstLineChars="0"/>
        <w:rPr>
          <w:rFonts w:hint="eastAsia" w:ascii="仿宋" w:hAnsi="仿宋" w:eastAsia="仿宋" w:cs="仿宋"/>
          <w:sz w:val="24"/>
          <w:highlight w:val="none"/>
        </w:rPr>
      </w:pPr>
    </w:p>
    <w:p w14:paraId="5AD1C37E">
      <w:pPr>
        <w:pStyle w:val="15"/>
        <w:ind w:left="0" w:leftChars="0" w:firstLine="0" w:firstLineChars="0"/>
        <w:rPr>
          <w:rFonts w:hint="eastAsia" w:ascii="仿宋" w:hAnsi="仿宋" w:eastAsia="仿宋" w:cs="仿宋"/>
          <w:sz w:val="24"/>
          <w:highlight w:val="none"/>
        </w:rPr>
      </w:pPr>
    </w:p>
    <w:p w14:paraId="2A7DB87A">
      <w:pPr>
        <w:pStyle w:val="15"/>
        <w:ind w:left="0" w:leftChars="0" w:firstLine="0" w:firstLineChars="0"/>
        <w:rPr>
          <w:rFonts w:hint="eastAsia" w:ascii="仿宋" w:hAnsi="仿宋" w:eastAsia="仿宋" w:cs="仿宋"/>
          <w:sz w:val="24"/>
          <w:highlight w:val="none"/>
        </w:rPr>
      </w:pPr>
    </w:p>
    <w:p w14:paraId="20E1D5FB">
      <w:pPr>
        <w:widowControl/>
        <w:adjustRightInd/>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280C4353">
      <w:pPr>
        <w:adjustRightInd/>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1.本项目采用综合评估法。在最大限度地满足交易文件实质性要求前提下，按照交易文件中规定的各项因素进行综合评审后，以评审总得分最高的供应商作为中标候选人。</w:t>
      </w:r>
      <w:r>
        <w:rPr>
          <w:rFonts w:hint="eastAsia" w:ascii="仿宋" w:hAnsi="仿宋" w:eastAsia="仿宋" w:cs="仿宋"/>
          <w:b/>
          <w:sz w:val="32"/>
          <w:highlight w:val="none"/>
        </w:rPr>
        <w:t>二、评标标准</w:t>
      </w:r>
    </w:p>
    <w:p w14:paraId="445E8BD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49F65826">
      <w:pPr>
        <w:adjustRightInd/>
        <w:spacing w:line="360" w:lineRule="auto"/>
        <w:rPr>
          <w:rFonts w:hint="eastAsia" w:ascii="仿宋" w:hAnsi="仿宋" w:eastAsia="仿宋" w:cs="仿宋"/>
          <w:b/>
          <w:sz w:val="32"/>
          <w:highlight w:val="none"/>
        </w:rPr>
      </w:pPr>
      <w:r>
        <w:rPr>
          <w:rFonts w:hint="eastAsia" w:ascii="仿宋" w:hAnsi="仿宋" w:eastAsia="仿宋" w:cs="仿宋"/>
          <w:b/>
          <w:sz w:val="32"/>
          <w:highlight w:val="none"/>
        </w:rPr>
        <w:t>三、评标程序</w:t>
      </w:r>
    </w:p>
    <w:p w14:paraId="221363D2">
      <w:pPr>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评标委员会应当对符合资格的投标人的投标文件进行符合性审查，以确定其是否满足交易文件的实质性要求。不满足交易文件的实质性要求的，投标无效。</w:t>
      </w:r>
    </w:p>
    <w:p w14:paraId="6C9CB49A">
      <w:pPr>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评标委员会应当按照交易文件中规定的评标方法和标准，对符合性审查合格的投标文件进行商务和技术评估，综合比较与评价。</w:t>
      </w:r>
    </w:p>
    <w:p w14:paraId="0985F8B3">
      <w:pPr>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3089B81">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1D2EDCEF">
      <w:pPr>
        <w:pStyle w:val="23"/>
        <w:spacing w:before="0"/>
        <w:ind w:firstLine="0" w:firstLineChars="0"/>
        <w:rPr>
          <w:rFonts w:hint="eastAsia" w:ascii="仿宋" w:hAnsi="仿宋" w:eastAsia="仿宋" w:cs="仿宋"/>
          <w:b/>
          <w:kern w:val="0"/>
          <w:highlight w:val="none"/>
        </w:rPr>
      </w:pPr>
      <w:r>
        <w:rPr>
          <w:rFonts w:hint="eastAsia" w:ascii="仿宋" w:hAnsi="仿宋" w:eastAsia="仿宋" w:cs="仿宋"/>
          <w:b/>
          <w:kern w:val="0"/>
          <w:highlight w:val="none"/>
        </w:rPr>
        <w:t>3.4.1投标文件报价出现前后不一致的，按照下列规定修正：</w:t>
      </w:r>
    </w:p>
    <w:p w14:paraId="39AE9AC4">
      <w:pPr>
        <w:pStyle w:val="23"/>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78DCD5C4">
      <w:pPr>
        <w:pStyle w:val="23"/>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77A0760E">
      <w:pPr>
        <w:pStyle w:val="23"/>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47D60D35">
      <w:pPr>
        <w:pStyle w:val="23"/>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4E379B07">
      <w:pPr>
        <w:snapToGrid w:val="0"/>
        <w:spacing w:line="360" w:lineRule="auto"/>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t>3.4.2</w:t>
      </w:r>
      <w:r>
        <w:rPr>
          <w:rFonts w:hint="eastAsia" w:ascii="仿宋" w:hAnsi="仿宋" w:eastAsia="仿宋" w:cs="仿宋"/>
          <w:kern w:val="0"/>
          <w:sz w:val="24"/>
          <w:highlight w:val="none"/>
        </w:rPr>
        <w:t>投标文件出现不是唯一的、有选择性响应报价的，投标无效。</w:t>
      </w:r>
    </w:p>
    <w:p w14:paraId="2708B7F9">
      <w:pPr>
        <w:snapToGrid w:val="0"/>
        <w:spacing w:line="360" w:lineRule="auto"/>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t>3.4.3</w:t>
      </w:r>
      <w:r>
        <w:rPr>
          <w:rFonts w:hint="eastAsia" w:ascii="仿宋" w:hAnsi="仿宋" w:eastAsia="仿宋" w:cs="仿宋"/>
          <w:kern w:val="0"/>
          <w:sz w:val="24"/>
          <w:highlight w:val="none"/>
        </w:rPr>
        <w:t>投标报价超过交易文件中规定的预算金额或者最高限价的，投标无效。</w:t>
      </w:r>
    </w:p>
    <w:p w14:paraId="7612A323">
      <w:pPr>
        <w:pStyle w:val="23"/>
        <w:spacing w:before="0"/>
        <w:ind w:firstLine="0" w:firstLineChars="0"/>
        <w:rPr>
          <w:rFonts w:hint="eastAsia" w:ascii="仿宋" w:hAnsi="仿宋" w:eastAsia="仿宋" w:cs="仿宋"/>
          <w:kern w:val="0"/>
          <w:szCs w:val="24"/>
          <w:highlight w:val="none"/>
        </w:rPr>
      </w:pPr>
      <w:r>
        <w:rPr>
          <w:rFonts w:hint="eastAsia" w:ascii="仿宋" w:hAnsi="仿宋" w:eastAsia="仿宋" w:cs="仿宋"/>
          <w:b/>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仿宋" w:hAnsi="仿宋" w:eastAsia="仿宋" w:cs="仿宋"/>
          <w:kern w:val="0"/>
          <w:highlight w:val="none"/>
        </w:rPr>
        <w:t>投标</w:t>
      </w:r>
      <w:r>
        <w:rPr>
          <w:rFonts w:hint="eastAsia" w:ascii="仿宋" w:hAnsi="仿宋" w:eastAsia="仿宋" w:cs="仿宋"/>
          <w:kern w:val="0"/>
          <w:szCs w:val="24"/>
          <w:highlight w:val="none"/>
        </w:rPr>
        <w:t>处理。</w:t>
      </w:r>
    </w:p>
    <w:p w14:paraId="37B52E32">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3.5</w:t>
      </w:r>
      <w:r>
        <w:rPr>
          <w:rFonts w:hint="eastAsia" w:ascii="仿宋" w:hAnsi="仿宋" w:eastAsia="仿宋" w:cs="仿宋"/>
          <w:b/>
          <w:kern w:val="0"/>
          <w:sz w:val="24"/>
          <w:highlight w:val="none"/>
        </w:rPr>
        <w:t>排序与推荐。</w:t>
      </w:r>
      <w:r>
        <w:rPr>
          <w:rFonts w:hint="eastAsia" w:ascii="仿宋" w:hAnsi="仿宋" w:eastAsia="仿宋" w:cs="仿宋"/>
          <w:kern w:val="0"/>
          <w:sz w:val="24"/>
          <w:highlight w:val="none"/>
        </w:rPr>
        <w:t>采用综合评估法的，评标结果按评审后得分由高到低顺序排列。得分相同的，按投标报价由低到高顺序排列。得分且响应报价相同的并列。投标文件满足交易文件全部实质性要求，且评审得分最高的投标人为排名第一的中标候选人。</w:t>
      </w:r>
    </w:p>
    <w:p w14:paraId="4A5D6145">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35A42156">
      <w:pPr>
        <w:widowControl/>
        <w:adjustRightInd/>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7F83CE">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6EA22A08">
      <w:pPr>
        <w:pStyle w:val="23"/>
        <w:spacing w:before="0"/>
        <w:ind w:firstLine="0" w:firstLineChars="0"/>
        <w:rPr>
          <w:rFonts w:hint="eastAsia" w:ascii="仿宋" w:hAnsi="仿宋" w:eastAsia="仿宋" w:cs="仿宋"/>
          <w:kern w:val="0"/>
          <w:szCs w:val="24"/>
          <w:highlight w:val="none"/>
        </w:rPr>
      </w:pPr>
      <w:r>
        <w:rPr>
          <w:rFonts w:hint="eastAsia" w:ascii="仿宋" w:hAnsi="仿宋" w:eastAsia="仿宋" w:cs="仿宋"/>
          <w:color w:val="000000"/>
          <w:kern w:val="0"/>
          <w:szCs w:val="21"/>
          <w:highlight w:val="none"/>
        </w:rPr>
        <w:t>4.1</w:t>
      </w:r>
      <w:r>
        <w:rPr>
          <w:rFonts w:hint="eastAsia" w:ascii="仿宋" w:hAnsi="仿宋" w:eastAsia="仿宋" w:cs="仿宋"/>
          <w:b/>
          <w:kern w:val="0"/>
          <w:szCs w:val="24"/>
          <w:highlight w:val="none"/>
        </w:rPr>
        <w:t>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公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6F5CC">
      <w:pPr>
        <w:pStyle w:val="8"/>
        <w:spacing w:line="360" w:lineRule="auto"/>
        <w:ind w:left="559" w:hanging="559" w:hangingChars="199"/>
        <w:rPr>
          <w:rFonts w:hint="eastAsia" w:ascii="仿宋" w:hAnsi="仿宋" w:eastAsia="仿宋" w:cs="仿宋"/>
          <w:szCs w:val="21"/>
          <w:highlight w:val="none"/>
        </w:rPr>
      </w:pPr>
      <w:r>
        <w:rPr>
          <w:rFonts w:hint="eastAsia" w:ascii="仿宋" w:hAnsi="仿宋" w:eastAsia="仿宋" w:cs="仿宋"/>
          <w:b/>
          <w:spacing w:val="20"/>
          <w:highlight w:val="none"/>
        </w:rPr>
        <w:t>4.2投标无效。</w:t>
      </w:r>
      <w:r>
        <w:rPr>
          <w:rFonts w:hint="eastAsia" w:ascii="仿宋" w:hAnsi="仿宋" w:eastAsia="仿宋" w:cs="仿宋"/>
          <w:szCs w:val="21"/>
          <w:highlight w:val="none"/>
        </w:rPr>
        <w:t>有下列情况之一的，投标无效：</w:t>
      </w:r>
    </w:p>
    <w:p w14:paraId="067C3CF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4.2.1投标人不具备交易文件中规定的资格要求的（投标人未提供有效的资格文件的，视为投标人不具备交易文件中规定的资格要求）；</w:t>
      </w:r>
    </w:p>
    <w:p w14:paraId="133D56F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4.2.2投标文件未按照交易文件要求签署、盖章的；</w:t>
      </w:r>
    </w:p>
    <w:p w14:paraId="2A1A6421">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4.2.3采购人拟采购的产品属于政府强制采购的节能产品品目清单范围的，投标人未按交易文件要求提供国家确定的认证机构出具的、处于有效期之内的节能产品认证证书</w:t>
      </w:r>
      <w:r>
        <w:rPr>
          <w:rFonts w:hint="eastAsia" w:ascii="仿宋" w:hAnsi="仿宋" w:eastAsia="仿宋" w:cs="仿宋"/>
          <w:sz w:val="24"/>
          <w:highlight w:val="none"/>
        </w:rPr>
        <w:t>、环境标志产品认证证书</w:t>
      </w:r>
      <w:r>
        <w:rPr>
          <w:rFonts w:hint="eastAsia" w:ascii="仿宋" w:hAnsi="仿宋" w:eastAsia="仿宋" w:cs="仿宋"/>
          <w:kern w:val="0"/>
          <w:sz w:val="24"/>
          <w:highlight w:val="none"/>
        </w:rPr>
        <w:t>的；</w:t>
      </w:r>
    </w:p>
    <w:p w14:paraId="0066349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7B39F453">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4.2.5投标文件中承诺的投标有效期少于交易文件中载明的投标有效期的；</w:t>
      </w:r>
    </w:p>
    <w:p w14:paraId="7BE9569F">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28F44A1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4.2.7投标报价超过交易文件中规定的预算金额或者最高限价的;</w:t>
      </w:r>
    </w:p>
    <w:p w14:paraId="109265D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07A999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14:paraId="273E570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14:paraId="16E6EEB2">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14:paraId="0CC270FC">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14:paraId="20E3A974">
      <w:pPr>
        <w:pStyle w:val="3"/>
        <w:ind w:left="433" w:leftChars="202" w:hanging="9" w:hangingChars="4"/>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投标文件不满足交易文件的其它实质性要求的；</w:t>
      </w:r>
    </w:p>
    <w:p w14:paraId="5B31DF5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619412B3">
      <w:pPr>
        <w:pStyle w:val="8"/>
        <w:snapToGrid w:val="0"/>
        <w:spacing w:line="360" w:lineRule="auto"/>
        <w:ind w:firstLine="0" w:firstLineChars="0"/>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00A26C43">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5.1符合专业条件的供应商或者对交易文件作实质响应的供应商不足3家的；</w:t>
      </w:r>
    </w:p>
    <w:p w14:paraId="2E9E9407">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C106205">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1E9B0EF6">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0A8D5573">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35785FC9">
      <w:pPr>
        <w:pStyle w:val="8"/>
        <w:snapToGrid w:val="0"/>
        <w:spacing w:line="360" w:lineRule="auto"/>
        <w:ind w:firstLine="118" w:firstLineChars="49"/>
        <w:rPr>
          <w:rFonts w:hint="eastAsia" w:ascii="仿宋" w:hAnsi="仿宋" w:eastAsia="仿宋" w:cs="仿宋"/>
          <w:highlight w:val="none"/>
        </w:rPr>
      </w:pPr>
      <w:r>
        <w:rPr>
          <w:rFonts w:hint="eastAsia" w:ascii="仿宋" w:hAnsi="仿宋" w:eastAsia="仿宋" w:cs="仿宋"/>
          <w:b/>
          <w:highlight w:val="none"/>
        </w:rPr>
        <w:t>6.修改交易文件，重新组织采购活动。</w:t>
      </w:r>
      <w:r>
        <w:rPr>
          <w:rFonts w:hint="eastAsia" w:ascii="仿宋" w:hAnsi="仿宋" w:eastAsia="仿宋" w:cs="仿宋"/>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355A43A">
      <w:pPr>
        <w:pStyle w:val="8"/>
        <w:snapToGrid w:val="0"/>
        <w:spacing w:line="360" w:lineRule="auto"/>
        <w:ind w:firstLine="118" w:firstLineChars="49"/>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5CFE5243">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7.1未确定中标或者中标人的，终止本次采购活动，重新开展采购活动。</w:t>
      </w:r>
    </w:p>
    <w:p w14:paraId="14268EB6">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7.2已确定中标或者中标人但尚未签订采购合同的，中标或者中标结果无效，从合格的中标或者中标候选人中另行确定中标或者中标人；没有合格的中标或者中标候选人的，重新开展采购活动。</w:t>
      </w:r>
    </w:p>
    <w:p w14:paraId="2E5CF350">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7.3采购合同已签订但尚未履行的，撤销合同，从合格的中标或者中标候选人中另行确定中标或者中标人；没有合格的中标或者中标候选人的，重新开展采购活动。</w:t>
      </w:r>
    </w:p>
    <w:p w14:paraId="7E167A58">
      <w:pPr>
        <w:pStyle w:val="8"/>
        <w:snapToGrid w:val="0"/>
        <w:spacing w:line="360" w:lineRule="auto"/>
        <w:rPr>
          <w:rFonts w:hint="eastAsia" w:ascii="仿宋" w:hAnsi="仿宋" w:eastAsia="仿宋" w:cs="仿宋"/>
          <w:highlight w:val="none"/>
        </w:rPr>
      </w:pPr>
      <w:r>
        <w:rPr>
          <w:rFonts w:hint="eastAsia" w:ascii="仿宋" w:hAnsi="仿宋" w:eastAsia="仿宋" w:cs="仿宋"/>
          <w:highlight w:val="none"/>
        </w:rPr>
        <w:t>7.4采购合同已经履行，给采购人、供应商造成损失的，由责任人承担赔偿责任。</w:t>
      </w:r>
    </w:p>
    <w:bookmarkEnd w:id="58"/>
    <w:p w14:paraId="697E1720">
      <w:pPr>
        <w:pStyle w:val="2"/>
        <w:rPr>
          <w:rFonts w:hint="eastAsia" w:ascii="仿宋" w:hAnsi="仿宋" w:eastAsia="仿宋" w:cs="仿宋"/>
          <w:highlight w:val="none"/>
        </w:rPr>
      </w:pPr>
      <w:bookmarkStart w:id="434" w:name="第五部分"/>
      <w:bookmarkStart w:id="435" w:name="_Toc86217003"/>
      <w:r>
        <w:rPr>
          <w:rFonts w:hint="eastAsia" w:ascii="仿宋" w:hAnsi="仿宋" w:eastAsia="仿宋" w:cs="仿宋"/>
          <w:highlight w:val="none"/>
        </w:rPr>
        <w:t>第五部分</w:t>
      </w:r>
      <w:bookmarkEnd w:id="434"/>
      <w:r>
        <w:rPr>
          <w:rFonts w:hint="eastAsia" w:ascii="仿宋" w:hAnsi="仿宋" w:eastAsia="仿宋" w:cs="仿宋"/>
          <w:highlight w:val="none"/>
        </w:rPr>
        <w:t xml:space="preserve"> </w:t>
      </w:r>
      <w:bookmarkEnd w:id="435"/>
      <w:r>
        <w:rPr>
          <w:rFonts w:hint="eastAsia" w:ascii="仿宋" w:hAnsi="仿宋" w:eastAsia="仿宋" w:cs="仿宋"/>
          <w:highlight w:val="none"/>
        </w:rPr>
        <w:t>应提交的有关格式范例</w:t>
      </w:r>
    </w:p>
    <w:p w14:paraId="5A32AB79">
      <w:pPr>
        <w:spacing w:line="360" w:lineRule="auto"/>
        <w:ind w:firstLine="480" w:firstLineChars="200"/>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投标人按照以下格式编制投标文件，并将资格文件、报价文件、商务技术文件分别装订成册。</w:t>
      </w:r>
    </w:p>
    <w:p w14:paraId="06291AA5">
      <w:pPr>
        <w:spacing w:line="360" w:lineRule="auto"/>
        <w:jc w:val="center"/>
        <w:outlineLvl w:val="0"/>
        <w:rPr>
          <w:rFonts w:hint="eastAsia" w:ascii="仿宋" w:hAnsi="仿宋" w:eastAsia="仿宋" w:cs="仿宋"/>
          <w:b/>
          <w:kern w:val="0"/>
          <w:sz w:val="36"/>
          <w:szCs w:val="36"/>
          <w:highlight w:val="none"/>
        </w:rPr>
      </w:pPr>
    </w:p>
    <w:p w14:paraId="3038A42D">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7239060E">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58D94BE">
      <w:pPr>
        <w:rPr>
          <w:rFonts w:hint="eastAsia" w:ascii="仿宋" w:hAnsi="仿宋" w:eastAsia="仿宋" w:cs="仿宋"/>
          <w:b/>
          <w:kern w:val="0"/>
          <w:sz w:val="36"/>
          <w:szCs w:val="36"/>
          <w:highlight w:val="none"/>
        </w:rPr>
      </w:pPr>
    </w:p>
    <w:p w14:paraId="308317E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49EE5E7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（2）本项目的特定资格要求…………………………………………（页码）</w:t>
      </w:r>
    </w:p>
    <w:p w14:paraId="30F43431">
      <w:pPr>
        <w:snapToGrid w:val="0"/>
        <w:spacing w:line="360" w:lineRule="auto"/>
        <w:rPr>
          <w:rFonts w:hint="eastAsia" w:ascii="仿宋" w:hAnsi="仿宋" w:eastAsia="仿宋" w:cs="仿宋"/>
          <w:color w:val="000000"/>
          <w:sz w:val="36"/>
          <w:szCs w:val="36"/>
          <w:highlight w:val="none"/>
        </w:rPr>
      </w:pPr>
    </w:p>
    <w:p w14:paraId="52AC386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color w:val="000000"/>
          <w:kern w:val="0"/>
          <w:sz w:val="32"/>
          <w:szCs w:val="32"/>
          <w:highlight w:val="none"/>
          <w:lang w:val="zh-CN"/>
        </w:rPr>
        <w:br w:type="page"/>
      </w:r>
      <w:r>
        <w:rPr>
          <w:rFonts w:hint="eastAsia" w:ascii="仿宋" w:hAnsi="仿宋" w:eastAsia="仿宋" w:cs="仿宋"/>
          <w:b/>
          <w:kern w:val="0"/>
          <w:sz w:val="32"/>
          <w:szCs w:val="32"/>
          <w:highlight w:val="none"/>
        </w:rPr>
        <w:t>一、 符合参加采购活动应当具备的一般条件的承诺函</w:t>
      </w:r>
    </w:p>
    <w:p w14:paraId="5ACF8B6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1688D60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我方参与XXX采购项目【项目编号：XXX】采购活动，郑重承诺：</w:t>
      </w:r>
    </w:p>
    <w:p w14:paraId="315545F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67DDA6F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511FBB5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6B731C7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FD6977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4D08AD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（5）参加采购活动前三年内，在经营活动中没有重大违法记录；</w:t>
      </w:r>
    </w:p>
    <w:p w14:paraId="651A361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A7759A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0AFCFC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（三）我方不存在以下情况：</w:t>
      </w:r>
    </w:p>
    <w:p w14:paraId="6F2DA30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（1）单位负责人为同一人或者存在直接控股、管理关系的不同供应商参加同一合同项下的采购活动的；</w:t>
      </w:r>
    </w:p>
    <w:p w14:paraId="1CB24A6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66DF2934">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投标人名称(电子签章)：</w:t>
      </w:r>
    </w:p>
    <w:p w14:paraId="7BA2B856">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FFFFFF" w:themeColor="background1"/>
          <w:kern w:val="0"/>
          <w:sz w:val="24"/>
          <w:highlight w:val="none"/>
          <w:lang w:val="zh-CN"/>
          <w14:textFill>
            <w14:solidFill>
              <w14:schemeClr w14:val="bg1"/>
            </w14:solidFill>
          </w14:textFill>
        </w:rPr>
        <w:t xml:space="preserve">                        </w:t>
      </w:r>
      <w:r>
        <w:rPr>
          <w:rFonts w:hint="eastAsia" w:ascii="仿宋" w:hAnsi="仿宋" w:eastAsia="仿宋" w:cs="仿宋"/>
          <w:color w:val="FFFFFF" w:themeColor="background1"/>
          <w:kern w:val="0"/>
          <w:sz w:val="24"/>
          <w:highlight w:val="none"/>
          <w14:textFill>
            <w14:solidFill>
              <w14:schemeClr w14:val="bg1"/>
            </w14:solidFill>
          </w14:textFill>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B846240">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 xml:space="preserve"> </w:t>
      </w:r>
    </w:p>
    <w:p w14:paraId="716BF4CB">
      <w:pPr>
        <w:spacing w:line="360" w:lineRule="auto"/>
        <w:jc w:val="center"/>
        <w:rPr>
          <w:rFonts w:hint="eastAsia" w:ascii="仿宋" w:hAnsi="仿宋" w:eastAsia="仿宋" w:cs="仿宋"/>
          <w:b/>
          <w:color w:val="000000"/>
          <w:sz w:val="30"/>
          <w:szCs w:val="30"/>
          <w:highlight w:val="none"/>
        </w:rPr>
      </w:pPr>
    </w:p>
    <w:p w14:paraId="6003DB26">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CABC1F0">
      <w:pPr>
        <w:snapToGrid w:val="0"/>
        <w:spacing w:before="50" w:after="50" w:line="360" w:lineRule="auto"/>
        <w:jc w:val="center"/>
        <w:rPr>
          <w:rFonts w:hint="eastAsia" w:ascii="仿宋" w:hAnsi="仿宋" w:eastAsia="仿宋" w:cs="仿宋"/>
          <w:b/>
          <w:kern w:val="0"/>
          <w:sz w:val="32"/>
          <w:szCs w:val="32"/>
          <w:highlight w:val="none"/>
        </w:rPr>
      </w:pPr>
      <w:r>
        <w:rPr>
          <w:rFonts w:hint="eastAsia" w:ascii="仿宋" w:hAnsi="仿宋" w:eastAsia="仿宋" w:cs="仿宋"/>
          <w:b/>
          <w:sz w:val="24"/>
          <w:highlight w:val="none"/>
        </w:rPr>
        <w:t xml:space="preserve">    </w:t>
      </w:r>
      <w:r>
        <w:rPr>
          <w:rFonts w:hint="eastAsia" w:ascii="仿宋" w:hAnsi="仿宋" w:eastAsia="仿宋" w:cs="仿宋"/>
          <w:b/>
          <w:kern w:val="0"/>
          <w:sz w:val="32"/>
          <w:szCs w:val="32"/>
          <w:highlight w:val="none"/>
        </w:rPr>
        <w:t>三、本项目的特定资格要求</w:t>
      </w:r>
    </w:p>
    <w:p w14:paraId="1F69F99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17D7765">
      <w:pPr>
        <w:pStyle w:val="32"/>
        <w:snapToGrid w:val="0"/>
        <w:spacing w:before="50" w:after="50"/>
        <w:ind w:left="360" w:firstLine="0" w:firstLineChars="0"/>
        <w:rPr>
          <w:rFonts w:hint="eastAsia" w:ascii="仿宋" w:hAnsi="仿宋" w:eastAsia="仿宋" w:cs="仿宋"/>
          <w:b/>
          <w:highlight w:val="none"/>
        </w:rPr>
      </w:pPr>
      <w:r>
        <w:rPr>
          <w:rFonts w:hint="eastAsia" w:ascii="仿宋" w:hAnsi="仿宋" w:eastAsia="仿宋" w:cs="仿宋"/>
          <w:highlight w:val="none"/>
        </w:rPr>
        <w:t xml:space="preserve"> </w:t>
      </w:r>
    </w:p>
    <w:p w14:paraId="73D8941D">
      <w:pPr>
        <w:spacing w:line="360" w:lineRule="auto"/>
        <w:jc w:val="center"/>
        <w:rPr>
          <w:rFonts w:hint="eastAsia" w:ascii="仿宋" w:hAnsi="仿宋" w:eastAsia="仿宋" w:cs="仿宋"/>
          <w:b/>
          <w:color w:val="000000"/>
          <w:sz w:val="28"/>
          <w:szCs w:val="32"/>
          <w:highlight w:val="none"/>
        </w:rPr>
      </w:pPr>
    </w:p>
    <w:p w14:paraId="3426C91A">
      <w:pPr>
        <w:snapToGrid w:val="0"/>
        <w:spacing w:line="360" w:lineRule="auto"/>
        <w:ind w:firstLine="2891" w:firstLineChars="900"/>
        <w:rPr>
          <w:rFonts w:hint="eastAsia" w:ascii="仿宋" w:hAnsi="仿宋" w:eastAsia="仿宋" w:cs="仿宋"/>
          <w:b/>
          <w:color w:val="000000"/>
          <w:kern w:val="0"/>
          <w:sz w:val="36"/>
          <w:szCs w:val="36"/>
          <w:highlight w:val="none"/>
        </w:rPr>
      </w:pPr>
      <w:r>
        <w:rPr>
          <w:rFonts w:hint="eastAsia" w:ascii="仿宋" w:hAnsi="仿宋" w:eastAsia="仿宋" w:cs="仿宋"/>
          <w:b/>
          <w:bCs/>
          <w:color w:val="000000"/>
          <w:sz w:val="32"/>
          <w:szCs w:val="32"/>
          <w:highlight w:val="none"/>
        </w:rPr>
        <w:br w:type="page"/>
      </w:r>
      <w:r>
        <w:rPr>
          <w:rFonts w:hint="eastAsia" w:ascii="仿宋" w:hAnsi="仿宋" w:eastAsia="仿宋" w:cs="仿宋"/>
          <w:color w:val="000000"/>
          <w:sz w:val="36"/>
          <w:szCs w:val="36"/>
          <w:highlight w:val="none"/>
          <w:lang w:val="zh-CN"/>
        </w:rPr>
        <w:t>▲</w:t>
      </w:r>
      <w:r>
        <w:rPr>
          <w:rFonts w:hint="eastAsia" w:ascii="仿宋" w:hAnsi="仿宋" w:eastAsia="仿宋" w:cs="仿宋"/>
          <w:b/>
          <w:color w:val="000000"/>
          <w:kern w:val="0"/>
          <w:sz w:val="36"/>
          <w:szCs w:val="36"/>
          <w:highlight w:val="none"/>
        </w:rPr>
        <w:t>报价文件部分</w:t>
      </w:r>
    </w:p>
    <w:p w14:paraId="7030D035">
      <w:pPr>
        <w:spacing w:line="360" w:lineRule="auto"/>
        <w:jc w:val="center"/>
        <w:outlineLvl w:val="0"/>
        <w:rPr>
          <w:rFonts w:hint="eastAsia" w:ascii="仿宋" w:hAnsi="仿宋" w:eastAsia="仿宋" w:cs="仿宋"/>
          <w:b/>
          <w:color w:val="000000"/>
          <w:kern w:val="0"/>
          <w:sz w:val="24"/>
          <w:highlight w:val="none"/>
        </w:rPr>
      </w:pPr>
    </w:p>
    <w:p w14:paraId="14FB8BE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09BADF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44456BB5">
      <w:pPr>
        <w:spacing w:line="360" w:lineRule="auto"/>
        <w:ind w:left="2" w:firstLine="480" w:firstLineChars="200"/>
        <w:rPr>
          <w:rFonts w:hint="eastAsia" w:ascii="仿宋" w:hAnsi="仿宋" w:eastAsia="仿宋" w:cs="仿宋"/>
          <w:color w:val="000000"/>
          <w:sz w:val="24"/>
          <w:highlight w:val="none"/>
        </w:rPr>
      </w:pPr>
    </w:p>
    <w:p w14:paraId="19BD1F66">
      <w:pPr>
        <w:spacing w:line="360" w:lineRule="auto"/>
        <w:ind w:left="2" w:firstLine="480" w:firstLineChars="200"/>
        <w:rPr>
          <w:rFonts w:hint="eastAsia" w:ascii="仿宋" w:hAnsi="仿宋" w:eastAsia="仿宋" w:cs="仿宋"/>
          <w:color w:val="000000"/>
          <w:sz w:val="24"/>
          <w:highlight w:val="none"/>
        </w:rPr>
      </w:pPr>
    </w:p>
    <w:p w14:paraId="486BACDE">
      <w:pPr>
        <w:spacing w:line="360" w:lineRule="auto"/>
        <w:ind w:left="2" w:firstLine="480" w:firstLineChars="200"/>
        <w:rPr>
          <w:rFonts w:hint="eastAsia" w:ascii="仿宋" w:hAnsi="仿宋" w:eastAsia="仿宋" w:cs="仿宋"/>
          <w:color w:val="000000"/>
          <w:sz w:val="24"/>
          <w:highlight w:val="none"/>
        </w:rPr>
      </w:pPr>
    </w:p>
    <w:p w14:paraId="090262CF">
      <w:pPr>
        <w:spacing w:line="360" w:lineRule="auto"/>
        <w:ind w:left="2" w:firstLine="480" w:firstLineChars="200"/>
        <w:rPr>
          <w:rFonts w:hint="eastAsia" w:ascii="仿宋" w:hAnsi="仿宋" w:eastAsia="仿宋" w:cs="仿宋"/>
          <w:color w:val="000000"/>
          <w:sz w:val="24"/>
          <w:highlight w:val="none"/>
        </w:rPr>
      </w:pPr>
    </w:p>
    <w:p w14:paraId="6B02667A">
      <w:pPr>
        <w:spacing w:line="360" w:lineRule="auto"/>
        <w:ind w:left="2" w:firstLine="480" w:firstLineChars="200"/>
        <w:rPr>
          <w:rFonts w:hint="eastAsia" w:ascii="仿宋" w:hAnsi="仿宋" w:eastAsia="仿宋" w:cs="仿宋"/>
          <w:color w:val="000000"/>
          <w:sz w:val="24"/>
          <w:highlight w:val="none"/>
        </w:rPr>
      </w:pPr>
    </w:p>
    <w:p w14:paraId="11EC4EAC">
      <w:pPr>
        <w:snapToGrid w:val="0"/>
        <w:spacing w:line="360" w:lineRule="auto"/>
        <w:jc w:val="center"/>
        <w:outlineLvl w:val="0"/>
        <w:rPr>
          <w:rFonts w:hint="eastAsia" w:ascii="仿宋" w:hAnsi="仿宋" w:eastAsia="仿宋" w:cs="仿宋"/>
          <w:b/>
          <w:color w:val="000000"/>
          <w:kern w:val="0"/>
          <w:sz w:val="32"/>
          <w:szCs w:val="32"/>
          <w:highlight w:val="none"/>
        </w:rPr>
      </w:pPr>
    </w:p>
    <w:p w14:paraId="4FB8C863">
      <w:pPr>
        <w:snapToGrid w:val="0"/>
        <w:spacing w:line="360" w:lineRule="auto"/>
        <w:jc w:val="center"/>
        <w:outlineLvl w:val="0"/>
        <w:rPr>
          <w:rFonts w:hint="eastAsia" w:ascii="仿宋" w:hAnsi="仿宋" w:eastAsia="仿宋" w:cs="仿宋"/>
          <w:b/>
          <w:color w:val="000000"/>
          <w:kern w:val="0"/>
          <w:sz w:val="32"/>
          <w:szCs w:val="32"/>
          <w:highlight w:val="none"/>
        </w:rPr>
      </w:pPr>
    </w:p>
    <w:p w14:paraId="748F6020">
      <w:pPr>
        <w:snapToGrid w:val="0"/>
        <w:spacing w:line="360" w:lineRule="auto"/>
        <w:jc w:val="center"/>
        <w:outlineLvl w:val="0"/>
        <w:rPr>
          <w:rFonts w:hint="eastAsia" w:ascii="仿宋" w:hAnsi="仿宋" w:eastAsia="仿宋" w:cs="仿宋"/>
          <w:b/>
          <w:color w:val="000000"/>
          <w:kern w:val="0"/>
          <w:sz w:val="32"/>
          <w:szCs w:val="32"/>
          <w:highlight w:val="none"/>
        </w:rPr>
      </w:pPr>
    </w:p>
    <w:p w14:paraId="02F8AA7C">
      <w:pPr>
        <w:snapToGrid w:val="0"/>
        <w:spacing w:line="360" w:lineRule="auto"/>
        <w:jc w:val="center"/>
        <w:outlineLvl w:val="0"/>
        <w:rPr>
          <w:rFonts w:hint="eastAsia" w:ascii="仿宋" w:hAnsi="仿宋" w:eastAsia="仿宋" w:cs="仿宋"/>
          <w:b/>
          <w:color w:val="000000"/>
          <w:kern w:val="0"/>
          <w:sz w:val="32"/>
          <w:szCs w:val="32"/>
          <w:highlight w:val="none"/>
        </w:rPr>
      </w:pPr>
    </w:p>
    <w:p w14:paraId="58FD7C0F">
      <w:pPr>
        <w:snapToGrid w:val="0"/>
        <w:spacing w:line="360" w:lineRule="auto"/>
        <w:jc w:val="center"/>
        <w:outlineLvl w:val="0"/>
        <w:rPr>
          <w:rFonts w:hint="eastAsia" w:ascii="仿宋" w:hAnsi="仿宋" w:eastAsia="仿宋" w:cs="仿宋"/>
          <w:b/>
          <w:color w:val="000000"/>
          <w:kern w:val="0"/>
          <w:sz w:val="32"/>
          <w:szCs w:val="32"/>
          <w:highlight w:val="none"/>
        </w:rPr>
      </w:pPr>
    </w:p>
    <w:p w14:paraId="47281ED5">
      <w:pPr>
        <w:snapToGrid w:val="0"/>
        <w:spacing w:line="360" w:lineRule="auto"/>
        <w:jc w:val="center"/>
        <w:outlineLvl w:val="0"/>
        <w:rPr>
          <w:rFonts w:hint="eastAsia" w:ascii="仿宋" w:hAnsi="仿宋" w:eastAsia="仿宋" w:cs="仿宋"/>
          <w:b/>
          <w:color w:val="000000"/>
          <w:kern w:val="0"/>
          <w:sz w:val="32"/>
          <w:szCs w:val="32"/>
          <w:highlight w:val="none"/>
        </w:rPr>
      </w:pPr>
    </w:p>
    <w:p w14:paraId="22D9487A">
      <w:pPr>
        <w:snapToGrid w:val="0"/>
        <w:spacing w:line="360" w:lineRule="auto"/>
        <w:jc w:val="center"/>
        <w:outlineLvl w:val="0"/>
        <w:rPr>
          <w:rFonts w:hint="eastAsia" w:ascii="仿宋" w:hAnsi="仿宋" w:eastAsia="仿宋" w:cs="仿宋"/>
          <w:b/>
          <w:color w:val="000000"/>
          <w:kern w:val="0"/>
          <w:sz w:val="32"/>
          <w:szCs w:val="32"/>
          <w:highlight w:val="none"/>
        </w:rPr>
      </w:pPr>
    </w:p>
    <w:p w14:paraId="70DED15B">
      <w:pPr>
        <w:snapToGrid w:val="0"/>
        <w:spacing w:line="360" w:lineRule="auto"/>
        <w:jc w:val="center"/>
        <w:outlineLvl w:val="0"/>
        <w:rPr>
          <w:rFonts w:hint="eastAsia" w:ascii="仿宋" w:hAnsi="仿宋" w:eastAsia="仿宋" w:cs="仿宋"/>
          <w:b/>
          <w:color w:val="000000"/>
          <w:kern w:val="0"/>
          <w:sz w:val="32"/>
          <w:szCs w:val="32"/>
          <w:highlight w:val="none"/>
        </w:rPr>
      </w:pPr>
    </w:p>
    <w:p w14:paraId="6A0A6644">
      <w:pPr>
        <w:snapToGrid w:val="0"/>
        <w:spacing w:line="360" w:lineRule="auto"/>
        <w:jc w:val="center"/>
        <w:outlineLvl w:val="0"/>
        <w:rPr>
          <w:rFonts w:hint="eastAsia" w:ascii="仿宋" w:hAnsi="仿宋" w:eastAsia="仿宋" w:cs="仿宋"/>
          <w:b/>
          <w:color w:val="000000"/>
          <w:kern w:val="0"/>
          <w:sz w:val="32"/>
          <w:szCs w:val="32"/>
          <w:highlight w:val="none"/>
        </w:rPr>
      </w:pPr>
    </w:p>
    <w:p w14:paraId="554B0228">
      <w:pPr>
        <w:snapToGrid w:val="0"/>
        <w:spacing w:line="360" w:lineRule="auto"/>
        <w:jc w:val="center"/>
        <w:outlineLvl w:val="0"/>
        <w:rPr>
          <w:rFonts w:hint="eastAsia" w:ascii="仿宋" w:hAnsi="仿宋" w:eastAsia="仿宋" w:cs="仿宋"/>
          <w:b/>
          <w:color w:val="000000"/>
          <w:kern w:val="0"/>
          <w:sz w:val="32"/>
          <w:szCs w:val="32"/>
          <w:highlight w:val="none"/>
        </w:rPr>
      </w:pPr>
    </w:p>
    <w:p w14:paraId="5C87D2A9">
      <w:pPr>
        <w:snapToGrid w:val="0"/>
        <w:spacing w:line="360" w:lineRule="auto"/>
        <w:jc w:val="center"/>
        <w:outlineLvl w:val="0"/>
        <w:rPr>
          <w:rFonts w:hint="eastAsia" w:ascii="仿宋" w:hAnsi="仿宋" w:eastAsia="仿宋" w:cs="仿宋"/>
          <w:b/>
          <w:color w:val="000000"/>
          <w:kern w:val="0"/>
          <w:sz w:val="32"/>
          <w:szCs w:val="32"/>
          <w:highlight w:val="none"/>
        </w:rPr>
      </w:pPr>
    </w:p>
    <w:p w14:paraId="16ABABFF">
      <w:pPr>
        <w:snapToGrid w:val="0"/>
        <w:spacing w:line="360" w:lineRule="auto"/>
        <w:jc w:val="center"/>
        <w:outlineLvl w:val="0"/>
        <w:rPr>
          <w:rFonts w:hint="eastAsia" w:ascii="仿宋" w:hAnsi="仿宋" w:eastAsia="仿宋" w:cs="仿宋"/>
          <w:b/>
          <w:color w:val="000000"/>
          <w:kern w:val="0"/>
          <w:sz w:val="32"/>
          <w:szCs w:val="32"/>
          <w:highlight w:val="none"/>
        </w:rPr>
      </w:pPr>
    </w:p>
    <w:p w14:paraId="1334F78E">
      <w:pPr>
        <w:snapToGrid w:val="0"/>
        <w:spacing w:line="360" w:lineRule="auto"/>
        <w:jc w:val="center"/>
        <w:outlineLvl w:val="0"/>
        <w:rPr>
          <w:rFonts w:hint="eastAsia" w:ascii="仿宋" w:hAnsi="仿宋" w:eastAsia="仿宋" w:cs="仿宋"/>
          <w:b/>
          <w:color w:val="000000"/>
          <w:kern w:val="0"/>
          <w:sz w:val="32"/>
          <w:szCs w:val="32"/>
          <w:highlight w:val="none"/>
        </w:rPr>
      </w:pPr>
    </w:p>
    <w:p w14:paraId="0845354C">
      <w:pPr>
        <w:pStyle w:val="33"/>
        <w:keepNext w:val="0"/>
        <w:pageBreakBefore w:val="0"/>
        <w:tabs>
          <w:tab w:val="clear" w:pos="720"/>
        </w:tabs>
        <w:snapToGrid w:val="0"/>
        <w:ind w:firstLine="640"/>
        <w:outlineLvl w:val="9"/>
        <w:rPr>
          <w:rFonts w:hint="eastAsia" w:ascii="仿宋" w:hAnsi="仿宋" w:eastAsia="仿宋" w:cs="仿宋"/>
          <w:color w:val="000000"/>
          <w:kern w:val="2"/>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14:paraId="64865610">
      <w:pPr>
        <w:pStyle w:val="33"/>
        <w:keepNext w:val="0"/>
        <w:pageBreakBefore w:val="0"/>
        <w:tabs>
          <w:tab w:val="clear" w:pos="720"/>
        </w:tabs>
        <w:snapToGrid w:val="0"/>
        <w:ind w:firstLine="640"/>
        <w:outlineLvl w:val="9"/>
        <w:rPr>
          <w:rFonts w:hint="eastAsia" w:ascii="仿宋" w:hAnsi="仿宋" w:eastAsia="仿宋" w:cs="仿宋"/>
          <w:color w:val="000000"/>
          <w:kern w:val="2"/>
          <w:sz w:val="32"/>
          <w:szCs w:val="32"/>
          <w:highlight w:val="none"/>
        </w:rPr>
      </w:pPr>
      <w:r>
        <w:rPr>
          <w:rFonts w:hint="eastAsia" w:ascii="仿宋" w:hAnsi="仿宋" w:eastAsia="仿宋" w:cs="仿宋"/>
          <w:color w:val="000000"/>
          <w:kern w:val="2"/>
          <w:sz w:val="32"/>
          <w:szCs w:val="32"/>
          <w:highlight w:val="none"/>
        </w:rPr>
        <w:t>二、投标(开标)一览表</w:t>
      </w:r>
    </w:p>
    <w:p w14:paraId="3E1F6955">
      <w:pPr>
        <w:snapToGrid w:val="0"/>
        <w:spacing w:line="360" w:lineRule="auto"/>
        <w:rPr>
          <w:rFonts w:hint="eastAsia" w:ascii="仿宋" w:hAnsi="仿宋" w:eastAsia="仿宋" w:cs="仿宋"/>
          <w:color w:val="000000"/>
          <w:kern w:val="0"/>
          <w:sz w:val="24"/>
          <w:highlight w:val="none"/>
        </w:rPr>
      </w:pPr>
      <w:bookmarkStart w:id="436" w:name="_Toc86217005"/>
      <w:r>
        <w:rPr>
          <w:rFonts w:hint="eastAsia" w:ascii="仿宋" w:hAnsi="仿宋" w:eastAsia="仿宋" w:cs="仿宋"/>
          <w:color w:val="000000"/>
          <w:sz w:val="24"/>
          <w:highlight w:val="none"/>
        </w:rPr>
        <w:t>XXX（单位名称或采购机构名称）</w:t>
      </w:r>
      <w:r>
        <w:rPr>
          <w:rFonts w:hint="eastAsia" w:ascii="仿宋" w:hAnsi="仿宋" w:eastAsia="仿宋" w:cs="仿宋"/>
          <w:color w:val="000000"/>
          <w:kern w:val="0"/>
          <w:sz w:val="24"/>
          <w:highlight w:val="none"/>
          <w:lang w:val="zh-CN"/>
        </w:rPr>
        <w:t>：</w:t>
      </w:r>
    </w:p>
    <w:p w14:paraId="74780F23">
      <w:pPr>
        <w:snapToGrid w:val="0"/>
        <w:spacing w:line="360" w:lineRule="auto"/>
        <w:ind w:firstLine="482"/>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按你方交易文件要求，我们，本投标文件签字方，谨此向你方发出要约如下：如你方接受本投标，我方承诺按照如下投标(开标)一览表的价格完成</w:t>
      </w:r>
      <w:r>
        <w:rPr>
          <w:rFonts w:hint="eastAsia" w:ascii="仿宋" w:hAnsi="仿宋" w:eastAsia="仿宋" w:cs="仿宋"/>
          <w:color w:val="000000"/>
          <w:sz w:val="24"/>
          <w:highlight w:val="none"/>
        </w:rPr>
        <w:t>XXXXXX项目</w:t>
      </w:r>
      <w:r>
        <w:rPr>
          <w:rFonts w:hint="eastAsia" w:ascii="仿宋" w:hAnsi="仿宋" w:eastAsia="仿宋" w:cs="仿宋"/>
          <w:color w:val="000000"/>
          <w:kern w:val="0"/>
          <w:sz w:val="24"/>
          <w:highlight w:val="none"/>
          <w:lang w:val="zh-CN"/>
        </w:rPr>
        <w:t>【交易文件编号：</w:t>
      </w:r>
      <w:r>
        <w:rPr>
          <w:rFonts w:hint="eastAsia" w:ascii="仿宋" w:hAnsi="仿宋" w:eastAsia="仿宋" w:cs="仿宋"/>
          <w:color w:val="000000"/>
          <w:sz w:val="24"/>
          <w:highlight w:val="none"/>
        </w:rPr>
        <w:t xml:space="preserve">                    】的实施</w:t>
      </w:r>
      <w:r>
        <w:rPr>
          <w:rFonts w:hint="eastAsia" w:ascii="仿宋" w:hAnsi="仿宋" w:eastAsia="仿宋" w:cs="仿宋"/>
          <w:color w:val="000000"/>
          <w:kern w:val="0"/>
          <w:sz w:val="24"/>
          <w:highlight w:val="none"/>
          <w:lang w:val="zh-CN"/>
        </w:rPr>
        <w:t>。</w:t>
      </w:r>
    </w:p>
    <w:bookmarkEnd w:id="436"/>
    <w:p w14:paraId="66A89EAD">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投标(开标)一览表</w:t>
      </w:r>
    </w:p>
    <w:tbl>
      <w:tblPr>
        <w:tblStyle w:val="16"/>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713E36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56FBF308">
            <w:pPr>
              <w:pStyle w:val="34"/>
              <w:spacing w:line="400" w:lineRule="exact"/>
              <w:jc w:val="center"/>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标项</w:t>
            </w:r>
          </w:p>
        </w:tc>
        <w:tc>
          <w:tcPr>
            <w:tcW w:w="3827" w:type="dxa"/>
            <w:tcBorders>
              <w:left w:val="single" w:color="auto" w:sz="4" w:space="0"/>
              <w:right w:val="single" w:color="auto" w:sz="4" w:space="0"/>
            </w:tcBorders>
            <w:vAlign w:val="center"/>
          </w:tcPr>
          <w:p w14:paraId="151CDA40">
            <w:pPr>
              <w:pStyle w:val="34"/>
              <w:spacing w:line="400" w:lineRule="exact"/>
              <w:jc w:val="center"/>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名称</w:t>
            </w:r>
          </w:p>
        </w:tc>
        <w:tc>
          <w:tcPr>
            <w:tcW w:w="2622" w:type="dxa"/>
            <w:tcBorders>
              <w:left w:val="single" w:color="auto" w:sz="4" w:space="0"/>
              <w:right w:val="single" w:color="auto" w:sz="4" w:space="0"/>
            </w:tcBorders>
            <w:vAlign w:val="center"/>
          </w:tcPr>
          <w:p w14:paraId="2F591D1F">
            <w:pPr>
              <w:pStyle w:val="34"/>
              <w:spacing w:line="400" w:lineRule="exact"/>
              <w:jc w:val="center"/>
              <w:rPr>
                <w:rFonts w:hint="eastAsia" w:ascii="仿宋" w:hAnsi="仿宋" w:eastAsia="仿宋" w:cs="仿宋"/>
                <w:color w:val="000000"/>
                <w:sz w:val="24"/>
                <w:szCs w:val="24"/>
                <w:highlight w:val="none"/>
                <w:lang w:val="en-GB"/>
              </w:rPr>
            </w:pPr>
            <w:r>
              <w:rPr>
                <w:rFonts w:hint="eastAsia" w:ascii="仿宋" w:hAnsi="仿宋" w:eastAsia="仿宋" w:cs="仿宋"/>
                <w:color w:val="000000"/>
                <w:sz w:val="24"/>
                <w:szCs w:val="24"/>
                <w:highlight w:val="none"/>
                <w:lang w:val="en-GB"/>
              </w:rPr>
              <w:t>规格型号参数</w:t>
            </w:r>
          </w:p>
        </w:tc>
        <w:tc>
          <w:tcPr>
            <w:tcW w:w="1842" w:type="dxa"/>
            <w:tcBorders>
              <w:left w:val="single" w:color="auto" w:sz="4" w:space="0"/>
              <w:right w:val="single" w:color="auto" w:sz="4" w:space="0"/>
            </w:tcBorders>
            <w:vAlign w:val="center"/>
          </w:tcPr>
          <w:p w14:paraId="4C4F7DD8">
            <w:pPr>
              <w:pStyle w:val="34"/>
              <w:spacing w:line="400" w:lineRule="exact"/>
              <w:jc w:val="center"/>
              <w:rPr>
                <w:rFonts w:hint="eastAsia" w:ascii="仿宋" w:hAnsi="仿宋" w:eastAsia="仿宋" w:cs="仿宋"/>
                <w:color w:val="000000"/>
                <w:sz w:val="24"/>
                <w:szCs w:val="24"/>
                <w:highlight w:val="none"/>
                <w:lang w:val="en-GB"/>
              </w:rPr>
            </w:pPr>
            <w:r>
              <w:rPr>
                <w:rFonts w:hint="eastAsia" w:ascii="仿宋" w:hAnsi="仿宋" w:eastAsia="仿宋" w:cs="仿宋"/>
                <w:color w:val="000000"/>
                <w:sz w:val="24"/>
                <w:szCs w:val="24"/>
                <w:highlight w:val="none"/>
                <w:lang w:val="en-GB"/>
              </w:rPr>
              <w:t>数量</w:t>
            </w:r>
          </w:p>
        </w:tc>
        <w:tc>
          <w:tcPr>
            <w:tcW w:w="1915" w:type="dxa"/>
            <w:tcBorders>
              <w:left w:val="single" w:color="auto" w:sz="4" w:space="0"/>
              <w:right w:val="single" w:color="auto" w:sz="4" w:space="0"/>
            </w:tcBorders>
            <w:vAlign w:val="center"/>
          </w:tcPr>
          <w:p w14:paraId="34F56913">
            <w:pPr>
              <w:pStyle w:val="34"/>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GB"/>
              </w:rPr>
              <w:t>单价</w:t>
            </w:r>
          </w:p>
        </w:tc>
        <w:tc>
          <w:tcPr>
            <w:tcW w:w="2996" w:type="dxa"/>
            <w:tcBorders>
              <w:left w:val="single" w:color="auto" w:sz="4" w:space="0"/>
              <w:right w:val="single" w:color="auto" w:sz="4" w:space="0"/>
            </w:tcBorders>
            <w:vAlign w:val="center"/>
          </w:tcPr>
          <w:p w14:paraId="09A1CA19">
            <w:pPr>
              <w:pStyle w:val="34"/>
              <w:spacing w:line="400" w:lineRule="exact"/>
              <w:jc w:val="center"/>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总价</w:t>
            </w:r>
          </w:p>
        </w:tc>
      </w:tr>
      <w:tr w14:paraId="06C1F0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054DF4C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827" w:type="dxa"/>
            <w:tcBorders>
              <w:left w:val="single" w:color="auto" w:sz="4" w:space="0"/>
              <w:right w:val="single" w:color="auto" w:sz="4" w:space="0"/>
            </w:tcBorders>
            <w:vAlign w:val="center"/>
          </w:tcPr>
          <w:p w14:paraId="2A4610CD">
            <w:pPr>
              <w:spacing w:line="360" w:lineRule="exact"/>
              <w:jc w:val="center"/>
              <w:rPr>
                <w:rFonts w:hint="eastAsia" w:ascii="仿宋" w:hAnsi="仿宋" w:eastAsia="仿宋" w:cs="仿宋"/>
                <w:sz w:val="24"/>
                <w:highlight w:val="none"/>
              </w:rPr>
            </w:pPr>
          </w:p>
        </w:tc>
        <w:tc>
          <w:tcPr>
            <w:tcW w:w="2622" w:type="dxa"/>
            <w:tcBorders>
              <w:left w:val="single" w:color="auto" w:sz="4" w:space="0"/>
              <w:right w:val="single" w:color="auto" w:sz="4" w:space="0"/>
            </w:tcBorders>
            <w:vAlign w:val="center"/>
          </w:tcPr>
          <w:p w14:paraId="1AFA5CC9">
            <w:pPr>
              <w:pStyle w:val="34"/>
              <w:spacing w:line="400" w:lineRule="exact"/>
              <w:jc w:val="center"/>
              <w:rPr>
                <w:rFonts w:hint="eastAsia" w:ascii="仿宋" w:hAnsi="仿宋" w:eastAsia="仿宋" w:cs="仿宋"/>
                <w:color w:val="000000"/>
                <w:sz w:val="24"/>
                <w:highlight w:val="none"/>
              </w:rPr>
            </w:pPr>
          </w:p>
        </w:tc>
        <w:tc>
          <w:tcPr>
            <w:tcW w:w="1842" w:type="dxa"/>
            <w:tcBorders>
              <w:left w:val="single" w:color="auto" w:sz="4" w:space="0"/>
              <w:right w:val="single" w:color="auto" w:sz="4" w:space="0"/>
            </w:tcBorders>
            <w:vAlign w:val="center"/>
          </w:tcPr>
          <w:p w14:paraId="5555475C">
            <w:pPr>
              <w:pStyle w:val="34"/>
              <w:spacing w:line="400" w:lineRule="exact"/>
              <w:jc w:val="center"/>
              <w:rPr>
                <w:rFonts w:hint="eastAsia" w:ascii="仿宋" w:hAnsi="仿宋" w:eastAsia="仿宋" w:cs="仿宋"/>
                <w:color w:val="000000"/>
                <w:sz w:val="24"/>
                <w:szCs w:val="24"/>
                <w:highlight w:val="none"/>
              </w:rPr>
            </w:pPr>
          </w:p>
        </w:tc>
        <w:tc>
          <w:tcPr>
            <w:tcW w:w="1915" w:type="dxa"/>
            <w:tcBorders>
              <w:left w:val="single" w:color="auto" w:sz="4" w:space="0"/>
              <w:right w:val="single" w:color="auto" w:sz="4" w:space="0"/>
            </w:tcBorders>
            <w:vAlign w:val="center"/>
          </w:tcPr>
          <w:p w14:paraId="2FE488DE">
            <w:pPr>
              <w:pStyle w:val="34"/>
              <w:spacing w:line="400" w:lineRule="exact"/>
              <w:jc w:val="center"/>
              <w:rPr>
                <w:rFonts w:hint="eastAsia" w:ascii="仿宋" w:hAnsi="仿宋" w:eastAsia="仿宋" w:cs="仿宋"/>
                <w:sz w:val="24"/>
                <w:szCs w:val="24"/>
                <w:highlight w:val="none"/>
              </w:rPr>
            </w:pPr>
          </w:p>
        </w:tc>
        <w:tc>
          <w:tcPr>
            <w:tcW w:w="2996" w:type="dxa"/>
            <w:tcBorders>
              <w:left w:val="single" w:color="auto" w:sz="4" w:space="0"/>
              <w:right w:val="single" w:color="auto" w:sz="4" w:space="0"/>
            </w:tcBorders>
            <w:vAlign w:val="center"/>
          </w:tcPr>
          <w:p w14:paraId="426BC0EF">
            <w:pPr>
              <w:pStyle w:val="34"/>
              <w:spacing w:line="400" w:lineRule="exact"/>
              <w:jc w:val="center"/>
              <w:rPr>
                <w:rFonts w:hint="eastAsia" w:ascii="仿宋" w:hAnsi="仿宋" w:eastAsia="仿宋" w:cs="仿宋"/>
                <w:sz w:val="24"/>
                <w:szCs w:val="24"/>
                <w:highlight w:val="none"/>
              </w:rPr>
            </w:pPr>
          </w:p>
        </w:tc>
      </w:tr>
    </w:tbl>
    <w:p w14:paraId="1235A78B">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3823A4A8">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1DC9E664">
      <w:pPr>
        <w:snapToGrid w:val="0"/>
        <w:spacing w:line="360" w:lineRule="auto"/>
        <w:ind w:left="48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p>
    <w:p w14:paraId="60386AA2">
      <w:pPr>
        <w:spacing w:line="360" w:lineRule="auto"/>
        <w:ind w:firstLine="482" w:firstLineChars="200"/>
        <w:rPr>
          <w:rFonts w:hint="eastAsia" w:ascii="仿宋" w:hAnsi="仿宋" w:eastAsia="仿宋" w:cs="仿宋"/>
          <w:b/>
          <w:kern w:val="0"/>
          <w:sz w:val="24"/>
          <w:highlight w:val="none"/>
        </w:rPr>
      </w:pPr>
    </w:p>
    <w:p w14:paraId="60DD98EA">
      <w:pPr>
        <w:snapToGrid w:val="0"/>
        <w:spacing w:line="360" w:lineRule="auto"/>
        <w:ind w:firstLine="482" w:firstLineChars="200"/>
        <w:jc w:val="right"/>
        <w:rPr>
          <w:rFonts w:hint="eastAsia" w:ascii="仿宋" w:hAnsi="仿宋" w:eastAsia="仿宋" w:cs="仿宋"/>
          <w:b/>
          <w:kern w:val="0"/>
          <w:sz w:val="24"/>
          <w:highlight w:val="none"/>
        </w:rPr>
      </w:pPr>
    </w:p>
    <w:p w14:paraId="280832A3">
      <w:pPr>
        <w:spacing w:line="360" w:lineRule="auto"/>
        <w:ind w:right="960" w:firstLine="10440" w:firstLineChars="4350"/>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zh-CN"/>
        </w:rPr>
        <w:t>电子签章</w:t>
      </w:r>
      <w:r>
        <w:rPr>
          <w:rFonts w:hint="eastAsia" w:ascii="仿宋" w:hAnsi="仿宋" w:eastAsia="仿宋" w:cs="仿宋"/>
          <w:sz w:val="24"/>
          <w:highlight w:val="none"/>
        </w:rPr>
        <w:t>）：</w:t>
      </w:r>
    </w:p>
    <w:p w14:paraId="0218C9BB">
      <w:pPr>
        <w:spacing w:line="360" w:lineRule="auto"/>
        <w:ind w:right="480"/>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02BCCEE">
      <w:pPr>
        <w:widowControl/>
        <w:adjustRightInd/>
        <w:spacing w:line="360" w:lineRule="auto"/>
        <w:jc w:val="left"/>
        <w:rPr>
          <w:rFonts w:hint="eastAsia" w:ascii="仿宋" w:hAnsi="仿宋" w:eastAsia="仿宋" w:cs="仿宋"/>
          <w:kern w:val="0"/>
          <w:sz w:val="36"/>
          <w:szCs w:val="36"/>
          <w:highlight w:val="none"/>
          <w:lang w:val="zh-CN"/>
        </w:rPr>
        <w:sectPr>
          <w:pgSz w:w="16838" w:h="11906" w:orient="landscape"/>
          <w:pgMar w:top="1418" w:right="1276" w:bottom="1418" w:left="1247" w:header="851" w:footer="992" w:gutter="0"/>
          <w:cols w:space="720" w:num="1"/>
        </w:sectPr>
      </w:pPr>
    </w:p>
    <w:p w14:paraId="4979B9CC">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61CF9469">
      <w:pPr>
        <w:spacing w:line="360" w:lineRule="auto"/>
        <w:jc w:val="center"/>
        <w:outlineLvl w:val="0"/>
        <w:rPr>
          <w:rFonts w:hint="eastAsia" w:ascii="仿宋" w:hAnsi="仿宋" w:eastAsia="仿宋" w:cs="仿宋"/>
          <w:b/>
          <w:kern w:val="0"/>
          <w:sz w:val="24"/>
          <w:highlight w:val="none"/>
        </w:rPr>
      </w:pPr>
    </w:p>
    <w:p w14:paraId="64FAEEF8">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276A9AF5">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7CDCF28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14:paraId="6EE1A784">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（4）评标标准相应的商务技术资料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7345AC2E">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（5）商务技术偏离表</w:t>
      </w:r>
      <w:r>
        <w:rPr>
          <w:rFonts w:hint="eastAsia" w:ascii="仿宋" w:hAnsi="仿宋" w:eastAsia="仿宋" w:cs="仿宋"/>
          <w:highlight w:val="none"/>
        </w:rPr>
        <w:t>………………………………………………………………………（页码）</w:t>
      </w:r>
    </w:p>
    <w:p w14:paraId="02984DFE">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）采购供应商廉洁自律承诺书</w:t>
      </w:r>
      <w:r>
        <w:rPr>
          <w:rFonts w:hint="eastAsia" w:ascii="仿宋" w:hAnsi="仿宋" w:eastAsia="仿宋" w:cs="仿宋"/>
          <w:highlight w:val="none"/>
        </w:rPr>
        <w:t>………………………………………………………（页码）</w:t>
      </w:r>
    </w:p>
    <w:p w14:paraId="07978C67">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w:t>
      </w:r>
      <w:r>
        <w:rPr>
          <w:rFonts w:hint="eastAsia" w:ascii="仿宋" w:hAnsi="仿宋" w:eastAsia="仿宋" w:cs="仿宋"/>
          <w:sz w:val="24"/>
          <w:highlight w:val="none"/>
        </w:rPr>
        <w:t>（7）其他所需资料</w:t>
      </w:r>
    </w:p>
    <w:p w14:paraId="164540D5">
      <w:pPr>
        <w:snapToGrid w:val="0"/>
        <w:spacing w:line="360" w:lineRule="auto"/>
        <w:jc w:val="center"/>
        <w:rPr>
          <w:rFonts w:hint="eastAsia" w:ascii="仿宋" w:hAnsi="仿宋" w:eastAsia="仿宋" w:cs="仿宋"/>
          <w:b/>
          <w:color w:val="000000"/>
          <w:kern w:val="0"/>
          <w:sz w:val="32"/>
          <w:szCs w:val="32"/>
          <w:highlight w:val="none"/>
          <w:lang w:val="zh-CN"/>
        </w:rPr>
      </w:pPr>
    </w:p>
    <w:p w14:paraId="60BA4022">
      <w:pPr>
        <w:snapToGrid w:val="0"/>
        <w:spacing w:line="360" w:lineRule="auto"/>
        <w:jc w:val="center"/>
        <w:rPr>
          <w:rFonts w:hint="eastAsia" w:ascii="仿宋" w:hAnsi="仿宋" w:eastAsia="仿宋" w:cs="仿宋"/>
          <w:b/>
          <w:color w:val="000000"/>
          <w:kern w:val="0"/>
          <w:sz w:val="32"/>
          <w:szCs w:val="32"/>
          <w:highlight w:val="none"/>
          <w:lang w:val="zh-CN"/>
        </w:rPr>
      </w:pPr>
    </w:p>
    <w:p w14:paraId="55A91D8F">
      <w:pPr>
        <w:snapToGrid w:val="0"/>
        <w:spacing w:line="360" w:lineRule="auto"/>
        <w:jc w:val="center"/>
        <w:rPr>
          <w:rFonts w:hint="eastAsia" w:ascii="仿宋" w:hAnsi="仿宋" w:eastAsia="仿宋" w:cs="仿宋"/>
          <w:b/>
          <w:color w:val="000000"/>
          <w:kern w:val="0"/>
          <w:sz w:val="32"/>
          <w:szCs w:val="32"/>
          <w:highlight w:val="none"/>
          <w:lang w:val="zh-CN"/>
        </w:rPr>
      </w:pPr>
    </w:p>
    <w:p w14:paraId="0F674DEA">
      <w:pPr>
        <w:snapToGrid w:val="0"/>
        <w:spacing w:line="360" w:lineRule="auto"/>
        <w:jc w:val="center"/>
        <w:rPr>
          <w:rFonts w:hint="eastAsia" w:ascii="仿宋" w:hAnsi="仿宋" w:eastAsia="仿宋" w:cs="仿宋"/>
          <w:b/>
          <w:color w:val="000000"/>
          <w:kern w:val="0"/>
          <w:sz w:val="32"/>
          <w:szCs w:val="32"/>
          <w:highlight w:val="none"/>
          <w:lang w:val="zh-CN"/>
        </w:rPr>
      </w:pPr>
    </w:p>
    <w:p w14:paraId="031905EF">
      <w:pPr>
        <w:snapToGrid w:val="0"/>
        <w:spacing w:line="360" w:lineRule="auto"/>
        <w:jc w:val="center"/>
        <w:rPr>
          <w:rFonts w:hint="eastAsia" w:ascii="仿宋" w:hAnsi="仿宋" w:eastAsia="仿宋" w:cs="仿宋"/>
          <w:b/>
          <w:color w:val="000000"/>
          <w:kern w:val="0"/>
          <w:sz w:val="32"/>
          <w:szCs w:val="32"/>
          <w:highlight w:val="none"/>
          <w:lang w:val="zh-CN"/>
        </w:rPr>
      </w:pPr>
    </w:p>
    <w:p w14:paraId="723A9AAA">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color w:val="000000"/>
          <w:kern w:val="0"/>
          <w:sz w:val="32"/>
          <w:szCs w:val="32"/>
          <w:highlight w:val="none"/>
          <w:lang w:val="zh-CN"/>
        </w:rPr>
        <w:br w:type="page"/>
      </w: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B63BCD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（采购人名称）、（采购代理机构名称）：</w:t>
      </w:r>
    </w:p>
    <w:p w14:paraId="495E06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我方参加你方组织的XXX采购项目【项目编号：XXXXXX】招标的有关活动，并对此项目进行投标。为此：</w:t>
      </w:r>
    </w:p>
    <w:p w14:paraId="4CC4635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70213EF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24F6A89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2FADEEA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07CEDF6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2.1.2本项目的特定资格要求。</w:t>
      </w:r>
    </w:p>
    <w:p w14:paraId="2D9BCDD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02C290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45D92D6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12388A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7258717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08F8B48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7B42C8DA">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采购供应商廉洁自律承诺书；</w:t>
      </w:r>
    </w:p>
    <w:p w14:paraId="63418DE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64F274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27DB3ED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4BBE6E0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0846A1E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70D848E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6A95690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4.3按照交易文件要求提交履约保证金； </w:t>
      </w:r>
    </w:p>
    <w:p w14:paraId="3B65B9F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78EE483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0346583">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zh-CN"/>
        </w:rPr>
        <w:t>电子签章</w:t>
      </w:r>
      <w:r>
        <w:rPr>
          <w:rFonts w:hint="eastAsia" w:ascii="仿宋" w:hAnsi="仿宋" w:eastAsia="仿宋" w:cs="仿宋"/>
          <w:sz w:val="24"/>
          <w:highlight w:val="none"/>
        </w:rPr>
        <w:t xml:space="preserve">）：                          </w:t>
      </w:r>
    </w:p>
    <w:p w14:paraId="3726371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9A2ABEC">
      <w:pPr>
        <w:widowControl/>
        <w:adjustRightInd/>
        <w:jc w:val="left"/>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u w:val="single"/>
          <w:lang w:val="zh-CN"/>
        </w:rPr>
        <w:br w:type="page"/>
      </w:r>
    </w:p>
    <w:p w14:paraId="1F1998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w:t>
      </w:r>
    </w:p>
    <w:p w14:paraId="567BDCF8">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身份证明</w:t>
      </w:r>
    </w:p>
    <w:p w14:paraId="7BB1439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1AB8923">
      <w:pPr>
        <w:snapToGrid w:val="0"/>
        <w:spacing w:line="360" w:lineRule="auto"/>
        <w:rPr>
          <w:rFonts w:hint="eastAsia" w:ascii="仿宋" w:hAnsi="仿宋" w:eastAsia="仿宋" w:cs="仿宋"/>
          <w:sz w:val="24"/>
          <w:highlight w:val="none"/>
        </w:rPr>
      </w:pPr>
    </w:p>
    <w:p w14:paraId="2A139483">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14:paraId="228245E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（采购人名称）、（采购代理机构名称）</w:t>
      </w:r>
      <w:r>
        <w:rPr>
          <w:rFonts w:hint="eastAsia" w:ascii="仿宋" w:hAnsi="仿宋" w:eastAsia="仿宋" w:cs="仿宋"/>
          <w:kern w:val="0"/>
          <w:sz w:val="24"/>
          <w:highlight w:val="none"/>
          <w:lang w:val="zh-CN"/>
        </w:rPr>
        <w:t>：</w:t>
      </w:r>
    </w:p>
    <w:p w14:paraId="58673C29">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XXX采购项目【项目编号：XXXXXX】</w:t>
      </w:r>
      <w:r>
        <w:rPr>
          <w:rFonts w:hint="eastAsia" w:ascii="仿宋" w:hAnsi="仿宋" w:eastAsia="仿宋" w:cs="仿宋"/>
          <w:kern w:val="0"/>
          <w:sz w:val="24"/>
          <w:highlight w:val="none"/>
          <w:lang w:val="zh-CN"/>
        </w:rPr>
        <w:t>采购投标的一切事项，其法律后果由我方承担。</w:t>
      </w:r>
    </w:p>
    <w:p w14:paraId="3FA7DD9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22C0417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7D1799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投标人名称(电子签章)：</w:t>
      </w:r>
    </w:p>
    <w:p w14:paraId="79CCBCA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34F1930D">
      <w:pPr>
        <w:snapToGrid w:val="0"/>
        <w:spacing w:line="360" w:lineRule="auto"/>
        <w:rPr>
          <w:rFonts w:hint="eastAsia" w:ascii="仿宋" w:hAnsi="仿宋" w:eastAsia="仿宋" w:cs="仿宋"/>
          <w:sz w:val="24"/>
          <w:highlight w:val="none"/>
        </w:rPr>
      </w:pPr>
    </w:p>
    <w:p w14:paraId="576CBC7B">
      <w:pPr>
        <w:snapToGrid w:val="0"/>
        <w:spacing w:line="360" w:lineRule="auto"/>
        <w:rPr>
          <w:rFonts w:hint="eastAsia" w:ascii="仿宋" w:hAnsi="仿宋" w:eastAsia="仿宋" w:cs="仿宋"/>
          <w:sz w:val="24"/>
          <w:highlight w:val="none"/>
        </w:rPr>
      </w:pPr>
    </w:p>
    <w:p w14:paraId="441014ED">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 xml:space="preserve">      </w:t>
      </w:r>
    </w:p>
    <w:p w14:paraId="3479D460">
      <w:pPr>
        <w:jc w:val="center"/>
        <w:rPr>
          <w:rFonts w:hint="eastAsia" w:ascii="仿宋" w:hAnsi="仿宋" w:eastAsia="仿宋" w:cs="仿宋"/>
          <w:b/>
          <w:kern w:val="0"/>
          <w:sz w:val="32"/>
          <w:szCs w:val="32"/>
          <w:highlight w:val="none"/>
          <w:lang w:val="zh-CN"/>
        </w:rPr>
      </w:pPr>
    </w:p>
    <w:p w14:paraId="38B79C41">
      <w:pPr>
        <w:jc w:val="center"/>
        <w:rPr>
          <w:rFonts w:hint="eastAsia" w:ascii="仿宋" w:hAnsi="仿宋" w:eastAsia="仿宋" w:cs="仿宋"/>
          <w:b/>
          <w:kern w:val="0"/>
          <w:sz w:val="32"/>
          <w:szCs w:val="32"/>
          <w:highlight w:val="none"/>
          <w:lang w:val="zh-CN"/>
        </w:rPr>
      </w:pPr>
    </w:p>
    <w:p w14:paraId="4E68D579">
      <w:pPr>
        <w:jc w:val="center"/>
        <w:rPr>
          <w:rFonts w:hint="eastAsia" w:ascii="仿宋" w:hAnsi="仿宋" w:eastAsia="仿宋" w:cs="仿宋"/>
          <w:b/>
          <w:kern w:val="0"/>
          <w:sz w:val="32"/>
          <w:szCs w:val="32"/>
          <w:highlight w:val="none"/>
          <w:lang w:val="zh-CN"/>
        </w:rPr>
      </w:pPr>
    </w:p>
    <w:p w14:paraId="50902476">
      <w:pPr>
        <w:jc w:val="center"/>
        <w:rPr>
          <w:rFonts w:hint="eastAsia" w:ascii="仿宋" w:hAnsi="仿宋" w:eastAsia="仿宋" w:cs="仿宋"/>
          <w:b/>
          <w:kern w:val="0"/>
          <w:sz w:val="32"/>
          <w:szCs w:val="32"/>
          <w:highlight w:val="none"/>
          <w:lang w:val="zh-CN"/>
        </w:rPr>
      </w:pPr>
    </w:p>
    <w:p w14:paraId="1F1041EB">
      <w:pPr>
        <w:jc w:val="center"/>
        <w:rPr>
          <w:rFonts w:hint="eastAsia" w:ascii="仿宋" w:hAnsi="仿宋" w:eastAsia="仿宋" w:cs="仿宋"/>
          <w:b/>
          <w:kern w:val="0"/>
          <w:sz w:val="32"/>
          <w:szCs w:val="32"/>
          <w:highlight w:val="none"/>
          <w:lang w:val="zh-CN"/>
        </w:rPr>
      </w:pPr>
    </w:p>
    <w:p w14:paraId="23C23150">
      <w:pPr>
        <w:jc w:val="center"/>
        <w:rPr>
          <w:rFonts w:hint="eastAsia" w:ascii="仿宋" w:hAnsi="仿宋" w:eastAsia="仿宋" w:cs="仿宋"/>
          <w:b/>
          <w:kern w:val="0"/>
          <w:sz w:val="32"/>
          <w:szCs w:val="32"/>
          <w:highlight w:val="none"/>
          <w:lang w:val="zh-CN"/>
        </w:rPr>
      </w:pPr>
    </w:p>
    <w:p w14:paraId="574996DA">
      <w:pPr>
        <w:jc w:val="center"/>
        <w:rPr>
          <w:rFonts w:hint="eastAsia" w:ascii="仿宋" w:hAnsi="仿宋" w:eastAsia="仿宋" w:cs="仿宋"/>
          <w:b/>
          <w:kern w:val="0"/>
          <w:sz w:val="32"/>
          <w:szCs w:val="32"/>
          <w:highlight w:val="none"/>
          <w:lang w:val="zh-CN"/>
        </w:rPr>
      </w:pPr>
    </w:p>
    <w:p w14:paraId="0010C831">
      <w:pPr>
        <w:jc w:val="center"/>
        <w:rPr>
          <w:rFonts w:hint="eastAsia" w:ascii="仿宋" w:hAnsi="仿宋" w:eastAsia="仿宋" w:cs="仿宋"/>
          <w:b/>
          <w:kern w:val="0"/>
          <w:sz w:val="32"/>
          <w:szCs w:val="32"/>
          <w:highlight w:val="none"/>
          <w:lang w:val="zh-CN"/>
        </w:rPr>
      </w:pPr>
    </w:p>
    <w:p w14:paraId="16B9469B">
      <w:pPr>
        <w:jc w:val="center"/>
        <w:rPr>
          <w:rFonts w:hint="eastAsia" w:ascii="仿宋" w:hAnsi="仿宋" w:eastAsia="仿宋" w:cs="仿宋"/>
          <w:b/>
          <w:kern w:val="0"/>
          <w:sz w:val="32"/>
          <w:szCs w:val="32"/>
          <w:highlight w:val="none"/>
          <w:lang w:val="zh-CN"/>
        </w:rPr>
      </w:pPr>
    </w:p>
    <w:p w14:paraId="4098A5DF">
      <w:pPr>
        <w:jc w:val="center"/>
        <w:rPr>
          <w:rFonts w:hint="eastAsia" w:ascii="仿宋" w:hAnsi="仿宋" w:eastAsia="仿宋" w:cs="仿宋"/>
          <w:b/>
          <w:kern w:val="0"/>
          <w:sz w:val="32"/>
          <w:szCs w:val="32"/>
          <w:highlight w:val="none"/>
          <w:lang w:val="zh-CN"/>
        </w:rPr>
      </w:pPr>
    </w:p>
    <w:p w14:paraId="52E1C12A">
      <w:pPr>
        <w:jc w:val="center"/>
        <w:rPr>
          <w:rFonts w:hint="eastAsia" w:ascii="仿宋" w:hAnsi="仿宋" w:eastAsia="仿宋" w:cs="仿宋"/>
          <w:b/>
          <w:kern w:val="0"/>
          <w:sz w:val="32"/>
          <w:szCs w:val="32"/>
          <w:highlight w:val="none"/>
          <w:lang w:val="zh-CN"/>
        </w:rPr>
      </w:pPr>
    </w:p>
    <w:p w14:paraId="089A6BD4">
      <w:pPr>
        <w:jc w:val="center"/>
        <w:rPr>
          <w:rFonts w:hint="eastAsia" w:ascii="仿宋" w:hAnsi="仿宋" w:eastAsia="仿宋" w:cs="仿宋"/>
          <w:b/>
          <w:kern w:val="0"/>
          <w:sz w:val="32"/>
          <w:szCs w:val="32"/>
          <w:highlight w:val="none"/>
          <w:lang w:val="zh-CN"/>
        </w:rPr>
      </w:pPr>
    </w:p>
    <w:p w14:paraId="07901D25">
      <w:pPr>
        <w:jc w:val="center"/>
        <w:rPr>
          <w:rFonts w:hint="eastAsia" w:ascii="仿宋" w:hAnsi="仿宋" w:eastAsia="仿宋" w:cs="仿宋"/>
          <w:kern w:val="0"/>
          <w:sz w:val="24"/>
          <w:highlight w:val="none"/>
          <w:lang w:val="zh-CN"/>
        </w:rPr>
      </w:pPr>
    </w:p>
    <w:p w14:paraId="651762BC">
      <w:pPr>
        <w:autoSpaceDE w:val="0"/>
        <w:autoSpaceDN w:val="0"/>
        <w:spacing w:line="360" w:lineRule="auto"/>
        <w:jc w:val="center"/>
        <w:rPr>
          <w:rFonts w:hint="eastAsia" w:ascii="仿宋" w:hAnsi="仿宋" w:eastAsia="仿宋" w:cs="仿宋"/>
          <w:b/>
          <w:kern w:val="0"/>
          <w:sz w:val="32"/>
          <w:szCs w:val="32"/>
          <w:highlight w:val="none"/>
          <w:lang w:val="zh-CN"/>
        </w:rPr>
      </w:pPr>
    </w:p>
    <w:p w14:paraId="0B70D19C">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0BFBC1DA">
      <w:pPr>
        <w:pStyle w:val="35"/>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5E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F4C152">
            <w:pPr>
              <w:pStyle w:val="35"/>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6E74DCB6">
            <w:pPr>
              <w:pStyle w:val="35"/>
              <w:spacing w:line="360" w:lineRule="auto"/>
              <w:rPr>
                <w:rFonts w:hint="eastAsia" w:ascii="仿宋" w:hAnsi="仿宋" w:eastAsia="仿宋" w:cs="仿宋"/>
                <w:bCs/>
                <w:sz w:val="24"/>
                <w:highlight w:val="none"/>
              </w:rPr>
            </w:pPr>
          </w:p>
        </w:tc>
      </w:tr>
    </w:tbl>
    <w:p w14:paraId="74BACE3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7DB3BC1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营业执照复印件：</w:t>
      </w:r>
    </w:p>
    <w:p w14:paraId="4053A530">
      <w:pPr>
        <w:snapToGrid w:val="0"/>
        <w:spacing w:line="360" w:lineRule="auto"/>
        <w:rPr>
          <w:rFonts w:hint="eastAsia" w:ascii="仿宋" w:hAnsi="仿宋" w:eastAsia="仿宋" w:cs="仿宋"/>
          <w:kern w:val="0"/>
          <w:sz w:val="24"/>
          <w:highlight w:val="none"/>
          <w:lang w:val="zh-CN"/>
        </w:rPr>
      </w:pPr>
    </w:p>
    <w:p w14:paraId="7750C7F7">
      <w:pPr>
        <w:snapToGrid w:val="0"/>
        <w:spacing w:line="360" w:lineRule="auto"/>
        <w:rPr>
          <w:rFonts w:hint="eastAsia" w:ascii="仿宋" w:hAnsi="仿宋" w:eastAsia="仿宋" w:cs="仿宋"/>
          <w:kern w:val="0"/>
          <w:sz w:val="24"/>
          <w:highlight w:val="none"/>
          <w:lang w:val="zh-CN"/>
        </w:rPr>
      </w:pPr>
    </w:p>
    <w:p w14:paraId="1ECBB589">
      <w:pPr>
        <w:snapToGrid w:val="0"/>
        <w:spacing w:line="360" w:lineRule="auto"/>
        <w:rPr>
          <w:rFonts w:hint="eastAsia" w:ascii="仿宋" w:hAnsi="仿宋" w:eastAsia="仿宋" w:cs="仿宋"/>
          <w:kern w:val="0"/>
          <w:sz w:val="24"/>
          <w:highlight w:val="none"/>
          <w:lang w:val="zh-CN"/>
        </w:rPr>
      </w:pPr>
    </w:p>
    <w:p w14:paraId="086FE5C5">
      <w:pPr>
        <w:snapToGrid w:val="0"/>
        <w:spacing w:line="360" w:lineRule="auto"/>
        <w:rPr>
          <w:rFonts w:hint="eastAsia" w:ascii="仿宋" w:hAnsi="仿宋" w:eastAsia="仿宋" w:cs="仿宋"/>
          <w:kern w:val="0"/>
          <w:sz w:val="24"/>
          <w:highlight w:val="none"/>
          <w:lang w:val="zh-CN"/>
        </w:rPr>
      </w:pPr>
    </w:p>
    <w:p w14:paraId="5E7AE3AE">
      <w:pPr>
        <w:snapToGrid w:val="0"/>
        <w:spacing w:line="360" w:lineRule="auto"/>
        <w:rPr>
          <w:rFonts w:hint="eastAsia" w:ascii="仿宋" w:hAnsi="仿宋" w:eastAsia="仿宋" w:cs="仿宋"/>
          <w:kern w:val="0"/>
          <w:sz w:val="24"/>
          <w:highlight w:val="none"/>
          <w:lang w:val="zh-CN"/>
        </w:rPr>
      </w:pPr>
    </w:p>
    <w:p w14:paraId="07220862">
      <w:pPr>
        <w:snapToGrid w:val="0"/>
        <w:spacing w:line="360" w:lineRule="auto"/>
        <w:rPr>
          <w:rFonts w:hint="eastAsia" w:ascii="仿宋" w:hAnsi="仿宋" w:eastAsia="仿宋" w:cs="仿宋"/>
          <w:kern w:val="0"/>
          <w:sz w:val="24"/>
          <w:highlight w:val="none"/>
          <w:lang w:val="zh-CN"/>
        </w:rPr>
      </w:pPr>
    </w:p>
    <w:p w14:paraId="4E39A77A">
      <w:pPr>
        <w:snapToGrid w:val="0"/>
        <w:spacing w:line="360" w:lineRule="auto"/>
        <w:rPr>
          <w:rFonts w:hint="eastAsia" w:ascii="仿宋" w:hAnsi="仿宋" w:eastAsia="仿宋" w:cs="仿宋"/>
          <w:kern w:val="0"/>
          <w:sz w:val="24"/>
          <w:highlight w:val="none"/>
          <w:lang w:val="zh-CN"/>
        </w:rPr>
      </w:pPr>
    </w:p>
    <w:p w14:paraId="3E85D6A7">
      <w:pPr>
        <w:snapToGrid w:val="0"/>
        <w:spacing w:line="360" w:lineRule="auto"/>
        <w:rPr>
          <w:rFonts w:hint="eastAsia" w:ascii="仿宋" w:hAnsi="仿宋" w:eastAsia="仿宋" w:cs="仿宋"/>
          <w:kern w:val="0"/>
          <w:sz w:val="24"/>
          <w:highlight w:val="none"/>
          <w:lang w:val="zh-CN"/>
        </w:rPr>
      </w:pPr>
    </w:p>
    <w:p w14:paraId="2F4D64A9">
      <w:pPr>
        <w:snapToGrid w:val="0"/>
        <w:spacing w:line="360" w:lineRule="auto"/>
        <w:rPr>
          <w:rFonts w:hint="eastAsia" w:ascii="仿宋" w:hAnsi="仿宋" w:eastAsia="仿宋" w:cs="仿宋"/>
          <w:kern w:val="0"/>
          <w:sz w:val="24"/>
          <w:highlight w:val="none"/>
          <w:lang w:val="zh-CN"/>
        </w:rPr>
      </w:pPr>
    </w:p>
    <w:p w14:paraId="25412243">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投标人名称(电子签章)：                              </w:t>
      </w:r>
    </w:p>
    <w:p w14:paraId="02624AEE">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w:t>
      </w:r>
    </w:p>
    <w:p w14:paraId="1C6E2DE5">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1E3CB39">
      <w:pPr>
        <w:snapToGrid w:val="0"/>
        <w:spacing w:line="360" w:lineRule="auto"/>
        <w:ind w:right="480"/>
        <w:rPr>
          <w:rFonts w:hint="eastAsia" w:ascii="仿宋" w:hAnsi="仿宋" w:eastAsia="仿宋" w:cs="仿宋"/>
          <w:b/>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BE06B04">
      <w:pPr>
        <w:widowControl/>
        <w:adjustRightInd/>
        <w:jc w:val="left"/>
        <w:rPr>
          <w:rFonts w:hint="eastAsia" w:ascii="仿宋" w:hAnsi="仿宋" w:eastAsia="仿宋" w:cs="仿宋"/>
          <w:b/>
          <w:kern w:val="0"/>
          <w:sz w:val="32"/>
          <w:szCs w:val="32"/>
          <w:highlight w:val="none"/>
        </w:rPr>
      </w:pPr>
    </w:p>
    <w:p w14:paraId="50A8707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五、符合性审查资料索引表及具体内容</w:t>
      </w:r>
    </w:p>
    <w:p w14:paraId="3E8AD26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（一）符合性审查资料索引表</w:t>
      </w:r>
    </w:p>
    <w:tbl>
      <w:tblPr>
        <w:tblStyle w:val="1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18ED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F429785">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5841" w:type="dxa"/>
            <w:vAlign w:val="center"/>
          </w:tcPr>
          <w:p w14:paraId="12FAB3F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1701" w:type="dxa"/>
            <w:vAlign w:val="center"/>
          </w:tcPr>
          <w:p w14:paraId="5048E03A">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3ED3C13D">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2FED5F27">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18CE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76F957">
            <w:pPr>
              <w:rPr>
                <w:rFonts w:hint="eastAsia" w:ascii="仿宋" w:hAnsi="仿宋" w:eastAsia="仿宋" w:cs="仿宋"/>
                <w:sz w:val="24"/>
                <w:highlight w:val="none"/>
              </w:rPr>
            </w:pPr>
            <w:r>
              <w:rPr>
                <w:rFonts w:hint="eastAsia" w:ascii="仿宋" w:hAnsi="仿宋" w:eastAsia="仿宋" w:cs="仿宋"/>
                <w:sz w:val="24"/>
                <w:highlight w:val="none"/>
              </w:rPr>
              <w:t>1</w:t>
            </w:r>
          </w:p>
        </w:tc>
        <w:tc>
          <w:tcPr>
            <w:tcW w:w="5841" w:type="dxa"/>
          </w:tcPr>
          <w:p w14:paraId="1EDA38B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不存在如下情形：投标文件未按照交易文件要求签署、盖章。</w:t>
            </w:r>
          </w:p>
        </w:tc>
        <w:tc>
          <w:tcPr>
            <w:tcW w:w="1701" w:type="dxa"/>
            <w:vAlign w:val="center"/>
          </w:tcPr>
          <w:p w14:paraId="5C2E4307">
            <w:pPr>
              <w:rPr>
                <w:rFonts w:hint="eastAsia" w:ascii="仿宋" w:hAnsi="仿宋" w:eastAsia="仿宋" w:cs="仿宋"/>
                <w:sz w:val="24"/>
                <w:highlight w:val="none"/>
              </w:rPr>
            </w:pPr>
            <w:r>
              <w:rPr>
                <w:rFonts w:hint="eastAsia" w:ascii="仿宋" w:hAnsi="仿宋" w:eastAsia="仿宋" w:cs="仿宋"/>
                <w:sz w:val="24"/>
                <w:highlight w:val="none"/>
              </w:rPr>
              <w:t xml:space="preserve">投标文件的组成部分中需要使用公章或者签字盖章处 </w:t>
            </w:r>
          </w:p>
        </w:tc>
        <w:tc>
          <w:tcPr>
            <w:tcW w:w="1418" w:type="dxa"/>
          </w:tcPr>
          <w:p w14:paraId="27472A17">
            <w:pPr>
              <w:rPr>
                <w:rFonts w:hint="eastAsia" w:ascii="仿宋" w:hAnsi="仿宋" w:eastAsia="仿宋" w:cs="仿宋"/>
                <w:sz w:val="24"/>
                <w:highlight w:val="none"/>
              </w:rPr>
            </w:pPr>
          </w:p>
          <w:p w14:paraId="4C7C3C2F">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167D07AE">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31C5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6FD257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5841" w:type="dxa"/>
          </w:tcPr>
          <w:p w14:paraId="55BBB24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不存在如下情形：采购人拟采购的产品属于政府强制采购的节能产品品目清单范围的，投标人未按交易文件要求提供国家确定的认证机构出具的、处于有效期之内的节能产品认证证书、环境标志产品认证证书。</w:t>
            </w:r>
          </w:p>
        </w:tc>
        <w:tc>
          <w:tcPr>
            <w:tcW w:w="1701" w:type="dxa"/>
            <w:vAlign w:val="center"/>
          </w:tcPr>
          <w:p w14:paraId="007FBC2A">
            <w:pPr>
              <w:rPr>
                <w:rFonts w:hint="eastAsia" w:ascii="仿宋" w:hAnsi="仿宋" w:eastAsia="仿宋" w:cs="仿宋"/>
                <w:sz w:val="24"/>
                <w:highlight w:val="none"/>
              </w:rPr>
            </w:pPr>
            <w:r>
              <w:rPr>
                <w:rFonts w:hint="eastAsia" w:ascii="仿宋" w:hAnsi="仿宋" w:eastAsia="仿宋" w:cs="仿宋"/>
                <w:sz w:val="24"/>
                <w:highlight w:val="none"/>
              </w:rPr>
              <w:t>节能产品认证证书、环境标志产品认证证书（交易文件未要求的，无需提供）</w:t>
            </w:r>
          </w:p>
        </w:tc>
        <w:tc>
          <w:tcPr>
            <w:tcW w:w="1418" w:type="dxa"/>
          </w:tcPr>
          <w:p w14:paraId="769677DA">
            <w:pPr>
              <w:rPr>
                <w:rFonts w:hint="eastAsia" w:ascii="仿宋" w:hAnsi="仿宋" w:eastAsia="仿宋" w:cs="仿宋"/>
                <w:sz w:val="24"/>
                <w:highlight w:val="none"/>
              </w:rPr>
            </w:pPr>
          </w:p>
          <w:p w14:paraId="6F49EB99">
            <w:pPr>
              <w:rPr>
                <w:rFonts w:hint="eastAsia" w:ascii="仿宋" w:hAnsi="仿宋" w:eastAsia="仿宋" w:cs="仿宋"/>
                <w:sz w:val="24"/>
                <w:highlight w:val="none"/>
              </w:rPr>
            </w:pPr>
          </w:p>
          <w:p w14:paraId="2EE9B771">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4E55BDBA">
            <w:pPr>
              <w:pStyle w:val="3"/>
              <w:numPr>
                <w:ilvl w:val="0"/>
                <w:numId w:val="0"/>
              </w:numPr>
              <w:ind w:left="432"/>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  页</w:t>
            </w:r>
          </w:p>
        </w:tc>
      </w:tr>
      <w:tr w14:paraId="2237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BFEA2D2">
            <w:pPr>
              <w:rPr>
                <w:rFonts w:hint="eastAsia" w:ascii="仿宋" w:hAnsi="仿宋" w:eastAsia="仿宋" w:cs="仿宋"/>
                <w:sz w:val="24"/>
                <w:highlight w:val="none"/>
              </w:rPr>
            </w:pPr>
            <w:r>
              <w:rPr>
                <w:rFonts w:hint="eastAsia" w:ascii="仿宋" w:hAnsi="仿宋" w:eastAsia="仿宋" w:cs="仿宋"/>
                <w:sz w:val="24"/>
                <w:highlight w:val="none"/>
              </w:rPr>
              <w:t>3</w:t>
            </w:r>
          </w:p>
        </w:tc>
        <w:tc>
          <w:tcPr>
            <w:tcW w:w="5841" w:type="dxa"/>
          </w:tcPr>
          <w:p w14:paraId="1402FC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不存在如下情形：投标文件中承诺的投标有效期少于交易文件中载明的投标有效期。</w:t>
            </w:r>
          </w:p>
        </w:tc>
        <w:tc>
          <w:tcPr>
            <w:tcW w:w="1701" w:type="dxa"/>
            <w:vAlign w:val="center"/>
          </w:tcPr>
          <w:p w14:paraId="56C7A5B0">
            <w:pPr>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tcPr>
          <w:p w14:paraId="3B0C4871">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35EA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7D1741">
            <w:pPr>
              <w:rPr>
                <w:rFonts w:hint="eastAsia" w:ascii="仿宋" w:hAnsi="仿宋" w:eastAsia="仿宋" w:cs="仿宋"/>
                <w:sz w:val="24"/>
                <w:highlight w:val="none"/>
              </w:rPr>
            </w:pPr>
            <w:r>
              <w:rPr>
                <w:rFonts w:hint="eastAsia" w:ascii="仿宋" w:hAnsi="仿宋" w:eastAsia="仿宋" w:cs="仿宋"/>
                <w:sz w:val="24"/>
                <w:highlight w:val="none"/>
              </w:rPr>
              <w:t>4</w:t>
            </w:r>
          </w:p>
        </w:tc>
        <w:tc>
          <w:tcPr>
            <w:tcW w:w="5841" w:type="dxa"/>
          </w:tcPr>
          <w:p w14:paraId="372CF64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不存在如下情形：投标文件不满足交易文件的其它实质性要求。</w:t>
            </w:r>
          </w:p>
        </w:tc>
        <w:tc>
          <w:tcPr>
            <w:tcW w:w="1701" w:type="dxa"/>
            <w:vAlign w:val="center"/>
          </w:tcPr>
          <w:p w14:paraId="46EE9B98">
            <w:pPr>
              <w:rPr>
                <w:rFonts w:hint="eastAsia" w:ascii="仿宋" w:hAnsi="仿宋" w:eastAsia="仿宋" w:cs="仿宋"/>
                <w:sz w:val="24"/>
                <w:highlight w:val="none"/>
              </w:rPr>
            </w:pPr>
            <w:r>
              <w:rPr>
                <w:rFonts w:hint="eastAsia" w:ascii="仿宋" w:hAnsi="仿宋" w:eastAsia="仿宋" w:cs="仿宋"/>
                <w:kern w:val="0"/>
                <w:sz w:val="24"/>
                <w:highlight w:val="none"/>
              </w:rPr>
              <w:t>交易文件其它实质性要求相应的材料（交易文件未要求的，无需提供）</w:t>
            </w:r>
          </w:p>
        </w:tc>
        <w:tc>
          <w:tcPr>
            <w:tcW w:w="1418" w:type="dxa"/>
          </w:tcPr>
          <w:p w14:paraId="2122D215">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6795C73E">
      <w:pPr>
        <w:jc w:val="center"/>
        <w:rPr>
          <w:rFonts w:hint="eastAsia" w:ascii="仿宋" w:hAnsi="仿宋" w:eastAsia="仿宋" w:cs="仿宋"/>
          <w:b/>
          <w:kern w:val="0"/>
          <w:sz w:val="32"/>
          <w:szCs w:val="32"/>
          <w:highlight w:val="none"/>
        </w:rPr>
      </w:pPr>
    </w:p>
    <w:p w14:paraId="1E432FD3">
      <w:pPr>
        <w:jc w:val="center"/>
        <w:rPr>
          <w:rFonts w:hint="eastAsia" w:ascii="仿宋" w:hAnsi="仿宋" w:eastAsia="仿宋" w:cs="仿宋"/>
          <w:b/>
          <w:kern w:val="0"/>
          <w:sz w:val="32"/>
          <w:szCs w:val="32"/>
          <w:highlight w:val="none"/>
        </w:rPr>
      </w:pPr>
    </w:p>
    <w:p w14:paraId="0CA48575">
      <w:pPr>
        <w:jc w:val="center"/>
        <w:rPr>
          <w:rFonts w:hint="eastAsia" w:ascii="仿宋" w:hAnsi="仿宋" w:eastAsia="仿宋" w:cs="仿宋"/>
          <w:b/>
          <w:kern w:val="0"/>
          <w:sz w:val="32"/>
          <w:szCs w:val="32"/>
          <w:highlight w:val="none"/>
        </w:rPr>
      </w:pPr>
    </w:p>
    <w:p w14:paraId="3ACDAE1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（二）符合性审查资料具体内容</w:t>
      </w:r>
    </w:p>
    <w:p w14:paraId="7FDCF390">
      <w:pPr>
        <w:rPr>
          <w:rFonts w:hint="eastAsia" w:ascii="仿宋" w:hAnsi="仿宋" w:eastAsia="仿宋" w:cs="仿宋"/>
          <w:b/>
          <w:kern w:val="0"/>
          <w:sz w:val="32"/>
          <w:szCs w:val="32"/>
          <w:highlight w:val="none"/>
        </w:rPr>
      </w:pPr>
      <w:r>
        <w:rPr>
          <w:rFonts w:hint="eastAsia" w:ascii="仿宋" w:hAnsi="仿宋" w:eastAsia="仿宋" w:cs="仿宋"/>
          <w:sz w:val="24"/>
          <w:highlight w:val="none"/>
        </w:rPr>
        <w:t>1、投标文件的组成部分中需要使用公章或者签字盖章处（详见投标文件第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页） </w:t>
      </w:r>
    </w:p>
    <w:p w14:paraId="74221A91">
      <w:pPr>
        <w:rPr>
          <w:rFonts w:hint="eastAsia" w:ascii="仿宋" w:hAnsi="仿宋" w:eastAsia="仿宋" w:cs="仿宋"/>
          <w:kern w:val="0"/>
          <w:sz w:val="24"/>
          <w:highlight w:val="none"/>
        </w:rPr>
      </w:pPr>
      <w:r>
        <w:rPr>
          <w:rFonts w:hint="eastAsia" w:ascii="仿宋" w:hAnsi="仿宋" w:eastAsia="仿宋" w:cs="仿宋"/>
          <w:kern w:val="0"/>
          <w:sz w:val="24"/>
          <w:highlight w:val="none"/>
        </w:rPr>
        <w:t>2、节能产品认证证书</w:t>
      </w:r>
      <w:r>
        <w:rPr>
          <w:rFonts w:hint="eastAsia" w:ascii="仿宋" w:hAnsi="仿宋" w:eastAsia="仿宋" w:cs="仿宋"/>
          <w:sz w:val="24"/>
          <w:highlight w:val="none"/>
        </w:rPr>
        <w:t>、环境标志产品认证证书</w:t>
      </w:r>
      <w:r>
        <w:rPr>
          <w:rFonts w:hint="eastAsia" w:ascii="仿宋" w:hAnsi="仿宋" w:eastAsia="仿宋" w:cs="仿宋"/>
          <w:kern w:val="0"/>
          <w:sz w:val="24"/>
          <w:highlight w:val="none"/>
        </w:rPr>
        <w:t>（交易文件未要求的，无需提供）</w:t>
      </w:r>
    </w:p>
    <w:p w14:paraId="420408E5">
      <w:pPr>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sz w:val="24"/>
          <w:highlight w:val="none"/>
        </w:rPr>
        <w:t>投标函（详见投标文件第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p w14:paraId="0624151D">
      <w:pPr>
        <w:rPr>
          <w:rFonts w:hint="eastAsia" w:ascii="仿宋" w:hAnsi="仿宋" w:eastAsia="仿宋" w:cs="仿宋"/>
          <w:kern w:val="0"/>
          <w:sz w:val="24"/>
          <w:highlight w:val="none"/>
        </w:rPr>
      </w:pPr>
      <w:r>
        <w:rPr>
          <w:rFonts w:hint="eastAsia" w:ascii="仿宋" w:hAnsi="仿宋" w:eastAsia="仿宋" w:cs="仿宋"/>
          <w:kern w:val="0"/>
          <w:sz w:val="24"/>
          <w:highlight w:val="none"/>
        </w:rPr>
        <w:t>4、交易文件其它实质性要求相应的材料（交易文件未要求的，无需提供）</w:t>
      </w:r>
    </w:p>
    <w:p w14:paraId="13829B7B">
      <w:pPr>
        <w:rPr>
          <w:rFonts w:hint="eastAsia" w:ascii="仿宋" w:hAnsi="仿宋" w:eastAsia="仿宋" w:cs="仿宋"/>
          <w:highlight w:val="none"/>
        </w:rPr>
      </w:pPr>
    </w:p>
    <w:p w14:paraId="26BA430B">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69B4F92D">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77B5708">
      <w:pPr>
        <w:jc w:val="center"/>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14:paraId="6CAA0B63">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（按交易文件第四部分评标办法前附表中“投标文件中评标标准相应的商务技术资料目录”提供资料）</w:t>
      </w:r>
    </w:p>
    <w:p w14:paraId="296E26E8">
      <w:pPr>
        <w:jc w:val="center"/>
        <w:rPr>
          <w:rFonts w:hint="eastAsia" w:ascii="仿宋" w:hAnsi="仿宋" w:eastAsia="仿宋" w:cs="仿宋"/>
          <w:b/>
          <w:kern w:val="0"/>
          <w:sz w:val="32"/>
          <w:szCs w:val="32"/>
          <w:highlight w:val="none"/>
        </w:rPr>
      </w:pPr>
    </w:p>
    <w:p w14:paraId="2CAA5D0C">
      <w:pPr>
        <w:jc w:val="center"/>
        <w:rPr>
          <w:rFonts w:hint="eastAsia" w:ascii="仿宋" w:hAnsi="仿宋" w:eastAsia="仿宋" w:cs="仿宋"/>
          <w:b/>
          <w:kern w:val="0"/>
          <w:sz w:val="32"/>
          <w:szCs w:val="32"/>
          <w:highlight w:val="none"/>
        </w:rPr>
      </w:pPr>
    </w:p>
    <w:p w14:paraId="35F70187">
      <w:pPr>
        <w:jc w:val="center"/>
        <w:rPr>
          <w:rFonts w:hint="eastAsia" w:ascii="仿宋" w:hAnsi="仿宋" w:eastAsia="仿宋" w:cs="仿宋"/>
          <w:b/>
          <w:kern w:val="0"/>
          <w:sz w:val="32"/>
          <w:szCs w:val="32"/>
          <w:highlight w:val="none"/>
        </w:rPr>
      </w:pPr>
    </w:p>
    <w:p w14:paraId="0602886D">
      <w:pPr>
        <w:jc w:val="center"/>
        <w:rPr>
          <w:rFonts w:hint="eastAsia" w:ascii="仿宋" w:hAnsi="仿宋" w:eastAsia="仿宋" w:cs="仿宋"/>
          <w:b/>
          <w:kern w:val="0"/>
          <w:sz w:val="32"/>
          <w:szCs w:val="32"/>
          <w:highlight w:val="none"/>
        </w:rPr>
      </w:pPr>
    </w:p>
    <w:p w14:paraId="7249EAD2">
      <w:pPr>
        <w:jc w:val="center"/>
        <w:rPr>
          <w:rFonts w:hint="eastAsia" w:ascii="仿宋" w:hAnsi="仿宋" w:eastAsia="仿宋" w:cs="仿宋"/>
          <w:b/>
          <w:kern w:val="0"/>
          <w:sz w:val="32"/>
          <w:szCs w:val="32"/>
          <w:highlight w:val="none"/>
        </w:rPr>
      </w:pPr>
    </w:p>
    <w:p w14:paraId="4CD9E70D">
      <w:pPr>
        <w:jc w:val="center"/>
        <w:rPr>
          <w:rFonts w:hint="eastAsia" w:ascii="仿宋" w:hAnsi="仿宋" w:eastAsia="仿宋" w:cs="仿宋"/>
          <w:b/>
          <w:kern w:val="0"/>
          <w:sz w:val="32"/>
          <w:szCs w:val="32"/>
          <w:highlight w:val="none"/>
        </w:rPr>
      </w:pPr>
    </w:p>
    <w:p w14:paraId="3FBEB239">
      <w:pPr>
        <w:jc w:val="center"/>
        <w:rPr>
          <w:rFonts w:hint="eastAsia" w:ascii="仿宋" w:hAnsi="仿宋" w:eastAsia="仿宋" w:cs="仿宋"/>
          <w:b/>
          <w:kern w:val="0"/>
          <w:sz w:val="32"/>
          <w:szCs w:val="32"/>
          <w:highlight w:val="none"/>
        </w:rPr>
      </w:pPr>
    </w:p>
    <w:p w14:paraId="350E1309">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361E557">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E6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8E15997">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33058576">
            <w:pPr>
              <w:jc w:val="center"/>
              <w:rPr>
                <w:rFonts w:hint="eastAsia" w:ascii="仿宋" w:hAnsi="仿宋" w:eastAsia="仿宋" w:cs="仿宋"/>
                <w:b/>
                <w:bCs/>
                <w:sz w:val="24"/>
                <w:highlight w:val="none"/>
              </w:rPr>
            </w:pPr>
            <w:r>
              <w:rPr>
                <w:rFonts w:hint="eastAsia" w:ascii="仿宋" w:hAnsi="仿宋" w:eastAsia="仿宋" w:cs="仿宋"/>
                <w:b/>
                <w:bCs/>
                <w:sz w:val="24"/>
                <w:highlight w:val="none"/>
              </w:rPr>
              <w:t>交易文件章节及具体内容</w:t>
            </w:r>
          </w:p>
        </w:tc>
        <w:tc>
          <w:tcPr>
            <w:tcW w:w="3546" w:type="dxa"/>
          </w:tcPr>
          <w:p w14:paraId="287F1712">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225D7360">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偏差说明</w:t>
            </w:r>
          </w:p>
        </w:tc>
      </w:tr>
      <w:tr w14:paraId="764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D3E9E35">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1</w:t>
            </w:r>
          </w:p>
        </w:tc>
        <w:tc>
          <w:tcPr>
            <w:tcW w:w="3683" w:type="dxa"/>
          </w:tcPr>
          <w:p w14:paraId="1E412EFE">
            <w:pPr>
              <w:jc w:val="center"/>
              <w:rPr>
                <w:rFonts w:hint="eastAsia" w:ascii="仿宋" w:hAnsi="仿宋" w:eastAsia="仿宋" w:cs="仿宋"/>
                <w:b/>
                <w:kern w:val="0"/>
                <w:sz w:val="32"/>
                <w:szCs w:val="32"/>
                <w:highlight w:val="none"/>
              </w:rPr>
            </w:pPr>
          </w:p>
        </w:tc>
        <w:tc>
          <w:tcPr>
            <w:tcW w:w="3546" w:type="dxa"/>
          </w:tcPr>
          <w:p w14:paraId="48F6FCCA">
            <w:pPr>
              <w:jc w:val="center"/>
              <w:rPr>
                <w:rFonts w:hint="eastAsia" w:ascii="仿宋" w:hAnsi="仿宋" w:eastAsia="仿宋" w:cs="仿宋"/>
                <w:b/>
                <w:kern w:val="0"/>
                <w:sz w:val="32"/>
                <w:szCs w:val="32"/>
                <w:highlight w:val="none"/>
              </w:rPr>
            </w:pPr>
          </w:p>
        </w:tc>
        <w:tc>
          <w:tcPr>
            <w:tcW w:w="1276" w:type="dxa"/>
          </w:tcPr>
          <w:p w14:paraId="6D8FA375">
            <w:pPr>
              <w:jc w:val="center"/>
              <w:rPr>
                <w:rFonts w:hint="eastAsia" w:ascii="仿宋" w:hAnsi="仿宋" w:eastAsia="仿宋" w:cs="仿宋"/>
                <w:b/>
                <w:kern w:val="0"/>
                <w:sz w:val="32"/>
                <w:szCs w:val="32"/>
                <w:highlight w:val="none"/>
              </w:rPr>
            </w:pPr>
          </w:p>
        </w:tc>
      </w:tr>
      <w:tr w14:paraId="0DC6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F2131B">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2</w:t>
            </w:r>
          </w:p>
        </w:tc>
        <w:tc>
          <w:tcPr>
            <w:tcW w:w="3683" w:type="dxa"/>
          </w:tcPr>
          <w:p w14:paraId="0D6C5BBE">
            <w:pPr>
              <w:jc w:val="center"/>
              <w:rPr>
                <w:rFonts w:hint="eastAsia" w:ascii="仿宋" w:hAnsi="仿宋" w:eastAsia="仿宋" w:cs="仿宋"/>
                <w:b/>
                <w:kern w:val="0"/>
                <w:sz w:val="32"/>
                <w:szCs w:val="32"/>
                <w:highlight w:val="none"/>
              </w:rPr>
            </w:pPr>
          </w:p>
        </w:tc>
        <w:tc>
          <w:tcPr>
            <w:tcW w:w="3546" w:type="dxa"/>
          </w:tcPr>
          <w:p w14:paraId="44877DA1">
            <w:pPr>
              <w:jc w:val="center"/>
              <w:rPr>
                <w:rFonts w:hint="eastAsia" w:ascii="仿宋" w:hAnsi="仿宋" w:eastAsia="仿宋" w:cs="仿宋"/>
                <w:b/>
                <w:kern w:val="0"/>
                <w:sz w:val="32"/>
                <w:szCs w:val="32"/>
                <w:highlight w:val="none"/>
              </w:rPr>
            </w:pPr>
          </w:p>
        </w:tc>
        <w:tc>
          <w:tcPr>
            <w:tcW w:w="1276" w:type="dxa"/>
          </w:tcPr>
          <w:p w14:paraId="5C77BE6C">
            <w:pPr>
              <w:jc w:val="center"/>
              <w:rPr>
                <w:rFonts w:hint="eastAsia" w:ascii="仿宋" w:hAnsi="仿宋" w:eastAsia="仿宋" w:cs="仿宋"/>
                <w:b/>
                <w:kern w:val="0"/>
                <w:sz w:val="32"/>
                <w:szCs w:val="32"/>
                <w:highlight w:val="none"/>
              </w:rPr>
            </w:pPr>
          </w:p>
        </w:tc>
      </w:tr>
      <w:tr w14:paraId="1B09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1C72090">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w:t>
            </w:r>
          </w:p>
        </w:tc>
        <w:tc>
          <w:tcPr>
            <w:tcW w:w="3683" w:type="dxa"/>
          </w:tcPr>
          <w:p w14:paraId="652F40D3">
            <w:pPr>
              <w:jc w:val="center"/>
              <w:rPr>
                <w:rFonts w:hint="eastAsia" w:ascii="仿宋" w:hAnsi="仿宋" w:eastAsia="仿宋" w:cs="仿宋"/>
                <w:b/>
                <w:kern w:val="0"/>
                <w:sz w:val="32"/>
                <w:szCs w:val="32"/>
                <w:highlight w:val="none"/>
              </w:rPr>
            </w:pPr>
          </w:p>
        </w:tc>
        <w:tc>
          <w:tcPr>
            <w:tcW w:w="3546" w:type="dxa"/>
          </w:tcPr>
          <w:p w14:paraId="55B7897A">
            <w:pPr>
              <w:jc w:val="center"/>
              <w:rPr>
                <w:rFonts w:hint="eastAsia" w:ascii="仿宋" w:hAnsi="仿宋" w:eastAsia="仿宋" w:cs="仿宋"/>
                <w:b/>
                <w:kern w:val="0"/>
                <w:sz w:val="32"/>
                <w:szCs w:val="32"/>
                <w:highlight w:val="none"/>
              </w:rPr>
            </w:pPr>
          </w:p>
        </w:tc>
        <w:tc>
          <w:tcPr>
            <w:tcW w:w="1276" w:type="dxa"/>
          </w:tcPr>
          <w:p w14:paraId="628F0221">
            <w:pPr>
              <w:jc w:val="center"/>
              <w:rPr>
                <w:rFonts w:hint="eastAsia" w:ascii="仿宋" w:hAnsi="仿宋" w:eastAsia="仿宋" w:cs="仿宋"/>
                <w:b/>
                <w:kern w:val="0"/>
                <w:sz w:val="32"/>
                <w:szCs w:val="32"/>
                <w:highlight w:val="none"/>
              </w:rPr>
            </w:pPr>
          </w:p>
        </w:tc>
      </w:tr>
    </w:tbl>
    <w:p w14:paraId="44ADB495">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投标人保证：除商务技术偏离表列出的偏离外，投标人响应交易文件的全部要求</w:t>
      </w:r>
    </w:p>
    <w:p w14:paraId="29298F12">
      <w:pPr>
        <w:jc w:val="center"/>
        <w:rPr>
          <w:rFonts w:hint="eastAsia" w:ascii="仿宋" w:hAnsi="仿宋" w:eastAsia="仿宋" w:cs="仿宋"/>
          <w:b/>
          <w:kern w:val="0"/>
          <w:sz w:val="32"/>
          <w:szCs w:val="32"/>
          <w:highlight w:val="none"/>
        </w:rPr>
      </w:pPr>
    </w:p>
    <w:p w14:paraId="26CEAE59">
      <w:pPr>
        <w:jc w:val="center"/>
        <w:rPr>
          <w:rFonts w:hint="eastAsia" w:ascii="仿宋" w:hAnsi="仿宋" w:eastAsia="仿宋" w:cs="仿宋"/>
          <w:b/>
          <w:kern w:val="0"/>
          <w:sz w:val="32"/>
          <w:szCs w:val="32"/>
          <w:highlight w:val="none"/>
        </w:rPr>
      </w:pPr>
    </w:p>
    <w:p w14:paraId="20BBEEEF">
      <w:pPr>
        <w:jc w:val="center"/>
        <w:rPr>
          <w:rFonts w:hint="eastAsia" w:ascii="仿宋" w:hAnsi="仿宋" w:eastAsia="仿宋" w:cs="仿宋"/>
          <w:b/>
          <w:kern w:val="0"/>
          <w:sz w:val="32"/>
          <w:szCs w:val="32"/>
          <w:highlight w:val="none"/>
        </w:rPr>
      </w:pPr>
    </w:p>
    <w:p w14:paraId="4D61B62C">
      <w:pPr>
        <w:jc w:val="center"/>
        <w:rPr>
          <w:rFonts w:hint="eastAsia" w:ascii="仿宋" w:hAnsi="仿宋" w:eastAsia="仿宋" w:cs="仿宋"/>
          <w:b/>
          <w:kern w:val="0"/>
          <w:sz w:val="32"/>
          <w:szCs w:val="32"/>
          <w:highlight w:val="none"/>
        </w:rPr>
      </w:pPr>
    </w:p>
    <w:p w14:paraId="2F780A38">
      <w:pPr>
        <w:jc w:val="center"/>
        <w:rPr>
          <w:rFonts w:hint="eastAsia" w:ascii="仿宋" w:hAnsi="仿宋" w:eastAsia="仿宋" w:cs="仿宋"/>
          <w:b/>
          <w:kern w:val="0"/>
          <w:sz w:val="32"/>
          <w:szCs w:val="32"/>
          <w:highlight w:val="none"/>
        </w:rPr>
      </w:pPr>
    </w:p>
    <w:p w14:paraId="33F2819E">
      <w:pPr>
        <w:jc w:val="center"/>
        <w:rPr>
          <w:rFonts w:hint="eastAsia" w:ascii="仿宋" w:hAnsi="仿宋" w:eastAsia="仿宋" w:cs="仿宋"/>
          <w:b/>
          <w:kern w:val="0"/>
          <w:sz w:val="32"/>
          <w:szCs w:val="32"/>
          <w:highlight w:val="none"/>
        </w:rPr>
      </w:pPr>
    </w:p>
    <w:p w14:paraId="3D235445">
      <w:pPr>
        <w:jc w:val="center"/>
        <w:rPr>
          <w:rFonts w:hint="eastAsia" w:ascii="仿宋" w:hAnsi="仿宋" w:eastAsia="仿宋" w:cs="仿宋"/>
          <w:b/>
          <w:kern w:val="0"/>
          <w:sz w:val="32"/>
          <w:szCs w:val="32"/>
          <w:highlight w:val="none"/>
        </w:rPr>
      </w:pPr>
    </w:p>
    <w:p w14:paraId="010CE180">
      <w:pPr>
        <w:jc w:val="center"/>
        <w:rPr>
          <w:rFonts w:hint="eastAsia" w:ascii="仿宋" w:hAnsi="仿宋" w:eastAsia="仿宋" w:cs="仿宋"/>
          <w:b/>
          <w:kern w:val="0"/>
          <w:sz w:val="32"/>
          <w:szCs w:val="32"/>
          <w:highlight w:val="none"/>
        </w:rPr>
      </w:pPr>
    </w:p>
    <w:p w14:paraId="3ACD69D0">
      <w:pPr>
        <w:jc w:val="center"/>
        <w:rPr>
          <w:rFonts w:hint="eastAsia" w:ascii="仿宋" w:hAnsi="仿宋" w:eastAsia="仿宋" w:cs="仿宋"/>
          <w:b/>
          <w:kern w:val="0"/>
          <w:sz w:val="32"/>
          <w:szCs w:val="32"/>
          <w:highlight w:val="none"/>
        </w:rPr>
      </w:pPr>
    </w:p>
    <w:p w14:paraId="726B00CF">
      <w:pPr>
        <w:jc w:val="center"/>
        <w:rPr>
          <w:rFonts w:hint="eastAsia" w:ascii="仿宋" w:hAnsi="仿宋" w:eastAsia="仿宋" w:cs="仿宋"/>
          <w:b/>
          <w:kern w:val="0"/>
          <w:sz w:val="32"/>
          <w:szCs w:val="32"/>
          <w:highlight w:val="none"/>
        </w:rPr>
      </w:pPr>
    </w:p>
    <w:p w14:paraId="62EEBDBE">
      <w:pPr>
        <w:jc w:val="center"/>
        <w:rPr>
          <w:rFonts w:hint="eastAsia" w:ascii="仿宋" w:hAnsi="仿宋" w:eastAsia="仿宋" w:cs="仿宋"/>
          <w:b/>
          <w:kern w:val="0"/>
          <w:sz w:val="32"/>
          <w:szCs w:val="32"/>
          <w:highlight w:val="none"/>
        </w:rPr>
      </w:pPr>
    </w:p>
    <w:p w14:paraId="4831D1CA">
      <w:pPr>
        <w:jc w:val="center"/>
        <w:rPr>
          <w:rFonts w:hint="eastAsia" w:ascii="仿宋" w:hAnsi="仿宋" w:eastAsia="仿宋" w:cs="仿宋"/>
          <w:b/>
          <w:kern w:val="0"/>
          <w:sz w:val="32"/>
          <w:szCs w:val="32"/>
          <w:highlight w:val="none"/>
        </w:rPr>
      </w:pPr>
    </w:p>
    <w:p w14:paraId="462278A9">
      <w:pPr>
        <w:ind w:firstLine="2891" w:firstLineChars="900"/>
        <w:rPr>
          <w:rFonts w:hint="eastAsia" w:ascii="仿宋" w:hAnsi="仿宋" w:eastAsia="仿宋" w:cs="仿宋"/>
          <w:b/>
          <w:bCs/>
          <w:sz w:val="32"/>
          <w:szCs w:val="32"/>
          <w:highlight w:val="none"/>
        </w:rPr>
      </w:pPr>
    </w:p>
    <w:p w14:paraId="4B6F0DF8">
      <w:pPr>
        <w:ind w:firstLine="2891" w:firstLineChars="900"/>
        <w:rPr>
          <w:rFonts w:hint="eastAsia" w:ascii="仿宋" w:hAnsi="仿宋" w:eastAsia="仿宋" w:cs="仿宋"/>
          <w:b/>
          <w:bCs/>
          <w:sz w:val="32"/>
          <w:szCs w:val="32"/>
          <w:highlight w:val="none"/>
        </w:rPr>
      </w:pPr>
    </w:p>
    <w:p w14:paraId="1108EB38">
      <w:pPr>
        <w:ind w:firstLine="2891" w:firstLineChars="900"/>
        <w:rPr>
          <w:rFonts w:hint="eastAsia" w:ascii="仿宋" w:hAnsi="仿宋" w:eastAsia="仿宋" w:cs="仿宋"/>
          <w:b/>
          <w:bCs/>
          <w:sz w:val="32"/>
          <w:szCs w:val="32"/>
          <w:highlight w:val="none"/>
        </w:rPr>
      </w:pPr>
    </w:p>
    <w:p w14:paraId="0ED8DCD6">
      <w:pPr>
        <w:ind w:firstLine="2891" w:firstLineChars="900"/>
        <w:rPr>
          <w:rFonts w:hint="eastAsia" w:ascii="仿宋" w:hAnsi="仿宋" w:eastAsia="仿宋" w:cs="仿宋"/>
          <w:b/>
          <w:bCs/>
          <w:sz w:val="32"/>
          <w:szCs w:val="32"/>
          <w:highlight w:val="none"/>
        </w:rPr>
      </w:pPr>
    </w:p>
    <w:p w14:paraId="2FCC2CDA">
      <w:pPr>
        <w:ind w:firstLine="2891" w:firstLineChars="900"/>
        <w:rPr>
          <w:rFonts w:hint="eastAsia" w:ascii="仿宋" w:hAnsi="仿宋" w:eastAsia="仿宋" w:cs="仿宋"/>
          <w:b/>
          <w:bCs/>
          <w:sz w:val="32"/>
          <w:szCs w:val="32"/>
          <w:highlight w:val="none"/>
        </w:rPr>
      </w:pPr>
    </w:p>
    <w:p w14:paraId="012B6CB1">
      <w:pPr>
        <w:ind w:firstLine="2891" w:firstLineChars="900"/>
        <w:rPr>
          <w:rFonts w:hint="eastAsia" w:ascii="仿宋" w:hAnsi="仿宋" w:eastAsia="仿宋" w:cs="仿宋"/>
          <w:b/>
          <w:bCs/>
          <w:sz w:val="32"/>
          <w:szCs w:val="32"/>
          <w:highlight w:val="none"/>
        </w:rPr>
      </w:pPr>
    </w:p>
    <w:p w14:paraId="0AE9584C">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A01C489">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采购供应商廉洁自律承诺书</w:t>
      </w:r>
    </w:p>
    <w:p w14:paraId="475EF6CA">
      <w:pPr>
        <w:snapToGrid w:val="0"/>
        <w:spacing w:line="360" w:lineRule="auto"/>
        <w:rPr>
          <w:rFonts w:hint="eastAsia" w:ascii="仿宋" w:hAnsi="仿宋" w:eastAsia="仿宋" w:cs="仿宋"/>
          <w:sz w:val="24"/>
          <w:highlight w:val="none"/>
        </w:rPr>
      </w:pPr>
    </w:p>
    <w:p w14:paraId="1E423B4B">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（采购人名称）、（采购代理机构名称）</w:t>
      </w:r>
      <w:r>
        <w:rPr>
          <w:rFonts w:hint="eastAsia" w:ascii="仿宋" w:hAnsi="仿宋" w:eastAsia="仿宋" w:cs="仿宋"/>
          <w:kern w:val="0"/>
          <w:sz w:val="24"/>
          <w:highlight w:val="none"/>
          <w:lang w:val="zh-CN"/>
        </w:rPr>
        <w:t>：</w:t>
      </w:r>
    </w:p>
    <w:p w14:paraId="7D41A5A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59D3B3B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8F7EBD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63B2718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90930F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93B10E2">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5B95CF72">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62DCA788">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179A4C94">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2E56627">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2DFB57BD">
      <w:pPr>
        <w:autoSpaceDE w:val="0"/>
        <w:autoSpaceDN w:val="0"/>
        <w:spacing w:line="360" w:lineRule="auto"/>
        <w:ind w:left="2"/>
        <w:jc w:val="left"/>
        <w:rPr>
          <w:rFonts w:hint="eastAsia" w:ascii="仿宋" w:hAnsi="仿宋" w:eastAsia="仿宋" w:cs="仿宋"/>
          <w:kern w:val="0"/>
          <w:sz w:val="24"/>
          <w:highlight w:val="none"/>
          <w:lang w:val="zh-CN"/>
        </w:rPr>
      </w:pPr>
    </w:p>
    <w:p w14:paraId="03B34F4D">
      <w:pPr>
        <w:autoSpaceDE w:val="0"/>
        <w:autoSpaceDN w:val="0"/>
        <w:spacing w:line="360" w:lineRule="auto"/>
        <w:ind w:left="2"/>
        <w:jc w:val="left"/>
        <w:rPr>
          <w:rFonts w:hint="eastAsia" w:ascii="仿宋" w:hAnsi="仿宋" w:eastAsia="仿宋" w:cs="仿宋"/>
          <w:kern w:val="0"/>
          <w:sz w:val="24"/>
          <w:highlight w:val="none"/>
          <w:lang w:val="zh-CN"/>
        </w:rPr>
      </w:pPr>
    </w:p>
    <w:p w14:paraId="3CB92680">
      <w:pPr>
        <w:autoSpaceDE w:val="0"/>
        <w:autoSpaceDN w:val="0"/>
        <w:spacing w:line="360" w:lineRule="auto"/>
        <w:ind w:left="2"/>
        <w:jc w:val="left"/>
        <w:rPr>
          <w:rFonts w:hint="eastAsia" w:ascii="仿宋" w:hAnsi="仿宋" w:eastAsia="仿宋" w:cs="仿宋"/>
          <w:kern w:val="0"/>
          <w:sz w:val="24"/>
          <w:highlight w:val="none"/>
          <w:lang w:val="zh-CN"/>
        </w:rPr>
      </w:pPr>
    </w:p>
    <w:p w14:paraId="1C5B850C">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投标人名称（电子签章）：                                                                                                                                                                                                               </w:t>
      </w:r>
    </w:p>
    <w:p w14:paraId="192FEA5C">
      <w:pPr>
        <w:spacing w:line="360" w:lineRule="auto"/>
        <w:ind w:left="4620" w:leftChars="2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795CA10">
      <w:pPr>
        <w:pStyle w:val="7"/>
        <w:rPr>
          <w:rFonts w:hint="eastAsia" w:ascii="仿宋" w:hAnsi="仿宋" w:eastAsia="仿宋" w:cs="仿宋"/>
          <w:kern w:val="0"/>
          <w:highlight w:val="none"/>
        </w:rPr>
      </w:pPr>
    </w:p>
    <w:p w14:paraId="7701EFDA">
      <w:pPr>
        <w:pStyle w:val="7"/>
        <w:rPr>
          <w:rFonts w:hint="eastAsia" w:ascii="仿宋" w:hAnsi="仿宋" w:eastAsia="仿宋" w:cs="仿宋"/>
          <w:kern w:val="0"/>
          <w:highlight w:val="none"/>
        </w:rPr>
      </w:pPr>
    </w:p>
    <w:p w14:paraId="73B58D11">
      <w:pPr>
        <w:pStyle w:val="7"/>
        <w:rPr>
          <w:rFonts w:hint="eastAsia" w:ascii="仿宋" w:hAnsi="仿宋" w:eastAsia="仿宋" w:cs="仿宋"/>
          <w:kern w:val="0"/>
          <w:highlight w:val="none"/>
        </w:rPr>
      </w:pPr>
    </w:p>
    <w:p w14:paraId="13830240">
      <w:pPr>
        <w:pStyle w:val="7"/>
        <w:rPr>
          <w:rFonts w:hint="eastAsia" w:ascii="仿宋" w:hAnsi="仿宋" w:eastAsia="仿宋" w:cs="仿宋"/>
          <w:kern w:val="0"/>
          <w:highlight w:val="none"/>
        </w:rPr>
      </w:pPr>
    </w:p>
    <w:p w14:paraId="62C017CC">
      <w:pPr>
        <w:pStyle w:val="7"/>
        <w:rPr>
          <w:rFonts w:hint="eastAsia" w:ascii="仿宋" w:hAnsi="仿宋" w:eastAsia="仿宋" w:cs="仿宋"/>
          <w:kern w:val="0"/>
          <w:highlight w:val="none"/>
        </w:rPr>
      </w:pPr>
    </w:p>
    <w:p w14:paraId="6E6F0562">
      <w:pPr>
        <w:pStyle w:val="7"/>
        <w:rPr>
          <w:rFonts w:hint="eastAsia" w:ascii="仿宋" w:hAnsi="仿宋" w:eastAsia="仿宋" w:cs="仿宋"/>
          <w:kern w:val="0"/>
          <w:highlight w:val="none"/>
        </w:rPr>
      </w:pPr>
    </w:p>
    <w:p w14:paraId="79C3F05E">
      <w:pPr>
        <w:pStyle w:val="7"/>
        <w:rPr>
          <w:rFonts w:hint="eastAsia" w:ascii="仿宋" w:hAnsi="仿宋" w:eastAsia="仿宋" w:cs="仿宋"/>
          <w:kern w:val="0"/>
          <w:highlight w:val="none"/>
        </w:rPr>
      </w:pPr>
    </w:p>
    <w:p w14:paraId="0AC018A2">
      <w:pPr>
        <w:pStyle w:val="7"/>
        <w:rPr>
          <w:rFonts w:hint="eastAsia" w:ascii="仿宋" w:hAnsi="仿宋" w:eastAsia="仿宋" w:cs="仿宋"/>
          <w:kern w:val="0"/>
          <w:highlight w:val="none"/>
        </w:rPr>
      </w:pPr>
    </w:p>
    <w:p w14:paraId="02DE35AA">
      <w:pPr>
        <w:snapToGrid w:val="0"/>
        <w:spacing w:line="360" w:lineRule="auto"/>
        <w:ind w:right="48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九、声明书</w:t>
      </w:r>
    </w:p>
    <w:p w14:paraId="6D1FEACA">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（招标人名称）</w:t>
      </w:r>
      <w:r>
        <w:rPr>
          <w:rFonts w:hint="eastAsia" w:ascii="仿宋" w:hAnsi="仿宋" w:eastAsia="仿宋" w:cs="仿宋"/>
          <w:kern w:val="0"/>
          <w:sz w:val="24"/>
          <w:highlight w:val="none"/>
          <w:lang w:val="zh-CN"/>
        </w:rPr>
        <w:t>：</w:t>
      </w:r>
    </w:p>
    <w:p w14:paraId="39ACEA4C">
      <w:pPr>
        <w:widowControl/>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我方</w:t>
      </w:r>
      <w:r>
        <w:rPr>
          <w:rFonts w:hint="eastAsia" w:ascii="仿宋" w:hAnsi="仿宋" w:eastAsia="仿宋" w:cs="仿宋"/>
          <w:kern w:val="0"/>
          <w:sz w:val="24"/>
          <w:highlight w:val="none"/>
          <w:u w:val="single"/>
        </w:rPr>
        <w:t xml:space="preserve"> （供应商） </w:t>
      </w:r>
      <w:r>
        <w:rPr>
          <w:rFonts w:hint="eastAsia" w:ascii="仿宋" w:hAnsi="仿宋" w:eastAsia="仿宋" w:cs="仿宋"/>
          <w:kern w:val="0"/>
          <w:sz w:val="24"/>
          <w:highlight w:val="none"/>
        </w:rPr>
        <w:t>在参加本次招标活动前三年内，具有良好的商业信誉，依法缴纳税收和社会保障资金，未被列入失信被执行人名单、重大税收违法案件当事人名单、政府招标严重违法失信行为记录名单，在经营活动中没有重大违法记录（没有因违法经营受到刑事处罚，没有被责令停产停业、被吊销许可证或者执照、被处以较大数额罚款等行政处罚，没有因违法经营被禁止参加招标活动的期限未满情形）。如有虚假，交易发起人可取消我方任何资格（交易/成交/签订合同），我方对此无任何异议。</w:t>
      </w:r>
    </w:p>
    <w:p w14:paraId="10462F2C">
      <w:pPr>
        <w:widowControl/>
        <w:snapToGrid w:val="0"/>
        <w:spacing w:line="360" w:lineRule="auto"/>
        <w:ind w:firstLine="480" w:firstLineChars="200"/>
        <w:jc w:val="left"/>
        <w:rPr>
          <w:rFonts w:hint="eastAsia" w:ascii="仿宋" w:hAnsi="仿宋" w:eastAsia="仿宋" w:cs="仿宋"/>
          <w:kern w:val="0"/>
          <w:sz w:val="24"/>
          <w:highlight w:val="none"/>
        </w:rPr>
      </w:pPr>
    </w:p>
    <w:p w14:paraId="35E1B6F8">
      <w:pPr>
        <w:widowControl/>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特此声明！</w:t>
      </w:r>
    </w:p>
    <w:p w14:paraId="7991810C">
      <w:pPr>
        <w:snapToGrid w:val="0"/>
        <w:spacing w:line="360" w:lineRule="auto"/>
        <w:rPr>
          <w:rFonts w:hint="eastAsia" w:ascii="仿宋" w:hAnsi="仿宋" w:eastAsia="仿宋" w:cs="仿宋"/>
          <w:kern w:val="0"/>
          <w:sz w:val="24"/>
          <w:highlight w:val="none"/>
        </w:rPr>
      </w:pPr>
    </w:p>
    <w:p w14:paraId="24D4D34A">
      <w:pPr>
        <w:snapToGrid w:val="0"/>
        <w:spacing w:line="360" w:lineRule="auto"/>
        <w:rPr>
          <w:rFonts w:hint="eastAsia" w:ascii="仿宋" w:hAnsi="仿宋" w:eastAsia="仿宋" w:cs="仿宋"/>
          <w:kern w:val="0"/>
          <w:sz w:val="24"/>
          <w:highlight w:val="none"/>
        </w:rPr>
      </w:pPr>
    </w:p>
    <w:p w14:paraId="058B821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名称（电子签章）：</w:t>
      </w:r>
    </w:p>
    <w:p w14:paraId="49AD219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授权代表人（签字）：</w:t>
      </w:r>
    </w:p>
    <w:p w14:paraId="598D0B88">
      <w:pPr>
        <w:snapToGrid w:val="0"/>
        <w:spacing w:line="360" w:lineRule="auto"/>
        <w:ind w:firstLine="5160" w:firstLineChars="21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日</w:t>
      </w:r>
    </w:p>
    <w:p w14:paraId="120BE653">
      <w:pPr>
        <w:autoSpaceDE w:val="0"/>
        <w:autoSpaceDN w:val="0"/>
        <w:spacing w:line="360" w:lineRule="auto"/>
        <w:rPr>
          <w:rFonts w:hint="eastAsia" w:ascii="仿宋" w:hAnsi="仿宋" w:eastAsia="仿宋" w:cs="仿宋"/>
          <w:kern w:val="0"/>
          <w:sz w:val="24"/>
          <w:highlight w:val="none"/>
          <w:lang w:val="zh-CN"/>
        </w:rPr>
      </w:pPr>
    </w:p>
    <w:p w14:paraId="195C42DA">
      <w:pPr>
        <w:spacing w:line="360" w:lineRule="auto"/>
        <w:jc w:val="center"/>
        <w:outlineLvl w:val="2"/>
        <w:rPr>
          <w:rFonts w:hint="eastAsia" w:ascii="仿宋" w:hAnsi="仿宋" w:eastAsia="仿宋" w:cs="仿宋"/>
          <w:b/>
          <w:bCs/>
          <w:sz w:val="30"/>
          <w:szCs w:val="30"/>
          <w:highlight w:val="none"/>
          <w:lang w:val="zh-CN"/>
        </w:rPr>
      </w:pPr>
    </w:p>
    <w:p w14:paraId="02CBAD26">
      <w:pPr>
        <w:spacing w:line="360" w:lineRule="auto"/>
        <w:jc w:val="center"/>
        <w:outlineLvl w:val="2"/>
        <w:rPr>
          <w:rFonts w:hint="eastAsia" w:ascii="仿宋" w:hAnsi="仿宋" w:eastAsia="仿宋" w:cs="仿宋"/>
          <w:b/>
          <w:bCs/>
          <w:sz w:val="30"/>
          <w:szCs w:val="30"/>
          <w:highlight w:val="none"/>
          <w:lang w:val="zh-CN"/>
        </w:rPr>
      </w:pPr>
    </w:p>
    <w:p w14:paraId="592D8EFD">
      <w:pPr>
        <w:spacing w:line="360" w:lineRule="auto"/>
        <w:jc w:val="center"/>
        <w:outlineLvl w:val="2"/>
        <w:rPr>
          <w:rFonts w:hint="eastAsia" w:ascii="仿宋" w:hAnsi="仿宋" w:eastAsia="仿宋" w:cs="仿宋"/>
          <w:b/>
          <w:bCs/>
          <w:sz w:val="30"/>
          <w:szCs w:val="30"/>
          <w:highlight w:val="none"/>
          <w:lang w:val="zh-CN"/>
        </w:rPr>
      </w:pPr>
    </w:p>
    <w:p w14:paraId="394699F2">
      <w:pPr>
        <w:spacing w:line="360" w:lineRule="auto"/>
        <w:jc w:val="center"/>
        <w:outlineLvl w:val="2"/>
        <w:rPr>
          <w:rFonts w:hint="eastAsia" w:ascii="仿宋" w:hAnsi="仿宋" w:eastAsia="仿宋" w:cs="仿宋"/>
          <w:b/>
          <w:bCs/>
          <w:sz w:val="30"/>
          <w:szCs w:val="30"/>
          <w:highlight w:val="none"/>
          <w:lang w:val="zh-CN"/>
        </w:rPr>
      </w:pPr>
    </w:p>
    <w:p w14:paraId="2E8A4B66">
      <w:pPr>
        <w:spacing w:line="360" w:lineRule="auto"/>
        <w:jc w:val="center"/>
        <w:outlineLvl w:val="2"/>
        <w:rPr>
          <w:rFonts w:hint="eastAsia" w:ascii="仿宋" w:hAnsi="仿宋" w:eastAsia="仿宋" w:cs="仿宋"/>
          <w:b/>
          <w:bCs/>
          <w:sz w:val="30"/>
          <w:szCs w:val="30"/>
          <w:highlight w:val="none"/>
          <w:lang w:val="zh-CN"/>
        </w:rPr>
      </w:pPr>
    </w:p>
    <w:p w14:paraId="099678E2">
      <w:pPr>
        <w:spacing w:line="360" w:lineRule="auto"/>
        <w:jc w:val="center"/>
        <w:outlineLvl w:val="2"/>
        <w:rPr>
          <w:rFonts w:hint="eastAsia" w:ascii="仿宋" w:hAnsi="仿宋" w:eastAsia="仿宋" w:cs="仿宋"/>
          <w:b/>
          <w:bCs/>
          <w:sz w:val="30"/>
          <w:szCs w:val="30"/>
          <w:highlight w:val="none"/>
          <w:lang w:val="zh-CN"/>
        </w:rPr>
      </w:pPr>
    </w:p>
    <w:p w14:paraId="514E95D3">
      <w:pPr>
        <w:pStyle w:val="4"/>
        <w:numPr>
          <w:ilvl w:val="0"/>
          <w:numId w:val="0"/>
        </w:numPr>
        <w:rPr>
          <w:rFonts w:hint="eastAsia" w:ascii="仿宋" w:hAnsi="仿宋" w:eastAsia="仿宋" w:cs="仿宋"/>
          <w:highlight w:val="none"/>
          <w:lang w:val="zh-CN"/>
        </w:rPr>
      </w:pPr>
    </w:p>
    <w:p w14:paraId="21805AB3">
      <w:pPr>
        <w:spacing w:line="360" w:lineRule="auto"/>
        <w:outlineLvl w:val="2"/>
        <w:rPr>
          <w:rFonts w:hint="eastAsia" w:ascii="仿宋" w:hAnsi="仿宋" w:eastAsia="仿宋" w:cs="仿宋"/>
          <w:b/>
          <w:bCs/>
          <w:sz w:val="30"/>
          <w:szCs w:val="30"/>
          <w:highlight w:val="none"/>
          <w:lang w:val="zh-CN"/>
        </w:rPr>
      </w:pPr>
    </w:p>
    <w:p w14:paraId="0634BD1C">
      <w:pPr>
        <w:spacing w:line="360" w:lineRule="auto"/>
        <w:jc w:val="center"/>
        <w:outlineLvl w:val="2"/>
        <w:rPr>
          <w:rFonts w:hint="eastAsia" w:ascii="仿宋" w:hAnsi="仿宋" w:eastAsia="仿宋" w:cs="仿宋"/>
          <w:b/>
          <w:bCs/>
          <w:sz w:val="30"/>
          <w:szCs w:val="30"/>
          <w:highlight w:val="none"/>
          <w:lang w:val="zh-CN"/>
        </w:rPr>
      </w:pPr>
    </w:p>
    <w:p w14:paraId="1B74538F">
      <w:pPr>
        <w:spacing w:line="360" w:lineRule="auto"/>
        <w:jc w:val="center"/>
        <w:outlineLvl w:val="2"/>
        <w:rPr>
          <w:rFonts w:hint="eastAsia" w:ascii="仿宋" w:hAnsi="仿宋" w:eastAsia="仿宋" w:cs="仿宋"/>
          <w:b/>
          <w:bCs/>
          <w:sz w:val="30"/>
          <w:szCs w:val="30"/>
          <w:highlight w:val="none"/>
          <w:lang w:val="zh-CN"/>
        </w:rPr>
      </w:pPr>
    </w:p>
    <w:bookmarkEnd w:id="441"/>
    <w:sectPr>
      <w:headerReference r:id="rId19" w:type="first"/>
      <w:footerReference r:id="rId22" w:type="first"/>
      <w:headerReference r:id="rId18" w:type="default"/>
      <w:footerReference r:id="rId20" w:type="default"/>
      <w:footerReference r:id="rId21"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53E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1FE6">
    <w:pPr>
      <w:pStyle w:val="11"/>
      <w:framePr w:wrap="around" w:vAnchor="text" w:hAnchor="margin" w:xAlign="right" w:y="1"/>
      <w:rPr>
        <w:rStyle w:val="19"/>
      </w:rPr>
    </w:pPr>
    <w:r>
      <w:fldChar w:fldCharType="begin"/>
    </w:r>
    <w:r>
      <w:rPr>
        <w:rStyle w:val="19"/>
      </w:rPr>
      <w:instrText xml:space="preserve">PAGE  </w:instrText>
    </w:r>
    <w:r>
      <w:fldChar w:fldCharType="end"/>
    </w:r>
  </w:p>
  <w:p w14:paraId="44067E70">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497B">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35</w:t>
    </w:r>
    <w:r>
      <w:rPr>
        <w:rFonts w:hint="eastAsia" w:ascii="仿宋_GB2312" w:eastAsia="仿宋_GB2312"/>
        <w:kern w:val="0"/>
        <w:szCs w:val="21"/>
      </w:rPr>
      <w:fldChar w:fldCharType="end"/>
    </w:r>
    <w:bookmarkStart w:id="437" w:name="_Toc91899912"/>
    <w:bookmarkStart w:id="438" w:name="_Toc36110187"/>
    <w:bookmarkStart w:id="439" w:name="_Toc131845147"/>
    <w:bookmarkStart w:id="440" w:name="_Toc164085800"/>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2ABD">
    <w:pPr>
      <w:pStyle w:val="11"/>
      <w:framePr w:wrap="around" w:vAnchor="text" w:hAnchor="margin" w:xAlign="right" w:y="1"/>
      <w:rPr>
        <w:rStyle w:val="19"/>
      </w:rPr>
    </w:pPr>
    <w:r>
      <w:fldChar w:fldCharType="begin"/>
    </w:r>
    <w:r>
      <w:rPr>
        <w:rStyle w:val="19"/>
      </w:rPr>
      <w:instrText xml:space="preserve">PAGE  </w:instrText>
    </w:r>
    <w:r>
      <w:fldChar w:fldCharType="end"/>
    </w:r>
  </w:p>
  <w:p w14:paraId="6BF0FC2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02C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C31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527157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3F5C">
    <w:pPr>
      <w:pStyle w:val="11"/>
      <w:framePr w:wrap="around" w:vAnchor="text" w:hAnchor="margin" w:xAlign="right" w:y="1"/>
      <w:rPr>
        <w:rStyle w:val="19"/>
      </w:rPr>
    </w:pPr>
    <w:r>
      <w:fldChar w:fldCharType="begin"/>
    </w:r>
    <w:r>
      <w:rPr>
        <w:rStyle w:val="19"/>
      </w:rPr>
      <w:instrText xml:space="preserve">PAGE  </w:instrText>
    </w:r>
    <w:r>
      <w:fldChar w:fldCharType="end"/>
    </w:r>
  </w:p>
  <w:p w14:paraId="2E734415">
    <w:pPr>
      <w:pStyle w:val="11"/>
      <w:ind w:right="360"/>
    </w:pPr>
  </w:p>
  <w:p w14:paraId="1350AEC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8E1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529DE7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764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14:paraId="4235B54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C43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w:t>
    </w:r>
  </w:p>
  <w:p w14:paraId="7312D4A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F2AF">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8BCA">
    <w:pPr>
      <w:pStyle w:val="12"/>
    </w:pPr>
    <w:r>
      <w:rPr>
        <w:rFonts w:hint="eastAsia"/>
      </w:rPr>
      <w:t xml:space="preserve">                                                                             交易文件                        </w:t>
    </w:r>
    <w:r>
      <w:t xml:space="preserve">  </w:t>
    </w:r>
  </w:p>
  <w:p w14:paraId="278B3D21">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3EE2">
    <w:pPr>
      <w:pStyle w:val="12"/>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7073">
    <w:pPr>
      <w:pStyle w:val="12"/>
      <w:jc w:val="right"/>
      <w:rPr>
        <w:rFonts w:ascii="仿宋_GB2312" w:eastAsia="仿宋_GB2312"/>
        <w:b/>
        <w:i/>
        <w:u w:val="single"/>
      </w:rPr>
    </w:pPr>
    <w:r>
      <w:rPr>
        <w:rFonts w:hint="eastAsia"/>
      </w:rPr>
      <w:t xml:space="preserve">                                      交易文件                                   </w:t>
    </w:r>
  </w:p>
  <w:p w14:paraId="1D35C8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7D1B">
    <w:pPr>
      <w:pStyle w:val="12"/>
    </w:pPr>
  </w:p>
  <w:p w14:paraId="53F947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04AF">
    <w:pPr>
      <w:pStyle w:val="12"/>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90F2">
    <w:pPr>
      <w:pStyle w:val="12"/>
      <w:rPr>
        <w:rFonts w:ascii="仿宋_GB2312"/>
        <w:b/>
        <w:i/>
        <w:u w:val="single"/>
      </w:rPr>
    </w:pPr>
    <w:r>
      <w:t></w:t>
    </w:r>
    <w:r>
      <w:rPr>
        <w:rFonts w:hint="eastAsia"/>
      </w:rPr>
      <w:t xml:space="preserve">                                                  交易文件</w:t>
    </w:r>
  </w:p>
  <w:p w14:paraId="79E48A4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C2CA">
    <w:pPr>
      <w:pStyle w:val="12"/>
    </w:pPr>
    <w:r>
      <w:t></w:t>
    </w:r>
    <w:r>
      <w:rPr>
        <w:rFonts w:hint="eastAsia"/>
      </w:rPr>
      <w:t xml:space="preserve">         </w:t>
    </w:r>
  </w:p>
  <w:p w14:paraId="527039C1">
    <w:pPr>
      <w:pStyle w:val="12"/>
    </w:pPr>
    <w:r>
      <w:rPr>
        <w:rFonts w:hint="eastAsia"/>
      </w:rPr>
      <w:t xml:space="preserve">                                                                  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ED2E">
    <w:pPr>
      <w:pStyle w:val="12"/>
      <w:rPr>
        <w:rFonts w:ascii="仿宋_GB2312"/>
        <w:b/>
        <w:i/>
        <w:iCs/>
        <w:u w:val="single"/>
      </w:rPr>
    </w:pPr>
    <w:r>
      <w:rPr>
        <w:rFonts w:hint="eastAsia"/>
      </w:rPr>
      <w:t xml:space="preserve">                                                                                    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4DC3">
    <w:pPr>
      <w:pStyle w:val="12"/>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5A24D"/>
    <w:multiLevelType w:val="singleLevel"/>
    <w:tmpl w:val="F085A24D"/>
    <w:lvl w:ilvl="0" w:tentative="0">
      <w:start w:val="2"/>
      <w:numFmt w:val="decimal"/>
      <w:suff w:val="nothing"/>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6869A527"/>
    <w:multiLevelType w:val="singleLevel"/>
    <w:tmpl w:val="6869A527"/>
    <w:lvl w:ilvl="0" w:tentative="0">
      <w:start w:val="4"/>
      <w:numFmt w:val="chineseCounting"/>
      <w:suff w:val="space"/>
      <w:lvlText w:val="第%1部分"/>
      <w:lvlJc w:val="left"/>
      <w:rPr>
        <w:rFonts w:hint="eastAsia"/>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mFhMzYxYjUzOTY5YzUyNjg4ZmM0MWUzN2RiMWQifQ=="/>
  </w:docVars>
  <w:rsids>
    <w:rsidRoot w:val="1E9F7F8B"/>
    <w:rsid w:val="002C27D8"/>
    <w:rsid w:val="002D4925"/>
    <w:rsid w:val="002E6D69"/>
    <w:rsid w:val="004043EE"/>
    <w:rsid w:val="00496E3A"/>
    <w:rsid w:val="005E44B4"/>
    <w:rsid w:val="00616E2A"/>
    <w:rsid w:val="0093200F"/>
    <w:rsid w:val="00957392"/>
    <w:rsid w:val="009A5F83"/>
    <w:rsid w:val="00A4786C"/>
    <w:rsid w:val="00B053D0"/>
    <w:rsid w:val="00BA163A"/>
    <w:rsid w:val="00C40436"/>
    <w:rsid w:val="00D81501"/>
    <w:rsid w:val="00DF42C2"/>
    <w:rsid w:val="00EA0078"/>
    <w:rsid w:val="00EC47E4"/>
    <w:rsid w:val="00F32BF0"/>
    <w:rsid w:val="08F915F2"/>
    <w:rsid w:val="14350643"/>
    <w:rsid w:val="1E9F7F8B"/>
    <w:rsid w:val="268A1448"/>
    <w:rsid w:val="28A42EBB"/>
    <w:rsid w:val="37AF0123"/>
    <w:rsid w:val="60295304"/>
    <w:rsid w:val="6E6B0072"/>
    <w:rsid w:val="7FA4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sz w:val="24"/>
      <w:szCs w:val="21"/>
      <w:lang w:val="zh-CN"/>
    </w:rPr>
  </w:style>
  <w:style w:type="paragraph" w:styleId="7">
    <w:name w:val="Body Text First Indent"/>
    <w:basedOn w:val="6"/>
    <w:qFormat/>
    <w:uiPriority w:val="0"/>
    <w:pPr>
      <w:ind w:firstLine="420"/>
    </w:pPr>
    <w:rPr>
      <w:szCs w:val="20"/>
    </w:rPr>
  </w:style>
  <w:style w:type="paragraph" w:styleId="8">
    <w:name w:val="Body Text Indent"/>
    <w:basedOn w:val="1"/>
    <w:next w:val="9"/>
    <w:qFormat/>
    <w:uiPriority w:val="99"/>
    <w:pPr>
      <w:spacing w:line="480" w:lineRule="exact"/>
      <w:ind w:firstLine="480" w:firstLineChars="200"/>
    </w:pPr>
    <w:rPr>
      <w:rFonts w:ascii="宋体" w:hAnsi="宋体"/>
      <w:sz w:val="24"/>
    </w:r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8"/>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paragraph" w:customStyle="1" w:styleId="2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5">
    <w:name w:val="font41"/>
    <w:basedOn w:val="18"/>
    <w:autoRedefine/>
    <w:qFormat/>
    <w:uiPriority w:val="0"/>
    <w:rPr>
      <w:rFonts w:hint="eastAsia" w:ascii="宋体" w:hAnsi="宋体" w:eastAsia="宋体" w:cs="宋体"/>
      <w:color w:val="000000"/>
      <w:sz w:val="18"/>
      <w:szCs w:val="18"/>
      <w:u w:val="none"/>
    </w:rPr>
  </w:style>
  <w:style w:type="character" w:customStyle="1" w:styleId="26">
    <w:name w:val="font31"/>
    <w:basedOn w:val="18"/>
    <w:autoRedefine/>
    <w:qFormat/>
    <w:uiPriority w:val="0"/>
    <w:rPr>
      <w:rFonts w:hint="eastAsia" w:ascii="宋体" w:hAnsi="宋体" w:eastAsia="宋体" w:cs="宋体"/>
      <w:color w:val="000000"/>
      <w:sz w:val="21"/>
      <w:szCs w:val="21"/>
      <w:u w:val="none"/>
    </w:rPr>
  </w:style>
  <w:style w:type="character" w:customStyle="1" w:styleId="27">
    <w:name w:val="font71"/>
    <w:basedOn w:val="18"/>
    <w:autoRedefine/>
    <w:qFormat/>
    <w:uiPriority w:val="0"/>
    <w:rPr>
      <w:rFonts w:hint="eastAsia" w:ascii="宋体" w:hAnsi="宋体" w:eastAsia="宋体" w:cs="宋体"/>
      <w:b/>
      <w:bCs/>
      <w:color w:val="auto"/>
      <w:sz w:val="20"/>
      <w:szCs w:val="20"/>
      <w:u w:val="none"/>
    </w:rPr>
  </w:style>
  <w:style w:type="character" w:customStyle="1" w:styleId="28">
    <w:name w:val="font101"/>
    <w:basedOn w:val="18"/>
    <w:qFormat/>
    <w:uiPriority w:val="0"/>
    <w:rPr>
      <w:rFonts w:hint="eastAsia" w:ascii="宋体" w:hAnsi="宋体" w:eastAsia="宋体" w:cs="宋体"/>
      <w:color w:val="000000"/>
      <w:sz w:val="18"/>
      <w:szCs w:val="18"/>
      <w:u w:val="none"/>
      <w:vertAlign w:val="superscript"/>
    </w:rPr>
  </w:style>
  <w:style w:type="character" w:customStyle="1" w:styleId="29">
    <w:name w:val="font51"/>
    <w:basedOn w:val="18"/>
    <w:autoRedefine/>
    <w:qFormat/>
    <w:uiPriority w:val="0"/>
    <w:rPr>
      <w:rFonts w:hint="eastAsia" w:ascii="宋体" w:hAnsi="宋体" w:eastAsia="宋体" w:cs="宋体"/>
      <w:color w:val="auto"/>
      <w:sz w:val="24"/>
      <w:szCs w:val="24"/>
      <w:u w:val="none"/>
    </w:rPr>
  </w:style>
  <w:style w:type="paragraph" w:customStyle="1" w:styleId="30">
    <w:name w:val="Default"/>
    <w:next w:val="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2">
    <w:name w:val="List Paragraph"/>
    <w:basedOn w:val="1"/>
    <w:qFormat/>
    <w:uiPriority w:val="34"/>
    <w:pPr>
      <w:spacing w:line="360" w:lineRule="auto"/>
      <w:ind w:firstLine="200" w:firstLineChars="200"/>
    </w:pPr>
    <w:rPr>
      <w:rFonts w:eastAsia="楷体_GB2312" w:cs="Lucida Sans"/>
      <w:sz w:val="24"/>
    </w:r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纯文本1"/>
    <w:basedOn w:val="1"/>
    <w:autoRedefine/>
    <w:qFormat/>
    <w:uiPriority w:val="0"/>
    <w:pPr>
      <w:adjustRightInd/>
    </w:pPr>
    <w:rPr>
      <w:rFonts w:ascii="宋体" w:hAnsi="Courier New"/>
      <w:kern w:val="0"/>
      <w:sz w:val="20"/>
      <w:szCs w:val="20"/>
    </w:rPr>
  </w:style>
  <w:style w:type="paragraph" w:customStyle="1" w:styleId="35">
    <w:name w:val="纯文本_0_0"/>
    <w:basedOn w:val="36"/>
    <w:autoRedefine/>
    <w:qFormat/>
    <w:uiPriority w:val="0"/>
    <w:rPr>
      <w:rFonts w:ascii="宋体" w:hAnsi="Courier New"/>
      <w:szCs w:val="21"/>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81"/>
    <w:basedOn w:val="18"/>
    <w:qFormat/>
    <w:uiPriority w:val="0"/>
    <w:rPr>
      <w:rFonts w:hint="default" w:ascii="Times New Roman" w:hAnsi="Times New Roman" w:cs="Times New Roman"/>
      <w:color w:val="000000"/>
      <w:sz w:val="20"/>
      <w:szCs w:val="20"/>
      <w:u w:val="none"/>
    </w:rPr>
  </w:style>
  <w:style w:type="character" w:customStyle="1" w:styleId="38">
    <w:name w:val="font61"/>
    <w:basedOn w:val="18"/>
    <w:qFormat/>
    <w:uiPriority w:val="0"/>
    <w:rPr>
      <w:rFonts w:hint="eastAsia" w:ascii="宋体" w:hAnsi="宋体" w:eastAsia="宋体" w:cs="宋体"/>
      <w:color w:val="000000"/>
      <w:sz w:val="18"/>
      <w:szCs w:val="18"/>
      <w:u w:val="none"/>
    </w:rPr>
  </w:style>
  <w:style w:type="character" w:customStyle="1" w:styleId="39">
    <w:name w:val="font181"/>
    <w:basedOn w:val="18"/>
    <w:qFormat/>
    <w:uiPriority w:val="0"/>
    <w:rPr>
      <w:rFonts w:hint="eastAsia" w:ascii="宋体" w:hAnsi="宋体" w:eastAsia="宋体" w:cs="宋体"/>
      <w:color w:val="000000"/>
      <w:sz w:val="18"/>
      <w:szCs w:val="18"/>
      <w:u w:val="none"/>
      <w:vertAlign w:val="superscript"/>
    </w:rPr>
  </w:style>
  <w:style w:type="character" w:customStyle="1" w:styleId="40">
    <w:name w:val="font151"/>
    <w:basedOn w:val="1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39</Pages>
  <Words>15843</Words>
  <Characters>16746</Characters>
  <Lines>149</Lines>
  <Paragraphs>42</Paragraphs>
  <TotalTime>17</TotalTime>
  <ScaleCrop>false</ScaleCrop>
  <LinksUpToDate>false</LinksUpToDate>
  <CharactersWithSpaces>17076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2024-12-03T06:14:00Z</dcterms:created>
  <dc:creator>w</dc:creator>
  <cp:lastModifiedBy>w</cp:lastModifiedBy>
  <dcterms:modified xsi:type="dcterms:W3CDTF">2024-12-04T02:07:27Z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149E35FC82204F1DBBA08C337820630A_13</vt:lpwstr>
  </property>
</Properties>
</file>