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3791">
      <w:pPr>
        <w:keepNext w:val="0"/>
        <w:keepLines w:val="0"/>
        <w:pageBreakBefore w:val="0"/>
        <w:widowControl w:val="0"/>
        <w:kinsoku/>
        <w:wordWrap/>
        <w:overflowPunct/>
        <w:topLinePunct w:val="0"/>
        <w:autoSpaceDE/>
        <w:autoSpaceDN/>
        <w:bidi w:val="0"/>
        <w:adjustRightInd w:val="0"/>
        <w:snapToGrid/>
        <w:spacing w:before="156" w:beforeLines="50" w:line="700" w:lineRule="exact"/>
        <w:jc w:val="center"/>
        <w:textAlignment w:val="auto"/>
        <w:outlineLvl w:val="9"/>
        <w:rPr>
          <w:rFonts w:hint="eastAsia" w:ascii="宋体" w:hAnsi="宋体" w:eastAsia="宋体" w:cs="宋体"/>
          <w:b/>
          <w:bCs/>
          <w:color w:val="auto"/>
          <w:sz w:val="36"/>
          <w:szCs w:val="36"/>
          <w:highlight w:val="none"/>
          <w:lang w:eastAsia="zh-CN"/>
        </w:rPr>
      </w:pPr>
      <w:bookmarkStart w:id="0" w:name="_Toc7681"/>
    </w:p>
    <w:bookmarkEnd w:id="0"/>
    <w:p w14:paraId="710C088F">
      <w:pPr>
        <w:keepNext w:val="0"/>
        <w:keepLines w:val="0"/>
        <w:pageBreakBefore w:val="0"/>
        <w:widowControl w:val="0"/>
        <w:shd w:val="clear"/>
        <w:kinsoku/>
        <w:wordWrap/>
        <w:overflowPunct/>
        <w:topLinePunct w:val="0"/>
        <w:autoSpaceDE/>
        <w:autoSpaceDN/>
        <w:bidi w:val="0"/>
        <w:adjustRightInd w:val="0"/>
        <w:snapToGrid/>
        <w:spacing w:before="156" w:beforeLines="50" w:line="700" w:lineRule="exact"/>
        <w:jc w:val="center"/>
        <w:textAlignment w:val="auto"/>
        <w:outlineLvl w:val="0"/>
        <w:rPr>
          <w:rFonts w:hint="eastAsia" w:ascii="宋体" w:hAnsi="宋体" w:eastAsia="宋体" w:cs="宋体"/>
          <w:b/>
          <w:bCs/>
          <w:color w:val="auto"/>
          <w:sz w:val="36"/>
          <w:szCs w:val="36"/>
          <w:highlight w:val="none"/>
        </w:rPr>
      </w:pPr>
      <w:r>
        <w:rPr>
          <w:rFonts w:hint="eastAsia" w:ascii="宋体" w:hAnsi="宋体" w:cs="宋体"/>
          <w:b/>
          <w:bCs/>
          <w:color w:val="auto"/>
          <w:sz w:val="40"/>
          <w:szCs w:val="40"/>
          <w:highlight w:val="none"/>
          <w:lang w:eastAsia="zh-CN"/>
        </w:rPr>
        <w:t>嵊州小吃（越秀路)旗舰店项目—厨房设备采购</w:t>
      </w:r>
      <w:r>
        <w:rPr>
          <w:rFonts w:hint="eastAsia" w:ascii="宋体" w:hAnsi="宋体" w:eastAsia="宋体" w:cs="宋体"/>
          <w:b/>
          <w:bCs/>
          <w:color w:val="auto"/>
          <w:sz w:val="36"/>
          <w:szCs w:val="36"/>
          <w:highlight w:val="none"/>
        </w:rPr>
        <w:t xml:space="preserve"> </w:t>
      </w:r>
    </w:p>
    <w:p w14:paraId="580FBAD6">
      <w:pPr>
        <w:shd w:val="clear"/>
        <w:spacing w:before="156" w:beforeLines="50" w:line="360" w:lineRule="auto"/>
        <w:jc w:val="center"/>
        <w:outlineLvl w:val="0"/>
        <w:rPr>
          <w:rFonts w:hint="eastAsia" w:ascii="宋体" w:hAnsi="宋体" w:eastAsia="宋体" w:cs="宋体"/>
          <w:b/>
          <w:bCs/>
          <w:color w:val="auto"/>
          <w:sz w:val="28"/>
          <w:szCs w:val="28"/>
          <w:highlight w:val="none"/>
        </w:rPr>
      </w:pPr>
      <w:bookmarkStart w:id="1" w:name="_Toc9354"/>
      <w:bookmarkStart w:id="2" w:name="_Toc28453"/>
      <w:r>
        <w:rPr>
          <w:rFonts w:hint="eastAsia" w:ascii="宋体" w:hAnsi="宋体" w:eastAsia="宋体" w:cs="宋体"/>
          <w:b/>
          <w:bCs/>
          <w:color w:val="auto"/>
          <w:sz w:val="28"/>
          <w:szCs w:val="28"/>
          <w:highlight w:val="none"/>
          <w:lang w:val="en-US" w:eastAsia="zh-CN"/>
        </w:rPr>
        <w:t>（项目编号：</w:t>
      </w:r>
      <w:r>
        <w:rPr>
          <w:rFonts w:hint="eastAsia" w:ascii="宋体" w:hAnsi="宋体" w:cs="宋体"/>
          <w:b/>
          <w:bCs/>
          <w:color w:val="auto"/>
          <w:sz w:val="28"/>
          <w:szCs w:val="28"/>
          <w:highlight w:val="none"/>
          <w:lang w:eastAsia="zh-CN"/>
        </w:rPr>
        <w:t>ZJSFDC-SZ2024N54</w:t>
      </w:r>
      <w:r>
        <w:rPr>
          <w:rFonts w:hint="eastAsia" w:ascii="宋体" w:hAnsi="宋体" w:eastAsia="宋体" w:cs="宋体"/>
          <w:b/>
          <w:bCs/>
          <w:color w:val="auto"/>
          <w:sz w:val="28"/>
          <w:szCs w:val="28"/>
          <w:highlight w:val="none"/>
          <w:lang w:eastAsia="zh-CN"/>
        </w:rPr>
        <w:t>）</w:t>
      </w:r>
      <w:bookmarkEnd w:id="1"/>
      <w:bookmarkEnd w:id="2"/>
    </w:p>
    <w:p w14:paraId="65F32D9E">
      <w:pPr>
        <w:pStyle w:val="26"/>
        <w:shd w:val="clear"/>
        <w:rPr>
          <w:rFonts w:hint="eastAsia" w:ascii="宋体" w:hAnsi="宋体" w:eastAsia="宋体" w:cs="宋体"/>
          <w:b/>
          <w:bCs/>
          <w:color w:val="auto"/>
          <w:highlight w:val="none"/>
        </w:rPr>
      </w:pPr>
    </w:p>
    <w:p w14:paraId="645A34BC">
      <w:pPr>
        <w:pStyle w:val="18"/>
        <w:shd w:val="clear"/>
        <w:rPr>
          <w:rFonts w:hint="eastAsia" w:ascii="宋体" w:hAnsi="宋体" w:eastAsia="宋体" w:cs="宋体"/>
          <w:color w:val="auto"/>
          <w:highlight w:val="none"/>
        </w:rPr>
      </w:pPr>
    </w:p>
    <w:p w14:paraId="3E05DE75">
      <w:pPr>
        <w:pStyle w:val="18"/>
        <w:shd w:val="clear"/>
        <w:rPr>
          <w:rFonts w:hint="eastAsia" w:ascii="宋体" w:hAnsi="宋体" w:eastAsia="宋体" w:cs="宋体"/>
          <w:color w:val="auto"/>
          <w:highlight w:val="none"/>
        </w:rPr>
      </w:pPr>
    </w:p>
    <w:p w14:paraId="4572BC6A">
      <w:pPr>
        <w:pStyle w:val="18"/>
        <w:shd w:val="clear"/>
        <w:rPr>
          <w:rFonts w:hint="eastAsia" w:ascii="宋体" w:hAnsi="宋体" w:eastAsia="宋体" w:cs="宋体"/>
          <w:color w:val="auto"/>
          <w:highlight w:val="none"/>
        </w:rPr>
      </w:pPr>
    </w:p>
    <w:p w14:paraId="79E32158">
      <w:pPr>
        <w:pStyle w:val="18"/>
        <w:shd w:val="clear"/>
        <w:rPr>
          <w:rFonts w:hint="eastAsia" w:ascii="宋体" w:hAnsi="宋体" w:eastAsia="宋体" w:cs="宋体"/>
          <w:color w:val="auto"/>
          <w:highlight w:val="none"/>
        </w:rPr>
      </w:pPr>
    </w:p>
    <w:p w14:paraId="7011074E">
      <w:pPr>
        <w:shd w:val="clear"/>
        <w:spacing w:before="156" w:beforeLines="50" w:line="360" w:lineRule="auto"/>
        <w:jc w:val="center"/>
        <w:outlineLvl w:val="0"/>
        <w:rPr>
          <w:rFonts w:hint="eastAsia" w:ascii="宋体" w:hAnsi="宋体" w:eastAsia="宋体" w:cs="宋体"/>
          <w:color w:val="auto"/>
          <w:sz w:val="30"/>
          <w:szCs w:val="30"/>
          <w:highlight w:val="none"/>
        </w:rPr>
      </w:pPr>
      <w:bookmarkStart w:id="3" w:name="_Toc32674"/>
      <w:bookmarkStart w:id="4" w:name="_Toc17047"/>
      <w:r>
        <w:rPr>
          <w:rFonts w:hint="eastAsia" w:ascii="宋体" w:hAnsi="宋体" w:eastAsia="宋体" w:cs="宋体"/>
          <w:color w:val="auto"/>
          <w:sz w:val="56"/>
          <w:szCs w:val="56"/>
          <w:highlight w:val="none"/>
          <w:lang w:val="en-US" w:eastAsia="zh-CN"/>
        </w:rPr>
        <w:t>公开</w:t>
      </w:r>
      <w:r>
        <w:rPr>
          <w:rFonts w:hint="eastAsia" w:ascii="宋体" w:hAnsi="宋体" w:eastAsia="宋体" w:cs="宋体"/>
          <w:color w:val="auto"/>
          <w:sz w:val="56"/>
          <w:szCs w:val="56"/>
          <w:highlight w:val="none"/>
        </w:rPr>
        <w:t>招标文件</w:t>
      </w:r>
      <w:bookmarkEnd w:id="3"/>
      <w:bookmarkEnd w:id="4"/>
    </w:p>
    <w:p w14:paraId="69623AF0">
      <w:pPr>
        <w:pStyle w:val="15"/>
        <w:snapToGrid w:val="0"/>
        <w:spacing w:before="156" w:after="156" w:line="360" w:lineRule="auto"/>
        <w:jc w:val="center"/>
        <w:outlineLvl w:val="0"/>
        <w:rPr>
          <w:rFonts w:hint="eastAsia" w:ascii="宋体" w:hAnsi="宋体" w:eastAsia="宋体" w:cs="宋体"/>
          <w:b/>
          <w:bCs/>
          <w:color w:val="auto"/>
          <w:sz w:val="32"/>
          <w:szCs w:val="32"/>
          <w:highlight w:val="none"/>
          <w:lang w:eastAsia="zh-CN"/>
        </w:rPr>
      </w:pPr>
      <w:bookmarkStart w:id="5" w:name="_Toc4021"/>
      <w:bookmarkStart w:id="6" w:name="_Toc25846"/>
      <w:r>
        <w:rPr>
          <w:rFonts w:hint="eastAsia" w:ascii="宋体" w:hAnsi="宋体" w:eastAsia="宋体" w:cs="宋体"/>
          <w:b/>
          <w:bCs/>
          <w:color w:val="auto"/>
          <w:sz w:val="32"/>
          <w:szCs w:val="32"/>
          <w:highlight w:val="none"/>
          <w:lang w:eastAsia="zh-CN"/>
        </w:rPr>
        <w:t>（</w:t>
      </w:r>
      <w:r>
        <w:rPr>
          <w:rFonts w:hint="eastAsia" w:hAnsi="宋体" w:cs="宋体"/>
          <w:b/>
          <w:bCs/>
          <w:color w:val="auto"/>
          <w:sz w:val="32"/>
          <w:szCs w:val="32"/>
          <w:highlight w:val="none"/>
          <w:shd w:val="clear"/>
          <w:lang w:val="en-US" w:eastAsia="zh-CN"/>
        </w:rPr>
        <w:t>国企采购</w:t>
      </w:r>
      <w:r>
        <w:rPr>
          <w:rFonts w:hint="eastAsia" w:hAnsi="宋体" w:cs="宋体"/>
          <w:b/>
          <w:bCs/>
          <w:color w:val="auto"/>
          <w:sz w:val="32"/>
          <w:szCs w:val="32"/>
          <w:highlight w:val="none"/>
          <w:lang w:val="en-US" w:eastAsia="zh-CN"/>
        </w:rPr>
        <w:t>项目</w:t>
      </w:r>
      <w:r>
        <w:rPr>
          <w:rFonts w:hint="eastAsia" w:ascii="宋体" w:hAnsi="宋体" w:eastAsia="宋体" w:cs="宋体"/>
          <w:b/>
          <w:bCs/>
          <w:color w:val="auto"/>
          <w:sz w:val="32"/>
          <w:szCs w:val="32"/>
          <w:highlight w:val="none"/>
          <w:lang w:val="en-US" w:eastAsia="zh-CN"/>
        </w:rPr>
        <w:t>电子标</w:t>
      </w:r>
      <w:r>
        <w:rPr>
          <w:rFonts w:hint="eastAsia" w:ascii="宋体" w:hAnsi="宋体" w:eastAsia="宋体" w:cs="宋体"/>
          <w:b/>
          <w:bCs/>
          <w:color w:val="auto"/>
          <w:sz w:val="32"/>
          <w:szCs w:val="32"/>
          <w:highlight w:val="none"/>
          <w:lang w:eastAsia="zh-CN"/>
        </w:rPr>
        <w:t>）</w:t>
      </w:r>
      <w:bookmarkEnd w:id="5"/>
      <w:bookmarkEnd w:id="6"/>
    </w:p>
    <w:p w14:paraId="327CEF60">
      <w:pPr>
        <w:pStyle w:val="15"/>
        <w:snapToGrid w:val="0"/>
        <w:spacing w:before="156" w:after="156" w:line="360" w:lineRule="auto"/>
        <w:ind w:firstLine="1343" w:firstLineChars="44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w:t>
      </w:r>
    </w:p>
    <w:p w14:paraId="455B242B">
      <w:pPr>
        <w:keepNext w:val="0"/>
        <w:keepLines w:val="0"/>
        <w:pageBreakBefore w:val="0"/>
        <w:widowControl w:val="0"/>
        <w:kinsoku/>
        <w:wordWrap/>
        <w:overflowPunct/>
        <w:topLinePunct w:val="0"/>
        <w:autoSpaceDN/>
        <w:bidi w:val="0"/>
        <w:adjustRightInd/>
        <w:spacing w:before="156" w:beforeLines="50" w:line="700" w:lineRule="exact"/>
        <w:jc w:val="both"/>
        <w:textAlignment w:val="auto"/>
        <w:rPr>
          <w:rFonts w:hint="eastAsia" w:ascii="宋体" w:hAnsi="宋体" w:eastAsia="宋体" w:cs="宋体"/>
          <w:b/>
          <w:bCs/>
          <w:color w:val="auto"/>
          <w:sz w:val="30"/>
          <w:szCs w:val="30"/>
          <w:highlight w:val="none"/>
          <w:u w:val="none"/>
        </w:rPr>
      </w:pPr>
    </w:p>
    <w:p w14:paraId="1042AC63">
      <w:pPr>
        <w:pStyle w:val="4"/>
        <w:jc w:val="both"/>
        <w:outlineLvl w:val="9"/>
        <w:rPr>
          <w:rFonts w:hint="eastAsia" w:ascii="宋体" w:hAnsi="宋体" w:eastAsia="宋体" w:cs="宋体"/>
          <w:color w:val="auto"/>
          <w:highlight w:val="none"/>
        </w:rPr>
      </w:pPr>
    </w:p>
    <w:p w14:paraId="39F8FBE4">
      <w:pPr>
        <w:keepNext w:val="0"/>
        <w:keepLines w:val="0"/>
        <w:pageBreakBefore w:val="0"/>
        <w:widowControl w:val="0"/>
        <w:kinsoku/>
        <w:wordWrap/>
        <w:overflowPunct/>
        <w:topLinePunct w:val="0"/>
        <w:autoSpaceDN/>
        <w:bidi w:val="0"/>
        <w:adjustRightInd/>
        <w:spacing w:before="156" w:beforeLines="50" w:line="600" w:lineRule="exact"/>
        <w:ind w:firstLine="643" w:firstLineChars="200"/>
        <w:jc w:val="both"/>
        <w:textAlignment w:val="auto"/>
        <w:outlineLvl w:val="9"/>
        <w:rPr>
          <w:rFonts w:hint="eastAsia" w:ascii="宋体" w:hAnsi="宋体" w:eastAsia="宋体" w:cs="宋体"/>
          <w:b/>
          <w:bCs/>
          <w:color w:val="auto"/>
          <w:sz w:val="32"/>
          <w:szCs w:val="32"/>
          <w:highlight w:val="none"/>
          <w:u w:val="none"/>
        </w:rPr>
      </w:pPr>
      <w:bookmarkStart w:id="7" w:name="_Toc18705"/>
    </w:p>
    <w:p w14:paraId="3D16FE4A">
      <w:pPr>
        <w:keepNext w:val="0"/>
        <w:keepLines w:val="0"/>
        <w:pageBreakBefore w:val="0"/>
        <w:widowControl w:val="0"/>
        <w:kinsoku/>
        <w:wordWrap/>
        <w:overflowPunct/>
        <w:topLinePunct w:val="0"/>
        <w:autoSpaceDN/>
        <w:bidi w:val="0"/>
        <w:adjustRightInd/>
        <w:spacing w:before="156" w:beforeLines="50" w:line="700" w:lineRule="exact"/>
        <w:ind w:firstLine="1285" w:firstLineChars="400"/>
        <w:jc w:val="both"/>
        <w:textAlignment w:val="auto"/>
        <w:outlineLvl w:val="0"/>
        <w:rPr>
          <w:rFonts w:hint="eastAsia" w:ascii="宋体" w:hAnsi="宋体" w:eastAsia="宋体" w:cs="宋体"/>
          <w:b/>
          <w:bCs/>
          <w:color w:val="auto"/>
          <w:sz w:val="32"/>
          <w:szCs w:val="32"/>
          <w:highlight w:val="none"/>
          <w:u w:val="none"/>
          <w:lang w:val="en-US" w:eastAsia="zh-CN"/>
        </w:rPr>
      </w:pPr>
      <w:bookmarkStart w:id="8" w:name="_Toc6700"/>
      <w:r>
        <w:rPr>
          <w:rFonts w:hint="eastAsia" w:ascii="宋体" w:hAnsi="宋体" w:eastAsia="宋体" w:cs="宋体"/>
          <w:b/>
          <w:bCs/>
          <w:color w:val="auto"/>
          <w:sz w:val="32"/>
          <w:szCs w:val="32"/>
          <w:highlight w:val="none"/>
          <w:u w:val="none"/>
        </w:rPr>
        <w:t>采</w:t>
      </w: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rPr>
        <w:t>购</w:t>
      </w: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rPr>
        <w:t>单</w:t>
      </w: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rPr>
        <w:t>位：</w:t>
      </w:r>
      <w:bookmarkEnd w:id="7"/>
      <w:bookmarkEnd w:id="8"/>
      <w:r>
        <w:rPr>
          <w:rFonts w:hint="eastAsia" w:ascii="宋体" w:hAnsi="宋体" w:cs="宋体"/>
          <w:b/>
          <w:bCs/>
          <w:color w:val="auto"/>
          <w:sz w:val="32"/>
          <w:szCs w:val="32"/>
          <w:highlight w:val="none"/>
          <w:u w:val="none"/>
          <w:lang w:val="en-US" w:eastAsia="zh-CN"/>
        </w:rPr>
        <w:t>嵊州市商业发展集团有限公司</w:t>
      </w:r>
    </w:p>
    <w:p w14:paraId="1C4729C2">
      <w:pPr>
        <w:keepNext w:val="0"/>
        <w:keepLines w:val="0"/>
        <w:pageBreakBefore w:val="0"/>
        <w:widowControl w:val="0"/>
        <w:kinsoku/>
        <w:wordWrap/>
        <w:overflowPunct/>
        <w:topLinePunct w:val="0"/>
        <w:autoSpaceDN/>
        <w:bidi w:val="0"/>
        <w:adjustRightInd/>
        <w:spacing w:before="156" w:beforeLines="50" w:line="700" w:lineRule="exact"/>
        <w:ind w:firstLine="1285" w:firstLineChars="400"/>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u w:val="none"/>
          <w:lang w:val="en-US" w:eastAsia="zh-CN"/>
        </w:rPr>
        <w:t>采购</w:t>
      </w:r>
      <w:r>
        <w:rPr>
          <w:rFonts w:hint="eastAsia" w:ascii="宋体" w:hAnsi="宋体" w:eastAsia="宋体" w:cs="宋体"/>
          <w:b/>
          <w:bCs/>
          <w:color w:val="auto"/>
          <w:sz w:val="32"/>
          <w:szCs w:val="32"/>
          <w:highlight w:val="none"/>
          <w:u w:val="none"/>
        </w:rPr>
        <w:t>代理机构：</w:t>
      </w:r>
      <w:r>
        <w:rPr>
          <w:rFonts w:hint="eastAsia" w:ascii="宋体" w:hAnsi="宋体" w:cs="宋体"/>
          <w:b/>
          <w:bCs/>
          <w:color w:val="auto"/>
          <w:sz w:val="32"/>
          <w:szCs w:val="32"/>
          <w:highlight w:val="none"/>
          <w:u w:val="none"/>
          <w:lang w:eastAsia="zh-CN"/>
        </w:rPr>
        <w:t>浙江省房地产管理咨询有限公司</w:t>
      </w:r>
      <w:r>
        <w:rPr>
          <w:rFonts w:hint="eastAsia" w:ascii="宋体" w:hAnsi="宋体" w:eastAsia="宋体" w:cs="宋体"/>
          <w:b/>
          <w:bCs/>
          <w:color w:val="auto"/>
          <w:sz w:val="32"/>
          <w:szCs w:val="32"/>
          <w:highlight w:val="none"/>
          <w:u w:val="none"/>
        </w:rPr>
        <w:t xml:space="preserve"> </w:t>
      </w:r>
    </w:p>
    <w:p w14:paraId="086C4AB7">
      <w:pPr>
        <w:keepNext w:val="0"/>
        <w:keepLines w:val="0"/>
        <w:pageBreakBefore w:val="0"/>
        <w:widowControl w:val="0"/>
        <w:kinsoku/>
        <w:wordWrap/>
        <w:overflowPunct/>
        <w:topLinePunct w:val="0"/>
        <w:autoSpaceDE w:val="0"/>
        <w:autoSpaceDN/>
        <w:bidi w:val="0"/>
        <w:adjustRightInd/>
        <w:snapToGrid w:val="0"/>
        <w:spacing w:line="700" w:lineRule="exact"/>
        <w:ind w:firstLine="1285" w:firstLineChars="400"/>
        <w:jc w:val="both"/>
        <w:textAlignment w:val="auto"/>
        <w:outlineLvl w:val="0"/>
        <w:rPr>
          <w:rFonts w:hint="eastAsia" w:ascii="宋体" w:hAnsi="宋体" w:eastAsia="宋体" w:cs="宋体"/>
          <w:b/>
          <w:bCs/>
          <w:color w:val="auto"/>
          <w:sz w:val="32"/>
          <w:szCs w:val="32"/>
          <w:highlight w:val="none"/>
        </w:rPr>
      </w:pPr>
      <w:bookmarkStart w:id="9" w:name="_Toc14505"/>
      <w:bookmarkStart w:id="10" w:name="_Toc3262"/>
      <w:r>
        <w:rPr>
          <w:rFonts w:hint="eastAsia" w:ascii="宋体" w:hAnsi="宋体" w:eastAsia="宋体" w:cs="宋体"/>
          <w:b/>
          <w:bCs/>
          <w:color w:val="auto"/>
          <w:sz w:val="32"/>
          <w:szCs w:val="32"/>
          <w:highlight w:val="none"/>
          <w:lang w:val="en-US" w:eastAsia="zh-CN"/>
        </w:rPr>
        <w:t>日        期：</w:t>
      </w:r>
      <w:r>
        <w:rPr>
          <w:rFonts w:hint="eastAsia" w:ascii="宋体" w:hAnsi="宋体" w:cs="宋体"/>
          <w:b/>
          <w:bCs/>
          <w:color w:val="auto"/>
          <w:sz w:val="32"/>
          <w:szCs w:val="32"/>
          <w:highlight w:val="none"/>
          <w:lang w:eastAsia="zh-CN"/>
        </w:rPr>
        <w:t>2024</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月</w:t>
      </w:r>
      <w:bookmarkEnd w:id="9"/>
      <w:bookmarkEnd w:id="10"/>
      <w:r>
        <w:rPr>
          <w:rFonts w:hint="eastAsia" w:ascii="宋体" w:hAnsi="宋体" w:eastAsia="宋体" w:cs="宋体"/>
          <w:b/>
          <w:bCs/>
          <w:color w:val="auto"/>
          <w:sz w:val="32"/>
          <w:szCs w:val="32"/>
          <w:highlight w:val="none"/>
        </w:rPr>
        <w:t xml:space="preserve"> </w:t>
      </w:r>
    </w:p>
    <w:p w14:paraId="553473AC">
      <w:pPr>
        <w:rPr>
          <w:color w:val="auto"/>
          <w:highlight w:val="none"/>
        </w:rPr>
      </w:pPr>
    </w:p>
    <w:p w14:paraId="2F674EF1">
      <w:pPr>
        <w:pStyle w:val="4"/>
        <w:outlineLvl w:val="9"/>
        <w:rPr>
          <w:color w:val="auto"/>
          <w:highlight w:val="none"/>
        </w:rPr>
      </w:pPr>
    </w:p>
    <w:p w14:paraId="48F7FC1C">
      <w:pPr>
        <w:adjustRightInd/>
        <w:spacing w:line="360" w:lineRule="auto"/>
        <w:jc w:val="center"/>
        <w:outlineLvl w:val="9"/>
        <w:rPr>
          <w:rFonts w:hint="eastAsia" w:ascii="宋体" w:hAnsi="宋体" w:eastAsia="宋体" w:cs="宋体"/>
          <w:b/>
          <w:color w:val="auto"/>
          <w:sz w:val="32"/>
          <w:szCs w:val="32"/>
          <w:highlight w:val="none"/>
        </w:rPr>
      </w:pPr>
    </w:p>
    <w:p w14:paraId="4A9BA8EA">
      <w:pPr>
        <w:spacing w:before="0" w:beforeLines="0" w:after="0" w:afterLines="0" w:line="240" w:lineRule="auto"/>
        <w:ind w:left="0" w:leftChars="0" w:right="0" w:rightChars="0" w:firstLine="0" w:firstLineChars="0"/>
        <w:jc w:val="center"/>
        <w:rPr>
          <w:rFonts w:ascii="宋体" w:hAnsi="宋体" w:eastAsia="宋体"/>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p>
    <w:p w14:paraId="7BA19B68">
      <w:pPr>
        <w:spacing w:before="0" w:beforeLines="0" w:after="0" w:afterLines="0" w:line="240" w:lineRule="auto"/>
        <w:ind w:left="0" w:leftChars="0" w:right="0" w:rightChars="0" w:firstLine="0" w:firstLineChars="0"/>
        <w:jc w:val="center"/>
        <w:rPr>
          <w:b/>
          <w:bCs/>
          <w:color w:val="auto"/>
          <w:sz w:val="32"/>
          <w:szCs w:val="32"/>
          <w:highlight w:val="none"/>
        </w:rPr>
      </w:pPr>
      <w:r>
        <w:rPr>
          <w:rFonts w:ascii="宋体" w:hAnsi="宋体" w:eastAsia="宋体"/>
          <w:b/>
          <w:bCs/>
          <w:color w:val="auto"/>
          <w:sz w:val="32"/>
          <w:szCs w:val="32"/>
          <w:highlight w:val="none"/>
        </w:rPr>
        <w:t>目</w:t>
      </w:r>
      <w:r>
        <w:rPr>
          <w:rFonts w:hint="eastAsia" w:ascii="宋体" w:hAnsi="宋体"/>
          <w:b/>
          <w:bCs/>
          <w:color w:val="auto"/>
          <w:sz w:val="32"/>
          <w:szCs w:val="32"/>
          <w:highlight w:val="none"/>
          <w:lang w:val="en-US" w:eastAsia="zh-CN"/>
        </w:rPr>
        <w:t xml:space="preserve">  </w:t>
      </w:r>
      <w:r>
        <w:rPr>
          <w:rFonts w:ascii="宋体" w:hAnsi="宋体" w:eastAsia="宋体"/>
          <w:b/>
          <w:bCs/>
          <w:color w:val="auto"/>
          <w:sz w:val="32"/>
          <w:szCs w:val="32"/>
          <w:highlight w:val="none"/>
        </w:rPr>
        <w:t>录</w:t>
      </w:r>
    </w:p>
    <w:p w14:paraId="6DCEE570">
      <w:pPr>
        <w:pStyle w:val="46"/>
        <w:tabs>
          <w:tab w:val="right" w:leader="dot" w:pos="9070"/>
        </w:tabs>
        <w:rPr>
          <w:color w:val="auto"/>
          <w:highlight w:val="none"/>
        </w:rPr>
      </w:pPr>
      <w:r>
        <w:rPr>
          <w:rFonts w:hint="eastAsia" w:ascii="宋体" w:hAnsi="宋体" w:eastAsia="宋体" w:cs="宋体"/>
          <w:b/>
          <w:color w:val="auto"/>
          <w:sz w:val="32"/>
          <w:szCs w:val="32"/>
          <w:highlight w:val="none"/>
        </w:rPr>
        <w:fldChar w:fldCharType="begin"/>
      </w:r>
      <w:r>
        <w:rPr>
          <w:rFonts w:hint="eastAsia" w:ascii="宋体" w:hAnsi="宋体" w:eastAsia="宋体" w:cs="宋体"/>
          <w:b/>
          <w:color w:val="auto"/>
          <w:sz w:val="32"/>
          <w:szCs w:val="32"/>
          <w:highlight w:val="none"/>
        </w:rPr>
        <w:instrText xml:space="preserve">TOC \o "1-1" \h \u </w:instrText>
      </w:r>
      <w:r>
        <w:rPr>
          <w:rFonts w:hint="eastAsia" w:ascii="宋体" w:hAnsi="宋体" w:eastAsia="宋体" w:cs="宋体"/>
          <w:b/>
          <w:color w:val="auto"/>
          <w:sz w:val="32"/>
          <w:szCs w:val="32"/>
          <w:highlight w:val="none"/>
        </w:rPr>
        <w:fldChar w:fldCharType="separate"/>
      </w:r>
    </w:p>
    <w:p w14:paraId="4B764CEB">
      <w:pPr>
        <w:pStyle w:val="46"/>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_Toc2260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eastAsia="zh-CN"/>
        </w:rPr>
        <w:t>采购</w:t>
      </w:r>
      <w:r>
        <w:rPr>
          <w:rFonts w:hint="eastAsia" w:ascii="宋体" w:hAnsi="宋体" w:eastAsia="宋体" w:cs="宋体"/>
          <w:color w:val="auto"/>
          <w:sz w:val="30"/>
          <w:szCs w:val="30"/>
          <w:highlight w:val="none"/>
        </w:rPr>
        <w:t>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_Toc2260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4062C5F">
      <w:pPr>
        <w:pStyle w:val="46"/>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_Toc15391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_Toc15391 \h </w:instrText>
      </w:r>
      <w:r>
        <w:rPr>
          <w:color w:val="auto"/>
          <w:sz w:val="30"/>
          <w:szCs w:val="30"/>
          <w:highlight w:val="none"/>
        </w:rPr>
        <w:fldChar w:fldCharType="separate"/>
      </w:r>
      <w:r>
        <w:rPr>
          <w:color w:val="auto"/>
          <w:sz w:val="30"/>
          <w:szCs w:val="30"/>
          <w:highlight w:val="none"/>
        </w:rPr>
        <w:t>5</w:t>
      </w:r>
      <w:r>
        <w:rPr>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62950D0">
      <w:pPr>
        <w:pStyle w:val="46"/>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_Toc872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sz w:val="30"/>
          <w:szCs w:val="30"/>
          <w:highlight w:val="none"/>
        </w:rPr>
        <w:t xml:space="preserve">第三章 </w:t>
      </w:r>
      <w:r>
        <w:rPr>
          <w:rFonts w:hint="eastAsia" w:ascii="宋体" w:hAnsi="宋体" w:eastAsia="宋体" w:cs="宋体"/>
          <w:bCs/>
          <w:color w:val="auto"/>
          <w:sz w:val="30"/>
          <w:szCs w:val="30"/>
          <w:highlight w:val="none"/>
          <w:lang w:val="en-US" w:eastAsia="zh-CN"/>
        </w:rPr>
        <w:t>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_Toc872 \h </w:instrText>
      </w:r>
      <w:r>
        <w:rPr>
          <w:color w:val="auto"/>
          <w:sz w:val="30"/>
          <w:szCs w:val="30"/>
          <w:highlight w:val="none"/>
        </w:rPr>
        <w:fldChar w:fldCharType="separate"/>
      </w:r>
      <w:r>
        <w:rPr>
          <w:color w:val="auto"/>
          <w:sz w:val="30"/>
          <w:szCs w:val="30"/>
          <w:highlight w:val="none"/>
        </w:rPr>
        <w:t>7</w:t>
      </w:r>
      <w:r>
        <w:rPr>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6E5082E">
      <w:pPr>
        <w:pStyle w:val="46"/>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_Toc13216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kern w:val="1"/>
          <w:sz w:val="30"/>
          <w:szCs w:val="30"/>
          <w:highlight w:val="none"/>
          <w:lang w:val="en-US" w:eastAsia="zh-CN"/>
        </w:rPr>
        <w:t>第四章 评标办法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_Toc13216 \h </w:instrText>
      </w:r>
      <w:r>
        <w:rPr>
          <w:color w:val="auto"/>
          <w:sz w:val="30"/>
          <w:szCs w:val="30"/>
          <w:highlight w:val="none"/>
        </w:rPr>
        <w:fldChar w:fldCharType="separate"/>
      </w:r>
      <w:r>
        <w:rPr>
          <w:color w:val="auto"/>
          <w:sz w:val="30"/>
          <w:szCs w:val="30"/>
          <w:highlight w:val="none"/>
        </w:rPr>
        <w:t>66</w:t>
      </w:r>
      <w:r>
        <w:rPr>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055CA6A">
      <w:pPr>
        <w:pStyle w:val="46"/>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_Toc8096 </w:instrText>
      </w:r>
      <w:r>
        <w:rPr>
          <w:rFonts w:hint="eastAsia" w:ascii="宋体" w:hAnsi="宋体" w:eastAsia="宋体" w:cs="宋体"/>
          <w:color w:val="auto"/>
          <w:sz w:val="30"/>
          <w:szCs w:val="30"/>
          <w:highlight w:val="none"/>
        </w:rPr>
        <w:fldChar w:fldCharType="separate"/>
      </w:r>
      <w:r>
        <w:rPr>
          <w:rFonts w:hint="eastAsia" w:ascii="宋体" w:hAnsi="宋体" w:eastAsia="宋体" w:cs="宋体"/>
          <w:bCs/>
          <w:color w:val="auto"/>
          <w:sz w:val="30"/>
          <w:szCs w:val="30"/>
          <w:highlight w:val="none"/>
        </w:rPr>
        <w:t>第五章 合同主要条款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_Toc8096 \h </w:instrText>
      </w:r>
      <w:r>
        <w:rPr>
          <w:color w:val="auto"/>
          <w:sz w:val="30"/>
          <w:szCs w:val="30"/>
          <w:highlight w:val="none"/>
        </w:rPr>
        <w:fldChar w:fldCharType="separate"/>
      </w:r>
      <w:r>
        <w:rPr>
          <w:color w:val="auto"/>
          <w:sz w:val="30"/>
          <w:szCs w:val="30"/>
          <w:highlight w:val="none"/>
        </w:rPr>
        <w:t>68</w:t>
      </w:r>
      <w:r>
        <w:rPr>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008F857A">
      <w:pPr>
        <w:pStyle w:val="46"/>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_Toc8187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第六章 投标文件格式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_Toc8187 \h </w:instrText>
      </w:r>
      <w:r>
        <w:rPr>
          <w:color w:val="auto"/>
          <w:sz w:val="30"/>
          <w:szCs w:val="30"/>
          <w:highlight w:val="none"/>
        </w:rPr>
        <w:fldChar w:fldCharType="separate"/>
      </w:r>
      <w:r>
        <w:rPr>
          <w:color w:val="auto"/>
          <w:sz w:val="30"/>
          <w:szCs w:val="30"/>
          <w:highlight w:val="none"/>
        </w:rPr>
        <w:t>68</w:t>
      </w:r>
      <w:r>
        <w:rPr>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1517C3FA">
      <w:pPr>
        <w:adjustRightInd/>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color w:val="auto"/>
          <w:szCs w:val="32"/>
          <w:highlight w:val="none"/>
        </w:rPr>
        <w:fldChar w:fldCharType="end"/>
      </w:r>
    </w:p>
    <w:p w14:paraId="6F711D83">
      <w:pPr>
        <w:adjustRightInd/>
        <w:spacing w:line="360" w:lineRule="auto"/>
        <w:jc w:val="center"/>
        <w:outlineLvl w:val="9"/>
        <w:rPr>
          <w:rFonts w:hint="eastAsia" w:ascii="宋体" w:hAnsi="宋体" w:eastAsia="宋体" w:cs="宋体"/>
          <w:b/>
          <w:color w:val="auto"/>
          <w:sz w:val="32"/>
          <w:szCs w:val="32"/>
          <w:highlight w:val="none"/>
        </w:rPr>
      </w:pPr>
    </w:p>
    <w:p w14:paraId="2BC3D8A2">
      <w:pPr>
        <w:adjustRightInd/>
        <w:spacing w:line="360" w:lineRule="auto"/>
        <w:jc w:val="center"/>
        <w:outlineLvl w:val="9"/>
        <w:rPr>
          <w:rFonts w:hint="eastAsia" w:ascii="宋体" w:hAnsi="宋体" w:eastAsia="宋体" w:cs="宋体"/>
          <w:b/>
          <w:color w:val="auto"/>
          <w:sz w:val="32"/>
          <w:szCs w:val="32"/>
          <w:highlight w:val="none"/>
        </w:rPr>
      </w:pPr>
    </w:p>
    <w:p w14:paraId="390E62D2">
      <w:pPr>
        <w:adjustRightInd/>
        <w:spacing w:line="360" w:lineRule="auto"/>
        <w:jc w:val="center"/>
        <w:outlineLvl w:val="9"/>
        <w:rPr>
          <w:rFonts w:hint="eastAsia" w:ascii="宋体" w:hAnsi="宋体" w:eastAsia="宋体" w:cs="宋体"/>
          <w:b/>
          <w:color w:val="auto"/>
          <w:sz w:val="32"/>
          <w:szCs w:val="32"/>
          <w:highlight w:val="none"/>
        </w:rPr>
      </w:pPr>
    </w:p>
    <w:p w14:paraId="3898A4D9">
      <w:pPr>
        <w:adjustRightInd/>
        <w:spacing w:line="360" w:lineRule="auto"/>
        <w:jc w:val="center"/>
        <w:outlineLvl w:val="9"/>
        <w:rPr>
          <w:rFonts w:hint="eastAsia" w:ascii="宋体" w:hAnsi="宋体" w:eastAsia="宋体" w:cs="宋体"/>
          <w:b/>
          <w:color w:val="auto"/>
          <w:sz w:val="32"/>
          <w:szCs w:val="32"/>
          <w:highlight w:val="none"/>
        </w:rPr>
      </w:pPr>
    </w:p>
    <w:p w14:paraId="69831E5E">
      <w:pPr>
        <w:adjustRightInd/>
        <w:spacing w:line="360" w:lineRule="auto"/>
        <w:jc w:val="center"/>
        <w:outlineLvl w:val="9"/>
        <w:rPr>
          <w:rFonts w:hint="eastAsia" w:ascii="宋体" w:hAnsi="宋体" w:eastAsia="宋体" w:cs="宋体"/>
          <w:b/>
          <w:color w:val="auto"/>
          <w:sz w:val="32"/>
          <w:szCs w:val="32"/>
          <w:highlight w:val="none"/>
        </w:rPr>
      </w:pPr>
    </w:p>
    <w:p w14:paraId="1BD99D4A">
      <w:pPr>
        <w:adjustRightInd/>
        <w:spacing w:line="360" w:lineRule="auto"/>
        <w:jc w:val="center"/>
        <w:outlineLvl w:val="9"/>
        <w:rPr>
          <w:rFonts w:hint="eastAsia" w:ascii="宋体" w:hAnsi="宋体" w:eastAsia="宋体" w:cs="宋体"/>
          <w:b/>
          <w:color w:val="auto"/>
          <w:sz w:val="32"/>
          <w:szCs w:val="32"/>
          <w:highlight w:val="none"/>
        </w:rPr>
      </w:pPr>
    </w:p>
    <w:p w14:paraId="71F4232D">
      <w:pPr>
        <w:adjustRightInd/>
        <w:spacing w:line="360" w:lineRule="auto"/>
        <w:jc w:val="center"/>
        <w:outlineLvl w:val="9"/>
        <w:rPr>
          <w:rFonts w:hint="eastAsia" w:ascii="宋体" w:hAnsi="宋体" w:eastAsia="宋体" w:cs="宋体"/>
          <w:b/>
          <w:color w:val="auto"/>
          <w:sz w:val="32"/>
          <w:szCs w:val="32"/>
          <w:highlight w:val="none"/>
        </w:rPr>
      </w:pPr>
    </w:p>
    <w:p w14:paraId="07274381">
      <w:pPr>
        <w:adjustRightInd/>
        <w:spacing w:line="360" w:lineRule="auto"/>
        <w:jc w:val="center"/>
        <w:outlineLvl w:val="9"/>
        <w:rPr>
          <w:rFonts w:hint="eastAsia" w:ascii="宋体" w:hAnsi="宋体" w:eastAsia="宋体" w:cs="宋体"/>
          <w:b/>
          <w:color w:val="auto"/>
          <w:sz w:val="32"/>
          <w:szCs w:val="32"/>
          <w:highlight w:val="none"/>
        </w:rPr>
      </w:pPr>
    </w:p>
    <w:p w14:paraId="3FC6FD42">
      <w:pPr>
        <w:adjustRightInd/>
        <w:spacing w:line="360" w:lineRule="auto"/>
        <w:jc w:val="center"/>
        <w:outlineLvl w:val="9"/>
        <w:rPr>
          <w:rFonts w:hint="eastAsia" w:ascii="宋体" w:hAnsi="宋体" w:eastAsia="宋体" w:cs="宋体"/>
          <w:b/>
          <w:color w:val="auto"/>
          <w:sz w:val="32"/>
          <w:szCs w:val="32"/>
          <w:highlight w:val="none"/>
        </w:rPr>
      </w:pPr>
    </w:p>
    <w:p w14:paraId="6324171A">
      <w:pPr>
        <w:adjustRightInd/>
        <w:spacing w:line="360" w:lineRule="auto"/>
        <w:jc w:val="center"/>
        <w:outlineLvl w:val="9"/>
        <w:rPr>
          <w:rFonts w:hint="eastAsia" w:ascii="宋体" w:hAnsi="宋体" w:eastAsia="宋体" w:cs="宋体"/>
          <w:b/>
          <w:color w:val="auto"/>
          <w:sz w:val="32"/>
          <w:szCs w:val="32"/>
          <w:highlight w:val="none"/>
        </w:rPr>
      </w:pPr>
    </w:p>
    <w:p w14:paraId="6110F816">
      <w:pPr>
        <w:adjustRightInd/>
        <w:spacing w:line="360" w:lineRule="auto"/>
        <w:jc w:val="center"/>
        <w:outlineLvl w:val="9"/>
        <w:rPr>
          <w:rFonts w:hint="eastAsia" w:ascii="宋体" w:hAnsi="宋体" w:eastAsia="宋体" w:cs="宋体"/>
          <w:b/>
          <w:color w:val="auto"/>
          <w:sz w:val="32"/>
          <w:szCs w:val="32"/>
          <w:highlight w:val="none"/>
        </w:rPr>
      </w:pPr>
    </w:p>
    <w:p w14:paraId="75C1BC19">
      <w:pPr>
        <w:adjustRightInd/>
        <w:spacing w:line="360" w:lineRule="auto"/>
        <w:jc w:val="center"/>
        <w:outlineLvl w:val="9"/>
        <w:rPr>
          <w:rFonts w:hint="eastAsia" w:ascii="宋体" w:hAnsi="宋体" w:eastAsia="宋体" w:cs="宋体"/>
          <w:b/>
          <w:color w:val="auto"/>
          <w:sz w:val="32"/>
          <w:szCs w:val="32"/>
          <w:highlight w:val="none"/>
        </w:rPr>
      </w:pPr>
    </w:p>
    <w:p w14:paraId="1803B5DA">
      <w:pPr>
        <w:adjustRightInd/>
        <w:spacing w:line="360" w:lineRule="auto"/>
        <w:jc w:val="center"/>
        <w:outlineLvl w:val="9"/>
        <w:rPr>
          <w:rFonts w:hint="eastAsia" w:ascii="宋体" w:hAnsi="宋体" w:eastAsia="宋体" w:cs="宋体"/>
          <w:b/>
          <w:color w:val="auto"/>
          <w:sz w:val="32"/>
          <w:szCs w:val="32"/>
          <w:highlight w:val="none"/>
        </w:rPr>
      </w:pPr>
    </w:p>
    <w:p w14:paraId="34EA1852">
      <w:pPr>
        <w:adjustRightInd/>
        <w:spacing w:line="360" w:lineRule="auto"/>
        <w:jc w:val="center"/>
        <w:outlineLvl w:val="9"/>
        <w:rPr>
          <w:rFonts w:hint="eastAsia" w:ascii="宋体" w:hAnsi="宋体" w:eastAsia="宋体" w:cs="宋体"/>
          <w:b/>
          <w:color w:val="auto"/>
          <w:sz w:val="32"/>
          <w:szCs w:val="32"/>
          <w:highlight w:val="none"/>
        </w:rPr>
      </w:pPr>
    </w:p>
    <w:p w14:paraId="27714714">
      <w:pPr>
        <w:adjustRightInd/>
        <w:spacing w:line="360" w:lineRule="auto"/>
        <w:jc w:val="center"/>
        <w:outlineLvl w:val="0"/>
        <w:rPr>
          <w:rFonts w:hint="eastAsia" w:ascii="宋体" w:hAnsi="宋体" w:eastAsia="宋体" w:cs="宋体"/>
          <w:b/>
          <w:color w:val="auto"/>
          <w:sz w:val="32"/>
          <w:szCs w:val="32"/>
          <w:highlight w:val="none"/>
        </w:rPr>
        <w:sectPr>
          <w:footerReference r:id="rId7" w:type="first"/>
          <w:footerReference r:id="rId6" w:type="default"/>
          <w:pgSz w:w="11906" w:h="16838"/>
          <w:pgMar w:top="1134" w:right="1417" w:bottom="1134" w:left="1417" w:header="851" w:footer="992" w:gutter="0"/>
          <w:pgNumType w:fmt="decimal" w:start="1"/>
          <w:cols w:space="720" w:num="1"/>
          <w:docGrid w:linePitch="312" w:charSpace="0"/>
        </w:sectPr>
      </w:pPr>
      <w:bookmarkStart w:id="11" w:name="_Toc2260"/>
    </w:p>
    <w:p w14:paraId="439F2E4E">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w:t>
      </w:r>
      <w:r>
        <w:rPr>
          <w:rFonts w:hint="eastAsia" w:ascii="宋体" w:hAnsi="宋体" w:cs="宋体"/>
          <w:b/>
          <w:color w:val="auto"/>
          <w:sz w:val="32"/>
          <w:szCs w:val="32"/>
          <w:highlight w:val="none"/>
          <w:lang w:eastAsia="zh-CN"/>
        </w:rPr>
        <w:t>采购</w:t>
      </w:r>
      <w:r>
        <w:rPr>
          <w:rFonts w:hint="eastAsia" w:ascii="宋体" w:hAnsi="宋体" w:eastAsia="宋体" w:cs="宋体"/>
          <w:b/>
          <w:color w:val="auto"/>
          <w:sz w:val="32"/>
          <w:szCs w:val="32"/>
          <w:highlight w:val="none"/>
        </w:rPr>
        <w:t>公告</w:t>
      </w:r>
      <w:bookmarkEnd w:id="11"/>
    </w:p>
    <w:p w14:paraId="28FE031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5F418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lang w:eastAsia="zh-CN"/>
        </w:rPr>
        <w:t>嵊州小吃（越秀路)旗舰店项目—厨房设备采购</w:t>
      </w:r>
      <w:r>
        <w:rPr>
          <w:rFonts w:hint="eastAsia" w:ascii="宋体" w:hAnsi="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项目的潜在投标人应在</w:t>
      </w:r>
      <w:r>
        <w:rPr>
          <w:rFonts w:hint="eastAsia" w:ascii="宋体" w:hAnsi="宋体" w:eastAsia="宋体" w:cs="宋体"/>
          <w:b w:val="0"/>
          <w:bCs w:val="0"/>
          <w:color w:val="auto"/>
          <w:sz w:val="24"/>
          <w:szCs w:val="24"/>
          <w:highlight w:val="none"/>
          <w:lang w:eastAsia="zh-CN"/>
        </w:rPr>
        <w:t>乐采云</w:t>
      </w:r>
      <w:r>
        <w:rPr>
          <w:rFonts w:hint="eastAsia" w:ascii="宋体" w:hAnsi="宋体" w:eastAsia="宋体" w:cs="宋体"/>
          <w:b w:val="0"/>
          <w:bCs w:val="0"/>
          <w:color w:val="auto"/>
          <w:sz w:val="24"/>
          <w:szCs w:val="24"/>
          <w:highlight w:val="none"/>
        </w:rPr>
        <w:t>平台（</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"https://www.zcygov.cn/）获取（下载）招标文件，并于2021年" </w:instrText>
      </w:r>
      <w:r>
        <w:rPr>
          <w:rFonts w:hint="eastAsia" w:ascii="宋体" w:hAnsi="宋体" w:eastAsia="宋体" w:cs="宋体"/>
          <w:b w:val="0"/>
          <w:bCs w:val="0"/>
          <w:color w:val="auto"/>
          <w:sz w:val="24"/>
          <w:szCs w:val="24"/>
          <w:highlight w:val="none"/>
        </w:rPr>
        <w:fldChar w:fldCharType="separate"/>
      </w:r>
      <w:r>
        <w:rPr>
          <w:rStyle w:val="31"/>
          <w:rFonts w:hint="eastAsia" w:ascii="宋体" w:hAnsi="宋体" w:eastAsia="宋体" w:cs="宋体"/>
          <w:b w:val="0"/>
          <w:bCs w:val="0"/>
          <w:snapToGrid/>
          <w:color w:val="auto"/>
          <w:kern w:val="2"/>
          <w:sz w:val="24"/>
          <w:szCs w:val="24"/>
          <w:highlight w:val="none"/>
        </w:rPr>
        <w:t>https://www.</w:t>
      </w:r>
      <w:r>
        <w:rPr>
          <w:rStyle w:val="31"/>
          <w:rFonts w:hint="eastAsia" w:ascii="宋体" w:hAnsi="宋体" w:eastAsia="宋体" w:cs="宋体"/>
          <w:b w:val="0"/>
          <w:bCs w:val="0"/>
          <w:snapToGrid/>
          <w:color w:val="auto"/>
          <w:kern w:val="2"/>
          <w:sz w:val="24"/>
          <w:szCs w:val="24"/>
          <w:highlight w:val="none"/>
          <w:lang w:eastAsia="zh-CN"/>
        </w:rPr>
        <w:t>lecaiyun.com</w:t>
      </w:r>
      <w:r>
        <w:rPr>
          <w:rStyle w:val="31"/>
          <w:rFonts w:hint="eastAsia" w:ascii="宋体" w:hAnsi="宋体" w:eastAsia="宋体" w:cs="宋体"/>
          <w:b w:val="0"/>
          <w:bCs w:val="0"/>
          <w:snapToGrid/>
          <w:color w:val="auto"/>
          <w:kern w:val="2"/>
          <w:sz w:val="24"/>
          <w:szCs w:val="24"/>
          <w:highlight w:val="none"/>
        </w:rPr>
        <w:t>/）获取（下载）</w:t>
      </w:r>
      <w:r>
        <w:rPr>
          <w:rStyle w:val="31"/>
          <w:rFonts w:hint="eastAsia" w:ascii="宋体" w:hAnsi="宋体" w:eastAsia="宋体" w:cs="宋体"/>
          <w:b w:val="0"/>
          <w:bCs w:val="0"/>
          <w:snapToGrid/>
          <w:color w:val="auto"/>
          <w:kern w:val="2"/>
          <w:sz w:val="24"/>
          <w:szCs w:val="24"/>
          <w:highlight w:val="none"/>
          <w:lang w:eastAsia="zh-CN"/>
        </w:rPr>
        <w:t>采购</w:t>
      </w:r>
      <w:r>
        <w:rPr>
          <w:rStyle w:val="31"/>
          <w:rFonts w:hint="eastAsia" w:ascii="宋体" w:hAnsi="宋体" w:eastAsia="宋体" w:cs="宋体"/>
          <w:b w:val="0"/>
          <w:bCs w:val="0"/>
          <w:snapToGrid/>
          <w:color w:val="auto"/>
          <w:kern w:val="2"/>
          <w:sz w:val="24"/>
          <w:szCs w:val="24"/>
          <w:highlight w:val="none"/>
        </w:rPr>
        <w:t>文件，并于</w:t>
      </w:r>
      <w:r>
        <w:rPr>
          <w:rFonts w:hint="eastAsia" w:ascii="宋体" w:hAnsi="宋体" w:cs="宋体"/>
          <w:b w:val="0"/>
          <w:bCs w:val="0"/>
          <w:color w:val="auto"/>
          <w:sz w:val="24"/>
          <w:szCs w:val="24"/>
          <w:highlight w:val="none"/>
          <w:u w:val="single"/>
          <w:lang w:eastAsia="zh-CN"/>
        </w:rPr>
        <w:t>202</w:t>
      </w:r>
      <w:r>
        <w:rPr>
          <w:rFonts w:hint="eastAsia" w:ascii="宋体" w:hAnsi="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lang w:eastAsia="zh-CN"/>
        </w:rPr>
        <w:t>年</w:t>
      </w:r>
      <w:r>
        <w:rPr>
          <w:rFonts w:hint="eastAsia" w:ascii="宋体" w:hAnsi="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月</w:t>
      </w:r>
      <w:r>
        <w:rPr>
          <w:rFonts w:hint="eastAsia" w:ascii="宋体" w:hAnsi="宋体" w:cs="宋体"/>
          <w:b w:val="0"/>
          <w:bCs w:val="0"/>
          <w:color w:val="auto"/>
          <w:sz w:val="24"/>
          <w:szCs w:val="24"/>
          <w:highlight w:val="none"/>
          <w:u w:val="single"/>
          <w:lang w:val="en-US" w:eastAsia="zh-CN"/>
        </w:rPr>
        <w:t>14</w:t>
      </w:r>
      <w:r>
        <w:rPr>
          <w:rFonts w:hint="eastAsia" w:ascii="宋体" w:hAnsi="宋体" w:eastAsia="宋体" w:cs="宋体"/>
          <w:b w:val="0"/>
          <w:bCs w:val="0"/>
          <w:color w:val="auto"/>
          <w:sz w:val="24"/>
          <w:szCs w:val="24"/>
          <w:highlight w:val="none"/>
          <w:u w:val="single"/>
          <w:lang w:val="en-US" w:eastAsia="zh-CN"/>
        </w:rPr>
        <w:t>日</w:t>
      </w:r>
      <w:r>
        <w:rPr>
          <w:rFonts w:hint="eastAsia" w:ascii="宋体" w:hAnsi="宋体" w:cs="宋体"/>
          <w:b w:val="0"/>
          <w:bCs w:val="0"/>
          <w:color w:val="auto"/>
          <w:sz w:val="24"/>
          <w:szCs w:val="24"/>
          <w:highlight w:val="none"/>
          <w:u w:val="single"/>
          <w:lang w:val="en-US" w:eastAsia="zh-CN"/>
        </w:rPr>
        <w:t>09</w:t>
      </w:r>
      <w:r>
        <w:rPr>
          <w:rFonts w:hint="eastAsia" w:ascii="宋体" w:hAnsi="宋体" w:eastAsia="宋体" w:cs="宋体"/>
          <w:b w:val="0"/>
          <w:bCs w:val="0"/>
          <w:color w:val="auto"/>
          <w:sz w:val="24"/>
          <w:szCs w:val="24"/>
          <w:highlight w:val="none"/>
          <w:u w:val="single"/>
        </w:rPr>
        <w:t>点</w:t>
      </w:r>
      <w:r>
        <w:rPr>
          <w:rFonts w:hint="eastAsia" w:ascii="宋体" w:hAnsi="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rPr>
        <w:t>分00秒</w:t>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rPr>
        <w:t>（北京时间）前递交（上传）投标文件。</w:t>
      </w:r>
    </w:p>
    <w:p w14:paraId="56E17577">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6EA3B7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cs="宋体"/>
          <w:b w:val="0"/>
          <w:bCs w:val="0"/>
          <w:color w:val="auto"/>
          <w:sz w:val="24"/>
          <w:szCs w:val="24"/>
          <w:highlight w:val="none"/>
          <w:u w:val="single"/>
          <w:lang w:eastAsia="zh-CN"/>
        </w:rPr>
        <w:t>ZJSFDC-SZ2024N54</w:t>
      </w:r>
    </w:p>
    <w:p w14:paraId="3192C16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项目名称：</w:t>
      </w:r>
      <w:r>
        <w:rPr>
          <w:rFonts w:hint="eastAsia" w:ascii="宋体" w:hAnsi="宋体" w:cs="宋体"/>
          <w:b w:val="0"/>
          <w:bCs w:val="0"/>
          <w:color w:val="auto"/>
          <w:sz w:val="24"/>
          <w:szCs w:val="24"/>
          <w:highlight w:val="none"/>
          <w:u w:val="single"/>
          <w:lang w:eastAsia="zh-CN"/>
        </w:rPr>
        <w:t>嵊州小吃（越秀路)旗舰店项目—厨房设备采购</w:t>
      </w:r>
    </w:p>
    <w:p w14:paraId="6E28DF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shd w:val="clear"/>
        </w:rPr>
        <w:t xml:space="preserve">  </w:t>
      </w:r>
      <w:r>
        <w:rPr>
          <w:rFonts w:hint="eastAsia" w:ascii="宋体" w:hAnsi="宋体" w:eastAsia="宋体" w:cs="宋体"/>
          <w:b/>
          <w:color w:val="auto"/>
          <w:sz w:val="24"/>
          <w:szCs w:val="24"/>
          <w:highlight w:val="none"/>
          <w:shd w:val="clear"/>
        </w:rPr>
        <w:t xml:space="preserve"> </w:t>
      </w:r>
      <w:r>
        <w:rPr>
          <w:rFonts w:hint="eastAsia" w:ascii="宋体" w:hAnsi="宋体" w:eastAsia="宋体" w:cs="宋体"/>
          <w:b/>
          <w:color w:val="auto"/>
          <w:sz w:val="24"/>
          <w:szCs w:val="24"/>
          <w:highlight w:val="none"/>
          <w:shd w:val="clear"/>
          <w:lang w:val="en-US" w:eastAsia="zh-CN"/>
        </w:rPr>
        <w:t>3.</w:t>
      </w:r>
      <w:r>
        <w:rPr>
          <w:rFonts w:hint="eastAsia" w:ascii="宋体" w:hAnsi="宋体" w:eastAsia="宋体" w:cs="宋体"/>
          <w:b/>
          <w:color w:val="auto"/>
          <w:sz w:val="24"/>
          <w:szCs w:val="24"/>
          <w:highlight w:val="none"/>
          <w:shd w:val="clear"/>
        </w:rPr>
        <w:t>预算金额（元）：</w:t>
      </w:r>
      <w:r>
        <w:rPr>
          <w:rFonts w:hint="eastAsia" w:ascii="宋体" w:hAnsi="宋体" w:cs="宋体"/>
          <w:b w:val="0"/>
          <w:bCs w:val="0"/>
          <w:color w:val="auto"/>
          <w:sz w:val="24"/>
          <w:szCs w:val="24"/>
          <w:highlight w:val="none"/>
          <w:shd w:val="clear"/>
          <w:lang w:val="en-US" w:eastAsia="zh-CN"/>
        </w:rPr>
        <w:t>490200.00元</w:t>
      </w:r>
    </w:p>
    <w:p w14:paraId="6F7B6E58">
      <w:pPr>
        <w:pStyle w:val="8"/>
        <w:spacing w:line="360" w:lineRule="auto"/>
        <w:ind w:firstLine="480"/>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采购需求：</w:t>
      </w:r>
    </w:p>
    <w:tbl>
      <w:tblPr>
        <w:tblStyle w:val="27"/>
        <w:tblW w:w="8866" w:type="dxa"/>
        <w:tblInd w:w="-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87"/>
        <w:gridCol w:w="2017"/>
        <w:gridCol w:w="960"/>
        <w:gridCol w:w="900"/>
        <w:gridCol w:w="1275"/>
        <w:gridCol w:w="2247"/>
        <w:gridCol w:w="780"/>
      </w:tblGrid>
      <w:tr w14:paraId="7753A1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25"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F32E053">
            <w:pPr>
              <w:snapToGrid w:val="0"/>
              <w:spacing w:line="390" w:lineRule="exact"/>
              <w:jc w:val="center"/>
              <w:rPr>
                <w:rStyle w:val="37"/>
                <w:rFonts w:ascii="宋体" w:cs="宋体"/>
                <w:bCs/>
                <w:color w:val="auto"/>
                <w:sz w:val="24"/>
                <w:highlight w:val="none"/>
              </w:rPr>
            </w:pPr>
            <w:r>
              <w:rPr>
                <w:rStyle w:val="37"/>
                <w:rFonts w:ascii="宋体" w:cs="宋体"/>
                <w:bCs/>
                <w:color w:val="auto"/>
                <w:sz w:val="24"/>
                <w:highlight w:val="none"/>
              </w:rPr>
              <w:t>序号</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14BB0CB1">
            <w:pPr>
              <w:snapToGrid w:val="0"/>
              <w:spacing w:line="390" w:lineRule="exact"/>
              <w:jc w:val="center"/>
              <w:rPr>
                <w:rStyle w:val="37"/>
                <w:rFonts w:ascii="宋体" w:cs="宋体"/>
                <w:bCs/>
                <w:color w:val="auto"/>
                <w:sz w:val="24"/>
                <w:highlight w:val="none"/>
              </w:rPr>
            </w:pPr>
            <w:r>
              <w:rPr>
                <w:rStyle w:val="37"/>
                <w:rFonts w:ascii="宋体" w:cs="宋体"/>
                <w:bCs/>
                <w:color w:val="auto"/>
                <w:sz w:val="24"/>
                <w:highlight w:val="none"/>
              </w:rPr>
              <w:t>采购内容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5EE816">
            <w:pPr>
              <w:snapToGrid w:val="0"/>
              <w:spacing w:line="390" w:lineRule="exact"/>
              <w:jc w:val="center"/>
              <w:rPr>
                <w:rFonts w:ascii="宋体" w:cs="宋体"/>
                <w:bCs/>
                <w:color w:val="auto"/>
                <w:kern w:val="2"/>
                <w:sz w:val="24"/>
                <w:szCs w:val="24"/>
                <w:highlight w:val="none"/>
                <w:lang w:val="en-US" w:eastAsia="zh-CN" w:bidi="ar-SA"/>
              </w:rPr>
            </w:pPr>
            <w:r>
              <w:rPr>
                <w:rStyle w:val="37"/>
                <w:rFonts w:ascii="宋体" w:cs="宋体"/>
                <w:bCs/>
                <w:color w:val="auto"/>
                <w:sz w:val="24"/>
                <w:highlight w:val="none"/>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AD62887">
            <w:pPr>
              <w:snapToGrid w:val="0"/>
              <w:spacing w:line="390" w:lineRule="exact"/>
              <w:jc w:val="center"/>
              <w:rPr>
                <w:rStyle w:val="37"/>
                <w:rFonts w:hint="eastAsia" w:ascii="宋体" w:eastAsia="宋体" w:cs="宋体"/>
                <w:bCs/>
                <w:color w:val="auto"/>
                <w:sz w:val="24"/>
                <w:highlight w:val="none"/>
                <w:lang w:val="en-US" w:eastAsia="zh-CN"/>
              </w:rPr>
            </w:pPr>
            <w:r>
              <w:rPr>
                <w:rStyle w:val="37"/>
                <w:rFonts w:hint="eastAsia" w:ascii="宋体" w:cs="宋体"/>
                <w:bCs/>
                <w:color w:val="auto"/>
                <w:sz w:val="24"/>
                <w:highlight w:val="none"/>
                <w:lang w:val="en-US" w:eastAsia="zh-CN"/>
              </w:rPr>
              <w:t>单位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A380861">
            <w:pPr>
              <w:snapToGrid w:val="0"/>
              <w:spacing w:line="390" w:lineRule="exact"/>
              <w:jc w:val="center"/>
              <w:rPr>
                <w:rStyle w:val="37"/>
                <w:rFonts w:ascii="宋体" w:cs="宋体"/>
                <w:bCs/>
                <w:color w:val="auto"/>
                <w:sz w:val="24"/>
                <w:highlight w:val="none"/>
              </w:rPr>
            </w:pPr>
            <w:r>
              <w:rPr>
                <w:rStyle w:val="37"/>
                <w:rFonts w:ascii="宋体" w:cs="宋体"/>
                <w:bCs/>
                <w:color w:val="auto"/>
                <w:sz w:val="24"/>
                <w:highlight w:val="none"/>
              </w:rPr>
              <w:t>预算价</w:t>
            </w:r>
          </w:p>
          <w:p w14:paraId="6035DAF2">
            <w:pPr>
              <w:snapToGrid w:val="0"/>
              <w:spacing w:line="390" w:lineRule="exact"/>
              <w:jc w:val="center"/>
              <w:rPr>
                <w:rStyle w:val="37"/>
                <w:rFonts w:ascii="宋体" w:cs="宋体"/>
                <w:bCs/>
                <w:color w:val="auto"/>
                <w:sz w:val="24"/>
                <w:highlight w:val="none"/>
              </w:rPr>
            </w:pPr>
            <w:r>
              <w:rPr>
                <w:rStyle w:val="37"/>
                <w:rFonts w:ascii="宋体" w:cs="宋体"/>
                <w:bCs/>
                <w:color w:val="auto"/>
                <w:sz w:val="24"/>
                <w:highlight w:val="none"/>
              </w:rPr>
              <w:t>(元）</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54CD4CF2">
            <w:pPr>
              <w:snapToGrid w:val="0"/>
              <w:spacing w:line="390" w:lineRule="exact"/>
              <w:jc w:val="center"/>
              <w:rPr>
                <w:rFonts w:ascii="宋体" w:cs="宋体"/>
                <w:bCs/>
                <w:color w:val="auto"/>
                <w:kern w:val="2"/>
                <w:sz w:val="24"/>
                <w:szCs w:val="24"/>
                <w:highlight w:val="none"/>
                <w:lang w:val="en-US" w:eastAsia="zh-CN" w:bidi="ar-SA"/>
              </w:rPr>
            </w:pPr>
            <w:r>
              <w:rPr>
                <w:rStyle w:val="37"/>
                <w:rFonts w:ascii="宋体" w:cs="宋体"/>
                <w:bCs/>
                <w:color w:val="auto"/>
                <w:sz w:val="24"/>
                <w:highlight w:val="none"/>
              </w:rPr>
              <w:t>简要技术要求、用途</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A241EC8">
            <w:pPr>
              <w:snapToGrid w:val="0"/>
              <w:spacing w:line="390" w:lineRule="exact"/>
              <w:jc w:val="center"/>
              <w:rPr>
                <w:rStyle w:val="37"/>
                <w:rFonts w:ascii="宋体" w:cs="宋体"/>
                <w:bCs/>
                <w:color w:val="auto"/>
                <w:sz w:val="24"/>
                <w:highlight w:val="none"/>
              </w:rPr>
            </w:pPr>
            <w:r>
              <w:rPr>
                <w:rStyle w:val="37"/>
                <w:rFonts w:ascii="宋体" w:cs="宋体"/>
                <w:bCs/>
                <w:color w:val="auto"/>
                <w:sz w:val="24"/>
                <w:highlight w:val="none"/>
              </w:rPr>
              <w:t>备注</w:t>
            </w:r>
          </w:p>
        </w:tc>
      </w:tr>
      <w:tr w14:paraId="36231B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56"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5F5EDCB">
            <w:pPr>
              <w:snapToGrid w:val="0"/>
              <w:spacing w:line="390" w:lineRule="exact"/>
              <w:jc w:val="center"/>
              <w:rPr>
                <w:rStyle w:val="37"/>
                <w:rFonts w:ascii="宋体"/>
                <w:color w:val="auto"/>
                <w:sz w:val="24"/>
                <w:highlight w:val="none"/>
              </w:rPr>
            </w:pPr>
            <w:r>
              <w:rPr>
                <w:rStyle w:val="37"/>
                <w:rFonts w:ascii="宋体" w:hAnsi="宋体"/>
                <w:color w:val="auto"/>
                <w:sz w:val="24"/>
                <w:highlight w:val="none"/>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2CDD099">
            <w:pPr>
              <w:pStyle w:val="56"/>
              <w:snapToGrid w:val="0"/>
              <w:spacing w:line="390" w:lineRule="exact"/>
              <w:jc w:val="center"/>
              <w:rPr>
                <w:rStyle w:val="37"/>
                <w:rFonts w:hint="eastAsia" w:ascii="宋体" w:eastAsia="宋体"/>
                <w:color w:val="auto"/>
                <w:szCs w:val="24"/>
                <w:highlight w:val="none"/>
                <w:lang w:eastAsia="zh-CN"/>
              </w:rPr>
            </w:pPr>
            <w:r>
              <w:rPr>
                <w:rFonts w:hint="eastAsia" w:ascii="宋体" w:hAnsi="宋体" w:cs="宋体"/>
                <w:b w:val="0"/>
                <w:bCs w:val="0"/>
                <w:color w:val="auto"/>
                <w:sz w:val="24"/>
                <w:szCs w:val="24"/>
                <w:highlight w:val="none"/>
                <w:u w:val="none"/>
                <w:lang w:eastAsia="zh-CN"/>
              </w:rPr>
              <w:t>厨房设备</w:t>
            </w:r>
            <w:r>
              <w:rPr>
                <w:rFonts w:hint="eastAsia" w:ascii="宋体" w:hAnsi="宋体" w:cs="宋体"/>
                <w:b w:val="0"/>
                <w:bCs w:val="0"/>
                <w:color w:val="auto"/>
                <w:sz w:val="24"/>
                <w:szCs w:val="24"/>
                <w:highlight w:val="none"/>
                <w:u w:val="none"/>
                <w:lang w:val="en-US" w:eastAsia="zh-CN"/>
              </w:rPr>
              <w:t>等</w:t>
            </w:r>
            <w:r>
              <w:rPr>
                <w:rFonts w:hint="eastAsia" w:ascii="宋体" w:hAnsi="宋体" w:cs="宋体"/>
                <w:b w:val="0"/>
                <w:bCs w:val="0"/>
                <w:color w:val="auto"/>
                <w:sz w:val="24"/>
                <w:szCs w:val="24"/>
                <w:highlight w:val="none"/>
                <w:u w:val="none"/>
                <w:lang w:eastAsia="zh-CN"/>
              </w:rPr>
              <w:t>采购</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836F35">
            <w:pPr>
              <w:snapToGrid w:val="0"/>
              <w:spacing w:line="390" w:lineRule="exact"/>
              <w:jc w:val="center"/>
              <w:rPr>
                <w:rFonts w:hint="eastAsia" w:ascii="宋体" w:eastAsia="宋体"/>
                <w:color w:val="auto"/>
                <w:kern w:val="2"/>
                <w:sz w:val="24"/>
                <w:szCs w:val="24"/>
                <w:highlight w:val="none"/>
                <w:lang w:val="en-US" w:eastAsia="zh-CN" w:bidi="ar-SA"/>
              </w:rPr>
            </w:pPr>
            <w:r>
              <w:rPr>
                <w:rStyle w:val="37"/>
                <w:rFonts w:hint="eastAsia" w:ascii="宋体" w:hAnsi="宋体" w:eastAsia="宋体"/>
                <w:color w:val="auto"/>
                <w:sz w:val="24"/>
                <w:highlight w:val="no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171FB3">
            <w:pPr>
              <w:snapToGrid w:val="0"/>
              <w:spacing w:line="390" w:lineRule="exact"/>
              <w:jc w:val="center"/>
              <w:rPr>
                <w:rStyle w:val="37"/>
                <w:rFonts w:hint="eastAsia" w:ascii="宋体" w:eastAsia="宋体"/>
                <w:color w:val="auto"/>
                <w:sz w:val="24"/>
                <w:highlight w:val="none"/>
                <w:lang w:eastAsia="zh-CN"/>
              </w:rPr>
            </w:pPr>
            <w:r>
              <w:rPr>
                <w:rStyle w:val="37"/>
                <w:rFonts w:hint="eastAsia" w:ascii="宋体" w:hAnsi="宋体"/>
                <w:color w:val="auto"/>
                <w:sz w:val="24"/>
                <w:highlight w:val="none"/>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9FD6602">
            <w:pPr>
              <w:snapToGrid w:val="0"/>
              <w:spacing w:line="390" w:lineRule="exact"/>
              <w:jc w:val="center"/>
              <w:rPr>
                <w:rStyle w:val="37"/>
                <w:rFonts w:hint="default" w:ascii="宋体" w:eastAsia="宋体"/>
                <w:color w:val="auto"/>
                <w:szCs w:val="24"/>
                <w:highlight w:val="none"/>
                <w:lang w:val="en-US" w:eastAsia="zh-CN"/>
              </w:rPr>
            </w:pPr>
            <w:r>
              <w:rPr>
                <w:rFonts w:hint="eastAsia" w:ascii="宋体" w:hAnsi="宋体" w:cs="宋体"/>
                <w:b w:val="0"/>
                <w:bCs w:val="0"/>
                <w:color w:val="auto"/>
                <w:sz w:val="24"/>
                <w:szCs w:val="24"/>
                <w:highlight w:val="none"/>
                <w:shd w:val="clear"/>
                <w:lang w:val="en-US" w:eastAsia="zh-CN"/>
              </w:rPr>
              <w:t>490200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14:paraId="08BEFE2F">
            <w:pPr>
              <w:snapToGrid w:val="0"/>
              <w:spacing w:line="390" w:lineRule="exact"/>
              <w:jc w:val="center"/>
              <w:rPr>
                <w:rStyle w:val="37"/>
                <w:rFonts w:ascii="宋体" w:hAnsi="宋体"/>
                <w:color w:val="auto"/>
                <w:sz w:val="24"/>
                <w:highlight w:val="none"/>
              </w:rPr>
            </w:pPr>
            <w:r>
              <w:rPr>
                <w:rStyle w:val="37"/>
                <w:rFonts w:ascii="宋体" w:hAnsi="宋体"/>
                <w:color w:val="auto"/>
                <w:sz w:val="24"/>
                <w:highlight w:val="none"/>
              </w:rPr>
              <w:t>详见</w:t>
            </w:r>
          </w:p>
          <w:p w14:paraId="186FE639">
            <w:pPr>
              <w:snapToGrid w:val="0"/>
              <w:spacing w:line="390" w:lineRule="exact"/>
              <w:jc w:val="center"/>
              <w:rPr>
                <w:rFonts w:ascii="宋体" w:hAnsi="宋体"/>
                <w:color w:val="auto"/>
                <w:kern w:val="2"/>
                <w:sz w:val="24"/>
                <w:szCs w:val="24"/>
                <w:highlight w:val="none"/>
                <w:lang w:val="en-US" w:eastAsia="zh-CN" w:bidi="ar-SA"/>
              </w:rPr>
            </w:pPr>
            <w:r>
              <w:rPr>
                <w:rStyle w:val="37"/>
                <w:rFonts w:ascii="宋体" w:hAnsi="宋体"/>
                <w:color w:val="auto"/>
                <w:sz w:val="24"/>
                <w:highlight w:val="none"/>
              </w:rPr>
              <w:t>采购需求</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E42BC55">
            <w:pPr>
              <w:snapToGrid w:val="0"/>
              <w:spacing w:line="390" w:lineRule="exact"/>
              <w:jc w:val="center"/>
              <w:rPr>
                <w:rStyle w:val="37"/>
                <w:rFonts w:ascii="宋体"/>
                <w:color w:val="auto"/>
                <w:szCs w:val="24"/>
                <w:highlight w:val="none"/>
              </w:rPr>
            </w:pPr>
          </w:p>
        </w:tc>
      </w:tr>
    </w:tbl>
    <w:p w14:paraId="14FF665C">
      <w:pPr>
        <w:pStyle w:val="36"/>
        <w:ind w:left="0" w:leftChars="0" w:firstLine="482" w:firstLineChars="200"/>
        <w:outlineLvl w:val="2"/>
        <w:rPr>
          <w:rFonts w:hint="default" w:ascii="宋体" w:hAnsi="宋体" w:eastAsia="宋体" w:cs="宋体"/>
          <w:color w:val="auto"/>
          <w:highlight w:val="none"/>
          <w:lang w:val="en-US"/>
        </w:rPr>
      </w:pPr>
      <w:r>
        <w:rPr>
          <w:rFonts w:hint="eastAsia" w:ascii="宋体" w:hAnsi="宋体" w:cs="宋体"/>
          <w:b/>
          <w:color w:val="auto"/>
          <w:highlight w:val="none"/>
          <w:lang w:val="en-US" w:eastAsia="zh-CN"/>
        </w:rPr>
        <w:t>5</w:t>
      </w:r>
      <w:r>
        <w:rPr>
          <w:rFonts w:hint="eastAsia" w:ascii="宋体" w:hAnsi="宋体" w:eastAsia="宋体" w:cs="宋体"/>
          <w:b/>
          <w:color w:val="auto"/>
          <w:highlight w:val="none"/>
          <w:lang w:val="en-US" w:eastAsia="zh-CN"/>
        </w:rPr>
        <w:t>.</w:t>
      </w: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详见采购文件</w:t>
      </w:r>
      <w:r>
        <w:rPr>
          <w:rFonts w:hint="eastAsia" w:ascii="宋体" w:hAnsi="宋体" w:eastAsia="宋体" w:cs="宋体"/>
          <w:b/>
          <w:color w:val="auto"/>
          <w:highlight w:val="none"/>
          <w:lang w:val="en-US" w:eastAsia="zh-CN"/>
        </w:rPr>
        <w:t>。</w:t>
      </w:r>
    </w:p>
    <w:p w14:paraId="59B84A44">
      <w:pPr>
        <w:pStyle w:val="8"/>
        <w:spacing w:line="360" w:lineRule="auto"/>
        <w:ind w:firstLine="480"/>
        <w:rPr>
          <w:rFonts w:hint="eastAsia" w:ascii="宋体" w:hAnsi="宋体" w:eastAsia="宋体" w:cs="宋体"/>
          <w:b/>
          <w:color w:val="auto"/>
          <w:sz w:val="24"/>
          <w:highlight w:val="none"/>
        </w:rPr>
      </w:pPr>
      <w:r>
        <w:rPr>
          <w:rFonts w:hint="eastAsia" w:hAnsi="宋体" w:cs="宋体"/>
          <w:b/>
          <w:color w:val="auto"/>
          <w:sz w:val="24"/>
          <w:highlight w:val="none"/>
          <w:lang w:val="en-US" w:eastAsia="zh-CN"/>
        </w:rPr>
        <w:t>6</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本项目</w:t>
      </w:r>
      <w:r>
        <w:rPr>
          <w:rFonts w:hint="eastAsia" w:hAnsi="宋体" w:cs="宋体"/>
          <w:b/>
          <w:color w:val="auto"/>
          <w:sz w:val="24"/>
          <w:highlight w:val="none"/>
          <w:lang w:val="en-US" w:eastAsia="zh-CN"/>
        </w:rPr>
        <w:t>不</w:t>
      </w:r>
      <w:r>
        <w:rPr>
          <w:rFonts w:hint="eastAsia" w:ascii="宋体" w:hAnsi="宋体" w:eastAsia="宋体" w:cs="宋体"/>
          <w:b/>
          <w:color w:val="auto"/>
          <w:sz w:val="24"/>
          <w:highlight w:val="none"/>
        </w:rPr>
        <w:t>接受联合体投标</w:t>
      </w:r>
      <w:r>
        <w:rPr>
          <w:rFonts w:hint="eastAsia" w:ascii="宋体" w:hAnsi="宋体" w:eastAsia="宋体" w:cs="宋体"/>
          <w:color w:val="auto"/>
          <w:kern w:val="0"/>
          <w:sz w:val="24"/>
          <w:highlight w:val="none"/>
        </w:rPr>
        <w:t>。</w:t>
      </w:r>
    </w:p>
    <w:p w14:paraId="3CABA793">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D2C8FF1">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具有独立承担民事责任的能力</w:t>
      </w:r>
      <w:r>
        <w:rPr>
          <w:rFonts w:hint="eastAsia" w:ascii="宋体" w:hAnsi="宋体" w:cs="宋体"/>
          <w:color w:val="auto"/>
          <w:kern w:val="0"/>
          <w:sz w:val="24"/>
          <w:szCs w:val="24"/>
          <w:highlight w:val="none"/>
          <w:lang w:val="en-US" w:eastAsia="zh-CN"/>
        </w:rPr>
        <w:t>。</w:t>
      </w:r>
    </w:p>
    <w:p w14:paraId="614BC5BD">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rPr>
        <w:t>2.具有良好的商业信誉</w:t>
      </w:r>
      <w:r>
        <w:rPr>
          <w:rFonts w:hint="eastAsia" w:ascii="宋体" w:hAnsi="宋体" w:cs="宋体"/>
          <w:color w:val="auto"/>
          <w:kern w:val="0"/>
          <w:sz w:val="24"/>
          <w:szCs w:val="24"/>
          <w:highlight w:val="none"/>
          <w:lang w:val="en-US" w:eastAsia="zh-CN"/>
        </w:rPr>
        <w:t>。</w:t>
      </w:r>
    </w:p>
    <w:p w14:paraId="112FE142">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3.具有履行合同所必需的设备和专业技术、售后保障等能力</w:t>
      </w:r>
      <w:r>
        <w:rPr>
          <w:rFonts w:hint="eastAsia" w:ascii="宋体" w:hAnsi="宋体" w:cs="宋体"/>
          <w:color w:val="auto"/>
          <w:kern w:val="0"/>
          <w:sz w:val="24"/>
          <w:szCs w:val="24"/>
          <w:highlight w:val="none"/>
          <w:lang w:val="en-US" w:eastAsia="zh-CN"/>
        </w:rPr>
        <w:t>。</w:t>
      </w:r>
    </w:p>
    <w:p w14:paraId="52ED26B3">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4.有依法缴纳税收和社会保障资金的良好记录</w:t>
      </w:r>
      <w:r>
        <w:rPr>
          <w:rFonts w:hint="eastAsia" w:ascii="宋体" w:hAnsi="宋体" w:cs="宋体"/>
          <w:color w:val="auto"/>
          <w:kern w:val="0"/>
          <w:sz w:val="24"/>
          <w:szCs w:val="24"/>
          <w:highlight w:val="none"/>
          <w:lang w:val="en-US" w:eastAsia="zh-CN"/>
        </w:rPr>
        <w:t>。</w:t>
      </w:r>
    </w:p>
    <w:p w14:paraId="5ADD39B4">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5.参加采购活动前三年内，没有重大违法记录、严重失信行为和行贿记录</w:t>
      </w:r>
      <w:r>
        <w:rPr>
          <w:rFonts w:hint="eastAsia" w:ascii="宋体" w:hAnsi="宋体" w:cs="宋体"/>
          <w:color w:val="auto"/>
          <w:kern w:val="0"/>
          <w:sz w:val="24"/>
          <w:szCs w:val="24"/>
          <w:highlight w:val="none"/>
          <w:lang w:val="en-US" w:eastAsia="zh-CN"/>
        </w:rPr>
        <w:t>。</w:t>
      </w:r>
    </w:p>
    <w:p w14:paraId="02839191">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6.法律、行政法规规定的其他条件</w:t>
      </w:r>
      <w:r>
        <w:rPr>
          <w:rFonts w:hint="eastAsia" w:ascii="宋体" w:hAnsi="宋体" w:cs="宋体"/>
          <w:color w:val="auto"/>
          <w:kern w:val="0"/>
          <w:sz w:val="24"/>
          <w:szCs w:val="24"/>
          <w:highlight w:val="none"/>
          <w:lang w:val="en-US" w:eastAsia="zh-CN"/>
        </w:rPr>
        <w:t>。</w:t>
      </w:r>
    </w:p>
    <w:p w14:paraId="7B1E7A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7.本次采购接</w:t>
      </w:r>
      <w:r>
        <w:rPr>
          <w:rFonts w:hint="eastAsia" w:ascii="宋体" w:hAnsi="宋体" w:cs="宋体"/>
          <w:color w:val="auto"/>
          <w:sz w:val="24"/>
          <w:highlight w:val="none"/>
          <w:lang w:val="en-US" w:eastAsia="zh-CN"/>
        </w:rPr>
        <w:t>不</w:t>
      </w:r>
      <w:r>
        <w:rPr>
          <w:rFonts w:hint="eastAsia" w:ascii="宋体" w:hAnsi="宋体" w:eastAsia="宋体" w:cs="宋体"/>
          <w:color w:val="auto"/>
          <w:sz w:val="24"/>
          <w:highlight w:val="none"/>
          <w:lang w:val="en-US" w:eastAsia="zh-CN"/>
        </w:rPr>
        <w:t>受联合体投标。</w:t>
      </w:r>
    </w:p>
    <w:p w14:paraId="335ED80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8.本项目的特定资格要求：</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14:paraId="32EB3D6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i w:val="0"/>
          <w:iCs w:val="0"/>
          <w:caps w:val="0"/>
          <w:color w:val="auto"/>
          <w:spacing w:val="0"/>
          <w:sz w:val="24"/>
          <w:szCs w:val="24"/>
          <w:shd w:val="clear" w:fill="FFFFFF"/>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0F5740D">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eastAsia="宋体" w:cs="宋体"/>
          <w:b/>
          <w:color w:val="auto"/>
          <w:sz w:val="24"/>
          <w:highlight w:val="none"/>
        </w:rPr>
        <w:t xml:space="preserve">文件 </w:t>
      </w:r>
    </w:p>
    <w:p w14:paraId="0220F40C">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cs="宋体"/>
          <w:b/>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1 </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 xml:space="preserve"> 14 </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w:t>
      </w:r>
      <w:r>
        <w:rPr>
          <w:rFonts w:hint="eastAsia" w:ascii="宋体" w:hAnsi="宋体" w:cs="宋体"/>
          <w:color w:val="auto"/>
          <w:sz w:val="24"/>
          <w:highlight w:val="none"/>
          <w:lang w:eastAsia="zh-CN"/>
        </w:rPr>
        <w:t>。</w:t>
      </w:r>
    </w:p>
    <w:p w14:paraId="66F521E7">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26677C25">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 xml:space="preserve">/在线申请获取采购文件（进入“项目采购”应用，在获取采购文件菜单中选择项目，申请获取采购文件）。 </w:t>
      </w:r>
    </w:p>
    <w:p w14:paraId="067ADC51">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8EC9B6D">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7DEFFF1">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提交投标文件截止时间：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 1 </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 xml:space="preserve"> 14</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B1ECC9A">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 xml:space="preserve">/） </w:t>
      </w:r>
    </w:p>
    <w:p w14:paraId="09094C49">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w:t>
      </w:r>
      <w:r>
        <w:rPr>
          <w:rFonts w:hint="eastAsia" w:ascii="宋体" w:hAnsi="宋体" w:cs="宋体"/>
          <w:color w:val="auto"/>
          <w:sz w:val="24"/>
          <w:highlight w:val="none"/>
          <w:u w:val="single"/>
          <w:lang w:val="en-US" w:eastAsia="zh-CN"/>
        </w:rPr>
        <w:t xml:space="preserve">1 </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 xml:space="preserve"> </w:t>
      </w:r>
    </w:p>
    <w:p w14:paraId="6B7FDFCC">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w:t>
      </w:r>
    </w:p>
    <w:p w14:paraId="33C6577B">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077DFBFB">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30CA82A">
      <w:pPr>
        <w:keepNext w:val="0"/>
        <w:keepLines w:val="0"/>
        <w:pageBreakBefore w:val="0"/>
        <w:numPr>
          <w:ilvl w:val="0"/>
          <w:numId w:val="0"/>
        </w:numPr>
        <w:kinsoku/>
        <w:wordWrap/>
        <w:overflowPunct/>
        <w:topLinePunct w:val="0"/>
        <w:autoSpaceDE/>
        <w:autoSpaceDN/>
        <w:bidi w:val="0"/>
        <w:adjustRightInd/>
        <w:snapToGrid w:val="0"/>
        <w:spacing w:line="336" w:lineRule="auto"/>
        <w:textAlignment w:val="auto"/>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六、投标保证金</w:t>
      </w:r>
    </w:p>
    <w:p w14:paraId="297D1F80">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投标保证金：人民币</w:t>
      </w:r>
      <w:r>
        <w:rPr>
          <w:rFonts w:hint="eastAsia" w:ascii="宋体" w:hAnsi="宋体" w:cs="宋体"/>
          <w:color w:val="auto"/>
          <w:spacing w:val="0"/>
          <w:kern w:val="2"/>
          <w:sz w:val="24"/>
          <w:szCs w:val="24"/>
          <w:highlight w:val="none"/>
          <w:lang w:val="en-US" w:eastAsia="zh-CN" w:bidi="ar-SA"/>
        </w:rPr>
        <w:t>8000.00</w:t>
      </w:r>
      <w:r>
        <w:rPr>
          <w:rFonts w:hint="eastAsia" w:ascii="宋体" w:hAnsi="宋体" w:eastAsia="宋体" w:cs="宋体"/>
          <w:color w:val="auto"/>
          <w:spacing w:val="0"/>
          <w:kern w:val="2"/>
          <w:sz w:val="24"/>
          <w:szCs w:val="24"/>
          <w:highlight w:val="none"/>
          <w:lang w:val="en-US" w:eastAsia="zh-CN" w:bidi="ar-SA"/>
        </w:rPr>
        <w:t>元（</w:t>
      </w:r>
      <w:r>
        <w:rPr>
          <w:rFonts w:hint="eastAsia" w:ascii="宋体" w:hAnsi="宋体" w:cs="宋体"/>
          <w:color w:val="auto"/>
          <w:spacing w:val="0"/>
          <w:kern w:val="2"/>
          <w:sz w:val="24"/>
          <w:szCs w:val="24"/>
          <w:highlight w:val="none"/>
          <w:lang w:val="en-US" w:eastAsia="zh-CN" w:bidi="ar-SA"/>
        </w:rPr>
        <w:t>捌仟元整</w:t>
      </w:r>
      <w:r>
        <w:rPr>
          <w:rFonts w:hint="eastAsia" w:ascii="宋体" w:hAnsi="宋体" w:eastAsia="宋体" w:cs="宋体"/>
          <w:color w:val="auto"/>
          <w:spacing w:val="0"/>
          <w:kern w:val="2"/>
          <w:sz w:val="24"/>
          <w:szCs w:val="24"/>
          <w:highlight w:val="none"/>
          <w:lang w:val="en-US" w:eastAsia="zh-CN" w:bidi="ar-SA"/>
        </w:rPr>
        <w:t xml:space="preserve">）；  </w:t>
      </w:r>
    </w:p>
    <w:p w14:paraId="67ECDC4F">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投标人应于202</w:t>
      </w:r>
      <w:r>
        <w:rPr>
          <w:rFonts w:hint="eastAsia" w:ascii="宋体" w:hAnsi="宋体" w:cs="宋体"/>
          <w:color w:val="auto"/>
          <w:spacing w:val="0"/>
          <w:kern w:val="2"/>
          <w:sz w:val="24"/>
          <w:szCs w:val="24"/>
          <w:highlight w:val="none"/>
          <w:lang w:val="en-US" w:eastAsia="zh-CN" w:bidi="ar-SA"/>
        </w:rPr>
        <w:t>5</w:t>
      </w:r>
      <w:r>
        <w:rPr>
          <w:rFonts w:hint="eastAsia" w:ascii="宋体" w:hAnsi="宋体" w:eastAsia="宋体" w:cs="宋体"/>
          <w:color w:val="auto"/>
          <w:spacing w:val="0"/>
          <w:kern w:val="2"/>
          <w:sz w:val="24"/>
          <w:szCs w:val="24"/>
          <w:highlight w:val="none"/>
          <w:lang w:val="en-US" w:eastAsia="zh-CN" w:bidi="ar-SA"/>
        </w:rPr>
        <w:t xml:space="preserve">年 </w:t>
      </w:r>
      <w:r>
        <w:rPr>
          <w:rFonts w:hint="eastAsia" w:ascii="宋体" w:hAnsi="宋体" w:cs="宋体"/>
          <w:color w:val="auto"/>
          <w:spacing w:val="0"/>
          <w:kern w:val="2"/>
          <w:sz w:val="24"/>
          <w:szCs w:val="24"/>
          <w:highlight w:val="none"/>
          <w:lang w:val="en-US" w:eastAsia="zh-CN" w:bidi="ar-SA"/>
        </w:rPr>
        <w:t xml:space="preserve">1 </w:t>
      </w:r>
      <w:r>
        <w:rPr>
          <w:rFonts w:hint="eastAsia" w:ascii="宋体" w:hAnsi="宋体" w:eastAsia="宋体" w:cs="宋体"/>
          <w:color w:val="auto"/>
          <w:spacing w:val="0"/>
          <w:kern w:val="2"/>
          <w:sz w:val="24"/>
          <w:szCs w:val="24"/>
          <w:highlight w:val="none"/>
          <w:lang w:val="en-US" w:eastAsia="zh-CN" w:bidi="ar-SA"/>
        </w:rPr>
        <w:t>月</w:t>
      </w:r>
      <w:r>
        <w:rPr>
          <w:rFonts w:hint="eastAsia" w:ascii="宋体" w:hAnsi="宋体" w:cs="宋体"/>
          <w:color w:val="auto"/>
          <w:spacing w:val="0"/>
          <w:kern w:val="2"/>
          <w:sz w:val="24"/>
          <w:szCs w:val="24"/>
          <w:highlight w:val="none"/>
          <w:lang w:val="en-US" w:eastAsia="zh-CN" w:bidi="ar-SA"/>
        </w:rPr>
        <w:t xml:space="preserve">13 </w:t>
      </w:r>
      <w:r>
        <w:rPr>
          <w:rFonts w:hint="eastAsia" w:ascii="宋体" w:hAnsi="宋体" w:eastAsia="宋体" w:cs="宋体"/>
          <w:color w:val="auto"/>
          <w:spacing w:val="0"/>
          <w:kern w:val="2"/>
          <w:sz w:val="24"/>
          <w:szCs w:val="24"/>
          <w:highlight w:val="none"/>
          <w:lang w:val="en-US" w:eastAsia="zh-CN" w:bidi="ar-SA"/>
        </w:rPr>
        <w:t>日16：00时前将投标保证金以电汇、转账、网上银行交至浙江省房地产管理咨询有限公司嵊州分公司，投标保证金以到账时间为准。</w:t>
      </w:r>
      <w:r>
        <w:rPr>
          <w:rFonts w:hint="eastAsia" w:ascii="宋体" w:hAnsi="宋体" w:eastAsia="宋体" w:cs="宋体"/>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7DC89A00">
      <w:pPr>
        <w:keepNext w:val="0"/>
        <w:keepLines w:val="0"/>
        <w:pageBreakBefore w:val="0"/>
        <w:widowControl/>
        <w:kinsoku/>
        <w:wordWrap/>
        <w:overflowPunct/>
        <w:topLinePunct w:val="0"/>
        <w:autoSpaceDN/>
        <w:bidi w:val="0"/>
        <w:adjustRightInd w:val="0"/>
        <w:spacing w:line="500" w:lineRule="exact"/>
        <w:ind w:firstLine="48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户  名：浙江省房地产管理咨询有限公司嵊州分公司</w:t>
      </w:r>
    </w:p>
    <w:p w14:paraId="25F4AD73">
      <w:pPr>
        <w:keepNext w:val="0"/>
        <w:keepLines w:val="0"/>
        <w:pageBreakBefore w:val="0"/>
        <w:widowControl w:val="0"/>
        <w:kinsoku/>
        <w:wordWrap/>
        <w:overflowPunct/>
        <w:topLinePunct w:val="0"/>
        <w:autoSpaceDE w:val="0"/>
        <w:autoSpaceDN w:val="0"/>
        <w:bidi w:val="0"/>
        <w:adjustRightInd/>
        <w:snapToGrid/>
        <w:spacing w:after="0" w:line="520" w:lineRule="exact"/>
        <w:ind w:firstLine="480" w:firstLineChars="20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开户行：嵊州农商银行剡湖支行</w:t>
      </w:r>
    </w:p>
    <w:p w14:paraId="30187E56">
      <w:pPr>
        <w:keepNext w:val="0"/>
        <w:keepLines w:val="0"/>
        <w:pageBreakBefore w:val="0"/>
        <w:widowControl w:val="0"/>
        <w:kinsoku/>
        <w:wordWrap/>
        <w:overflowPunct/>
        <w:topLinePunct w:val="0"/>
        <w:autoSpaceDE w:val="0"/>
        <w:autoSpaceDN w:val="0"/>
        <w:bidi w:val="0"/>
        <w:adjustRightInd/>
        <w:snapToGrid/>
        <w:spacing w:after="0" w:line="520" w:lineRule="exact"/>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账号：201000162958851</w:t>
      </w:r>
    </w:p>
    <w:p w14:paraId="2D91A99A">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投标保证金的退还：未中标的投标人的投标保证金将在中标通知书发出之日起3个工作日内退还，中标供应商的投标保证金在中标供应商与招标人签订采购合同后5个工作日内退还。</w:t>
      </w:r>
    </w:p>
    <w:p w14:paraId="303C781F">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rPr>
        <w:t>、其他补充事宜</w:t>
      </w:r>
    </w:p>
    <w:p w14:paraId="6C049E21">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文件使自己的权益受到损害的，可以自获取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文件之日或者</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文件公告期限届满之日（公告期限届满后获取</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w:t>
      </w:r>
      <w:r>
        <w:rPr>
          <w:rFonts w:hint="eastAsia" w:ascii="宋体" w:hAnsi="宋体" w:cs="宋体"/>
          <w:color w:val="auto"/>
          <w:sz w:val="24"/>
          <w:highlight w:val="none"/>
          <w:lang w:val="en-US" w:eastAsia="zh-CN"/>
        </w:rPr>
        <w:t>收到</w:t>
      </w:r>
      <w:r>
        <w:rPr>
          <w:rFonts w:hint="eastAsia" w:ascii="宋体" w:hAnsi="宋体" w:eastAsia="宋体" w:cs="宋体"/>
          <w:color w:val="auto"/>
          <w:sz w:val="24"/>
          <w:highlight w:val="none"/>
        </w:rPr>
        <w:t>答复</w:t>
      </w:r>
      <w:r>
        <w:rPr>
          <w:rFonts w:hint="eastAsia" w:ascii="宋体" w:hAnsi="宋体" w:cs="宋体"/>
          <w:color w:val="auto"/>
          <w:sz w:val="24"/>
          <w:highlight w:val="none"/>
          <w:lang w:val="en-US" w:eastAsia="zh-CN"/>
        </w:rPr>
        <w:t>之日或答复</w:t>
      </w:r>
      <w:r>
        <w:rPr>
          <w:rFonts w:hint="eastAsia" w:ascii="宋体" w:hAnsi="宋体" w:eastAsia="宋体" w:cs="宋体"/>
          <w:color w:val="auto"/>
          <w:sz w:val="24"/>
          <w:highlight w:val="none"/>
        </w:rPr>
        <w:t>期满后</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个工作日内向</w:t>
      </w:r>
      <w:r>
        <w:rPr>
          <w:rFonts w:hint="eastAsia" w:ascii="宋体" w:hAnsi="宋体" w:cs="宋体"/>
          <w:color w:val="auto"/>
          <w:sz w:val="24"/>
          <w:highlight w:val="none"/>
          <w:lang w:val="en-US" w:eastAsia="zh-CN"/>
        </w:rPr>
        <w:t>依法向采购人主管部门</w:t>
      </w:r>
      <w:r>
        <w:rPr>
          <w:rFonts w:hint="eastAsia" w:ascii="宋体" w:hAnsi="宋体" w:eastAsia="宋体" w:cs="宋体"/>
          <w:color w:val="auto"/>
          <w:sz w:val="24"/>
          <w:highlight w:val="none"/>
        </w:rPr>
        <w:t>投诉。</w:t>
      </w:r>
    </w:p>
    <w:p w14:paraId="6EE252C0">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w:t>
      </w:r>
      <w:r>
        <w:rPr>
          <w:rFonts w:hint="eastAsia" w:ascii="宋体" w:hAnsi="宋体" w:eastAsia="宋体" w:cs="宋体"/>
          <w:i w:val="0"/>
          <w:iCs w:val="0"/>
          <w:caps w:val="0"/>
          <w:color w:val="auto"/>
          <w:spacing w:val="0"/>
          <w:sz w:val="24"/>
          <w:szCs w:val="24"/>
        </w:rPr>
        <w:t>供应商首次使用乐采云平台需要注册账号（注册的账号为政采云账号）。</w:t>
      </w:r>
      <w:r>
        <w:rPr>
          <w:rFonts w:hint="eastAsia" w:ascii="宋体" w:hAnsi="宋体" w:eastAsia="宋体" w:cs="宋体"/>
          <w:color w:val="auto"/>
          <w:sz w:val="24"/>
          <w:highlight w:val="none"/>
        </w:rPr>
        <w:t>（1）电子招投标的说明：①电子招投标：本项目以数据电文形式，依托“</w:t>
      </w:r>
      <w:r>
        <w:rPr>
          <w:rFonts w:hint="eastAsia" w:ascii="宋体" w:hAnsi="宋体" w:eastAsia="宋体" w:cs="宋体"/>
          <w:color w:val="auto"/>
          <w:sz w:val="24"/>
          <w:highlight w:val="none"/>
          <w:lang w:val="en-US" w:eastAsia="zh-CN"/>
        </w:rPr>
        <w:t>乐采</w:t>
      </w:r>
      <w:r>
        <w:rPr>
          <w:rFonts w:hint="eastAsia" w:ascii="宋体" w:hAnsi="宋体" w:eastAsia="宋体" w:cs="宋体"/>
          <w:color w:val="auto"/>
          <w:sz w:val="24"/>
          <w:highlight w:val="none"/>
        </w:rPr>
        <w:t>云平台（www.</w:t>
      </w:r>
      <w:r>
        <w:rPr>
          <w:rFonts w:hint="eastAsia" w:ascii="宋体" w:hAnsi="宋体" w:eastAsia="宋体" w:cs="宋体"/>
          <w:color w:val="auto"/>
          <w:sz w:val="24"/>
          <w:highlight w:val="none"/>
          <w:lang w:eastAsia="zh-CN"/>
        </w:rPr>
        <w:t>lecaiyun.com</w:t>
      </w:r>
      <w:r>
        <w:rPr>
          <w:rFonts w:hint="eastAsia" w:ascii="宋体" w:hAnsi="宋体" w:eastAsia="宋体" w:cs="宋体"/>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宋体" w:hAnsi="宋体" w:cs="宋体"/>
          <w:color w:val="auto"/>
          <w:sz w:val="24"/>
          <w:highlight w:val="none"/>
          <w:lang w:val="en-US" w:eastAsia="zh-CN"/>
        </w:rPr>
        <w:t>乐</w:t>
      </w:r>
      <w:r>
        <w:rPr>
          <w:rFonts w:hint="eastAsia" w:ascii="宋体" w:hAnsi="宋体" w:eastAsia="宋体" w:cs="宋体"/>
          <w:color w:val="auto"/>
          <w:sz w:val="24"/>
          <w:highlight w:val="none"/>
          <w:lang w:eastAsia="zh-CN"/>
        </w:rPr>
        <w:t>采云</w:t>
      </w:r>
      <w:r>
        <w:rPr>
          <w:rFonts w:hint="eastAsia" w:ascii="宋体" w:hAnsi="宋体" w:eastAsia="宋体" w:cs="宋体"/>
          <w:color w:val="auto"/>
          <w:sz w:val="24"/>
          <w:highlight w:val="none"/>
        </w:rPr>
        <w:t>电</w:t>
      </w:r>
      <w:r>
        <w:rPr>
          <w:rFonts w:hint="eastAsia" w:ascii="宋体" w:hAnsi="宋体" w:eastAsia="宋体" w:cs="宋体"/>
          <w:b w:val="0"/>
          <w:bCs w:val="0"/>
          <w:color w:val="auto"/>
          <w:sz w:val="24"/>
          <w:highlight w:val="none"/>
        </w:rPr>
        <w:t>子交易客户端”----前往“浙江政府采购网-下载专区-电子交易客户端”进行下载并安装；③</w:t>
      </w:r>
      <w:r>
        <w:rPr>
          <w:rFonts w:hint="eastAsia" w:ascii="宋体" w:hAnsi="宋体" w:cs="宋体"/>
          <w:b w:val="0"/>
          <w:bCs w:val="0"/>
          <w:color w:val="auto"/>
          <w:sz w:val="24"/>
          <w:highlight w:val="none"/>
          <w:lang w:eastAsia="zh-CN"/>
        </w:rPr>
        <w:t>采购</w:t>
      </w:r>
      <w:r>
        <w:rPr>
          <w:rFonts w:hint="eastAsia" w:ascii="宋体" w:hAnsi="宋体" w:eastAsia="宋体" w:cs="宋体"/>
          <w:b w:val="0"/>
          <w:bCs w:val="0"/>
          <w:color w:val="auto"/>
          <w:sz w:val="24"/>
          <w:highlight w:val="none"/>
        </w:rPr>
        <w:t>文件的获取：使用账号登录或者使用CA登录</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平台（www.</w:t>
      </w:r>
      <w:r>
        <w:rPr>
          <w:rFonts w:hint="eastAsia" w:ascii="宋体" w:hAnsi="宋体" w:eastAsia="宋体" w:cs="宋体"/>
          <w:b w:val="0"/>
          <w:bCs w:val="0"/>
          <w:color w:val="auto"/>
          <w:sz w:val="24"/>
          <w:highlight w:val="none"/>
          <w:lang w:eastAsia="zh-CN"/>
        </w:rPr>
        <w:t>lecaiyun.com</w:t>
      </w:r>
      <w:r>
        <w:rPr>
          <w:rFonts w:hint="eastAsia" w:ascii="宋体" w:hAnsi="宋体" w:eastAsia="宋体" w:cs="宋体"/>
          <w:b w:val="0"/>
          <w:bCs w:val="0"/>
          <w:color w:val="auto"/>
          <w:sz w:val="24"/>
          <w:highlight w:val="none"/>
        </w:rPr>
        <w:t>）；进入“项目采购”应用，在获取采购文件菜单中选择项目，获取</w:t>
      </w:r>
      <w:r>
        <w:rPr>
          <w:rFonts w:hint="eastAsia" w:ascii="宋体" w:hAnsi="宋体" w:cs="宋体"/>
          <w:b w:val="0"/>
          <w:bCs w:val="0"/>
          <w:color w:val="auto"/>
          <w:sz w:val="24"/>
          <w:highlight w:val="none"/>
          <w:lang w:eastAsia="zh-CN"/>
        </w:rPr>
        <w:t>采购</w:t>
      </w:r>
      <w:r>
        <w:rPr>
          <w:rFonts w:hint="eastAsia" w:ascii="宋体" w:hAnsi="宋体" w:eastAsia="宋体" w:cs="宋体"/>
          <w:b w:val="0"/>
          <w:bCs w:val="0"/>
          <w:color w:val="auto"/>
          <w:sz w:val="24"/>
          <w:highlight w:val="none"/>
        </w:rPr>
        <w:t>文件；④投标文件的制作：在“</w:t>
      </w:r>
      <w:r>
        <w:rPr>
          <w:rFonts w:hint="eastAsia" w:ascii="宋体" w:hAnsi="宋体" w:cs="宋体"/>
          <w:b w:val="0"/>
          <w:bCs w:val="0"/>
          <w:color w:val="auto"/>
          <w:sz w:val="24"/>
          <w:highlight w:val="none"/>
          <w:lang w:eastAsia="zh-CN"/>
        </w:rPr>
        <w:t>乐</w:t>
      </w:r>
      <w:r>
        <w:rPr>
          <w:rFonts w:hint="eastAsia" w:ascii="宋体" w:hAnsi="宋体" w:eastAsia="宋体" w:cs="宋体"/>
          <w:b w:val="0"/>
          <w:bCs w:val="0"/>
          <w:color w:val="auto"/>
          <w:sz w:val="24"/>
          <w:highlight w:val="none"/>
          <w:lang w:eastAsia="zh-CN"/>
        </w:rPr>
        <w:t>采云电子交易客户端</w:t>
      </w:r>
      <w:r>
        <w:rPr>
          <w:rFonts w:hint="eastAsia" w:ascii="宋体" w:hAnsi="宋体" w:eastAsia="宋体" w:cs="宋体"/>
          <w:b w:val="0"/>
          <w:bCs w:val="0"/>
          <w:color w:val="auto"/>
          <w:sz w:val="24"/>
          <w:highlight w:val="none"/>
        </w:rPr>
        <w:t>”中完成“填写基本信息”、“导入投标文件”、“标书关联”、“标书检查”、“电子签名”、“生成电子标书”等操作；⑤采购人、采购机构将依托</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平台完成本项目的电子交易活动，平台不接受未按上述方式获取</w:t>
      </w:r>
      <w:r>
        <w:rPr>
          <w:rFonts w:hint="eastAsia" w:ascii="宋体" w:hAnsi="宋体" w:cs="宋体"/>
          <w:b w:val="0"/>
          <w:bCs w:val="0"/>
          <w:color w:val="auto"/>
          <w:sz w:val="24"/>
          <w:highlight w:val="none"/>
          <w:lang w:eastAsia="zh-CN"/>
        </w:rPr>
        <w:t>采购</w:t>
      </w:r>
      <w:r>
        <w:rPr>
          <w:rFonts w:hint="eastAsia" w:ascii="宋体" w:hAnsi="宋体" w:eastAsia="宋体" w:cs="宋体"/>
          <w:b w:val="0"/>
          <w:bCs w:val="0"/>
          <w:color w:val="auto"/>
          <w:sz w:val="24"/>
          <w:highlight w:val="none"/>
        </w:rPr>
        <w:t>文件的供应商进行投标活动； ⑥对未按上述方式获取</w:t>
      </w:r>
      <w:r>
        <w:rPr>
          <w:rFonts w:hint="eastAsia" w:ascii="宋体" w:hAnsi="宋体" w:cs="宋体"/>
          <w:b w:val="0"/>
          <w:bCs w:val="0"/>
          <w:color w:val="auto"/>
          <w:sz w:val="24"/>
          <w:highlight w:val="none"/>
          <w:lang w:eastAsia="zh-CN"/>
        </w:rPr>
        <w:t>采购</w:t>
      </w:r>
      <w:r>
        <w:rPr>
          <w:rFonts w:hint="eastAsia" w:ascii="宋体" w:hAnsi="宋体" w:eastAsia="宋体" w:cs="宋体"/>
          <w:b w:val="0"/>
          <w:bCs w:val="0"/>
          <w:color w:val="auto"/>
          <w:sz w:val="24"/>
          <w:highlight w:val="none"/>
        </w:rPr>
        <w:t>文件的供应商对该文件提出的质疑，采购人或采购代理机构将不予处理；⑦不提供</w:t>
      </w:r>
      <w:r>
        <w:rPr>
          <w:rFonts w:hint="eastAsia" w:ascii="宋体" w:hAnsi="宋体" w:cs="宋体"/>
          <w:b w:val="0"/>
          <w:bCs w:val="0"/>
          <w:color w:val="auto"/>
          <w:sz w:val="24"/>
          <w:highlight w:val="none"/>
          <w:lang w:eastAsia="zh-CN"/>
        </w:rPr>
        <w:t>采购</w:t>
      </w:r>
      <w:r>
        <w:rPr>
          <w:rFonts w:hint="eastAsia" w:ascii="宋体" w:hAnsi="宋体" w:eastAsia="宋体" w:cs="宋体"/>
          <w:b w:val="0"/>
          <w:bCs w:val="0"/>
          <w:color w:val="auto"/>
          <w:sz w:val="24"/>
          <w:highlight w:val="none"/>
        </w:rPr>
        <w:t>文件纸质版；⑧投标文件的传输递交：投标人在投标截止时间前将加密的投标文件上传至</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平台，还可以在投标截止时间前直接提交或者以</w:t>
      </w:r>
      <w:r>
        <w:rPr>
          <w:rFonts w:hint="eastAsia" w:ascii="宋体" w:hAnsi="宋体" w:cs="宋体"/>
          <w:b w:val="0"/>
          <w:bCs w:val="0"/>
          <w:color w:val="auto"/>
          <w:sz w:val="24"/>
          <w:highlight w:val="none"/>
          <w:lang w:val="en-US" w:eastAsia="zh-CN"/>
        </w:rPr>
        <w:t>顺丰快递（建议）</w:t>
      </w:r>
      <w:r>
        <w:rPr>
          <w:rFonts w:hint="eastAsia" w:ascii="宋体" w:hAnsi="宋体" w:eastAsia="宋体" w:cs="宋体"/>
          <w:b w:val="0"/>
          <w:bCs w:val="0"/>
          <w:color w:val="auto"/>
          <w:sz w:val="24"/>
          <w:highlight w:val="none"/>
        </w:rPr>
        <w:t>方式递交备份投标文件1份。⑨投标文件的解密：投标人按照平台提示和</w:t>
      </w:r>
      <w:r>
        <w:rPr>
          <w:rFonts w:hint="eastAsia" w:ascii="宋体" w:hAnsi="宋体" w:cs="宋体"/>
          <w:b w:val="0"/>
          <w:bCs w:val="0"/>
          <w:color w:val="auto"/>
          <w:sz w:val="24"/>
          <w:highlight w:val="none"/>
          <w:lang w:eastAsia="zh-CN"/>
        </w:rPr>
        <w:t>采购</w:t>
      </w:r>
      <w:r>
        <w:rPr>
          <w:rFonts w:hint="eastAsia" w:ascii="宋体" w:hAnsi="宋体" w:eastAsia="宋体" w:cs="宋体"/>
          <w:b w:val="0"/>
          <w:bCs w:val="0"/>
          <w:color w:val="auto"/>
          <w:sz w:val="24"/>
          <w:highlight w:val="none"/>
        </w:rPr>
        <w:t>文件的规定在半小时内完成在线解密。通过</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平台（www.</w:t>
      </w:r>
      <w:r>
        <w:rPr>
          <w:rFonts w:hint="eastAsia" w:ascii="宋体" w:hAnsi="宋体" w:eastAsia="宋体" w:cs="宋体"/>
          <w:b w:val="0"/>
          <w:bCs w:val="0"/>
          <w:color w:val="auto"/>
          <w:sz w:val="24"/>
          <w:highlight w:val="none"/>
          <w:lang w:eastAsia="zh-CN"/>
        </w:rPr>
        <w:t>lecaiyun.com</w:t>
      </w:r>
      <w:r>
        <w:rPr>
          <w:rFonts w:hint="eastAsia" w:ascii="宋体" w:hAnsi="宋体" w:eastAsia="宋体" w:cs="宋体"/>
          <w:b w:val="0"/>
          <w:bCs w:val="0"/>
          <w:color w:val="auto"/>
          <w:sz w:val="24"/>
          <w:highlight w:val="none"/>
        </w:rPr>
        <w:t>）上传递交的投标文件无法按时解密，投标供应商递交了备份投标文件的，以备份投标文件为依据，否则视为投标文件撤回。通过“</w:t>
      </w:r>
      <w:r>
        <w:rPr>
          <w:rFonts w:hint="eastAsia" w:ascii="宋体" w:hAnsi="宋体" w:cs="宋体"/>
          <w:b w:val="0"/>
          <w:bCs w:val="0"/>
          <w:color w:val="auto"/>
          <w:sz w:val="24"/>
          <w:highlight w:val="none"/>
          <w:lang w:val="en-US" w:eastAsia="zh-CN"/>
        </w:rPr>
        <w:t>乐采</w:t>
      </w:r>
      <w:r>
        <w:rPr>
          <w:rFonts w:hint="eastAsia" w:ascii="宋体" w:hAnsi="宋体" w:eastAsia="宋体" w:cs="宋体"/>
          <w:b w:val="0"/>
          <w:bCs w:val="0"/>
          <w:color w:val="auto"/>
          <w:sz w:val="24"/>
          <w:highlight w:val="none"/>
        </w:rPr>
        <w:t>云平台”上传递交的投标文件已按时解密的，备份投标文件自动失效。投标人仅提交备份投标文件，没有在</w:t>
      </w:r>
      <w:r>
        <w:rPr>
          <w:rFonts w:hint="eastAsia" w:ascii="宋体" w:hAnsi="宋体" w:cs="宋体"/>
          <w:b w:val="0"/>
          <w:bCs w:val="0"/>
          <w:color w:val="auto"/>
          <w:sz w:val="24"/>
          <w:highlight w:val="none"/>
          <w:lang w:val="en-US" w:eastAsia="zh-CN"/>
        </w:rPr>
        <w:t>乐采云</w:t>
      </w:r>
      <w:r>
        <w:rPr>
          <w:rFonts w:hint="eastAsia" w:ascii="宋体" w:hAnsi="宋体" w:eastAsia="宋体" w:cs="宋体"/>
          <w:b w:val="0"/>
          <w:bCs w:val="0"/>
          <w:color w:val="auto"/>
          <w:sz w:val="24"/>
          <w:highlight w:val="none"/>
        </w:rPr>
        <w:t>电子交易平台传输递交投标文件的，投标无效；⑩具体操作指南：详见</w:t>
      </w:r>
      <w:r>
        <w:rPr>
          <w:rFonts w:hint="eastAsia" w:ascii="宋体" w:hAnsi="宋体" w:cs="宋体"/>
          <w:b w:val="0"/>
          <w:bCs w:val="0"/>
          <w:color w:val="auto"/>
          <w:sz w:val="24"/>
          <w:highlight w:val="none"/>
          <w:lang w:val="en-US" w:eastAsia="zh-CN"/>
        </w:rPr>
        <w:t>乐采</w:t>
      </w:r>
      <w:r>
        <w:rPr>
          <w:rFonts w:hint="eastAsia" w:ascii="宋体" w:hAnsi="宋体" w:eastAsia="宋体" w:cs="宋体"/>
          <w:b w:val="0"/>
          <w:bCs w:val="0"/>
          <w:color w:val="auto"/>
          <w:sz w:val="24"/>
          <w:highlight w:val="none"/>
          <w:lang w:eastAsia="zh-CN"/>
        </w:rPr>
        <w:t>云</w:t>
      </w:r>
      <w:r>
        <w:rPr>
          <w:rFonts w:hint="eastAsia" w:ascii="宋体" w:hAnsi="宋体" w:eastAsia="宋体" w:cs="宋体"/>
          <w:b w:val="0"/>
          <w:bCs w:val="0"/>
          <w:color w:val="auto"/>
          <w:sz w:val="24"/>
          <w:highlight w:val="none"/>
        </w:rPr>
        <w:t>平台“服务中心-帮助文档-项目采购-操作流程-电子招投标-政府采购项目电子交易管理操作指南-供应商”。</w:t>
      </w:r>
    </w:p>
    <w:p w14:paraId="22F740F8">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、对本次采购提出询问、质疑、投诉，请按以下方式联系</w:t>
      </w:r>
    </w:p>
    <w:p w14:paraId="7591AB22">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792D9358">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i w:val="0"/>
          <w:iCs w:val="0"/>
          <w:color w:val="auto"/>
          <w:sz w:val="24"/>
          <w:highlight w:val="none"/>
          <w:u w:val="none"/>
        </w:rPr>
      </w:pPr>
      <w:r>
        <w:rPr>
          <w:rFonts w:hint="eastAsia" w:ascii="宋体" w:hAnsi="宋体" w:eastAsia="宋体" w:cs="宋体"/>
          <w:color w:val="auto"/>
          <w:sz w:val="24"/>
          <w:highlight w:val="none"/>
        </w:rPr>
        <w:t xml:space="preserve">    名    称</w:t>
      </w:r>
      <w:r>
        <w:rPr>
          <w:rFonts w:hint="eastAsia" w:ascii="宋体" w:hAnsi="宋体" w:eastAsia="宋体" w:cs="宋体"/>
          <w:i w:val="0"/>
          <w:iCs w:val="0"/>
          <w:color w:val="auto"/>
          <w:sz w:val="24"/>
          <w:highlight w:val="none"/>
          <w:u w:val="none"/>
        </w:rPr>
        <w:t>：</w:t>
      </w:r>
      <w:r>
        <w:rPr>
          <w:rFonts w:hint="eastAsia" w:ascii="宋体" w:hAnsi="宋体" w:cs="宋体"/>
          <w:b w:val="0"/>
          <w:bCs w:val="0"/>
          <w:i w:val="0"/>
          <w:iCs w:val="0"/>
          <w:color w:val="auto"/>
          <w:sz w:val="24"/>
          <w:szCs w:val="24"/>
          <w:highlight w:val="none"/>
          <w:u w:val="none"/>
          <w:lang w:val="en-US" w:eastAsia="zh-CN"/>
        </w:rPr>
        <w:t>嵊州市商业发展集团有限公司</w:t>
      </w:r>
    </w:p>
    <w:p w14:paraId="3E3B602B">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i w:val="0"/>
          <w:iCs w:val="0"/>
          <w:color w:val="auto"/>
          <w:sz w:val="24"/>
          <w:highlight w:val="none"/>
          <w:u w:val="none"/>
        </w:rPr>
        <w:t xml:space="preserve">    地    址：</w:t>
      </w:r>
      <w:r>
        <w:rPr>
          <w:rFonts w:hint="eastAsia" w:ascii="宋体" w:hAnsi="宋体" w:cs="宋体"/>
          <w:i w:val="0"/>
          <w:iCs w:val="0"/>
          <w:color w:val="auto"/>
          <w:sz w:val="24"/>
          <w:szCs w:val="24"/>
          <w:highlight w:val="none"/>
          <w:u w:val="none"/>
          <w:lang w:eastAsia="zh-CN"/>
        </w:rPr>
        <w:t xml:space="preserve">嵊州市三江街道官河南路699号三楼 </w:t>
      </w:r>
      <w:r>
        <w:rPr>
          <w:rFonts w:hint="eastAsia" w:ascii="宋体" w:hAnsi="宋体" w:eastAsia="宋体" w:cs="宋体"/>
          <w:color w:val="auto"/>
          <w:sz w:val="24"/>
          <w:highlight w:val="none"/>
        </w:rPr>
        <w:t xml:space="preserve">       </w:t>
      </w:r>
    </w:p>
    <w:p w14:paraId="05183741">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9D85950">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项目联系人（询问）：黄烨铖  </w:t>
      </w:r>
    </w:p>
    <w:p w14:paraId="1BD96EC2">
      <w:pPr>
        <w:pStyle w:val="23"/>
        <w:keepNext w:val="0"/>
        <w:keepLines w:val="0"/>
        <w:pageBreakBefore w:val="0"/>
        <w:widowControl/>
        <w:suppressLineNumbers w:val="0"/>
        <w:kinsoku/>
        <w:wordWrap/>
        <w:overflowPunct/>
        <w:topLinePunct w:val="0"/>
        <w:autoSpaceDN/>
        <w:bidi w:val="0"/>
        <w:adjustRightInd/>
        <w:snapToGrid/>
        <w:spacing w:before="0" w:beforeAutospacing="0" w:after="0" w:afterAutospacing="0" w:line="7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0575-83176707</w:t>
      </w:r>
    </w:p>
    <w:p w14:paraId="5605C158">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3DB63D1">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szCs w:val="24"/>
          <w:highlight w:val="none"/>
          <w:lang w:eastAsia="zh-CN"/>
        </w:rPr>
        <w:t>浙江省房地产管理咨询有限公司</w:t>
      </w:r>
      <w:r>
        <w:rPr>
          <w:rFonts w:hint="eastAsia" w:ascii="宋体" w:hAnsi="宋体" w:eastAsia="宋体" w:cs="宋体"/>
          <w:color w:val="auto"/>
          <w:sz w:val="24"/>
          <w:szCs w:val="24"/>
          <w:highlight w:val="none"/>
        </w:rPr>
        <w:t xml:space="preserve"> </w:t>
      </w:r>
    </w:p>
    <w:p w14:paraId="18CD50A0">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地    址： </w:t>
      </w:r>
      <w:r>
        <w:rPr>
          <w:rFonts w:hint="eastAsia" w:ascii="宋体" w:hAnsi="宋体" w:cs="宋体"/>
          <w:color w:val="auto"/>
          <w:sz w:val="24"/>
          <w:szCs w:val="24"/>
          <w:highlight w:val="none"/>
          <w:lang w:eastAsia="zh-CN"/>
        </w:rPr>
        <w:t>嵊州市三江街道兴旺街281号5号楼6楼</w:t>
      </w:r>
    </w:p>
    <w:p w14:paraId="0EEF0C4D">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3AD39BD0">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钱工</w:t>
      </w:r>
      <w:r>
        <w:rPr>
          <w:rFonts w:hint="eastAsia" w:ascii="宋体" w:hAnsi="宋体" w:eastAsia="宋体" w:cs="宋体"/>
          <w:color w:val="auto"/>
          <w:sz w:val="24"/>
          <w:highlight w:val="none"/>
        </w:rPr>
        <w:t xml:space="preserve">      </w:t>
      </w:r>
    </w:p>
    <w:p w14:paraId="08EC14B6">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13858558585</w:t>
      </w:r>
    </w:p>
    <w:p w14:paraId="5795CB51">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p>
    <w:p w14:paraId="0514A646">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7127578F">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317F4D3">
      <w:pPr>
        <w:pStyle w:val="4"/>
        <w:jc w:val="both"/>
        <w:outlineLvl w:val="9"/>
        <w:rPr>
          <w:rFonts w:hint="eastAsia" w:ascii="宋体" w:hAnsi="宋体" w:eastAsia="宋体" w:cs="宋体"/>
          <w:b w:val="0"/>
          <w:bCs w:val="0"/>
          <w:color w:val="auto"/>
          <w:sz w:val="28"/>
          <w:szCs w:val="28"/>
          <w:highlight w:val="none"/>
          <w:lang w:val="en-US" w:eastAsia="zh-CN"/>
        </w:rPr>
      </w:pPr>
    </w:p>
    <w:p w14:paraId="47917DD4">
      <w:pPr>
        <w:rPr>
          <w:color w:val="auto"/>
          <w:highlight w:val="none"/>
        </w:rPr>
      </w:pPr>
    </w:p>
    <w:p w14:paraId="0B50595F">
      <w:pPr>
        <w:pStyle w:val="4"/>
        <w:outlineLvl w:val="9"/>
        <w:rPr>
          <w:color w:val="auto"/>
          <w:highlight w:val="none"/>
        </w:rPr>
      </w:pPr>
    </w:p>
    <w:p w14:paraId="1FC6A8FF">
      <w:pPr>
        <w:rPr>
          <w:color w:val="auto"/>
          <w:highlight w:val="none"/>
        </w:rPr>
      </w:pPr>
    </w:p>
    <w:p w14:paraId="2D991DAC">
      <w:pPr>
        <w:adjustRightInd/>
        <w:spacing w:line="360" w:lineRule="auto"/>
        <w:jc w:val="center"/>
        <w:outlineLvl w:val="9"/>
        <w:rPr>
          <w:rFonts w:hint="eastAsia" w:ascii="宋体" w:hAnsi="宋体" w:eastAsia="宋体" w:cs="宋体"/>
          <w:b/>
          <w:color w:val="auto"/>
          <w:sz w:val="32"/>
          <w:szCs w:val="32"/>
          <w:highlight w:val="none"/>
        </w:rPr>
      </w:pPr>
      <w:bookmarkStart w:id="12" w:name="_Toc32071"/>
    </w:p>
    <w:p w14:paraId="60FCA51B">
      <w:pPr>
        <w:rPr>
          <w:rFonts w:hint="eastAsia" w:ascii="宋体" w:hAnsi="宋体" w:eastAsia="宋体" w:cs="宋体"/>
          <w:b/>
          <w:color w:val="auto"/>
          <w:sz w:val="32"/>
          <w:szCs w:val="32"/>
          <w:highlight w:val="none"/>
        </w:rPr>
      </w:pPr>
      <w:bookmarkStart w:id="13" w:name="_Toc15391"/>
      <w:r>
        <w:rPr>
          <w:rFonts w:hint="eastAsia" w:ascii="宋体" w:hAnsi="宋体" w:eastAsia="宋体" w:cs="宋体"/>
          <w:b/>
          <w:color w:val="auto"/>
          <w:sz w:val="32"/>
          <w:szCs w:val="32"/>
          <w:highlight w:val="none"/>
        </w:rPr>
        <w:br w:type="page"/>
      </w:r>
    </w:p>
    <w:p w14:paraId="68A68223">
      <w:pPr>
        <w:adjustRightInd/>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投标人须知</w:t>
      </w:r>
      <w:bookmarkEnd w:id="12"/>
      <w:bookmarkEnd w:id="13"/>
    </w:p>
    <w:p w14:paraId="413EFA69">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cs="宋体"/>
          <w:b/>
          <w:color w:val="auto"/>
          <w:sz w:val="32"/>
          <w:szCs w:val="20"/>
          <w:highlight w:val="none"/>
          <w:lang w:val="en-US" w:eastAsia="zh-CN"/>
        </w:rPr>
        <w:t>一、</w:t>
      </w:r>
      <w:r>
        <w:rPr>
          <w:rFonts w:hint="eastAsia" w:ascii="宋体" w:hAnsi="宋体" w:eastAsia="宋体" w:cs="宋体"/>
          <w:b/>
          <w:color w:val="auto"/>
          <w:sz w:val="32"/>
          <w:szCs w:val="20"/>
          <w:highlight w:val="none"/>
        </w:rPr>
        <w:t>前附表</w:t>
      </w:r>
    </w:p>
    <w:tbl>
      <w:tblPr>
        <w:tblStyle w:val="2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19"/>
      </w:tblGrid>
      <w:tr w14:paraId="3BE0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1" w:type="dxa"/>
            <w:noWrap w:val="0"/>
            <w:vAlign w:val="center"/>
          </w:tcPr>
          <w:p w14:paraId="63013693">
            <w:pPr>
              <w:pageBreakBefore w:val="0"/>
              <w:kinsoku/>
              <w:wordWrap/>
              <w:overflowPunct/>
              <w:topLinePunct w:val="0"/>
              <w:bidi w:val="0"/>
              <w:adjustRightInd/>
              <w:spacing w:before="156" w:beforeLines="50" w:after="93" w:afterLines="30"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19" w:type="dxa"/>
            <w:noWrap w:val="0"/>
            <w:vAlign w:val="center"/>
          </w:tcPr>
          <w:p w14:paraId="4C7061AF">
            <w:pPr>
              <w:pageBreakBefore w:val="0"/>
              <w:kinsoku/>
              <w:wordWrap/>
              <w:overflowPunct/>
              <w:topLinePunct w:val="0"/>
              <w:bidi w:val="0"/>
              <w:adjustRightInd/>
              <w:spacing w:before="156" w:beforeLines="50" w:after="93" w:afterLines="30"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r>
      <w:tr w14:paraId="3591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61" w:type="dxa"/>
            <w:noWrap w:val="0"/>
            <w:vAlign w:val="center"/>
          </w:tcPr>
          <w:p w14:paraId="3EC0CA85">
            <w:pPr>
              <w:pageBreakBefore w:val="0"/>
              <w:kinsoku/>
              <w:wordWrap/>
              <w:overflowPunct/>
              <w:topLinePunct w:val="0"/>
              <w:bidi w:val="0"/>
              <w:adjustRightInd/>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19" w:type="dxa"/>
            <w:noWrap w:val="0"/>
            <w:vAlign w:val="center"/>
          </w:tcPr>
          <w:p w14:paraId="1BD448C9">
            <w:pPr>
              <w:pStyle w:val="6"/>
              <w:pageBreakBefore w:val="0"/>
              <w:numPr>
                <w:ilvl w:val="0"/>
                <w:numId w:val="0"/>
              </w:numPr>
              <w:shd w:val="clear" w:color="auto" w:fill="FFFFFF"/>
              <w:kinsoku/>
              <w:wordWrap/>
              <w:overflowPunct/>
              <w:topLinePunct w:val="0"/>
              <w:bidi w:val="0"/>
              <w:adjustRightInd/>
              <w:spacing w:before="0" w:after="0" w:line="520" w:lineRule="exact"/>
              <w:ind w:left="313" w:hanging="357" w:hangingChars="149"/>
              <w:outlineLvl w:val="2"/>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项目名称</w:t>
            </w:r>
            <w:r>
              <w:rPr>
                <w:rFonts w:hint="eastAsia" w:ascii="宋体" w:hAnsi="宋体" w:eastAsia="宋体" w:cs="宋体"/>
                <w:bCs/>
                <w:color w:val="auto"/>
                <w:sz w:val="24"/>
                <w:szCs w:val="24"/>
              </w:rPr>
              <w:t>：</w:t>
            </w:r>
            <w:r>
              <w:rPr>
                <w:rFonts w:hint="eastAsia" w:ascii="宋体" w:hAnsi="宋体" w:eastAsia="宋体" w:cs="宋体"/>
                <w:b w:val="0"/>
                <w:color w:val="auto"/>
                <w:sz w:val="24"/>
                <w:szCs w:val="24"/>
                <w:lang w:eastAsia="zh-CN"/>
              </w:rPr>
              <w:t>嵊州小吃（越秀路)旗舰店项目—厨房设备采购</w:t>
            </w:r>
          </w:p>
          <w:p w14:paraId="55A9B505">
            <w:pPr>
              <w:pageBreakBefore w:val="0"/>
              <w:kinsoku/>
              <w:wordWrap/>
              <w:overflowPunct/>
              <w:topLinePunct w:val="0"/>
              <w:bidi w:val="0"/>
              <w:adjustRightInd/>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项目的实施范围及内容：详见第三部分</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项目内容及要求</w:t>
            </w:r>
          </w:p>
        </w:tc>
      </w:tr>
      <w:tr w14:paraId="19F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 w:type="dxa"/>
            <w:noWrap w:val="0"/>
            <w:vAlign w:val="center"/>
          </w:tcPr>
          <w:p w14:paraId="47368652">
            <w:pPr>
              <w:pageBreakBefore w:val="0"/>
              <w:kinsoku/>
              <w:wordWrap/>
              <w:overflowPunct/>
              <w:topLinePunct w:val="0"/>
              <w:bidi w:val="0"/>
              <w:adjustRightInd/>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9" w:type="dxa"/>
            <w:noWrap w:val="0"/>
            <w:vAlign w:val="center"/>
          </w:tcPr>
          <w:p w14:paraId="1ACDE9E4">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有效期：</w:t>
            </w:r>
            <w:r>
              <w:rPr>
                <w:rFonts w:hint="eastAsia" w:ascii="宋体" w:hAnsi="宋体" w:eastAsia="宋体" w:cs="宋体"/>
                <w:color w:val="auto"/>
                <w:sz w:val="24"/>
                <w:szCs w:val="24"/>
              </w:rPr>
              <w:t>自</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截止日起90天。</w:t>
            </w:r>
          </w:p>
        </w:tc>
      </w:tr>
      <w:tr w14:paraId="0CBF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 w:type="dxa"/>
            <w:noWrap w:val="0"/>
            <w:vAlign w:val="center"/>
          </w:tcPr>
          <w:p w14:paraId="5BB3D2C3">
            <w:pPr>
              <w:pageBreakBefore w:val="0"/>
              <w:kinsoku/>
              <w:wordWrap/>
              <w:overflowPunct/>
              <w:topLinePunct w:val="0"/>
              <w:bidi w:val="0"/>
              <w:adjustRightInd/>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19" w:type="dxa"/>
            <w:noWrap w:val="0"/>
            <w:vAlign w:val="center"/>
          </w:tcPr>
          <w:p w14:paraId="60CFEAC1">
            <w:pPr>
              <w:keepNext w:val="0"/>
              <w:keepLines w:val="0"/>
              <w:pageBreakBefore w:val="0"/>
              <w:numPr>
                <w:ilvl w:val="0"/>
                <w:numId w:val="0"/>
              </w:numPr>
              <w:kinsoku/>
              <w:wordWrap/>
              <w:overflowPunct/>
              <w:topLinePunct w:val="0"/>
              <w:autoSpaceDE/>
              <w:autoSpaceDN/>
              <w:bidi w:val="0"/>
              <w:adjustRightInd/>
              <w:snapToGrid w:val="0"/>
              <w:spacing w:line="336" w:lineRule="auto"/>
              <w:ind w:firstLine="482"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b/>
                <w:color w:val="auto"/>
                <w:sz w:val="24"/>
                <w:szCs w:val="24"/>
              </w:rPr>
              <w:t>投标保证金：</w:t>
            </w:r>
            <w:r>
              <w:rPr>
                <w:rFonts w:hint="eastAsia" w:ascii="宋体" w:hAnsi="宋体" w:eastAsia="宋体" w:cs="宋体"/>
                <w:color w:val="auto"/>
                <w:spacing w:val="0"/>
                <w:kern w:val="2"/>
                <w:sz w:val="24"/>
                <w:szCs w:val="24"/>
                <w:highlight w:val="none"/>
                <w:lang w:val="en-US" w:eastAsia="zh-CN" w:bidi="ar-SA"/>
              </w:rPr>
              <w:t>人民币</w:t>
            </w:r>
            <w:r>
              <w:rPr>
                <w:rFonts w:hint="eastAsia" w:ascii="宋体" w:hAnsi="宋体" w:cs="宋体"/>
                <w:color w:val="auto"/>
                <w:spacing w:val="0"/>
                <w:kern w:val="2"/>
                <w:sz w:val="24"/>
                <w:szCs w:val="24"/>
                <w:highlight w:val="none"/>
                <w:lang w:val="en-US" w:eastAsia="zh-CN" w:bidi="ar-SA"/>
              </w:rPr>
              <w:t>8000.00</w:t>
            </w:r>
            <w:r>
              <w:rPr>
                <w:rFonts w:hint="eastAsia" w:ascii="宋体" w:hAnsi="宋体" w:eastAsia="宋体" w:cs="宋体"/>
                <w:color w:val="auto"/>
                <w:spacing w:val="0"/>
                <w:kern w:val="2"/>
                <w:sz w:val="24"/>
                <w:szCs w:val="24"/>
                <w:highlight w:val="none"/>
                <w:lang w:val="en-US" w:eastAsia="zh-CN" w:bidi="ar-SA"/>
              </w:rPr>
              <w:t>元（</w:t>
            </w:r>
            <w:r>
              <w:rPr>
                <w:rFonts w:hint="eastAsia" w:ascii="宋体" w:hAnsi="宋体" w:cs="宋体"/>
                <w:color w:val="auto"/>
                <w:spacing w:val="0"/>
                <w:kern w:val="2"/>
                <w:sz w:val="24"/>
                <w:szCs w:val="24"/>
                <w:highlight w:val="none"/>
                <w:lang w:val="en-US" w:eastAsia="zh-CN" w:bidi="ar-SA"/>
              </w:rPr>
              <w:t>捌仟元整</w:t>
            </w:r>
            <w:r>
              <w:rPr>
                <w:rFonts w:hint="eastAsia" w:ascii="宋体" w:hAnsi="宋体" w:eastAsia="宋体" w:cs="宋体"/>
                <w:color w:val="auto"/>
                <w:spacing w:val="0"/>
                <w:kern w:val="2"/>
                <w:sz w:val="24"/>
                <w:szCs w:val="24"/>
                <w:highlight w:val="none"/>
                <w:lang w:val="en-US" w:eastAsia="zh-CN" w:bidi="ar-SA"/>
              </w:rPr>
              <w:t xml:space="preserve">）；  </w:t>
            </w:r>
          </w:p>
          <w:p w14:paraId="24FE66A1">
            <w:pPr>
              <w:keepNext w:val="0"/>
              <w:keepLines w:val="0"/>
              <w:pageBreakBefore w:val="0"/>
              <w:numPr>
                <w:ilvl w:val="0"/>
                <w:numId w:val="0"/>
              </w:numPr>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投标人应于202</w:t>
            </w:r>
            <w:r>
              <w:rPr>
                <w:rFonts w:hint="eastAsia" w:ascii="宋体" w:hAnsi="宋体" w:cs="宋体"/>
                <w:color w:val="auto"/>
                <w:spacing w:val="0"/>
                <w:kern w:val="2"/>
                <w:sz w:val="24"/>
                <w:szCs w:val="24"/>
                <w:highlight w:val="none"/>
                <w:lang w:val="en-US" w:eastAsia="zh-CN" w:bidi="ar-SA"/>
              </w:rPr>
              <w:t>5</w:t>
            </w:r>
            <w:r>
              <w:rPr>
                <w:rFonts w:hint="eastAsia" w:ascii="宋体" w:hAnsi="宋体" w:eastAsia="宋体" w:cs="宋体"/>
                <w:color w:val="auto"/>
                <w:spacing w:val="0"/>
                <w:kern w:val="2"/>
                <w:sz w:val="24"/>
                <w:szCs w:val="24"/>
                <w:highlight w:val="none"/>
                <w:lang w:val="en-US" w:eastAsia="zh-CN" w:bidi="ar-SA"/>
              </w:rPr>
              <w:t xml:space="preserve">年 </w:t>
            </w:r>
            <w:r>
              <w:rPr>
                <w:rFonts w:hint="eastAsia" w:ascii="宋体" w:hAnsi="宋体" w:cs="宋体"/>
                <w:color w:val="auto"/>
                <w:spacing w:val="0"/>
                <w:kern w:val="2"/>
                <w:sz w:val="24"/>
                <w:szCs w:val="24"/>
                <w:highlight w:val="none"/>
                <w:lang w:val="en-US" w:eastAsia="zh-CN" w:bidi="ar-SA"/>
              </w:rPr>
              <w:t>1</w:t>
            </w:r>
            <w:r>
              <w:rPr>
                <w:rFonts w:hint="eastAsia" w:ascii="宋体" w:hAnsi="宋体" w:eastAsia="宋体" w:cs="宋体"/>
                <w:color w:val="auto"/>
                <w:spacing w:val="0"/>
                <w:kern w:val="2"/>
                <w:sz w:val="24"/>
                <w:szCs w:val="24"/>
                <w:highlight w:val="none"/>
                <w:lang w:val="en-US" w:eastAsia="zh-CN" w:bidi="ar-SA"/>
              </w:rPr>
              <w:t>月</w:t>
            </w:r>
            <w:r>
              <w:rPr>
                <w:rFonts w:hint="eastAsia" w:ascii="宋体" w:hAnsi="宋体" w:cs="宋体"/>
                <w:color w:val="auto"/>
                <w:spacing w:val="0"/>
                <w:kern w:val="2"/>
                <w:sz w:val="24"/>
                <w:szCs w:val="24"/>
                <w:highlight w:val="none"/>
                <w:lang w:val="en-US" w:eastAsia="zh-CN" w:bidi="ar-SA"/>
              </w:rPr>
              <w:t>13</w:t>
            </w:r>
            <w:r>
              <w:rPr>
                <w:rFonts w:hint="eastAsia" w:ascii="宋体" w:hAnsi="宋体" w:eastAsia="宋体" w:cs="宋体"/>
                <w:color w:val="auto"/>
                <w:spacing w:val="0"/>
                <w:kern w:val="2"/>
                <w:sz w:val="24"/>
                <w:szCs w:val="24"/>
                <w:highlight w:val="none"/>
                <w:lang w:val="en-US" w:eastAsia="zh-CN" w:bidi="ar-SA"/>
              </w:rPr>
              <w:t xml:space="preserve"> 日16：00时前将投标保证金以电汇、转账、网上银行交至浙江省房地产管理咨询有限公司嵊州分公司，投标保证金以到账时间为准。</w:t>
            </w:r>
            <w:r>
              <w:rPr>
                <w:rFonts w:hint="eastAsia" w:ascii="宋体" w:hAnsi="宋体" w:eastAsia="宋体" w:cs="宋体"/>
                <w:b/>
                <w:bCs/>
                <w:color w:val="auto"/>
                <w:spacing w:val="0"/>
                <w:kern w:val="2"/>
                <w:sz w:val="24"/>
                <w:szCs w:val="24"/>
                <w:highlight w:val="none"/>
                <w:lang w:val="en-US" w:eastAsia="zh-CN" w:bidi="ar-SA"/>
              </w:rPr>
              <w:t>如因投标人自身原因，造成投标单位保证金未及时到账的，一律视为不响应招标文件，投标无效。投标人的投标保证金必须从其基本账户转出。</w:t>
            </w:r>
          </w:p>
          <w:p w14:paraId="1F4C0DD5">
            <w:pPr>
              <w:keepNext w:val="0"/>
              <w:keepLines w:val="0"/>
              <w:pageBreakBefore w:val="0"/>
              <w:widowControl/>
              <w:kinsoku/>
              <w:wordWrap/>
              <w:overflowPunct/>
              <w:topLinePunct w:val="0"/>
              <w:autoSpaceDN/>
              <w:bidi w:val="0"/>
              <w:adjustRightInd w:val="0"/>
              <w:spacing w:line="500" w:lineRule="exact"/>
              <w:ind w:firstLine="48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户  名：浙江省房地产管理咨询有限公司嵊州分公司</w:t>
            </w:r>
          </w:p>
          <w:p w14:paraId="38CFFC5C">
            <w:pPr>
              <w:keepNext w:val="0"/>
              <w:keepLines w:val="0"/>
              <w:pageBreakBefore w:val="0"/>
              <w:widowControl w:val="0"/>
              <w:kinsoku/>
              <w:wordWrap/>
              <w:overflowPunct/>
              <w:topLinePunct w:val="0"/>
              <w:autoSpaceDE w:val="0"/>
              <w:autoSpaceDN w:val="0"/>
              <w:bidi w:val="0"/>
              <w:adjustRightInd/>
              <w:snapToGrid/>
              <w:spacing w:after="0" w:line="520" w:lineRule="exact"/>
              <w:ind w:firstLine="480" w:firstLineChars="200"/>
              <w:textAlignment w:val="bottom"/>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开户行：嵊州农商银行剡湖支行</w:t>
            </w:r>
          </w:p>
          <w:p w14:paraId="2B2BAC7D">
            <w:pPr>
              <w:keepNext w:val="0"/>
              <w:keepLines w:val="0"/>
              <w:pageBreakBefore w:val="0"/>
              <w:widowControl w:val="0"/>
              <w:kinsoku/>
              <w:wordWrap/>
              <w:overflowPunct/>
              <w:topLinePunct w:val="0"/>
              <w:autoSpaceDE w:val="0"/>
              <w:autoSpaceDN w:val="0"/>
              <w:bidi w:val="0"/>
              <w:adjustRightInd/>
              <w:snapToGrid/>
              <w:spacing w:after="0" w:line="520" w:lineRule="exact"/>
              <w:ind w:firstLine="480" w:firstLineChars="2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账号：201000162958851</w:t>
            </w:r>
          </w:p>
          <w:p w14:paraId="6A81F859">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color w:val="auto"/>
                <w:sz w:val="24"/>
                <w:szCs w:val="24"/>
              </w:rPr>
            </w:pPr>
            <w:r>
              <w:rPr>
                <w:rFonts w:hint="eastAsia" w:ascii="宋体" w:hAnsi="宋体" w:eastAsia="宋体" w:cs="宋体"/>
                <w:color w:val="auto"/>
                <w:spacing w:val="0"/>
                <w:kern w:val="2"/>
                <w:sz w:val="24"/>
                <w:szCs w:val="24"/>
                <w:highlight w:val="none"/>
                <w:lang w:val="en-US" w:eastAsia="zh-CN" w:bidi="ar-SA"/>
              </w:rPr>
              <w:t>投标保证金的退还：未中标的投标人的投标保证金将在中标通知书发出之日起3个工作日内退还，中标供应商的投标保证金在中标供应商与招标人签订采购合同后5个工作日内退还。</w:t>
            </w:r>
          </w:p>
        </w:tc>
      </w:tr>
      <w:tr w14:paraId="4CB3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61" w:type="dxa"/>
            <w:noWrap w:val="0"/>
            <w:vAlign w:val="center"/>
          </w:tcPr>
          <w:p w14:paraId="325331D1">
            <w:pPr>
              <w:pageBreakBefore w:val="0"/>
              <w:kinsoku/>
              <w:wordWrap/>
              <w:overflowPunct/>
              <w:topLinePunct w:val="0"/>
              <w:bidi w:val="0"/>
              <w:adjustRightInd/>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9" w:type="dxa"/>
            <w:noWrap w:val="0"/>
            <w:vAlign w:val="center"/>
          </w:tcPr>
          <w:p w14:paraId="127925C6">
            <w:pPr>
              <w:pageBreakBefore w:val="0"/>
              <w:kinsoku/>
              <w:wordWrap/>
              <w:overflowPunct/>
              <w:topLinePunct w:val="0"/>
              <w:bidi w:val="0"/>
              <w:adjustRightInd/>
              <w:spacing w:line="52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放弃投标函：报名后不参加投标的供应商，须在投标截止时间前三个工作日向采购代理机构提供书面说明并加盖公章。</w:t>
            </w:r>
          </w:p>
        </w:tc>
      </w:tr>
      <w:tr w14:paraId="1B5D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noWrap w:val="0"/>
            <w:vAlign w:val="center"/>
          </w:tcPr>
          <w:p w14:paraId="0B21C60C">
            <w:pPr>
              <w:pageBreakBefore w:val="0"/>
              <w:kinsoku/>
              <w:wordWrap/>
              <w:overflowPunct/>
              <w:topLinePunct w:val="0"/>
              <w:bidi w:val="0"/>
              <w:adjustRightInd/>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519" w:type="dxa"/>
            <w:noWrap w:val="0"/>
            <w:vAlign w:val="center"/>
          </w:tcPr>
          <w:p w14:paraId="6E438CBD">
            <w:pPr>
              <w:pageBreakBefore w:val="0"/>
              <w:kinsoku/>
              <w:wordWrap/>
              <w:overflowPunct/>
              <w:topLinePunct w:val="0"/>
              <w:bidi w:val="0"/>
              <w:adjustRightInd/>
              <w:spacing w:line="5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投标文件组成：</w:t>
            </w:r>
            <w:r>
              <w:rPr>
                <w:rFonts w:hint="eastAsia" w:ascii="宋体" w:hAnsi="宋体" w:eastAsia="宋体" w:cs="宋体"/>
                <w:color w:val="auto"/>
                <w:sz w:val="24"/>
                <w:highlight w:val="none"/>
                <w:lang w:eastAsia="zh-CN"/>
              </w:rPr>
              <w:t>“资格文件”、</w:t>
            </w:r>
            <w:r>
              <w:rPr>
                <w:rFonts w:hint="eastAsia" w:ascii="宋体" w:hAnsi="宋体" w:eastAsia="宋体" w:cs="宋体"/>
                <w:color w:val="auto"/>
                <w:sz w:val="24"/>
                <w:highlight w:val="none"/>
              </w:rPr>
              <w:t>“资信技术文件”、“报价文件”</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部分组成</w:t>
            </w:r>
            <w:r>
              <w:rPr>
                <w:rFonts w:hint="eastAsia" w:ascii="宋体" w:hAnsi="宋体" w:cs="宋体"/>
                <w:color w:val="auto"/>
                <w:sz w:val="24"/>
                <w:highlight w:val="none"/>
                <w:lang w:eastAsia="zh-CN"/>
              </w:rPr>
              <w:t>。</w:t>
            </w:r>
          </w:p>
        </w:tc>
      </w:tr>
      <w:tr w14:paraId="655B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61" w:type="dxa"/>
            <w:noWrap w:val="0"/>
            <w:vAlign w:val="center"/>
          </w:tcPr>
          <w:p w14:paraId="17B7CE70">
            <w:pPr>
              <w:pageBreakBefore w:val="0"/>
              <w:kinsoku/>
              <w:wordWrap/>
              <w:overflowPunct/>
              <w:topLinePunct w:val="0"/>
              <w:bidi w:val="0"/>
              <w:adjustRightInd/>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19" w:type="dxa"/>
            <w:noWrap w:val="0"/>
            <w:vAlign w:val="center"/>
          </w:tcPr>
          <w:p w14:paraId="16536BC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备份投标文件送达地点：</w:t>
            </w:r>
            <w:r>
              <w:rPr>
                <w:rFonts w:hint="eastAsia" w:ascii="宋体" w:hAnsi="宋体" w:eastAsia="宋体" w:cs="宋体"/>
                <w:snapToGrid w:val="0"/>
                <w:color w:val="auto"/>
                <w:kern w:val="28"/>
                <w:sz w:val="24"/>
                <w:lang w:eastAsia="zh-CN"/>
              </w:rPr>
              <w:t>嵊州市三江街道兴旺街281号5幢（西边）6楼</w:t>
            </w:r>
            <w:r>
              <w:rPr>
                <w:rFonts w:hint="eastAsia" w:ascii="宋体" w:hAnsi="宋体" w:eastAsia="宋体" w:cs="宋体"/>
                <w:snapToGrid w:val="0"/>
                <w:color w:val="auto"/>
                <w:kern w:val="28"/>
                <w:sz w:val="24"/>
                <w:lang w:val="en-US" w:eastAsia="zh-CN"/>
              </w:rPr>
              <w:t>607室</w:t>
            </w:r>
            <w:r>
              <w:rPr>
                <w:rFonts w:hint="eastAsia" w:ascii="宋体" w:hAnsi="宋体" w:eastAsia="宋体" w:cs="宋体"/>
                <w:snapToGrid w:val="0"/>
                <w:color w:val="auto"/>
                <w:kern w:val="28"/>
                <w:sz w:val="24"/>
                <w:lang w:eastAsia="zh-CN"/>
              </w:rPr>
              <w:t>浙江省房地产管理咨询有限公司</w:t>
            </w:r>
            <w:r>
              <w:rPr>
                <w:rFonts w:hint="eastAsia" w:ascii="宋体" w:hAnsi="宋体" w:eastAsia="宋体" w:cs="宋体"/>
                <w:snapToGrid w:val="0"/>
                <w:color w:val="auto"/>
                <w:kern w:val="28"/>
                <w:sz w:val="24"/>
              </w:rPr>
              <w:t>。</w:t>
            </w:r>
          </w:p>
          <w:p w14:paraId="20F6E6D4">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采购人、采购机构不强制或变相强制投标人提交备份投标文件。</w:t>
            </w:r>
          </w:p>
        </w:tc>
      </w:tr>
      <w:tr w14:paraId="6755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1" w:type="dxa"/>
            <w:noWrap w:val="0"/>
            <w:vAlign w:val="center"/>
          </w:tcPr>
          <w:p w14:paraId="4A18AAE6">
            <w:pPr>
              <w:pageBreakBefore w:val="0"/>
              <w:kinsoku/>
              <w:wordWrap/>
              <w:overflowPunct/>
              <w:topLinePunct w:val="0"/>
              <w:bidi w:val="0"/>
              <w:adjustRightInd/>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8519" w:type="dxa"/>
            <w:noWrap w:val="0"/>
            <w:vAlign w:val="center"/>
          </w:tcPr>
          <w:p w14:paraId="3FAB85BC">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开标</w:t>
            </w:r>
            <w:r>
              <w:rPr>
                <w:rFonts w:hint="eastAsia" w:ascii="宋体" w:hAnsi="宋体" w:eastAsia="宋体" w:cs="宋体"/>
                <w:b/>
                <w:color w:val="auto"/>
                <w:sz w:val="24"/>
                <w:szCs w:val="24"/>
              </w:rPr>
              <w:t>截止时间：</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14 </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0时整。</w:t>
            </w:r>
          </w:p>
        </w:tc>
      </w:tr>
      <w:tr w14:paraId="5956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61" w:type="dxa"/>
            <w:noWrap w:val="0"/>
            <w:vAlign w:val="center"/>
          </w:tcPr>
          <w:p w14:paraId="04384DDC">
            <w:pPr>
              <w:pageBreakBefore w:val="0"/>
              <w:kinsoku/>
              <w:wordWrap/>
              <w:overflowPunct/>
              <w:topLinePunct w:val="0"/>
              <w:bidi w:val="0"/>
              <w:adjustRightInd/>
              <w:spacing w:line="52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8519" w:type="dxa"/>
            <w:noWrap w:val="0"/>
            <w:vAlign w:val="center"/>
          </w:tcPr>
          <w:p w14:paraId="2543850A">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color w:val="auto"/>
                <w:sz w:val="24"/>
                <w:szCs w:val="24"/>
                <w:highlight w:val="yellow"/>
                <w:lang w:eastAsia="zh-CN"/>
              </w:rPr>
            </w:pPr>
            <w:r>
              <w:rPr>
                <w:rFonts w:hint="eastAsia" w:ascii="宋体" w:hAnsi="宋体" w:eastAsia="宋体" w:cs="宋体"/>
                <w:b/>
                <w:color w:val="auto"/>
                <w:sz w:val="24"/>
                <w:szCs w:val="24"/>
              </w:rPr>
              <w:t>联系方式：</w:t>
            </w:r>
            <w:r>
              <w:rPr>
                <w:rFonts w:hint="eastAsia" w:ascii="宋体" w:hAnsi="宋体" w:cs="宋体"/>
                <w:color w:val="auto"/>
                <w:sz w:val="24"/>
                <w:szCs w:val="24"/>
                <w:lang w:eastAsia="zh-CN"/>
              </w:rPr>
              <w:t>嵊州市商业发展集团有限公司</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黄烨铖: 0575-</w:t>
            </w:r>
            <w:r>
              <w:rPr>
                <w:rFonts w:hint="eastAsia" w:ascii="宋体" w:hAnsi="宋体" w:eastAsia="宋体" w:cs="宋体"/>
                <w:color w:val="auto"/>
                <w:sz w:val="24"/>
                <w:szCs w:val="24"/>
              </w:rPr>
              <w:t>83176707</w:t>
            </w:r>
          </w:p>
          <w:p w14:paraId="3CCC79E4">
            <w:pPr>
              <w:pageBreakBefore w:val="0"/>
              <w:kinsoku/>
              <w:wordWrap/>
              <w:overflowPunct/>
              <w:topLinePunct w:val="0"/>
              <w:autoSpaceDE w:val="0"/>
              <w:autoSpaceDN w:val="0"/>
              <w:bidi w:val="0"/>
              <w:adjustRightInd/>
              <w:spacing w:line="520" w:lineRule="exact"/>
              <w:ind w:firstLine="1200" w:firstLineChars="500"/>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浙江省房地产管理咨询有限公司</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钱工：0575-83905775 </w:t>
            </w:r>
          </w:p>
        </w:tc>
      </w:tr>
      <w:tr w14:paraId="4320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61" w:type="dxa"/>
            <w:noWrap w:val="0"/>
            <w:vAlign w:val="center"/>
          </w:tcPr>
          <w:p w14:paraId="00D198BF">
            <w:pPr>
              <w:pageBreakBefore w:val="0"/>
              <w:kinsoku/>
              <w:wordWrap/>
              <w:overflowPunct/>
              <w:topLinePunct w:val="0"/>
              <w:bidi w:val="0"/>
              <w:adjustRightInd/>
              <w:spacing w:line="52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8519" w:type="dxa"/>
            <w:noWrap w:val="0"/>
            <w:vAlign w:val="center"/>
          </w:tcPr>
          <w:p w14:paraId="2F41A5E4">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现场踏勘：本项目不组织统一现场踏勘，投标人自行联系采购人进行现场踏勘。</w:t>
            </w:r>
          </w:p>
        </w:tc>
      </w:tr>
      <w:tr w14:paraId="61C6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noWrap w:val="0"/>
            <w:vAlign w:val="center"/>
          </w:tcPr>
          <w:p w14:paraId="5B96116D">
            <w:pPr>
              <w:pageBreakBefore w:val="0"/>
              <w:tabs>
                <w:tab w:val="left" w:pos="573"/>
              </w:tabs>
              <w:kinsoku/>
              <w:wordWrap/>
              <w:overflowPunct/>
              <w:topLinePunct w:val="0"/>
              <w:autoSpaceDE w:val="0"/>
              <w:autoSpaceDN w:val="0"/>
              <w:bidi w:val="0"/>
              <w:adjustRightInd/>
              <w:spacing w:line="520" w:lineRule="exact"/>
              <w:jc w:val="center"/>
              <w:textAlignment w:val="bottom"/>
              <w:rPr>
                <w:rFonts w:hint="eastAsia" w:ascii="宋体" w:hAnsi="宋体" w:eastAsia="宋体" w:cs="宋体"/>
                <w:b/>
                <w:color w:val="auto"/>
                <w:sz w:val="24"/>
                <w:szCs w:val="24"/>
                <w:lang w:eastAsia="zh-CN"/>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0</w:t>
            </w:r>
          </w:p>
        </w:tc>
        <w:tc>
          <w:tcPr>
            <w:tcW w:w="8519" w:type="dxa"/>
            <w:noWrap w:val="0"/>
            <w:vAlign w:val="center"/>
          </w:tcPr>
          <w:p w14:paraId="27784EB0">
            <w:pPr>
              <w:pStyle w:val="57"/>
              <w:keepNext w:val="0"/>
              <w:keepLines w:val="0"/>
              <w:pageBreakBefore w:val="0"/>
              <w:widowControl/>
              <w:kinsoku/>
              <w:wordWrap/>
              <w:overflowPunct/>
              <w:topLinePunct w:val="0"/>
              <w:autoSpaceDE/>
              <w:autoSpaceDN/>
              <w:bidi w:val="0"/>
              <w:adjustRightInd/>
              <w:snapToGrid w:val="0"/>
              <w:spacing w:line="420" w:lineRule="exact"/>
              <w:ind w:left="0" w:leftChars="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支付方式：</w:t>
            </w:r>
            <w:r>
              <w:rPr>
                <w:rFonts w:hint="eastAsia" w:ascii="宋体" w:hAnsi="宋体" w:eastAsia="宋体" w:cs="宋体"/>
                <w:snapToGrid w:val="0"/>
                <w:color w:val="auto"/>
                <w:kern w:val="28"/>
                <w:sz w:val="24"/>
                <w:highlight w:val="none"/>
                <w:lang w:val="en-US" w:eastAsia="zh-CN"/>
              </w:rPr>
              <w:t>所有设备及产品安装调试完成，验收合格后向供应商支付至合同价款的9</w:t>
            </w:r>
            <w:r>
              <w:rPr>
                <w:rFonts w:hint="eastAsia" w:ascii="宋体" w:hAnsi="宋体" w:cs="宋体"/>
                <w:snapToGrid w:val="0"/>
                <w:color w:val="auto"/>
                <w:kern w:val="28"/>
                <w:sz w:val="24"/>
                <w:highlight w:val="none"/>
                <w:lang w:val="en-US" w:eastAsia="zh-CN"/>
              </w:rPr>
              <w:t>8</w:t>
            </w:r>
            <w:r>
              <w:rPr>
                <w:rFonts w:hint="eastAsia" w:ascii="宋体" w:hAnsi="宋体" w:eastAsia="宋体" w:cs="宋体"/>
                <w:snapToGrid w:val="0"/>
                <w:color w:val="auto"/>
                <w:kern w:val="28"/>
                <w:sz w:val="24"/>
                <w:highlight w:val="none"/>
                <w:lang w:val="en-US" w:eastAsia="zh-CN"/>
              </w:rPr>
              <w:t>%</w:t>
            </w:r>
            <w:r>
              <w:rPr>
                <w:rFonts w:hint="eastAsia" w:ascii="宋体" w:hAnsi="宋体" w:cs="宋体"/>
                <w:snapToGrid w:val="0"/>
                <w:color w:val="auto"/>
                <w:kern w:val="28"/>
                <w:sz w:val="24"/>
                <w:highlight w:val="none"/>
                <w:lang w:val="en-US" w:eastAsia="zh-CN"/>
              </w:rPr>
              <w:t>，余款待质保期满后十四天内付清（不计息）。</w:t>
            </w:r>
          </w:p>
        </w:tc>
      </w:tr>
      <w:tr w14:paraId="57EF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61" w:type="dxa"/>
            <w:noWrap w:val="0"/>
            <w:vAlign w:val="center"/>
          </w:tcPr>
          <w:p w14:paraId="32D7554E">
            <w:pPr>
              <w:pageBreakBefore w:val="0"/>
              <w:tabs>
                <w:tab w:val="left" w:pos="573"/>
              </w:tabs>
              <w:kinsoku/>
              <w:wordWrap/>
              <w:overflowPunct/>
              <w:topLinePunct w:val="0"/>
              <w:autoSpaceDE w:val="0"/>
              <w:autoSpaceDN w:val="0"/>
              <w:bidi w:val="0"/>
              <w:adjustRightInd/>
              <w:spacing w:line="520" w:lineRule="exact"/>
              <w:jc w:val="center"/>
              <w:textAlignment w:val="bottom"/>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p>
        </w:tc>
        <w:tc>
          <w:tcPr>
            <w:tcW w:w="8519" w:type="dxa"/>
            <w:noWrap w:val="0"/>
            <w:vAlign w:val="center"/>
          </w:tcPr>
          <w:p w14:paraId="2B7FFE57">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b/>
                <w:color w:val="auto"/>
                <w:sz w:val="24"/>
                <w:szCs w:val="24"/>
                <w:highlight w:val="none"/>
                <w:lang w:eastAsia="zh-CN"/>
              </w:rPr>
            </w:pPr>
            <w:r>
              <w:rPr>
                <w:rStyle w:val="37"/>
                <w:rFonts w:hint="eastAsia" w:ascii="宋体" w:hAnsi="宋体" w:eastAsia="宋体" w:cs="Times New Roman"/>
                <w:color w:val="auto"/>
                <w:sz w:val="24"/>
                <w:highlight w:val="none"/>
                <w:lang w:val="en-US" w:eastAsia="zh-CN"/>
              </w:rPr>
              <w:t>中标人须向采购人缴纳合同价的1%作为履约保证金，项目建设完成并验收合格后15天内无息退还。（履约保证金可以用转帐、支票、汇票、保函（银行/保险）等非现金形式缴纳）</w:t>
            </w:r>
          </w:p>
        </w:tc>
      </w:tr>
      <w:tr w14:paraId="178A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noWrap w:val="0"/>
            <w:vAlign w:val="center"/>
          </w:tcPr>
          <w:p w14:paraId="3650E217">
            <w:pPr>
              <w:pageBreakBefore w:val="0"/>
              <w:kinsoku/>
              <w:wordWrap/>
              <w:overflowPunct/>
              <w:topLinePunct w:val="0"/>
              <w:bidi w:val="0"/>
              <w:adjustRightInd/>
              <w:spacing w:line="52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8519" w:type="dxa"/>
            <w:noWrap w:val="0"/>
            <w:vAlign w:val="center"/>
          </w:tcPr>
          <w:p w14:paraId="61596C9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中标人须向</w:t>
            </w:r>
            <w:r>
              <w:rPr>
                <w:rFonts w:hint="eastAsia" w:ascii="宋体" w:hAnsi="宋体" w:eastAsia="宋体" w:cs="宋体"/>
                <w:snapToGrid w:val="0"/>
                <w:color w:val="auto"/>
                <w:kern w:val="28"/>
                <w:sz w:val="24"/>
                <w:lang w:eastAsia="zh-CN"/>
              </w:rPr>
              <w:t>采购</w:t>
            </w:r>
            <w:r>
              <w:rPr>
                <w:rFonts w:hint="eastAsia" w:ascii="宋体" w:hAnsi="宋体" w:eastAsia="宋体" w:cs="宋体"/>
                <w:snapToGrid w:val="0"/>
                <w:color w:val="auto"/>
                <w:kern w:val="28"/>
                <w:sz w:val="24"/>
              </w:rPr>
              <w:t>代理机构按如下规定交纳中标服务费，并在</w:t>
            </w:r>
            <w:r>
              <w:rPr>
                <w:rFonts w:hint="eastAsia" w:ascii="宋体" w:hAnsi="宋体" w:eastAsia="宋体" w:cs="宋体"/>
                <w:snapToGrid w:val="0"/>
                <w:color w:val="auto"/>
                <w:kern w:val="28"/>
                <w:sz w:val="24"/>
                <w:lang w:eastAsia="zh-CN"/>
              </w:rPr>
              <w:t>投标</w:t>
            </w:r>
            <w:r>
              <w:rPr>
                <w:rFonts w:hint="eastAsia" w:ascii="宋体" w:hAnsi="宋体" w:eastAsia="宋体" w:cs="宋体"/>
                <w:snapToGrid w:val="0"/>
                <w:color w:val="auto"/>
                <w:kern w:val="28"/>
                <w:sz w:val="24"/>
              </w:rPr>
              <w:t>报价中自行考虑：</w:t>
            </w:r>
          </w:p>
          <w:p w14:paraId="4C4C8926">
            <w:pPr>
              <w:pageBreakBefore w:val="0"/>
              <w:kinsoku/>
              <w:wordWrap/>
              <w:overflowPunct/>
              <w:topLinePunct w:val="0"/>
              <w:autoSpaceDE w:val="0"/>
              <w:autoSpaceDN w:val="0"/>
              <w:bidi w:val="0"/>
              <w:adjustRightInd/>
              <w:spacing w:line="520" w:lineRule="exact"/>
              <w:textAlignment w:val="bottom"/>
              <w:rPr>
                <w:rFonts w:hint="eastAsia" w:ascii="宋体" w:hAnsi="宋体" w:cs="宋体"/>
                <w:color w:val="auto"/>
                <w:kern w:val="0"/>
                <w:sz w:val="24"/>
                <w:szCs w:val="24"/>
              </w:rPr>
            </w:pPr>
            <w:r>
              <w:rPr>
                <w:rFonts w:hint="eastAsia" w:ascii="宋体" w:hAnsi="宋体" w:eastAsia="宋体" w:cs="宋体"/>
                <w:snapToGrid w:val="0"/>
                <w:color w:val="auto"/>
                <w:kern w:val="28"/>
                <w:sz w:val="24"/>
              </w:rPr>
              <w:t>①</w:t>
            </w:r>
            <w:r>
              <w:rPr>
                <w:rFonts w:hint="eastAsia" w:ascii="宋体" w:hAnsi="宋体" w:eastAsia="宋体" w:cs="宋体"/>
                <w:color w:val="auto"/>
                <w:sz w:val="24"/>
                <w:szCs w:val="24"/>
              </w:rPr>
              <w:t>本项目代理服务费</w:t>
            </w:r>
            <w:r>
              <w:rPr>
                <w:rFonts w:hint="eastAsia" w:ascii="宋体" w:hAnsi="宋体" w:cs="宋体"/>
                <w:color w:val="auto"/>
                <w:sz w:val="24"/>
                <w:szCs w:val="24"/>
                <w:lang w:val="en-US" w:eastAsia="zh-CN"/>
              </w:rPr>
              <w:t>按照下列</w:t>
            </w:r>
            <w:r>
              <w:rPr>
                <w:rFonts w:hint="eastAsia" w:ascii="宋体" w:hAnsi="宋体" w:cs="宋体"/>
                <w:color w:val="auto"/>
                <w:sz w:val="24"/>
                <w:szCs w:val="24"/>
                <w:highlight w:val="none"/>
                <w:lang w:val="en-US" w:eastAsia="zh-CN"/>
              </w:rPr>
              <w:t>表格计算，</w:t>
            </w:r>
            <w:r>
              <w:rPr>
                <w:rFonts w:hint="eastAsia" w:ascii="宋体" w:hAnsi="宋体" w:cs="宋体"/>
                <w:color w:val="auto"/>
                <w:kern w:val="0"/>
                <w:sz w:val="24"/>
                <w:szCs w:val="24"/>
              </w:rPr>
              <w:t>在招标成功后由成交供应商在领取成交通知书时支付；</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836"/>
              <w:gridCol w:w="1980"/>
              <w:gridCol w:w="1644"/>
              <w:gridCol w:w="1704"/>
            </w:tblGrid>
            <w:tr w14:paraId="283C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58" w:hRule="atLeast"/>
              </w:trPr>
              <w:tc>
                <w:tcPr>
                  <w:tcW w:w="2836" w:type="dxa"/>
                  <w:shd w:val="clear" w:color="auto" w:fill="FFFFFF"/>
                  <w:noWrap w:val="0"/>
                  <w:tcMar>
                    <w:top w:w="20" w:type="dxa"/>
                    <w:left w:w="100" w:type="dxa"/>
                    <w:bottom w:w="20" w:type="dxa"/>
                    <w:right w:w="100" w:type="dxa"/>
                  </w:tcMar>
                  <w:vAlign w:val="center"/>
                </w:tcPr>
                <w:p w14:paraId="14DA72FB">
                  <w:pPr>
                    <w:wordWrap w:val="0"/>
                    <w:spacing w:line="360" w:lineRule="auto"/>
                    <w:rPr>
                      <w:rFonts w:ascii="宋体" w:hAnsi="宋体" w:cs="Arial"/>
                      <w:color w:val="auto"/>
                      <w:sz w:val="21"/>
                      <w:szCs w:val="21"/>
                    </w:rPr>
                  </w:pPr>
                  <w:r>
                    <w:rPr>
                      <w:rFonts w:ascii="宋体" w:hAnsi="宋体" w:cs="Arial"/>
                      <w:color w:val="auto"/>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-1905</wp:posOffset>
                            </wp:positionV>
                            <wp:extent cx="1793240" cy="742315"/>
                            <wp:effectExtent l="1905" t="4445" r="3175" b="15240"/>
                            <wp:wrapNone/>
                            <wp:docPr id="6" name="直接连接符 6"/>
                            <wp:cNvGraphicFramePr/>
                            <a:graphic xmlns:a="http://schemas.openxmlformats.org/drawingml/2006/main">
                              <a:graphicData uri="http://schemas.microsoft.com/office/word/2010/wordprocessingShape">
                                <wps:wsp>
                                  <wps:cNvCnPr/>
                                  <wps:spPr>
                                    <a:xfrm>
                                      <a:off x="0" y="0"/>
                                      <a:ext cx="1793240" cy="74231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5pt;margin-top:-0.15pt;height:58.45pt;width:141.2pt;z-index:251659264;mso-width-relative:page;mso-height-relative:page;" filled="f" stroked="t" coordsize="21600,21600" o:gfxdata="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QqrJzVAAAACAEAAA8AAAAAAAAAAQAgAAAAIgAAAGRycy9kb3ducmV2Lnht&#10;bFBLAQIUABQAAAAIAIdO4kBo2Yoc/AEAAPcDAAAOAAAAAAAAAAEAIAAAACQBAABkcnMvZTJvRG9j&#10;LnhtbFBLBQYAAAAABgAGAFkBAACSBQAAAAA=&#10;">
                            <v:fill on="f" focussize="0,0"/>
                            <v:stroke weight="0.5pt" color="#000000" joinstyle="round"/>
                            <v:imagedata o:title=""/>
                            <o:lock v:ext="edit" aspectratio="f"/>
                          </v:line>
                        </w:pict>
                      </mc:Fallback>
                    </mc:AlternateContent>
                  </w:r>
                  <w:r>
                    <w:rPr>
                      <w:rFonts w:hint="eastAsia" w:ascii="宋体" w:hAnsi="宋体" w:cs="Arial"/>
                      <w:bCs/>
                      <w:color w:val="auto"/>
                    </w:rPr>
                    <w:t xml:space="preserve">      </w:t>
                  </w:r>
                  <w:r>
                    <w:rPr>
                      <w:rFonts w:hint="eastAsia" w:ascii="宋体" w:hAnsi="宋体" w:cs="Arial"/>
                      <w:bCs/>
                      <w:color w:val="auto"/>
                      <w:sz w:val="21"/>
                      <w:szCs w:val="21"/>
                    </w:rPr>
                    <w:t xml:space="preserve">      </w:t>
                  </w:r>
                  <w:r>
                    <w:rPr>
                      <w:rFonts w:ascii="宋体" w:hAnsi="宋体" w:cs="Arial"/>
                      <w:bCs/>
                      <w:color w:val="auto"/>
                      <w:sz w:val="21"/>
                      <w:szCs w:val="21"/>
                    </w:rPr>
                    <w:t>服务费率类型</w:t>
                  </w:r>
                </w:p>
                <w:p w14:paraId="20B29A1A">
                  <w:pPr>
                    <w:rPr>
                      <w:rFonts w:ascii="宋体" w:hAnsi="宋体" w:cs="Arial"/>
                      <w:bCs/>
                      <w:color w:val="auto"/>
                      <w:sz w:val="21"/>
                      <w:szCs w:val="21"/>
                    </w:rPr>
                  </w:pPr>
                  <w:r>
                    <w:rPr>
                      <w:rFonts w:ascii="宋体" w:hAnsi="宋体" w:cs="Arial"/>
                      <w:bCs/>
                      <w:color w:val="auto"/>
                      <w:sz w:val="21"/>
                      <w:szCs w:val="21"/>
                    </w:rPr>
                    <w:t>中标金额</w:t>
                  </w:r>
                </w:p>
                <w:p w14:paraId="6FD3EB83">
                  <w:pPr>
                    <w:rPr>
                      <w:rFonts w:ascii="宋体" w:hAnsi="宋体" w:cs="Arial"/>
                      <w:color w:val="auto"/>
                      <w:sz w:val="21"/>
                      <w:szCs w:val="21"/>
                    </w:rPr>
                  </w:pPr>
                  <w:r>
                    <w:rPr>
                      <w:rFonts w:ascii="宋体" w:hAnsi="宋体" w:cs="Arial"/>
                      <w:bCs/>
                      <w:color w:val="auto"/>
                      <w:sz w:val="21"/>
                      <w:szCs w:val="21"/>
                    </w:rPr>
                    <w:t>（万元）</w:t>
                  </w:r>
                </w:p>
              </w:tc>
              <w:tc>
                <w:tcPr>
                  <w:tcW w:w="1980" w:type="dxa"/>
                  <w:shd w:val="clear" w:color="auto" w:fill="FFFFFF"/>
                  <w:noWrap w:val="0"/>
                  <w:tcMar>
                    <w:top w:w="20" w:type="dxa"/>
                    <w:left w:w="100" w:type="dxa"/>
                    <w:bottom w:w="20" w:type="dxa"/>
                    <w:right w:w="100" w:type="dxa"/>
                  </w:tcMar>
                  <w:vAlign w:val="center"/>
                </w:tcPr>
                <w:p w14:paraId="62601D4F">
                  <w:pPr>
                    <w:wordWrap w:val="0"/>
                    <w:spacing w:line="360" w:lineRule="auto"/>
                    <w:jc w:val="center"/>
                    <w:rPr>
                      <w:rFonts w:ascii="宋体" w:hAnsi="宋体" w:cs="Arial"/>
                      <w:color w:val="auto"/>
                    </w:rPr>
                  </w:pPr>
                  <w:r>
                    <w:rPr>
                      <w:rFonts w:ascii="宋体" w:hAnsi="宋体" w:cs="Arial"/>
                      <w:bCs/>
                      <w:color w:val="auto"/>
                    </w:rPr>
                    <w:t>货物招标</w:t>
                  </w:r>
                </w:p>
              </w:tc>
              <w:tc>
                <w:tcPr>
                  <w:tcW w:w="1644" w:type="dxa"/>
                  <w:shd w:val="clear" w:color="auto" w:fill="FFFFFF"/>
                  <w:noWrap w:val="0"/>
                  <w:tcMar>
                    <w:top w:w="20" w:type="dxa"/>
                    <w:left w:w="100" w:type="dxa"/>
                    <w:bottom w:w="20" w:type="dxa"/>
                    <w:right w:w="100" w:type="dxa"/>
                  </w:tcMar>
                  <w:vAlign w:val="center"/>
                </w:tcPr>
                <w:p w14:paraId="609E84A0">
                  <w:pPr>
                    <w:wordWrap w:val="0"/>
                    <w:spacing w:line="360" w:lineRule="auto"/>
                    <w:jc w:val="center"/>
                    <w:rPr>
                      <w:rFonts w:ascii="宋体" w:hAnsi="宋体" w:cs="Arial"/>
                      <w:color w:val="auto"/>
                    </w:rPr>
                  </w:pPr>
                  <w:r>
                    <w:rPr>
                      <w:rFonts w:ascii="宋体" w:hAnsi="宋体" w:cs="Arial"/>
                      <w:bCs/>
                      <w:color w:val="auto"/>
                    </w:rPr>
                    <w:t>服务招标</w:t>
                  </w:r>
                </w:p>
              </w:tc>
              <w:tc>
                <w:tcPr>
                  <w:tcW w:w="1704" w:type="dxa"/>
                  <w:shd w:val="clear" w:color="auto" w:fill="FFFFFF"/>
                  <w:noWrap w:val="0"/>
                  <w:tcMar>
                    <w:top w:w="20" w:type="dxa"/>
                    <w:left w:w="100" w:type="dxa"/>
                    <w:bottom w:w="20" w:type="dxa"/>
                    <w:right w:w="100" w:type="dxa"/>
                  </w:tcMar>
                  <w:vAlign w:val="center"/>
                </w:tcPr>
                <w:p w14:paraId="0672CCA4">
                  <w:pPr>
                    <w:wordWrap w:val="0"/>
                    <w:spacing w:line="360" w:lineRule="auto"/>
                    <w:jc w:val="center"/>
                    <w:rPr>
                      <w:rFonts w:ascii="宋体" w:hAnsi="宋体" w:cs="Arial"/>
                      <w:color w:val="auto"/>
                    </w:rPr>
                  </w:pPr>
                  <w:r>
                    <w:rPr>
                      <w:rFonts w:ascii="宋体" w:hAnsi="宋体" w:cs="Arial"/>
                      <w:bCs/>
                      <w:color w:val="auto"/>
                    </w:rPr>
                    <w:t>工程招标</w:t>
                  </w:r>
                </w:p>
              </w:tc>
            </w:tr>
            <w:tr w14:paraId="784D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2836" w:type="dxa"/>
                  <w:shd w:val="clear" w:color="auto" w:fill="FFFFFF"/>
                  <w:noWrap w:val="0"/>
                  <w:tcMar>
                    <w:top w:w="20" w:type="dxa"/>
                    <w:left w:w="100" w:type="dxa"/>
                    <w:bottom w:w="20" w:type="dxa"/>
                    <w:right w:w="100" w:type="dxa"/>
                  </w:tcMar>
                  <w:vAlign w:val="center"/>
                </w:tcPr>
                <w:p w14:paraId="5990F3E5">
                  <w:pPr>
                    <w:wordWrap w:val="0"/>
                    <w:spacing w:line="360" w:lineRule="auto"/>
                    <w:rPr>
                      <w:rFonts w:ascii="宋体" w:hAnsi="宋体" w:cs="Arial"/>
                      <w:color w:val="auto"/>
                    </w:rPr>
                  </w:pPr>
                  <w:r>
                    <w:rPr>
                      <w:rFonts w:ascii="宋体" w:hAnsi="宋体" w:cs="Arial"/>
                      <w:color w:val="auto"/>
                    </w:rPr>
                    <w:t>100以下</w:t>
                  </w:r>
                </w:p>
              </w:tc>
              <w:tc>
                <w:tcPr>
                  <w:tcW w:w="1980" w:type="dxa"/>
                  <w:shd w:val="clear" w:color="auto" w:fill="FFFFFF"/>
                  <w:noWrap w:val="0"/>
                  <w:tcMar>
                    <w:top w:w="20" w:type="dxa"/>
                    <w:left w:w="100" w:type="dxa"/>
                    <w:bottom w:w="20" w:type="dxa"/>
                    <w:right w:w="100" w:type="dxa"/>
                  </w:tcMar>
                  <w:vAlign w:val="center"/>
                </w:tcPr>
                <w:p w14:paraId="1479859B">
                  <w:pPr>
                    <w:wordWrap w:val="0"/>
                    <w:spacing w:line="360" w:lineRule="auto"/>
                    <w:jc w:val="center"/>
                    <w:rPr>
                      <w:rFonts w:ascii="宋体" w:hAnsi="宋体" w:cs="Arial"/>
                      <w:color w:val="auto"/>
                    </w:rPr>
                  </w:pPr>
                  <w:r>
                    <w:rPr>
                      <w:rFonts w:ascii="宋体" w:hAnsi="宋体" w:cs="Arial"/>
                      <w:color w:val="auto"/>
                    </w:rPr>
                    <w:t>1.5%</w:t>
                  </w:r>
                </w:p>
              </w:tc>
              <w:tc>
                <w:tcPr>
                  <w:tcW w:w="1644" w:type="dxa"/>
                  <w:shd w:val="clear" w:color="auto" w:fill="FFFFFF"/>
                  <w:noWrap w:val="0"/>
                  <w:tcMar>
                    <w:top w:w="20" w:type="dxa"/>
                    <w:left w:w="100" w:type="dxa"/>
                    <w:bottom w:w="20" w:type="dxa"/>
                    <w:right w:w="100" w:type="dxa"/>
                  </w:tcMar>
                  <w:vAlign w:val="center"/>
                </w:tcPr>
                <w:p w14:paraId="0436628B">
                  <w:pPr>
                    <w:wordWrap w:val="0"/>
                    <w:spacing w:line="360" w:lineRule="auto"/>
                    <w:jc w:val="center"/>
                    <w:rPr>
                      <w:rFonts w:ascii="宋体" w:hAnsi="宋体" w:cs="Arial"/>
                      <w:color w:val="auto"/>
                    </w:rPr>
                  </w:pPr>
                  <w:r>
                    <w:rPr>
                      <w:rFonts w:ascii="宋体" w:hAnsi="宋体" w:cs="Arial"/>
                      <w:color w:val="auto"/>
                    </w:rPr>
                    <w:t>1.5%</w:t>
                  </w:r>
                </w:p>
              </w:tc>
              <w:tc>
                <w:tcPr>
                  <w:tcW w:w="1704" w:type="dxa"/>
                  <w:shd w:val="clear" w:color="auto" w:fill="FFFFFF"/>
                  <w:noWrap w:val="0"/>
                  <w:tcMar>
                    <w:top w:w="20" w:type="dxa"/>
                    <w:left w:w="100" w:type="dxa"/>
                    <w:bottom w:w="20" w:type="dxa"/>
                    <w:right w:w="100" w:type="dxa"/>
                  </w:tcMar>
                  <w:vAlign w:val="center"/>
                </w:tcPr>
                <w:p w14:paraId="023BF42F">
                  <w:pPr>
                    <w:wordWrap w:val="0"/>
                    <w:spacing w:line="360" w:lineRule="auto"/>
                    <w:jc w:val="center"/>
                    <w:rPr>
                      <w:rFonts w:ascii="宋体" w:hAnsi="宋体" w:cs="Arial"/>
                      <w:color w:val="auto"/>
                    </w:rPr>
                  </w:pPr>
                  <w:r>
                    <w:rPr>
                      <w:rFonts w:ascii="宋体" w:hAnsi="宋体" w:cs="Arial"/>
                      <w:color w:val="auto"/>
                    </w:rPr>
                    <w:t>1.0%</w:t>
                  </w:r>
                </w:p>
              </w:tc>
            </w:tr>
            <w:tr w14:paraId="0E0E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2836" w:type="dxa"/>
                  <w:shd w:val="clear" w:color="auto" w:fill="FFFFFF"/>
                  <w:noWrap w:val="0"/>
                  <w:tcMar>
                    <w:top w:w="20" w:type="dxa"/>
                    <w:left w:w="100" w:type="dxa"/>
                    <w:bottom w:w="20" w:type="dxa"/>
                    <w:right w:w="100" w:type="dxa"/>
                  </w:tcMar>
                  <w:vAlign w:val="center"/>
                </w:tcPr>
                <w:p w14:paraId="55841CE8">
                  <w:pPr>
                    <w:wordWrap w:val="0"/>
                    <w:spacing w:line="360" w:lineRule="auto"/>
                    <w:rPr>
                      <w:rFonts w:ascii="宋体" w:hAnsi="宋体" w:cs="Arial"/>
                      <w:color w:val="auto"/>
                    </w:rPr>
                  </w:pPr>
                  <w:r>
                    <w:rPr>
                      <w:rFonts w:ascii="宋体" w:hAnsi="宋体" w:cs="Arial"/>
                      <w:color w:val="auto"/>
                    </w:rPr>
                    <w:t>100-500</w:t>
                  </w:r>
                </w:p>
              </w:tc>
              <w:tc>
                <w:tcPr>
                  <w:tcW w:w="1980" w:type="dxa"/>
                  <w:shd w:val="clear" w:color="auto" w:fill="FFFFFF"/>
                  <w:noWrap w:val="0"/>
                  <w:tcMar>
                    <w:top w:w="20" w:type="dxa"/>
                    <w:left w:w="100" w:type="dxa"/>
                    <w:bottom w:w="20" w:type="dxa"/>
                    <w:right w:w="100" w:type="dxa"/>
                  </w:tcMar>
                  <w:vAlign w:val="center"/>
                </w:tcPr>
                <w:p w14:paraId="3AFFEFBF">
                  <w:pPr>
                    <w:wordWrap w:val="0"/>
                    <w:spacing w:line="360" w:lineRule="auto"/>
                    <w:jc w:val="center"/>
                    <w:rPr>
                      <w:rFonts w:ascii="宋体" w:hAnsi="宋体" w:cs="Arial"/>
                      <w:color w:val="auto"/>
                    </w:rPr>
                  </w:pPr>
                  <w:r>
                    <w:rPr>
                      <w:rFonts w:ascii="宋体" w:hAnsi="宋体" w:cs="Arial"/>
                      <w:color w:val="auto"/>
                    </w:rPr>
                    <w:t>1.1%</w:t>
                  </w:r>
                </w:p>
              </w:tc>
              <w:tc>
                <w:tcPr>
                  <w:tcW w:w="1644" w:type="dxa"/>
                  <w:shd w:val="clear" w:color="auto" w:fill="FFFFFF"/>
                  <w:noWrap w:val="0"/>
                  <w:tcMar>
                    <w:top w:w="20" w:type="dxa"/>
                    <w:left w:w="100" w:type="dxa"/>
                    <w:bottom w:w="20" w:type="dxa"/>
                    <w:right w:w="100" w:type="dxa"/>
                  </w:tcMar>
                  <w:vAlign w:val="center"/>
                </w:tcPr>
                <w:p w14:paraId="0C07E7B8">
                  <w:pPr>
                    <w:wordWrap w:val="0"/>
                    <w:spacing w:line="360" w:lineRule="auto"/>
                    <w:jc w:val="center"/>
                    <w:rPr>
                      <w:rFonts w:ascii="宋体" w:hAnsi="宋体" w:cs="Arial"/>
                      <w:color w:val="auto"/>
                    </w:rPr>
                  </w:pPr>
                  <w:r>
                    <w:rPr>
                      <w:rFonts w:ascii="宋体" w:hAnsi="宋体" w:cs="Arial"/>
                      <w:color w:val="auto"/>
                    </w:rPr>
                    <w:t>0.8%</w:t>
                  </w:r>
                </w:p>
              </w:tc>
              <w:tc>
                <w:tcPr>
                  <w:tcW w:w="1704" w:type="dxa"/>
                  <w:shd w:val="clear" w:color="auto" w:fill="FFFFFF"/>
                  <w:noWrap w:val="0"/>
                  <w:tcMar>
                    <w:top w:w="20" w:type="dxa"/>
                    <w:left w:w="100" w:type="dxa"/>
                    <w:bottom w:w="20" w:type="dxa"/>
                    <w:right w:w="100" w:type="dxa"/>
                  </w:tcMar>
                  <w:vAlign w:val="center"/>
                </w:tcPr>
                <w:p w14:paraId="2116A024">
                  <w:pPr>
                    <w:wordWrap w:val="0"/>
                    <w:spacing w:line="360" w:lineRule="auto"/>
                    <w:jc w:val="center"/>
                    <w:rPr>
                      <w:rFonts w:ascii="宋体" w:hAnsi="宋体" w:cs="Arial"/>
                      <w:color w:val="auto"/>
                    </w:rPr>
                  </w:pPr>
                  <w:r>
                    <w:rPr>
                      <w:rFonts w:ascii="宋体" w:hAnsi="宋体" w:cs="Arial"/>
                      <w:color w:val="auto"/>
                    </w:rPr>
                    <w:t>0.7%</w:t>
                  </w:r>
                </w:p>
              </w:tc>
            </w:tr>
            <w:tr w14:paraId="284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2836" w:type="dxa"/>
                  <w:shd w:val="clear" w:color="auto" w:fill="FFFFFF"/>
                  <w:noWrap w:val="0"/>
                  <w:tcMar>
                    <w:top w:w="20" w:type="dxa"/>
                    <w:left w:w="100" w:type="dxa"/>
                    <w:bottom w:w="20" w:type="dxa"/>
                    <w:right w:w="100" w:type="dxa"/>
                  </w:tcMar>
                  <w:vAlign w:val="center"/>
                </w:tcPr>
                <w:p w14:paraId="1C81160B">
                  <w:pPr>
                    <w:wordWrap w:val="0"/>
                    <w:spacing w:line="360" w:lineRule="auto"/>
                    <w:rPr>
                      <w:rFonts w:ascii="宋体" w:hAnsi="宋体" w:cs="Arial"/>
                      <w:color w:val="auto"/>
                    </w:rPr>
                  </w:pPr>
                  <w:r>
                    <w:rPr>
                      <w:rFonts w:ascii="宋体" w:hAnsi="宋体" w:cs="Arial"/>
                      <w:color w:val="auto"/>
                    </w:rPr>
                    <w:t>500-1000</w:t>
                  </w:r>
                </w:p>
              </w:tc>
              <w:tc>
                <w:tcPr>
                  <w:tcW w:w="1980" w:type="dxa"/>
                  <w:shd w:val="clear" w:color="auto" w:fill="FFFFFF"/>
                  <w:noWrap w:val="0"/>
                  <w:tcMar>
                    <w:top w:w="20" w:type="dxa"/>
                    <w:left w:w="100" w:type="dxa"/>
                    <w:bottom w:w="20" w:type="dxa"/>
                    <w:right w:w="100" w:type="dxa"/>
                  </w:tcMar>
                  <w:vAlign w:val="center"/>
                </w:tcPr>
                <w:p w14:paraId="0CAD0FD5">
                  <w:pPr>
                    <w:wordWrap w:val="0"/>
                    <w:spacing w:line="360" w:lineRule="auto"/>
                    <w:jc w:val="center"/>
                    <w:rPr>
                      <w:rFonts w:ascii="宋体" w:hAnsi="宋体" w:cs="Arial"/>
                      <w:color w:val="auto"/>
                    </w:rPr>
                  </w:pPr>
                  <w:r>
                    <w:rPr>
                      <w:rFonts w:ascii="宋体" w:hAnsi="宋体" w:cs="Arial"/>
                      <w:color w:val="auto"/>
                    </w:rPr>
                    <w:t>0.8%</w:t>
                  </w:r>
                </w:p>
              </w:tc>
              <w:tc>
                <w:tcPr>
                  <w:tcW w:w="1644" w:type="dxa"/>
                  <w:shd w:val="clear" w:color="auto" w:fill="FFFFFF"/>
                  <w:noWrap w:val="0"/>
                  <w:tcMar>
                    <w:top w:w="20" w:type="dxa"/>
                    <w:left w:w="100" w:type="dxa"/>
                    <w:bottom w:w="20" w:type="dxa"/>
                    <w:right w:w="100" w:type="dxa"/>
                  </w:tcMar>
                  <w:vAlign w:val="center"/>
                </w:tcPr>
                <w:p w14:paraId="13134D36">
                  <w:pPr>
                    <w:wordWrap w:val="0"/>
                    <w:spacing w:line="360" w:lineRule="auto"/>
                    <w:jc w:val="center"/>
                    <w:rPr>
                      <w:rFonts w:ascii="宋体" w:hAnsi="宋体" w:cs="Arial"/>
                      <w:color w:val="auto"/>
                    </w:rPr>
                  </w:pPr>
                  <w:r>
                    <w:rPr>
                      <w:rFonts w:ascii="宋体" w:hAnsi="宋体" w:cs="Arial"/>
                      <w:color w:val="auto"/>
                    </w:rPr>
                    <w:t>0.45%</w:t>
                  </w:r>
                </w:p>
              </w:tc>
              <w:tc>
                <w:tcPr>
                  <w:tcW w:w="1704" w:type="dxa"/>
                  <w:shd w:val="clear" w:color="auto" w:fill="FFFFFF"/>
                  <w:noWrap w:val="0"/>
                  <w:tcMar>
                    <w:top w:w="20" w:type="dxa"/>
                    <w:left w:w="100" w:type="dxa"/>
                    <w:bottom w:w="20" w:type="dxa"/>
                    <w:right w:w="100" w:type="dxa"/>
                  </w:tcMar>
                  <w:vAlign w:val="center"/>
                </w:tcPr>
                <w:p w14:paraId="7DBCD1A9">
                  <w:pPr>
                    <w:wordWrap w:val="0"/>
                    <w:spacing w:line="360" w:lineRule="auto"/>
                    <w:jc w:val="center"/>
                    <w:rPr>
                      <w:rFonts w:ascii="宋体" w:hAnsi="宋体" w:cs="Arial"/>
                      <w:color w:val="auto"/>
                    </w:rPr>
                  </w:pPr>
                  <w:r>
                    <w:rPr>
                      <w:rFonts w:ascii="宋体" w:hAnsi="宋体" w:cs="Arial"/>
                      <w:color w:val="auto"/>
                    </w:rPr>
                    <w:t>0.55%</w:t>
                  </w:r>
                </w:p>
              </w:tc>
            </w:tr>
            <w:tr w14:paraId="443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trPr>
              <w:tc>
                <w:tcPr>
                  <w:tcW w:w="2836" w:type="dxa"/>
                  <w:shd w:val="clear" w:color="auto" w:fill="FFFFFF"/>
                  <w:noWrap w:val="0"/>
                  <w:tcMar>
                    <w:top w:w="20" w:type="dxa"/>
                    <w:left w:w="100" w:type="dxa"/>
                    <w:bottom w:w="20" w:type="dxa"/>
                    <w:right w:w="100" w:type="dxa"/>
                  </w:tcMar>
                  <w:vAlign w:val="center"/>
                </w:tcPr>
                <w:p w14:paraId="2A493296">
                  <w:pPr>
                    <w:wordWrap w:val="0"/>
                    <w:spacing w:line="360" w:lineRule="auto"/>
                    <w:rPr>
                      <w:rFonts w:ascii="宋体" w:hAnsi="宋体" w:cs="Arial"/>
                      <w:color w:val="auto"/>
                    </w:rPr>
                  </w:pPr>
                  <w:r>
                    <w:rPr>
                      <w:rFonts w:ascii="宋体" w:hAnsi="宋体" w:cs="Arial"/>
                      <w:color w:val="auto"/>
                    </w:rPr>
                    <w:t>1000-5000</w:t>
                  </w:r>
                </w:p>
              </w:tc>
              <w:tc>
                <w:tcPr>
                  <w:tcW w:w="1980" w:type="dxa"/>
                  <w:shd w:val="clear" w:color="auto" w:fill="FFFFFF"/>
                  <w:noWrap w:val="0"/>
                  <w:tcMar>
                    <w:top w:w="20" w:type="dxa"/>
                    <w:left w:w="100" w:type="dxa"/>
                    <w:bottom w:w="20" w:type="dxa"/>
                    <w:right w:w="100" w:type="dxa"/>
                  </w:tcMar>
                  <w:vAlign w:val="center"/>
                </w:tcPr>
                <w:p w14:paraId="76E1FA32">
                  <w:pPr>
                    <w:wordWrap w:val="0"/>
                    <w:spacing w:line="360" w:lineRule="auto"/>
                    <w:jc w:val="center"/>
                    <w:rPr>
                      <w:rFonts w:ascii="宋体" w:hAnsi="宋体" w:cs="Arial"/>
                      <w:color w:val="auto"/>
                    </w:rPr>
                  </w:pPr>
                  <w:r>
                    <w:rPr>
                      <w:rFonts w:ascii="宋体" w:hAnsi="宋体" w:cs="Arial"/>
                      <w:color w:val="auto"/>
                    </w:rPr>
                    <w:t>0.5%</w:t>
                  </w:r>
                </w:p>
              </w:tc>
              <w:tc>
                <w:tcPr>
                  <w:tcW w:w="1644" w:type="dxa"/>
                  <w:shd w:val="clear" w:color="auto" w:fill="FFFFFF"/>
                  <w:noWrap w:val="0"/>
                  <w:tcMar>
                    <w:top w:w="20" w:type="dxa"/>
                    <w:left w:w="100" w:type="dxa"/>
                    <w:bottom w:w="20" w:type="dxa"/>
                    <w:right w:w="100" w:type="dxa"/>
                  </w:tcMar>
                  <w:vAlign w:val="center"/>
                </w:tcPr>
                <w:p w14:paraId="07B01AAF">
                  <w:pPr>
                    <w:wordWrap w:val="0"/>
                    <w:spacing w:line="360" w:lineRule="auto"/>
                    <w:jc w:val="center"/>
                    <w:rPr>
                      <w:rFonts w:ascii="宋体" w:hAnsi="宋体" w:cs="Arial"/>
                      <w:color w:val="auto"/>
                    </w:rPr>
                  </w:pPr>
                  <w:r>
                    <w:rPr>
                      <w:rFonts w:ascii="宋体" w:hAnsi="宋体" w:cs="Arial"/>
                      <w:color w:val="auto"/>
                    </w:rPr>
                    <w:t>0.25%</w:t>
                  </w:r>
                </w:p>
              </w:tc>
              <w:tc>
                <w:tcPr>
                  <w:tcW w:w="1704" w:type="dxa"/>
                  <w:shd w:val="clear" w:color="auto" w:fill="FFFFFF"/>
                  <w:noWrap w:val="0"/>
                  <w:tcMar>
                    <w:top w:w="20" w:type="dxa"/>
                    <w:left w:w="100" w:type="dxa"/>
                    <w:bottom w:w="20" w:type="dxa"/>
                    <w:right w:w="100" w:type="dxa"/>
                  </w:tcMar>
                  <w:vAlign w:val="center"/>
                </w:tcPr>
                <w:p w14:paraId="302B6FC9">
                  <w:pPr>
                    <w:wordWrap w:val="0"/>
                    <w:spacing w:line="360" w:lineRule="auto"/>
                    <w:jc w:val="center"/>
                    <w:rPr>
                      <w:rFonts w:ascii="宋体" w:hAnsi="宋体" w:cs="Arial"/>
                      <w:color w:val="auto"/>
                    </w:rPr>
                  </w:pPr>
                  <w:r>
                    <w:rPr>
                      <w:rFonts w:ascii="宋体" w:hAnsi="宋体" w:cs="Arial"/>
                      <w:color w:val="auto"/>
                    </w:rPr>
                    <w:t>0.35%</w:t>
                  </w:r>
                </w:p>
              </w:tc>
            </w:tr>
            <w:tr w14:paraId="5379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trPr>
              <w:tc>
                <w:tcPr>
                  <w:tcW w:w="2836" w:type="dxa"/>
                  <w:shd w:val="clear" w:color="auto" w:fill="FFFFFF"/>
                  <w:noWrap w:val="0"/>
                  <w:tcMar>
                    <w:top w:w="20" w:type="dxa"/>
                    <w:left w:w="100" w:type="dxa"/>
                    <w:bottom w:w="20" w:type="dxa"/>
                    <w:right w:w="100" w:type="dxa"/>
                  </w:tcMar>
                  <w:vAlign w:val="center"/>
                </w:tcPr>
                <w:p w14:paraId="3DC69783">
                  <w:pPr>
                    <w:wordWrap w:val="0"/>
                    <w:spacing w:line="360" w:lineRule="auto"/>
                    <w:rPr>
                      <w:rFonts w:ascii="宋体" w:hAnsi="宋体" w:cs="Arial"/>
                      <w:color w:val="auto"/>
                    </w:rPr>
                  </w:pPr>
                  <w:r>
                    <w:rPr>
                      <w:rFonts w:ascii="宋体" w:hAnsi="宋体" w:cs="Arial"/>
                      <w:color w:val="auto"/>
                    </w:rPr>
                    <w:t>5000-10000</w:t>
                  </w:r>
                </w:p>
              </w:tc>
              <w:tc>
                <w:tcPr>
                  <w:tcW w:w="1980" w:type="dxa"/>
                  <w:shd w:val="clear" w:color="auto" w:fill="FFFFFF"/>
                  <w:noWrap w:val="0"/>
                  <w:tcMar>
                    <w:top w:w="20" w:type="dxa"/>
                    <w:left w:w="100" w:type="dxa"/>
                    <w:bottom w:w="20" w:type="dxa"/>
                    <w:right w:w="100" w:type="dxa"/>
                  </w:tcMar>
                  <w:vAlign w:val="center"/>
                </w:tcPr>
                <w:p w14:paraId="7F05560E">
                  <w:pPr>
                    <w:wordWrap w:val="0"/>
                    <w:spacing w:line="360" w:lineRule="auto"/>
                    <w:jc w:val="center"/>
                    <w:rPr>
                      <w:rFonts w:ascii="宋体" w:hAnsi="宋体" w:cs="Arial"/>
                      <w:color w:val="auto"/>
                    </w:rPr>
                  </w:pPr>
                  <w:r>
                    <w:rPr>
                      <w:rFonts w:ascii="宋体" w:hAnsi="宋体" w:cs="Arial"/>
                      <w:color w:val="auto"/>
                    </w:rPr>
                    <w:t>0.25%</w:t>
                  </w:r>
                </w:p>
              </w:tc>
              <w:tc>
                <w:tcPr>
                  <w:tcW w:w="1644" w:type="dxa"/>
                  <w:shd w:val="clear" w:color="auto" w:fill="FFFFFF"/>
                  <w:noWrap w:val="0"/>
                  <w:tcMar>
                    <w:top w:w="20" w:type="dxa"/>
                    <w:left w:w="100" w:type="dxa"/>
                    <w:bottom w:w="20" w:type="dxa"/>
                    <w:right w:w="100" w:type="dxa"/>
                  </w:tcMar>
                  <w:vAlign w:val="center"/>
                </w:tcPr>
                <w:p w14:paraId="0ED94E84">
                  <w:pPr>
                    <w:wordWrap w:val="0"/>
                    <w:spacing w:line="360" w:lineRule="auto"/>
                    <w:jc w:val="center"/>
                    <w:rPr>
                      <w:rFonts w:ascii="宋体" w:hAnsi="宋体" w:cs="Arial"/>
                      <w:color w:val="auto"/>
                    </w:rPr>
                  </w:pPr>
                  <w:r>
                    <w:rPr>
                      <w:rFonts w:ascii="宋体" w:hAnsi="宋体" w:cs="Arial"/>
                      <w:color w:val="auto"/>
                    </w:rPr>
                    <w:t>0.1%</w:t>
                  </w:r>
                </w:p>
              </w:tc>
              <w:tc>
                <w:tcPr>
                  <w:tcW w:w="1704" w:type="dxa"/>
                  <w:shd w:val="clear" w:color="auto" w:fill="FFFFFF"/>
                  <w:noWrap w:val="0"/>
                  <w:tcMar>
                    <w:top w:w="20" w:type="dxa"/>
                    <w:left w:w="100" w:type="dxa"/>
                    <w:bottom w:w="20" w:type="dxa"/>
                    <w:right w:w="100" w:type="dxa"/>
                  </w:tcMar>
                  <w:vAlign w:val="center"/>
                </w:tcPr>
                <w:p w14:paraId="5B54FF97">
                  <w:pPr>
                    <w:wordWrap w:val="0"/>
                    <w:spacing w:line="360" w:lineRule="auto"/>
                    <w:jc w:val="center"/>
                    <w:rPr>
                      <w:rFonts w:ascii="宋体" w:hAnsi="宋体" w:cs="Arial"/>
                      <w:color w:val="auto"/>
                    </w:rPr>
                  </w:pPr>
                  <w:r>
                    <w:rPr>
                      <w:rFonts w:ascii="宋体" w:hAnsi="宋体" w:cs="Arial"/>
                      <w:color w:val="auto"/>
                    </w:rPr>
                    <w:t>0.2%</w:t>
                  </w:r>
                </w:p>
              </w:tc>
            </w:tr>
          </w:tbl>
          <w:p w14:paraId="100D0CF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②中标服务费的交纳方式：</w:t>
            </w:r>
          </w:p>
          <w:p w14:paraId="5654DD8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用银行支票、汇票、电汇、现金等付款方式直接交纳中标服务费。</w:t>
            </w:r>
          </w:p>
          <w:p w14:paraId="2045048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公司名称：浙江省房地产管理咨询有限公司嵊州分公司</w:t>
            </w:r>
          </w:p>
          <w:p w14:paraId="658B1F3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rPr>
              <w:t>开户行：嵊州农商银行剡湖支行</w:t>
            </w:r>
          </w:p>
          <w:p w14:paraId="4323A45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账号：201000162958851</w:t>
            </w:r>
          </w:p>
          <w:p w14:paraId="35563F3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color w:val="auto"/>
                <w:sz w:val="24"/>
                <w:szCs w:val="24"/>
              </w:rPr>
            </w:pPr>
            <w:r>
              <w:rPr>
                <w:rFonts w:hint="eastAsia" w:ascii="宋体" w:hAnsi="宋体" w:eastAsia="宋体" w:cs="宋体"/>
                <w:snapToGrid w:val="0"/>
                <w:color w:val="auto"/>
                <w:kern w:val="28"/>
                <w:sz w:val="24"/>
              </w:rPr>
              <w:t>③中标服务费的交纳时间：领取中标通知书时交纳。</w:t>
            </w:r>
          </w:p>
        </w:tc>
      </w:tr>
      <w:tr w14:paraId="776F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noWrap w:val="0"/>
            <w:vAlign w:val="center"/>
          </w:tcPr>
          <w:p w14:paraId="19C38B38">
            <w:pPr>
              <w:pageBreakBefore w:val="0"/>
              <w:kinsoku/>
              <w:wordWrap/>
              <w:overflowPunct/>
              <w:topLinePunct w:val="0"/>
              <w:bidi w:val="0"/>
              <w:adjustRightInd/>
              <w:spacing w:line="52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8519" w:type="dxa"/>
            <w:noWrap w:val="0"/>
            <w:vAlign w:val="center"/>
          </w:tcPr>
          <w:p w14:paraId="71D0A020">
            <w:pPr>
              <w:pageBreakBefore w:val="0"/>
              <w:kinsoku/>
              <w:wordWrap/>
              <w:overflowPunct/>
              <w:topLinePunct w:val="0"/>
              <w:autoSpaceDE w:val="0"/>
              <w:autoSpaceDN w:val="0"/>
              <w:bidi w:val="0"/>
              <w:adjustRightInd/>
              <w:spacing w:line="520" w:lineRule="exact"/>
              <w:textAlignment w:val="bottom"/>
              <w:rPr>
                <w:rFonts w:hint="eastAsia" w:ascii="宋体" w:hAnsi="宋体" w:eastAsia="宋体" w:cs="宋体"/>
                <w:color w:val="auto"/>
                <w:sz w:val="24"/>
                <w:szCs w:val="24"/>
              </w:rPr>
            </w:pPr>
            <w:r>
              <w:rPr>
                <w:rFonts w:hint="eastAsia" w:ascii="宋体" w:hAnsi="宋体" w:eastAsia="宋体" w:cs="宋体"/>
                <w:snapToGrid w:val="0"/>
                <w:color w:val="auto"/>
                <w:kern w:val="28"/>
                <w:sz w:val="24"/>
              </w:rPr>
              <w:t>在领取中标通知书时中标供应商需根据采购人要求提供纸质投标文件（与电子投标文件一致）至少三份，递交至代理机构，如与电子投标文件不符将影响中标供应商领取中标通知书。</w:t>
            </w:r>
          </w:p>
        </w:tc>
      </w:tr>
      <w:tr w14:paraId="45BA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noWrap w:val="0"/>
            <w:vAlign w:val="center"/>
          </w:tcPr>
          <w:p w14:paraId="0D9008D6">
            <w:pPr>
              <w:pageBreakBefore w:val="0"/>
              <w:kinsoku/>
              <w:wordWrap/>
              <w:overflowPunct/>
              <w:topLinePunct w:val="0"/>
              <w:bidi w:val="0"/>
              <w:adjustRightInd/>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8519" w:type="dxa"/>
            <w:noWrap w:val="0"/>
            <w:vAlign w:val="center"/>
          </w:tcPr>
          <w:p w14:paraId="710D7CBF">
            <w:pPr>
              <w:pageBreakBefore w:val="0"/>
              <w:kinsoku/>
              <w:wordWrap/>
              <w:overflowPunct/>
              <w:topLinePunct w:val="0"/>
              <w:bidi w:val="0"/>
              <w:adjustRightInd/>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解</w:t>
            </w:r>
            <w:r>
              <w:rPr>
                <w:rFonts w:hint="eastAsia" w:ascii="宋体" w:hAnsi="宋体" w:eastAsia="宋体" w:cs="宋体"/>
                <w:b w:val="0"/>
                <w:bCs w:val="0"/>
                <w:color w:val="auto"/>
                <w:sz w:val="24"/>
                <w:szCs w:val="24"/>
                <w:highlight w:val="none"/>
              </w:rPr>
              <w:t>释：凡涉及本采购文件的解释权属于采购单位</w:t>
            </w:r>
            <w:r>
              <w:rPr>
                <w:rFonts w:hint="eastAsia" w:ascii="宋体" w:hAnsi="宋体" w:eastAsia="宋体" w:cs="宋体"/>
                <w:b w:val="0"/>
                <w:bCs w:val="0"/>
                <w:color w:val="auto"/>
                <w:sz w:val="24"/>
                <w:szCs w:val="24"/>
                <w:highlight w:val="none"/>
                <w:lang w:val="en-US" w:eastAsia="zh-CN"/>
              </w:rPr>
              <w:t>及采购代理机构</w:t>
            </w:r>
            <w:r>
              <w:rPr>
                <w:rFonts w:hint="eastAsia" w:ascii="宋体" w:hAnsi="宋体" w:eastAsia="宋体" w:cs="宋体"/>
                <w:b w:val="0"/>
                <w:bCs w:val="0"/>
                <w:color w:val="auto"/>
                <w:sz w:val="24"/>
                <w:szCs w:val="24"/>
                <w:highlight w:val="none"/>
              </w:rPr>
              <w:t>。</w:t>
            </w:r>
          </w:p>
        </w:tc>
      </w:tr>
      <w:tr w14:paraId="3CBC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380" w:type="dxa"/>
            <w:gridSpan w:val="2"/>
            <w:noWrap w:val="0"/>
            <w:vAlign w:val="center"/>
          </w:tcPr>
          <w:p w14:paraId="0BEBB123">
            <w:pPr>
              <w:pageBreakBefore w:val="0"/>
              <w:kinsoku/>
              <w:wordWrap/>
              <w:overflowPunct/>
              <w:topLinePunct w:val="0"/>
              <w:bidi w:val="0"/>
              <w:adjustRightInd/>
              <w:spacing w:line="520" w:lineRule="exact"/>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rPr>
              <w:t>注：中标人放弃中标资格或因质疑、投诉被取消中标资格或不能履行合同的，本项目重新组织采购。</w:t>
            </w:r>
          </w:p>
        </w:tc>
      </w:tr>
    </w:tbl>
    <w:p w14:paraId="7AD6E25C">
      <w:pPr>
        <w:pStyle w:val="5"/>
        <w:tabs>
          <w:tab w:val="left" w:pos="358"/>
          <w:tab w:val="clear" w:pos="432"/>
        </w:tabs>
        <w:spacing w:line="460" w:lineRule="exact"/>
        <w:jc w:val="center"/>
        <w:rPr>
          <w:rFonts w:hint="eastAsia" w:ascii="仿宋" w:hAnsi="仿宋" w:eastAsia="仿宋" w:cs="仿宋"/>
          <w:color w:val="auto"/>
          <w:sz w:val="32"/>
          <w:szCs w:val="32"/>
        </w:rPr>
      </w:pPr>
      <w:bookmarkStart w:id="14" w:name="_Toc54978890"/>
      <w:bookmarkStart w:id="15" w:name="_Toc10076"/>
      <w:bookmarkStart w:id="16" w:name="_Toc872"/>
      <w:bookmarkStart w:id="17" w:name="_Toc12075"/>
      <w:bookmarkStart w:id="18" w:name="_Toc31687"/>
      <w:r>
        <w:rPr>
          <w:rFonts w:hint="eastAsia" w:ascii="仿宋" w:hAnsi="仿宋" w:eastAsia="仿宋" w:cs="仿宋"/>
          <w:color w:val="auto"/>
          <w:sz w:val="32"/>
          <w:szCs w:val="32"/>
        </w:rPr>
        <w:t>二、总则</w:t>
      </w:r>
      <w:bookmarkEnd w:id="14"/>
    </w:p>
    <w:p w14:paraId="205C6A4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bookmarkStart w:id="19" w:name="_Toc82873323"/>
      <w:bookmarkStart w:id="20" w:name="_Toc82338240"/>
      <w:r>
        <w:rPr>
          <w:rFonts w:hint="eastAsia" w:ascii="宋体" w:hAnsi="宋体" w:eastAsia="宋体" w:cs="宋体"/>
          <w:color w:val="auto"/>
          <w:sz w:val="24"/>
          <w:szCs w:val="24"/>
        </w:rPr>
        <w:t>1、实施依据</w:t>
      </w:r>
    </w:p>
    <w:p w14:paraId="212B096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本次招标工作是</w:t>
      </w:r>
      <w:r>
        <w:rPr>
          <w:rFonts w:hint="eastAsia" w:ascii="宋体" w:hAnsi="宋体" w:cs="宋体"/>
          <w:color w:val="auto"/>
          <w:sz w:val="24"/>
          <w:szCs w:val="24"/>
          <w:lang w:val="en-US" w:eastAsia="zh-CN"/>
        </w:rPr>
        <w:t>根据</w:t>
      </w:r>
      <w:r>
        <w:rPr>
          <w:rFonts w:hint="eastAsia" w:ascii="宋体" w:hAnsi="宋体" w:eastAsia="宋体" w:cs="宋体"/>
          <w:color w:val="auto"/>
          <w:sz w:val="24"/>
          <w:szCs w:val="24"/>
        </w:rPr>
        <w:t>招标投标有关法律、法规、规章、文件的规定组织和实施。</w:t>
      </w:r>
    </w:p>
    <w:p w14:paraId="0153C35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2、定义</w:t>
      </w:r>
    </w:p>
    <w:p w14:paraId="2F606162">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“采购人”系指采购公告中载明的本项目的采购人。</w:t>
      </w:r>
    </w:p>
    <w:p w14:paraId="04F8FD30">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“采购机构”系指采购公告中载明的本项目的采购代理机构。</w:t>
      </w:r>
    </w:p>
    <w:p w14:paraId="5B2C8B2E">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“投标人”系指是指响应招标、参加投标竞争的法人、其他组织或者自然人。</w:t>
      </w:r>
    </w:p>
    <w:p w14:paraId="182809BA">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“负责人”系指法人企业的法定负责人，或其他组织为法律、行政法规规定代表单位行使职权的主要负责人，或自然人本人。</w:t>
      </w:r>
    </w:p>
    <w:p w14:paraId="64461ED4">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格式见附件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1939558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2.6“电子交易平台”是指本项目采购活动所依托的</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（https://</w:t>
      </w:r>
      <w:r>
        <w:rPr>
          <w:rFonts w:hint="eastAsia" w:ascii="宋体" w:hAnsi="宋体" w:eastAsia="宋体" w:cs="宋体"/>
          <w:color w:val="auto"/>
          <w:sz w:val="24"/>
          <w:szCs w:val="24"/>
          <w:lang w:eastAsia="zh-CN"/>
        </w:rPr>
        <w:t>www.lecaiyun.com</w:t>
      </w:r>
      <w:r>
        <w:rPr>
          <w:rFonts w:hint="eastAsia" w:ascii="宋体" w:hAnsi="宋体" w:eastAsia="宋体" w:cs="宋体"/>
          <w:color w:val="auto"/>
          <w:sz w:val="24"/>
          <w:szCs w:val="24"/>
        </w:rPr>
        <w:t>/）。</w:t>
      </w:r>
    </w:p>
    <w:p w14:paraId="570F23B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w:t>
      </w:r>
      <w:r>
        <w:rPr>
          <w:rFonts w:hint="eastAsia" w:ascii="宋体" w:hAnsi="宋体" w:cs="宋体"/>
          <w:color w:val="auto"/>
          <w:sz w:val="24"/>
          <w:szCs w:val="24"/>
          <w:lang w:eastAsia="zh-CN"/>
        </w:rPr>
        <w:t>★</w:t>
      </w:r>
      <w:r>
        <w:rPr>
          <w:rFonts w:hint="eastAsia" w:ascii="宋体" w:hAnsi="宋体" w:eastAsia="宋体" w:cs="宋体"/>
          <w:color w:val="auto"/>
          <w:sz w:val="24"/>
          <w:szCs w:val="24"/>
        </w:rPr>
        <w:t>”系指实质性指标要求条款，“▲”系指主要性能指标要求条款。如任意一条打“</w:t>
      </w:r>
      <w:r>
        <w:rPr>
          <w:rFonts w:hint="eastAsia" w:ascii="宋体" w:hAnsi="宋体" w:cs="宋体"/>
          <w:color w:val="auto"/>
          <w:sz w:val="24"/>
          <w:szCs w:val="24"/>
          <w:lang w:eastAsia="zh-CN"/>
        </w:rPr>
        <w:t>★</w:t>
      </w:r>
      <w:r>
        <w:rPr>
          <w:rFonts w:hint="eastAsia" w:ascii="宋体" w:hAnsi="宋体" w:eastAsia="宋体" w:cs="宋体"/>
          <w:color w:val="auto"/>
          <w:sz w:val="24"/>
          <w:szCs w:val="24"/>
        </w:rPr>
        <w:t>”的指标出现负偏离视为实质性不响应招标文件要求，作无效投标处理；如任意一条打“▲”的指标出现负偏离按评分标准规定处理。</w:t>
      </w:r>
    </w:p>
    <w:p w14:paraId="6A1C18BD">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rPr>
        <w:sym w:font="Wingdings" w:char="F0FE"/>
      </w:r>
      <w:r>
        <w:rPr>
          <w:rFonts w:hint="eastAsia" w:ascii="宋体" w:hAnsi="宋体" w:eastAsia="宋体" w:cs="宋体"/>
          <w:color w:val="auto"/>
          <w:sz w:val="24"/>
          <w:szCs w:val="24"/>
        </w:rPr>
        <w:t>” 系指适用本项目的要求，“☐” 系指不适用本项目的要求。</w:t>
      </w:r>
    </w:p>
    <w:p w14:paraId="7FA55B5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投标联合体：是指两个以上供应商组成联合体，以一个投标人的身份参加投标；</w:t>
      </w:r>
    </w:p>
    <w:p w14:paraId="4B73E9E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货物和服务：是指按采购文件要求的货物和服务；</w:t>
      </w:r>
    </w:p>
    <w:p w14:paraId="7911C2D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3、投标人须知前附表规定接受联合体投标的，应遵守以下规定：</w:t>
      </w:r>
      <w:r>
        <w:rPr>
          <w:rFonts w:hint="eastAsia" w:ascii="宋体" w:hAnsi="宋体" w:eastAsia="宋体" w:cs="宋体"/>
          <w:b/>
          <w:color w:val="auto"/>
          <w:sz w:val="24"/>
          <w:szCs w:val="24"/>
        </w:rPr>
        <w:t>（本项目不适用）</w:t>
      </w:r>
    </w:p>
    <w:p w14:paraId="460DCE0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两个以上供应商可以组成一个联合体，以一个供应商的身份共同参加投标；</w:t>
      </w:r>
    </w:p>
    <w:p w14:paraId="094D6D6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组成联合体参加本项目投标的，投标人须在购买采购文件时向采购代理机构作出相关书面说明，否则投标无效；</w:t>
      </w:r>
    </w:p>
    <w:p w14:paraId="14B6D0C1">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以联合体形式参加本项目投标的，联合体的各成员均应当具备</w:t>
      </w:r>
      <w:r>
        <w:rPr>
          <w:rFonts w:hint="eastAsia" w:ascii="宋体" w:hAnsi="宋体" w:cs="宋体"/>
          <w:color w:val="auto"/>
          <w:sz w:val="24"/>
          <w:szCs w:val="24"/>
          <w:lang w:val="en-US" w:eastAsia="zh-CN"/>
        </w:rPr>
        <w:t>相关法律法规</w:t>
      </w:r>
      <w:r>
        <w:rPr>
          <w:rFonts w:hint="eastAsia" w:ascii="宋体" w:hAnsi="宋体" w:eastAsia="宋体" w:cs="宋体"/>
          <w:color w:val="auto"/>
          <w:sz w:val="24"/>
          <w:szCs w:val="24"/>
        </w:rPr>
        <w:t>规定的条件，联合体各方中至少应当有一方符合采购人规定的特定条件</w:t>
      </w:r>
      <w:r>
        <w:rPr>
          <w:rFonts w:hint="eastAsia" w:ascii="宋体" w:hAnsi="宋体" w:eastAsia="宋体" w:cs="宋体"/>
          <w:color w:val="auto"/>
          <w:kern w:val="0"/>
          <w:sz w:val="24"/>
          <w:szCs w:val="24"/>
        </w:rPr>
        <w:t>，但同一专业的投标人组成的联合体以资质最低的一方为依据；</w:t>
      </w:r>
    </w:p>
    <w:p w14:paraId="29D4EF3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14:paraId="5EAF43A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联合体各方签订投标联合协议后，不得再以自己名义单独在本项目中参加投标，也不得组成新的联合体参加本项目投标；</w:t>
      </w:r>
    </w:p>
    <w:p w14:paraId="544ED45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r>
        <w:rPr>
          <w:rFonts w:hint="eastAsia" w:ascii="宋体" w:hAnsi="宋体" w:eastAsia="宋体" w:cs="宋体"/>
          <w:color w:val="auto"/>
          <w:sz w:val="24"/>
          <w:szCs w:val="24"/>
        </w:rPr>
        <w:t>联合体各方共同与采购人签订采购合同，</w:t>
      </w:r>
      <w:r>
        <w:rPr>
          <w:rFonts w:hint="eastAsia" w:ascii="宋体" w:hAnsi="宋体" w:cs="宋体"/>
          <w:b/>
          <w:bCs/>
          <w:color w:val="auto"/>
          <w:sz w:val="24"/>
          <w:szCs w:val="24"/>
          <w:lang w:val="en-US" w:eastAsia="zh-CN"/>
        </w:rPr>
        <w:t>采购人分别支付货款</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就采购合同约定的事项对采购人承担连带责任；</w:t>
      </w:r>
    </w:p>
    <w:p w14:paraId="65A5FF4D">
      <w:pPr>
        <w:pageBreakBefore w:val="0"/>
        <w:kinsoku/>
        <w:wordWrap/>
        <w:overflowPunct/>
        <w:topLinePunct w:val="0"/>
        <w:bidi w:val="0"/>
        <w:adjustRightInd/>
        <w:spacing w:line="460" w:lineRule="exact"/>
        <w:ind w:firstLine="42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4、费用</w:t>
      </w:r>
    </w:p>
    <w:p w14:paraId="07E2D30C">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无论招投标过程中的做法和结果如何，投标人自行承担招投标活动中所发生的全部费用。</w:t>
      </w:r>
    </w:p>
    <w:p w14:paraId="65081A6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5、保密</w:t>
      </w:r>
    </w:p>
    <w:p w14:paraId="1AD317F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参与招标投标活动的各方应对采购文件和投标文件中的商业和技术等秘密保密，违者应对此造成的后果承担法律责任。</w:t>
      </w:r>
    </w:p>
    <w:p w14:paraId="178339C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6、语言文字</w:t>
      </w:r>
    </w:p>
    <w:p w14:paraId="63D6B62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除专用术语外，与招标投标有关的语言使用中文。专用术语应附有中文注释。</w:t>
      </w:r>
    </w:p>
    <w:p w14:paraId="4E2AF99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7、计量单位</w:t>
      </w:r>
    </w:p>
    <w:p w14:paraId="5D16E3F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6713EA4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8、踏勘现场</w:t>
      </w:r>
    </w:p>
    <w:p w14:paraId="7B9BEF3C">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8.1投标人须知前附表规定组织踏勘现场的，采购人按投标人须知前附表规定的时间、地点组织投标人踏勘项目现场。</w:t>
      </w:r>
    </w:p>
    <w:p w14:paraId="7DC2107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8.2投标人踏勘现场发生的费用自理。</w:t>
      </w:r>
    </w:p>
    <w:p w14:paraId="37871C4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8.3除采购人的原因外，投标人自行负责在踏勘现场中所发生的人员伤亡和财产损失。</w:t>
      </w:r>
    </w:p>
    <w:p w14:paraId="7CBF258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8.4采购人在踏勘现场中介绍的场地和相关的周边环境情况，供投标人在编制投标文件时参考，采购人不对投标人据此作出的判断和决策负责。</w:t>
      </w:r>
    </w:p>
    <w:p w14:paraId="0A34FC9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9、转包与分包</w:t>
      </w:r>
    </w:p>
    <w:p w14:paraId="212B8E9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本项目不允许转包及分包。</w:t>
      </w:r>
    </w:p>
    <w:p w14:paraId="4581BF2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、偏离</w:t>
      </w:r>
    </w:p>
    <w:p w14:paraId="1FF1CD9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投标文件应完全响应采购文件规定的实质性内容和条件。</w:t>
      </w:r>
    </w:p>
    <w:p w14:paraId="396AD00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、其他</w:t>
      </w:r>
    </w:p>
    <w:p w14:paraId="659D5617">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b/>
          <w:bCs/>
          <w:color w:val="auto"/>
          <w:sz w:val="24"/>
          <w:szCs w:val="24"/>
          <w:u w:val="single"/>
        </w:rPr>
        <w:t>投标人对所投标项内的产品或服务必须按采购数量全部进行报价。</w:t>
      </w:r>
    </w:p>
    <w:p w14:paraId="2D080C7D">
      <w:pPr>
        <w:pageBreakBefore w:val="0"/>
        <w:kinsoku/>
        <w:wordWrap/>
        <w:overflowPunct/>
        <w:topLinePunct w:val="0"/>
        <w:bidi w:val="0"/>
        <w:adjustRightInd/>
        <w:spacing w:line="460" w:lineRule="exact"/>
        <w:ind w:firstLine="420"/>
        <w:textAlignment w:val="auto"/>
        <w:rPr>
          <w:rFonts w:hint="eastAsia" w:ascii="宋体" w:hAnsi="宋体" w:eastAsia="宋体" w:cs="宋体"/>
          <w:b/>
          <w:bCs w:val="0"/>
          <w:color w:val="auto"/>
          <w:sz w:val="24"/>
          <w:szCs w:val="24"/>
          <w:u w:val="single"/>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
          <w:bCs w:val="0"/>
          <w:color w:val="auto"/>
          <w:sz w:val="24"/>
          <w:szCs w:val="24"/>
          <w:u w:val="single"/>
        </w:rPr>
        <w:t>投标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b/>
          <w:bCs w:val="0"/>
          <w:color w:val="auto"/>
          <w:sz w:val="24"/>
          <w:szCs w:val="24"/>
          <w:u w:val="single"/>
          <w:lang w:val="en-US" w:eastAsia="zh-CN"/>
        </w:rPr>
        <w:t>采购</w:t>
      </w:r>
      <w:r>
        <w:rPr>
          <w:rFonts w:hint="eastAsia" w:ascii="宋体" w:hAnsi="宋体" w:eastAsia="宋体" w:cs="宋体"/>
          <w:b/>
          <w:bCs w:val="0"/>
          <w:color w:val="auto"/>
          <w:sz w:val="24"/>
          <w:szCs w:val="24"/>
          <w:u w:val="single"/>
        </w:rPr>
        <w:t>文件规定的方式确定一个投标人获得中标人推荐资格，</w:t>
      </w:r>
      <w:r>
        <w:rPr>
          <w:rFonts w:hint="eastAsia" w:ascii="宋体" w:hAnsi="宋体" w:cs="宋体"/>
          <w:b/>
          <w:bCs w:val="0"/>
          <w:color w:val="auto"/>
          <w:sz w:val="24"/>
          <w:szCs w:val="24"/>
          <w:u w:val="single"/>
          <w:lang w:val="en-US" w:eastAsia="zh-CN"/>
        </w:rPr>
        <w:t>采购</w:t>
      </w:r>
      <w:r>
        <w:rPr>
          <w:rFonts w:hint="eastAsia" w:ascii="宋体" w:hAnsi="宋体" w:eastAsia="宋体" w:cs="宋体"/>
          <w:b/>
          <w:bCs w:val="0"/>
          <w:color w:val="auto"/>
          <w:sz w:val="24"/>
          <w:szCs w:val="24"/>
          <w:u w:val="single"/>
        </w:rPr>
        <w:t>文件未规定的采取随机抽取方式确定，其他同品牌投标人不作为中标候选人。</w:t>
      </w:r>
    </w:p>
    <w:p w14:paraId="78819DB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u w:val="none"/>
          <w:lang w:val="en-US" w:eastAsia="zh-CN"/>
        </w:rPr>
        <w:t>1</w:t>
      </w:r>
      <w:r>
        <w:rPr>
          <w:rFonts w:hint="eastAsia" w:ascii="宋体" w:hAnsi="宋体" w:cs="宋体"/>
          <w:b w:val="0"/>
          <w:bCs/>
          <w:color w:val="auto"/>
          <w:sz w:val="24"/>
          <w:szCs w:val="24"/>
          <w:u w:val="none"/>
          <w:lang w:val="en-US" w:eastAsia="zh-CN"/>
        </w:rPr>
        <w:t>1</w:t>
      </w:r>
      <w:r>
        <w:rPr>
          <w:rFonts w:hint="eastAsia" w:ascii="宋体" w:hAnsi="宋体" w:eastAsia="宋体" w:cs="宋体"/>
          <w:b w:val="0"/>
          <w:bCs/>
          <w:color w:val="auto"/>
          <w:sz w:val="24"/>
          <w:szCs w:val="24"/>
          <w:u w:val="none"/>
          <w:lang w:val="en-US" w:eastAsia="zh-CN"/>
        </w:rPr>
        <w:t>.3</w:t>
      </w:r>
      <w:r>
        <w:rPr>
          <w:rFonts w:hint="eastAsia" w:ascii="宋体" w:hAnsi="宋体" w:eastAsia="宋体" w:cs="宋体"/>
          <w:color w:val="auto"/>
          <w:sz w:val="24"/>
          <w:szCs w:val="24"/>
        </w:rPr>
        <w:t>投标截止后投标人不足3家或者通过资格审查或符合性审查的投标人不足3家的，除采购任务取消情形外，按照以下方式处理：</w:t>
      </w:r>
    </w:p>
    <w:p w14:paraId="2386CBE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采购文件存在不合理条款或者招标程序不符合规定的，采购人、采购代理机构改正后依法重新招标；</w:t>
      </w:r>
    </w:p>
    <w:p w14:paraId="4665B5E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u w:val="thick"/>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采购文件没有不合理条款、招标程序符合规定，需要采用其他采购方式采购的，采购人应当依法报财政部门批准。</w:t>
      </w:r>
    </w:p>
    <w:p w14:paraId="2DC031AE">
      <w:pPr>
        <w:pageBreakBefore w:val="0"/>
        <w:kinsoku/>
        <w:wordWrap/>
        <w:overflowPunct/>
        <w:topLinePunct w:val="0"/>
        <w:bidi w:val="0"/>
        <w:adjustRightInd/>
        <w:spacing w:line="460" w:lineRule="exact"/>
        <w:ind w:firstLine="42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bCs/>
          <w:color w:val="auto"/>
          <w:sz w:val="24"/>
          <w:szCs w:val="24"/>
        </w:rPr>
        <w:t>采购文件中如有描述歧义或前后不一致的地方，评标委员会有权按公平、合理的原则进行评判，但对同一条款的评判适用于每个投标人。</w:t>
      </w:r>
    </w:p>
    <w:p w14:paraId="34E4C9B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投标文件的响应内容必须真实、明确、准确。否则，评标委员会将对其作出不利的评审。</w:t>
      </w:r>
    </w:p>
    <w:p w14:paraId="18FA098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乙</w:t>
      </w:r>
      <w:r>
        <w:rPr>
          <w:rFonts w:hint="eastAsia" w:ascii="宋体" w:hAnsi="宋体" w:eastAsia="宋体" w:cs="宋体"/>
          <w:color w:val="auto"/>
          <w:sz w:val="24"/>
          <w:szCs w:val="24"/>
        </w:rPr>
        <w:t>方为履行合同引起的相关人员的差旅费、食宿费以及其它不可预知的费用由乙方自理。合同实施过程中，须与甲</w:t>
      </w:r>
      <w:r>
        <w:rPr>
          <w:rFonts w:hint="eastAsia" w:ascii="宋体" w:hAnsi="宋体" w:eastAsia="宋体" w:cs="宋体"/>
          <w:color w:val="auto"/>
          <w:sz w:val="24"/>
          <w:szCs w:val="24"/>
          <w:lang w:eastAsia="zh-CN"/>
        </w:rPr>
        <w:t>、丙双</w:t>
      </w:r>
      <w:r>
        <w:rPr>
          <w:rFonts w:hint="eastAsia" w:ascii="宋体" w:hAnsi="宋体" w:eastAsia="宋体" w:cs="宋体"/>
          <w:color w:val="auto"/>
          <w:sz w:val="24"/>
          <w:szCs w:val="24"/>
        </w:rPr>
        <w:t>方积极配合。</w:t>
      </w:r>
    </w:p>
    <w:p w14:paraId="13462EE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.7项目资金已落实。</w:t>
      </w:r>
    </w:p>
    <w:p w14:paraId="7B4F24DC">
      <w:pPr>
        <w:pStyle w:val="5"/>
        <w:pageBreakBefore w:val="0"/>
        <w:tabs>
          <w:tab w:val="left" w:pos="358"/>
          <w:tab w:val="clear" w:pos="432"/>
        </w:tabs>
        <w:kinsoku/>
        <w:wordWrap/>
        <w:overflowPunct/>
        <w:topLinePunct w:val="0"/>
        <w:bidi w:val="0"/>
        <w:adjustRightInd/>
        <w:spacing w:line="460" w:lineRule="exact"/>
        <w:ind w:firstLine="420"/>
        <w:jc w:val="center"/>
        <w:textAlignment w:val="auto"/>
        <w:rPr>
          <w:rFonts w:hint="eastAsia" w:ascii="宋体" w:hAnsi="宋体" w:eastAsia="宋体" w:cs="宋体"/>
          <w:color w:val="auto"/>
          <w:sz w:val="32"/>
          <w:szCs w:val="32"/>
          <w:lang w:eastAsia="zh-CN"/>
        </w:rPr>
      </w:pPr>
      <w:bookmarkStart w:id="21" w:name="_Toc35261572"/>
      <w:bookmarkStart w:id="22" w:name="_Toc54978891"/>
      <w:r>
        <w:rPr>
          <w:rFonts w:hint="eastAsia" w:ascii="宋体" w:hAnsi="宋体" w:eastAsia="宋体" w:cs="宋体"/>
          <w:color w:val="auto"/>
          <w:sz w:val="32"/>
          <w:szCs w:val="32"/>
        </w:rPr>
        <w:t>三、采购文件</w:t>
      </w:r>
      <w:bookmarkEnd w:id="19"/>
      <w:bookmarkEnd w:id="20"/>
      <w:bookmarkEnd w:id="21"/>
      <w:bookmarkEnd w:id="22"/>
      <w:r>
        <w:rPr>
          <w:rFonts w:hint="eastAsia" w:ascii="宋体" w:hAnsi="宋体" w:eastAsia="宋体" w:cs="宋体"/>
          <w:color w:val="auto"/>
          <w:sz w:val="32"/>
          <w:szCs w:val="32"/>
          <w:lang w:eastAsia="zh-CN"/>
        </w:rPr>
        <w:t>的构成、澄清、修改</w:t>
      </w:r>
    </w:p>
    <w:p w14:paraId="1132CF16">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bookmarkStart w:id="23" w:name="_Toc82873324"/>
      <w:bookmarkStart w:id="24" w:name="_Toc82338241"/>
      <w:r>
        <w:rPr>
          <w:rFonts w:hint="eastAsia" w:ascii="宋体" w:hAnsi="宋体" w:eastAsia="宋体" w:cs="宋体"/>
          <w:b/>
          <w:bCs/>
          <w:color w:val="auto"/>
          <w:sz w:val="24"/>
          <w:szCs w:val="24"/>
        </w:rPr>
        <w:t>3.1、采购文件组成</w:t>
      </w:r>
    </w:p>
    <w:p w14:paraId="02961EB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3.1.1第一章 采购公告</w:t>
      </w:r>
    </w:p>
    <w:p w14:paraId="3E140B4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3.1.2第二章 投标须知</w:t>
      </w:r>
    </w:p>
    <w:p w14:paraId="3E26DE6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3.1.3第三章 项目招标范围及服务要求</w:t>
      </w:r>
    </w:p>
    <w:p w14:paraId="0F53913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3.1.4第四章 评标办法</w:t>
      </w:r>
    </w:p>
    <w:p w14:paraId="5E15A5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3.1.5第五章 </w:t>
      </w:r>
      <w:r>
        <w:rPr>
          <w:rFonts w:hint="eastAsia" w:ascii="宋体" w:hAnsi="宋体" w:eastAsia="宋体" w:cs="宋体"/>
          <w:color w:val="auto"/>
          <w:sz w:val="24"/>
          <w:szCs w:val="24"/>
          <w:lang w:val="en-US" w:eastAsia="zh-CN"/>
        </w:rPr>
        <w:t>拟签订合同范本</w:t>
      </w:r>
    </w:p>
    <w:p w14:paraId="7817A0A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3.1.6第六章 投标文件格式</w:t>
      </w:r>
    </w:p>
    <w:p w14:paraId="7F111DF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3.1.7补充文件（如有）</w:t>
      </w:r>
    </w:p>
    <w:p w14:paraId="6AF0A75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与本项目有关的</w:t>
      </w:r>
      <w:r>
        <w:rPr>
          <w:rFonts w:hint="eastAsia" w:ascii="宋体" w:hAnsi="宋体" w:eastAsia="宋体" w:cs="宋体"/>
          <w:bCs/>
          <w:color w:val="auto"/>
          <w:sz w:val="24"/>
          <w:szCs w:val="24"/>
        </w:rPr>
        <w:t>澄清或者修改的内容为采购文件的组成部分</w:t>
      </w:r>
      <w:r>
        <w:rPr>
          <w:rFonts w:hint="eastAsia" w:ascii="宋体" w:hAnsi="宋体" w:eastAsia="宋体" w:cs="宋体"/>
          <w:color w:val="auto"/>
          <w:sz w:val="24"/>
          <w:szCs w:val="24"/>
        </w:rPr>
        <w:t>。</w:t>
      </w:r>
    </w:p>
    <w:p w14:paraId="2893B2A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采购文件的解释权归采购组织机构所有。</w:t>
      </w:r>
    </w:p>
    <w:p w14:paraId="499D0358">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、采购文件的澄清</w:t>
      </w:r>
    </w:p>
    <w:p w14:paraId="434BBE5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.1投标人在获取采购文件后，若有问题需要澄清或认为有必要与采购人进行技术交流，应于前附表规定的时间前，将问题发电子邮件至</w:t>
      </w:r>
      <w:r>
        <w:rPr>
          <w:rFonts w:hint="eastAsia" w:ascii="宋体" w:hAnsi="宋体" w:eastAsia="宋体" w:cs="宋体"/>
          <w:color w:val="auto"/>
          <w:sz w:val="24"/>
          <w:szCs w:val="24"/>
          <w:lang w:val="en-US" w:eastAsia="zh-CN"/>
        </w:rPr>
        <w:t>493720300</w:t>
      </w:r>
      <w:r>
        <w:rPr>
          <w:rFonts w:hint="eastAsia" w:ascii="宋体" w:hAnsi="宋体" w:eastAsia="宋体" w:cs="宋体"/>
          <w:color w:val="auto"/>
          <w:sz w:val="24"/>
          <w:szCs w:val="24"/>
        </w:rPr>
        <w:t>@qq.com（电子邮件与书面文件有不一致的，以书面文件为准）。截止期后的疑问将不予受理、答复。</w:t>
      </w:r>
    </w:p>
    <w:p w14:paraId="63361BC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 投标人要求解释或澄清的问题应以书面形式送达，并加盖公章、写明日期。</w:t>
      </w:r>
    </w:p>
    <w:p w14:paraId="2465BCB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所有要求解释或澄清的问题都予以解答，答疑内容与补充内容以更正（澄清）公告形式告知所有购买采购文件的投标人。</w:t>
      </w:r>
    </w:p>
    <w:p w14:paraId="1E03F526">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、采购文件的修改</w:t>
      </w:r>
    </w:p>
    <w:p w14:paraId="298F3A7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14:paraId="0681656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 采购文件的修改将以更正（澄清）公告通知所有购买采购文件的投标人，并对其具有约束力。投标人应及时关注浙江政府采购网、</w:t>
      </w:r>
      <w:r>
        <w:rPr>
          <w:rFonts w:hint="eastAsia" w:ascii="宋体" w:hAnsi="宋体" w:eastAsia="宋体" w:cs="宋体"/>
          <w:color w:val="auto"/>
          <w:sz w:val="24"/>
          <w:szCs w:val="24"/>
          <w:lang w:eastAsia="zh-CN"/>
        </w:rPr>
        <w:t>嵊州市</w:t>
      </w:r>
      <w:r>
        <w:rPr>
          <w:rFonts w:hint="eastAsia" w:ascii="宋体" w:hAnsi="宋体" w:eastAsia="宋体" w:cs="宋体"/>
          <w:color w:val="auto"/>
          <w:sz w:val="24"/>
          <w:szCs w:val="24"/>
        </w:rPr>
        <w:t>公共资源交易网上该项目的公告信息。</w:t>
      </w:r>
    </w:p>
    <w:p w14:paraId="50FEDC3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 在更正（澄清）公告发布后，如果投标人认为编制投标文件的时间不充分的，必须在公告发布之日的24小时内通知采购人和采购代理机构。否则，视同投标人有充足时间编制投标文件。</w:t>
      </w:r>
    </w:p>
    <w:p w14:paraId="6EBEA88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.4采购文件澄清、答复、修改、补充的内容为采购文件的组成部分。当采购文件与采购文件的答复、澄清、修改、补充通知就同一内容的表述不一致时，以最后发出的更正（澄清）公告为准。</w:t>
      </w:r>
    </w:p>
    <w:p w14:paraId="573F49C5">
      <w:pPr>
        <w:snapToGrid w:val="0"/>
        <w:spacing w:line="4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采购文件的澄清、答复、修改或补充都应该通过本代理机构以法定形式发布，除此以外的发布不属于采购文件的组成部分。</w:t>
      </w:r>
    </w:p>
    <w:bookmarkEnd w:id="23"/>
    <w:bookmarkEnd w:id="24"/>
    <w:p w14:paraId="2CED0EC5">
      <w:pPr>
        <w:pStyle w:val="5"/>
        <w:pageBreakBefore w:val="0"/>
        <w:tabs>
          <w:tab w:val="left" w:pos="358"/>
          <w:tab w:val="clear" w:pos="432"/>
        </w:tabs>
        <w:kinsoku/>
        <w:wordWrap/>
        <w:overflowPunct/>
        <w:topLinePunct w:val="0"/>
        <w:bidi w:val="0"/>
        <w:adjustRightInd/>
        <w:spacing w:line="460" w:lineRule="exact"/>
        <w:ind w:firstLine="420"/>
        <w:jc w:val="center"/>
        <w:textAlignment w:val="auto"/>
        <w:rPr>
          <w:rFonts w:hint="eastAsia" w:ascii="宋体" w:hAnsi="宋体" w:eastAsia="宋体" w:cs="宋体"/>
          <w:color w:val="auto"/>
          <w:sz w:val="32"/>
          <w:szCs w:val="32"/>
        </w:rPr>
      </w:pPr>
      <w:bookmarkStart w:id="25" w:name="_Toc35261573"/>
      <w:bookmarkStart w:id="26" w:name="_Toc450482498"/>
      <w:bookmarkStart w:id="27" w:name="_Toc54978892"/>
      <w:bookmarkStart w:id="28" w:name="_Toc82338242"/>
      <w:bookmarkStart w:id="29" w:name="_Toc82873325"/>
      <w:r>
        <w:rPr>
          <w:rFonts w:hint="eastAsia" w:ascii="宋体" w:hAnsi="宋体" w:eastAsia="宋体" w:cs="宋体"/>
          <w:color w:val="auto"/>
          <w:sz w:val="32"/>
          <w:szCs w:val="32"/>
        </w:rPr>
        <w:t>四、投标文件</w:t>
      </w:r>
      <w:bookmarkEnd w:id="25"/>
      <w:bookmarkEnd w:id="26"/>
      <w:bookmarkEnd w:id="27"/>
    </w:p>
    <w:p w14:paraId="5CA7669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4.1、投标文件</w:t>
      </w:r>
    </w:p>
    <w:p w14:paraId="6308E89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4.1.1 投标人应仔细阅读采购文件规定的所有内容，以保证能全面准确理解采购文件，并按照采购文件要求，详细编制投标文件，投标文件内容必须针对本次招标响应。</w:t>
      </w:r>
    </w:p>
    <w:p w14:paraId="465FB544">
      <w:pPr>
        <w:pageBreakBefore w:val="0"/>
        <w:kinsoku/>
        <w:wordWrap/>
        <w:overflowPunct/>
        <w:topLinePunct w:val="0"/>
        <w:bidi w:val="0"/>
        <w:adjustRightInd/>
        <w:spacing w:line="460" w:lineRule="exact"/>
        <w:ind w:firstLine="42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4.1.2投标人必须按采购文件的要求提供相关资料，并对采购文件中提出的所有内容要求给予实质性响应，须保证投标文件的准确、真实、明确</w:t>
      </w:r>
      <w:r>
        <w:rPr>
          <w:rFonts w:hint="eastAsia" w:ascii="宋体" w:hAnsi="宋体" w:eastAsia="宋体" w:cs="宋体"/>
          <w:bCs/>
          <w:color w:val="auto"/>
          <w:sz w:val="24"/>
          <w:szCs w:val="24"/>
        </w:rPr>
        <w:t>。投标文件响应内容对采购文件要求如有偏离均应填写偏离表，如不填写，采购人有权视作投标文件完全响应采购文件要求。</w:t>
      </w:r>
    </w:p>
    <w:p w14:paraId="6DD1434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4.2、投标文件组成</w:t>
      </w:r>
    </w:p>
    <w:p w14:paraId="4B276114">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4.2.1资格证明文件</w:t>
      </w:r>
    </w:p>
    <w:p w14:paraId="63CDA543">
      <w:pPr>
        <w:pageBreakBefore w:val="0"/>
        <w:widowControl/>
        <w:kinsoku/>
        <w:wordWrap/>
        <w:overflowPunct/>
        <w:topLinePunct w:val="0"/>
        <w:bidi w:val="0"/>
        <w:adjustRightInd/>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营业执照</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lang w:val="zh-CN"/>
        </w:rPr>
        <w:t>件；</w:t>
      </w:r>
    </w:p>
    <w:p w14:paraId="1962737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）符合参加采购活动应当具备的一般条件的承诺函</w:t>
      </w:r>
      <w:r>
        <w:rPr>
          <w:rFonts w:hint="eastAsia" w:ascii="宋体" w:hAnsi="宋体" w:eastAsia="宋体" w:cs="宋体"/>
          <w:color w:val="auto"/>
          <w:sz w:val="24"/>
          <w:szCs w:val="24"/>
          <w:highlight w:val="none"/>
          <w:lang w:val="en-US" w:eastAsia="zh-CN"/>
        </w:rPr>
        <w:t>（格式见附件）</w:t>
      </w:r>
      <w:r>
        <w:rPr>
          <w:rFonts w:hint="eastAsia" w:ascii="宋体" w:hAnsi="宋体" w:eastAsia="宋体" w:cs="宋体"/>
          <w:color w:val="auto"/>
          <w:sz w:val="24"/>
          <w:szCs w:val="24"/>
          <w:highlight w:val="none"/>
          <w:lang w:val="zh-CN"/>
        </w:rPr>
        <w:t>；</w:t>
      </w:r>
    </w:p>
    <w:p w14:paraId="02036A24">
      <w:pPr>
        <w:pageBreakBefore w:val="0"/>
        <w:kinsoku/>
        <w:wordWrap/>
        <w:overflowPunct/>
        <w:topLinePunct w:val="0"/>
        <w:bidi w:val="0"/>
        <w:adjustRightInd/>
        <w:spacing w:line="460" w:lineRule="exact"/>
        <w:ind w:firstLine="420"/>
        <w:textAlignment w:val="auto"/>
        <w:rPr>
          <w:rFonts w:hint="eastAsia" w:ascii="宋体" w:hAnsi="宋体" w:eastAsia="新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w:t>
      </w:r>
      <w:r>
        <w:rPr>
          <w:rFonts w:hint="eastAsia" w:ascii="新宋体" w:hAnsi="新宋体" w:eastAsia="新宋体" w:cs="新宋体"/>
          <w:color w:val="auto"/>
          <w:sz w:val="24"/>
          <w:szCs w:val="24"/>
          <w:highlight w:val="none"/>
        </w:rPr>
        <w:t>具有履行合同所必需的设备和专业技术能力的承诺函</w:t>
      </w:r>
      <w:r>
        <w:rPr>
          <w:rFonts w:hint="eastAsia" w:ascii="宋体" w:hAnsi="宋体" w:eastAsia="宋体" w:cs="宋体"/>
          <w:color w:val="auto"/>
          <w:sz w:val="24"/>
          <w:szCs w:val="24"/>
          <w:highlight w:val="none"/>
          <w:lang w:val="en-US" w:eastAsia="zh-CN"/>
        </w:rPr>
        <w:t>（格式见附件）</w:t>
      </w:r>
      <w:r>
        <w:rPr>
          <w:rFonts w:hint="eastAsia" w:ascii="宋体" w:hAnsi="宋体" w:cs="宋体"/>
          <w:b w:val="0"/>
          <w:bCs/>
          <w:color w:val="auto"/>
          <w:sz w:val="24"/>
          <w:szCs w:val="24"/>
          <w:highlight w:val="none"/>
          <w:lang w:eastAsia="zh-CN"/>
        </w:rPr>
        <w:t>；</w:t>
      </w:r>
    </w:p>
    <w:p w14:paraId="18A9FAE0">
      <w:pPr>
        <w:pageBreakBefore w:val="0"/>
        <w:kinsoku/>
        <w:wordWrap/>
        <w:overflowPunct/>
        <w:topLinePunct w:val="0"/>
        <w:bidi w:val="0"/>
        <w:adjustRightInd/>
        <w:spacing w:line="460" w:lineRule="exact"/>
        <w:ind w:firstLine="42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4）开标时提供《采购活动现场确认声明书》，发送至邮箱</w:t>
      </w:r>
      <w:r>
        <w:rPr>
          <w:rFonts w:hint="eastAsia" w:ascii="宋体" w:hAnsi="宋体" w:cs="宋体"/>
          <w:b w:val="0"/>
          <w:bCs/>
          <w:color w:val="auto"/>
          <w:sz w:val="24"/>
          <w:szCs w:val="24"/>
          <w:highlight w:val="none"/>
          <w:lang w:val="en-US" w:eastAsia="zh-CN"/>
        </w:rPr>
        <w:t>493720300</w:t>
      </w:r>
      <w:r>
        <w:rPr>
          <w:rFonts w:hint="eastAsia" w:ascii="宋体" w:hAnsi="宋体" w:eastAsia="宋体" w:cs="宋体"/>
          <w:b w:val="0"/>
          <w:bCs/>
          <w:color w:val="auto"/>
          <w:sz w:val="24"/>
          <w:szCs w:val="24"/>
          <w:highlight w:val="none"/>
          <w:lang w:val="en-US" w:eastAsia="zh-CN"/>
        </w:rPr>
        <w:t>@qq.com</w:t>
      </w:r>
      <w:r>
        <w:rPr>
          <w:rFonts w:hint="eastAsia" w:ascii="宋体" w:hAnsi="宋体" w:cs="宋体"/>
          <w:b w:val="0"/>
          <w:bCs/>
          <w:color w:val="auto"/>
          <w:sz w:val="24"/>
          <w:szCs w:val="24"/>
          <w:highlight w:val="none"/>
          <w:lang w:val="en-US" w:eastAsia="zh-CN"/>
        </w:rPr>
        <w:t>。</w:t>
      </w:r>
    </w:p>
    <w:p w14:paraId="5E2DDF2A">
      <w:pPr>
        <w:pageBreakBefore w:val="0"/>
        <w:kinsoku/>
        <w:wordWrap/>
        <w:overflowPunct/>
        <w:topLinePunct w:val="0"/>
        <w:bidi w:val="0"/>
        <w:adjustRightInd/>
        <w:spacing w:line="460" w:lineRule="exact"/>
        <w:ind w:firstLine="42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4.2.2</w:t>
      </w:r>
      <w:r>
        <w:rPr>
          <w:rFonts w:hint="eastAsia" w:ascii="宋体" w:hAnsi="宋体" w:eastAsia="宋体" w:cs="宋体"/>
          <w:b/>
          <w:bCs w:val="0"/>
          <w:color w:val="auto"/>
          <w:sz w:val="24"/>
          <w:szCs w:val="24"/>
          <w:highlight w:val="none"/>
          <w:lang w:eastAsia="zh-CN"/>
        </w:rPr>
        <w:t>商务</w:t>
      </w:r>
      <w:r>
        <w:rPr>
          <w:rFonts w:hint="eastAsia" w:ascii="宋体" w:hAnsi="宋体" w:eastAsia="宋体" w:cs="宋体"/>
          <w:b/>
          <w:bCs w:val="0"/>
          <w:color w:val="auto"/>
          <w:sz w:val="24"/>
          <w:szCs w:val="24"/>
          <w:highlight w:val="none"/>
        </w:rPr>
        <w:t>技术</w:t>
      </w:r>
      <w:r>
        <w:rPr>
          <w:rFonts w:hint="eastAsia" w:ascii="宋体" w:hAnsi="宋体" w:eastAsia="宋体" w:cs="宋体"/>
          <w:b/>
          <w:bCs w:val="0"/>
          <w:color w:val="auto"/>
          <w:sz w:val="24"/>
          <w:szCs w:val="24"/>
          <w:highlight w:val="none"/>
          <w:lang w:eastAsia="zh-CN"/>
        </w:rPr>
        <w:t>文件</w:t>
      </w:r>
    </w:p>
    <w:p w14:paraId="365A3AE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1）投标声明书（格式见附件）；</w:t>
      </w:r>
    </w:p>
    <w:p w14:paraId="5DC74C6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）营业执照扫描件；</w:t>
      </w:r>
    </w:p>
    <w:p w14:paraId="113B1E1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法定代表人授权委托书</w:t>
      </w:r>
      <w:r>
        <w:rPr>
          <w:rFonts w:hint="eastAsia" w:ascii="宋体" w:hAnsi="宋体" w:eastAsia="宋体" w:cs="宋体"/>
          <w:color w:val="auto"/>
          <w:sz w:val="24"/>
          <w:szCs w:val="24"/>
          <w:lang w:val="en-US" w:eastAsia="zh-CN"/>
        </w:rPr>
        <w:t>或法定代表人身份证明</w:t>
      </w:r>
      <w:r>
        <w:rPr>
          <w:rFonts w:hint="eastAsia" w:ascii="宋体" w:hAnsi="宋体" w:eastAsia="宋体" w:cs="宋体"/>
          <w:color w:val="auto"/>
          <w:sz w:val="24"/>
          <w:szCs w:val="24"/>
          <w:lang w:val="zh-CN"/>
        </w:rPr>
        <w:t>；</w:t>
      </w:r>
    </w:p>
    <w:p w14:paraId="464F406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评标标准相应的商务技术</w:t>
      </w:r>
      <w:r>
        <w:rPr>
          <w:rFonts w:hint="eastAsia" w:ascii="宋体" w:hAnsi="宋体" w:eastAsia="宋体" w:cs="宋体"/>
          <w:color w:val="auto"/>
          <w:sz w:val="24"/>
          <w:szCs w:val="24"/>
          <w:lang w:val="zh-CN"/>
        </w:rPr>
        <w:t>资料；</w:t>
      </w:r>
    </w:p>
    <w:p w14:paraId="756DAE7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商务响应表、</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val="zh-CN"/>
        </w:rPr>
        <w:t>偏离表；</w:t>
      </w:r>
    </w:p>
    <w:p w14:paraId="25AB10D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zh-CN"/>
        </w:rPr>
        <w:t>）廉政承诺书；</w:t>
      </w:r>
    </w:p>
    <w:p w14:paraId="282FB5F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rPr>
        <w:t>）投标人认为需要提供的与投标评标有关的其他资料。</w:t>
      </w:r>
    </w:p>
    <w:p w14:paraId="573C56AE">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4.2.3报价</w:t>
      </w:r>
      <w:r>
        <w:rPr>
          <w:rFonts w:hint="eastAsia" w:ascii="宋体" w:hAnsi="宋体" w:eastAsia="宋体" w:cs="宋体"/>
          <w:b/>
          <w:bCs/>
          <w:color w:val="auto"/>
          <w:sz w:val="24"/>
          <w:szCs w:val="24"/>
          <w:lang w:eastAsia="zh-CN"/>
        </w:rPr>
        <w:t>文件</w:t>
      </w:r>
    </w:p>
    <w:p w14:paraId="7306F79A">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开标一览表（</w:t>
      </w:r>
      <w:r>
        <w:rPr>
          <w:rFonts w:hint="eastAsia" w:ascii="宋体" w:hAnsi="宋体" w:eastAsia="宋体" w:cs="宋体"/>
          <w:b w:val="0"/>
          <w:bCs w:val="0"/>
          <w:color w:val="auto"/>
          <w:sz w:val="24"/>
          <w:szCs w:val="24"/>
        </w:rPr>
        <w:t>格式见附件</w:t>
      </w:r>
      <w:r>
        <w:rPr>
          <w:rFonts w:hint="eastAsia" w:ascii="宋体" w:hAnsi="宋体" w:eastAsia="宋体" w:cs="宋体"/>
          <w:b w:val="0"/>
          <w:bCs w:val="0"/>
          <w:color w:val="auto"/>
          <w:sz w:val="24"/>
          <w:szCs w:val="24"/>
          <w:lang w:val="zh-CN"/>
        </w:rPr>
        <w:t>）；</w:t>
      </w:r>
    </w:p>
    <w:p w14:paraId="05D5A031">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2）投标报价明细表</w:t>
      </w:r>
      <w:r>
        <w:rPr>
          <w:rFonts w:hint="eastAsia" w:ascii="宋体" w:hAnsi="宋体" w:eastAsia="宋体" w:cs="宋体"/>
          <w:b w:val="0"/>
          <w:bCs w:val="0"/>
          <w:color w:val="auto"/>
          <w:sz w:val="24"/>
          <w:szCs w:val="24"/>
          <w:lang w:val="zh-CN"/>
        </w:rPr>
        <w:t>（</w:t>
      </w:r>
      <w:r>
        <w:rPr>
          <w:rFonts w:hint="eastAsia" w:ascii="宋体" w:hAnsi="宋体" w:eastAsia="宋体" w:cs="宋体"/>
          <w:b w:val="0"/>
          <w:bCs w:val="0"/>
          <w:color w:val="auto"/>
          <w:sz w:val="24"/>
          <w:szCs w:val="24"/>
        </w:rPr>
        <w:t>格式见附件</w:t>
      </w:r>
      <w:r>
        <w:rPr>
          <w:rFonts w:hint="eastAsia" w:ascii="宋体" w:hAnsi="宋体" w:eastAsia="宋体" w:cs="宋体"/>
          <w:b w:val="0"/>
          <w:bCs w:val="0"/>
          <w:color w:val="auto"/>
          <w:sz w:val="24"/>
          <w:szCs w:val="24"/>
          <w:lang w:val="zh-CN"/>
        </w:rPr>
        <w:t>）；</w:t>
      </w:r>
    </w:p>
    <w:p w14:paraId="7D341C48">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投标人针对报价需要说明的其他文件和说明，格式自拟。</w:t>
      </w:r>
    </w:p>
    <w:p w14:paraId="39733B2E">
      <w:pPr>
        <w:pageBreakBefore w:val="0"/>
        <w:tabs>
          <w:tab w:val="left" w:pos="399"/>
        </w:tabs>
        <w:kinsoku/>
        <w:wordWrap/>
        <w:overflowPunct/>
        <w:topLinePunct w:val="0"/>
        <w:bidi w:val="0"/>
        <w:adjustRightInd/>
        <w:spacing w:line="46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4.2.4</w:t>
      </w:r>
      <w:r>
        <w:rPr>
          <w:rFonts w:hint="eastAsia" w:ascii="宋体" w:hAnsi="宋体" w:eastAsia="宋体" w:cs="宋体"/>
          <w:b/>
          <w:bCs/>
          <w:color w:val="auto"/>
          <w:sz w:val="24"/>
          <w:szCs w:val="24"/>
          <w:highlight w:val="none"/>
        </w:rPr>
        <w:t>投标时提供的人员、业绩、荣誉、资质、项目案例等，必须为投标人本身所具有。</w:t>
      </w:r>
    </w:p>
    <w:p w14:paraId="082C4993">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auto"/>
          <w:sz w:val="24"/>
          <w:szCs w:val="24"/>
        </w:rPr>
        <w:t>4.2.5注意事项：</w:t>
      </w:r>
      <w:r>
        <w:rPr>
          <w:rFonts w:hint="eastAsia" w:ascii="宋体" w:hAnsi="宋体" w:eastAsia="宋体" w:cs="宋体"/>
          <w:b/>
          <w:color w:val="auto"/>
          <w:sz w:val="24"/>
          <w:szCs w:val="24"/>
        </w:rPr>
        <w:t>投标文件含有采购人不能接受的附加条件的，投标无效；</w:t>
      </w:r>
    </w:p>
    <w:p w14:paraId="5679F045">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lang w:val="en-US" w:eastAsia="zh-CN"/>
        </w:rPr>
        <w:t>4.2.6</w:t>
      </w:r>
      <w:r>
        <w:rPr>
          <w:rFonts w:hint="eastAsia" w:ascii="宋体" w:hAnsi="宋体" w:eastAsia="宋体" w:cs="宋体"/>
          <w:b/>
          <w:color w:val="auto"/>
          <w:sz w:val="24"/>
          <w:szCs w:val="24"/>
        </w:rPr>
        <w:t>投标人提供虚假材料投标的，投标无效。</w:t>
      </w:r>
    </w:p>
    <w:p w14:paraId="60365509">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4.3、投标文件的编制</w:t>
      </w:r>
    </w:p>
    <w:p w14:paraId="31A029A1">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rPr>
        <w:t>4.3.1</w:t>
      </w:r>
      <w:r>
        <w:rPr>
          <w:rFonts w:hint="eastAsia" w:ascii="宋体" w:hAnsi="宋体" w:eastAsia="宋体" w:cs="宋体"/>
          <w:b/>
          <w:bCs/>
          <w:color w:val="auto"/>
          <w:kern w:val="0"/>
          <w:sz w:val="24"/>
          <w:szCs w:val="24"/>
          <w:lang w:val="zh-CN"/>
        </w:rPr>
        <w:t>投标文件分为资格</w:t>
      </w:r>
      <w:r>
        <w:rPr>
          <w:rFonts w:hint="eastAsia" w:ascii="宋体" w:hAnsi="宋体" w:eastAsia="宋体" w:cs="宋体"/>
          <w:b/>
          <w:bCs/>
          <w:color w:val="auto"/>
          <w:kern w:val="0"/>
          <w:sz w:val="24"/>
          <w:szCs w:val="24"/>
          <w:lang w:val="en-US" w:eastAsia="zh-CN"/>
        </w:rPr>
        <w:t>证明</w:t>
      </w:r>
      <w:r>
        <w:rPr>
          <w:rFonts w:hint="eastAsia" w:ascii="宋体" w:hAnsi="宋体" w:eastAsia="宋体" w:cs="宋体"/>
          <w:b/>
          <w:bCs/>
          <w:color w:val="auto"/>
          <w:kern w:val="0"/>
          <w:sz w:val="24"/>
          <w:szCs w:val="24"/>
          <w:lang w:val="zh-CN"/>
        </w:rPr>
        <w:t>文件、商务技术文件、报价文件三部分。各投标人在编制投标文件时请按照采购文件第六部分规定的格式进行，混乱的编排导致投标文件被误读或评标委员会查找不到有效文件是投标人的风险。</w:t>
      </w:r>
    </w:p>
    <w:p w14:paraId="1E06C5F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本项目通过“</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www.lecaiyun.com</w:t>
      </w:r>
      <w:r>
        <w:rPr>
          <w:rFonts w:hint="eastAsia" w:ascii="宋体" w:hAnsi="宋体" w:eastAsia="宋体" w:cs="宋体"/>
          <w:color w:val="auto"/>
          <w:sz w:val="24"/>
          <w:szCs w:val="24"/>
        </w:rPr>
        <w:t>）”实行在线投标响应（电子投标）。供应商应通过“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电子交易客户端”，并按照本采购文件和“</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”的要求编制并加密投标文件。</w:t>
      </w:r>
    </w:p>
    <w:p w14:paraId="6BF70C2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投标供应商应当按照本章4.2款中规定的内容及顺序在“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电子交易客户端”编制投标文件。</w:t>
      </w:r>
      <w:r>
        <w:rPr>
          <w:rFonts w:hint="eastAsia" w:ascii="宋体" w:hAnsi="宋体" w:eastAsia="宋体" w:cs="宋体"/>
          <w:b/>
          <w:bCs/>
          <w:color w:val="auto"/>
          <w:sz w:val="24"/>
          <w:szCs w:val="24"/>
        </w:rPr>
        <w:t>其中《资格证明文件》和《资信技术文件》中不得出现本项目投标报价</w:t>
      </w:r>
      <w:r>
        <w:rPr>
          <w:rFonts w:hint="eastAsia" w:ascii="宋体" w:hAnsi="宋体" w:eastAsia="宋体" w:cs="宋体"/>
          <w:b/>
          <w:bCs/>
          <w:color w:val="auto"/>
          <w:sz w:val="24"/>
          <w:szCs w:val="24"/>
          <w:lang w:eastAsia="zh-CN"/>
        </w:rPr>
        <w:t>，否则作无效投标</w:t>
      </w:r>
      <w:r>
        <w:rPr>
          <w:rFonts w:hint="eastAsia" w:ascii="宋体" w:hAnsi="宋体" w:eastAsia="宋体" w:cs="宋体"/>
          <w:b/>
          <w:bCs/>
          <w:color w:val="auto"/>
          <w:sz w:val="24"/>
          <w:szCs w:val="24"/>
        </w:rPr>
        <w:t>。</w:t>
      </w:r>
    </w:p>
    <w:p w14:paraId="1D54350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w:t>
      </w:r>
    </w:p>
    <w:p w14:paraId="7CBB258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投标文件应当对采购文件规定的内容进行明确，对采购文件规定的实质性内容应当作出响应。</w:t>
      </w:r>
    </w:p>
    <w:p w14:paraId="0EB9BF9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投标文件由于字迹模糊或表达不清引起的后果由投标人负责。</w:t>
      </w:r>
    </w:p>
    <w:p w14:paraId="6672CBAB">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rPr>
        <w:t>4.3.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14:paraId="34684FCB">
      <w:pPr>
        <w:pageBreakBefore w:val="0"/>
        <w:kinsoku/>
        <w:wordWrap/>
        <w:overflowPunct/>
        <w:topLinePunct w:val="0"/>
        <w:bidi w:val="0"/>
        <w:adjustRightInd/>
        <w:snapToGrid w:val="0"/>
        <w:spacing w:line="460" w:lineRule="exact"/>
        <w:jc w:val="left"/>
        <w:textAlignment w:val="auto"/>
        <w:outlineLvl w:val="2"/>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rPr>
        <w:t>投标文件的签署、盖章</w:t>
      </w:r>
    </w:p>
    <w:p w14:paraId="13D9D594">
      <w:pPr>
        <w:pageBreakBefore w:val="0"/>
        <w:kinsoku/>
        <w:wordWrap/>
        <w:overflowPunct/>
        <w:topLinePunct w:val="0"/>
        <w:bidi w:val="0"/>
        <w:adjustRightInd/>
        <w:snapToGrid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5.1</w:t>
      </w:r>
      <w:r>
        <w:rPr>
          <w:rFonts w:hint="eastAsia" w:ascii="宋体" w:hAnsi="宋体" w:eastAsia="宋体" w:cs="宋体"/>
          <w:b/>
          <w:bCs/>
          <w:color w:val="auto"/>
          <w:sz w:val="24"/>
          <w:szCs w:val="24"/>
        </w:rPr>
        <w:t>投标文件按照采购文件第六部分格式要求进行签署、盖章。投标人的投标文件未按照采购文件要求签署、盖章的，其投标无效。</w:t>
      </w:r>
    </w:p>
    <w:p w14:paraId="06F33A23">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5.2</w:t>
      </w:r>
      <w:r>
        <w:rPr>
          <w:rFonts w:hint="eastAsia" w:ascii="宋体" w:hAnsi="宋体" w:eastAsia="宋体" w:cs="宋体"/>
          <w:b w:val="0"/>
          <w:bCs w:val="0"/>
          <w:color w:val="auto"/>
          <w:sz w:val="24"/>
          <w:szCs w:val="24"/>
        </w:rPr>
        <w:t>为确保网上操作合法、有效和安全，投标人应当在投标截止时间前完成在“</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b w:val="0"/>
          <w:bCs w:val="0"/>
          <w:color w:val="auto"/>
          <w:sz w:val="24"/>
          <w:szCs w:val="24"/>
        </w:rPr>
        <w:t>”的身份认证，确保在电子投标过程中能够对相关数据电文进行加密和使用电子签名。</w:t>
      </w:r>
    </w:p>
    <w:p w14:paraId="22D414F3">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5.3</w:t>
      </w:r>
      <w:r>
        <w:rPr>
          <w:rFonts w:hint="eastAsia" w:ascii="宋体" w:hAnsi="宋体" w:eastAsia="宋体" w:cs="宋体"/>
          <w:b w:val="0"/>
          <w:bCs w:val="0"/>
          <w:color w:val="auto"/>
          <w:sz w:val="24"/>
          <w:szCs w:val="24"/>
        </w:rPr>
        <w:t>采购文件对投标文件签署、盖章的要求适用于电子签名。</w:t>
      </w:r>
    </w:p>
    <w:p w14:paraId="2BFEC560">
      <w:pPr>
        <w:pageBreakBefore w:val="0"/>
        <w:kinsoku/>
        <w:wordWrap/>
        <w:overflowPunct/>
        <w:topLinePunct w:val="0"/>
        <w:bidi w:val="0"/>
        <w:adjustRightInd/>
        <w:snapToGrid w:val="0"/>
        <w:spacing w:line="460" w:lineRule="exact"/>
        <w:jc w:val="left"/>
        <w:textAlignment w:val="auto"/>
        <w:outlineLvl w:val="2"/>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投</w:t>
      </w:r>
      <w:r>
        <w:rPr>
          <w:rFonts w:hint="eastAsia" w:ascii="宋体" w:hAnsi="宋体" w:eastAsia="宋体" w:cs="宋体"/>
          <w:b/>
          <w:color w:val="auto"/>
          <w:sz w:val="24"/>
          <w:szCs w:val="24"/>
        </w:rPr>
        <w:t>标文件的提交、补充、修改、撤回</w:t>
      </w:r>
    </w:p>
    <w:p w14:paraId="179CB37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.1、投标文件的上传、递交</w:t>
      </w:r>
    </w:p>
    <w:p w14:paraId="77ED1D5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.1.1电子加密投标文件的上传、递交：</w:t>
      </w:r>
    </w:p>
    <w:p w14:paraId="28E8513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6.1.1.1</w:t>
      </w:r>
      <w:r>
        <w:rPr>
          <w:rFonts w:hint="eastAsia" w:ascii="宋体" w:hAnsi="宋体" w:eastAsia="宋体" w:cs="宋体"/>
          <w:color w:val="auto"/>
          <w:sz w:val="24"/>
          <w:szCs w:val="24"/>
        </w:rPr>
        <w:t>投标供应商应在投标截止时间前将“电子加密投标文件”成功上传递交至“</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”，否则投标无效。</w:t>
      </w:r>
    </w:p>
    <w:p w14:paraId="6C94708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6.1.1.2</w:t>
      </w:r>
      <w:r>
        <w:rPr>
          <w:rFonts w:hint="eastAsia" w:ascii="宋体" w:hAnsi="宋体" w:eastAsia="宋体" w:cs="宋体"/>
          <w:color w:val="auto"/>
          <w:sz w:val="24"/>
          <w:szCs w:val="24"/>
        </w:rPr>
        <w:t>“电子加密投标文件”成功上传递交后，供应商可自行打印投标文件接收回执。</w:t>
      </w:r>
    </w:p>
    <w:p w14:paraId="6669E8D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.1.2备份投标文件的密封包装、递交：</w:t>
      </w:r>
    </w:p>
    <w:p w14:paraId="19FD1BC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6.1.2.1</w:t>
      </w:r>
      <w:r>
        <w:rPr>
          <w:rFonts w:hint="eastAsia" w:ascii="宋体" w:hAnsi="宋体" w:eastAsia="宋体" w:cs="宋体"/>
          <w:color w:val="auto"/>
          <w:sz w:val="24"/>
          <w:szCs w:val="24"/>
        </w:rPr>
        <w:t>投标供应商在“</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”完成“电子加密投标文件”的上传递交后，还可以（邮寄形式）在投标截止时间前递交以介质（U盘）存储的“备份投标文件”（一份）；</w:t>
      </w:r>
    </w:p>
    <w:p w14:paraId="461A311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6.1.2.2</w:t>
      </w:r>
      <w:r>
        <w:rPr>
          <w:rFonts w:hint="eastAsia" w:ascii="宋体" w:hAnsi="宋体" w:eastAsia="宋体" w:cs="宋体"/>
          <w:color w:val="auto"/>
          <w:sz w:val="24"/>
          <w:szCs w:val="24"/>
        </w:rPr>
        <w:t>“备份投标文件”应当密封包装，并在包装上标注投标项目名称、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名称并加盖公章。没有密封包装或者逾期邮寄送达至投标地点的“备份投标文件”将不予接收，（邮寄公司采用EMS或顺丰，以代理机构工作人员签收时间为准），采用邮寄的方式的请提前一天通知代理机构；</w:t>
      </w:r>
    </w:p>
    <w:p w14:paraId="239E5E0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6.1.2.3</w:t>
      </w:r>
      <w:r>
        <w:rPr>
          <w:rFonts w:hint="eastAsia" w:ascii="宋体" w:hAnsi="宋体" w:eastAsia="宋体" w:cs="宋体"/>
          <w:color w:val="auto"/>
          <w:sz w:val="24"/>
          <w:szCs w:val="24"/>
        </w:rPr>
        <w:t>通过“</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”的，投标无效。</w:t>
      </w:r>
    </w:p>
    <w:p w14:paraId="1CF683D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.2、解密和异常情况处理</w:t>
      </w:r>
    </w:p>
    <w:p w14:paraId="687A09D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.2.1开标后，采购组织机构将向各投标供应商发出“电子加密投标文件”的解密通知，各投标供应商代表应当在接到解密通知后30分钟内自行完成“电子加密投标文件”的在线解密。</w:t>
      </w:r>
    </w:p>
    <w:p w14:paraId="10EE952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.2.2通过“</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”成功上传递交的“电子加密投标文件”无法按时解密，投标供应商如按规定递交了“备份投标文件”的，以“备份投标文件”为依据（由采购组织机构按“</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”操作规范将“备份投标文件”上传至“</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”，上传成功后，“电子加密投标文件”自动失效），否则视为投标文件撤回。</w:t>
      </w:r>
    </w:p>
    <w:p w14:paraId="01D8304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.2.3投标截止时间前，投标供应商仅递交了“备份投标文件”而未将电子加密投标文件上传至“</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”的，投标无效。</w:t>
      </w:r>
    </w:p>
    <w:p w14:paraId="4B93D7E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.3、投标文件的修改和撤回</w:t>
      </w:r>
    </w:p>
    <w:p w14:paraId="155652A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”将予以拒收。</w:t>
      </w:r>
    </w:p>
    <w:p w14:paraId="1C88B6D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.3.2投标截止时间后，投标供应商不得撤回、修改投标文件。</w:t>
      </w:r>
    </w:p>
    <w:p w14:paraId="17CE167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.4、备选投标方案</w:t>
      </w:r>
    </w:p>
    <w:p w14:paraId="783147FD">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投标人不得提交备选投标方案，否则，投标文件将被判定为无效标。（与“电子加密投标文件”同时生成的“备份投标文件”不是投标备选（替代）方案）</w:t>
      </w:r>
    </w:p>
    <w:p w14:paraId="7D17AB7E">
      <w:pPr>
        <w:pageBreakBefore w:val="0"/>
        <w:numPr>
          <w:ilvl w:val="0"/>
          <w:numId w:val="4"/>
        </w:numPr>
        <w:kinsoku/>
        <w:wordWrap/>
        <w:overflowPunct/>
        <w:topLinePunct w:val="0"/>
        <w:bidi w:val="0"/>
        <w:adjustRightInd/>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备份投标文件</w:t>
      </w:r>
    </w:p>
    <w:p w14:paraId="1E0F1FB2">
      <w:pPr>
        <w:pageBreakBefore w:val="0"/>
        <w:numPr>
          <w:ilvl w:val="0"/>
          <w:numId w:val="0"/>
        </w:numPr>
        <w:kinsoku/>
        <w:wordWrap/>
        <w:overflowPunct/>
        <w:topLinePunct w:val="0"/>
        <w:bidi w:val="0"/>
        <w:adjustRightInd/>
        <w:spacing w:line="460" w:lineRule="exact"/>
        <w:ind w:firstLine="480" w:firstLineChars="200"/>
        <w:textAlignment w:val="auto"/>
        <w:rPr>
          <w:rFonts w:hint="eastAsia" w:ascii="宋体" w:hAnsi="宋体" w:eastAsia="宋体" w:cs="宋体"/>
          <w:b w:val="0"/>
          <w:bCs w:val="0"/>
          <w:snapToGrid w:val="0"/>
          <w:color w:val="auto"/>
          <w:sz w:val="24"/>
          <w:szCs w:val="24"/>
        </w:rPr>
      </w:pPr>
      <w:r>
        <w:rPr>
          <w:rFonts w:hint="eastAsia" w:ascii="宋体" w:hAnsi="宋体" w:eastAsia="宋体" w:cs="宋体"/>
          <w:b w:val="0"/>
          <w:bCs w:val="0"/>
          <w:color w:val="auto"/>
          <w:sz w:val="24"/>
          <w:szCs w:val="24"/>
          <w:lang w:val="en-US" w:eastAsia="zh-CN"/>
        </w:rPr>
        <w:t>7.1</w:t>
      </w:r>
      <w:r>
        <w:rPr>
          <w:rFonts w:hint="eastAsia" w:ascii="宋体" w:hAnsi="宋体" w:eastAsia="宋体" w:cs="宋体"/>
          <w:snapToGrid w:val="0"/>
          <w:color w:val="auto"/>
          <w:sz w:val="24"/>
          <w:szCs w:val="24"/>
        </w:rPr>
        <w:t>投标人在电子交易平台传输递交投标文件后，还可以在投标截止时间前直接提交或者以邮政快递方式递交备份投标文件1份</w:t>
      </w:r>
      <w:r>
        <w:rPr>
          <w:rFonts w:hint="eastAsia" w:ascii="宋体" w:hAnsi="宋体" w:eastAsia="宋体" w:cs="宋体"/>
          <w:b/>
          <w:bCs/>
          <w:snapToGrid w:val="0"/>
          <w:color w:val="auto"/>
          <w:sz w:val="24"/>
          <w:szCs w:val="24"/>
        </w:rPr>
        <w:t>，</w:t>
      </w:r>
      <w:r>
        <w:rPr>
          <w:rFonts w:hint="eastAsia" w:ascii="宋体" w:hAnsi="宋体" w:eastAsia="宋体" w:cs="宋体"/>
          <w:b w:val="0"/>
          <w:bCs w:val="0"/>
          <w:snapToGrid w:val="0"/>
          <w:color w:val="auto"/>
          <w:sz w:val="24"/>
          <w:szCs w:val="24"/>
        </w:rPr>
        <w:t>但采购人、采购机构不强制或变相强制投标人提交备份投标文件。</w:t>
      </w:r>
    </w:p>
    <w:p w14:paraId="209F1C15">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.2备份投标文件须在“</w:t>
      </w:r>
      <w:r>
        <w:rPr>
          <w:rFonts w:hint="eastAsia" w:ascii="宋体" w:hAnsi="宋体" w:eastAsia="宋体" w:cs="宋体"/>
          <w:snapToGrid w:val="0"/>
          <w:color w:val="auto"/>
          <w:sz w:val="24"/>
          <w:szCs w:val="24"/>
          <w:lang w:eastAsia="zh-CN"/>
        </w:rPr>
        <w:t>乐采云</w:t>
      </w:r>
      <w:r>
        <w:rPr>
          <w:rFonts w:hint="eastAsia" w:ascii="宋体" w:hAnsi="宋体" w:eastAsia="宋体" w:cs="宋体"/>
          <w:snapToGrid w:val="0"/>
          <w:color w:val="auto"/>
          <w:sz w:val="24"/>
          <w:szCs w:val="24"/>
        </w:rPr>
        <w:t>投标客户端”制作生成，并储存在DVD光盘或U盘中。</w:t>
      </w:r>
      <w:r>
        <w:rPr>
          <w:rFonts w:hint="eastAsia" w:ascii="宋体" w:hAnsi="宋体" w:eastAsia="宋体" w:cs="宋体"/>
          <w:b/>
          <w:bCs/>
          <w:snapToGrid w:val="0"/>
          <w:color w:val="auto"/>
          <w:sz w:val="24"/>
          <w:szCs w:val="24"/>
        </w:rPr>
        <w:t>备份投标文件应当密封包装并在包装上加盖公章并注明投标项目名称，投标人名称</w:t>
      </w:r>
      <w:r>
        <w:rPr>
          <w:rFonts w:hint="eastAsia" w:ascii="宋体" w:hAnsi="宋体" w:eastAsia="宋体" w:cs="宋体"/>
          <w:snapToGrid w:val="0"/>
          <w:color w:val="auto"/>
          <w:sz w:val="24"/>
          <w:szCs w:val="24"/>
        </w:rPr>
        <w:t>。</w:t>
      </w:r>
      <w:r>
        <w:rPr>
          <w:rFonts w:hint="eastAsia" w:ascii="宋体" w:hAnsi="宋体" w:eastAsia="宋体" w:cs="宋体"/>
          <w:b/>
          <w:snapToGrid w:val="0"/>
          <w:color w:val="auto"/>
          <w:sz w:val="24"/>
          <w:szCs w:val="24"/>
        </w:rPr>
        <w:t>不符合上述制作、存储、密封规定的备份投标文件将被视为无效或者被拒绝接收。</w:t>
      </w:r>
    </w:p>
    <w:p w14:paraId="31EFCA9E">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.3直接提交备份投标文件的，投标人应于投标截止时间前在采购公告中载明的开标地点将备份投标文件提交给采购机构，采购机构将拒绝接受逾期送达的备份投标文件。</w:t>
      </w:r>
    </w:p>
    <w:p w14:paraId="0E8D04D1">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.4以邮政快递方式递交备份投标文件的，投标人应先将备份投标文件按要求密封和标记，再进行邮政快递包装后邮寄。</w:t>
      </w:r>
    </w:p>
    <w:p w14:paraId="005A6E5E">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lang w:val="en-US" w:eastAsia="zh-CN"/>
        </w:rPr>
        <w:t>7</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备份投标文件须在投标截止时间之前送达</w:t>
      </w:r>
      <w:r>
        <w:rPr>
          <w:rFonts w:hint="eastAsia" w:ascii="宋体" w:hAnsi="宋体" w:eastAsia="宋体" w:cs="宋体"/>
          <w:color w:val="auto"/>
          <w:sz w:val="24"/>
          <w:szCs w:val="24"/>
        </w:rPr>
        <w:t>采购文件第二部分投标人须知前附表规定的备份投标文件送达地点；</w:t>
      </w:r>
      <w:r>
        <w:rPr>
          <w:rFonts w:hint="eastAsia" w:ascii="宋体" w:hAnsi="宋体" w:eastAsia="宋体" w:cs="宋体"/>
          <w:snapToGrid w:val="0"/>
          <w:color w:val="auto"/>
          <w:sz w:val="24"/>
          <w:szCs w:val="24"/>
        </w:rPr>
        <w:t>送达时间以签收人签收时间为准。采购机构将拒绝接受逾期送达的备份投标文件。邮寄过程中，电子备份投标文件发生泄露、遗失、损坏或延期送达等情况的，由投标人自行负责。</w:t>
      </w:r>
    </w:p>
    <w:p w14:paraId="10E7C99F">
      <w:pPr>
        <w:pageBreakBefore w:val="0"/>
        <w:kinsoku/>
        <w:wordWrap/>
        <w:overflowPunct/>
        <w:topLinePunct w:val="0"/>
        <w:bidi w:val="0"/>
        <w:adjustRightInd/>
        <w:spacing w:line="460" w:lineRule="exact"/>
        <w:ind w:firstLine="482" w:firstLineChars="200"/>
        <w:textAlignment w:val="auto"/>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lang w:val="en-US" w:eastAsia="zh-CN"/>
        </w:rPr>
        <w:t>7</w:t>
      </w:r>
      <w:r>
        <w:rPr>
          <w:rFonts w:hint="eastAsia" w:ascii="宋体" w:hAnsi="宋体" w:eastAsia="宋体" w:cs="宋体"/>
          <w:b/>
          <w:snapToGrid w:val="0"/>
          <w:color w:val="auto"/>
          <w:sz w:val="24"/>
          <w:szCs w:val="24"/>
        </w:rPr>
        <w:t>.</w:t>
      </w:r>
      <w:r>
        <w:rPr>
          <w:rFonts w:hint="eastAsia" w:ascii="宋体" w:hAnsi="宋体" w:eastAsia="宋体" w:cs="宋体"/>
          <w:b/>
          <w:snapToGrid w:val="0"/>
          <w:color w:val="auto"/>
          <w:sz w:val="24"/>
          <w:szCs w:val="24"/>
          <w:lang w:val="en-US" w:eastAsia="zh-CN"/>
        </w:rPr>
        <w:t>6</w:t>
      </w:r>
      <w:r>
        <w:rPr>
          <w:rFonts w:hint="eastAsia" w:ascii="宋体" w:hAnsi="宋体" w:eastAsia="宋体" w:cs="宋体"/>
          <w:b/>
          <w:snapToGrid w:val="0"/>
          <w:color w:val="auto"/>
          <w:sz w:val="24"/>
          <w:szCs w:val="24"/>
        </w:rPr>
        <w:t>投标人仅提交备份投标文件，没有在电子交易平台传输递交投标文件的，投标无效。</w:t>
      </w:r>
    </w:p>
    <w:p w14:paraId="5103A731">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宋体" w:hAnsi="宋体" w:eastAsia="宋体" w:cs="宋体"/>
          <w:b/>
          <w:color w:val="auto"/>
          <w:sz w:val="24"/>
          <w:szCs w:val="24"/>
        </w:rPr>
      </w:pPr>
      <w:r>
        <w:rPr>
          <w:rFonts w:hint="eastAsia" w:ascii="宋体" w:hAnsi="宋体" w:eastAsia="宋体" w:cs="宋体"/>
          <w:b/>
          <w:snapToGrid w:val="0"/>
          <w:color w:val="auto"/>
          <w:sz w:val="24"/>
          <w:szCs w:val="24"/>
          <w:lang w:val="en-US" w:eastAsia="zh-CN"/>
        </w:rPr>
        <w:t>8.</w:t>
      </w:r>
      <w:r>
        <w:rPr>
          <w:rFonts w:hint="eastAsia" w:ascii="宋体" w:hAnsi="宋体" w:eastAsia="宋体" w:cs="宋体"/>
          <w:b/>
          <w:color w:val="auto"/>
          <w:sz w:val="24"/>
          <w:szCs w:val="24"/>
        </w:rPr>
        <w:t>投标有效期</w:t>
      </w:r>
    </w:p>
    <w:p w14:paraId="4E5D05B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.1投标有效期为从提交投标文件的截止之日起90天。</w:t>
      </w:r>
      <w:r>
        <w:rPr>
          <w:rFonts w:hint="eastAsia" w:ascii="宋体" w:hAnsi="宋体" w:cs="宋体"/>
          <w:color w:val="auto"/>
          <w:sz w:val="24"/>
          <w:szCs w:val="24"/>
          <w:lang w:eastAsia="zh-CN"/>
        </w:rPr>
        <w:t>★</w:t>
      </w:r>
      <w:r>
        <w:rPr>
          <w:rFonts w:hint="eastAsia" w:ascii="宋体" w:hAnsi="宋体" w:eastAsia="宋体" w:cs="宋体"/>
          <w:b w:val="0"/>
          <w:bCs w:val="0"/>
          <w:color w:val="auto"/>
          <w:sz w:val="24"/>
          <w:szCs w:val="24"/>
        </w:rPr>
        <w:t>投标人的投标文件中承诺的投标有效期少于采购文件中载明的投标有效期的，投标无效。</w:t>
      </w:r>
    </w:p>
    <w:p w14:paraId="5AB12EBA">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.2投标文件合格投递后，自投标截止日期起，在投标有效期内有效。</w:t>
      </w:r>
    </w:p>
    <w:p w14:paraId="2BC5D95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.3在原定投标有效期满之前，如果出现特殊情况，采购机构可以以书面形式通知投标人延长投标有效期。投标人同意延长的，不得要求或被允许修改其投标文件，投标人拒绝延长的，其投标无效。</w:t>
      </w:r>
    </w:p>
    <w:p w14:paraId="3DE59FC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 xml:space="preserve"> 8.4</w:t>
      </w:r>
      <w:r>
        <w:rPr>
          <w:rFonts w:hint="eastAsia" w:ascii="宋体" w:hAnsi="宋体" w:eastAsia="宋体" w:cs="宋体"/>
          <w:snapToGrid w:val="0"/>
          <w:color w:val="auto"/>
          <w:kern w:val="0"/>
          <w:sz w:val="24"/>
          <w:szCs w:val="24"/>
          <w:lang w:eastAsia="zh-CN"/>
        </w:rPr>
        <w:t>中标人</w:t>
      </w:r>
      <w:r>
        <w:rPr>
          <w:rFonts w:hint="eastAsia" w:ascii="宋体" w:hAnsi="宋体" w:eastAsia="宋体" w:cs="宋体"/>
          <w:snapToGrid w:val="0"/>
          <w:color w:val="auto"/>
          <w:kern w:val="0"/>
          <w:sz w:val="24"/>
          <w:szCs w:val="24"/>
        </w:rPr>
        <w:t>的投标文件自开标之日起至合同履行完毕止均应保持有效。</w:t>
      </w:r>
    </w:p>
    <w:p w14:paraId="262F2A42">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、投标报价</w:t>
      </w:r>
    </w:p>
    <w:p w14:paraId="4DB391D4">
      <w:pPr>
        <w:pageBreakBefore w:val="0"/>
        <w:kinsoku/>
        <w:wordWrap/>
        <w:overflowPunct/>
        <w:topLinePunct w:val="0"/>
        <w:bidi w:val="0"/>
        <w:adjustRightInd/>
        <w:spacing w:line="460" w:lineRule="exact"/>
        <w:ind w:firstLine="420"/>
        <w:textAlignment w:val="auto"/>
        <w:rPr>
          <w:rFonts w:hint="eastAsia" w:ascii="宋体" w:hAnsi="宋体" w:eastAsia="宋体" w:cs="宋体"/>
          <w:b/>
          <w:color w:val="auto"/>
          <w:sz w:val="24"/>
          <w:szCs w:val="24"/>
          <w:u w:val="thick"/>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.1 </w:t>
      </w:r>
      <w:r>
        <w:rPr>
          <w:rFonts w:hint="eastAsia" w:ascii="宋体" w:hAnsi="宋体" w:cs="宋体"/>
          <w:color w:val="auto"/>
          <w:sz w:val="24"/>
          <w:szCs w:val="24"/>
          <w:lang w:eastAsia="zh-CN"/>
        </w:rPr>
        <w:t>★</w:t>
      </w:r>
      <w:r>
        <w:rPr>
          <w:rFonts w:hint="eastAsia" w:ascii="宋体" w:hAnsi="宋体" w:eastAsia="宋体" w:cs="宋体"/>
          <w:b/>
          <w:color w:val="auto"/>
          <w:sz w:val="24"/>
          <w:szCs w:val="24"/>
          <w:u w:val="thick"/>
        </w:rPr>
        <w:t>本次投标报价为</w:t>
      </w:r>
      <w:r>
        <w:rPr>
          <w:rFonts w:hint="eastAsia" w:ascii="宋体" w:hAnsi="宋体" w:eastAsia="宋体" w:cs="宋体"/>
          <w:b/>
          <w:color w:val="auto"/>
          <w:sz w:val="24"/>
          <w:szCs w:val="24"/>
          <w:u w:val="thick"/>
          <w:lang w:eastAsia="zh-CN"/>
        </w:rPr>
        <w:t>人民币报价</w:t>
      </w:r>
      <w:r>
        <w:rPr>
          <w:rFonts w:hint="eastAsia" w:ascii="宋体" w:hAnsi="宋体" w:eastAsia="宋体" w:cs="宋体"/>
          <w:b/>
          <w:bCs/>
          <w:color w:val="auto"/>
          <w:sz w:val="24"/>
          <w:szCs w:val="24"/>
          <w:u w:val="thick"/>
        </w:rPr>
        <w:t>。</w:t>
      </w:r>
    </w:p>
    <w:p w14:paraId="7738D49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费用须包含货款、标准附件、备品备件、专用工具、包装、运输、装卸、保险以及安装、人工费、服务费、保修、招标代理费及专家评审费、验收费、利润、税金等一切费用。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14:paraId="54CE9EA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 xml:space="preserve">.3 </w:t>
      </w:r>
      <w:r>
        <w:rPr>
          <w:rFonts w:hint="eastAsia" w:ascii="宋体" w:hAnsi="宋体" w:eastAsia="宋体" w:cs="宋体"/>
          <w:color w:val="auto"/>
          <w:sz w:val="24"/>
          <w:szCs w:val="24"/>
        </w:rPr>
        <w:t>投标报价应按不同费用类别分开填写，具体详见“投标文件格式”。</w:t>
      </w:r>
    </w:p>
    <w:p w14:paraId="57AFC7F1">
      <w:pPr>
        <w:pageBreakBefore w:val="0"/>
        <w:kinsoku/>
        <w:wordWrap/>
        <w:overflowPunct/>
        <w:topLinePunct w:val="0"/>
        <w:bidi w:val="0"/>
        <w:adjustRightInd/>
        <w:spacing w:line="460" w:lineRule="exact"/>
        <w:ind w:firstLine="420"/>
        <w:textAlignment w:val="auto"/>
        <w:rPr>
          <w:rFonts w:hint="eastAsia" w:ascii="宋体" w:hAnsi="宋体" w:eastAsia="宋体" w:cs="宋体"/>
          <w:b/>
          <w:color w:val="auto"/>
          <w:sz w:val="24"/>
          <w:szCs w:val="24"/>
          <w:u w:val="thick"/>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.4 </w:t>
      </w:r>
      <w:r>
        <w:rPr>
          <w:rFonts w:hint="eastAsia" w:ascii="宋体" w:hAnsi="宋体" w:cs="宋体"/>
          <w:color w:val="auto"/>
          <w:sz w:val="24"/>
          <w:szCs w:val="24"/>
          <w:lang w:eastAsia="zh-CN"/>
        </w:rPr>
        <w:t>★</w:t>
      </w:r>
      <w:r>
        <w:rPr>
          <w:rFonts w:hint="eastAsia" w:ascii="宋体" w:hAnsi="宋体" w:eastAsia="宋体" w:cs="宋体"/>
          <w:b/>
          <w:color w:val="auto"/>
          <w:sz w:val="24"/>
          <w:szCs w:val="24"/>
          <w:u w:val="thick"/>
        </w:rPr>
        <w:t>所投标项只允许有一个报价，不接受有选择报价的投标文件。</w:t>
      </w:r>
    </w:p>
    <w:p w14:paraId="1597E929">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、投标文件的式样</w:t>
      </w:r>
    </w:p>
    <w:p w14:paraId="0104602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 投标人通过“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”平台制作电子投标文件，投标文件制作详见“供应商-采购项目电子交易操作指南”。</w:t>
      </w:r>
    </w:p>
    <w:p w14:paraId="24A2AD1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.2 投标文件是电子投标文件，包括“电子加密投标文件”和“备份投标文件”，在投标文件编制完成后同时生成。</w:t>
      </w:r>
    </w:p>
    <w:p w14:paraId="2089A14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10.2.1</w:t>
      </w:r>
      <w:r>
        <w:rPr>
          <w:rFonts w:hint="eastAsia" w:ascii="宋体" w:hAnsi="宋体" w:eastAsia="宋体" w:cs="宋体"/>
          <w:color w:val="auto"/>
          <w:sz w:val="24"/>
          <w:szCs w:val="24"/>
        </w:rPr>
        <w:t>“电子加密投标文件”是指通过“</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电子交易客户端”完成投标文件编制后生成并加密的数据电文形式的投标文件。</w:t>
      </w:r>
    </w:p>
    <w:p w14:paraId="03BD1CE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10.2.2</w:t>
      </w:r>
      <w:r>
        <w:rPr>
          <w:rFonts w:hint="eastAsia" w:ascii="宋体" w:hAnsi="宋体" w:eastAsia="宋体" w:cs="宋体"/>
          <w:color w:val="auto"/>
          <w:sz w:val="24"/>
          <w:szCs w:val="24"/>
        </w:rPr>
        <w:t>“备份投标文件”是指与“电子加密投标文件”同时生成的数据电文形式的电子文件（备份标书，用于供应商标书解密异常时应急使用），其他方式编制的备份投标文件视为无效备份投标文件。</w:t>
      </w:r>
    </w:p>
    <w:p w14:paraId="5875609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10.2.3</w:t>
      </w:r>
      <w:r>
        <w:rPr>
          <w:rFonts w:hint="eastAsia" w:ascii="宋体" w:hAnsi="宋体" w:eastAsia="宋体" w:cs="宋体"/>
          <w:color w:val="auto"/>
          <w:sz w:val="24"/>
          <w:szCs w:val="24"/>
        </w:rPr>
        <w:t>一份电子加密标书（后缀格式为.jmbs），一份备份标书文件（后缀格式为.bfbs）</w:t>
      </w:r>
    </w:p>
    <w:p w14:paraId="3B54D85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10.2.4</w:t>
      </w:r>
      <w:r>
        <w:rPr>
          <w:rFonts w:hint="eastAsia" w:ascii="宋体" w:hAnsi="宋体" w:eastAsia="宋体" w:cs="宋体"/>
          <w:color w:val="auto"/>
          <w:sz w:val="24"/>
          <w:szCs w:val="24"/>
        </w:rPr>
        <w:t>每份电子投标文件应包括资格证明文件、资信技术文件、报价文件三部分内容。</w:t>
      </w:r>
    </w:p>
    <w:p w14:paraId="04F12F3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.3 投标文件中投标函、</w:t>
      </w:r>
      <w:r>
        <w:rPr>
          <w:rFonts w:hint="eastAsia" w:ascii="宋体" w:hAnsi="宋体" w:eastAsia="宋体" w:cs="宋体"/>
          <w:color w:val="auto"/>
          <w:sz w:val="24"/>
          <w:szCs w:val="24"/>
          <w:lang w:val="zh-CN"/>
        </w:rPr>
        <w:t>法定代表人授权委托书</w:t>
      </w:r>
      <w:r>
        <w:rPr>
          <w:rFonts w:hint="eastAsia" w:ascii="宋体" w:hAnsi="宋体" w:eastAsia="宋体" w:cs="宋体"/>
          <w:color w:val="auto"/>
          <w:sz w:val="24"/>
          <w:szCs w:val="24"/>
        </w:rPr>
        <w:t>的格式、签字、盖章及内容均应符合采购文件格式要求，否则投标文件无效。</w:t>
      </w:r>
    </w:p>
    <w:p w14:paraId="2A7B287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.4投标人应根据“</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供应商项目采购-电子招投标操作指南”及本采购文件规定编制电子投标文件并进行关联定位，以便评标委员会在评标时，点击评分项，可直接定位到该评分项内容。</w:t>
      </w:r>
    </w:p>
    <w:p w14:paraId="3896C62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如对采购文件的某项要求，投标人的投标响应文件未能提供相应的内容与其对应，则评标委员会在评审时会提示投标人未对此项招标要求提供相应内容。由此产生的评分影响由投标人自行承担。</w:t>
      </w:r>
    </w:p>
    <w:bookmarkEnd w:id="28"/>
    <w:bookmarkEnd w:id="29"/>
    <w:p w14:paraId="67D53DA5">
      <w:pPr>
        <w:pStyle w:val="5"/>
        <w:pageBreakBefore w:val="0"/>
        <w:tabs>
          <w:tab w:val="left" w:pos="358"/>
          <w:tab w:val="clear" w:pos="432"/>
        </w:tabs>
        <w:kinsoku/>
        <w:wordWrap/>
        <w:overflowPunct/>
        <w:topLinePunct w:val="0"/>
        <w:bidi w:val="0"/>
        <w:adjustRightInd/>
        <w:spacing w:line="460" w:lineRule="exact"/>
        <w:ind w:firstLine="420"/>
        <w:jc w:val="center"/>
        <w:textAlignment w:val="auto"/>
        <w:rPr>
          <w:rFonts w:hint="eastAsia" w:ascii="宋体" w:hAnsi="宋体" w:eastAsia="宋体" w:cs="宋体"/>
          <w:color w:val="auto"/>
          <w:sz w:val="32"/>
          <w:szCs w:val="32"/>
        </w:rPr>
      </w:pPr>
      <w:bookmarkStart w:id="30" w:name="_Toc82338243"/>
      <w:bookmarkStart w:id="31" w:name="_Toc35261575"/>
      <w:bookmarkStart w:id="32" w:name="_Toc82873326"/>
      <w:bookmarkStart w:id="33" w:name="_Toc450482500"/>
      <w:bookmarkStart w:id="34" w:name="_Toc54978894"/>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、开标、</w:t>
      </w:r>
      <w:r>
        <w:rPr>
          <w:rFonts w:hint="eastAsia" w:ascii="宋体" w:hAnsi="宋体" w:eastAsia="宋体" w:cs="宋体"/>
          <w:color w:val="auto"/>
          <w:sz w:val="32"/>
          <w:szCs w:val="32"/>
          <w:lang w:eastAsia="zh-CN"/>
        </w:rPr>
        <w:t>资格审查与信用信息查询</w:t>
      </w:r>
      <w:bookmarkEnd w:id="30"/>
      <w:bookmarkEnd w:id="31"/>
      <w:bookmarkEnd w:id="32"/>
      <w:bookmarkEnd w:id="33"/>
      <w:bookmarkEnd w:id="34"/>
    </w:p>
    <w:p w14:paraId="3E1B7EC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.1．开标</w:t>
      </w:r>
    </w:p>
    <w:p w14:paraId="2CCF9FE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.1.1 </w:t>
      </w:r>
      <w:r>
        <w:rPr>
          <w:rFonts w:hint="eastAsia" w:ascii="宋体" w:hAnsi="宋体" w:eastAsia="宋体" w:cs="宋体"/>
          <w:color w:val="auto"/>
          <w:kern w:val="0"/>
          <w:sz w:val="24"/>
          <w:szCs w:val="24"/>
        </w:rPr>
        <w:t>采购机构按照采购文件规定的时间通过电子交易平台组织开标，所有投标人均应当准时在线参加。投标人不足3家的，不得开标。</w:t>
      </w:r>
    </w:p>
    <w:p w14:paraId="0B39C5E1">
      <w:pPr>
        <w:pageBreakBefore w:val="0"/>
        <w:kinsoku/>
        <w:wordWrap/>
        <w:overflowPunct/>
        <w:topLinePunct w:val="0"/>
        <w:autoSpaceDE w:val="0"/>
        <w:autoSpaceDN w:val="0"/>
        <w:bidi w:val="0"/>
        <w:adjustRightInd/>
        <w:spacing w:line="460" w:lineRule="exact"/>
        <w:ind w:firstLine="480" w:firstLineChars="200"/>
        <w:contextualSpacing/>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.1.2</w:t>
      </w:r>
      <w:r>
        <w:rPr>
          <w:rFonts w:hint="eastAsia" w:ascii="宋体" w:hAnsi="宋体" w:eastAsia="宋体" w:cs="宋体"/>
          <w:color w:val="auto"/>
          <w:kern w:val="0"/>
          <w:sz w:val="24"/>
          <w:szCs w:val="24"/>
        </w:rPr>
        <w:t>开标时，电子交易平台按开标时间自动提取所有投标文件。采购机构依托电子交易平台发起开始解密指令，投标人按照平台提示和采购文件的规定在半小时内完成在线解密。</w:t>
      </w:r>
    </w:p>
    <w:p w14:paraId="7137F029">
      <w:pPr>
        <w:pageBreakBefore w:val="0"/>
        <w:kinsoku/>
        <w:wordWrap/>
        <w:overflowPunct/>
        <w:topLinePunct w:val="0"/>
        <w:autoSpaceDE w:val="0"/>
        <w:autoSpaceDN w:val="0"/>
        <w:bidi w:val="0"/>
        <w:adjustRightInd/>
        <w:spacing w:line="460" w:lineRule="exact"/>
        <w:ind w:firstLine="482" w:firstLineChars="200"/>
        <w:contextualSpacing/>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5.1.3</w:t>
      </w:r>
      <w:r>
        <w:rPr>
          <w:rFonts w:hint="eastAsia" w:ascii="宋体" w:hAnsi="宋体" w:eastAsia="宋体" w:cs="宋体"/>
          <w:b/>
          <w:bCs/>
          <w:color w:val="auto"/>
          <w:kern w:val="0"/>
          <w:sz w:val="24"/>
          <w:szCs w:val="24"/>
        </w:rPr>
        <w:t>投标文件未按时解密，投标人提供了备份投标文件的，以备份投标文件作为依据，否则视为投标文件撤回。投标文件已按时解密的，备份投标文件自动失效。</w:t>
      </w:r>
    </w:p>
    <w:p w14:paraId="06D6DF75">
      <w:pPr>
        <w:pageBreakBefore w:val="0"/>
        <w:kinsoku/>
        <w:wordWrap/>
        <w:overflowPunct/>
        <w:topLinePunct w:val="0"/>
        <w:bidi w:val="0"/>
        <w:adjustRightInd/>
        <w:snapToGrid w:val="0"/>
        <w:spacing w:line="460" w:lineRule="exact"/>
        <w:ind w:firstLine="480" w:firstLineChars="200"/>
        <w:jc w:val="left"/>
        <w:textAlignment w:val="auto"/>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5.1.4</w:t>
      </w:r>
      <w:r>
        <w:rPr>
          <w:rFonts w:hint="eastAsia" w:ascii="宋体" w:hAnsi="宋体" w:eastAsia="宋体" w:cs="宋体"/>
          <w:color w:val="auto"/>
          <w:sz w:val="24"/>
          <w:szCs w:val="24"/>
        </w:rPr>
        <w:t>开评标期间，投标人代表应在线操作，并关注</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有关信息公布、澄清等情况。投标人代表不参加开标程序的，事后不得对采购相关人员、开标过程和开标结果提出异议。</w:t>
      </w:r>
    </w:p>
    <w:p w14:paraId="18218769">
      <w:pPr>
        <w:pageBreakBefore w:val="0"/>
        <w:kinsoku/>
        <w:wordWrap/>
        <w:overflowPunct/>
        <w:topLinePunct w:val="0"/>
        <w:bidi w:val="0"/>
        <w:adjustRightInd/>
        <w:snapToGrid w:val="0"/>
        <w:spacing w:line="460" w:lineRule="exact"/>
        <w:ind w:firstLine="241" w:firstLineChars="100"/>
        <w:jc w:val="left"/>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5.2</w:t>
      </w:r>
      <w:r>
        <w:rPr>
          <w:rFonts w:hint="eastAsia" w:ascii="宋体" w:hAnsi="宋体" w:eastAsia="宋体" w:cs="宋体"/>
          <w:b/>
          <w:bCs/>
          <w:color w:val="auto"/>
          <w:sz w:val="24"/>
          <w:szCs w:val="24"/>
        </w:rPr>
        <w:t>资格审查</w:t>
      </w:r>
    </w:p>
    <w:p w14:paraId="651C487D">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.1开标后，采购人或采购机构将依法对投标人的资格进行审查。</w:t>
      </w:r>
    </w:p>
    <w:p w14:paraId="0E0C2E11">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sz w:val="24"/>
          <w:szCs w:val="24"/>
        </w:rPr>
        <w:t>采购人或采购机构依据法律法规和采购文件的规定，对投标人的资格进行审查。</w:t>
      </w:r>
    </w:p>
    <w:p w14:paraId="43044338">
      <w:pPr>
        <w:pStyle w:val="36"/>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.3投标人未按照采购文件要求提供与</w:t>
      </w:r>
      <w:r>
        <w:rPr>
          <w:rFonts w:hint="eastAsia" w:ascii="宋体" w:hAnsi="宋体" w:eastAsia="宋体" w:cs="宋体"/>
          <w:color w:val="auto"/>
          <w:sz w:val="24"/>
          <w:szCs w:val="24"/>
        </w:rPr>
        <w:t>资格条件相应的</w:t>
      </w:r>
      <w:r>
        <w:rPr>
          <w:rFonts w:hint="eastAsia" w:ascii="宋体" w:hAnsi="宋体" w:eastAsia="宋体" w:cs="宋体"/>
          <w:color w:val="auto"/>
          <w:kern w:val="0"/>
          <w:sz w:val="24"/>
          <w:szCs w:val="24"/>
        </w:rPr>
        <w:t>有效资格证明材料的，视为</w:t>
      </w:r>
      <w:r>
        <w:rPr>
          <w:rFonts w:hint="eastAsia" w:ascii="宋体" w:hAnsi="宋体" w:eastAsia="宋体" w:cs="宋体"/>
          <w:color w:val="auto"/>
          <w:sz w:val="24"/>
          <w:szCs w:val="24"/>
        </w:rPr>
        <w:t>投标人不具备采购文件中规定的资格要求，其投标无效。</w:t>
      </w:r>
    </w:p>
    <w:p w14:paraId="483F12DD">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4对未通过资格审查的投标人，采购人或采购机构告知其未通过的原因。</w:t>
      </w:r>
    </w:p>
    <w:p w14:paraId="3C000818">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5合格投标人不足3家的，不再评标。</w:t>
      </w:r>
    </w:p>
    <w:p w14:paraId="4784BA2E">
      <w:pPr>
        <w:pStyle w:val="36"/>
        <w:pageBreakBefore w:val="0"/>
        <w:kinsoku/>
        <w:wordWrap/>
        <w:overflowPunct/>
        <w:topLinePunct w:val="0"/>
        <w:bidi w:val="0"/>
        <w:adjustRightInd/>
        <w:spacing w:before="0" w:line="460" w:lineRule="exact"/>
        <w:ind w:firstLine="48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5.3</w:t>
      </w:r>
      <w:r>
        <w:rPr>
          <w:rFonts w:hint="eastAsia" w:ascii="宋体" w:hAnsi="宋体" w:eastAsia="宋体" w:cs="宋体"/>
          <w:b/>
          <w:bCs/>
          <w:color w:val="auto"/>
          <w:kern w:val="0"/>
          <w:sz w:val="24"/>
          <w:szCs w:val="24"/>
        </w:rPr>
        <w:t>信用信息查询</w:t>
      </w:r>
    </w:p>
    <w:p w14:paraId="1D09F863">
      <w:pPr>
        <w:pStyle w:val="36"/>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5.3.1</w:t>
      </w:r>
      <w:r>
        <w:rPr>
          <w:rFonts w:hint="eastAsia" w:ascii="宋体" w:hAnsi="宋体" w:eastAsia="宋体" w:cs="宋体"/>
          <w:color w:val="auto"/>
          <w:kern w:val="0"/>
          <w:sz w:val="24"/>
          <w:szCs w:val="24"/>
          <w:lang w:eastAsia="zh-CN"/>
        </w:rPr>
        <w:t>信用信息查询</w:t>
      </w:r>
      <w:r>
        <w:rPr>
          <w:rFonts w:hint="eastAsia" w:ascii="宋体" w:hAnsi="宋体" w:eastAsia="宋体" w:cs="宋体"/>
          <w:color w:val="auto"/>
          <w:kern w:val="0"/>
          <w:sz w:val="24"/>
          <w:szCs w:val="24"/>
        </w:rPr>
        <w:t>渠道及截止时间：采购机构将在资格审查时通过“信用中国”网站(www.creditchina.gov.cn)、中国政府采购网(www.ccgp.gov.cn)渠道查询投标人接受资格时的信用记录。</w:t>
      </w:r>
    </w:p>
    <w:p w14:paraId="51B9D18A">
      <w:pPr>
        <w:pStyle w:val="36"/>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kern w:val="0"/>
          <w:sz w:val="24"/>
          <w:szCs w:val="24"/>
        </w:rPr>
      </w:pPr>
      <w:bookmarkStart w:id="35" w:name="_Hlk125840869"/>
      <w:r>
        <w:rPr>
          <w:rFonts w:hint="eastAsia" w:ascii="宋体" w:hAnsi="宋体" w:eastAsia="宋体" w:cs="宋体"/>
          <w:color w:val="auto"/>
          <w:kern w:val="0"/>
          <w:sz w:val="24"/>
          <w:szCs w:val="24"/>
          <w:lang w:val="en-US" w:eastAsia="zh-CN"/>
        </w:rPr>
        <w:t>5.3.2</w:t>
      </w:r>
      <w:r>
        <w:rPr>
          <w:rFonts w:hint="eastAsia" w:ascii="宋体" w:hAnsi="宋体" w:eastAsia="宋体" w:cs="宋体"/>
          <w:color w:val="auto"/>
          <w:kern w:val="0"/>
          <w:sz w:val="24"/>
          <w:szCs w:val="24"/>
        </w:rPr>
        <w:t>信用信息查询记录和证据留存的具体方式：现场查询的投标人的信用记录、查询结果经确认后将与采购文件一起存档。</w:t>
      </w:r>
    </w:p>
    <w:p w14:paraId="42865B2F">
      <w:pPr>
        <w:pStyle w:val="36"/>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5.3.3</w:t>
      </w:r>
      <w:r>
        <w:rPr>
          <w:rFonts w:hint="eastAsia" w:ascii="宋体" w:hAnsi="宋体" w:eastAsia="宋体" w:cs="宋体"/>
          <w:color w:val="auto"/>
          <w:kern w:val="0"/>
          <w:sz w:val="24"/>
          <w:szCs w:val="24"/>
        </w:rPr>
        <w:t>信用信息的使用规则：经查询列入失信被执行人名单、重大税收违法案件当事人名单、政府采购严重违法失信行为记录名单的投标人将被拒绝参与采购活动。</w:t>
      </w:r>
    </w:p>
    <w:p w14:paraId="1494B15B">
      <w:pPr>
        <w:pStyle w:val="36"/>
        <w:pageBreakBefore w:val="0"/>
        <w:kinsoku/>
        <w:wordWrap/>
        <w:overflowPunct/>
        <w:topLinePunct w:val="0"/>
        <w:bidi w:val="0"/>
        <w:adjustRightInd/>
        <w:spacing w:before="0" w:line="460" w:lineRule="exact"/>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rPr>
        <w:t>5.3.4</w:t>
      </w:r>
      <w:r>
        <w:rPr>
          <w:rFonts w:hint="eastAsia" w:ascii="宋体" w:hAnsi="宋体" w:eastAsia="宋体" w:cs="宋体"/>
          <w:color w:val="auto"/>
          <w:kern w:val="0"/>
          <w:sz w:val="24"/>
          <w:szCs w:val="24"/>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sz w:val="24"/>
          <w:szCs w:val="24"/>
        </w:rPr>
        <w:t>。</w:t>
      </w:r>
      <w:bookmarkEnd w:id="35"/>
    </w:p>
    <w:p w14:paraId="6F68BC4D">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开标程序</w:t>
      </w:r>
    </w:p>
    <w:p w14:paraId="1AD2093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开标第一阶段</w:t>
      </w:r>
    </w:p>
    <w:p w14:paraId="27F7710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w:t>
      </w:r>
      <w:r>
        <w:rPr>
          <w:rFonts w:hint="eastAsia" w:ascii="宋体" w:hAnsi="宋体" w:eastAsia="宋体" w:cs="宋体"/>
          <w:color w:val="auto"/>
          <w:sz w:val="24"/>
          <w:szCs w:val="24"/>
        </w:rPr>
        <w:t>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”操作规范将备份投标文件上传至“</w:t>
      </w:r>
      <w:r>
        <w:rPr>
          <w:rFonts w:hint="eastAsia" w:ascii="宋体" w:hAnsi="宋体" w:eastAsia="宋体" w:cs="宋体"/>
          <w:color w:val="auto"/>
          <w:sz w:val="24"/>
          <w:szCs w:val="24"/>
          <w:lang w:eastAsia="zh-CN"/>
        </w:rPr>
        <w:t>采购云平台</w:t>
      </w:r>
      <w:r>
        <w:rPr>
          <w:rFonts w:hint="eastAsia" w:ascii="宋体" w:hAnsi="宋体" w:eastAsia="宋体" w:cs="宋体"/>
          <w:color w:val="auto"/>
          <w:sz w:val="24"/>
          <w:szCs w:val="24"/>
        </w:rPr>
        <w:t>”，上传成功后，“电子加密投标文件”自动失效；</w:t>
      </w:r>
    </w:p>
    <w:p w14:paraId="1229C20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61.2</w:t>
      </w:r>
      <w:r>
        <w:rPr>
          <w:rFonts w:hint="eastAsia" w:ascii="宋体" w:hAnsi="宋体" w:eastAsia="宋体" w:cs="宋体"/>
          <w:color w:val="auto"/>
          <w:sz w:val="24"/>
          <w:szCs w:val="24"/>
        </w:rPr>
        <w:t>投标文件解密结束，通过邮件形式发送各投标人组织签署《采购活动现场确认声明书》；</w:t>
      </w:r>
    </w:p>
    <w:p w14:paraId="7D1A88E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6.1.3</w:t>
      </w:r>
      <w:r>
        <w:rPr>
          <w:rFonts w:hint="eastAsia" w:ascii="宋体" w:hAnsi="宋体" w:eastAsia="宋体" w:cs="宋体"/>
          <w:color w:val="auto"/>
          <w:sz w:val="24"/>
          <w:szCs w:val="24"/>
        </w:rPr>
        <w:t>开启投标文件，进入资格审查；</w:t>
      </w:r>
    </w:p>
    <w:p w14:paraId="4E18537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6.1.4</w:t>
      </w:r>
      <w:r>
        <w:rPr>
          <w:rFonts w:hint="eastAsia" w:ascii="宋体" w:hAnsi="宋体" w:eastAsia="宋体" w:cs="宋体"/>
          <w:color w:val="auto"/>
          <w:sz w:val="24"/>
          <w:szCs w:val="24"/>
        </w:rPr>
        <w:t>开启资格审查通过的投标供应商的商务技术文件进入符合性审查、商务技术评审；</w:t>
      </w:r>
    </w:p>
    <w:p w14:paraId="297171F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6.1.5</w:t>
      </w:r>
      <w:r>
        <w:rPr>
          <w:rFonts w:hint="eastAsia" w:ascii="宋体" w:hAnsi="宋体" w:eastAsia="宋体" w:cs="宋体"/>
          <w:color w:val="auto"/>
          <w:sz w:val="24"/>
          <w:szCs w:val="24"/>
        </w:rPr>
        <w:t>第一阶段开标结束。</w:t>
      </w:r>
    </w:p>
    <w:p w14:paraId="407E653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备注：开标程序的第一阶段结束后，采购人或采购代理机构将对依法对投标供应商的资格进行审查，资格审查结束后进入符合性审查和商务技术的评审工作。</w:t>
      </w:r>
    </w:p>
    <w:p w14:paraId="588D3EF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开标第二阶段</w:t>
      </w:r>
    </w:p>
    <w:p w14:paraId="43B556C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6.2.1</w:t>
      </w:r>
      <w:r>
        <w:rPr>
          <w:rFonts w:hint="eastAsia" w:ascii="宋体" w:hAnsi="宋体" w:eastAsia="宋体" w:cs="宋体"/>
          <w:color w:val="auto"/>
          <w:sz w:val="24"/>
          <w:szCs w:val="24"/>
        </w:rPr>
        <w:t>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14:paraId="506ED21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6.2.2</w:t>
      </w:r>
      <w:r>
        <w:rPr>
          <w:rFonts w:hint="eastAsia" w:ascii="宋体" w:hAnsi="宋体" w:eastAsia="宋体" w:cs="宋体"/>
          <w:color w:val="auto"/>
          <w:sz w:val="24"/>
          <w:szCs w:val="24"/>
        </w:rPr>
        <w:t>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14:paraId="226F3C3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6.2.3</w:t>
      </w:r>
      <w:r>
        <w:rPr>
          <w:rFonts w:hint="eastAsia" w:ascii="宋体" w:hAnsi="宋体" w:eastAsia="宋体" w:cs="宋体"/>
          <w:color w:val="auto"/>
          <w:sz w:val="24"/>
          <w:szCs w:val="24"/>
        </w:rPr>
        <w:t>评审结束后，通过发送邮件形式公布中标（成交）候选供应商名单，及采购人最终确定中标或成交供应商名单的时间和公告方式等。</w:t>
      </w:r>
    </w:p>
    <w:p w14:paraId="7B54BA7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.4如遇“</w:t>
      </w:r>
      <w:r>
        <w:rPr>
          <w:rFonts w:hint="eastAsia" w:ascii="宋体" w:hAnsi="宋体" w:eastAsia="宋体" w:cs="宋体"/>
          <w:b w:val="0"/>
          <w:bCs w:val="0"/>
          <w:color w:val="auto"/>
          <w:sz w:val="24"/>
          <w:highlight w:val="none"/>
          <w:lang w:eastAsia="zh-CN"/>
        </w:rPr>
        <w:t>乐采云</w:t>
      </w:r>
      <w:r>
        <w:rPr>
          <w:rFonts w:hint="eastAsia" w:ascii="宋体" w:hAnsi="宋体" w:eastAsia="宋体" w:cs="宋体"/>
          <w:b w:val="0"/>
          <w:bCs w:val="0"/>
          <w:color w:val="auto"/>
          <w:sz w:val="24"/>
          <w:highlight w:val="none"/>
        </w:rPr>
        <w:t>平台</w:t>
      </w:r>
      <w:r>
        <w:rPr>
          <w:rFonts w:hint="eastAsia" w:ascii="宋体" w:hAnsi="宋体" w:eastAsia="宋体" w:cs="宋体"/>
          <w:color w:val="auto"/>
          <w:sz w:val="24"/>
          <w:szCs w:val="24"/>
        </w:rPr>
        <w:t>”电子化开标或评审程序调整的，或者</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系统提供数据电文交互功能的，按其规定执行。</w:t>
      </w:r>
    </w:p>
    <w:p w14:paraId="11DFB9F7">
      <w:pPr>
        <w:pageBreakBefore w:val="0"/>
        <w:kinsoku/>
        <w:wordWrap/>
        <w:overflowPunct/>
        <w:topLinePunct w:val="0"/>
        <w:bidi w:val="0"/>
        <w:adjustRightInd/>
        <w:spacing w:line="46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评标</w:t>
      </w:r>
    </w:p>
    <w:p w14:paraId="52F976C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评标组织</w:t>
      </w:r>
    </w:p>
    <w:p w14:paraId="502EFE7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评标工作由招标采购单位负责组织，具体评标事务由招标采购单位依法组建的评标委员会负责。评标委员会由采购人代表和有关技术、经济等方面的专家组成，成员人数应当为五人及以上单数。</w:t>
      </w:r>
    </w:p>
    <w:p w14:paraId="0B3E1CF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6.2评标纪律</w:t>
      </w:r>
    </w:p>
    <w:p w14:paraId="1C50B94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本次评标工作将在严格保密的情况下进行，评标委员会成员名单在定标前将保密。</w:t>
      </w:r>
    </w:p>
    <w:p w14:paraId="516710F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6.3评标办法</w:t>
      </w:r>
    </w:p>
    <w:p w14:paraId="45930AC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采用综合评分法，详见采购文件第四章“评标办法”。</w:t>
      </w:r>
    </w:p>
    <w:p w14:paraId="00F5580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 评标程序</w:t>
      </w:r>
    </w:p>
    <w:p w14:paraId="4111920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6.4.1投标文件初审。初审分为资格性检查和符合性检查。</w:t>
      </w:r>
    </w:p>
    <w:p w14:paraId="7D32A4F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6.4.1.1</w:t>
      </w:r>
      <w:r>
        <w:rPr>
          <w:rFonts w:hint="eastAsia" w:ascii="宋体" w:hAnsi="宋体" w:eastAsia="宋体" w:cs="宋体"/>
          <w:color w:val="auto"/>
          <w:sz w:val="24"/>
          <w:szCs w:val="24"/>
        </w:rPr>
        <w:t>资格性检查。</w:t>
      </w:r>
    </w:p>
    <w:p w14:paraId="61922BA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开标后，采购人或采购代理机构将依据法律法规和供应商资格条件对投标人的基本资格条件、特定资格条件进行审查。</w:t>
      </w:r>
    </w:p>
    <w:p w14:paraId="03FB446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投标人未按照采购文件中供应商资格条件要求提供相应的有效资格证明材料的，视为投标人不具备采购文件中规定的资格要求，其资格审查不通过。</w:t>
      </w:r>
    </w:p>
    <w:p w14:paraId="4166607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6.4.1.2</w:t>
      </w:r>
      <w:r>
        <w:rPr>
          <w:rFonts w:hint="eastAsia" w:ascii="宋体" w:hAnsi="宋体" w:eastAsia="宋体" w:cs="宋体"/>
          <w:color w:val="auto"/>
          <w:sz w:val="24"/>
          <w:szCs w:val="24"/>
        </w:rPr>
        <w:t>符合性检查。依据采购文件的规定，从投标文件的有效性、完整性和对采购文件的响应程度进行审查，以确定是否对采购文件的实质性要求作出响应。具体审查内容见投标须知6.3.1条“无效投标的认定”。</w:t>
      </w:r>
    </w:p>
    <w:p w14:paraId="1B735FE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评标委员会决定投标文件的响应性只根据投标文件本身的内容，而不寻求外部证据。</w:t>
      </w:r>
    </w:p>
    <w:p w14:paraId="4734B1D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如果投标文件没有实质上响应采购文件的要求，评标委员会将判定无效，投标人不得通过修改或撤销不合要求的偏离或保留而使其投标成为实质性响应的投标。</w:t>
      </w:r>
    </w:p>
    <w:p w14:paraId="48500AE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4.1.3</w:t>
      </w:r>
      <w:r>
        <w:rPr>
          <w:rFonts w:hint="eastAsia" w:ascii="宋体" w:hAnsi="宋体" w:eastAsia="宋体" w:cs="宋体"/>
          <w:color w:val="auto"/>
          <w:sz w:val="24"/>
          <w:szCs w:val="24"/>
        </w:rPr>
        <w:t>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14:paraId="1D2FC98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投标供应商的澄清、说明或者补正应当由法定代表人或其授权的代表签字（或加盖公章）后扫描上传提交。</w:t>
      </w:r>
    </w:p>
    <w:p w14:paraId="2FA2E2F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授权代表对澄清、说明或者补正内容未签字确认的，将自行承担由此可能导致的对其不利的评审结果，评标委员会按少数服从多数原则对相关内容进行评判。</w:t>
      </w:r>
    </w:p>
    <w:p w14:paraId="059A046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除邮件交互外，如</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平台提供信息发布、澄清说明、数据交换等操作方式的，或者</w:t>
      </w:r>
      <w:r>
        <w:rPr>
          <w:rFonts w:hint="eastAsia" w:ascii="宋体" w:hAnsi="宋体" w:eastAsia="宋体" w:cs="宋体"/>
          <w:color w:val="auto"/>
          <w:sz w:val="24"/>
          <w:szCs w:val="24"/>
          <w:lang w:eastAsia="zh-CN"/>
        </w:rPr>
        <w:t>乐采云</w:t>
      </w:r>
      <w:r>
        <w:rPr>
          <w:rFonts w:hint="eastAsia" w:ascii="宋体" w:hAnsi="宋体" w:eastAsia="宋体" w:cs="宋体"/>
          <w:color w:val="auto"/>
          <w:sz w:val="24"/>
          <w:szCs w:val="24"/>
        </w:rPr>
        <w:t>系统平台有新的操作流程的，按其规定。</w:t>
      </w:r>
    </w:p>
    <w:p w14:paraId="3152BEF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.4修正原则</w:t>
      </w:r>
    </w:p>
    <w:p w14:paraId="485800D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投标文件报价出现前后不一致的，按照下列规定修正：</w:t>
      </w:r>
    </w:p>
    <w:p w14:paraId="2AB0D3E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tab/>
      </w:r>
      <w:r>
        <w:rPr>
          <w:rFonts w:hint="eastAsia" w:ascii="宋体" w:hAnsi="宋体" w:eastAsia="宋体" w:cs="宋体"/>
          <w:color w:val="auto"/>
          <w:sz w:val="24"/>
          <w:szCs w:val="24"/>
        </w:rPr>
        <w:t>投标文件中开标一览表(报价表)内容与投标文件中相应内容不一致的，以开标一览表(报价表)为准；</w:t>
      </w:r>
    </w:p>
    <w:p w14:paraId="03D28CF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大写金额和小写金额不一致的，以大写金额为准；</w:t>
      </w:r>
    </w:p>
    <w:p w14:paraId="7F60CAC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单价金额小数点或者百分比有明显错位的，以开标一览表的总价为准，并修改单价；</w:t>
      </w:r>
    </w:p>
    <w:p w14:paraId="25FB208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总价金额与按单价汇总金额不一致的，以单价金额计算结果为准。</w:t>
      </w:r>
    </w:p>
    <w:p w14:paraId="1B3EE76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w:t>
      </w:r>
      <w:r>
        <w:rPr>
          <w:rFonts w:hint="eastAsia" w:ascii="宋体" w:hAnsi="宋体" w:cs="宋体"/>
          <w:color w:val="auto"/>
          <w:sz w:val="24"/>
          <w:szCs w:val="24"/>
          <w:lang w:val="en-US" w:eastAsia="zh-CN"/>
        </w:rPr>
        <w:t>参照</w:t>
      </w:r>
      <w:r>
        <w:rPr>
          <w:rFonts w:hint="eastAsia" w:ascii="宋体" w:hAnsi="宋体" w:eastAsia="宋体" w:cs="宋体"/>
          <w:color w:val="auto"/>
          <w:sz w:val="24"/>
          <w:szCs w:val="24"/>
        </w:rPr>
        <w:t>财政部公布第87号令 《政府采购货物和服务招标投标管理办法》第五十一条第二款的规定经投标人确认后产生约束力，投标人不确认的，其投标无效。</w:t>
      </w:r>
    </w:p>
    <w:p w14:paraId="1FAB56E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4.1.5</w:t>
      </w:r>
      <w:r>
        <w:rPr>
          <w:rFonts w:hint="eastAsia" w:ascii="宋体" w:hAnsi="宋体" w:eastAsia="宋体" w:cs="宋体"/>
          <w:color w:val="auto"/>
          <w:sz w:val="24"/>
          <w:szCs w:val="24"/>
        </w:rPr>
        <w:t>比较与评价。</w:t>
      </w:r>
    </w:p>
    <w:p w14:paraId="7EE6B5A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按采购文件中规定的评标方法和标准，对资格性检查和符合性检查合格的投标文件进行商务和技术评估，综合比较与评价。</w:t>
      </w:r>
    </w:p>
    <w:p w14:paraId="552FDCC7">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4.1.6</w:t>
      </w:r>
      <w:r>
        <w:rPr>
          <w:rFonts w:hint="eastAsia" w:ascii="宋体" w:hAnsi="宋体" w:eastAsia="宋体" w:cs="宋体"/>
          <w:color w:val="auto"/>
          <w:sz w:val="24"/>
          <w:szCs w:val="24"/>
        </w:rPr>
        <w:t>按采购文件中规定的评标方法和标准，对投标人进行排序，并推荐中标候选人。</w:t>
      </w:r>
    </w:p>
    <w:p w14:paraId="5871DF1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4.1.7</w:t>
      </w:r>
      <w:r>
        <w:rPr>
          <w:rFonts w:hint="eastAsia" w:ascii="宋体" w:hAnsi="宋体" w:eastAsia="宋体" w:cs="宋体"/>
          <w:color w:val="auto"/>
          <w:sz w:val="24"/>
          <w:szCs w:val="24"/>
        </w:rPr>
        <w:t>编写评标报告。</w:t>
      </w:r>
    </w:p>
    <w:p w14:paraId="3A8ED3B1">
      <w:pPr>
        <w:pageBreakBefore w:val="0"/>
        <w:kinsoku/>
        <w:wordWrap/>
        <w:overflowPunct/>
        <w:topLinePunct w:val="0"/>
        <w:bidi w:val="0"/>
        <w:adjustRightInd/>
        <w:spacing w:line="460" w:lineRule="exact"/>
        <w:ind w:firstLine="42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无效投标的认定</w:t>
      </w:r>
    </w:p>
    <w:p w14:paraId="22A63D8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w:t>
      </w:r>
      <w:r>
        <w:rPr>
          <w:rFonts w:hint="eastAsia" w:ascii="宋体" w:hAnsi="宋体" w:eastAsia="宋体" w:cs="宋体"/>
          <w:color w:val="auto"/>
          <w:sz w:val="24"/>
          <w:szCs w:val="24"/>
          <w:lang w:eastAsia="zh-CN"/>
        </w:rPr>
        <w:t>扫描件</w:t>
      </w:r>
      <w:r>
        <w:rPr>
          <w:rFonts w:hint="eastAsia" w:ascii="宋体" w:hAnsi="宋体" w:eastAsia="宋体" w:cs="宋体"/>
          <w:color w:val="auto"/>
          <w:sz w:val="24"/>
          <w:szCs w:val="24"/>
        </w:rPr>
        <w:t>、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A9BC220">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.1如发现下列情形之一的，投标文件将被视为无效投标：</w:t>
      </w:r>
    </w:p>
    <w:p w14:paraId="7CAEB7F7">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投标人不具备采购文件中规定的资格要求的（投标人未提供有效的资格文件的，视为投标人不具备采购文件中规定的资格要求）；</w:t>
      </w:r>
    </w:p>
    <w:p w14:paraId="5C7FE8C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lang w:eastAsia="zh-CN"/>
        </w:rPr>
        <w:t>）未</w:t>
      </w:r>
      <w:r>
        <w:rPr>
          <w:rFonts w:hint="eastAsia" w:ascii="宋体" w:hAnsi="宋体" w:eastAsia="宋体" w:cs="宋体"/>
          <w:b w:val="0"/>
          <w:bCs w:val="0"/>
          <w:color w:val="auto"/>
          <w:kern w:val="0"/>
          <w:sz w:val="24"/>
          <w:szCs w:val="24"/>
        </w:rPr>
        <w:t>按时上传或按时解密电子投标文件的</w:t>
      </w:r>
    </w:p>
    <w:p w14:paraId="1399910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eastAsia="zh-CN"/>
        </w:rPr>
        <w:t>）电</w:t>
      </w:r>
      <w:r>
        <w:rPr>
          <w:rFonts w:hint="eastAsia" w:ascii="宋体" w:hAnsi="宋体" w:eastAsia="宋体" w:cs="宋体"/>
          <w:b w:val="0"/>
          <w:bCs w:val="0"/>
          <w:color w:val="auto"/>
          <w:kern w:val="0"/>
          <w:sz w:val="24"/>
          <w:szCs w:val="24"/>
        </w:rPr>
        <w:t>子投标文件解密失败的，且未在规定时间内提交有效备份投标文件的；</w:t>
      </w:r>
    </w:p>
    <w:p w14:paraId="0A3B4B63">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电子投标文件未按规定要求提供电子签章的；</w:t>
      </w:r>
    </w:p>
    <w:p w14:paraId="2F5EC55A">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rPr>
        <w:t>）投标文件没有投标人的法定代表人或法定代表人授权委托人签字、投标文件应盖公章而未盖公章或盖非公司公章、未有效授权、法定代表人授权书填写不完整或有涂改的；</w:t>
      </w:r>
    </w:p>
    <w:p w14:paraId="49686737">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rPr>
        <w:t>）不响应采购文件</w:t>
      </w:r>
      <w:r>
        <w:rPr>
          <w:rFonts w:hint="eastAsia" w:ascii="宋体" w:hAnsi="宋体" w:eastAsia="宋体" w:cs="宋体"/>
          <w:b w:val="0"/>
          <w:bCs w:val="0"/>
          <w:color w:val="auto"/>
          <w:kern w:val="0"/>
          <w:sz w:val="24"/>
          <w:szCs w:val="24"/>
          <w:highlight w:val="none"/>
        </w:rPr>
        <w:t>标注“</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kern w:val="0"/>
          <w:sz w:val="24"/>
          <w:szCs w:val="24"/>
          <w:highlight w:val="none"/>
        </w:rPr>
        <w:t>”条款要</w:t>
      </w:r>
      <w:r>
        <w:rPr>
          <w:rFonts w:hint="eastAsia" w:ascii="宋体" w:hAnsi="宋体" w:eastAsia="宋体" w:cs="宋体"/>
          <w:b w:val="0"/>
          <w:bCs w:val="0"/>
          <w:color w:val="auto"/>
          <w:kern w:val="0"/>
          <w:sz w:val="24"/>
          <w:szCs w:val="24"/>
        </w:rPr>
        <w:t>求的；</w:t>
      </w:r>
    </w:p>
    <w:p w14:paraId="129502AE">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7</w:t>
      </w:r>
      <w:r>
        <w:rPr>
          <w:rFonts w:hint="eastAsia" w:ascii="宋体" w:hAnsi="宋体" w:eastAsia="宋体" w:cs="宋体"/>
          <w:b w:val="0"/>
          <w:bCs w:val="0"/>
          <w:color w:val="auto"/>
          <w:kern w:val="0"/>
          <w:sz w:val="24"/>
          <w:szCs w:val="24"/>
        </w:rPr>
        <w:t>）投标文件载明的招标项目合同期或服务期少于采购文件规定期限的；</w:t>
      </w:r>
    </w:p>
    <w:p w14:paraId="4DCB498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8</w:t>
      </w:r>
      <w:r>
        <w:rPr>
          <w:rFonts w:hint="eastAsia" w:ascii="宋体" w:hAnsi="宋体" w:eastAsia="宋体" w:cs="宋体"/>
          <w:b w:val="0"/>
          <w:bCs w:val="0"/>
          <w:color w:val="auto"/>
          <w:kern w:val="0"/>
          <w:sz w:val="24"/>
          <w:szCs w:val="24"/>
        </w:rPr>
        <w:t>）投标文件未响应采购文件规定的付款方式的；</w:t>
      </w:r>
    </w:p>
    <w:p w14:paraId="1B69D7C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9</w:t>
      </w:r>
      <w:r>
        <w:rPr>
          <w:rFonts w:hint="eastAsia" w:ascii="宋体" w:hAnsi="宋体" w:eastAsia="宋体" w:cs="宋体"/>
          <w:b w:val="0"/>
          <w:bCs w:val="0"/>
          <w:color w:val="auto"/>
          <w:kern w:val="0"/>
          <w:sz w:val="24"/>
          <w:szCs w:val="24"/>
        </w:rPr>
        <w:t>）投标报价超出预算或最高限价，采购人无法接受的；</w:t>
      </w:r>
    </w:p>
    <w:p w14:paraId="3A8005B4">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10</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 w:val="0"/>
          <w:bCs w:val="0"/>
          <w:color w:val="auto"/>
          <w:kern w:val="0"/>
          <w:sz w:val="24"/>
          <w:szCs w:val="24"/>
          <w:lang w:eastAsia="zh-CN"/>
        </w:rPr>
        <w:t>；</w:t>
      </w:r>
    </w:p>
    <w:p w14:paraId="556ECDB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11</w:t>
      </w:r>
      <w:r>
        <w:rPr>
          <w:rFonts w:hint="eastAsia" w:ascii="宋体" w:hAnsi="宋体" w:eastAsia="宋体" w:cs="宋体"/>
          <w:b w:val="0"/>
          <w:bCs w:val="0"/>
          <w:color w:val="auto"/>
          <w:kern w:val="0"/>
          <w:sz w:val="24"/>
          <w:szCs w:val="24"/>
        </w:rPr>
        <w:t>）投标货物的技术规范、技术标准明显不符合国家强制性要求的；</w:t>
      </w:r>
    </w:p>
    <w:p w14:paraId="113DEF80">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rPr>
        <w:t>）投标人提交两份或多份内容不同的报价响应文件，或在一份报价响应文件中对同一内容报有两个或多个报价，且未声明哪一个为最终报价的；</w:t>
      </w:r>
    </w:p>
    <w:p w14:paraId="4D9CFD0A">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13</w:t>
      </w:r>
      <w:r>
        <w:rPr>
          <w:rFonts w:hint="eastAsia" w:ascii="宋体" w:hAnsi="宋体" w:eastAsia="宋体" w:cs="宋体"/>
          <w:b w:val="0"/>
          <w:bCs w:val="0"/>
          <w:color w:val="auto"/>
          <w:kern w:val="0"/>
          <w:sz w:val="24"/>
          <w:szCs w:val="24"/>
        </w:rPr>
        <w:t>）投标报价超过采购文件中规定的预算金额或者最高限价的</w:t>
      </w:r>
      <w:r>
        <w:rPr>
          <w:rFonts w:hint="eastAsia" w:ascii="宋体" w:hAnsi="宋体" w:eastAsia="宋体" w:cs="宋体"/>
          <w:b w:val="0"/>
          <w:bCs w:val="0"/>
          <w:color w:val="auto"/>
          <w:kern w:val="0"/>
          <w:sz w:val="24"/>
          <w:szCs w:val="24"/>
          <w:lang w:eastAsia="zh-CN"/>
        </w:rPr>
        <w:t>；</w:t>
      </w:r>
    </w:p>
    <w:p w14:paraId="58A26677">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14）</w:t>
      </w:r>
      <w:r>
        <w:rPr>
          <w:rFonts w:hint="eastAsia" w:ascii="宋体" w:hAnsi="宋体" w:eastAsia="宋体" w:cs="宋体"/>
          <w:b w:val="0"/>
          <w:bCs w:val="0"/>
          <w:color w:val="auto"/>
          <w:kern w:val="0"/>
          <w:sz w:val="24"/>
          <w:szCs w:val="24"/>
        </w:rPr>
        <w:t>投标人对根据修正原则修正后的报价不确认的；</w:t>
      </w:r>
    </w:p>
    <w:p w14:paraId="5D8CF9B5">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15）</w:t>
      </w:r>
      <w:r>
        <w:rPr>
          <w:rFonts w:hint="eastAsia" w:ascii="宋体" w:hAnsi="宋体" w:eastAsia="宋体" w:cs="宋体"/>
          <w:b w:val="0"/>
          <w:bCs w:val="0"/>
          <w:color w:val="auto"/>
          <w:kern w:val="0"/>
          <w:sz w:val="24"/>
          <w:szCs w:val="24"/>
        </w:rPr>
        <w:t>投标人提供虚假材料投标的</w:t>
      </w:r>
      <w:r>
        <w:rPr>
          <w:rFonts w:hint="eastAsia" w:ascii="宋体" w:hAnsi="宋体" w:eastAsia="宋体" w:cs="宋体"/>
          <w:b w:val="0"/>
          <w:bCs w:val="0"/>
          <w:color w:val="auto"/>
          <w:kern w:val="0"/>
          <w:sz w:val="24"/>
          <w:szCs w:val="24"/>
          <w:lang w:val="en-US" w:eastAsia="zh-CN"/>
        </w:rPr>
        <w:t>；</w:t>
      </w:r>
    </w:p>
    <w:p w14:paraId="4AB24BC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16）</w:t>
      </w:r>
      <w:r>
        <w:rPr>
          <w:rFonts w:hint="eastAsia" w:ascii="宋体" w:hAnsi="宋体" w:eastAsia="宋体" w:cs="宋体"/>
          <w:b w:val="0"/>
          <w:bCs w:val="0"/>
          <w:color w:val="auto"/>
          <w:kern w:val="0"/>
          <w:sz w:val="24"/>
          <w:szCs w:val="24"/>
        </w:rPr>
        <w:t>投标人有恶意串通、妨碍其他投标人的竞争行为、损害采购人或者其他投标人的合法权益情形的；</w:t>
      </w:r>
    </w:p>
    <w:p w14:paraId="2F2F485C">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17）资信技术文件出现投标报价的；</w:t>
      </w:r>
    </w:p>
    <w:p w14:paraId="5EA735DB">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18</w:t>
      </w:r>
      <w:r>
        <w:rPr>
          <w:rFonts w:hint="eastAsia" w:ascii="宋体" w:hAnsi="宋体" w:eastAsia="宋体" w:cs="宋体"/>
          <w:b w:val="0"/>
          <w:bCs w:val="0"/>
          <w:color w:val="auto"/>
          <w:kern w:val="0"/>
          <w:sz w:val="24"/>
          <w:szCs w:val="24"/>
        </w:rPr>
        <w:t>）投标文件附有采购人不能接受的条款；</w:t>
      </w:r>
    </w:p>
    <w:p w14:paraId="550047F1">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19</w:t>
      </w:r>
      <w:r>
        <w:rPr>
          <w:rFonts w:hint="eastAsia" w:ascii="宋体" w:hAnsi="宋体" w:eastAsia="宋体" w:cs="宋体"/>
          <w:b w:val="0"/>
          <w:bCs w:val="0"/>
          <w:color w:val="auto"/>
          <w:kern w:val="0"/>
          <w:sz w:val="24"/>
          <w:szCs w:val="24"/>
          <w:lang w:eastAsia="zh-CN"/>
        </w:rPr>
        <w:t>）</w:t>
      </w:r>
      <w:r>
        <w:rPr>
          <w:rFonts w:hint="eastAsia" w:ascii="宋体" w:hAnsi="宋体" w:eastAsia="宋体" w:cs="宋体"/>
          <w:b w:val="0"/>
          <w:bCs w:val="0"/>
          <w:color w:val="auto"/>
          <w:kern w:val="0"/>
          <w:sz w:val="24"/>
          <w:szCs w:val="24"/>
        </w:rPr>
        <w:t>投标人仅提交备份投标文件，没有在电子交易平台传输递交投标文件的，投标无效；</w:t>
      </w:r>
    </w:p>
    <w:p w14:paraId="5D05CF86">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20</w:t>
      </w:r>
      <w:r>
        <w:rPr>
          <w:rFonts w:hint="eastAsia" w:ascii="宋体" w:hAnsi="宋体" w:eastAsia="宋体" w:cs="宋体"/>
          <w:b w:val="0"/>
          <w:bCs w:val="0"/>
          <w:color w:val="auto"/>
          <w:kern w:val="0"/>
          <w:sz w:val="24"/>
          <w:szCs w:val="24"/>
        </w:rPr>
        <w:t>）不满足采购文件规定的实质性要求的；</w:t>
      </w:r>
    </w:p>
    <w:p w14:paraId="5C5CF21F">
      <w:pPr>
        <w:pageBreakBefore w:val="0"/>
        <w:kinsoku/>
        <w:wordWrap/>
        <w:overflowPunct/>
        <w:topLinePunct w:val="0"/>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rPr>
        <w:t>21</w:t>
      </w:r>
      <w:r>
        <w:rPr>
          <w:rFonts w:hint="eastAsia" w:ascii="宋体" w:hAnsi="宋体" w:eastAsia="宋体" w:cs="宋体"/>
          <w:b w:val="0"/>
          <w:bCs w:val="0"/>
          <w:color w:val="auto"/>
          <w:kern w:val="0"/>
          <w:sz w:val="24"/>
          <w:szCs w:val="24"/>
        </w:rPr>
        <w:t>）国家和省另有规定属无</w:t>
      </w:r>
      <w:r>
        <w:rPr>
          <w:rFonts w:hint="eastAsia" w:ascii="宋体" w:hAnsi="宋体" w:eastAsia="宋体" w:cs="宋体"/>
          <w:color w:val="auto"/>
          <w:sz w:val="24"/>
          <w:szCs w:val="24"/>
        </w:rPr>
        <w:t>效投标文件的。</w:t>
      </w:r>
    </w:p>
    <w:p w14:paraId="3F4457F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6.3.2有下列情形之一的，视为投标人串通投标，其投标无效：</w:t>
      </w:r>
    </w:p>
    <w:p w14:paraId="04FD7C5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14:paraId="73EA11F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2）不同投标人委托同一单位或者个人办理投标事宜；</w:t>
      </w:r>
    </w:p>
    <w:p w14:paraId="543923E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3）不同投标人的投标文件载明的项目管理成员或者联系人员为同一人；</w:t>
      </w:r>
    </w:p>
    <w:p w14:paraId="3D8F280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4）不同投标人的投标文件异常一致或者投标报价呈规律性差异；</w:t>
      </w:r>
    </w:p>
    <w:p w14:paraId="6816301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5）不同投标人的投标文件相互混装。</w:t>
      </w:r>
    </w:p>
    <w:p w14:paraId="058D3EA7">
      <w:pPr>
        <w:pageBreakBefore w:val="0"/>
        <w:numPr>
          <w:ilvl w:val="0"/>
          <w:numId w:val="0"/>
        </w:numPr>
        <w:kinsoku/>
        <w:wordWrap/>
        <w:overflowPunct/>
        <w:topLinePunct w:val="0"/>
        <w:bidi w:val="0"/>
        <w:adjustRightInd/>
        <w:snapToGrid w:val="0"/>
        <w:spacing w:line="460" w:lineRule="exact"/>
        <w:jc w:val="center"/>
        <w:textAlignment w:val="auto"/>
        <w:outlineLvl w:val="2"/>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eastAsia="zh-CN"/>
        </w:rPr>
        <w:t>定标</w:t>
      </w:r>
    </w:p>
    <w:p w14:paraId="5ECB568C">
      <w:pPr>
        <w:pStyle w:val="36"/>
        <w:pageBreakBefore w:val="0"/>
        <w:kinsoku/>
        <w:wordWrap/>
        <w:overflowPunct/>
        <w:topLinePunct w:val="0"/>
        <w:bidi w:val="0"/>
        <w:adjustRightInd/>
        <w:snapToGrid w:val="0"/>
        <w:spacing w:before="0" w:line="460" w:lineRule="exact"/>
        <w:ind w:firstLine="48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7.1</w:t>
      </w:r>
      <w:r>
        <w:rPr>
          <w:rFonts w:hint="eastAsia" w:ascii="宋体" w:hAnsi="宋体" w:eastAsia="宋体" w:cs="宋体"/>
          <w:b/>
          <w:color w:val="auto"/>
          <w:sz w:val="24"/>
          <w:szCs w:val="24"/>
        </w:rPr>
        <w:t>确定</w:t>
      </w:r>
      <w:r>
        <w:rPr>
          <w:rFonts w:hint="eastAsia" w:ascii="宋体" w:hAnsi="宋体" w:eastAsia="宋体" w:cs="宋体"/>
          <w:b/>
          <w:color w:val="auto"/>
          <w:sz w:val="24"/>
          <w:szCs w:val="24"/>
          <w:lang w:eastAsia="zh-CN"/>
        </w:rPr>
        <w:t>中标人</w:t>
      </w:r>
    </w:p>
    <w:p w14:paraId="28B7C49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7.1.1采购代理机构应当自评审结束之日起2个工作日内将评审报告送交采购人。</w:t>
      </w:r>
    </w:p>
    <w:p w14:paraId="542E08F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采购人应当自收到评标报告之日起5个工作日内，在评标报告确定的中标候选人名单中按顺序确定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。中标候选人并列的，由采购人或者采购人委托评标委员会按照采购文件规定的方式确定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；采购文件未规定的，采取随机抽取的方式确定。</w:t>
      </w:r>
    </w:p>
    <w:p w14:paraId="4DFEDD3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采购人在收到评标报告5个工作日内未按评标报告推荐的中标候选人顺序确定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，又不能说明合法理由的，视同按评标报告推荐的顺序确定排名第一的中标候选人为</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1FABD89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采购人或者采购代理机构应当自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确定之日起2个工作日内，在省级以上财政部门指定的媒体上公告中标结果。</w:t>
      </w:r>
    </w:p>
    <w:p w14:paraId="799A100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公告期限为1个工作日。</w:t>
      </w:r>
    </w:p>
    <w:p w14:paraId="0FA5ED7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除国务院财政部门规定的情形外，采购人、采购代理机构不得以任何理由组织重新评审。采购人、采购代理机构按照国务院财政部门的规定组织重新评审的，应当书面报告本级人民政府财政部门。</w:t>
      </w:r>
    </w:p>
    <w:p w14:paraId="7901002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7.3中标通知书发出后，采购人不得违法改变中标结果，</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 xml:space="preserve">无正当理由不得放弃中标。 </w:t>
      </w:r>
    </w:p>
    <w:p w14:paraId="38330A1A">
      <w:pPr>
        <w:pageBreakBefore w:val="0"/>
        <w:kinsoku/>
        <w:wordWrap/>
        <w:overflowPunct/>
        <w:topLinePunct w:val="0"/>
        <w:bidi w:val="0"/>
        <w:adjustRightInd/>
        <w:snapToGrid w:val="0"/>
        <w:spacing w:line="460" w:lineRule="exact"/>
        <w:ind w:firstLine="482" w:firstLineChars="200"/>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7.2</w:t>
      </w:r>
      <w:r>
        <w:rPr>
          <w:rFonts w:hint="eastAsia" w:ascii="宋体" w:hAnsi="宋体" w:eastAsia="宋体" w:cs="宋体"/>
          <w:b/>
          <w:color w:val="auto"/>
          <w:sz w:val="24"/>
          <w:szCs w:val="24"/>
        </w:rPr>
        <w:t>. 中标通知与中标结果公告</w:t>
      </w:r>
    </w:p>
    <w:p w14:paraId="500F0C9D">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.1自</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确定之日起2个工作日内，采购机构通过电子交易平台向</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发出中标通知书，同时编制发布采购结果公告。采购机构也可以以纸质形式进行中标通知。</w:t>
      </w:r>
    </w:p>
    <w:p w14:paraId="2CE02846">
      <w:pPr>
        <w:pageBreakBefore w:val="0"/>
        <w:widowControl/>
        <w:shd w:val="clear" w:color="auto" w:fill="FFFFFF"/>
        <w:kinsoku/>
        <w:wordWrap/>
        <w:overflowPunct/>
        <w:topLinePunct w:val="0"/>
        <w:bidi w:val="0"/>
        <w:adjustRightInd/>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.2中标结果公告内容包括采购人及其委托的采购机构的名称、地址、联系方式，项目名称和项目编号，</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名称、地址和中标金额，主要中标标的的名称、规格型号、数量、单价、服务要求，开标记录、</w:t>
      </w:r>
      <w:bookmarkStart w:id="36" w:name="_Hlk101184471"/>
      <w:r>
        <w:rPr>
          <w:rFonts w:hint="eastAsia" w:ascii="宋体" w:hAnsi="宋体" w:eastAsia="宋体" w:cs="宋体"/>
          <w:color w:val="auto"/>
          <w:sz w:val="24"/>
          <w:szCs w:val="24"/>
        </w:rPr>
        <w:t>资格审查情况、评审专家抽取规则、符合性审查情况、</w:t>
      </w:r>
      <w:bookmarkEnd w:id="36"/>
      <w:r>
        <w:rPr>
          <w:rFonts w:hint="eastAsia" w:ascii="宋体" w:hAnsi="宋体" w:eastAsia="宋体" w:cs="宋体"/>
          <w:color w:val="auto"/>
          <w:sz w:val="24"/>
          <w:szCs w:val="24"/>
        </w:rPr>
        <w:t>未中标情况说明、中标公告期限以及评审专家名单、评分汇总及明细。</w:t>
      </w:r>
    </w:p>
    <w:p w14:paraId="7E31C7F7">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.3公告期限为1个工作日。</w:t>
      </w:r>
    </w:p>
    <w:p w14:paraId="35EC55EA">
      <w:pPr>
        <w:pageBreakBefore w:val="0"/>
        <w:kinsoku/>
        <w:wordWrap/>
        <w:overflowPunct/>
        <w:topLinePunct w:val="0"/>
        <w:bidi w:val="0"/>
        <w:adjustRightInd/>
        <w:spacing w:line="46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八、</w:t>
      </w:r>
      <w:r>
        <w:rPr>
          <w:rFonts w:hint="eastAsia" w:ascii="宋体" w:hAnsi="宋体" w:eastAsia="宋体" w:cs="宋体"/>
          <w:b/>
          <w:bCs/>
          <w:color w:val="auto"/>
          <w:sz w:val="32"/>
          <w:szCs w:val="32"/>
        </w:rPr>
        <w:t>废标</w:t>
      </w:r>
    </w:p>
    <w:p w14:paraId="733B8D8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.1根据</w:t>
      </w:r>
      <w:r>
        <w:rPr>
          <w:rFonts w:hint="eastAsia" w:ascii="宋体" w:hAnsi="宋体" w:cs="宋体"/>
          <w:color w:val="auto"/>
          <w:sz w:val="24"/>
          <w:szCs w:val="24"/>
          <w:lang w:val="en-US" w:eastAsia="zh-CN"/>
        </w:rPr>
        <w:t>相关法律法规</w:t>
      </w:r>
      <w:r>
        <w:rPr>
          <w:rFonts w:hint="eastAsia" w:ascii="宋体" w:hAnsi="宋体" w:eastAsia="宋体" w:cs="宋体"/>
          <w:color w:val="auto"/>
          <w:sz w:val="24"/>
          <w:szCs w:val="24"/>
        </w:rPr>
        <w:t>，出现下列情形之一的，应予以废标：</w:t>
      </w:r>
    </w:p>
    <w:p w14:paraId="5D96090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rPr>
        <w:t>符合专业条件的供应商或者对采购文件作实质响应的供应商不足三家的；</w:t>
      </w:r>
    </w:p>
    <w:p w14:paraId="695198E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rPr>
        <w:t>出现影响采购公正的违法、违规行为的；</w:t>
      </w:r>
    </w:p>
    <w:p w14:paraId="6F91A19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8.1.3</w:t>
      </w:r>
      <w:r>
        <w:rPr>
          <w:rFonts w:hint="eastAsia" w:ascii="宋体" w:hAnsi="宋体" w:eastAsia="宋体" w:cs="宋体"/>
          <w:color w:val="auto"/>
          <w:sz w:val="24"/>
          <w:szCs w:val="24"/>
        </w:rPr>
        <w:t>所有投标人的报价均超过了采购预算，采购人不能支付的；</w:t>
      </w:r>
    </w:p>
    <w:p w14:paraId="3FE758D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8.1.4</w:t>
      </w:r>
      <w:r>
        <w:rPr>
          <w:rFonts w:hint="eastAsia" w:ascii="宋体" w:hAnsi="宋体" w:eastAsia="宋体" w:cs="宋体"/>
          <w:color w:val="auto"/>
          <w:sz w:val="24"/>
          <w:szCs w:val="24"/>
        </w:rPr>
        <w:t>因重大变故，采购任务取消的。</w:t>
      </w:r>
    </w:p>
    <w:p w14:paraId="5E0538B6">
      <w:pPr>
        <w:pageBreakBefore w:val="0"/>
        <w:kinsoku/>
        <w:wordWrap/>
        <w:overflowPunct/>
        <w:topLinePunct w:val="0"/>
        <w:bidi w:val="0"/>
        <w:adjustRightInd/>
        <w:spacing w:line="460" w:lineRule="exact"/>
        <w:ind w:left="665" w:leftChars="174" w:hanging="300" w:hangingChars="125"/>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.2采购过程中出现以下情形，导致电子交易平台无法正常运行，或者无法保证电子交易的公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平、公正和安全时，采购组织机构可中止电子交易活动：</w:t>
      </w:r>
    </w:p>
    <w:p w14:paraId="1BB7A79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8.2.1</w:t>
      </w:r>
      <w:r>
        <w:rPr>
          <w:rFonts w:hint="eastAsia" w:ascii="宋体" w:hAnsi="宋体" w:eastAsia="宋体" w:cs="宋体"/>
          <w:color w:val="auto"/>
          <w:sz w:val="24"/>
          <w:szCs w:val="24"/>
        </w:rPr>
        <w:t xml:space="preserve">电子交易平台发生故障而无法登录访问的； </w:t>
      </w:r>
    </w:p>
    <w:p w14:paraId="4696720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8.2.2</w:t>
      </w:r>
      <w:r>
        <w:rPr>
          <w:rFonts w:hint="eastAsia" w:ascii="宋体" w:hAnsi="宋体" w:eastAsia="宋体" w:cs="宋体"/>
          <w:color w:val="auto"/>
          <w:sz w:val="24"/>
          <w:szCs w:val="24"/>
        </w:rPr>
        <w:t>电子交易平台应用或数据库出现错误，不能进行正常操作的；</w:t>
      </w:r>
    </w:p>
    <w:p w14:paraId="5BD28C8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8.2.3</w:t>
      </w:r>
      <w:r>
        <w:rPr>
          <w:rFonts w:hint="eastAsia" w:ascii="宋体" w:hAnsi="宋体" w:eastAsia="宋体" w:cs="宋体"/>
          <w:color w:val="auto"/>
          <w:sz w:val="24"/>
          <w:szCs w:val="24"/>
        </w:rPr>
        <w:t>电子交易平台发现严重安全漏洞，有潜在泄密危险的；</w:t>
      </w:r>
    </w:p>
    <w:p w14:paraId="08C79436">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8.2.4</w:t>
      </w:r>
      <w:r>
        <w:rPr>
          <w:rFonts w:hint="eastAsia" w:ascii="宋体" w:hAnsi="宋体" w:eastAsia="宋体" w:cs="宋体"/>
          <w:color w:val="auto"/>
          <w:sz w:val="24"/>
          <w:szCs w:val="24"/>
        </w:rPr>
        <w:t xml:space="preserve">病毒发作导致不能进行正常操作的； </w:t>
      </w:r>
    </w:p>
    <w:p w14:paraId="7EA9B4E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8.2.5</w:t>
      </w:r>
      <w:r>
        <w:rPr>
          <w:rFonts w:hint="eastAsia" w:ascii="宋体" w:hAnsi="宋体" w:eastAsia="宋体" w:cs="宋体"/>
          <w:color w:val="auto"/>
          <w:sz w:val="24"/>
          <w:szCs w:val="24"/>
        </w:rPr>
        <w:t>其他无法保证电子交易的公平、公正和安全的情况。</w:t>
      </w:r>
    </w:p>
    <w:p w14:paraId="0155AE8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EBDAF4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8.2.6</w:t>
      </w:r>
      <w:r>
        <w:rPr>
          <w:rFonts w:hint="eastAsia" w:ascii="宋体" w:hAnsi="宋体" w:eastAsia="宋体" w:cs="宋体"/>
          <w:color w:val="auto"/>
          <w:sz w:val="24"/>
          <w:szCs w:val="24"/>
        </w:rPr>
        <w:t xml:space="preserve"> 废标后，采购人应当将废标理由通知所有投标人并重新组织招标；或者经主管部门批准，采取其他方式组织采购。</w:t>
      </w:r>
    </w:p>
    <w:p w14:paraId="4DF3501E">
      <w:pPr>
        <w:pStyle w:val="5"/>
        <w:pageBreakBefore w:val="0"/>
        <w:tabs>
          <w:tab w:val="left" w:pos="358"/>
          <w:tab w:val="clear" w:pos="432"/>
        </w:tabs>
        <w:kinsoku/>
        <w:wordWrap/>
        <w:overflowPunct/>
        <w:topLinePunct w:val="0"/>
        <w:bidi w:val="0"/>
        <w:adjustRightInd/>
        <w:spacing w:line="460" w:lineRule="exact"/>
        <w:jc w:val="center"/>
        <w:textAlignment w:val="auto"/>
        <w:rPr>
          <w:rFonts w:hint="eastAsia" w:ascii="宋体" w:hAnsi="宋体" w:eastAsia="宋体" w:cs="宋体"/>
          <w:color w:val="auto"/>
          <w:sz w:val="32"/>
          <w:szCs w:val="32"/>
        </w:rPr>
      </w:pPr>
      <w:bookmarkStart w:id="37" w:name="_Toc450482502"/>
      <w:bookmarkStart w:id="38" w:name="_Toc35261577"/>
      <w:bookmarkStart w:id="39" w:name="_Toc54978896"/>
      <w:r>
        <w:rPr>
          <w:rFonts w:hint="eastAsia" w:ascii="宋体" w:hAnsi="宋体" w:eastAsia="宋体" w:cs="宋体"/>
          <w:color w:val="auto"/>
          <w:sz w:val="32"/>
          <w:szCs w:val="32"/>
          <w:lang w:eastAsia="zh-CN"/>
        </w:rPr>
        <w:t>九</w:t>
      </w:r>
      <w:r>
        <w:rPr>
          <w:rFonts w:hint="eastAsia" w:ascii="宋体" w:hAnsi="宋体" w:eastAsia="宋体" w:cs="宋体"/>
          <w:color w:val="auto"/>
          <w:sz w:val="32"/>
          <w:szCs w:val="32"/>
        </w:rPr>
        <w:t>、合同授予</w:t>
      </w:r>
      <w:bookmarkEnd w:id="37"/>
      <w:r>
        <w:rPr>
          <w:rFonts w:hint="eastAsia" w:ascii="宋体" w:hAnsi="宋体" w:eastAsia="宋体" w:cs="宋体"/>
          <w:color w:val="auto"/>
          <w:sz w:val="32"/>
          <w:szCs w:val="32"/>
        </w:rPr>
        <w:t>及签订</w:t>
      </w:r>
      <w:bookmarkEnd w:id="38"/>
      <w:bookmarkEnd w:id="39"/>
    </w:p>
    <w:p w14:paraId="303788A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.1合同授予</w:t>
      </w:r>
    </w:p>
    <w:p w14:paraId="4B011B3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.1.1本项目的合同将授予按本须知第7.1.1款所确定的</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2610504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.1.2 中标或者成交供应商拒绝与采购人签订合同的，采购人可以按照评审报告推荐的中标或者成交候选人名单排序，确定下一候选人为中标或者成交供应商，也可以重新开展采购活动。</w:t>
      </w:r>
    </w:p>
    <w:p w14:paraId="528AE1B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.2签订合同</w:t>
      </w:r>
    </w:p>
    <w:p w14:paraId="36E0B30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应按中标通知书规定的时间与采购人签订合同。如中标人为联合体的，由联合体成员各方法定代表人或其授权代表与采购人代表签订合同。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在领取中标通知书时须向采购人提供一份关于本项目在实施过程中的相关人员的通讯录作为合同附件。</w:t>
      </w:r>
    </w:p>
    <w:p w14:paraId="0FCDD65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如不遵守采购文件或投标文件各项条款的邀约与要约，或在接到中标通知书后借故拖延，拒签合同的，采购人将依据国家和采购文件有关规定要求</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予以赔偿，同时采购人可根据</w:t>
      </w:r>
      <w:r>
        <w:rPr>
          <w:rFonts w:hint="eastAsia" w:ascii="宋体" w:hAnsi="宋体" w:eastAsia="宋体" w:cs="宋体"/>
          <w:color w:val="auto"/>
          <w:sz w:val="24"/>
          <w:szCs w:val="24"/>
          <w:lang w:val="en-US" w:eastAsia="zh-CN"/>
        </w:rPr>
        <w:t>相关规定</w:t>
      </w:r>
      <w:r>
        <w:rPr>
          <w:rFonts w:hint="eastAsia" w:ascii="宋体" w:hAnsi="宋体" w:eastAsia="宋体" w:cs="宋体"/>
          <w:color w:val="auto"/>
          <w:sz w:val="24"/>
          <w:szCs w:val="24"/>
        </w:rPr>
        <w:t>另行选择</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1C5AFE4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.2.3 采购文件、</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的投标文件及投标修改文件、评标过程中有关澄清文件及经投标人法定代表人或授权代表签字确认的询标回复和承诺及中标通知书均作为合同组成部分。</w:t>
      </w:r>
    </w:p>
    <w:p w14:paraId="340D5ED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9.3</w:t>
      </w:r>
      <w:r>
        <w:rPr>
          <w:rFonts w:hint="eastAsia" w:ascii="宋体" w:hAnsi="宋体" w:eastAsia="宋体" w:cs="宋体"/>
          <w:color w:val="auto"/>
          <w:sz w:val="24"/>
          <w:szCs w:val="24"/>
          <w:lang w:val="en-US" w:eastAsia="zh-CN"/>
        </w:rPr>
        <w:t>投标保证金</w:t>
      </w:r>
    </w:p>
    <w:p w14:paraId="1E6B738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9.3.1</w:t>
      </w:r>
      <w:r>
        <w:rPr>
          <w:rFonts w:hint="eastAsia" w:ascii="宋体" w:hAnsi="宋体" w:eastAsia="宋体" w:cs="宋体"/>
          <w:color w:val="auto"/>
          <w:sz w:val="24"/>
          <w:szCs w:val="24"/>
          <w:lang w:val="en-US" w:eastAsia="zh-CN"/>
        </w:rPr>
        <w:t>投标保证金：人民币</w:t>
      </w:r>
      <w:r>
        <w:rPr>
          <w:rFonts w:hint="eastAsia" w:ascii="宋体" w:hAnsi="宋体" w:cs="宋体"/>
          <w:color w:val="auto"/>
          <w:sz w:val="24"/>
          <w:szCs w:val="24"/>
          <w:lang w:val="en-US" w:eastAsia="zh-CN"/>
        </w:rPr>
        <w:t>8000.00</w:t>
      </w:r>
      <w:r>
        <w:rPr>
          <w:rFonts w:hint="eastAsia" w:ascii="宋体" w:hAnsi="宋体" w:eastAsia="宋体" w:cs="宋体"/>
          <w:color w:val="auto"/>
          <w:sz w:val="24"/>
          <w:szCs w:val="24"/>
          <w:lang w:val="en-US" w:eastAsia="zh-CN"/>
        </w:rPr>
        <w:t>元（</w:t>
      </w:r>
      <w:r>
        <w:rPr>
          <w:rFonts w:hint="eastAsia" w:ascii="宋体" w:hAnsi="宋体" w:cs="宋体"/>
          <w:color w:val="auto"/>
          <w:sz w:val="24"/>
          <w:szCs w:val="24"/>
          <w:lang w:val="en-US" w:eastAsia="zh-CN"/>
        </w:rPr>
        <w:t>捌仟元整</w:t>
      </w:r>
      <w:r>
        <w:rPr>
          <w:rFonts w:hint="eastAsia" w:ascii="宋体" w:hAnsi="宋体" w:eastAsia="宋体" w:cs="宋体"/>
          <w:color w:val="auto"/>
          <w:sz w:val="24"/>
          <w:szCs w:val="24"/>
          <w:lang w:val="en-US" w:eastAsia="zh-CN"/>
        </w:rPr>
        <w:t>），违反国企采购相关规定给采购人造成损失的，投标人应当承担赔偿责任。</w:t>
      </w:r>
    </w:p>
    <w:p w14:paraId="783CF45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9.3</w:t>
      </w:r>
      <w:r>
        <w:rPr>
          <w:rFonts w:hint="eastAsia" w:ascii="宋体" w:hAnsi="宋体" w:eastAsia="宋体" w:cs="宋体"/>
          <w:color w:val="auto"/>
          <w:sz w:val="24"/>
          <w:szCs w:val="24"/>
          <w:lang w:val="en-US" w:eastAsia="zh-CN"/>
        </w:rPr>
        <w:t>.2 发生下列任何情况之一时，投标保证金将不予退还；</w:t>
      </w:r>
    </w:p>
    <w:p w14:paraId="61CD76C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（1）投标人在投标有效期内撤回投标文件的；</w:t>
      </w:r>
    </w:p>
    <w:p w14:paraId="192F16C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（2）中标供应商无正当理由未按中标通知书的规定与采购人签订合同的；</w:t>
      </w:r>
    </w:p>
    <w:p w14:paraId="602398D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（3）投标人在投标过程中弄虚作假，提供虚假材料的；</w:t>
      </w:r>
    </w:p>
    <w:p w14:paraId="4F0FB66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（4）将中标项目转让给他人或者在投标文件中未说明且未经采购人同意，将中标项目分包给他人的；</w:t>
      </w:r>
    </w:p>
    <w:p w14:paraId="2883BCC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（5）其他严重扰乱招投标程序的。</w:t>
      </w:r>
    </w:p>
    <w:p w14:paraId="30575A1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.3履约保证金</w:t>
      </w:r>
    </w:p>
    <w:p w14:paraId="3E9820D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.3.1</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按“投标人须知前附表”规定的缴纳履约保证金。</w:t>
      </w:r>
    </w:p>
    <w:p w14:paraId="03776DA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.3.2履约保证金有效期按“投标人须知前附表”规定。</w:t>
      </w:r>
    </w:p>
    <w:p w14:paraId="7C23D9F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.3.3履约保证金有效期结束后，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凭保证金收据无息退还。</w:t>
      </w:r>
    </w:p>
    <w:p w14:paraId="50CA589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.3.4如投标人有下列情况，投标人将承担赔偿责任，赔偿金额为项目预算金额的2%，如实际损失超过前述金额的，投标人需赔偿超过前述金额部分的实际损失。</w:t>
      </w:r>
    </w:p>
    <w:p w14:paraId="78D7580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.3.4.1</w:t>
      </w:r>
      <w:r>
        <w:rPr>
          <w:rFonts w:hint="eastAsia" w:ascii="宋体" w:hAnsi="宋体" w:eastAsia="宋体" w:cs="宋体"/>
          <w:color w:val="auto"/>
          <w:sz w:val="24"/>
          <w:szCs w:val="24"/>
        </w:rPr>
        <w:t>投标人在投标截止时间后撤销投标文件的；</w:t>
      </w:r>
    </w:p>
    <w:p w14:paraId="03E795F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.3.4.2</w:t>
      </w:r>
      <w:r>
        <w:rPr>
          <w:rFonts w:hint="eastAsia" w:ascii="宋体" w:hAnsi="宋体" w:eastAsia="宋体" w:cs="宋体"/>
          <w:color w:val="auto"/>
          <w:sz w:val="24"/>
          <w:szCs w:val="24"/>
        </w:rPr>
        <w:t>投标人未按规定签订合同或转让中标的；</w:t>
      </w:r>
    </w:p>
    <w:p w14:paraId="5245E56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.3.4.3</w:t>
      </w:r>
      <w:r>
        <w:rPr>
          <w:rFonts w:hint="eastAsia" w:ascii="宋体" w:hAnsi="宋体" w:eastAsia="宋体" w:cs="宋体"/>
          <w:color w:val="auto"/>
          <w:sz w:val="24"/>
          <w:szCs w:val="24"/>
        </w:rPr>
        <w:t>其他投标人违反</w:t>
      </w:r>
      <w:r>
        <w:rPr>
          <w:rFonts w:hint="eastAsia" w:ascii="宋体" w:hAnsi="宋体" w:cs="宋体"/>
          <w:color w:val="auto"/>
          <w:sz w:val="24"/>
          <w:szCs w:val="24"/>
          <w:lang w:val="en-US" w:eastAsia="zh-CN"/>
        </w:rPr>
        <w:t>相关</w:t>
      </w:r>
      <w:r>
        <w:rPr>
          <w:rFonts w:hint="eastAsia" w:ascii="宋体" w:hAnsi="宋体" w:eastAsia="宋体" w:cs="宋体"/>
          <w:color w:val="auto"/>
          <w:sz w:val="24"/>
          <w:szCs w:val="24"/>
        </w:rPr>
        <w:t>法律法规规定，给采购人造成损失的。</w:t>
      </w:r>
    </w:p>
    <w:p w14:paraId="69C1B5F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.4采购代理服务费</w:t>
      </w:r>
    </w:p>
    <w:p w14:paraId="6FB7F18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本次采购代理服务费按“投标人须知前附表”规定收取。</w:t>
      </w:r>
      <w:bookmarkStart w:id="40" w:name="_Toc180555950"/>
      <w:bookmarkStart w:id="41" w:name="_Toc248065069"/>
      <w:bookmarkStart w:id="42" w:name="_Toc226337791"/>
    </w:p>
    <w:p w14:paraId="69689B0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.5诚实信用</w:t>
      </w:r>
      <w:bookmarkEnd w:id="40"/>
      <w:bookmarkEnd w:id="41"/>
      <w:bookmarkEnd w:id="42"/>
    </w:p>
    <w:p w14:paraId="087238C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bookmarkStart w:id="43" w:name="_Toc226337792"/>
      <w:bookmarkStart w:id="44" w:name="_Toc180555951"/>
      <w:bookmarkStart w:id="45" w:name="_Toc248065070"/>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5.1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14:paraId="224EF42D">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.5.2如果采购人有证据表明投标人在本招标项目的竞争中存在腐败、欺诈、失信记录或其他严重违背诚信原则的行为，则将拒绝其投标，或中标无效。</w:t>
      </w:r>
    </w:p>
    <w:p w14:paraId="4657009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.5.3如果</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没有按照采购文件和中标通知书的规定签订合同，报</w:t>
      </w:r>
      <w:r>
        <w:rPr>
          <w:rFonts w:hint="eastAsia" w:ascii="宋体" w:hAnsi="宋体" w:eastAsia="宋体" w:cs="宋体"/>
          <w:color w:val="auto"/>
          <w:sz w:val="24"/>
          <w:szCs w:val="24"/>
          <w:lang w:eastAsia="zh-CN"/>
        </w:rPr>
        <w:t>嵊州市</w:t>
      </w:r>
      <w:r>
        <w:rPr>
          <w:rFonts w:hint="eastAsia" w:ascii="宋体" w:hAnsi="宋体" w:eastAsia="宋体" w:cs="宋体"/>
          <w:color w:val="auto"/>
          <w:sz w:val="24"/>
          <w:szCs w:val="24"/>
        </w:rPr>
        <w:t>采购监督管理部门按照采购的有关规定进行处理。</w:t>
      </w:r>
      <w:bookmarkEnd w:id="43"/>
      <w:bookmarkEnd w:id="44"/>
      <w:bookmarkEnd w:id="45"/>
    </w:p>
    <w:p w14:paraId="5C79F1AE">
      <w:pPr>
        <w:pStyle w:val="5"/>
        <w:pageBreakBefore w:val="0"/>
        <w:tabs>
          <w:tab w:val="left" w:pos="358"/>
          <w:tab w:val="clear" w:pos="432"/>
        </w:tabs>
        <w:kinsoku/>
        <w:wordWrap/>
        <w:overflowPunct/>
        <w:topLinePunct w:val="0"/>
        <w:bidi w:val="0"/>
        <w:adjustRightInd/>
        <w:spacing w:line="460" w:lineRule="exact"/>
        <w:jc w:val="center"/>
        <w:textAlignment w:val="auto"/>
        <w:rPr>
          <w:rFonts w:hint="eastAsia" w:ascii="宋体" w:hAnsi="宋体" w:eastAsia="宋体" w:cs="宋体"/>
          <w:color w:val="auto"/>
          <w:sz w:val="32"/>
          <w:szCs w:val="32"/>
        </w:rPr>
      </w:pPr>
      <w:bookmarkStart w:id="46" w:name="_Toc54978897"/>
      <w:bookmarkStart w:id="47" w:name="_Toc35261578"/>
      <w:r>
        <w:rPr>
          <w:rFonts w:hint="eastAsia" w:ascii="宋体" w:hAnsi="宋体" w:eastAsia="宋体" w:cs="宋体"/>
          <w:color w:val="auto"/>
          <w:sz w:val="32"/>
          <w:szCs w:val="32"/>
          <w:lang w:eastAsia="zh-CN"/>
        </w:rPr>
        <w:t>十</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询问、</w:t>
      </w:r>
      <w:r>
        <w:rPr>
          <w:rFonts w:hint="eastAsia" w:ascii="宋体" w:hAnsi="宋体" w:eastAsia="宋体" w:cs="宋体"/>
          <w:color w:val="auto"/>
          <w:sz w:val="32"/>
          <w:szCs w:val="32"/>
        </w:rPr>
        <w:t>投诉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质疑</w:t>
      </w:r>
      <w:bookmarkEnd w:id="46"/>
      <w:bookmarkEnd w:id="47"/>
    </w:p>
    <w:p w14:paraId="23E8D82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cs="宋体"/>
          <w:color w:val="auto"/>
          <w:sz w:val="24"/>
          <w:szCs w:val="24"/>
          <w:lang w:val="en-US" w:eastAsia="zh-CN"/>
        </w:rPr>
        <w:t>相关法律法规</w:t>
      </w:r>
      <w:r>
        <w:rPr>
          <w:rFonts w:hint="eastAsia" w:ascii="宋体" w:hAnsi="宋体" w:eastAsia="宋体" w:cs="宋体"/>
          <w:color w:val="auto"/>
          <w:sz w:val="24"/>
          <w:szCs w:val="24"/>
        </w:rPr>
        <w:t>的规定，采购供应商（投标人，下同）可以依法提起质疑和投诉。</w:t>
      </w:r>
    </w:p>
    <w:p w14:paraId="53075D68">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质疑函范本、投诉书范本请到浙江政府采购网下载专区下载。</w:t>
      </w:r>
    </w:p>
    <w:p w14:paraId="320EC08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.1供应商询问</w:t>
      </w:r>
    </w:p>
    <w:p w14:paraId="076659D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供应商对采购活动事项有疑问的，可以向采购机构提出询问，采购人或者采购代理机构应当在3个工作日内对供应商依法提出的询问作出答复，但答复的内容不得涉及商业秘密。</w:t>
      </w:r>
    </w:p>
    <w:p w14:paraId="57152CD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.2供应商质疑</w:t>
      </w:r>
    </w:p>
    <w:p w14:paraId="587DF191">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.2.1投标人认为采购文件、采购过程、中标或者成交结果使自己的权益受到损害的，可以在知道或者应知其权益受到损害之日起7个工作日内，以书面形式向采购人、采购代理机构提出质疑。</w:t>
      </w:r>
    </w:p>
    <w:p w14:paraId="6650D19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本项目要求投标人在法定质疑期内一次性提出针对同一采购程序环节的质疑。</w:t>
      </w:r>
    </w:p>
    <w:p w14:paraId="6BC4A2D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.2.2提出质疑的投标人（以下简称质疑人）应当是参与所质疑项目采购活动的投标人。</w:t>
      </w:r>
    </w:p>
    <w:p w14:paraId="4DFB87B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潜在投标人已依法获取其可质疑的采购文件的，可以对该文件提出质疑。对采购文件提出质疑的，应当在获取采购文件或者采购文件公告期限届满之日起7个工作日内提出。</w:t>
      </w:r>
    </w:p>
    <w:p w14:paraId="21F3C87F">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.2.3投标人提出质疑应当提交质疑函和必要的证明材料。质疑函应当包括下列内容：</w:t>
      </w:r>
    </w:p>
    <w:p w14:paraId="30887FF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（一）投标人的姓名或者名称、地址、邮编、联系人及联系电话；</w:t>
      </w:r>
    </w:p>
    <w:p w14:paraId="076E49F2">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（二）质疑项目的名称、编号；</w:t>
      </w:r>
    </w:p>
    <w:p w14:paraId="08A6DB90">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（三）具体、明确的质疑事项和与质疑事项相关的请求；</w:t>
      </w:r>
    </w:p>
    <w:p w14:paraId="1E1322A9">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（四）事实依据；</w:t>
      </w:r>
    </w:p>
    <w:p w14:paraId="186C2885">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（五）必要的法律依据；</w:t>
      </w:r>
    </w:p>
    <w:p w14:paraId="46C9D434">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（六）提出质疑的日期。</w:t>
      </w:r>
    </w:p>
    <w:p w14:paraId="469A7C3E">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投标人为自然人的，应当由本人签字；投标人为法人或者其他组织的，应当由法定代表人、主要负责人，或者其授权代表签字或者盖章，并加盖公章。</w:t>
      </w:r>
    </w:p>
    <w:p w14:paraId="352E255A">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.4采购人、采购代理机构在收到法定质疑期内发出的质疑函后7个工作日内作出答复，并以书面形式通知质疑人和其他有关投标人。质疑答复的内容不得涉及商业秘密。</w:t>
      </w:r>
    </w:p>
    <w:p w14:paraId="1F9C3D9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.3供应商投诉</w:t>
      </w:r>
    </w:p>
    <w:p w14:paraId="6EC71E9B">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质疑供应商对采购机构的答复不满意或者采购机构未在规定的时间内作出答复的，可以在答复期满后十五个工作日内向同级采购监督管理部门提出投诉。</w:t>
      </w:r>
    </w:p>
    <w:p w14:paraId="12102693">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.4采购结束</w:t>
      </w:r>
    </w:p>
    <w:p w14:paraId="11CE55EC">
      <w:pPr>
        <w:pageBreakBefore w:val="0"/>
        <w:kinsoku/>
        <w:wordWrap/>
        <w:overflowPunct/>
        <w:topLinePunct w:val="0"/>
        <w:bidi w:val="0"/>
        <w:adjustRightInd/>
        <w:spacing w:line="460" w:lineRule="exact"/>
        <w:ind w:firstLine="42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.4.1</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与采购人签订合同生效后即为采购结束。</w:t>
      </w:r>
    </w:p>
    <w:p w14:paraId="0128E38D">
      <w:pPr>
        <w:pageBreakBefore w:val="0"/>
        <w:kinsoku/>
        <w:wordWrap/>
        <w:overflowPunct/>
        <w:topLinePunct w:val="0"/>
        <w:bidi w:val="0"/>
        <w:adjustRightInd/>
        <w:spacing w:line="460" w:lineRule="exact"/>
        <w:ind w:firstLine="420"/>
        <w:textAlignment w:val="auto"/>
        <w:rPr>
          <w:rFonts w:hint="eastAsia" w:ascii="宋体" w:hAnsi="宋体" w:eastAsia="宋体" w:cs="宋体"/>
          <w:b/>
          <w:color w:val="auto"/>
          <w:sz w:val="24"/>
          <w:szCs w:val="24"/>
          <w:lang w:eastAsia="zh-CN"/>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.4.2本项目的投标文件不予退回。</w:t>
      </w:r>
    </w:p>
    <w:p w14:paraId="2B192A35">
      <w:pPr>
        <w:pageBreakBefore w:val="0"/>
        <w:kinsoku/>
        <w:wordWrap/>
        <w:overflowPunct/>
        <w:topLinePunct w:val="0"/>
        <w:bidi w:val="0"/>
        <w:adjustRightInd/>
        <w:snapToGrid w:val="0"/>
        <w:spacing w:line="460" w:lineRule="exact"/>
        <w:jc w:val="center"/>
        <w:textAlignment w:val="auto"/>
        <w:outlineLvl w:val="1"/>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十一、</w:t>
      </w:r>
      <w:r>
        <w:rPr>
          <w:rFonts w:hint="eastAsia" w:ascii="宋体" w:hAnsi="宋体" w:eastAsia="宋体" w:cs="宋体"/>
          <w:b/>
          <w:color w:val="auto"/>
          <w:sz w:val="32"/>
          <w:szCs w:val="32"/>
        </w:rPr>
        <w:t>电子交易活动的中止</w:t>
      </w:r>
    </w:p>
    <w:p w14:paraId="3F76F580">
      <w:pPr>
        <w:pageBreakBefore w:val="0"/>
        <w:kinsoku/>
        <w:wordWrap/>
        <w:overflowPunct/>
        <w:topLinePunct w:val="0"/>
        <w:bidi w:val="0"/>
        <w:adjustRightInd/>
        <w:snapToGrid w:val="0"/>
        <w:spacing w:line="460" w:lineRule="exact"/>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cs="宋体"/>
          <w:b/>
          <w:color w:val="auto"/>
          <w:sz w:val="24"/>
          <w:szCs w:val="24"/>
          <w:lang w:val="en-US" w:eastAsia="zh-CN"/>
        </w:rPr>
        <w:t>12</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电子交易活动的中止。</w:t>
      </w:r>
    </w:p>
    <w:p w14:paraId="5853A45F">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采购过程中出现以下情形，导致电子交易平台无法正常运行，或者无法保证电子交易的公平、公正和安全时，采购机构可中止电子交易活动：</w:t>
      </w:r>
    </w:p>
    <w:p w14:paraId="744ADC65">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电子交易平台发生故障而无法登录访问的； </w:t>
      </w:r>
    </w:p>
    <w:p w14:paraId="7852A090">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电子交易平台应用或数据库出现错误，不能进行正常操作的；</w:t>
      </w:r>
    </w:p>
    <w:p w14:paraId="573D7456">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电子交易平台发现严重安全漏洞，有潜在泄密危险的；</w:t>
      </w:r>
    </w:p>
    <w:p w14:paraId="398C1E77">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病毒发作导致不能进行正常操作的；</w:t>
      </w:r>
    </w:p>
    <w:p w14:paraId="6E42B8CC">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其他无法保证电子交易的公平、公正和安全的情况。</w:t>
      </w:r>
    </w:p>
    <w:p w14:paraId="09CB815B">
      <w:pPr>
        <w:pageBreakBefore w:val="0"/>
        <w:widowControl/>
        <w:kinsoku/>
        <w:wordWrap/>
        <w:overflowPunct/>
        <w:topLinePunct w:val="0"/>
        <w:bidi w:val="0"/>
        <w:adjustRightInd/>
        <w:snapToGrid w:val="0"/>
        <w:spacing w:line="460" w:lineRule="exact"/>
        <w:jc w:val="left"/>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4EA45A60">
      <w:pPr>
        <w:pageBreakBefore w:val="0"/>
        <w:kinsoku/>
        <w:wordWrap/>
        <w:overflowPunct/>
        <w:topLinePunct w:val="0"/>
        <w:bidi w:val="0"/>
        <w:adjustRightInd/>
        <w:snapToGrid w:val="0"/>
        <w:spacing w:line="460" w:lineRule="exact"/>
        <w:jc w:val="center"/>
        <w:textAlignment w:val="auto"/>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十二、</w:t>
      </w:r>
      <w:r>
        <w:rPr>
          <w:rFonts w:hint="eastAsia" w:ascii="宋体" w:hAnsi="宋体" w:eastAsia="宋体" w:cs="宋体"/>
          <w:b/>
          <w:bCs/>
          <w:color w:val="auto"/>
          <w:sz w:val="32"/>
          <w:szCs w:val="32"/>
        </w:rPr>
        <w:t>验收</w:t>
      </w:r>
    </w:p>
    <w:p w14:paraId="1F8FD76A">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5D2BBE">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.2采购人可以邀请第三方机构参与验收。第三方机构的意见作为验收书的参考资料一并存档。</w:t>
      </w:r>
    </w:p>
    <w:p w14:paraId="1494C0A5">
      <w:pPr>
        <w:pageBreakBefore w:val="0"/>
        <w:kinsoku/>
        <w:wordWrap/>
        <w:overflowPunct/>
        <w:topLinePunct w:val="0"/>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4825AA">
      <w:pPr>
        <w:snapToGrid w:val="0"/>
        <w:spacing w:line="360" w:lineRule="auto"/>
        <w:ind w:firstLine="480" w:firstLineChars="200"/>
        <w:jc w:val="left"/>
        <w:outlineLvl w:val="0"/>
        <w:rPr>
          <w:rFonts w:hint="eastAsia" w:ascii="宋体" w:hAnsi="宋体" w:eastAsia="宋体" w:cs="宋体"/>
          <w:snapToGrid w:val="0"/>
          <w:color w:val="auto"/>
          <w:kern w:val="0"/>
          <w:sz w:val="24"/>
          <w:szCs w:val="24"/>
          <w:highlight w:val="red"/>
          <w:shd w:val="clear" w:fill="F4B083" w:themeFill="accent2" w:themeFillTint="99"/>
        </w:rPr>
      </w:pPr>
      <w:r>
        <w:rPr>
          <w:rFonts w:hint="eastAsia" w:ascii="宋体" w:hAnsi="宋体" w:cs="宋体"/>
          <w:color w:val="auto"/>
          <w:sz w:val="24"/>
          <w:szCs w:val="24"/>
          <w:lang w:val="en-US" w:eastAsia="zh-CN"/>
        </w:rPr>
        <w:t>13</w:t>
      </w:r>
      <w:r>
        <w:rPr>
          <w:rFonts w:hint="eastAsia" w:ascii="宋体" w:hAnsi="宋体" w:eastAsia="宋体" w:cs="宋体"/>
          <w:color w:val="auto"/>
          <w:sz w:val="24"/>
          <w:szCs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48" w:name="_Hlt75236290"/>
      <w:bookmarkEnd w:id="48"/>
      <w:bookmarkStart w:id="49" w:name="_Hlt68057669"/>
      <w:bookmarkEnd w:id="49"/>
      <w:bookmarkStart w:id="50" w:name="_Hlt68072990"/>
      <w:bookmarkEnd w:id="50"/>
      <w:bookmarkStart w:id="51" w:name="_Hlt68403820"/>
      <w:bookmarkEnd w:id="51"/>
      <w:bookmarkStart w:id="52" w:name="_Hlt74730295"/>
      <w:bookmarkEnd w:id="52"/>
      <w:bookmarkStart w:id="53" w:name="_Hlt75236101"/>
      <w:bookmarkEnd w:id="53"/>
      <w:bookmarkStart w:id="54" w:name="_Hlt68073093"/>
      <w:bookmarkEnd w:id="54"/>
      <w:bookmarkStart w:id="55" w:name="_Hlt74707468"/>
      <w:bookmarkEnd w:id="55"/>
      <w:bookmarkStart w:id="56" w:name="_Hlt74729768"/>
      <w:bookmarkEnd w:id="56"/>
      <w:bookmarkStart w:id="57" w:name="_Hlt68072998"/>
      <w:bookmarkEnd w:id="57"/>
      <w:bookmarkStart w:id="58" w:name="_Hlt74714665"/>
      <w:bookmarkEnd w:id="58"/>
      <w:bookmarkStart w:id="59" w:name="_Hlt75236011"/>
      <w:bookmarkEnd w:id="59"/>
      <w:r>
        <w:rPr>
          <w:rFonts w:hint="eastAsia" w:ascii="宋体" w:hAnsi="宋体" w:eastAsia="宋体" w:cs="宋体"/>
          <w:color w:val="auto"/>
          <w:sz w:val="24"/>
          <w:szCs w:val="24"/>
          <w:lang w:val="en-US" w:eastAsia="zh-CN"/>
        </w:rPr>
        <w:t>相关主管部门。</w:t>
      </w:r>
    </w:p>
    <w:p w14:paraId="6BFC6167">
      <w:pPr>
        <w:snapToGrid w:val="0"/>
        <w:spacing w:line="360" w:lineRule="auto"/>
        <w:jc w:val="center"/>
        <w:outlineLvl w:val="0"/>
        <w:rPr>
          <w:rFonts w:hint="eastAsia" w:ascii="宋体" w:hAnsi="宋体" w:eastAsia="宋体" w:cs="宋体"/>
          <w:snapToGrid w:val="0"/>
          <w:color w:val="auto"/>
          <w:kern w:val="0"/>
          <w:sz w:val="24"/>
          <w:szCs w:val="24"/>
          <w:highlight w:val="red"/>
          <w:shd w:val="clear" w:fill="F4B083" w:themeFill="accent2" w:themeFillTint="99"/>
        </w:rPr>
      </w:pPr>
    </w:p>
    <w:p w14:paraId="6FAA06A3">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A311CDC">
      <w:pPr>
        <w:jc w:val="center"/>
        <w:rPr>
          <w:rFonts w:hint="eastAsia" w:ascii="宋体" w:hAnsi="宋体" w:eastAsia="宋体" w:cs="宋体"/>
          <w:b/>
          <w:bCs/>
          <w:color w:val="auto"/>
          <w:sz w:val="32"/>
          <w:szCs w:val="32"/>
          <w:highlight w:val="none"/>
        </w:rPr>
        <w:sectPr>
          <w:headerReference r:id="rId8" w:type="default"/>
          <w:footerReference r:id="rId9" w:type="default"/>
          <w:pgSz w:w="11906" w:h="16838"/>
          <w:pgMar w:top="1417" w:right="1797" w:bottom="1417" w:left="1417" w:header="851" w:footer="851" w:gutter="0"/>
          <w:pgNumType w:fmt="decimal" w:start="1"/>
          <w:cols w:space="720" w:num="1"/>
          <w:docGrid w:linePitch="312" w:charSpace="0"/>
        </w:sectPr>
      </w:pPr>
    </w:p>
    <w:p w14:paraId="2019DA4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 xml:space="preserve">第三章 </w:t>
      </w:r>
      <w:bookmarkEnd w:id="15"/>
      <w:r>
        <w:rPr>
          <w:rFonts w:hint="eastAsia" w:ascii="宋体" w:hAnsi="宋体" w:eastAsia="宋体" w:cs="宋体"/>
          <w:b/>
          <w:bCs/>
          <w:color w:val="auto"/>
          <w:sz w:val="32"/>
          <w:szCs w:val="32"/>
          <w:highlight w:val="none"/>
          <w:lang w:val="en-US" w:eastAsia="zh-CN"/>
        </w:rPr>
        <w:t>采购需求</w:t>
      </w:r>
      <w:bookmarkEnd w:id="16"/>
      <w:bookmarkEnd w:id="17"/>
      <w:bookmarkEnd w:id="18"/>
    </w:p>
    <w:p w14:paraId="3321199A">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1"/>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90E6328">
      <w:pPr>
        <w:keepNext w:val="0"/>
        <w:keepLines w:val="0"/>
        <w:pageBreakBefore w:val="0"/>
        <w:widowControl/>
        <w:kinsoku/>
        <w:wordWrap/>
        <w:overflowPunct/>
        <w:topLinePunct w:val="0"/>
        <w:autoSpaceDE/>
        <w:autoSpaceDN/>
        <w:bidi w:val="0"/>
        <w:spacing w:line="360" w:lineRule="auto"/>
        <w:ind w:firstLine="482" w:firstLineChars="200"/>
        <w:jc w:val="left"/>
        <w:textAlignment w:val="auto"/>
        <w:outlineLvl w:val="1"/>
        <w:rPr>
          <w:rFonts w:hint="eastAsia" w:eastAsia="宋体"/>
          <w:b/>
          <w:bCs/>
          <w:color w:val="auto"/>
          <w:sz w:val="24"/>
          <w:szCs w:val="24"/>
          <w:highlight w:val="none"/>
          <w:lang w:val="en-US" w:eastAsia="zh-CN"/>
        </w:rPr>
      </w:pPr>
      <w:r>
        <w:rPr>
          <w:rFonts w:hint="eastAsia" w:eastAsia="宋体"/>
          <w:b/>
          <w:bCs/>
          <w:color w:val="auto"/>
          <w:sz w:val="24"/>
          <w:szCs w:val="24"/>
          <w:highlight w:val="none"/>
          <w:lang w:val="en-US" w:eastAsia="zh-CN"/>
        </w:rPr>
        <w:t>一、项目概述</w:t>
      </w:r>
    </w:p>
    <w:p w14:paraId="0C35CD1A">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Style w:val="37"/>
          <w:rFonts w:hint="default" w:ascii="宋体" w:hAnsi="宋体"/>
          <w:color w:val="auto"/>
          <w:sz w:val="24"/>
          <w:highlight w:val="none"/>
          <w:lang w:val="en-US" w:eastAsia="zh-CN"/>
        </w:rPr>
      </w:pPr>
      <w:bookmarkStart w:id="60" w:name="_Toc13466"/>
      <w:r>
        <w:rPr>
          <w:rStyle w:val="37"/>
          <w:rFonts w:hint="default" w:ascii="宋体" w:hAnsi="宋体"/>
          <w:color w:val="auto"/>
          <w:sz w:val="24"/>
          <w:highlight w:val="none"/>
          <w:lang w:val="en-US" w:eastAsia="zh-CN"/>
        </w:rPr>
        <w:t>嵊州小吃（越秀路)旗舰店项目—厨房设备采购包括厨房工作台、水池、工作柜、冷藏冷冻</w:t>
      </w:r>
      <w:r>
        <w:rPr>
          <w:rStyle w:val="37"/>
          <w:rFonts w:hint="eastAsia" w:ascii="宋体" w:hAnsi="宋体"/>
          <w:color w:val="auto"/>
          <w:sz w:val="24"/>
          <w:highlight w:val="none"/>
          <w:lang w:val="en-US" w:eastAsia="zh-CN"/>
        </w:rPr>
        <w:t>冰箱</w:t>
      </w:r>
      <w:r>
        <w:rPr>
          <w:rStyle w:val="37"/>
          <w:rFonts w:hint="default" w:ascii="宋体" w:hAnsi="宋体"/>
          <w:color w:val="auto"/>
          <w:sz w:val="24"/>
          <w:highlight w:val="none"/>
          <w:lang w:val="en-US" w:eastAsia="zh-CN"/>
        </w:rPr>
        <w:t>、新风排烟系统等设备的采购及安装。投标报价包括完成所有产品供货及履行所有规定服务所产生的全部费用。产品及服务须达到采购文件规定的质量标准及使用要求。</w:t>
      </w:r>
    </w:p>
    <w:p w14:paraId="6142D2DB">
      <w:pPr>
        <w:numPr>
          <w:ilvl w:val="0"/>
          <w:numId w:val="5"/>
        </w:numPr>
        <w:spacing w:line="360" w:lineRule="auto"/>
        <w:ind w:left="210" w:leftChars="0" w:firstLineChars="0"/>
        <w:rPr>
          <w:rFonts w:hint="eastAsia" w:ascii="宋体" w:hAnsi="宋体" w:cs="宋体"/>
          <w:color w:val="auto"/>
          <w:sz w:val="24"/>
          <w:szCs w:val="24"/>
          <w:lang w:eastAsia="zh-CN"/>
        </w:rPr>
      </w:pPr>
      <w:r>
        <w:rPr>
          <w:rFonts w:hint="eastAsia" w:ascii="宋体" w:hAnsi="宋体" w:cs="宋体"/>
          <w:color w:val="auto"/>
          <w:sz w:val="24"/>
          <w:szCs w:val="24"/>
          <w:lang w:eastAsia="zh-CN"/>
        </w:rPr>
        <w:t>采购货物数量及技术要求：</w:t>
      </w:r>
    </w:p>
    <w:tbl>
      <w:tblPr>
        <w:tblStyle w:val="27"/>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
        <w:gridCol w:w="1269"/>
        <w:gridCol w:w="1800"/>
        <w:gridCol w:w="1650"/>
        <w:gridCol w:w="5987"/>
        <w:gridCol w:w="825"/>
        <w:gridCol w:w="806"/>
        <w:gridCol w:w="732"/>
      </w:tblGrid>
      <w:tr w14:paraId="0481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5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BB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D4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B6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参考图片</w:t>
            </w:r>
          </w:p>
        </w:tc>
        <w:tc>
          <w:tcPr>
            <w:tcW w:w="5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60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56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47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1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备注</w:t>
            </w:r>
          </w:p>
        </w:tc>
      </w:tr>
      <w:tr w14:paraId="2038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139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025C">
            <w:pPr>
              <w:jc w:val="left"/>
              <w:rPr>
                <w:rFonts w:hint="eastAsia" w:ascii="宋体" w:hAnsi="宋体" w:eastAsia="宋体" w:cs="宋体"/>
                <w:b/>
                <w:bCs/>
                <w:i w:val="0"/>
                <w:iCs w:val="0"/>
                <w:color w:val="auto"/>
                <w:sz w:val="13"/>
                <w:szCs w:val="13"/>
                <w:u w:val="none"/>
              </w:rPr>
            </w:pPr>
            <w:r>
              <w:rPr>
                <w:rFonts w:hint="eastAsia" w:ascii="宋体" w:hAnsi="宋体" w:eastAsia="宋体" w:cs="宋体"/>
                <w:b/>
                <w:bCs/>
                <w:i w:val="0"/>
                <w:iCs w:val="0"/>
                <w:color w:val="auto"/>
                <w:kern w:val="0"/>
                <w:sz w:val="28"/>
                <w:szCs w:val="28"/>
                <w:u w:val="none"/>
                <w:lang w:val="en-US" w:eastAsia="zh-CN" w:bidi="ar"/>
              </w:rPr>
              <w:t>一层厨房</w:t>
            </w:r>
          </w:p>
        </w:tc>
      </w:tr>
      <w:tr w14:paraId="3044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350" w:type="dxa"/>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0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A面档</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C4A9">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F627">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7BE0">
            <w:pPr>
              <w:jc w:val="center"/>
              <w:rPr>
                <w:rFonts w:hint="eastAsia" w:ascii="宋体" w:hAnsi="宋体" w:eastAsia="宋体" w:cs="宋体"/>
                <w:i w:val="0"/>
                <w:iCs w:val="0"/>
                <w:color w:val="000000"/>
                <w:sz w:val="20"/>
                <w:szCs w:val="20"/>
                <w:u w:val="none"/>
              </w:rPr>
            </w:pPr>
          </w:p>
        </w:tc>
      </w:tr>
      <w:tr w14:paraId="2AB8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7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单星盆柜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2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66675</wp:posOffset>
                  </wp:positionV>
                  <wp:extent cx="518160" cy="799465"/>
                  <wp:effectExtent l="0" t="0" r="15240" b="635"/>
                  <wp:wrapNone/>
                  <wp:docPr id="24" name="Picture_2"/>
                  <wp:cNvGraphicFramePr/>
                  <a:graphic xmlns:a="http://schemas.openxmlformats.org/drawingml/2006/main">
                    <a:graphicData uri="http://schemas.openxmlformats.org/drawingml/2006/picture">
                      <pic:pic xmlns:pic="http://schemas.openxmlformats.org/drawingml/2006/picture">
                        <pic:nvPicPr>
                          <pic:cNvPr id="24" name="Picture_2"/>
                          <pic:cNvPicPr/>
                        </pic:nvPicPr>
                        <pic:blipFill>
                          <a:blip r:embed="rId13"/>
                          <a:stretch>
                            <a:fillRect/>
                          </a:stretch>
                        </pic:blipFill>
                        <pic:spPr>
                          <a:xfrm>
                            <a:off x="0" y="0"/>
                            <a:ext cx="518160" cy="79946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—采用SUS304-2B不锈钢板制造—台面板厚1.2㎜,水斗板厚1.0mm—配2″去水—水斗一体冲压规格：400*400*280—门外板厚1.0㎜—侧板、后背板0.8mm，门内复板0.8mm—配φ50不锈钢重力脚^^—201不锈钢厚3mm加强型底部三角板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9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9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7EAF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0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205105</wp:posOffset>
                  </wp:positionH>
                  <wp:positionV relativeFrom="paragraph">
                    <wp:posOffset>193675</wp:posOffset>
                  </wp:positionV>
                  <wp:extent cx="419100" cy="317500"/>
                  <wp:effectExtent l="0" t="0" r="0" b="6350"/>
                  <wp:wrapNone/>
                  <wp:docPr id="27" name="Picture_3"/>
                  <wp:cNvGraphicFramePr/>
                  <a:graphic xmlns:a="http://schemas.openxmlformats.org/drawingml/2006/main">
                    <a:graphicData uri="http://schemas.openxmlformats.org/drawingml/2006/picture">
                      <pic:pic xmlns:pic="http://schemas.openxmlformats.org/drawingml/2006/picture">
                        <pic:nvPicPr>
                          <pic:cNvPr id="27" name="Picture_3"/>
                          <pic:cNvPicPr/>
                        </pic:nvPicPr>
                        <pic:blipFill>
                          <a:blip r:embed="rId14"/>
                          <a:stretch>
                            <a:fillRect/>
                          </a:stretch>
                        </pic:blipFill>
                        <pic:spPr>
                          <a:xfrm>
                            <a:off x="0" y="0"/>
                            <a:ext cx="419100" cy="3175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E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F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FB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E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F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9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D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24130</wp:posOffset>
                  </wp:positionH>
                  <wp:positionV relativeFrom="paragraph">
                    <wp:posOffset>28575</wp:posOffset>
                  </wp:positionV>
                  <wp:extent cx="838200" cy="479425"/>
                  <wp:effectExtent l="0" t="0" r="0" b="15875"/>
                  <wp:wrapNone/>
                  <wp:docPr id="28" name="Picture_3_SpCnt_1"/>
                  <wp:cNvGraphicFramePr/>
                  <a:graphic xmlns:a="http://schemas.openxmlformats.org/drawingml/2006/main">
                    <a:graphicData uri="http://schemas.openxmlformats.org/drawingml/2006/picture">
                      <pic:pic xmlns:pic="http://schemas.openxmlformats.org/drawingml/2006/picture">
                        <pic:nvPicPr>
                          <pic:cNvPr id="28" name="Picture_3_SpCnt_1"/>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6、冰箱配备了门体自动关闭结构，方便客户操作。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1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CC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7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5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5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3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7" name="Picture_4"/>
                  <wp:cNvGraphicFramePr/>
                  <a:graphic xmlns:a="http://schemas.openxmlformats.org/drawingml/2006/main">
                    <a:graphicData uri="http://schemas.openxmlformats.org/drawingml/2006/picture">
                      <pic:pic xmlns:pic="http://schemas.openxmlformats.org/drawingml/2006/picture">
                        <pic:nvPicPr>
                          <pic:cNvPr id="7" name="Picture_4"/>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C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A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4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5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71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3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4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2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266700</wp:posOffset>
                  </wp:positionV>
                  <wp:extent cx="838200" cy="437515"/>
                  <wp:effectExtent l="0" t="0" r="0" b="635"/>
                  <wp:wrapNone/>
                  <wp:docPr id="20" name="Picture_5"/>
                  <wp:cNvGraphicFramePr/>
                  <a:graphic xmlns:a="http://schemas.openxmlformats.org/drawingml/2006/main">
                    <a:graphicData uri="http://schemas.openxmlformats.org/drawingml/2006/picture">
                      <pic:pic xmlns:pic="http://schemas.openxmlformats.org/drawingml/2006/picture">
                        <pic:nvPicPr>
                          <pic:cNvPr id="20" name="Picture_5"/>
                          <pic:cNvPicPr/>
                        </pic:nvPicPr>
                        <pic:blipFill>
                          <a:blip r:embed="rId17"/>
                          <a:stretch>
                            <a:fillRect/>
                          </a:stretch>
                        </pic:blipFill>
                        <pic:spPr>
                          <a:xfrm>
                            <a:off x="0" y="0"/>
                            <a:ext cx="838200" cy="4375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7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2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3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AE8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节能煮面桶(电热100L)</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约560*560*870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247650</wp:posOffset>
                  </wp:positionH>
                  <wp:positionV relativeFrom="paragraph">
                    <wp:posOffset>66675</wp:posOffset>
                  </wp:positionV>
                  <wp:extent cx="526415" cy="676910"/>
                  <wp:effectExtent l="0" t="0" r="6985" b="8890"/>
                  <wp:wrapNone/>
                  <wp:docPr id="23" name="Picture_6"/>
                  <wp:cNvGraphicFramePr/>
                  <a:graphic xmlns:a="http://schemas.openxmlformats.org/drawingml/2006/main">
                    <a:graphicData uri="http://schemas.openxmlformats.org/drawingml/2006/picture">
                      <pic:pic xmlns:pic="http://schemas.openxmlformats.org/drawingml/2006/picture">
                        <pic:nvPicPr>
                          <pic:cNvPr id="23" name="Picture_6"/>
                          <pic:cNvPicPr/>
                        </pic:nvPicPr>
                        <pic:blipFill>
                          <a:blip r:embed="rId18"/>
                          <a:stretch>
                            <a:fillRect/>
                          </a:stretch>
                        </pic:blipFill>
                        <pic:spPr>
                          <a:xfrm>
                            <a:off x="0" y="0"/>
                            <a:ext cx="526415" cy="6769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额定功率9000W 额定电压/频率380v-50Hz  容量100L  开水时间50分钟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4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20C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8D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D7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电饭煲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116D">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6L</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2814">
            <w:pPr>
              <w:jc w:val="center"/>
              <w:rPr>
                <w:rFonts w:hint="eastAsia" w:ascii="宋体" w:hAnsi="宋体" w:eastAsia="宋体" w:cs="宋体"/>
                <w:i w:val="0"/>
                <w:iCs w:val="0"/>
                <w:color w:val="auto"/>
                <w:sz w:val="20"/>
                <w:szCs w:val="20"/>
                <w:highlight w:val="none"/>
                <w:u w:val="none"/>
                <w:lang w:eastAsia="zh-CN"/>
              </w:rPr>
            </w:pPr>
            <w:r>
              <w:rPr>
                <w:rFonts w:hint="eastAsia" w:ascii="宋体" w:hAnsi="宋体" w:eastAsia="宋体" w:cs="宋体"/>
                <w:i w:val="0"/>
                <w:iCs w:val="0"/>
                <w:color w:val="auto"/>
                <w:sz w:val="20"/>
                <w:szCs w:val="20"/>
                <w:highlight w:val="none"/>
                <w:u w:val="none"/>
                <w:lang w:eastAsia="zh-CN"/>
              </w:rPr>
              <w:drawing>
                <wp:inline distT="0" distB="0" distL="114300" distR="114300">
                  <wp:extent cx="909955" cy="701675"/>
                  <wp:effectExtent l="0" t="0" r="4445" b="3175"/>
                  <wp:docPr id="113" name="图片 113" descr="173399046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1733990462533"/>
                          <pic:cNvPicPr>
                            <a:picLocks noChangeAspect="1"/>
                          </pic:cNvPicPr>
                        </pic:nvPicPr>
                        <pic:blipFill>
                          <a:blip r:embed="rId19"/>
                          <a:stretch>
                            <a:fillRect/>
                          </a:stretch>
                        </pic:blipFill>
                        <pic:spPr>
                          <a:xfrm>
                            <a:off x="0" y="0"/>
                            <a:ext cx="909955" cy="701675"/>
                          </a:xfrm>
                          <a:prstGeom prst="rect">
                            <a:avLst/>
                          </a:prstGeom>
                        </pic:spPr>
                      </pic:pic>
                    </a:graphicData>
                  </a:graphic>
                </wp:inline>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0B7B">
            <w:pPr>
              <w:rPr>
                <w:rFonts w:hint="default"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锅身和上盖加有保温带加热，立体加热 </w:t>
            </w:r>
            <w:r>
              <w:rPr>
                <w:rFonts w:hint="default" w:ascii="Arial" w:hAnsi="Arial" w:eastAsia="宋体" w:cs="Arial"/>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3cm隔热层立体加热保温，全钢锅体，铝合金导热层，一键式开关，煮好后自送转入保温状态</w:t>
            </w:r>
            <w:r>
              <w:rPr>
                <w:rFonts w:hint="eastAsia" w:ascii="宋体" w:hAnsi="宋体" w:cs="宋体"/>
                <w:i w:val="0"/>
                <w:iCs w:val="0"/>
                <w:color w:val="auto"/>
                <w:kern w:val="0"/>
                <w:sz w:val="20"/>
                <w:szCs w:val="20"/>
                <w:highlight w:val="none"/>
                <w:u w:val="none"/>
                <w:lang w:val="en-US" w:eastAsia="zh-CN" w:bidi="ar"/>
              </w:rPr>
              <w:t>，功率：</w:t>
            </w:r>
            <w:r>
              <w:rPr>
                <w:rFonts w:hint="default" w:ascii="Arial" w:hAnsi="Arial" w:cs="Arial"/>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550w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6D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99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8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r w14:paraId="1CF8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B鸡柳区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1D9B">
            <w:pPr>
              <w:jc w:val="center"/>
              <w:rPr>
                <w:rFonts w:hint="eastAsia" w:ascii="宋体" w:hAnsi="宋体" w:eastAsia="宋体" w:cs="宋体"/>
                <w:i w:val="0"/>
                <w:iCs w:val="0"/>
                <w:color w:val="auto"/>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0B23">
            <w:pPr>
              <w:jc w:val="center"/>
              <w:rPr>
                <w:rFonts w:hint="eastAsia" w:ascii="宋体" w:hAnsi="宋体" w:eastAsia="宋体" w:cs="宋体"/>
                <w:i w:val="0"/>
                <w:iCs w:val="0"/>
                <w:color w:val="auto"/>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43E7">
            <w:pPr>
              <w:jc w:val="center"/>
              <w:rPr>
                <w:rFonts w:hint="eastAsia" w:ascii="宋体" w:hAnsi="宋体" w:eastAsia="宋体" w:cs="宋体"/>
                <w:i w:val="0"/>
                <w:iCs w:val="0"/>
                <w:color w:val="auto"/>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F1C2">
            <w:pPr>
              <w:jc w:val="left"/>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B108">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775">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583E">
            <w:pPr>
              <w:jc w:val="center"/>
              <w:rPr>
                <w:rFonts w:hint="eastAsia" w:ascii="宋体" w:hAnsi="宋体" w:eastAsia="宋体" w:cs="宋体"/>
                <w:i w:val="0"/>
                <w:iCs w:val="0"/>
                <w:color w:val="000000"/>
                <w:sz w:val="20"/>
                <w:szCs w:val="20"/>
                <w:u w:val="none"/>
              </w:rPr>
            </w:pPr>
          </w:p>
        </w:tc>
      </w:tr>
      <w:tr w14:paraId="38E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7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单星盆柜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4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8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66675</wp:posOffset>
                  </wp:positionV>
                  <wp:extent cx="518160" cy="805815"/>
                  <wp:effectExtent l="0" t="0" r="15240" b="13335"/>
                  <wp:wrapNone/>
                  <wp:docPr id="29" name="Picture_7"/>
                  <wp:cNvGraphicFramePr/>
                  <a:graphic xmlns:a="http://schemas.openxmlformats.org/drawingml/2006/main">
                    <a:graphicData uri="http://schemas.openxmlformats.org/drawingml/2006/picture">
                      <pic:pic xmlns:pic="http://schemas.openxmlformats.org/drawingml/2006/picture">
                        <pic:nvPicPr>
                          <pic:cNvPr id="29" name="Picture_7"/>
                          <pic:cNvPicPr/>
                        </pic:nvPicPr>
                        <pic:blipFill>
                          <a:blip r:embed="rId20"/>
                          <a:stretch>
                            <a:fillRect/>
                          </a:stretch>
                        </pic:blipFill>
                        <pic:spPr>
                          <a:xfrm>
                            <a:off x="0" y="0"/>
                            <a:ext cx="51816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—采用SUS304-2B不锈钢板制造—台面板厚1.2㎜,水斗板厚1.0mm—配2″去水—水斗一体冲压规格：400*400*280—门外板厚1.0㎜—侧板、后背板0.8mm，门内复板0.8mm—配φ50不锈钢重力脚^^—201不锈钢厚3mm加强型底部三角板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E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0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8AB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4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E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223520</wp:posOffset>
                  </wp:positionH>
                  <wp:positionV relativeFrom="paragraph">
                    <wp:posOffset>-61595</wp:posOffset>
                  </wp:positionV>
                  <wp:extent cx="419100" cy="317500"/>
                  <wp:effectExtent l="0" t="0" r="0" b="6350"/>
                  <wp:wrapNone/>
                  <wp:docPr id="8" name="Picture_3_SpCnt_2"/>
                  <wp:cNvGraphicFramePr/>
                  <a:graphic xmlns:a="http://schemas.openxmlformats.org/drawingml/2006/main">
                    <a:graphicData uri="http://schemas.openxmlformats.org/drawingml/2006/picture">
                      <pic:pic xmlns:pic="http://schemas.openxmlformats.org/drawingml/2006/picture">
                        <pic:nvPicPr>
                          <pic:cNvPr id="8" name="Picture_3_SpCnt_2"/>
                          <pic:cNvPicPr/>
                        </pic:nvPicPr>
                        <pic:blipFill>
                          <a:blip r:embed="rId14"/>
                          <a:stretch>
                            <a:fillRect/>
                          </a:stretch>
                        </pic:blipFill>
                        <pic:spPr>
                          <a:xfrm>
                            <a:off x="0" y="0"/>
                            <a:ext cx="419100" cy="3175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3B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B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D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B9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7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20320</wp:posOffset>
                  </wp:positionH>
                  <wp:positionV relativeFrom="paragraph">
                    <wp:posOffset>215900</wp:posOffset>
                  </wp:positionV>
                  <wp:extent cx="838200" cy="479425"/>
                  <wp:effectExtent l="0" t="0" r="0" b="15875"/>
                  <wp:wrapNone/>
                  <wp:docPr id="22" name="Picture_8"/>
                  <wp:cNvGraphicFramePr/>
                  <a:graphic xmlns:a="http://schemas.openxmlformats.org/drawingml/2006/main">
                    <a:graphicData uri="http://schemas.openxmlformats.org/drawingml/2006/picture">
                      <pic:pic xmlns:pic="http://schemas.openxmlformats.org/drawingml/2006/picture">
                        <pic:nvPicPr>
                          <pic:cNvPr id="22" name="Picture_8"/>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6、冰箱配备了门体自动关闭结构，方便客户操作。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2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F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80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C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3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26" name="Picture_9"/>
                  <wp:cNvGraphicFramePr/>
                  <a:graphic xmlns:a="http://schemas.openxmlformats.org/drawingml/2006/main">
                    <a:graphicData uri="http://schemas.openxmlformats.org/drawingml/2006/picture">
                      <pic:pic xmlns:pic="http://schemas.openxmlformats.org/drawingml/2006/picture">
                        <pic:nvPicPr>
                          <pic:cNvPr id="26" name="Picture_9"/>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8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B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B1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6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约800*660*1000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66675</wp:posOffset>
                  </wp:positionV>
                  <wp:extent cx="690880" cy="695325"/>
                  <wp:effectExtent l="0" t="0" r="13970" b="9525"/>
                  <wp:wrapNone/>
                  <wp:docPr id="21" name="Picture_10"/>
                  <wp:cNvGraphicFramePr/>
                  <a:graphic xmlns:a="http://schemas.openxmlformats.org/drawingml/2006/main">
                    <a:graphicData uri="http://schemas.openxmlformats.org/drawingml/2006/picture">
                      <pic:pic xmlns:pic="http://schemas.openxmlformats.org/drawingml/2006/picture">
                        <pic:nvPicPr>
                          <pic:cNvPr id="21" name="Picture_10"/>
                          <pic:cNvPicPr/>
                        </pic:nvPicPr>
                        <pic:blipFill>
                          <a:blip r:embed="rId21"/>
                          <a:stretch>
                            <a:fillRect/>
                          </a:stretch>
                        </pic:blipFill>
                        <pic:spPr>
                          <a:xfrm>
                            <a:off x="0" y="0"/>
                            <a:ext cx="690880" cy="6953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A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容量：约40公升 功率/电压：6.2KW/380V  油槽尺寸：630(L)×410(W)×160(H)mm 温度范围：30～300°C  标配： 不锈钢底网，温度开关，防尘盖 泄油阀，滤油网，盛油桶。超大功率，恆温操作，配备加热管，温控系统，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B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D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F04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F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8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266700</wp:posOffset>
                  </wp:positionV>
                  <wp:extent cx="838200" cy="437515"/>
                  <wp:effectExtent l="0" t="0" r="0" b="635"/>
                  <wp:wrapNone/>
                  <wp:docPr id="9" name="Picture_11"/>
                  <wp:cNvGraphicFramePr/>
                  <a:graphic xmlns:a="http://schemas.openxmlformats.org/drawingml/2006/main">
                    <a:graphicData uri="http://schemas.openxmlformats.org/drawingml/2006/picture">
                      <pic:pic xmlns:pic="http://schemas.openxmlformats.org/drawingml/2006/picture">
                        <pic:nvPicPr>
                          <pic:cNvPr id="9" name="Picture_11"/>
                          <pic:cNvPicPr/>
                        </pic:nvPicPr>
                        <pic:blipFill>
                          <a:blip r:embed="rId17"/>
                          <a:stretch>
                            <a:fillRect/>
                          </a:stretch>
                        </pic:blipFill>
                        <pic:spPr>
                          <a:xfrm>
                            <a:off x="0" y="0"/>
                            <a:ext cx="838200" cy="4375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4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D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B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C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DD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A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油烟净化一体机(明档静电款）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5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约1500*1200*1000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9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45085</wp:posOffset>
                  </wp:positionH>
                  <wp:positionV relativeFrom="paragraph">
                    <wp:posOffset>258445</wp:posOffset>
                  </wp:positionV>
                  <wp:extent cx="838200" cy="575310"/>
                  <wp:effectExtent l="0" t="0" r="0" b="15240"/>
                  <wp:wrapNone/>
                  <wp:docPr id="30" name="Picture_12"/>
                  <wp:cNvGraphicFramePr/>
                  <a:graphic xmlns:a="http://schemas.openxmlformats.org/drawingml/2006/main">
                    <a:graphicData uri="http://schemas.openxmlformats.org/drawingml/2006/picture">
                      <pic:pic xmlns:pic="http://schemas.openxmlformats.org/drawingml/2006/picture">
                        <pic:nvPicPr>
                          <pic:cNvPr id="30" name="Picture_12"/>
                          <pic:cNvPicPr/>
                        </pic:nvPicPr>
                        <pic:blipFill>
                          <a:blip r:embed="rId22"/>
                          <a:stretch>
                            <a:fillRect/>
                          </a:stretch>
                        </pic:blipFill>
                        <pic:spPr>
                          <a:xfrm>
                            <a:off x="0" y="0"/>
                            <a:ext cx="838200" cy="5753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B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D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9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59DC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C生煎包、砂锅区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D115">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1C39">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875">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F883">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F2FC">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843">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2A77">
            <w:pPr>
              <w:jc w:val="center"/>
              <w:rPr>
                <w:rFonts w:hint="eastAsia" w:ascii="宋体" w:hAnsi="宋体" w:eastAsia="宋体" w:cs="宋体"/>
                <w:i w:val="0"/>
                <w:iCs w:val="0"/>
                <w:color w:val="000000"/>
                <w:sz w:val="20"/>
                <w:szCs w:val="20"/>
                <w:u w:val="none"/>
              </w:rPr>
            </w:pPr>
          </w:p>
        </w:tc>
      </w:tr>
      <w:tr w14:paraId="7201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D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6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单星盆柜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B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66675</wp:posOffset>
                  </wp:positionV>
                  <wp:extent cx="518160" cy="805815"/>
                  <wp:effectExtent l="0" t="0" r="15240" b="13335"/>
                  <wp:wrapNone/>
                  <wp:docPr id="25" name="Picture_13"/>
                  <wp:cNvGraphicFramePr/>
                  <a:graphic xmlns:a="http://schemas.openxmlformats.org/drawingml/2006/main">
                    <a:graphicData uri="http://schemas.openxmlformats.org/drawingml/2006/picture">
                      <pic:pic xmlns:pic="http://schemas.openxmlformats.org/drawingml/2006/picture">
                        <pic:nvPicPr>
                          <pic:cNvPr id="25" name="Picture_13"/>
                          <pic:cNvPicPr/>
                        </pic:nvPicPr>
                        <pic:blipFill>
                          <a:blip r:embed="rId20"/>
                          <a:stretch>
                            <a:fillRect/>
                          </a:stretch>
                        </pic:blipFill>
                        <pic:spPr>
                          <a:xfrm>
                            <a:off x="0" y="0"/>
                            <a:ext cx="51816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0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—采用SUS304-2B不锈钢板制造—台面板厚1.2㎜,水斗板厚1.0mm—配2″去水—水斗一体冲压规格：400*400*280—门外板厚1.0㎜—侧板、后背板0.8mm，门内复板0.8mm—配φ50不锈钢重力脚^^—201不锈钢厚3mm加强型底部三角板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6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C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29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C01a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E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317500</wp:posOffset>
                  </wp:positionH>
                  <wp:positionV relativeFrom="paragraph">
                    <wp:posOffset>444500</wp:posOffset>
                  </wp:positionV>
                  <wp:extent cx="419100" cy="330835"/>
                  <wp:effectExtent l="0" t="0" r="0" b="12065"/>
                  <wp:wrapNone/>
                  <wp:docPr id="4" name="Picture_3_SpCnt_3"/>
                  <wp:cNvGraphicFramePr/>
                  <a:graphic xmlns:a="http://schemas.openxmlformats.org/drawingml/2006/main">
                    <a:graphicData uri="http://schemas.openxmlformats.org/drawingml/2006/picture">
                      <pic:pic xmlns:pic="http://schemas.openxmlformats.org/drawingml/2006/picture">
                        <pic:nvPicPr>
                          <pic:cNvPr id="4" name="Picture_3_SpCnt_3"/>
                          <pic:cNvPicPr/>
                        </pic:nvPicPr>
                        <pic:blipFill>
                          <a:blip r:embed="rId23"/>
                          <a:stretch>
                            <a:fillRect/>
                          </a:stretch>
                        </pic:blipFill>
                        <pic:spPr>
                          <a:xfrm>
                            <a:off x="0" y="0"/>
                            <a:ext cx="419100" cy="33083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C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C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8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E3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A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A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D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304800</wp:posOffset>
                  </wp:positionV>
                  <wp:extent cx="838200" cy="479425"/>
                  <wp:effectExtent l="0" t="0" r="0" b="15875"/>
                  <wp:wrapNone/>
                  <wp:docPr id="3" name="Picture_14"/>
                  <wp:cNvGraphicFramePr/>
                  <a:graphic xmlns:a="http://schemas.openxmlformats.org/drawingml/2006/main">
                    <a:graphicData uri="http://schemas.openxmlformats.org/drawingml/2006/picture">
                      <pic:pic xmlns:pic="http://schemas.openxmlformats.org/drawingml/2006/picture">
                        <pic:nvPicPr>
                          <pic:cNvPr id="3" name="Picture_14"/>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0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6、冰箱配备了门体自动关闭结构，方便客户操作。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A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5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B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E50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2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A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A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31" name="Picture_15"/>
                  <wp:cNvGraphicFramePr/>
                  <a:graphic xmlns:a="http://schemas.openxmlformats.org/drawingml/2006/main">
                    <a:graphicData uri="http://schemas.openxmlformats.org/drawingml/2006/picture">
                      <pic:pic xmlns:pic="http://schemas.openxmlformats.org/drawingml/2006/picture">
                        <pic:nvPicPr>
                          <pic:cNvPr id="31" name="Picture_15"/>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A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3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CD9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5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4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E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3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266700</wp:posOffset>
                  </wp:positionV>
                  <wp:extent cx="838200" cy="440055"/>
                  <wp:effectExtent l="0" t="0" r="0" b="17145"/>
                  <wp:wrapNone/>
                  <wp:docPr id="32" name="Picture_16"/>
                  <wp:cNvGraphicFramePr/>
                  <a:graphic xmlns:a="http://schemas.openxmlformats.org/drawingml/2006/main">
                    <a:graphicData uri="http://schemas.openxmlformats.org/drawingml/2006/picture">
                      <pic:pic xmlns:pic="http://schemas.openxmlformats.org/drawingml/2006/picture">
                        <pic:nvPicPr>
                          <pic:cNvPr id="32" name="Picture_16"/>
                          <pic:cNvPicPr/>
                        </pic:nvPicPr>
                        <pic:blipFill>
                          <a:blip r:embed="rId24"/>
                          <a:stretch>
                            <a:fillRect/>
                          </a:stretch>
                        </pic:blipFill>
                        <pic:spPr>
                          <a:xfrm>
                            <a:off x="0" y="0"/>
                            <a:ext cx="838200" cy="44005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D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6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4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B47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1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3.5KW立式四头煲仔炉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约700*750*800+30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1DE4">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1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 3.5KW*4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3、面板采用优质SUS304</w:t>
            </w:r>
            <w:r>
              <w:rPr>
                <w:rFonts w:hint="eastAsia" w:ascii="宋体" w:hAnsi="宋体" w:eastAsia="宋体" w:cs="宋体"/>
                <w:i w:val="0"/>
                <w:iCs w:val="0"/>
                <w:color w:val="auto"/>
                <w:kern w:val="0"/>
                <w:sz w:val="20"/>
                <w:szCs w:val="20"/>
                <w:u w:val="none"/>
                <w:lang w:val="en-US" w:eastAsia="zh-CN" w:bidi="ar"/>
              </w:rPr>
              <w:t>不锈钢板，实厚1.25mm，侧板201,实厚1.0。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4、耐用方便的9档磁控旋纽火力调节器。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5、带定时功能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6、带4个时间记忆快捷键，可以通过编程方式分别定义4个时间记忆快捷键，便于一键定时，快捷烹饪。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1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0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A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01E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4"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F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C07</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D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油烟净化一体机(明档静电款）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约1800*1200*1000</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D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1234440</wp:posOffset>
                  </wp:positionV>
                  <wp:extent cx="838200" cy="575310"/>
                  <wp:effectExtent l="0" t="0" r="0" b="15240"/>
                  <wp:wrapNone/>
                  <wp:docPr id="33" name="Picture_18"/>
                  <wp:cNvGraphicFramePr/>
                  <a:graphic xmlns:a="http://schemas.openxmlformats.org/drawingml/2006/main">
                    <a:graphicData uri="http://schemas.openxmlformats.org/drawingml/2006/picture">
                      <pic:pic xmlns:pic="http://schemas.openxmlformats.org/drawingml/2006/picture">
                        <pic:nvPicPr>
                          <pic:cNvPr id="33" name="Picture_18"/>
                          <pic:cNvPicPr/>
                        </pic:nvPicPr>
                        <pic:blipFill>
                          <a:blip r:embed="rId22"/>
                          <a:stretch>
                            <a:fillRect/>
                          </a:stretch>
                        </pic:blipFill>
                        <pic:spPr>
                          <a:xfrm>
                            <a:off x="0" y="0"/>
                            <a:ext cx="838200" cy="5753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E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B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498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A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E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266700</wp:posOffset>
                  </wp:positionV>
                  <wp:extent cx="838200" cy="440055"/>
                  <wp:effectExtent l="0" t="0" r="0" b="17145"/>
                  <wp:wrapNone/>
                  <wp:docPr id="34" name="Picture_19"/>
                  <wp:cNvGraphicFramePr/>
                  <a:graphic xmlns:a="http://schemas.openxmlformats.org/drawingml/2006/main">
                    <a:graphicData uri="http://schemas.openxmlformats.org/drawingml/2006/picture">
                      <pic:pic xmlns:pic="http://schemas.openxmlformats.org/drawingml/2006/picture">
                        <pic:nvPicPr>
                          <pic:cNvPr id="34" name="Picture_19"/>
                          <pic:cNvPicPr/>
                        </pic:nvPicPr>
                        <pic:blipFill>
                          <a:blip r:embed="rId24"/>
                          <a:stretch>
                            <a:fillRect/>
                          </a:stretch>
                        </pic:blipFill>
                        <pic:spPr>
                          <a:xfrm>
                            <a:off x="0" y="0"/>
                            <a:ext cx="838200" cy="44005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F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E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4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D28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5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D小笼包区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762">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9A73">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CBD">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CCC">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1AD4">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507">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5781">
            <w:pPr>
              <w:jc w:val="center"/>
              <w:rPr>
                <w:rFonts w:hint="eastAsia" w:ascii="宋体" w:hAnsi="宋体" w:eastAsia="宋体" w:cs="宋体"/>
                <w:i w:val="0"/>
                <w:iCs w:val="0"/>
                <w:color w:val="000000"/>
                <w:sz w:val="20"/>
                <w:szCs w:val="20"/>
                <w:u w:val="none"/>
              </w:rPr>
            </w:pPr>
          </w:p>
        </w:tc>
      </w:tr>
      <w:tr w14:paraId="7A8A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E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约620*630*1000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C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44450</wp:posOffset>
                  </wp:positionH>
                  <wp:positionV relativeFrom="paragraph">
                    <wp:posOffset>146050</wp:posOffset>
                  </wp:positionV>
                  <wp:extent cx="690880" cy="542925"/>
                  <wp:effectExtent l="0" t="0" r="13970" b="9525"/>
                  <wp:wrapNone/>
                  <wp:docPr id="35" name="Picture_20"/>
                  <wp:cNvGraphicFramePr/>
                  <a:graphic xmlns:a="http://schemas.openxmlformats.org/drawingml/2006/main">
                    <a:graphicData uri="http://schemas.openxmlformats.org/drawingml/2006/picture">
                      <pic:pic xmlns:pic="http://schemas.openxmlformats.org/drawingml/2006/picture">
                        <pic:nvPicPr>
                          <pic:cNvPr id="35" name="Picture_20"/>
                          <pic:cNvPicPr/>
                        </pic:nvPicPr>
                        <pic:blipFill>
                          <a:blip r:embed="rId25"/>
                          <a:stretch>
                            <a:fillRect/>
                          </a:stretch>
                        </pic:blipFill>
                        <pic:spPr>
                          <a:xfrm>
                            <a:off x="0" y="0"/>
                            <a:ext cx="690880" cy="5429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D20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额定电压：380V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电机功率:1 1/2P</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料桶容积：约35L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最大和面量:含水量47-50%：4.5KG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搅拌速度：80/160/388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2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A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2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28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8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商用豆浆机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约360*345*590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2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171450</wp:posOffset>
                  </wp:positionH>
                  <wp:positionV relativeFrom="paragraph">
                    <wp:posOffset>66675</wp:posOffset>
                  </wp:positionV>
                  <wp:extent cx="728980" cy="805815"/>
                  <wp:effectExtent l="0" t="0" r="13970" b="13335"/>
                  <wp:wrapNone/>
                  <wp:docPr id="41" name="Picture_21"/>
                  <wp:cNvGraphicFramePr/>
                  <a:graphic xmlns:a="http://schemas.openxmlformats.org/drawingml/2006/main">
                    <a:graphicData uri="http://schemas.openxmlformats.org/drawingml/2006/picture">
                      <pic:pic xmlns:pic="http://schemas.openxmlformats.org/drawingml/2006/picture">
                        <pic:nvPicPr>
                          <pic:cNvPr id="41" name="Picture_21"/>
                          <pic:cNvPicPr/>
                        </pic:nvPicPr>
                        <pic:blipFill>
                          <a:blip r:embed="rId26"/>
                          <a:stretch>
                            <a:fillRect/>
                          </a:stretch>
                        </pic:blipFill>
                        <pic:spPr>
                          <a:xfrm>
                            <a:off x="0" y="0"/>
                            <a:ext cx="72898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B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额定电压：220V；额定频率：50HZ;电机功率：1000W；加热功率：2000w；生产容量：12-15升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C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8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C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5E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6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落地柜式洗手单星盆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2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432*420*800/900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0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66675</wp:posOffset>
                  </wp:positionV>
                  <wp:extent cx="761365" cy="805815"/>
                  <wp:effectExtent l="0" t="0" r="635" b="13335"/>
                  <wp:wrapNone/>
                  <wp:docPr id="42" name="Picture_22"/>
                  <wp:cNvGraphicFramePr/>
                  <a:graphic xmlns:a="http://schemas.openxmlformats.org/drawingml/2006/main">
                    <a:graphicData uri="http://schemas.openxmlformats.org/drawingml/2006/picture">
                      <pic:pic xmlns:pic="http://schemas.openxmlformats.org/drawingml/2006/picture">
                        <pic:nvPicPr>
                          <pic:cNvPr id="42" name="Picture_22"/>
                          <pic:cNvPicPr/>
                        </pic:nvPicPr>
                        <pic:blipFill>
                          <a:blip r:embed="rId27"/>
                          <a:stretch>
                            <a:fillRect/>
                          </a:stretch>
                        </pic:blipFill>
                        <pic:spPr>
                          <a:xfrm>
                            <a:off x="0" y="0"/>
                            <a:ext cx="76136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6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—板材采用SUS304-2B不锈钢制造—台面背板厚1.2mm,水斗板厚1.0mm，左右侧板0.8mm—水斗一体冲压折弯成型，规格：350*248*145—柜式结构无卫生死角，配快拆式维修门—配￠45落水器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3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6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CB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D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9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经济款感应龙头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2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约120*120*130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4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361950</wp:posOffset>
                  </wp:positionH>
                  <wp:positionV relativeFrom="paragraph">
                    <wp:posOffset>66675</wp:posOffset>
                  </wp:positionV>
                  <wp:extent cx="473075" cy="805815"/>
                  <wp:effectExtent l="0" t="0" r="3175" b="13335"/>
                  <wp:wrapNone/>
                  <wp:docPr id="43" name="Picture_23"/>
                  <wp:cNvGraphicFramePr/>
                  <a:graphic xmlns:a="http://schemas.openxmlformats.org/drawingml/2006/main">
                    <a:graphicData uri="http://schemas.openxmlformats.org/drawingml/2006/picture">
                      <pic:pic xmlns:pic="http://schemas.openxmlformats.org/drawingml/2006/picture">
                        <pic:nvPicPr>
                          <pic:cNvPr id="43" name="Picture_23"/>
                          <pic:cNvPicPr/>
                        </pic:nvPicPr>
                        <pic:blipFill>
                          <a:blip r:embed="rId28"/>
                          <a:stretch>
                            <a:fillRect/>
                          </a:stretch>
                        </pic:blipFill>
                        <pic:spPr>
                          <a:xfrm>
                            <a:off x="0" y="0"/>
                            <a:ext cx="47307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单孔台出感应龙头，配有旋转式鹅颈；防破坏2.2GPM(8.3LPM)起泡器；放水控制盒；交直流两用；手动混水阀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3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5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7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17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3"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2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15KW蒸炉(电磁单头蒸炉）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C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约700*750*800+30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76200</wp:posOffset>
                  </wp:positionH>
                  <wp:positionV relativeFrom="paragraph">
                    <wp:posOffset>-935355</wp:posOffset>
                  </wp:positionV>
                  <wp:extent cx="831215" cy="805815"/>
                  <wp:effectExtent l="0" t="0" r="6985" b="13335"/>
                  <wp:wrapNone/>
                  <wp:docPr id="44" name="Picture_24"/>
                  <wp:cNvGraphicFramePr/>
                  <a:graphic xmlns:a="http://schemas.openxmlformats.org/drawingml/2006/main">
                    <a:graphicData uri="http://schemas.openxmlformats.org/drawingml/2006/picture">
                      <pic:pic xmlns:pic="http://schemas.openxmlformats.org/drawingml/2006/picture">
                        <pic:nvPicPr>
                          <pic:cNvPr id="44" name="Picture_24"/>
                          <pic:cNvPicPr/>
                        </pic:nvPicPr>
                        <pic:blipFill>
                          <a:blip r:embed="rId29"/>
                          <a:stretch>
                            <a:fillRect/>
                          </a:stretch>
                        </pic:blipFill>
                        <pic:spPr>
                          <a:xfrm>
                            <a:off x="0" y="0"/>
                            <a:ext cx="83121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2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1、材质：面板采用优质SUS304不锈钢板，实厚1.25，侧板201,实厚1.0。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2、规格（长*宽*高）;700*750*800+30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3、功率/电压：15KW/380V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4、自动进水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5、带排水阀设计，方便排水。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6、要求显示屏带有中文故障原因，方便维修处理。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7、要求显示屏显示用电量，每天或每个月的能耗一目了然；节能看得见。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8、要求实时显示当前输出功率，方便火候掌控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9、耐用方便的9档磁控360度旋纽火力调节器。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10变频动态定温，接近恒温输出，厨艺不再难。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11、要求实现3种常用功能：定时，定温，预约功能。缺一不可。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12、要求自带5种温度记忆菜单，快速选择不同温度烹饪。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9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F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03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C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油烟净化一体机(静电式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F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约1500*1300*935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1457325</wp:posOffset>
                  </wp:positionV>
                  <wp:extent cx="838200" cy="420370"/>
                  <wp:effectExtent l="0" t="0" r="0" b="17780"/>
                  <wp:wrapNone/>
                  <wp:docPr id="45" name="Picture_25"/>
                  <wp:cNvGraphicFramePr/>
                  <a:graphic xmlns:a="http://schemas.openxmlformats.org/drawingml/2006/main">
                    <a:graphicData uri="http://schemas.openxmlformats.org/drawingml/2006/picture">
                      <pic:pic xmlns:pic="http://schemas.openxmlformats.org/drawingml/2006/picture">
                        <pic:nvPicPr>
                          <pic:cNvPr id="45" name="Picture_25"/>
                          <pic:cNvPicPr/>
                        </pic:nvPicPr>
                        <pic:blipFill>
                          <a:blip r:embed="rId30"/>
                          <a:stretch>
                            <a:fillRect/>
                          </a:stretch>
                        </pic:blipFill>
                        <pic:spPr>
                          <a:xfrm>
                            <a:off x="0" y="0"/>
                            <a:ext cx="838200" cy="42037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0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2、采用优质不锈钢201双面油墨拉丝，国标1.0mm材质。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F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6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8D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C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3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304800</wp:posOffset>
                  </wp:positionV>
                  <wp:extent cx="838200" cy="479425"/>
                  <wp:effectExtent l="0" t="0" r="0" b="15875"/>
                  <wp:wrapNone/>
                  <wp:docPr id="46" name="Picture_26"/>
                  <wp:cNvGraphicFramePr/>
                  <a:graphic xmlns:a="http://schemas.openxmlformats.org/drawingml/2006/main">
                    <a:graphicData uri="http://schemas.openxmlformats.org/drawingml/2006/picture">
                      <pic:pic xmlns:pic="http://schemas.openxmlformats.org/drawingml/2006/picture">
                        <pic:nvPicPr>
                          <pic:cNvPr id="46" name="Picture_26"/>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外箱均为SUS304不锈钢板；使用进口压缩机，全铜管冷凝器、蒸发器；配备强制蒸发装置，自动蒸发化霜水；整机及台面采用一体式发泡工艺，整体平整、耐用；产品能在43℃的环境温度下正常工作；置于箱体内部的高效防露加热丝，能有效防止门框结露、滴水，保证客户的使用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0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37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F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卧式两门冷冻柜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A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304800</wp:posOffset>
                  </wp:positionV>
                  <wp:extent cx="838200" cy="479425"/>
                  <wp:effectExtent l="0" t="0" r="0" b="15875"/>
                  <wp:wrapNone/>
                  <wp:docPr id="47" name="Picture_27"/>
                  <wp:cNvGraphicFramePr/>
                  <a:graphic xmlns:a="http://schemas.openxmlformats.org/drawingml/2006/main">
                    <a:graphicData uri="http://schemas.openxmlformats.org/drawingml/2006/picture">
                      <pic:pic xmlns:pic="http://schemas.openxmlformats.org/drawingml/2006/picture">
                        <pic:nvPicPr>
                          <pic:cNvPr id="47" name="Picture_27"/>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4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温度范围  -22～-15℃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1、内外箱均为优质不锈钢板；2、使用进口压缩机，全铜管冷凝器、蒸发器；3、一体式发泡工艺，整体平整、耐用；4、冰箱配备了门体自动关闭结构，方便客户操作。5、配备数显电子温控，控制精度更高。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5CC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D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3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拌粉机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5163">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0"/>
                <w:sz w:val="20"/>
                <w:szCs w:val="20"/>
                <w:u w:val="none"/>
                <w:lang w:val="en-US" w:eastAsia="zh-CN" w:bidi="ar"/>
              </w:rPr>
              <w:t>约</w:t>
            </w:r>
            <w:r>
              <w:rPr>
                <w:rFonts w:hint="eastAsia" w:ascii="宋体" w:hAnsi="宋体" w:cs="宋体"/>
                <w:i w:val="0"/>
                <w:iCs w:val="0"/>
                <w:color w:val="auto"/>
                <w:sz w:val="20"/>
                <w:szCs w:val="20"/>
                <w:u w:val="none"/>
                <w:lang w:val="en-US" w:eastAsia="zh-CN"/>
              </w:rPr>
              <w:t>800*430*880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F29">
            <w:pPr>
              <w:jc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drawing>
                <wp:inline distT="0" distB="0" distL="114300" distR="114300">
                  <wp:extent cx="353695" cy="539750"/>
                  <wp:effectExtent l="0" t="0" r="8255" b="12700"/>
                  <wp:docPr id="114" name="图片 114" descr="173399059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1733990596954"/>
                          <pic:cNvPicPr>
                            <a:picLocks noChangeAspect="1"/>
                          </pic:cNvPicPr>
                        </pic:nvPicPr>
                        <pic:blipFill>
                          <a:blip r:embed="rId31"/>
                          <a:stretch>
                            <a:fillRect/>
                          </a:stretch>
                        </pic:blipFill>
                        <pic:spPr>
                          <a:xfrm>
                            <a:off x="0" y="0"/>
                            <a:ext cx="353695" cy="539750"/>
                          </a:xfrm>
                          <a:prstGeom prst="rect">
                            <a:avLst/>
                          </a:prstGeom>
                        </pic:spPr>
                      </pic:pic>
                    </a:graphicData>
                  </a:graphic>
                </wp:inline>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A944">
            <w:pPr>
              <w:jc w:val="left"/>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rPr>
              <w:t>采用高精密齿轮变速箱传动，性能稳定、噪音低</w:t>
            </w:r>
            <w:r>
              <w:rPr>
                <w:rFonts w:hint="eastAsia" w:ascii="宋体" w:hAnsi="宋体" w:cs="宋体"/>
                <w:i w:val="0"/>
                <w:iCs w:val="0"/>
                <w:color w:val="auto"/>
                <w:sz w:val="20"/>
                <w:szCs w:val="20"/>
                <w:u w:val="none"/>
                <w:lang w:eastAsia="zh-CN"/>
              </w:rPr>
              <w:t>、</w:t>
            </w:r>
            <w:r>
              <w:rPr>
                <w:rFonts w:hint="eastAsia" w:ascii="宋体" w:hAnsi="宋体" w:eastAsia="宋体" w:cs="宋体"/>
                <w:i w:val="0"/>
                <w:iCs w:val="0"/>
                <w:color w:val="auto"/>
                <w:sz w:val="20"/>
                <w:szCs w:val="20"/>
                <w:u w:val="none"/>
              </w:rPr>
              <w:t>与食品接触部分均采用不锈钢及同类材料制造，符合卫生标准</w:t>
            </w:r>
            <w:r>
              <w:rPr>
                <w:rFonts w:hint="eastAsia" w:ascii="宋体" w:hAnsi="宋体" w:cs="宋体"/>
                <w:i w:val="0"/>
                <w:iCs w:val="0"/>
                <w:color w:val="auto"/>
                <w:sz w:val="20"/>
                <w:szCs w:val="20"/>
                <w:u w:val="none"/>
                <w:lang w:eastAsia="zh-CN"/>
              </w:rPr>
              <w:t>。</w:t>
            </w:r>
            <w:r>
              <w:rPr>
                <w:rFonts w:hint="eastAsia" w:ascii="宋体" w:hAnsi="宋体" w:cs="宋体"/>
                <w:i w:val="0"/>
                <w:iCs w:val="0"/>
                <w:color w:val="auto"/>
                <w:sz w:val="20"/>
                <w:szCs w:val="20"/>
                <w:u w:val="none"/>
                <w:lang w:val="en-US" w:eastAsia="zh-CN"/>
              </w:rPr>
              <w:t>功率：</w:t>
            </w:r>
            <w:r>
              <w:rPr>
                <w:rFonts w:hint="default" w:ascii="Arial" w:hAnsi="Arial" w:cs="Arial"/>
                <w:i w:val="0"/>
                <w:iCs w:val="0"/>
                <w:color w:val="auto"/>
                <w:sz w:val="20"/>
                <w:szCs w:val="20"/>
                <w:u w:val="none"/>
                <w:lang w:val="en-US" w:eastAsia="zh-CN"/>
              </w:rPr>
              <w:t>≥</w:t>
            </w:r>
            <w:r>
              <w:rPr>
                <w:rFonts w:hint="eastAsia" w:ascii="宋体" w:hAnsi="宋体" w:cs="宋体"/>
                <w:i w:val="0"/>
                <w:iCs w:val="0"/>
                <w:color w:val="auto"/>
                <w:sz w:val="20"/>
                <w:szCs w:val="20"/>
                <w:u w:val="none"/>
                <w:lang w:val="en-US" w:eastAsia="zh-CN"/>
              </w:rPr>
              <w:t>220v，容量：</w:t>
            </w:r>
            <w:r>
              <w:rPr>
                <w:rFonts w:hint="default" w:ascii="Arial" w:hAnsi="Arial" w:cs="Arial"/>
                <w:i w:val="0"/>
                <w:iCs w:val="0"/>
                <w:color w:val="auto"/>
                <w:sz w:val="20"/>
                <w:szCs w:val="20"/>
                <w:u w:val="none"/>
                <w:lang w:val="en-US" w:eastAsia="zh-CN"/>
              </w:rPr>
              <w:t>≥</w:t>
            </w:r>
            <w:r>
              <w:rPr>
                <w:rFonts w:hint="eastAsia" w:ascii="宋体" w:hAnsi="宋体" w:cs="宋体"/>
                <w:i w:val="0"/>
                <w:iCs w:val="0"/>
                <w:color w:val="auto"/>
                <w:sz w:val="20"/>
                <w:szCs w:val="20"/>
                <w:u w:val="none"/>
                <w:lang w:val="en-US" w:eastAsia="zh-CN"/>
              </w:rPr>
              <w:t>30L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6E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D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1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5C2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D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E炒年糕区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E1D">
            <w:pPr>
              <w:jc w:val="center"/>
              <w:rPr>
                <w:rFonts w:hint="eastAsia" w:ascii="宋体" w:hAnsi="宋体" w:eastAsia="宋体" w:cs="宋体"/>
                <w:i w:val="0"/>
                <w:iCs w:val="0"/>
                <w:color w:val="auto"/>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5560">
            <w:pPr>
              <w:jc w:val="center"/>
              <w:rPr>
                <w:rFonts w:hint="eastAsia" w:ascii="宋体" w:hAnsi="宋体" w:eastAsia="宋体" w:cs="宋体"/>
                <w:i w:val="0"/>
                <w:iCs w:val="0"/>
                <w:color w:val="auto"/>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E4A4">
            <w:pPr>
              <w:jc w:val="center"/>
              <w:rPr>
                <w:rFonts w:hint="eastAsia" w:ascii="宋体" w:hAnsi="宋体" w:eastAsia="宋体" w:cs="宋体"/>
                <w:i w:val="0"/>
                <w:iCs w:val="0"/>
                <w:color w:val="auto"/>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EC1E">
            <w:pPr>
              <w:jc w:val="left"/>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50D6">
            <w:pPr>
              <w:jc w:val="center"/>
              <w:rPr>
                <w:rFonts w:hint="eastAsia" w:ascii="宋体" w:hAnsi="宋体" w:eastAsia="宋体" w:cs="宋体"/>
                <w:i w:val="0"/>
                <w:iCs w:val="0"/>
                <w:color w:val="auto"/>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F993">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2D99">
            <w:pPr>
              <w:jc w:val="center"/>
              <w:rPr>
                <w:rFonts w:hint="eastAsia" w:ascii="宋体" w:hAnsi="宋体" w:eastAsia="宋体" w:cs="宋体"/>
                <w:i w:val="0"/>
                <w:iCs w:val="0"/>
                <w:color w:val="000000"/>
                <w:sz w:val="20"/>
                <w:szCs w:val="20"/>
                <w:u w:val="none"/>
              </w:rPr>
            </w:pPr>
          </w:p>
        </w:tc>
      </w:tr>
      <w:tr w14:paraId="0771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3"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6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12KW双头炒炉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约1500*750*800+30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-50165</wp:posOffset>
                  </wp:positionH>
                  <wp:positionV relativeFrom="paragraph">
                    <wp:posOffset>434975</wp:posOffset>
                  </wp:positionV>
                  <wp:extent cx="805815" cy="685800"/>
                  <wp:effectExtent l="0" t="0" r="13335" b="0"/>
                  <wp:wrapNone/>
                  <wp:docPr id="48" name="Picture_28"/>
                  <wp:cNvGraphicFramePr/>
                  <a:graphic xmlns:a="http://schemas.openxmlformats.org/drawingml/2006/main">
                    <a:graphicData uri="http://schemas.openxmlformats.org/drawingml/2006/picture">
                      <pic:pic xmlns:pic="http://schemas.openxmlformats.org/drawingml/2006/picture">
                        <pic:nvPicPr>
                          <pic:cNvPr id="48" name="Picture_28"/>
                          <pic:cNvPicPr/>
                        </pic:nvPicPr>
                        <pic:blipFill>
                          <a:blip r:embed="rId32"/>
                          <a:stretch>
                            <a:fillRect/>
                          </a:stretch>
                        </pic:blipFill>
                        <pic:spPr>
                          <a:xfrm>
                            <a:off x="0" y="0"/>
                            <a:ext cx="805815" cy="6858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8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1、材质：面板采用优质SUS304不锈钢板，实厚1.25mm，侧板201,实厚1.0mm。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2、规格（长*宽*高）：1500*750*800+30，配直径约460mm双耳炒锅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3、美国工业级CPU处理器，德国英飞凌高频SK4系列IGBT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4、功率/电压：12KW*2/380V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5、台面一体折弯，拼板采用内嵌式设计，可任意冲水，杜绝漏水，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6、设备所用连接线，风扇均采用防水设计，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7、独立的手动5档直滑式火力开关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8、显示屏集成电压，累计用电量，故障中文显示，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9、恒功率输出，不受电压波动影响，最小连续加功率，可做到额定功率15%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D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A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A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D9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0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0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D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266700</wp:posOffset>
                  </wp:positionV>
                  <wp:extent cx="838200" cy="437515"/>
                  <wp:effectExtent l="0" t="0" r="0" b="635"/>
                  <wp:wrapNone/>
                  <wp:docPr id="49" name="Picture_29"/>
                  <wp:cNvGraphicFramePr/>
                  <a:graphic xmlns:a="http://schemas.openxmlformats.org/drawingml/2006/main">
                    <a:graphicData uri="http://schemas.openxmlformats.org/drawingml/2006/picture">
                      <pic:pic xmlns:pic="http://schemas.openxmlformats.org/drawingml/2006/picture">
                        <pic:nvPicPr>
                          <pic:cNvPr id="49" name="Picture_29"/>
                          <pic:cNvPicPr/>
                        </pic:nvPicPr>
                        <pic:blipFill>
                          <a:blip r:embed="rId17"/>
                          <a:stretch>
                            <a:fillRect/>
                          </a:stretch>
                        </pic:blipFill>
                        <pic:spPr>
                          <a:xfrm>
                            <a:off x="0" y="0"/>
                            <a:ext cx="838200" cy="4375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0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A0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6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3.5KW立式六头煲仔炉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约1100*750*800+30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81280</wp:posOffset>
                  </wp:positionH>
                  <wp:positionV relativeFrom="paragraph">
                    <wp:posOffset>507365</wp:posOffset>
                  </wp:positionV>
                  <wp:extent cx="838200" cy="304800"/>
                  <wp:effectExtent l="0" t="0" r="0" b="0"/>
                  <wp:wrapNone/>
                  <wp:docPr id="50" name="Picture_30"/>
                  <wp:cNvGraphicFramePr/>
                  <a:graphic xmlns:a="http://schemas.openxmlformats.org/drawingml/2006/main">
                    <a:graphicData uri="http://schemas.openxmlformats.org/drawingml/2006/picture">
                      <pic:pic xmlns:pic="http://schemas.openxmlformats.org/drawingml/2006/picture">
                        <pic:nvPicPr>
                          <pic:cNvPr id="50" name="Picture_30"/>
                          <pic:cNvPicPr/>
                        </pic:nvPicPr>
                        <pic:blipFill>
                          <a:blip r:embed="rId33"/>
                          <a:stretch>
                            <a:fillRect/>
                          </a:stretch>
                        </pic:blipFill>
                        <pic:spPr>
                          <a:xfrm>
                            <a:off x="0" y="0"/>
                            <a:ext cx="838200" cy="3048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7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 3.5KW*6/380v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2、尺寸：1100*750*800+30mm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3、面板采用优质SUS304不锈钢板，实厚1.25mm，侧板201,实厚1.0mm。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4、耐用方便的9档磁控旋纽火力调节器。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5、带定时功能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6、带4个时间记忆快捷键，可以通过编程方式分别定义4个时间记忆快捷键，便于一键定时，快捷烹饪。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8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F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7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044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9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1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油烟净化一体机(静电式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9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约1500*1300*935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A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w:t>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-975360</wp:posOffset>
                  </wp:positionH>
                  <wp:positionV relativeFrom="paragraph">
                    <wp:posOffset>1513205</wp:posOffset>
                  </wp:positionV>
                  <wp:extent cx="838200" cy="420370"/>
                  <wp:effectExtent l="0" t="0" r="0" b="17780"/>
                  <wp:wrapNone/>
                  <wp:docPr id="51" name="Picture_31"/>
                  <wp:cNvGraphicFramePr/>
                  <a:graphic xmlns:a="http://schemas.openxmlformats.org/drawingml/2006/main">
                    <a:graphicData uri="http://schemas.openxmlformats.org/drawingml/2006/picture">
                      <pic:pic xmlns:pic="http://schemas.openxmlformats.org/drawingml/2006/picture">
                        <pic:nvPicPr>
                          <pic:cNvPr id="51" name="Picture_31"/>
                          <pic:cNvPicPr/>
                        </pic:nvPicPr>
                        <pic:blipFill>
                          <a:blip r:embed="rId30"/>
                          <a:stretch>
                            <a:fillRect/>
                          </a:stretch>
                        </pic:blipFill>
                        <pic:spPr>
                          <a:xfrm>
                            <a:off x="0" y="0"/>
                            <a:ext cx="838200" cy="42037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2、采用优质不锈钢201双面油墨拉丝，国标1.0mm材质。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3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5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E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2ED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油烟净化一体机(明档静电款）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0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约1800*1200*1000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2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381000</wp:posOffset>
                  </wp:positionV>
                  <wp:extent cx="838200" cy="575310"/>
                  <wp:effectExtent l="0" t="0" r="0" b="15240"/>
                  <wp:wrapNone/>
                  <wp:docPr id="52" name="Picture_32"/>
                  <wp:cNvGraphicFramePr/>
                  <a:graphic xmlns:a="http://schemas.openxmlformats.org/drawingml/2006/main">
                    <a:graphicData uri="http://schemas.openxmlformats.org/drawingml/2006/picture">
                      <pic:pic xmlns:pic="http://schemas.openxmlformats.org/drawingml/2006/picture">
                        <pic:nvPicPr>
                          <pic:cNvPr id="52" name="Picture_32"/>
                          <pic:cNvPicPr/>
                        </pic:nvPicPr>
                        <pic:blipFill>
                          <a:blip r:embed="rId22"/>
                          <a:stretch>
                            <a:fillRect/>
                          </a:stretch>
                        </pic:blipFill>
                        <pic:spPr>
                          <a:xfrm>
                            <a:off x="0" y="0"/>
                            <a:ext cx="838200" cy="5753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8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2、采用优质不锈钢201双面油墨拉丝，国标1.0mm材质。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B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7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0D2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A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304800</wp:posOffset>
                  </wp:positionV>
                  <wp:extent cx="838200" cy="479425"/>
                  <wp:effectExtent l="0" t="0" r="0" b="15875"/>
                  <wp:wrapNone/>
                  <wp:docPr id="53" name="Picture_33"/>
                  <wp:cNvGraphicFramePr/>
                  <a:graphic xmlns:a="http://schemas.openxmlformats.org/drawingml/2006/main">
                    <a:graphicData uri="http://schemas.openxmlformats.org/drawingml/2006/picture">
                      <pic:pic xmlns:pic="http://schemas.openxmlformats.org/drawingml/2006/picture">
                        <pic:nvPicPr>
                          <pic:cNvPr id="53" name="Picture_33"/>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1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外箱均为SUS304不锈钢板；使用进口压缩机，全铜管冷凝器、蒸发器；配备强制蒸发装置，自动蒸发化霜水；整机及台面采用一体式发泡工艺，整体平整、耐用；产品能在43℃的环境温度下正常工作；置于箱体内部的高效防露加热丝，能有效防止门框结露、滴水，保证客户的使用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D2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8"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1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卧式两门冷冻柜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E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约1200*600*800/950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2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742950</wp:posOffset>
                  </wp:positionV>
                  <wp:extent cx="838200" cy="518160"/>
                  <wp:effectExtent l="0" t="0" r="0" b="15240"/>
                  <wp:wrapNone/>
                  <wp:docPr id="54" name="Picture_34"/>
                  <wp:cNvGraphicFramePr/>
                  <a:graphic xmlns:a="http://schemas.openxmlformats.org/drawingml/2006/main">
                    <a:graphicData uri="http://schemas.openxmlformats.org/drawingml/2006/picture">
                      <pic:pic xmlns:pic="http://schemas.openxmlformats.org/drawingml/2006/picture">
                        <pic:nvPicPr>
                          <pic:cNvPr id="54" name="Picture_34"/>
                          <pic:cNvPicPr/>
                        </pic:nvPicPr>
                        <pic:blipFill>
                          <a:blip r:embed="rId34"/>
                          <a:stretch>
                            <a:fillRect/>
                          </a:stretch>
                        </pic:blipFill>
                        <pic:spPr>
                          <a:xfrm>
                            <a:off x="0" y="0"/>
                            <a:ext cx="838200" cy="51816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3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电源：220V/50HZ，输入功率：445W，电流：3.5A，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-22～-15℃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4、整机及台面采用一体式发泡工艺，整体平整、耐用；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8、采用“前吸风前排风”设计，更加有利于排风扇热，适用于高档酒店及明档厨房使用要求。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容积：约260L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9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1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5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FC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2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1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单星盆柜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E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66675</wp:posOffset>
                  </wp:positionV>
                  <wp:extent cx="518160" cy="805815"/>
                  <wp:effectExtent l="0" t="0" r="15240" b="13335"/>
                  <wp:wrapNone/>
                  <wp:docPr id="55" name="Picture_35"/>
                  <wp:cNvGraphicFramePr/>
                  <a:graphic xmlns:a="http://schemas.openxmlformats.org/drawingml/2006/main">
                    <a:graphicData uri="http://schemas.openxmlformats.org/drawingml/2006/picture">
                      <pic:pic xmlns:pic="http://schemas.openxmlformats.org/drawingml/2006/picture">
                        <pic:nvPicPr>
                          <pic:cNvPr id="55" name="Picture_35"/>
                          <pic:cNvPicPr/>
                        </pic:nvPicPr>
                        <pic:blipFill>
                          <a:blip r:embed="rId20"/>
                          <a:stretch>
                            <a:fillRect/>
                          </a:stretch>
                        </pic:blipFill>
                        <pic:spPr>
                          <a:xfrm>
                            <a:off x="0" y="0"/>
                            <a:ext cx="51816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5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—采用SUS304-2B不锈钢板制造—台面板厚1.2㎜,水斗板厚1.0mm—配2″去水—水斗一体冲压规格：400*400*280—门外板厚1.0㎜—侧板、后背板0.8mm，门内复板0.8mm—配φ50不锈钢重力脚^^—201不锈钢厚3mm加强型底部三角板</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0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62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E08a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4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165100</wp:posOffset>
                  </wp:positionH>
                  <wp:positionV relativeFrom="paragraph">
                    <wp:posOffset>158750</wp:posOffset>
                  </wp:positionV>
                  <wp:extent cx="419100" cy="330835"/>
                  <wp:effectExtent l="0" t="0" r="0" b="12065"/>
                  <wp:wrapNone/>
                  <wp:docPr id="56" name="Picture_3_SpCnt_4"/>
                  <wp:cNvGraphicFramePr/>
                  <a:graphic xmlns:a="http://schemas.openxmlformats.org/drawingml/2006/main">
                    <a:graphicData uri="http://schemas.openxmlformats.org/drawingml/2006/picture">
                      <pic:pic xmlns:pic="http://schemas.openxmlformats.org/drawingml/2006/picture">
                        <pic:nvPicPr>
                          <pic:cNvPr id="56" name="Picture_3_SpCnt_4"/>
                          <pic:cNvPicPr/>
                        </pic:nvPicPr>
                        <pic:blipFill>
                          <a:blip r:embed="rId23"/>
                          <a:stretch>
                            <a:fillRect/>
                          </a:stretch>
                        </pic:blipFill>
                        <pic:spPr>
                          <a:xfrm>
                            <a:off x="0" y="0"/>
                            <a:ext cx="419100" cy="33083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6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0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94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4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3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57" name="Picture_36"/>
                  <wp:cNvGraphicFramePr/>
                  <a:graphic xmlns:a="http://schemas.openxmlformats.org/drawingml/2006/main">
                    <a:graphicData uri="http://schemas.openxmlformats.org/drawingml/2006/picture">
                      <pic:pic xmlns:pic="http://schemas.openxmlformats.org/drawingml/2006/picture">
                        <pic:nvPicPr>
                          <pic:cNvPr id="57" name="Picture_36"/>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D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0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F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CB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F麦禾区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E618">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E2F0">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AAA8">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6F30">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440">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C720">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94B8">
            <w:pPr>
              <w:jc w:val="center"/>
              <w:rPr>
                <w:rFonts w:hint="eastAsia" w:ascii="宋体" w:hAnsi="宋体" w:eastAsia="宋体" w:cs="宋体"/>
                <w:i w:val="0"/>
                <w:iCs w:val="0"/>
                <w:color w:val="000000"/>
                <w:sz w:val="20"/>
                <w:szCs w:val="20"/>
                <w:u w:val="none"/>
              </w:rPr>
            </w:pPr>
          </w:p>
        </w:tc>
      </w:tr>
      <w:tr w14:paraId="7CF6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9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工作柜带水池（左星）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B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F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161925</wp:posOffset>
                  </wp:positionV>
                  <wp:extent cx="838200" cy="664845"/>
                  <wp:effectExtent l="0" t="0" r="0" b="1905"/>
                  <wp:wrapNone/>
                  <wp:docPr id="58" name="Picture_37"/>
                  <wp:cNvGraphicFramePr/>
                  <a:graphic xmlns:a="http://schemas.openxmlformats.org/drawingml/2006/main">
                    <a:graphicData uri="http://schemas.openxmlformats.org/drawingml/2006/picture">
                      <pic:pic xmlns:pic="http://schemas.openxmlformats.org/drawingml/2006/picture">
                        <pic:nvPicPr>
                          <pic:cNvPr id="58" name="Picture_37"/>
                          <pic:cNvPicPr/>
                        </pic:nvPicPr>
                        <pic:blipFill>
                          <a:blip r:embed="rId35"/>
                          <a:stretch>
                            <a:fillRect/>
                          </a:stretch>
                        </pic:blipFill>
                        <pic:spPr>
                          <a:xfrm>
                            <a:off x="0" y="0"/>
                            <a:ext cx="838200" cy="66484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5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水斗板厚1.0mm，—配2″去水—水斗一体冲压成型，规格：500*500*280—配304不锈钢一体冲压拦渣篮及隔水盖—路轨导向趟门—门外板厚1.0㎜，左右侧板、门内复板0.8mm—配φ50不锈钢重力脚，201不锈钢厚3mm加强型三角板加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C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0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F01a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9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4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241300</wp:posOffset>
                  </wp:positionH>
                  <wp:positionV relativeFrom="paragraph">
                    <wp:posOffset>34925</wp:posOffset>
                  </wp:positionV>
                  <wp:extent cx="419100" cy="330835"/>
                  <wp:effectExtent l="0" t="0" r="0" b="12065"/>
                  <wp:wrapNone/>
                  <wp:docPr id="59" name="Picture_3_SpCnt_5"/>
                  <wp:cNvGraphicFramePr/>
                  <a:graphic xmlns:a="http://schemas.openxmlformats.org/drawingml/2006/main">
                    <a:graphicData uri="http://schemas.openxmlformats.org/drawingml/2006/picture">
                      <pic:pic xmlns:pic="http://schemas.openxmlformats.org/drawingml/2006/picture">
                        <pic:nvPicPr>
                          <pic:cNvPr id="59" name="Picture_3_SpCnt_5"/>
                          <pic:cNvPicPr/>
                        </pic:nvPicPr>
                        <pic:blipFill>
                          <a:blip r:embed="rId23"/>
                          <a:stretch>
                            <a:fillRect/>
                          </a:stretch>
                        </pic:blipFill>
                        <pic:spPr>
                          <a:xfrm>
                            <a:off x="0" y="0"/>
                            <a:ext cx="419100" cy="33083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7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5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4F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9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600075</wp:posOffset>
                  </wp:positionV>
                  <wp:extent cx="838200" cy="518160"/>
                  <wp:effectExtent l="0" t="0" r="0" b="15240"/>
                  <wp:wrapNone/>
                  <wp:docPr id="60" name="Picture_38"/>
                  <wp:cNvGraphicFramePr/>
                  <a:graphic xmlns:a="http://schemas.openxmlformats.org/drawingml/2006/main">
                    <a:graphicData uri="http://schemas.openxmlformats.org/drawingml/2006/picture">
                      <pic:pic xmlns:pic="http://schemas.openxmlformats.org/drawingml/2006/picture">
                        <pic:nvPicPr>
                          <pic:cNvPr id="60" name="Picture_38"/>
                          <pic:cNvPicPr/>
                        </pic:nvPicPr>
                        <pic:blipFill>
                          <a:blip r:embed="rId34"/>
                          <a:stretch>
                            <a:fillRect/>
                          </a:stretch>
                        </pic:blipFill>
                        <pic:spPr>
                          <a:xfrm>
                            <a:off x="0" y="0"/>
                            <a:ext cx="838200" cy="51816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4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4、冰箱配备了门体自动关闭结构，方便客户操作。                  5、配备数显电子温控，控制精度更高。                                             6、门框安装防凝露装置，防止门框结露、滴水。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7、采用“前吸风前排风”设计，更加有利于排风扇热，适用于高档酒店及明档厨房使用要求。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1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4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05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B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B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-90805</wp:posOffset>
                  </wp:positionV>
                  <wp:extent cx="838200" cy="508000"/>
                  <wp:effectExtent l="0" t="0" r="0" b="6350"/>
                  <wp:wrapNone/>
                  <wp:docPr id="61" name="Picture_39"/>
                  <wp:cNvGraphicFramePr/>
                  <a:graphic xmlns:a="http://schemas.openxmlformats.org/drawingml/2006/main">
                    <a:graphicData uri="http://schemas.openxmlformats.org/drawingml/2006/picture">
                      <pic:pic xmlns:pic="http://schemas.openxmlformats.org/drawingml/2006/picture">
                        <pic:nvPicPr>
                          <pic:cNvPr id="61" name="Picture_39"/>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6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B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C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8C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5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1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3.5KW嵌入式单头平炉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约340*340*110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27305</wp:posOffset>
                  </wp:positionH>
                  <wp:positionV relativeFrom="paragraph">
                    <wp:posOffset>161290</wp:posOffset>
                  </wp:positionV>
                  <wp:extent cx="805815" cy="805815"/>
                  <wp:effectExtent l="0" t="0" r="13335" b="13335"/>
                  <wp:wrapNone/>
                  <wp:docPr id="62" name="Picture_40"/>
                  <wp:cNvGraphicFramePr/>
                  <a:graphic xmlns:a="http://schemas.openxmlformats.org/drawingml/2006/main">
                    <a:graphicData uri="http://schemas.openxmlformats.org/drawingml/2006/picture">
                      <pic:pic xmlns:pic="http://schemas.openxmlformats.org/drawingml/2006/picture">
                        <pic:nvPicPr>
                          <pic:cNvPr id="62" name="Picture_40"/>
                          <pic:cNvPicPr/>
                        </pic:nvPicPr>
                        <pic:blipFill>
                          <a:blip r:embed="rId36"/>
                          <a:stretch>
                            <a:fillRect/>
                          </a:stretch>
                        </pic:blipFill>
                        <pic:spPr>
                          <a:xfrm>
                            <a:off x="0" y="0"/>
                            <a:ext cx="80581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9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功率：3.5KW/220V1、全不锈外壳，专利结构设计，安全可靠。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明档加热、保温  客户自购带磁（铁质/430/复合底）直径在300MM以内的汤锅、平底锅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触屏火力调节，9档 必须安装带全极断开装置（漏电保护开关）的独立电源；单相三线制，国标4平方线径；电磁灶开孔尺寸：320*320mm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显示与火力集成器开孔尺寸：120*41mm /R角2mm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规格：340*340*110                                                                                   ▲， 投标人提供3.5KW嵌入式单头平炉，按EN 62233:2008标准，由国家电器产品安全质量监督检验中心出具的电磁场幅射报告，前、后、左、右四个面皆低于10%的检验报告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96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7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油烟净化一体机(明档静电款）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E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约1800*1200*1000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-10160</wp:posOffset>
                  </wp:positionH>
                  <wp:positionV relativeFrom="paragraph">
                    <wp:posOffset>745490</wp:posOffset>
                  </wp:positionV>
                  <wp:extent cx="838200" cy="575310"/>
                  <wp:effectExtent l="0" t="0" r="0" b="15240"/>
                  <wp:wrapNone/>
                  <wp:docPr id="63" name="Picture_41"/>
                  <wp:cNvGraphicFramePr/>
                  <a:graphic xmlns:a="http://schemas.openxmlformats.org/drawingml/2006/main">
                    <a:graphicData uri="http://schemas.openxmlformats.org/drawingml/2006/picture">
                      <pic:pic xmlns:pic="http://schemas.openxmlformats.org/drawingml/2006/picture">
                        <pic:nvPicPr>
                          <pic:cNvPr id="63" name="Picture_41"/>
                          <pic:cNvPicPr/>
                        </pic:nvPicPr>
                        <pic:blipFill>
                          <a:blip r:embed="rId22"/>
                          <a:stretch>
                            <a:fillRect/>
                          </a:stretch>
                        </pic:blipFill>
                        <pic:spPr>
                          <a:xfrm>
                            <a:off x="0" y="0"/>
                            <a:ext cx="838200" cy="5753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6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2、采用优质不锈钢201双面油墨拉丝，国标1.0mm材质。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B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C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0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C0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29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麦禾机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8C6C">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约500*500*800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C120">
            <w:pPr>
              <w:jc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drawing>
                <wp:inline distT="0" distB="0" distL="114300" distR="114300">
                  <wp:extent cx="906145" cy="885825"/>
                  <wp:effectExtent l="0" t="0" r="8255" b="9525"/>
                  <wp:docPr id="115" name="图片 115" descr="dded8bee79b17acce5b80d79e77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dded8bee79b17acce5b80d79e779536"/>
                          <pic:cNvPicPr>
                            <a:picLocks noChangeAspect="1"/>
                          </pic:cNvPicPr>
                        </pic:nvPicPr>
                        <pic:blipFill>
                          <a:blip r:embed="rId37"/>
                          <a:stretch>
                            <a:fillRect/>
                          </a:stretch>
                        </pic:blipFill>
                        <pic:spPr>
                          <a:xfrm>
                            <a:off x="0" y="0"/>
                            <a:ext cx="906145" cy="885825"/>
                          </a:xfrm>
                          <a:prstGeom prst="rect">
                            <a:avLst/>
                          </a:prstGeom>
                        </pic:spPr>
                      </pic:pic>
                    </a:graphicData>
                  </a:graphic>
                </wp:inline>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03CA">
            <w:pPr>
              <w:jc w:val="left"/>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加厚不锈钢机身，精确调控温度，电热管加热，需受热均匀，快速升温，功率：</w:t>
            </w:r>
            <w:r>
              <w:rPr>
                <w:rFonts w:hint="default" w:ascii="Arial" w:hAnsi="Arial" w:cs="Arial"/>
                <w:i w:val="0"/>
                <w:iCs w:val="0"/>
                <w:color w:val="auto"/>
                <w:sz w:val="20"/>
                <w:szCs w:val="20"/>
                <w:u w:val="none"/>
                <w:lang w:val="en-US" w:eastAsia="zh-CN"/>
              </w:rPr>
              <w:t>≥</w:t>
            </w:r>
            <w:r>
              <w:rPr>
                <w:rFonts w:hint="eastAsia" w:ascii="宋体" w:hAnsi="宋体" w:cs="宋体"/>
                <w:i w:val="0"/>
                <w:iCs w:val="0"/>
                <w:color w:val="auto"/>
                <w:sz w:val="20"/>
                <w:szCs w:val="20"/>
                <w:u w:val="none"/>
                <w:lang w:val="en-US" w:eastAsia="zh-CN"/>
              </w:rPr>
              <w:t>4500w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A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A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7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8A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G春饼区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D110">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C3E1">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0B86">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507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0A78">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E294">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43F9">
            <w:pPr>
              <w:jc w:val="center"/>
              <w:rPr>
                <w:rFonts w:hint="eastAsia" w:ascii="宋体" w:hAnsi="宋体" w:eastAsia="宋体" w:cs="宋体"/>
                <w:i w:val="0"/>
                <w:iCs w:val="0"/>
                <w:color w:val="000000"/>
                <w:sz w:val="20"/>
                <w:szCs w:val="20"/>
                <w:u w:val="none"/>
              </w:rPr>
            </w:pPr>
          </w:p>
        </w:tc>
      </w:tr>
      <w:tr w14:paraId="747F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C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9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1400*750*800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64" name="Picture_42"/>
                  <wp:cNvGraphicFramePr/>
                  <a:graphic xmlns:a="http://schemas.openxmlformats.org/drawingml/2006/main">
                    <a:graphicData uri="http://schemas.openxmlformats.org/drawingml/2006/picture">
                      <pic:pic xmlns:pic="http://schemas.openxmlformats.org/drawingml/2006/picture">
                        <pic:nvPicPr>
                          <pic:cNvPr id="64" name="Picture_42"/>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9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5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2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E4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0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8KW双缸炸炉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约700*750*800+30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2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-133350</wp:posOffset>
                  </wp:positionV>
                  <wp:extent cx="786765" cy="457200"/>
                  <wp:effectExtent l="0" t="0" r="13335" b="0"/>
                  <wp:wrapNone/>
                  <wp:docPr id="65" name="Picture_43"/>
                  <wp:cNvGraphicFramePr/>
                  <a:graphic xmlns:a="http://schemas.openxmlformats.org/drawingml/2006/main">
                    <a:graphicData uri="http://schemas.openxmlformats.org/drawingml/2006/picture">
                      <pic:pic xmlns:pic="http://schemas.openxmlformats.org/drawingml/2006/picture">
                        <pic:nvPicPr>
                          <pic:cNvPr id="65" name="Picture_43"/>
                          <pic:cNvPicPr/>
                        </pic:nvPicPr>
                        <pic:blipFill>
                          <a:blip r:embed="rId38"/>
                          <a:stretch>
                            <a:fillRect/>
                          </a:stretch>
                        </pic:blipFill>
                        <pic:spPr>
                          <a:xfrm>
                            <a:off x="0" y="0"/>
                            <a:ext cx="786765" cy="4572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F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1、材质：面板采用优质SUS304不锈钢板，实厚1.25mm，侧板201,实厚1.0mm。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2、规格（长*宽*高）：700*750*800+30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3、功率/电压：8KW*2/380V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4、独特的冷油区设计，食用油重复利用时间更长。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5、大口径排油阀，不易堵，配合开门设计，美观方便。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6、显示屏带有中文故障原因，方便维修处理。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7求显示屏显示用电量，每天或每个月的能耗一目了然；节能看得见。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8、实时显示当前输出功率，方便火候掌控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9、方便的9档磁控360度旋纽火力调节器。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10变频动态定温，接近恒温输出，厨艺不再难。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11、要求实现3种常用功能：定时，定温，预约功能。缺一不可。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12、要求自带5种温度记忆菜单，可以根据不同菜品，快速选择不同温度烹饪。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4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F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14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B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0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F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1200*750*800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10" name="Picture_44"/>
                  <wp:cNvGraphicFramePr/>
                  <a:graphic xmlns:a="http://schemas.openxmlformats.org/drawingml/2006/main">
                    <a:graphicData uri="http://schemas.openxmlformats.org/drawingml/2006/picture">
                      <pic:pic xmlns:pic="http://schemas.openxmlformats.org/drawingml/2006/picture">
                        <pic:nvPicPr>
                          <pic:cNvPr id="10" name="Picture_44"/>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F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4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6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E3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A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油烟净化一体机(明档静电款）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约1800*1200*1000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C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6350</wp:posOffset>
                  </wp:positionH>
                  <wp:positionV relativeFrom="paragraph">
                    <wp:posOffset>596265</wp:posOffset>
                  </wp:positionV>
                  <wp:extent cx="838200" cy="575310"/>
                  <wp:effectExtent l="0" t="0" r="0" b="15240"/>
                  <wp:wrapNone/>
                  <wp:docPr id="12" name="Picture_45"/>
                  <wp:cNvGraphicFramePr/>
                  <a:graphic xmlns:a="http://schemas.openxmlformats.org/drawingml/2006/main">
                    <a:graphicData uri="http://schemas.openxmlformats.org/drawingml/2006/picture">
                      <pic:pic xmlns:pic="http://schemas.openxmlformats.org/drawingml/2006/picture">
                        <pic:nvPicPr>
                          <pic:cNvPr id="12" name="Picture_45"/>
                          <pic:cNvPicPr/>
                        </pic:nvPicPr>
                        <pic:blipFill>
                          <a:blip r:embed="rId22"/>
                          <a:stretch>
                            <a:fillRect/>
                          </a:stretch>
                        </pic:blipFill>
                        <pic:spPr>
                          <a:xfrm>
                            <a:off x="0" y="0"/>
                            <a:ext cx="838200" cy="5753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B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气体通过冷凝盘实现净化，收集冷凝气体，通过电子静电原理，通过高压直流电，维持一个足以使气体电离的静电场，气体电离后所产生的电子：阴离子与阳离子，吸附在通过的油烟颗粒上，使油烟颗粒获得电荷；荷电极性不同的油烟颗粒在电场力的作用下，分别向不同极性的电极运动，沉积在电极上，而达到油烟颗粒和气体分离的目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2、采用优质不锈钢201双面油墨拉丝，国标1.0mm材质。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3、三相五线制（380V），整机功率≤2.5KW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▲符合GB/T 4208-2017《外壳防护等级（IP代码）》标准，测试防水等级，防水等级达到IPX6级别，有证书，且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▲依据GB/T 4208-2017《外壳防护等级（IP代码）》，符合外壳防护等级试验（IP69）要求，且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▲产品电机通过GB/T20138-2006《电器设备外壳对外界机械碰撞的防护等级（IK代码）》及GB/T2423.55-2006《电工电子产品环境试验第2部分：试验方法试验Eh：锤击试验》，试验等级IK06，且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▲烟罩一体机电场用绝缘柱，符合HG/T 3210-2002 规范，耐碱性99.60%，耐酸性96.72%，且</w:t>
            </w:r>
            <w:r>
              <w:rPr>
                <w:rFonts w:hint="eastAsia" w:ascii="宋体" w:hAnsi="宋体" w:cs="宋体"/>
                <w:i w:val="0"/>
                <w:iCs w:val="0"/>
                <w:color w:val="000000"/>
                <w:kern w:val="0"/>
                <w:sz w:val="20"/>
                <w:szCs w:val="20"/>
                <w:u w:val="none"/>
                <w:lang w:val="en-US" w:eastAsia="zh-CN" w:bidi="ar"/>
              </w:rPr>
              <w:t>提供相关</w:t>
            </w:r>
            <w:r>
              <w:rPr>
                <w:rFonts w:hint="eastAsia" w:ascii="宋体" w:hAnsi="宋体" w:eastAsia="宋体" w:cs="宋体"/>
                <w:i w:val="0"/>
                <w:iCs w:val="0"/>
                <w:color w:val="000000"/>
                <w:kern w:val="0"/>
                <w:sz w:val="20"/>
                <w:szCs w:val="20"/>
                <w:u w:val="none"/>
                <w:lang w:val="en-US" w:eastAsia="zh-CN" w:bidi="ar"/>
              </w:rPr>
              <w:t>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C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E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9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BE4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B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E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台下式单星盆柜连垃圾桶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0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161925</wp:posOffset>
                  </wp:positionV>
                  <wp:extent cx="838200" cy="533400"/>
                  <wp:effectExtent l="0" t="0" r="0" b="0"/>
                  <wp:wrapNone/>
                  <wp:docPr id="13" name="Picture_46"/>
                  <wp:cNvGraphicFramePr/>
                  <a:graphic xmlns:a="http://schemas.openxmlformats.org/drawingml/2006/main">
                    <a:graphicData uri="http://schemas.openxmlformats.org/drawingml/2006/picture">
                      <pic:pic xmlns:pic="http://schemas.openxmlformats.org/drawingml/2006/picture">
                        <pic:nvPicPr>
                          <pic:cNvPr id="13" name="Picture_46"/>
                          <pic:cNvPicPr/>
                        </pic:nvPicPr>
                        <pic:blipFill>
                          <a:blip r:embed="rId39"/>
                          <a:stretch>
                            <a:fillRect/>
                          </a:stretch>
                        </pic:blipFill>
                        <pic:spPr>
                          <a:xfrm>
                            <a:off x="0" y="0"/>
                            <a:ext cx="838200" cy="5334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厂制品—采用SUS304-2B不锈钢板制造，台面板厚1.2mm—水斗板厚1.0mm，配2″去水—水斗规格：400*400*250—侧板、后背板0.8mm，门内复板0.6mm—门外板、柜内层板、底板厚1.0㎜—星盆下开门结构，垃圾桶柜采用侧开式—配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4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9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7D8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7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G05a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A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A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317500</wp:posOffset>
                  </wp:positionH>
                  <wp:positionV relativeFrom="paragraph">
                    <wp:posOffset>444500</wp:posOffset>
                  </wp:positionV>
                  <wp:extent cx="419100" cy="330835"/>
                  <wp:effectExtent l="0" t="0" r="0" b="12065"/>
                  <wp:wrapNone/>
                  <wp:docPr id="14" name="Picture_3_SpCnt_6"/>
                  <wp:cNvGraphicFramePr/>
                  <a:graphic xmlns:a="http://schemas.openxmlformats.org/drawingml/2006/main">
                    <a:graphicData uri="http://schemas.openxmlformats.org/drawingml/2006/picture">
                      <pic:pic xmlns:pic="http://schemas.openxmlformats.org/drawingml/2006/picture">
                        <pic:nvPicPr>
                          <pic:cNvPr id="14" name="Picture_3_SpCnt_6"/>
                          <pic:cNvPicPr/>
                        </pic:nvPicPr>
                        <pic:blipFill>
                          <a:blip r:embed="rId23"/>
                          <a:stretch>
                            <a:fillRect/>
                          </a:stretch>
                        </pic:blipFill>
                        <pic:spPr>
                          <a:xfrm>
                            <a:off x="0" y="0"/>
                            <a:ext cx="419100" cy="33083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F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3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E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E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FB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7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B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402590</wp:posOffset>
                  </wp:positionV>
                  <wp:extent cx="838200" cy="518160"/>
                  <wp:effectExtent l="0" t="0" r="0" b="15240"/>
                  <wp:wrapNone/>
                  <wp:docPr id="15" name="Picture_47"/>
                  <wp:cNvGraphicFramePr/>
                  <a:graphic xmlns:a="http://schemas.openxmlformats.org/drawingml/2006/main">
                    <a:graphicData uri="http://schemas.openxmlformats.org/drawingml/2006/picture">
                      <pic:pic xmlns:pic="http://schemas.openxmlformats.org/drawingml/2006/picture">
                        <pic:nvPicPr>
                          <pic:cNvPr id="15" name="Picture_47"/>
                          <pic:cNvPicPr/>
                        </pic:nvPicPr>
                        <pic:blipFill>
                          <a:blip r:embed="rId34"/>
                          <a:stretch>
                            <a:fillRect/>
                          </a:stretch>
                        </pic:blipFill>
                        <pic:spPr>
                          <a:xfrm>
                            <a:off x="0" y="0"/>
                            <a:ext cx="838200" cy="51816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B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6、冰箱配备了门体自动关闭结构，方便客户操作。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3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5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B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562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0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5359">
            <w:pPr>
              <w:keepNext w:val="0"/>
              <w:keepLines w:val="0"/>
              <w:widowControl/>
              <w:suppressLineNumbers w:val="0"/>
              <w:jc w:val="center"/>
              <w:textAlignment w:val="center"/>
              <w:rPr>
                <w:rFonts w:hint="eastAsia" w:ascii="宋体" w:hAnsi="宋体" w:eastAsia="宋体" w:cs="宋体"/>
                <w:i w:val="0"/>
                <w:iCs w:val="0"/>
                <w:color w:val="FF0000"/>
                <w:sz w:val="20"/>
                <w:szCs w:val="20"/>
                <w:highlight w:val="yellow"/>
                <w:u w:val="none"/>
              </w:rPr>
            </w:pPr>
            <w:r>
              <w:rPr>
                <w:rFonts w:hint="eastAsia" w:ascii="宋体" w:hAnsi="宋体" w:eastAsia="宋体" w:cs="宋体"/>
                <w:i w:val="0"/>
                <w:iCs w:val="0"/>
                <w:color w:val="000000"/>
                <w:kern w:val="0"/>
                <w:sz w:val="20"/>
                <w:szCs w:val="20"/>
                <w:u w:val="none"/>
                <w:lang w:val="en-US" w:eastAsia="zh-CN" w:bidi="ar"/>
              </w:rPr>
              <w:t>油炸炉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50E">
            <w:pPr>
              <w:keepNext w:val="0"/>
              <w:keepLines w:val="0"/>
              <w:widowControl/>
              <w:suppressLineNumbers w:val="0"/>
              <w:jc w:val="center"/>
              <w:textAlignment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约800*660*1000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9D5A">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104775</wp:posOffset>
                  </wp:positionH>
                  <wp:positionV relativeFrom="paragraph">
                    <wp:posOffset>47625</wp:posOffset>
                  </wp:positionV>
                  <wp:extent cx="690880" cy="695325"/>
                  <wp:effectExtent l="0" t="0" r="13970" b="9525"/>
                  <wp:wrapNone/>
                  <wp:docPr id="117" name="Picture_10"/>
                  <wp:cNvGraphicFramePr/>
                  <a:graphic xmlns:a="http://schemas.openxmlformats.org/drawingml/2006/main">
                    <a:graphicData uri="http://schemas.openxmlformats.org/drawingml/2006/picture">
                      <pic:pic xmlns:pic="http://schemas.openxmlformats.org/drawingml/2006/picture">
                        <pic:nvPicPr>
                          <pic:cNvPr id="117" name="Picture_10"/>
                          <pic:cNvPicPr/>
                        </pic:nvPicPr>
                        <pic:blipFill>
                          <a:blip r:embed="rId21"/>
                          <a:stretch>
                            <a:fillRect/>
                          </a:stretch>
                        </pic:blipFill>
                        <pic:spPr>
                          <a:xfrm>
                            <a:off x="0" y="0"/>
                            <a:ext cx="690880" cy="6953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057">
            <w:pPr>
              <w:keepNext w:val="0"/>
              <w:keepLines w:val="0"/>
              <w:widowControl/>
              <w:suppressLineNumbers w:val="0"/>
              <w:jc w:val="left"/>
              <w:textAlignment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容量：约40公升 功率/电压：6.2KW/380V  油槽尺寸：630(L)×410(W)×160(H)mm 温度范围：30～300°C  标配：不锈钢底网，温度开关，防尘盖泄油阀，滤油网，盛油桶。超大功率，恆温操作，配备加热管，温控系统，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3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A70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F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C8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春饼机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4259">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约440*490*120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D9A6">
            <w:pPr>
              <w:jc w:val="center"/>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lang w:eastAsia="zh-CN"/>
              </w:rPr>
              <w:drawing>
                <wp:inline distT="0" distB="0" distL="114300" distR="114300">
                  <wp:extent cx="733425" cy="529590"/>
                  <wp:effectExtent l="0" t="0" r="9525" b="3810"/>
                  <wp:docPr id="116" name="图片 116" descr="173399081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1733990811825"/>
                          <pic:cNvPicPr>
                            <a:picLocks noChangeAspect="1"/>
                          </pic:cNvPicPr>
                        </pic:nvPicPr>
                        <pic:blipFill>
                          <a:blip r:embed="rId40"/>
                          <a:stretch>
                            <a:fillRect/>
                          </a:stretch>
                        </pic:blipFill>
                        <pic:spPr>
                          <a:xfrm>
                            <a:off x="0" y="0"/>
                            <a:ext cx="733425" cy="529590"/>
                          </a:xfrm>
                          <a:prstGeom prst="rect">
                            <a:avLst/>
                          </a:prstGeom>
                        </pic:spPr>
                      </pic:pic>
                    </a:graphicData>
                  </a:graphic>
                </wp:inline>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C53E">
            <w:pPr>
              <w:jc w:val="left"/>
              <w:rPr>
                <w:rFonts w:hint="eastAsia" w:ascii="宋体" w:hAnsi="宋体" w:eastAsia="宋体" w:cs="宋体"/>
                <w:i w:val="0"/>
                <w:iCs w:val="0"/>
                <w:color w:val="auto"/>
                <w:sz w:val="20"/>
                <w:szCs w:val="20"/>
                <w:u w:val="none"/>
                <w:lang w:eastAsia="zh-CN"/>
              </w:rPr>
            </w:pPr>
            <w:r>
              <w:rPr>
                <w:rFonts w:hint="eastAsia" w:ascii="宋体" w:hAnsi="宋体" w:eastAsia="宋体" w:cs="宋体"/>
                <w:i w:val="0"/>
                <w:iCs w:val="0"/>
                <w:color w:val="auto"/>
                <w:sz w:val="20"/>
                <w:szCs w:val="20"/>
                <w:u w:val="none"/>
              </w:rPr>
              <w:t>加厚不锈钢机身，</w:t>
            </w:r>
            <w:r>
              <w:rPr>
                <w:rFonts w:hint="eastAsia" w:ascii="宋体" w:hAnsi="宋体" w:cs="宋体"/>
                <w:i w:val="0"/>
                <w:iCs w:val="0"/>
                <w:color w:val="auto"/>
                <w:sz w:val="20"/>
                <w:szCs w:val="20"/>
                <w:u w:val="none"/>
                <w:lang w:val="en-US" w:eastAsia="zh-CN"/>
              </w:rPr>
              <w:t>加厚铸铁鏊面，鏊面直径40cm，</w:t>
            </w:r>
            <w:r>
              <w:rPr>
                <w:rFonts w:hint="eastAsia" w:ascii="宋体" w:hAnsi="宋体" w:eastAsia="宋体" w:cs="宋体"/>
                <w:i w:val="0"/>
                <w:iCs w:val="0"/>
                <w:color w:val="auto"/>
                <w:sz w:val="20"/>
                <w:szCs w:val="20"/>
                <w:u w:val="none"/>
              </w:rPr>
              <w:t>精确调控温度，</w:t>
            </w:r>
            <w:r>
              <w:rPr>
                <w:rFonts w:hint="default" w:ascii="Arial" w:hAnsi="Arial" w:eastAsia="宋体" w:cs="Arial"/>
                <w:i w:val="0"/>
                <w:iCs w:val="0"/>
                <w:color w:val="auto"/>
                <w:sz w:val="20"/>
                <w:szCs w:val="20"/>
                <w:u w:val="none"/>
              </w:rPr>
              <w:t>≥</w:t>
            </w:r>
            <w:r>
              <w:rPr>
                <w:rFonts w:hint="eastAsia" w:ascii="宋体" w:hAnsi="宋体" w:cs="宋体"/>
                <w:i w:val="0"/>
                <w:iCs w:val="0"/>
                <w:color w:val="auto"/>
                <w:sz w:val="20"/>
                <w:szCs w:val="20"/>
                <w:u w:val="none"/>
                <w:lang w:val="en-US" w:eastAsia="zh-CN"/>
              </w:rPr>
              <w:t>11</w:t>
            </w:r>
            <w:r>
              <w:rPr>
                <w:rFonts w:hint="eastAsia" w:ascii="宋体" w:hAnsi="宋体" w:eastAsia="宋体" w:cs="宋体"/>
                <w:i w:val="0"/>
                <w:iCs w:val="0"/>
                <w:color w:val="auto"/>
                <w:sz w:val="20"/>
                <w:szCs w:val="20"/>
                <w:u w:val="none"/>
              </w:rPr>
              <w:t>环电热管加热，受热均匀，升温</w:t>
            </w:r>
            <w:r>
              <w:rPr>
                <w:rFonts w:hint="eastAsia" w:ascii="宋体" w:hAnsi="宋体" w:cs="宋体"/>
                <w:i w:val="0"/>
                <w:iCs w:val="0"/>
                <w:color w:val="auto"/>
                <w:sz w:val="20"/>
                <w:szCs w:val="20"/>
                <w:u w:val="none"/>
                <w:lang w:eastAsia="zh-CN"/>
              </w:rPr>
              <w:t>速度快。</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9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9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0D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H冷菜区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396E">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F45C">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AAB7">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D6BC">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D27">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1833">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98D">
            <w:pPr>
              <w:jc w:val="center"/>
              <w:rPr>
                <w:rFonts w:hint="eastAsia" w:ascii="宋体" w:hAnsi="宋体" w:eastAsia="宋体" w:cs="宋体"/>
                <w:i w:val="0"/>
                <w:iCs w:val="0"/>
                <w:color w:val="000000"/>
                <w:sz w:val="20"/>
                <w:szCs w:val="20"/>
                <w:u w:val="none"/>
              </w:rPr>
            </w:pPr>
          </w:p>
        </w:tc>
      </w:tr>
      <w:tr w14:paraId="3E80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1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8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工作台柜带水池（左星）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104775</wp:posOffset>
                  </wp:positionV>
                  <wp:extent cx="838200" cy="715645"/>
                  <wp:effectExtent l="0" t="0" r="0" b="8255"/>
                  <wp:wrapNone/>
                  <wp:docPr id="18" name="Picture_48"/>
                  <wp:cNvGraphicFramePr/>
                  <a:graphic xmlns:a="http://schemas.openxmlformats.org/drawingml/2006/main">
                    <a:graphicData uri="http://schemas.openxmlformats.org/drawingml/2006/picture">
                      <pic:pic xmlns:pic="http://schemas.openxmlformats.org/drawingml/2006/picture">
                        <pic:nvPicPr>
                          <pic:cNvPr id="18" name="Picture_48"/>
                          <pic:cNvPicPr/>
                        </pic:nvPicPr>
                        <pic:blipFill>
                          <a:blip r:embed="rId41"/>
                          <a:stretch>
                            <a:fillRect/>
                          </a:stretch>
                        </pic:blipFill>
                        <pic:spPr>
                          <a:xfrm>
                            <a:off x="0" y="0"/>
                            <a:ext cx="838200" cy="71564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SUS304-2B不锈钢制造—台面板厚1.2㎜,水斗板厚1.0mm，—配2″去水—水斗一体冲压成型，规格：500*500*280—配304不锈钢一体冲压拦渣篮及隔水盖—路轨导向趟门—门外板厚1.0㎜，左右侧板、门内复板0.8mm—配φ50不锈钢重力脚，201不锈钢厚3mm加强型三角板加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1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A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5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4B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1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C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经济款感应龙头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0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约120*120*130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A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361950</wp:posOffset>
                  </wp:positionH>
                  <wp:positionV relativeFrom="paragraph">
                    <wp:posOffset>66675</wp:posOffset>
                  </wp:positionV>
                  <wp:extent cx="473075" cy="805815"/>
                  <wp:effectExtent l="0" t="0" r="3175" b="13335"/>
                  <wp:wrapNone/>
                  <wp:docPr id="19" name="Picture_49"/>
                  <wp:cNvGraphicFramePr/>
                  <a:graphic xmlns:a="http://schemas.openxmlformats.org/drawingml/2006/main">
                    <a:graphicData uri="http://schemas.openxmlformats.org/drawingml/2006/picture">
                      <pic:pic xmlns:pic="http://schemas.openxmlformats.org/drawingml/2006/picture">
                        <pic:nvPicPr>
                          <pic:cNvPr id="19" name="Picture_49"/>
                          <pic:cNvPicPr/>
                        </pic:nvPicPr>
                        <pic:blipFill>
                          <a:blip r:embed="rId28"/>
                          <a:stretch>
                            <a:fillRect/>
                          </a:stretch>
                        </pic:blipFill>
                        <pic:spPr>
                          <a:xfrm>
                            <a:off x="0" y="0"/>
                            <a:ext cx="47307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F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单孔台出感应龙头，配有旋转式鹅颈；防破坏2.2GPM(8.3LPM)起泡器；放水控制盒；交直流两用；手动混水阀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B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9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71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4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1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9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190500</wp:posOffset>
                  </wp:positionV>
                  <wp:extent cx="838200" cy="508000"/>
                  <wp:effectExtent l="0" t="0" r="0" b="6350"/>
                  <wp:wrapNone/>
                  <wp:docPr id="17" name="Picture_50"/>
                  <wp:cNvGraphicFramePr/>
                  <a:graphic xmlns:a="http://schemas.openxmlformats.org/drawingml/2006/main">
                    <a:graphicData uri="http://schemas.openxmlformats.org/drawingml/2006/picture">
                      <pic:pic xmlns:pic="http://schemas.openxmlformats.org/drawingml/2006/picture">
                        <pic:nvPicPr>
                          <pic:cNvPr id="17" name="Picture_50"/>
                          <pic:cNvPicPr/>
                        </pic:nvPicPr>
                        <pic:blipFill>
                          <a:blip r:embed="rId16"/>
                          <a:stretch>
                            <a:fillRect/>
                          </a:stretch>
                        </pic:blipFill>
                        <pic:spPr>
                          <a:xfrm>
                            <a:off x="0" y="0"/>
                            <a:ext cx="838200" cy="5080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B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—板材采用SUS304-2B不锈钢制造，台面板厚1.2mm—面板下衬δ15木工板减噪，木板下复铝板—门内板厚0.8mm—门外板、柜内层板、底板、侧板厚1.0㎜—路轨导向趟门—配201不锈钢厚3mm加强型三角板，φ50不锈钢重力脚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5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D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62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1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6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约1800*600*800/950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22225</wp:posOffset>
                  </wp:positionH>
                  <wp:positionV relativeFrom="paragraph">
                    <wp:posOffset>85090</wp:posOffset>
                  </wp:positionV>
                  <wp:extent cx="838200" cy="479425"/>
                  <wp:effectExtent l="0" t="0" r="0" b="15875"/>
                  <wp:wrapNone/>
                  <wp:docPr id="16" name="Picture_51"/>
                  <wp:cNvGraphicFramePr/>
                  <a:graphic xmlns:a="http://schemas.openxmlformats.org/drawingml/2006/main">
                    <a:graphicData uri="http://schemas.openxmlformats.org/drawingml/2006/picture">
                      <pic:pic xmlns:pic="http://schemas.openxmlformats.org/drawingml/2006/picture">
                        <pic:nvPicPr>
                          <pic:cNvPr id="16" name="Picture_51"/>
                          <pic:cNvPicPr/>
                        </pic:nvPicPr>
                        <pic:blipFill>
                          <a:blip r:embed="rId15"/>
                          <a:stretch>
                            <a:fillRect/>
                          </a:stretch>
                        </pic:blipFill>
                        <pic:spPr>
                          <a:xfrm>
                            <a:off x="0" y="0"/>
                            <a:ext cx="838200" cy="4794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6、冰箱配备了门体自动关闭结构，方便客户操作。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容积：约460L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7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A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7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EF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7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落地柜式洗手单星盆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432*420*800/900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4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66675</wp:posOffset>
                  </wp:positionV>
                  <wp:extent cx="761365" cy="805815"/>
                  <wp:effectExtent l="0" t="0" r="635" b="13335"/>
                  <wp:wrapNone/>
                  <wp:docPr id="11" name="Picture_52"/>
                  <wp:cNvGraphicFramePr/>
                  <a:graphic xmlns:a="http://schemas.openxmlformats.org/drawingml/2006/main">
                    <a:graphicData uri="http://schemas.openxmlformats.org/drawingml/2006/picture">
                      <pic:pic xmlns:pic="http://schemas.openxmlformats.org/drawingml/2006/picture">
                        <pic:nvPicPr>
                          <pic:cNvPr id="11" name="Picture_52"/>
                          <pic:cNvPicPr/>
                        </pic:nvPicPr>
                        <pic:blipFill>
                          <a:blip r:embed="rId27"/>
                          <a:stretch>
                            <a:fillRect/>
                          </a:stretch>
                        </pic:blipFill>
                        <pic:spPr>
                          <a:xfrm>
                            <a:off x="0" y="0"/>
                            <a:ext cx="76136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F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—板材采用SUS304-2B不锈钢制造—台面背板厚1.2㎜,水斗板厚1.0mm，左右侧板0.8mm—水斗一体冲压折弯成型，规格：350*248*145—柜式结构无卫生死角，配快拆式维修门—配￠45落水器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8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A7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8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I储物间</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9930">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A819">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EDF">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419">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DD11">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1F96">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6FD8">
            <w:pPr>
              <w:jc w:val="center"/>
              <w:rPr>
                <w:rFonts w:hint="eastAsia" w:ascii="宋体" w:hAnsi="宋体" w:eastAsia="宋体" w:cs="宋体"/>
                <w:i w:val="0"/>
                <w:iCs w:val="0"/>
                <w:color w:val="000000"/>
                <w:sz w:val="20"/>
                <w:szCs w:val="20"/>
                <w:u w:val="none"/>
              </w:rPr>
            </w:pPr>
          </w:p>
        </w:tc>
      </w:tr>
      <w:tr w14:paraId="23B5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D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立式四门冷冻柜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3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约1220*750*1960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A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247650</wp:posOffset>
                  </wp:positionH>
                  <wp:positionV relativeFrom="paragraph">
                    <wp:posOffset>266700</wp:posOffset>
                  </wp:positionV>
                  <wp:extent cx="601345" cy="805815"/>
                  <wp:effectExtent l="0" t="0" r="8255" b="13335"/>
                  <wp:wrapNone/>
                  <wp:docPr id="39" name="Picture_54"/>
                  <wp:cNvGraphicFramePr/>
                  <a:graphic xmlns:a="http://schemas.openxmlformats.org/drawingml/2006/main">
                    <a:graphicData uri="http://schemas.openxmlformats.org/drawingml/2006/picture">
                      <pic:pic xmlns:pic="http://schemas.openxmlformats.org/drawingml/2006/picture">
                        <pic:nvPicPr>
                          <pic:cNvPr id="39" name="Picture_54"/>
                          <pic:cNvPicPr/>
                        </pic:nvPicPr>
                        <pic:blipFill>
                          <a:blip r:embed="rId42"/>
                          <a:stretch>
                            <a:fillRect/>
                          </a:stretch>
                        </pic:blipFill>
                        <pic:spPr>
                          <a:xfrm>
                            <a:off x="0" y="0"/>
                            <a:ext cx="60134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4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电源：220V/50HZ，输入功率：282W，电流：1.8A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-22～-15℃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6、配备数显电子温控，控制精度更高。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容积：840L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7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9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0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57E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F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6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四层板货架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1125*500*1800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7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66675</wp:posOffset>
                  </wp:positionV>
                  <wp:extent cx="671830" cy="843280"/>
                  <wp:effectExtent l="0" t="0" r="13970" b="13970"/>
                  <wp:wrapNone/>
                  <wp:docPr id="37" name="Picture_55"/>
                  <wp:cNvGraphicFramePr/>
                  <a:graphic xmlns:a="http://schemas.openxmlformats.org/drawingml/2006/main">
                    <a:graphicData uri="http://schemas.openxmlformats.org/drawingml/2006/picture">
                      <pic:pic xmlns:pic="http://schemas.openxmlformats.org/drawingml/2006/picture">
                        <pic:nvPicPr>
                          <pic:cNvPr id="37" name="Picture_55"/>
                          <pic:cNvPicPr/>
                        </pic:nvPicPr>
                        <pic:blipFill>
                          <a:blip r:embed="rId43"/>
                          <a:stretch>
                            <a:fillRect/>
                          </a:stretch>
                        </pic:blipFill>
                        <pic:spPr>
                          <a:xfrm>
                            <a:off x="0" y="0"/>
                            <a:ext cx="671830" cy="84328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B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—采用全不锈钢制作—板材采用SUS304-2B不锈钢制造—层板厚1.0mm不锈钢板—面板下采用折弯一体加强码，板厚0.8~1.2mm—φ38mm厚度1.0mm不锈钢圆通腿—配全钢可调式子弹脚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A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7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2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0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5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卧式两门冷冻柜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1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B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12065</wp:posOffset>
                  </wp:positionH>
                  <wp:positionV relativeFrom="paragraph">
                    <wp:posOffset>576580</wp:posOffset>
                  </wp:positionV>
                  <wp:extent cx="838200" cy="518160"/>
                  <wp:effectExtent l="0" t="0" r="0" b="15240"/>
                  <wp:wrapNone/>
                  <wp:docPr id="38" name="Picture_56"/>
                  <wp:cNvGraphicFramePr/>
                  <a:graphic xmlns:a="http://schemas.openxmlformats.org/drawingml/2006/main">
                    <a:graphicData uri="http://schemas.openxmlformats.org/drawingml/2006/picture">
                      <pic:pic xmlns:pic="http://schemas.openxmlformats.org/drawingml/2006/picture">
                        <pic:nvPicPr>
                          <pic:cNvPr id="38" name="Picture_56"/>
                          <pic:cNvPicPr/>
                        </pic:nvPicPr>
                        <pic:blipFill>
                          <a:blip r:embed="rId34"/>
                          <a:stretch>
                            <a:fillRect/>
                          </a:stretch>
                        </pic:blipFill>
                        <pic:spPr>
                          <a:xfrm>
                            <a:off x="0" y="0"/>
                            <a:ext cx="838200" cy="51816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电源：220V/50HZ，输入功率：465W，电流：3.6A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-22～-15℃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1、内外箱均采用优质不锈钢板材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2、箱体门框，中柱内部的高效防凝露加热丝，能有效防止门磁条密封性不跑冷气，防止门框结露、滴水，保证客户的使用效果和环境卫生；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3、高效节能系统，导热好经久耐用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4、微电脑控制面板；一体发泡技术箱体强度高，坚固耐用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5、自动回归门，内箱底板拐角处为圆弧过渡，无卫生死角易清理箱体为采用聚氨酯整体发泡，保温性能好，降低能耗；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6、采用知名品牌，性能稳定；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7、全铜管冷凝器、蒸发器,铜管外部增加电镀防腐涂层，换热效率高，制冷效果好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3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C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5E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8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J网红打卡区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076C">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E78">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8A8A">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B37D">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0BBA">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8E9D">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2895">
            <w:pPr>
              <w:jc w:val="center"/>
              <w:rPr>
                <w:rFonts w:hint="eastAsia" w:ascii="宋体" w:hAnsi="宋体" w:eastAsia="宋体" w:cs="宋体"/>
                <w:i w:val="0"/>
                <w:iCs w:val="0"/>
                <w:color w:val="000000"/>
                <w:sz w:val="20"/>
                <w:szCs w:val="20"/>
                <w:u w:val="none"/>
              </w:rPr>
            </w:pPr>
          </w:p>
        </w:tc>
      </w:tr>
      <w:tr w14:paraId="2501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5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D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立式四玻璃门冷藏柜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8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约1220*750*1960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A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161290</wp:posOffset>
                  </wp:positionH>
                  <wp:positionV relativeFrom="paragraph">
                    <wp:posOffset>33020</wp:posOffset>
                  </wp:positionV>
                  <wp:extent cx="549910" cy="805815"/>
                  <wp:effectExtent l="0" t="0" r="2540" b="13335"/>
                  <wp:wrapNone/>
                  <wp:docPr id="36" name="Picture_57"/>
                  <wp:cNvGraphicFramePr/>
                  <a:graphic xmlns:a="http://schemas.openxmlformats.org/drawingml/2006/main">
                    <a:graphicData uri="http://schemas.openxmlformats.org/drawingml/2006/picture">
                      <pic:pic xmlns:pic="http://schemas.openxmlformats.org/drawingml/2006/picture">
                        <pic:nvPicPr>
                          <pic:cNvPr id="36" name="Picture_57"/>
                          <pic:cNvPicPr/>
                        </pic:nvPicPr>
                        <pic:blipFill>
                          <a:blip r:embed="rId44"/>
                          <a:stretch>
                            <a:fillRect/>
                          </a:stretch>
                        </pic:blipFill>
                        <pic:spPr>
                          <a:xfrm>
                            <a:off x="0" y="0"/>
                            <a:ext cx="54991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A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电源：220V/50HZ，输入功率：405W，电流：2.5A，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1、内外箱均为优质不锈钢板,四门透明钢化玻璃；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2、使用品牌压缩机，全铜管冷凝器、蒸发器；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容积：880L^^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0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D79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F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K洗漱区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0D83">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6C69">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16B2">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3EE7">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DC08">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44DC">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82DD">
            <w:pPr>
              <w:jc w:val="center"/>
              <w:rPr>
                <w:rFonts w:hint="eastAsia" w:ascii="宋体" w:hAnsi="宋体" w:eastAsia="宋体" w:cs="宋体"/>
                <w:i w:val="0"/>
                <w:iCs w:val="0"/>
                <w:color w:val="000000"/>
                <w:sz w:val="20"/>
                <w:szCs w:val="20"/>
                <w:u w:val="none"/>
              </w:rPr>
            </w:pPr>
          </w:p>
        </w:tc>
      </w:tr>
      <w:tr w14:paraId="040A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单星污碟台（左星右收残）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8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-27305</wp:posOffset>
                  </wp:positionH>
                  <wp:positionV relativeFrom="paragraph">
                    <wp:posOffset>297180</wp:posOffset>
                  </wp:positionV>
                  <wp:extent cx="838200" cy="722630"/>
                  <wp:effectExtent l="0" t="0" r="0" b="1270"/>
                  <wp:wrapNone/>
                  <wp:docPr id="40" name="Picture_58"/>
                  <wp:cNvGraphicFramePr/>
                  <a:graphic xmlns:a="http://schemas.openxmlformats.org/drawingml/2006/main">
                    <a:graphicData uri="http://schemas.openxmlformats.org/drawingml/2006/picture">
                      <pic:pic xmlns:pic="http://schemas.openxmlformats.org/drawingml/2006/picture">
                        <pic:nvPicPr>
                          <pic:cNvPr id="40" name="Picture_58"/>
                          <pic:cNvPicPr/>
                        </pic:nvPicPr>
                        <pic:blipFill>
                          <a:blip r:embed="rId45"/>
                          <a:stretch>
                            <a:fillRect/>
                          </a:stretch>
                        </pic:blipFill>
                        <pic:spPr>
                          <a:xfrm>
                            <a:off x="0" y="0"/>
                            <a:ext cx="838200" cy="72263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A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—台面板厚1.2㎜,水斗板厚1.0mm，前板、侧板厚0.8mm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—配2″去水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—水斗规格：L*500*280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C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C5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K01a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B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F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346075</wp:posOffset>
                  </wp:positionH>
                  <wp:positionV relativeFrom="paragraph">
                    <wp:posOffset>215900</wp:posOffset>
                  </wp:positionV>
                  <wp:extent cx="419100" cy="316865"/>
                  <wp:effectExtent l="0" t="0" r="0" b="6985"/>
                  <wp:wrapNone/>
                  <wp:docPr id="77" name="Picture_3_SpCnt_7"/>
                  <wp:cNvGraphicFramePr/>
                  <a:graphic xmlns:a="http://schemas.openxmlformats.org/drawingml/2006/main">
                    <a:graphicData uri="http://schemas.openxmlformats.org/drawingml/2006/picture">
                      <pic:pic xmlns:pic="http://schemas.openxmlformats.org/drawingml/2006/picture">
                        <pic:nvPicPr>
                          <pic:cNvPr id="77" name="Picture_3_SpCnt_7"/>
                          <pic:cNvPicPr/>
                        </pic:nvPicPr>
                        <pic:blipFill>
                          <a:blip r:embed="rId14"/>
                          <a:stretch>
                            <a:fillRect/>
                          </a:stretch>
                        </pic:blipFill>
                        <pic:spPr>
                          <a:xfrm>
                            <a:off x="0" y="0"/>
                            <a:ext cx="419100" cy="31686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8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2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A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7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7D2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B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高压花洒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约190*360*980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219075</wp:posOffset>
                  </wp:positionV>
                  <wp:extent cx="518160" cy="638175"/>
                  <wp:effectExtent l="0" t="0" r="15240" b="9525"/>
                  <wp:wrapNone/>
                  <wp:docPr id="84" name="Picture_59"/>
                  <wp:cNvGraphicFramePr/>
                  <a:graphic xmlns:a="http://schemas.openxmlformats.org/drawingml/2006/main">
                    <a:graphicData uri="http://schemas.openxmlformats.org/drawingml/2006/picture">
                      <pic:pic xmlns:pic="http://schemas.openxmlformats.org/drawingml/2006/picture">
                        <pic:nvPicPr>
                          <pic:cNvPr id="84" name="Picture_59"/>
                          <pic:cNvPicPr/>
                        </pic:nvPicPr>
                        <pic:blipFill>
                          <a:blip r:embed="rId46"/>
                          <a:stretch>
                            <a:fillRect/>
                          </a:stretch>
                        </pic:blipFill>
                        <pic:spPr>
                          <a:xfrm>
                            <a:off x="0" y="0"/>
                            <a:ext cx="518160" cy="6381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2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流量5.38LPM/1.42GPM指标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抛光镀铬黄铜本体，直管壁厚2.54mm～6.6mm，无铅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黄铜压缩阀芯带有止回阀可防止水流回流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18"不锈钢供水软管，可调墙出支架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，；一字手柄带有冷热水标色螺丝；大流量喷阀； 6"(152mm)墙出支架；开孔：孔径38mm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0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32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罩式洗碗机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2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690*72</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*150</w:t>
            </w:r>
            <w:r>
              <w:rPr>
                <w:rFonts w:hint="eastAsia" w:ascii="宋体" w:hAnsi="宋体" w:cs="宋体"/>
                <w:i w:val="0"/>
                <w:iCs w:val="0"/>
                <w:color w:val="000000"/>
                <w:kern w:val="0"/>
                <w:sz w:val="20"/>
                <w:szCs w:val="20"/>
                <w:u w:val="none"/>
                <w:lang w:val="en-US" w:eastAsia="zh-CN" w:bidi="ar"/>
              </w:rPr>
              <w:t>0</w:t>
            </w:r>
          </w:p>
        </w:tc>
        <w:tc>
          <w:tcPr>
            <w:tcW w:w="1650" w:type="dxa"/>
            <w:tcBorders>
              <w:top w:val="nil"/>
              <w:left w:val="nil"/>
              <w:bottom w:val="nil"/>
              <w:right w:val="nil"/>
            </w:tcBorders>
            <w:shd w:val="clear" w:color="auto" w:fill="auto"/>
            <w:noWrap/>
            <w:vAlign w:val="center"/>
          </w:tcPr>
          <w:p w14:paraId="5E0E3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590550</wp:posOffset>
                  </wp:positionV>
                  <wp:extent cx="575310" cy="805815"/>
                  <wp:effectExtent l="0" t="0" r="15240" b="13335"/>
                  <wp:wrapNone/>
                  <wp:docPr id="89" name="Picture_60"/>
                  <wp:cNvGraphicFramePr/>
                  <a:graphic xmlns:a="http://schemas.openxmlformats.org/drawingml/2006/main">
                    <a:graphicData uri="http://schemas.openxmlformats.org/drawingml/2006/picture">
                      <pic:pic xmlns:pic="http://schemas.openxmlformats.org/drawingml/2006/picture">
                        <pic:nvPicPr>
                          <pic:cNvPr id="89" name="Picture_60"/>
                          <pic:cNvPicPr/>
                        </pic:nvPicPr>
                        <pic:blipFill>
                          <a:blip r:embed="rId47"/>
                          <a:stretch>
                            <a:fillRect/>
                          </a:stretch>
                        </pic:blipFill>
                        <pic:spPr>
                          <a:xfrm>
                            <a:off x="0" y="0"/>
                            <a:ext cx="57531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3A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加热方式：电加热；洗涤量：60筐/小时；功能段：清洗+漂洗；洗碗机清洗后的餐具卫生指标和残留细菌指标要求达到国家食品卫生标准和规范的要求。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体的性能及参数：1.电子控制面板、数码显示温度、一键开机、关机、故障代码显示等。2.操作简单只需关上操作杆即可清洗，操作结束后，3个方向均可将门打开。3.清洗水箱时，无需拆卸洗碗固定架，只需将洗碗固定架向上一提，即可清洗水箱4.洗涤时间可根据用户碗碟的洁净程度调节洗涤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5.耗水量：350-400L/小时6.最大清洗高度:400mm</w:t>
            </w:r>
          </w:p>
          <w:p w14:paraId="2067D2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▲1、依据GJB 150.10A-2009 , GB/T 2423.16 -2022  、GB14934-2016对洗碗机进行以下项目检测：一、霉菌试验（黑曲霉、土曲霉、宛氏拟青霉、郝绿青霉、短柄帚霉、绿色木霉、杂色曲霉、黄曲霉、笋状青霉、球毛壳霉、黑曲霉）；二、304不锈钢板盐雾试验；三、清洗后的碗碟中大肠菌群、沙门氏菌、金黄色葡萄球菌、溶血性链球菌、阴离子合成洗涤剂的含量，检测结果均判定为：合格（</w:t>
            </w:r>
            <w:r>
              <w:rPr>
                <w:rFonts w:hint="eastAsia" w:ascii="宋体" w:hAnsi="宋体" w:cs="宋体"/>
                <w:i w:val="0"/>
                <w:iCs w:val="0"/>
                <w:color w:val="000000"/>
                <w:kern w:val="0"/>
                <w:sz w:val="20"/>
                <w:szCs w:val="20"/>
                <w:u w:val="none"/>
                <w:lang w:val="en-US" w:eastAsia="zh-CN" w:bidi="ar"/>
              </w:rPr>
              <w:t xml:space="preserve"> 提供相关</w:t>
            </w:r>
            <w:r>
              <w:rPr>
                <w:rFonts w:hint="eastAsia" w:ascii="宋体" w:hAnsi="宋体" w:eastAsia="宋体" w:cs="宋体"/>
                <w:i w:val="0"/>
                <w:iCs w:val="0"/>
                <w:color w:val="000000"/>
                <w:kern w:val="0"/>
                <w:sz w:val="20"/>
                <w:szCs w:val="20"/>
                <w:u w:val="none"/>
                <w:lang w:val="en-US" w:eastAsia="zh-CN" w:bidi="ar"/>
              </w:rPr>
              <w:t>检测报告）</w:t>
            </w:r>
          </w:p>
          <w:p w14:paraId="707935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▲2、依据GB/T 26125-2011《电子电气产品 六种限用物质（铅、汞、镉、六价铬、多溴联苯和多溴二苯醚）》、GB/T 26572-2011《电子电气产品中限用物质的限量要求》、《电器电子产品有害物质限制使用自愿性认证实施规则》，对洗碗机的外壳、清洗组件、触控板、总闸外壳、总闸控制板、总闸手板开关、总闸配件、排水阀、线束组件、电机、水管、水箱、压力阀等进行铅、镉、汞、六价铬、多溴联苯、多溴二苯醚的检测，所检项目的结果符合 GB/T 26572-2011 及《达标管理目录限用物质应用例外清单》的限值要求。（提供</w:t>
            </w:r>
            <w:r>
              <w:rPr>
                <w:rFonts w:hint="eastAsia" w:ascii="宋体" w:hAnsi="宋体" w:cs="宋体"/>
                <w:i w:val="0"/>
                <w:iCs w:val="0"/>
                <w:color w:val="000000"/>
                <w:kern w:val="0"/>
                <w:sz w:val="20"/>
                <w:szCs w:val="20"/>
                <w:u w:val="none"/>
                <w:lang w:val="en-US" w:eastAsia="zh-CN" w:bidi="ar"/>
              </w:rPr>
              <w:t>相关</w:t>
            </w:r>
            <w:r>
              <w:rPr>
                <w:rFonts w:hint="eastAsia" w:ascii="宋体" w:hAnsi="宋体" w:eastAsia="宋体" w:cs="宋体"/>
                <w:i w:val="0"/>
                <w:iCs w:val="0"/>
                <w:color w:val="000000"/>
                <w:kern w:val="0"/>
                <w:sz w:val="20"/>
                <w:szCs w:val="20"/>
                <w:u w:val="none"/>
                <w:lang w:val="en-US" w:eastAsia="zh-CN" w:bidi="ar"/>
              </w:rPr>
              <w:t>检测报告）</w:t>
            </w:r>
          </w:p>
          <w:p w14:paraId="60098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▲3、所投洗碗机须提供权威检测机构出具的：依据GB 21551.2-2010《家用和类似用途电器的抗菌、除菌、净化功能  抗菌材料的特殊要求》，对输送带的塑料内胆、门衬、门封条、按键（开关）、金属外壳的表面涂层进行防霉等级与抗菌率的检测，检测结果为合格的检测报告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D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D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A2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1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洗碗机烟罩（揭盖）</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5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约1100*1100*500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361950</wp:posOffset>
                  </wp:positionV>
                  <wp:extent cx="838200" cy="356235"/>
                  <wp:effectExtent l="0" t="0" r="0" b="5715"/>
                  <wp:wrapNone/>
                  <wp:docPr id="94" name="Picture_61"/>
                  <wp:cNvGraphicFramePr/>
                  <a:graphic xmlns:a="http://schemas.openxmlformats.org/drawingml/2006/main">
                    <a:graphicData uri="http://schemas.openxmlformats.org/drawingml/2006/picture">
                      <pic:pic xmlns:pic="http://schemas.openxmlformats.org/drawingml/2006/picture">
                        <pic:nvPicPr>
                          <pic:cNvPr id="94" name="Picture_61"/>
                          <pic:cNvPicPr/>
                        </pic:nvPicPr>
                        <pic:blipFill>
                          <a:blip r:embed="rId48"/>
                          <a:stretch>
                            <a:fillRect/>
                          </a:stretch>
                        </pic:blipFill>
                        <pic:spPr>
                          <a:xfrm>
                            <a:off x="0" y="0"/>
                            <a:ext cx="838200" cy="35623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E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—配沥水网板及照明灯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—前板、左右端板厚1.2mm，顶板、后板厚1.0mm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—各加强档厚1.0~1.2mm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—风机排烟风管另计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F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D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83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1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L型洁碟台B</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（1200+1400）*750*800/950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D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171450</wp:posOffset>
                  </wp:positionV>
                  <wp:extent cx="838200" cy="664845"/>
                  <wp:effectExtent l="0" t="0" r="0" b="1905"/>
                  <wp:wrapNone/>
                  <wp:docPr id="74" name="Picture_62"/>
                  <wp:cNvGraphicFramePr/>
                  <a:graphic xmlns:a="http://schemas.openxmlformats.org/drawingml/2006/main">
                    <a:graphicData uri="http://schemas.openxmlformats.org/drawingml/2006/picture">
                      <pic:pic xmlns:pic="http://schemas.openxmlformats.org/drawingml/2006/picture">
                        <pic:nvPicPr>
                          <pic:cNvPr id="74" name="Picture_62"/>
                          <pic:cNvPicPr/>
                        </pic:nvPicPr>
                        <pic:blipFill>
                          <a:blip r:embed="rId49"/>
                          <a:stretch>
                            <a:fillRect/>
                          </a:stretch>
                        </pic:blipFill>
                        <pic:spPr>
                          <a:xfrm>
                            <a:off x="0" y="0"/>
                            <a:ext cx="838200" cy="66484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5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—台面板厚1.2㎜,水斗板厚1.0mm，前板、侧板厚0.8mm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4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9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A60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5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三星盆台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6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238125</wp:posOffset>
                  </wp:positionV>
                  <wp:extent cx="838200" cy="461010"/>
                  <wp:effectExtent l="0" t="0" r="0" b="15240"/>
                  <wp:wrapNone/>
                  <wp:docPr id="99" name="Picture_63"/>
                  <wp:cNvGraphicFramePr/>
                  <a:graphic xmlns:a="http://schemas.openxmlformats.org/drawingml/2006/main">
                    <a:graphicData uri="http://schemas.openxmlformats.org/drawingml/2006/picture">
                      <pic:pic xmlns:pic="http://schemas.openxmlformats.org/drawingml/2006/picture">
                        <pic:nvPicPr>
                          <pic:cNvPr id="99" name="Picture_63"/>
                          <pic:cNvPicPr/>
                        </pic:nvPicPr>
                        <pic:blipFill>
                          <a:blip r:embed="rId50"/>
                          <a:stretch>
                            <a:fillRect/>
                          </a:stretch>
                        </pic:blipFill>
                        <pic:spPr>
                          <a:xfrm>
                            <a:off x="0" y="0"/>
                            <a:ext cx="838200" cy="4610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—板材采用SUS304-2B不锈钢制造—台面板厚1.2㎜,水斗板厚1.0mm—配2″去水—面板一体冲压成型—水斗一体冲压规格：500*500*280—φ38mm厚度1.0mm不锈钢圆通腿—φ25mm厚度1.0mm不锈钢下橫通—配全钢可调式子弹脚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D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6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8E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3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K06a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6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A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193675</wp:posOffset>
                  </wp:positionH>
                  <wp:positionV relativeFrom="paragraph">
                    <wp:posOffset>111125</wp:posOffset>
                  </wp:positionV>
                  <wp:extent cx="419100" cy="317500"/>
                  <wp:effectExtent l="0" t="0" r="0" b="6350"/>
                  <wp:wrapNone/>
                  <wp:docPr id="68" name="Picture_3_SpCnt_8"/>
                  <wp:cNvGraphicFramePr/>
                  <a:graphic xmlns:a="http://schemas.openxmlformats.org/drawingml/2006/main">
                    <a:graphicData uri="http://schemas.openxmlformats.org/drawingml/2006/picture">
                      <pic:pic xmlns:pic="http://schemas.openxmlformats.org/drawingml/2006/picture">
                        <pic:nvPicPr>
                          <pic:cNvPr id="68" name="Picture_3_SpCnt_8"/>
                          <pic:cNvPicPr/>
                        </pic:nvPicPr>
                        <pic:blipFill>
                          <a:blip r:embed="rId14"/>
                          <a:stretch>
                            <a:fillRect/>
                          </a:stretch>
                        </pic:blipFill>
                        <pic:spPr>
                          <a:xfrm>
                            <a:off x="0" y="0"/>
                            <a:ext cx="419100" cy="3175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2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D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C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49D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工作台带水池（右星）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F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152400</wp:posOffset>
                  </wp:positionV>
                  <wp:extent cx="838200" cy="540385"/>
                  <wp:effectExtent l="0" t="0" r="0" b="12065"/>
                  <wp:wrapNone/>
                  <wp:docPr id="73" name="Picture_64"/>
                  <wp:cNvGraphicFramePr/>
                  <a:graphic xmlns:a="http://schemas.openxmlformats.org/drawingml/2006/main">
                    <a:graphicData uri="http://schemas.openxmlformats.org/drawingml/2006/picture">
                      <pic:pic xmlns:pic="http://schemas.openxmlformats.org/drawingml/2006/picture">
                        <pic:nvPicPr>
                          <pic:cNvPr id="73" name="Picture_64"/>
                          <pic:cNvPicPr/>
                        </pic:nvPicPr>
                        <pic:blipFill>
                          <a:blip r:embed="rId51"/>
                          <a:stretch>
                            <a:fillRect/>
                          </a:stretch>
                        </pic:blipFill>
                        <pic:spPr>
                          <a:xfrm>
                            <a:off x="0" y="0"/>
                            <a:ext cx="838200" cy="54038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1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水斗板厚1.0mm，—配2″去水—水斗一体冲压成型，规格：500*500*280—配304不锈钢一体冲压拦渣篮及隔水盖—φ38mm厚度1.0mm不锈钢圆通腿—φ25mm厚度1.0mm不锈钢下橫通—配不锈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E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E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5EE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8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K07a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4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双温龙头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8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A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279400</wp:posOffset>
                  </wp:positionH>
                  <wp:positionV relativeFrom="paragraph">
                    <wp:posOffset>120650</wp:posOffset>
                  </wp:positionV>
                  <wp:extent cx="419100" cy="316865"/>
                  <wp:effectExtent l="0" t="0" r="0" b="6985"/>
                  <wp:wrapNone/>
                  <wp:docPr id="69" name="Picture_3_SpCnt_9"/>
                  <wp:cNvGraphicFramePr/>
                  <a:graphic xmlns:a="http://schemas.openxmlformats.org/drawingml/2006/main">
                    <a:graphicData uri="http://schemas.openxmlformats.org/drawingml/2006/picture">
                      <pic:pic xmlns:pic="http://schemas.openxmlformats.org/drawingml/2006/picture">
                        <pic:nvPicPr>
                          <pic:cNvPr id="69" name="Picture_3_SpCnt_9"/>
                          <pic:cNvPicPr/>
                        </pic:nvPicPr>
                        <pic:blipFill>
                          <a:blip r:embed="rId14"/>
                          <a:stretch>
                            <a:fillRect/>
                          </a:stretch>
                        </pic:blipFill>
                        <pic:spPr>
                          <a:xfrm>
                            <a:off x="0" y="0"/>
                            <a:ext cx="419100" cy="31686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0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主体黄铜，黄铜陶瓷阀芯，合金手柄，不锈钢管径18, 厚0.8mm，开孔25，两孔中心可调节90-215mm。水嘴符合CQC检测GB18145-2014陶瓷片密封水嘴及GB25501-2019水嘴限定值水效等级检测。具有CQC节水证书。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6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2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3FC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高身储碟柜（翻门)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266700</wp:posOffset>
                  </wp:positionH>
                  <wp:positionV relativeFrom="paragraph">
                    <wp:posOffset>142875</wp:posOffset>
                  </wp:positionV>
                  <wp:extent cx="594995" cy="805815"/>
                  <wp:effectExtent l="0" t="0" r="14605" b="13335"/>
                  <wp:wrapNone/>
                  <wp:docPr id="75" name="Picture_65"/>
                  <wp:cNvGraphicFramePr/>
                  <a:graphic xmlns:a="http://schemas.openxmlformats.org/drawingml/2006/main">
                    <a:graphicData uri="http://schemas.openxmlformats.org/drawingml/2006/picture">
                      <pic:pic xmlns:pic="http://schemas.openxmlformats.org/drawingml/2006/picture">
                        <pic:nvPicPr>
                          <pic:cNvPr id="75" name="Picture_65"/>
                          <pic:cNvPicPr/>
                        </pic:nvPicPr>
                        <pic:blipFill>
                          <a:blip r:embed="rId52"/>
                          <a:stretch>
                            <a:fillRect/>
                          </a:stretch>
                        </pic:blipFill>
                        <pic:spPr>
                          <a:xfrm>
                            <a:off x="0" y="0"/>
                            <a:ext cx="59499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3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层板、底板厚为1.0mm，门外板厚1.0mm—门内复板厚0.8mm，顶板厚0.8mm，侧板厚0.8mm—上掀式V型滑轨，弧型轴承，一种带轴承的翻门结构—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E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3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411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7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C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双门热风循环消毒柜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1310*635*1880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5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276225</wp:posOffset>
                  </wp:positionV>
                  <wp:extent cx="652145" cy="790575"/>
                  <wp:effectExtent l="0" t="0" r="14605" b="9525"/>
                  <wp:wrapNone/>
                  <wp:docPr id="80" name="Picture_66"/>
                  <wp:cNvGraphicFramePr/>
                  <a:graphic xmlns:a="http://schemas.openxmlformats.org/drawingml/2006/main">
                    <a:graphicData uri="http://schemas.openxmlformats.org/drawingml/2006/picture">
                      <pic:pic xmlns:pic="http://schemas.openxmlformats.org/drawingml/2006/picture">
                        <pic:nvPicPr>
                          <pic:cNvPr id="80" name="Picture_66"/>
                          <pic:cNvPicPr/>
                        </pic:nvPicPr>
                        <pic:blipFill>
                          <a:blip r:embed="rId53"/>
                          <a:stretch>
                            <a:fillRect/>
                          </a:stretch>
                        </pic:blipFill>
                        <pic:spPr>
                          <a:xfrm>
                            <a:off x="0" y="0"/>
                            <a:ext cx="652145" cy="7905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D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1、内外箱均为优质不锈钢板；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2、使用耐高温风机、不锈钢加热管及微电脑控制板；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3、柜内配备不锈钢网篮，网框为不锈钢材质，表面二次镀镍防锈，卫生、耐用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4、内箱板材厚度0.7mm，外箱板材厚度0.8mm。外箱顶部及外箱后背板使用环保无锌花表面钝化优质镀锌板；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5、产品具有消毒产品卫生许可证，电器安全检测报告。 30~150℃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9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B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F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E4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9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环保型灭蝇器（粘捕）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360*155*200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E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266700</wp:posOffset>
                  </wp:positionV>
                  <wp:extent cx="838200" cy="495300"/>
                  <wp:effectExtent l="0" t="0" r="0" b="0"/>
                  <wp:wrapNone/>
                  <wp:docPr id="70" name="Picture_67"/>
                  <wp:cNvGraphicFramePr/>
                  <a:graphic xmlns:a="http://schemas.openxmlformats.org/drawingml/2006/main">
                    <a:graphicData uri="http://schemas.openxmlformats.org/drawingml/2006/picture">
                      <pic:pic xmlns:pic="http://schemas.openxmlformats.org/drawingml/2006/picture">
                        <pic:nvPicPr>
                          <pic:cNvPr id="70" name="Picture_67"/>
                          <pic:cNvPicPr/>
                        </pic:nvPicPr>
                        <pic:blipFill>
                          <a:blip r:embed="rId54"/>
                          <a:stretch>
                            <a:fillRect/>
                          </a:stretch>
                        </pic:blipFill>
                        <pic:spPr>
                          <a:xfrm>
                            <a:off x="0" y="0"/>
                            <a:ext cx="838200" cy="4953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配优质双灯管，紫外线灯管功率≥8W*2，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灭蚊原理: 粘捕式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诱蚊方式: UVA紫光灯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适用面积：30~60㎡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F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3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9B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L就餐区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78AF">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1756">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1824">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442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76D0">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50AB">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E583">
            <w:pPr>
              <w:jc w:val="center"/>
              <w:rPr>
                <w:rFonts w:hint="eastAsia" w:ascii="宋体" w:hAnsi="宋体" w:eastAsia="宋体" w:cs="宋体"/>
                <w:i w:val="0"/>
                <w:iCs w:val="0"/>
                <w:color w:val="000000"/>
                <w:sz w:val="20"/>
                <w:szCs w:val="20"/>
                <w:u w:val="none"/>
              </w:rPr>
            </w:pPr>
          </w:p>
        </w:tc>
      </w:tr>
      <w:tr w14:paraId="2E12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1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D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上下玻璃门中温消毒柜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57</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*44</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*162</w:t>
            </w:r>
            <w:r>
              <w:rPr>
                <w:rFonts w:hint="eastAsia" w:ascii="宋体" w:hAnsi="宋体" w:cs="宋体"/>
                <w:i w:val="0"/>
                <w:iCs w:val="0"/>
                <w:color w:val="000000"/>
                <w:kern w:val="0"/>
                <w:sz w:val="20"/>
                <w:szCs w:val="20"/>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4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108585</wp:posOffset>
                  </wp:positionH>
                  <wp:positionV relativeFrom="paragraph">
                    <wp:posOffset>95250</wp:posOffset>
                  </wp:positionV>
                  <wp:extent cx="786765" cy="805815"/>
                  <wp:effectExtent l="0" t="0" r="13335" b="13335"/>
                  <wp:wrapNone/>
                  <wp:docPr id="86" name="Picture_68"/>
                  <wp:cNvGraphicFramePr/>
                  <a:graphic xmlns:a="http://schemas.openxmlformats.org/drawingml/2006/main">
                    <a:graphicData uri="http://schemas.openxmlformats.org/drawingml/2006/picture">
                      <pic:pic xmlns:pic="http://schemas.openxmlformats.org/drawingml/2006/picture">
                        <pic:nvPicPr>
                          <pic:cNvPr id="86" name="Picture_68"/>
                          <pic:cNvPicPr/>
                        </pic:nvPicPr>
                        <pic:blipFill>
                          <a:blip r:embed="rId55"/>
                          <a:stretch>
                            <a:fillRect/>
                          </a:stretch>
                        </pic:blipFill>
                        <pic:spPr>
                          <a:xfrm>
                            <a:off x="0" y="0"/>
                            <a:ext cx="786765"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9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 390L/功率 900W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烘干方式 中温烘干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消毒方式 臭氧消毒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消毒烘干方式 臭氧消毒+中温烘干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消毒温度 75℃/消毒时间 ≥30min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 立式/控制方式 按键控制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面板材质 钢化玻璃，不锈钢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烘干温度 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内胆承重 25kg/工作周期 ≥30min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适合人数 20-50人/臭氧浓度 5-30mg/m3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电源类型 220V/50Hz</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E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9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5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1EA1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F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P排烟</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0417">
            <w:pPr>
              <w:jc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F79C">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02C7">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3719">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F458">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EEC6">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2055">
            <w:pPr>
              <w:jc w:val="center"/>
              <w:rPr>
                <w:rFonts w:hint="eastAsia" w:ascii="宋体" w:hAnsi="宋体" w:eastAsia="宋体" w:cs="宋体"/>
                <w:i w:val="0"/>
                <w:iCs w:val="0"/>
                <w:color w:val="000000"/>
                <w:sz w:val="20"/>
                <w:szCs w:val="20"/>
                <w:u w:val="none"/>
              </w:rPr>
            </w:pPr>
          </w:p>
        </w:tc>
      </w:tr>
      <w:tr w14:paraId="3D4F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5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不锈钢风管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380365</wp:posOffset>
                  </wp:positionH>
                  <wp:positionV relativeFrom="paragraph">
                    <wp:posOffset>508000</wp:posOffset>
                  </wp:positionV>
                  <wp:extent cx="499745" cy="281940"/>
                  <wp:effectExtent l="0" t="0" r="14605" b="3810"/>
                  <wp:wrapNone/>
                  <wp:docPr id="85" name="Picture_8_SpCnt_1"/>
                  <wp:cNvGraphicFramePr/>
                  <a:graphic xmlns:a="http://schemas.openxmlformats.org/drawingml/2006/main">
                    <a:graphicData uri="http://schemas.openxmlformats.org/drawingml/2006/picture">
                      <pic:pic xmlns:pic="http://schemas.openxmlformats.org/drawingml/2006/picture">
                        <pic:nvPicPr>
                          <pic:cNvPr id="85" name="Picture_8_SpCnt_1"/>
                          <pic:cNvPicPr/>
                        </pic:nvPicPr>
                        <pic:blipFill>
                          <a:blip r:embed="rId56"/>
                          <a:stretch>
                            <a:fillRect/>
                          </a:stretch>
                        </pic:blipFill>
                        <pic:spPr>
                          <a:xfrm>
                            <a:off x="0" y="0"/>
                            <a:ext cx="499745" cy="28194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4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—采用优质201不锈钢板制造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—风管长边≤600mm时候采用板厚0.8mm，风管长边大于600mm且≤1000时候采用板厚1.0mm，风管长边大于1000mm时候采用板厚1.0mm并内衬加强档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—配套法兰采用镀锌角铁制造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—法兰采用镀锌螺丝固定，法兰间采用耐火隔热材料密封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规格：定制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1</w:t>
            </w:r>
            <w:r>
              <w:rPr>
                <w:rFonts w:hint="eastAsia" w:ascii="宋体" w:hAnsi="宋体" w:cs="宋体"/>
                <w:i w:val="0"/>
                <w:iCs w:val="0"/>
                <w:color w:val="FF0000"/>
                <w:kern w:val="0"/>
                <w:sz w:val="20"/>
                <w:szCs w:val="20"/>
                <w:u w:val="none"/>
                <w:lang w:val="en-US" w:eastAsia="zh-CN" w:bidi="ar"/>
              </w:rPr>
              <w:t>5</w:t>
            </w:r>
            <w:r>
              <w:rPr>
                <w:rFonts w:hint="eastAsia" w:ascii="宋体" w:hAnsi="宋体" w:eastAsia="宋体" w:cs="宋体"/>
                <w:i w:val="0"/>
                <w:iCs w:val="0"/>
                <w:color w:val="FF0000"/>
                <w:kern w:val="0"/>
                <w:sz w:val="20"/>
                <w:szCs w:val="20"/>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B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5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F4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398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8999">
            <w:pPr>
              <w:jc w:val="left"/>
              <w:rPr>
                <w:rFonts w:hint="eastAsia" w:ascii="宋体" w:hAnsi="宋体" w:eastAsia="宋体" w:cs="宋体"/>
                <w:i w:val="0"/>
                <w:iCs w:val="0"/>
                <w:color w:val="auto"/>
                <w:sz w:val="11"/>
                <w:szCs w:val="11"/>
                <w:u w:val="none"/>
              </w:rPr>
            </w:pPr>
            <w:r>
              <w:rPr>
                <w:rFonts w:hint="eastAsia" w:ascii="宋体" w:hAnsi="宋体" w:eastAsia="宋体" w:cs="宋体"/>
                <w:b/>
                <w:bCs/>
                <w:i w:val="0"/>
                <w:iCs w:val="0"/>
                <w:color w:val="auto"/>
                <w:kern w:val="0"/>
                <w:sz w:val="32"/>
                <w:szCs w:val="32"/>
                <w:u w:val="none"/>
                <w:lang w:val="en-US" w:eastAsia="zh-CN" w:bidi="ar"/>
              </w:rPr>
              <w:t>二层厨房</w:t>
            </w:r>
          </w:p>
        </w:tc>
      </w:tr>
      <w:tr w14:paraId="21E9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1E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A杂项</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8F69">
            <w:pPr>
              <w:jc w:val="center"/>
              <w:rPr>
                <w:rFonts w:hint="eastAsia" w:ascii="宋体" w:hAnsi="宋体" w:eastAsia="宋体" w:cs="宋体"/>
                <w:b/>
                <w:bCs/>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A6D8">
            <w:pPr>
              <w:jc w:val="center"/>
              <w:rPr>
                <w:rFonts w:hint="eastAsia" w:ascii="宋体" w:hAnsi="宋体" w:eastAsia="宋体" w:cs="宋体"/>
                <w:b/>
                <w:bCs/>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6FDF">
            <w:pPr>
              <w:jc w:val="center"/>
              <w:rPr>
                <w:rFonts w:hint="eastAsia" w:ascii="宋体" w:hAnsi="宋体" w:eastAsia="宋体" w:cs="宋体"/>
                <w:b/>
                <w:bCs/>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33DC">
            <w:pPr>
              <w:jc w:val="left"/>
              <w:rPr>
                <w:rFonts w:hint="eastAsia" w:ascii="宋体" w:hAnsi="宋体" w:eastAsia="宋体" w:cs="宋体"/>
                <w:b/>
                <w:bCs/>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8546">
            <w:pPr>
              <w:jc w:val="center"/>
              <w:rPr>
                <w:rFonts w:hint="eastAsia" w:ascii="宋体" w:hAnsi="宋体" w:eastAsia="宋体" w:cs="宋体"/>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554F">
            <w:pPr>
              <w:jc w:val="center"/>
              <w:rPr>
                <w:rFonts w:hint="eastAsia" w:ascii="宋体" w:hAnsi="宋体" w:eastAsia="宋体" w:cs="宋体"/>
                <w:b/>
                <w:bCs/>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0978">
            <w:pPr>
              <w:jc w:val="center"/>
              <w:rPr>
                <w:rFonts w:hint="eastAsia" w:ascii="宋体" w:hAnsi="宋体" w:eastAsia="宋体" w:cs="宋体"/>
                <w:b/>
                <w:bCs/>
                <w:i w:val="0"/>
                <w:iCs w:val="0"/>
                <w:color w:val="000000"/>
                <w:sz w:val="20"/>
                <w:szCs w:val="20"/>
                <w:u w:val="none"/>
              </w:rPr>
            </w:pPr>
          </w:p>
        </w:tc>
      </w:tr>
      <w:tr w14:paraId="3405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风幕机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F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与0.9米门配套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390525</wp:posOffset>
                  </wp:positionV>
                  <wp:extent cx="626745" cy="330835"/>
                  <wp:effectExtent l="0" t="0" r="1905" b="12065"/>
                  <wp:wrapNone/>
                  <wp:docPr id="91" name="Picture_5_SpCnt_1"/>
                  <wp:cNvGraphicFramePr/>
                  <a:graphic xmlns:a="http://schemas.openxmlformats.org/drawingml/2006/main">
                    <a:graphicData uri="http://schemas.openxmlformats.org/drawingml/2006/picture">
                      <pic:pic xmlns:pic="http://schemas.openxmlformats.org/drawingml/2006/picture">
                        <pic:nvPicPr>
                          <pic:cNvPr id="91" name="Picture_5_SpCnt_1"/>
                          <pic:cNvPicPr/>
                        </pic:nvPicPr>
                        <pic:blipFill>
                          <a:blip r:embed="rId57"/>
                          <a:stretch>
                            <a:fillRect/>
                          </a:stretch>
                        </pic:blipFill>
                        <pic:spPr>
                          <a:xfrm>
                            <a:off x="0" y="0"/>
                            <a:ext cx="626745" cy="33083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F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额定电压220V，功率250W;风口风量1000-2900m3/h,材质铁壳风机，低噪音风机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1、贯流式强力送风轻松在室内外之间形成一道隐形的风幕墙，隔开室内外空气的同时，更可将灰尘，飞虫等阻挡于室外。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2、遮断效果佳，风路升级体现高风速，低噪音运转。</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8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2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80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204B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E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环保型灭蝇器（粘捕）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约360*155*200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B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180975</wp:posOffset>
                  </wp:positionH>
                  <wp:positionV relativeFrom="paragraph">
                    <wp:posOffset>381000</wp:posOffset>
                  </wp:positionV>
                  <wp:extent cx="609600" cy="386080"/>
                  <wp:effectExtent l="0" t="0" r="0" b="13970"/>
                  <wp:wrapNone/>
                  <wp:docPr id="96" name="Picture_7_SpCnt_1"/>
                  <wp:cNvGraphicFramePr/>
                  <a:graphic xmlns:a="http://schemas.openxmlformats.org/drawingml/2006/main">
                    <a:graphicData uri="http://schemas.openxmlformats.org/drawingml/2006/picture">
                      <pic:pic xmlns:pic="http://schemas.openxmlformats.org/drawingml/2006/picture">
                        <pic:nvPicPr>
                          <pic:cNvPr id="96" name="Picture_7_SpCnt_1"/>
                          <pic:cNvPicPr/>
                        </pic:nvPicPr>
                        <pic:blipFill>
                          <a:blip r:embed="rId58"/>
                          <a:stretch>
                            <a:fillRect/>
                          </a:stretch>
                        </pic:blipFill>
                        <pic:spPr>
                          <a:xfrm>
                            <a:off x="0" y="0"/>
                            <a:ext cx="609600" cy="38608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6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配优质双灯管，紫外线灯管功率≥8W*2，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灭蚊原理: 粘捕式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诱蚊方式: UVA紫光灯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适用面积：30~60㎡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6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E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6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41AB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D2AB">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B厨房区域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9F19">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1287">
            <w:pPr>
              <w:jc w:val="center"/>
              <w:rPr>
                <w:rFonts w:hint="eastAsia" w:ascii="宋体" w:hAnsi="宋体" w:eastAsia="宋体" w:cs="宋体"/>
                <w:i w:val="0"/>
                <w:iCs w:val="0"/>
                <w:color w:val="000000"/>
                <w:sz w:val="20"/>
                <w:szCs w:val="20"/>
                <w:u w:val="none"/>
              </w:rPr>
            </w:pPr>
          </w:p>
        </w:tc>
        <w:tc>
          <w:tcPr>
            <w:tcW w:w="5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44A4">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8D31">
            <w:pPr>
              <w:jc w:val="center"/>
              <w:rPr>
                <w:rFonts w:hint="eastAsia" w:ascii="宋体" w:hAnsi="宋体" w:eastAsia="宋体" w:cs="宋体"/>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0C0A">
            <w:pPr>
              <w:jc w:val="center"/>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9019">
            <w:pPr>
              <w:jc w:val="center"/>
              <w:rPr>
                <w:rFonts w:hint="eastAsia" w:ascii="宋体" w:hAnsi="宋体" w:eastAsia="宋体" w:cs="宋体"/>
                <w:i w:val="0"/>
                <w:iCs w:val="0"/>
                <w:color w:val="000000"/>
                <w:sz w:val="20"/>
                <w:szCs w:val="20"/>
                <w:u w:val="none"/>
              </w:rPr>
            </w:pPr>
          </w:p>
        </w:tc>
      </w:tr>
      <w:tr w14:paraId="085D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4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D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单星剖鱼盆台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5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B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285750</wp:posOffset>
                  </wp:positionV>
                  <wp:extent cx="695325" cy="592455"/>
                  <wp:effectExtent l="0" t="0" r="9525" b="17145"/>
                  <wp:wrapNone/>
                  <wp:docPr id="88" name="Picture_3_SpCnt_10"/>
                  <wp:cNvGraphicFramePr/>
                  <a:graphic xmlns:a="http://schemas.openxmlformats.org/drawingml/2006/main">
                    <a:graphicData uri="http://schemas.openxmlformats.org/drawingml/2006/picture">
                      <pic:pic xmlns:pic="http://schemas.openxmlformats.org/drawingml/2006/picture">
                        <pic:nvPicPr>
                          <pic:cNvPr id="88" name="Picture_3_SpCnt_10"/>
                          <pic:cNvPicPr/>
                        </pic:nvPicPr>
                        <pic:blipFill>
                          <a:blip r:embed="rId59"/>
                          <a:stretch>
                            <a:fillRect/>
                          </a:stretch>
                        </pic:blipFill>
                        <pic:spPr>
                          <a:xfrm>
                            <a:off x="0" y="0"/>
                            <a:ext cx="695325" cy="59245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—采用SUS304-2B不锈钢板制造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—台面板厚1.2㎜,水斗板厚1.0mm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—配2″去水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—水斗一体冲压规格：500*500*280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0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D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A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7C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0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星盆龙头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BBE6">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2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381000</wp:posOffset>
                  </wp:positionH>
                  <wp:positionV relativeFrom="paragraph">
                    <wp:posOffset>352425</wp:posOffset>
                  </wp:positionV>
                  <wp:extent cx="426085" cy="390525"/>
                  <wp:effectExtent l="0" t="0" r="12065" b="9525"/>
                  <wp:wrapNone/>
                  <wp:docPr id="95" name="图片_121"/>
                  <wp:cNvGraphicFramePr/>
                  <a:graphic xmlns:a="http://schemas.openxmlformats.org/drawingml/2006/main">
                    <a:graphicData uri="http://schemas.openxmlformats.org/drawingml/2006/picture">
                      <pic:pic xmlns:pic="http://schemas.openxmlformats.org/drawingml/2006/picture">
                        <pic:nvPicPr>
                          <pic:cNvPr id="95" name="图片_121"/>
                          <pic:cNvPicPr/>
                        </pic:nvPicPr>
                        <pic:blipFill>
                          <a:blip r:embed="rId60"/>
                          <a:stretch>
                            <a:fillRect/>
                          </a:stretch>
                        </pic:blipFill>
                        <pic:spPr>
                          <a:xfrm>
                            <a:off x="0" y="0"/>
                            <a:ext cx="426085" cy="3905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—座台式双孔双温、主体美标低铅铜铸造表面抛光镀铬处理。                                  —配1/4转优质陶瓷阀芯一字型手柄。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—十寸（254mm）平颈水嘴，铜管厚度1.5mm, 360度可旋转。                                           —开孔尺寸25mm*2,左右开孔间距101mm(偏芯设计可调范围15mm)，进水接口为标准1/2''外螺纹。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—总高度230mm,出水口距台面149mm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5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B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D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812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3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B01b</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1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0891">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400050</wp:posOffset>
                  </wp:positionH>
                  <wp:positionV relativeFrom="paragraph">
                    <wp:posOffset>285750</wp:posOffset>
                  </wp:positionV>
                  <wp:extent cx="276225" cy="466725"/>
                  <wp:effectExtent l="0" t="0" r="9525" b="9525"/>
                  <wp:wrapNone/>
                  <wp:docPr id="78" name="Picture_19_SpCnt_1"/>
                  <wp:cNvGraphicFramePr/>
                  <a:graphic xmlns:a="http://schemas.openxmlformats.org/drawingml/2006/main">
                    <a:graphicData uri="http://schemas.openxmlformats.org/drawingml/2006/picture">
                      <pic:pic xmlns:pic="http://schemas.openxmlformats.org/drawingml/2006/picture">
                        <pic:nvPicPr>
                          <pic:cNvPr id="78" name="Picture_19_SpCnt_1"/>
                          <pic:cNvPicPr/>
                        </pic:nvPicPr>
                        <pic:blipFill>
                          <a:blip r:embed="rId61"/>
                          <a:stretch>
                            <a:fillRect/>
                          </a:stretch>
                        </pic:blipFill>
                        <pic:spPr>
                          <a:xfrm>
                            <a:off x="0" y="0"/>
                            <a:ext cx="276225" cy="4667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B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—座台式单孔双温高压花洒、黄铜铸造表面抛光镀铬处理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—优质陶瓷阀芯、一字手柄                                                              —横向固定杆长度300mm,工作高度1210                                   —打孔尺寸32mm, 标准1/2''外螺纹                                          —不锈钢软管配大流量喷阀，耐热手柄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CC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9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0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定制简易工作台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E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333375</wp:posOffset>
                  </wp:positionV>
                  <wp:extent cx="504825" cy="504825"/>
                  <wp:effectExtent l="0" t="0" r="9525" b="9525"/>
                  <wp:wrapNone/>
                  <wp:docPr id="104" name="Picture_4_SpCnt_1"/>
                  <wp:cNvGraphicFramePr/>
                  <a:graphic xmlns:a="http://schemas.openxmlformats.org/drawingml/2006/main">
                    <a:graphicData uri="http://schemas.openxmlformats.org/drawingml/2006/picture">
                      <pic:pic xmlns:pic="http://schemas.openxmlformats.org/drawingml/2006/picture">
                        <pic:nvPicPr>
                          <pic:cNvPr id="104" name="Picture_4_SpCnt_1"/>
                          <pic:cNvPicPr/>
                        </pic:nvPicPr>
                        <pic:blipFill>
                          <a:blip r:embed="rId62"/>
                          <a:stretch>
                            <a:fillRect/>
                          </a:stretch>
                        </pic:blipFill>
                        <pic:spPr>
                          <a:xfrm>
                            <a:off x="0" y="0"/>
                            <a:ext cx="504825" cy="5048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9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—台面板采用SUS 304-2B不锈钢板制造，厚度为1.2mm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—面板下衬δ15木工板减噪，木板下复铝板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—撑档φ25*1.0mm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—加强码用0.8~1.2mm不锈钢板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8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6C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7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双星盆台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E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D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171450</wp:posOffset>
                  </wp:positionH>
                  <wp:positionV relativeFrom="paragraph">
                    <wp:posOffset>381000</wp:posOffset>
                  </wp:positionV>
                  <wp:extent cx="647700" cy="495300"/>
                  <wp:effectExtent l="0" t="0" r="0" b="0"/>
                  <wp:wrapNone/>
                  <wp:docPr id="83" name="Picture_9_SpCnt_1"/>
                  <wp:cNvGraphicFramePr/>
                  <a:graphic xmlns:a="http://schemas.openxmlformats.org/drawingml/2006/main">
                    <a:graphicData uri="http://schemas.openxmlformats.org/drawingml/2006/picture">
                      <pic:pic xmlns:pic="http://schemas.openxmlformats.org/drawingml/2006/picture">
                        <pic:nvPicPr>
                          <pic:cNvPr id="83" name="Picture_9_SpCnt_1"/>
                          <pic:cNvPicPr/>
                        </pic:nvPicPr>
                        <pic:blipFill>
                          <a:blip r:embed="rId63"/>
                          <a:stretch>
                            <a:fillRect/>
                          </a:stretch>
                        </pic:blipFill>
                        <pic:spPr>
                          <a:xfrm>
                            <a:off x="0" y="0"/>
                            <a:ext cx="647700" cy="4953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B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—台面板厚1.2㎜,水斗板厚1.2mm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—配2″去水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—面板一体冲压成型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—水斗规格：730*500*280mm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D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7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0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8B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B03a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星盆龙头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2C1E">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7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266700</wp:posOffset>
                  </wp:positionH>
                  <wp:positionV relativeFrom="paragraph">
                    <wp:posOffset>314325</wp:posOffset>
                  </wp:positionV>
                  <wp:extent cx="426085" cy="390525"/>
                  <wp:effectExtent l="0" t="0" r="12065" b="9525"/>
                  <wp:wrapNone/>
                  <wp:docPr id="97" name="图片_121_SpCnt_1"/>
                  <wp:cNvGraphicFramePr/>
                  <a:graphic xmlns:a="http://schemas.openxmlformats.org/drawingml/2006/main">
                    <a:graphicData uri="http://schemas.openxmlformats.org/drawingml/2006/picture">
                      <pic:pic xmlns:pic="http://schemas.openxmlformats.org/drawingml/2006/picture">
                        <pic:nvPicPr>
                          <pic:cNvPr id="97" name="图片_121_SpCnt_1"/>
                          <pic:cNvPicPr/>
                        </pic:nvPicPr>
                        <pic:blipFill>
                          <a:blip r:embed="rId60"/>
                          <a:stretch>
                            <a:fillRect/>
                          </a:stretch>
                        </pic:blipFill>
                        <pic:spPr>
                          <a:xfrm>
                            <a:off x="0" y="0"/>
                            <a:ext cx="426085" cy="3905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A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—座台式双孔双温、主体美标低铅铜铸造表面抛光镀铬处理。                                  —配1/4转优质陶瓷阀芯一字型手柄。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—十寸（254mm）平颈水嘴，铜管厚度1.5mm, 360度可旋转。                                           —开孔尺寸25mm*2,左右开孔间距101mm(偏芯设计可调范围15mm)，进水接口为标准1/2''外螺纹。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—总高度230mm,出水口距台面149mm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3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C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4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94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7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F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燃气热水器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5826">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16L</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D4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64135</wp:posOffset>
                  </wp:positionH>
                  <wp:positionV relativeFrom="paragraph">
                    <wp:posOffset>95885</wp:posOffset>
                  </wp:positionV>
                  <wp:extent cx="704850" cy="528320"/>
                  <wp:effectExtent l="0" t="0" r="0" b="5080"/>
                  <wp:wrapNone/>
                  <wp:docPr id="66" name="Picture_10_SpCnt_1"/>
                  <wp:cNvGraphicFramePr/>
                  <a:graphic xmlns:a="http://schemas.openxmlformats.org/drawingml/2006/main">
                    <a:graphicData uri="http://schemas.openxmlformats.org/drawingml/2006/picture">
                      <pic:pic xmlns:pic="http://schemas.openxmlformats.org/drawingml/2006/picture">
                        <pic:nvPicPr>
                          <pic:cNvPr id="66" name="Picture_10_SpCnt_1"/>
                          <pic:cNvPicPr/>
                        </pic:nvPicPr>
                        <pic:blipFill>
                          <a:blip r:embed="rId64"/>
                          <a:stretch>
                            <a:fillRect/>
                          </a:stretch>
                        </pic:blipFill>
                        <pic:spPr>
                          <a:xfrm>
                            <a:off x="0" y="0"/>
                            <a:ext cx="704850" cy="52832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A74B">
            <w:pPr>
              <w:jc w:val="left"/>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智能显示屏，智控恒温，双层进水滤网，银离子长效抑菌，低水压启动，低气压燃烧，铜制进出口减少水质污染。</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A0E0">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9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08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双星污碟台（左收残）</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2090*750*850/1050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76200</wp:posOffset>
                  </wp:positionH>
                  <wp:positionV relativeFrom="paragraph">
                    <wp:posOffset>352425</wp:posOffset>
                  </wp:positionV>
                  <wp:extent cx="800100" cy="626745"/>
                  <wp:effectExtent l="0" t="0" r="0" b="1905"/>
                  <wp:wrapNone/>
                  <wp:docPr id="72" name="Picture_7_SpCnt_2"/>
                  <wp:cNvGraphicFramePr/>
                  <a:graphic xmlns:a="http://schemas.openxmlformats.org/drawingml/2006/main">
                    <a:graphicData uri="http://schemas.openxmlformats.org/drawingml/2006/picture">
                      <pic:pic xmlns:pic="http://schemas.openxmlformats.org/drawingml/2006/picture">
                        <pic:nvPicPr>
                          <pic:cNvPr id="72" name="Picture_7_SpCnt_2"/>
                          <pic:cNvPicPr/>
                        </pic:nvPicPr>
                        <pic:blipFill>
                          <a:blip r:embed="rId65"/>
                          <a:stretch>
                            <a:fillRect/>
                          </a:stretch>
                        </pic:blipFill>
                        <pic:spPr>
                          <a:xfrm>
                            <a:off x="0" y="0"/>
                            <a:ext cx="800100" cy="62674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9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—台面采用SUS304-2B不锈钢板制造板厚1.2㎜,水斗板厚1.0mm，前板、侧板厚0.8mm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—配两只星盆，尺寸定制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6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C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D0B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2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B05a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A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星盆龙头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0320">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9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371475</wp:posOffset>
                  </wp:positionH>
                  <wp:positionV relativeFrom="paragraph">
                    <wp:posOffset>381000</wp:posOffset>
                  </wp:positionV>
                  <wp:extent cx="426085" cy="390525"/>
                  <wp:effectExtent l="0" t="0" r="12065" b="9525"/>
                  <wp:wrapNone/>
                  <wp:docPr id="106" name="图片_121_SpCnt_2"/>
                  <wp:cNvGraphicFramePr/>
                  <a:graphic xmlns:a="http://schemas.openxmlformats.org/drawingml/2006/main">
                    <a:graphicData uri="http://schemas.openxmlformats.org/drawingml/2006/picture">
                      <pic:pic xmlns:pic="http://schemas.openxmlformats.org/drawingml/2006/picture">
                        <pic:nvPicPr>
                          <pic:cNvPr id="106" name="图片_121_SpCnt_2"/>
                          <pic:cNvPicPr/>
                        </pic:nvPicPr>
                        <pic:blipFill>
                          <a:blip r:embed="rId60"/>
                          <a:stretch>
                            <a:fillRect/>
                          </a:stretch>
                        </pic:blipFill>
                        <pic:spPr>
                          <a:xfrm>
                            <a:off x="0" y="0"/>
                            <a:ext cx="426085" cy="3905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4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—座台式双孔双温、主体美标低铅铜铸造表面抛光镀铬处理。                                  —配1/4转优质陶瓷阀芯一字型手柄。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—十寸（254mm）平颈水嘴，铜管厚度1.5mm, 360度可旋转。                                           —开孔尺寸25mm*2,左右开孔间距101mm(偏芯设计可调范围15mm)，进水接口为标准1/2''外螺纹。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—总高度230mm,出水口距台面149mm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3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D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C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A7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0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B05b</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5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509">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3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428625</wp:posOffset>
                  </wp:positionH>
                  <wp:positionV relativeFrom="paragraph">
                    <wp:posOffset>285750</wp:posOffset>
                  </wp:positionV>
                  <wp:extent cx="276225" cy="466725"/>
                  <wp:effectExtent l="0" t="0" r="9525" b="9525"/>
                  <wp:wrapNone/>
                  <wp:docPr id="100" name="Picture_19_SpCnt_2"/>
                  <wp:cNvGraphicFramePr/>
                  <a:graphic xmlns:a="http://schemas.openxmlformats.org/drawingml/2006/main">
                    <a:graphicData uri="http://schemas.openxmlformats.org/drawingml/2006/picture">
                      <pic:pic xmlns:pic="http://schemas.openxmlformats.org/drawingml/2006/picture">
                        <pic:nvPicPr>
                          <pic:cNvPr id="100" name="Picture_19_SpCnt_2"/>
                          <pic:cNvPicPr/>
                        </pic:nvPicPr>
                        <pic:blipFill>
                          <a:blip r:embed="rId61"/>
                          <a:stretch>
                            <a:fillRect/>
                          </a:stretch>
                        </pic:blipFill>
                        <pic:spPr>
                          <a:xfrm>
                            <a:off x="0" y="0"/>
                            <a:ext cx="276225" cy="4667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5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—座台式单孔双温高压花洒、黄铜铸造表面抛光镀铬处理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—优质陶瓷阀芯、一字手柄                                                              —横向固定杆长度300mm,工作高度1210                                   —打孔尺寸32mm, 标准1/2''外螺纹                                          —不锈钢软管配大流量喷阀，耐热手柄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E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2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31E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0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0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罩式洗碗机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C1B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约690*720*1500</w:t>
            </w:r>
          </w:p>
        </w:tc>
        <w:tc>
          <w:tcPr>
            <w:tcW w:w="1650" w:type="dxa"/>
            <w:tcBorders>
              <w:top w:val="nil"/>
              <w:left w:val="nil"/>
              <w:bottom w:val="nil"/>
              <w:right w:val="nil"/>
            </w:tcBorders>
            <w:shd w:val="clear" w:color="auto" w:fill="auto"/>
            <w:noWrap/>
            <w:vAlign w:val="center"/>
          </w:tcPr>
          <w:p w14:paraId="51776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88265</wp:posOffset>
                  </wp:positionH>
                  <wp:positionV relativeFrom="paragraph">
                    <wp:posOffset>320040</wp:posOffset>
                  </wp:positionV>
                  <wp:extent cx="575310" cy="805815"/>
                  <wp:effectExtent l="0" t="0" r="15240" b="13335"/>
                  <wp:wrapNone/>
                  <wp:docPr id="111" name="Picture_60_SpCnt_1"/>
                  <wp:cNvGraphicFramePr/>
                  <a:graphic xmlns:a="http://schemas.openxmlformats.org/drawingml/2006/main">
                    <a:graphicData uri="http://schemas.openxmlformats.org/drawingml/2006/picture">
                      <pic:pic xmlns:pic="http://schemas.openxmlformats.org/drawingml/2006/picture">
                        <pic:nvPicPr>
                          <pic:cNvPr id="111" name="Picture_60_SpCnt_1"/>
                          <pic:cNvPicPr/>
                        </pic:nvPicPr>
                        <pic:blipFill>
                          <a:blip r:embed="rId47"/>
                          <a:stretch>
                            <a:fillRect/>
                          </a:stretch>
                        </pic:blipFill>
                        <pic:spPr>
                          <a:xfrm>
                            <a:off x="0" y="0"/>
                            <a:ext cx="575310" cy="8058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7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加热方式：电加热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洗涤量：60筐/小时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功能段：清洗+漂洗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洗碗机清洗后的餐具卫生指标和残留细菌指标要求达到国家食品卫生标准和规范的要求。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体的性能及参数：1.电子控制面板、数码显示温度、一键开机、关机、故障代码显示等。2.操作简单只需关上操作杆即可清洗，操作结束后，3个方向均可将门打开。3.清洗水箱时，无需拆卸洗碗固定架，只需将洗碗固定架向上一提，即可清洗水箱4.洗涤时间可根据用户碗碟的洁净程度调节洗涤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5.耗水量：350-400L/小时6.最大清洗高度:400mm</w:t>
            </w:r>
          </w:p>
          <w:p w14:paraId="096035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▲1、依据GJB 150.10A-2009 , GB/T 2423.16 -2022  、GB14934-2016对洗碗机进行以下项目检测：一、霉菌试验（黑曲霉、土曲霉、宛氏拟青霉、郝绿青霉、短柄帚霉、绿色木霉、杂色曲霉、黄曲霉、笋状青霉、球毛壳霉、黑曲霉）；二、304不锈钢板盐雾试验；三、清洗后的碗碟中大肠菌群、沙门氏菌、金黄色葡萄球菌、溶血性链球菌、阴离子合成洗涤剂的含量，检测结果均判定为：合格（提供</w:t>
            </w:r>
            <w:r>
              <w:rPr>
                <w:rFonts w:hint="eastAsia" w:ascii="宋体" w:hAnsi="宋体" w:cs="宋体"/>
                <w:i w:val="0"/>
                <w:iCs w:val="0"/>
                <w:color w:val="000000"/>
                <w:kern w:val="0"/>
                <w:sz w:val="20"/>
                <w:szCs w:val="20"/>
                <w:u w:val="none"/>
                <w:lang w:val="en-US" w:eastAsia="zh-CN" w:bidi="ar"/>
              </w:rPr>
              <w:t>相关</w:t>
            </w:r>
            <w:r>
              <w:rPr>
                <w:rFonts w:hint="eastAsia" w:ascii="宋体" w:hAnsi="宋体" w:eastAsia="宋体" w:cs="宋体"/>
                <w:i w:val="0"/>
                <w:iCs w:val="0"/>
                <w:color w:val="000000"/>
                <w:kern w:val="0"/>
                <w:sz w:val="20"/>
                <w:szCs w:val="20"/>
                <w:u w:val="none"/>
                <w:lang w:val="en-US" w:eastAsia="zh-CN" w:bidi="ar"/>
              </w:rPr>
              <w:t>检测报告）</w:t>
            </w:r>
          </w:p>
          <w:p w14:paraId="736D9D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▲2、依据GB/T 26125-2011《电子电气产品 六种限用物质（铅、汞、镉、六价铬、多溴联苯和多溴二苯醚）》、GB/T 26572-2011《电子电气产品中限用物质的限量要求》、《电器电子产品有害物质限制使用自愿性认证实施规则》，对洗碗机的外壳、清洗组件、触控板、总闸外壳、总闸控制板、总闸手板开关、总闸配件、排水阀、线束组件、电机、水管、水箱、压力阀等进行铅、镉、汞、六价铬、多溴联苯、多溴二苯醚的检测，所检项目的结果符合 GB/T 26572-2011 及《达标管理目录限用物质应用例外清单》的限值要求。（提供</w:t>
            </w:r>
            <w:r>
              <w:rPr>
                <w:rFonts w:hint="eastAsia" w:ascii="宋体" w:hAnsi="宋体" w:cs="宋体"/>
                <w:i w:val="0"/>
                <w:iCs w:val="0"/>
                <w:color w:val="000000"/>
                <w:kern w:val="0"/>
                <w:sz w:val="20"/>
                <w:szCs w:val="20"/>
                <w:u w:val="none"/>
                <w:lang w:val="en-US" w:eastAsia="zh-CN" w:bidi="ar"/>
              </w:rPr>
              <w:t>相关</w:t>
            </w:r>
            <w:r>
              <w:rPr>
                <w:rFonts w:hint="eastAsia" w:ascii="宋体" w:hAnsi="宋体" w:eastAsia="宋体" w:cs="宋体"/>
                <w:i w:val="0"/>
                <w:iCs w:val="0"/>
                <w:color w:val="000000"/>
                <w:kern w:val="0"/>
                <w:sz w:val="20"/>
                <w:szCs w:val="20"/>
                <w:u w:val="none"/>
                <w:lang w:val="en-US" w:eastAsia="zh-CN" w:bidi="ar"/>
              </w:rPr>
              <w:t>检测报告）</w:t>
            </w:r>
          </w:p>
          <w:p w14:paraId="6E267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▲3、所投洗碗机须提供权威检测机构出具的：依据GB 21551.2-2010《家用和类似用途电器的抗菌、除菌、净化功能  抗菌材料的特殊要求》，对输送带的塑料内胆、门衬、门封条、按键（开关）、金属外壳的表面涂层进行防霉等级与抗菌率的检测，检测结果为合格的检测报告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9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E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D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504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洗碗机烟罩（揭盖）</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D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1000*1100*500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1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161925</wp:posOffset>
                  </wp:positionH>
                  <wp:positionV relativeFrom="paragraph">
                    <wp:posOffset>333375</wp:posOffset>
                  </wp:positionV>
                  <wp:extent cx="742950" cy="351155"/>
                  <wp:effectExtent l="0" t="0" r="0" b="10795"/>
                  <wp:wrapNone/>
                  <wp:docPr id="109" name="Picture_9_SpCnt_2"/>
                  <wp:cNvGraphicFramePr/>
                  <a:graphic xmlns:a="http://schemas.openxmlformats.org/drawingml/2006/main">
                    <a:graphicData uri="http://schemas.openxmlformats.org/drawingml/2006/picture">
                      <pic:pic xmlns:pic="http://schemas.openxmlformats.org/drawingml/2006/picture">
                        <pic:nvPicPr>
                          <pic:cNvPr id="109" name="Picture_9_SpCnt_2"/>
                          <pic:cNvPicPr/>
                        </pic:nvPicPr>
                        <pic:blipFill>
                          <a:blip r:embed="rId66"/>
                          <a:stretch>
                            <a:fillRect/>
                          </a:stretch>
                        </pic:blipFill>
                        <pic:spPr>
                          <a:xfrm>
                            <a:off x="0" y="0"/>
                            <a:ext cx="742950" cy="35115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6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—配沥水网板及照明灯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—前板、左右端板厚1.2mm，顶板、后板厚1.0mm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—各加强档厚1.0~1.2mm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—风机排烟风管另计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7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7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1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2C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B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洁碟台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E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800*750*850/1050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7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180975</wp:posOffset>
                  </wp:positionH>
                  <wp:positionV relativeFrom="paragraph">
                    <wp:posOffset>219075</wp:posOffset>
                  </wp:positionV>
                  <wp:extent cx="628650" cy="530860"/>
                  <wp:effectExtent l="0" t="0" r="0" b="2540"/>
                  <wp:wrapNone/>
                  <wp:docPr id="67" name="Picture_10_SpCnt_2"/>
                  <wp:cNvGraphicFramePr/>
                  <a:graphic xmlns:a="http://schemas.openxmlformats.org/drawingml/2006/main">
                    <a:graphicData uri="http://schemas.openxmlformats.org/drawingml/2006/picture">
                      <pic:pic xmlns:pic="http://schemas.openxmlformats.org/drawingml/2006/picture">
                        <pic:nvPicPr>
                          <pic:cNvPr id="67" name="Picture_10_SpCnt_2"/>
                          <pic:cNvPicPr/>
                        </pic:nvPicPr>
                        <pic:blipFill>
                          <a:blip r:embed="rId67"/>
                          <a:stretch>
                            <a:fillRect/>
                          </a:stretch>
                        </pic:blipFill>
                        <pic:spPr>
                          <a:xfrm>
                            <a:off x="0" y="0"/>
                            <a:ext cx="628650" cy="53086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9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—台面采用SUS304-2B不锈钢板制造，板厚1.2mm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—前板、侧板厚0.8mm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7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C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2C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B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六眼煲仔炉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1100*950*800/1200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152400</wp:posOffset>
                  </wp:positionH>
                  <wp:positionV relativeFrom="paragraph">
                    <wp:posOffset>295275</wp:posOffset>
                  </wp:positionV>
                  <wp:extent cx="657225" cy="589280"/>
                  <wp:effectExtent l="0" t="0" r="9525" b="1270"/>
                  <wp:wrapNone/>
                  <wp:docPr id="103" name="Picture_16_SpCnt_1"/>
                  <wp:cNvGraphicFramePr/>
                  <a:graphic xmlns:a="http://schemas.openxmlformats.org/drawingml/2006/main">
                    <a:graphicData uri="http://schemas.openxmlformats.org/drawingml/2006/picture">
                      <pic:pic xmlns:pic="http://schemas.openxmlformats.org/drawingml/2006/picture">
                        <pic:nvPicPr>
                          <pic:cNvPr id="103" name="Picture_16_SpCnt_1"/>
                          <pic:cNvPicPr/>
                        </pic:nvPicPr>
                        <pic:blipFill>
                          <a:blip r:embed="rId68"/>
                          <a:stretch>
                            <a:fillRect/>
                          </a:stretch>
                        </pic:blipFill>
                        <pic:spPr>
                          <a:xfrm>
                            <a:off x="0" y="0"/>
                            <a:ext cx="657225" cy="58928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8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—炉面板厚1.2mm，开关板、后档板板厚1.0mm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—主体骨架用高强度镀锌板折弯框架结构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—φ51mm不锈钢炉腳，配调平脚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—配铸铁炉板，八角炉头，接油盘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—电子点火或压电点火，旋钮控制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—配燃气熄火保护装置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B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B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E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1E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A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A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双炒单尾撑广式灶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约1800*1200*800/1200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60325</wp:posOffset>
                  </wp:positionH>
                  <wp:positionV relativeFrom="paragraph">
                    <wp:posOffset>360045</wp:posOffset>
                  </wp:positionV>
                  <wp:extent cx="771525" cy="536575"/>
                  <wp:effectExtent l="0" t="0" r="9525" b="15875"/>
                  <wp:wrapNone/>
                  <wp:docPr id="82" name="Picture_106"/>
                  <wp:cNvGraphicFramePr/>
                  <a:graphic xmlns:a="http://schemas.openxmlformats.org/drawingml/2006/main">
                    <a:graphicData uri="http://schemas.openxmlformats.org/drawingml/2006/picture">
                      <pic:pic xmlns:pic="http://schemas.openxmlformats.org/drawingml/2006/picture">
                        <pic:nvPicPr>
                          <pic:cNvPr id="82" name="Picture_106"/>
                          <pic:cNvPicPr/>
                        </pic:nvPicPr>
                        <pic:blipFill>
                          <a:blip r:embed="rId69"/>
                          <a:stretch>
                            <a:fillRect/>
                          </a:stretch>
                        </pic:blipFill>
                        <pic:spPr>
                          <a:xfrm>
                            <a:off x="0" y="0"/>
                            <a:ext cx="771525" cy="5365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9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—炉面采用冲压面板，板厚1.2mm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—开关板、后档板厚1.0mm，水槽盖板厚0.8mm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—面板与框架之间采用隔热层，炉膛采用保温隔热措施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—主体骨架用高强度镀锌板折弯组装框架结构制作(无焊接）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—φ63mm不锈钢炉脚，内衬2"钢管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—汤罐φ250mm，配φ350mm的铸造灶圈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—冷水摇摆龙头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—电子点火，高效节能不锈钢炉头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—风机电压：220V/50HZ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—燃气熄火保护装置及燃气管路稳压装置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4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8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F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292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5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广式料台平板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3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500*1200*800/1200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232410</wp:posOffset>
                  </wp:positionV>
                  <wp:extent cx="704850" cy="739140"/>
                  <wp:effectExtent l="0" t="0" r="0" b="3810"/>
                  <wp:wrapNone/>
                  <wp:docPr id="93" name="Picture_102"/>
                  <wp:cNvGraphicFramePr/>
                  <a:graphic xmlns:a="http://schemas.openxmlformats.org/drawingml/2006/main">
                    <a:graphicData uri="http://schemas.openxmlformats.org/drawingml/2006/picture">
                      <pic:pic xmlns:pic="http://schemas.openxmlformats.org/drawingml/2006/picture">
                        <pic:nvPicPr>
                          <pic:cNvPr id="93" name="Picture_102"/>
                          <pic:cNvPicPr/>
                        </pic:nvPicPr>
                        <pic:blipFill>
                          <a:blip r:embed="rId70"/>
                          <a:stretch>
                            <a:fillRect/>
                          </a:stretch>
                        </pic:blipFill>
                        <pic:spPr>
                          <a:xfrm>
                            <a:off x="0" y="0"/>
                            <a:ext cx="704850" cy="73914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1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—台面板厚1.2mm，后挡板、前围板厚1.0mm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—φ25mm厚度1.0mm不锈钢下橫通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6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7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4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7A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A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6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单炒单尾撑广式炉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约1200*1200*800/1200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A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208915</wp:posOffset>
                  </wp:positionH>
                  <wp:positionV relativeFrom="paragraph">
                    <wp:posOffset>571500</wp:posOffset>
                  </wp:positionV>
                  <wp:extent cx="638810" cy="685800"/>
                  <wp:effectExtent l="0" t="0" r="8890" b="0"/>
                  <wp:wrapNone/>
                  <wp:docPr id="79" name="Picture_14_SpCnt_1"/>
                  <wp:cNvGraphicFramePr/>
                  <a:graphic xmlns:a="http://schemas.openxmlformats.org/drawingml/2006/main">
                    <a:graphicData uri="http://schemas.openxmlformats.org/drawingml/2006/picture">
                      <pic:pic xmlns:pic="http://schemas.openxmlformats.org/drawingml/2006/picture">
                        <pic:nvPicPr>
                          <pic:cNvPr id="79" name="Picture_14_SpCnt_1"/>
                          <pic:cNvPicPr/>
                        </pic:nvPicPr>
                        <pic:blipFill>
                          <a:blip r:embed="rId71"/>
                          <a:stretch>
                            <a:fillRect/>
                          </a:stretch>
                        </pic:blipFill>
                        <pic:spPr>
                          <a:xfrm>
                            <a:off x="0" y="0"/>
                            <a:ext cx="638810" cy="6858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—炉面采用冲压面板，板厚1.2mm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—开关板、后档板厚1.0mm，水槽盖板厚0.8mm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—面板与框架之间采用隔热层，炉膛采用保温隔热措施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—主体骨架用高强度镀锌板折弯组装框架结构制作(无焊接）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—φ63mm不锈钢炉脚，内衬2"钢管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—汤罐φ250mm，配φ350mm的铸造灶圈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—冷水摇摆龙头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—电子点火，高效节能不锈钢炉头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—风机电压：220V/50HZ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—燃气熄火保护装置及燃气管路稳压装置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1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2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1DB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E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C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燃气三门蒸柜(火排式)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5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900*880*1850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4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200025</wp:posOffset>
                  </wp:positionH>
                  <wp:positionV relativeFrom="paragraph">
                    <wp:posOffset>38100</wp:posOffset>
                  </wp:positionV>
                  <wp:extent cx="628650" cy="828675"/>
                  <wp:effectExtent l="0" t="0" r="0" b="9525"/>
                  <wp:wrapNone/>
                  <wp:docPr id="101" name="Picture_29_SpCnt_1"/>
                  <wp:cNvGraphicFramePr/>
                  <a:graphic xmlns:a="http://schemas.openxmlformats.org/drawingml/2006/main">
                    <a:graphicData uri="http://schemas.openxmlformats.org/drawingml/2006/picture">
                      <pic:pic xmlns:pic="http://schemas.openxmlformats.org/drawingml/2006/picture">
                        <pic:nvPicPr>
                          <pic:cNvPr id="101" name="Picture_29_SpCnt_1"/>
                          <pic:cNvPicPr/>
                        </pic:nvPicPr>
                        <pic:blipFill>
                          <a:blip r:embed="rId72"/>
                          <a:stretch>
                            <a:fillRect/>
                          </a:stretch>
                        </pic:blipFill>
                        <pic:spPr>
                          <a:xfrm>
                            <a:off x="0" y="0"/>
                            <a:ext cx="628650" cy="8286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D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—门面采用1.2mm304,围板及操作面板采用1.0mm304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—水胆主体厚1.2mm，燃烧火管φ32*2.5mm的304无缝管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—下箱采用优质不锈钢方管框架结构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—ф63mm不锈钢炉脚，内衬2"钢管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—采用不锈钢火排炉头，热负荷30KW,电子自动点火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—采用静音耐高温强排风机：220V//50HZ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—配自动进水及防干烧系统，和风压监测保护系统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—配燃气熄火保护装置及燃气管路稳压装置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—密封条采用食品级硅胶条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7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0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A5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4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2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沥油式油烟罩（拆装式）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6000*1300*500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F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257175</wp:posOffset>
                  </wp:positionH>
                  <wp:positionV relativeFrom="paragraph">
                    <wp:posOffset>323850</wp:posOffset>
                  </wp:positionV>
                  <wp:extent cx="590550" cy="333375"/>
                  <wp:effectExtent l="0" t="0" r="0" b="9525"/>
                  <wp:wrapNone/>
                  <wp:docPr id="81" name="Picture_19_SpCnt_3"/>
                  <wp:cNvGraphicFramePr/>
                  <a:graphic xmlns:a="http://schemas.openxmlformats.org/drawingml/2006/main">
                    <a:graphicData uri="http://schemas.openxmlformats.org/drawingml/2006/picture">
                      <pic:pic xmlns:pic="http://schemas.openxmlformats.org/drawingml/2006/picture">
                        <pic:nvPicPr>
                          <pic:cNvPr id="81" name="Picture_19_SpCnt_3"/>
                          <pic:cNvPicPr/>
                        </pic:nvPicPr>
                        <pic:blipFill>
                          <a:blip r:embed="rId73"/>
                          <a:stretch>
                            <a:fillRect/>
                          </a:stretch>
                        </pic:blipFill>
                        <pic:spPr>
                          <a:xfrm>
                            <a:off x="0" y="0"/>
                            <a:ext cx="590550" cy="3333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2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—配防雾烟罩灯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—前板、左右端板厚1.2mm，顶板、后板厚1.0mm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—各加强档厚1.0~1.2mm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—沥油板厚0.8mm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—风机排烟风管另计,220V/0.5KW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B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5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E8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B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四层档货架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7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1150*500*1800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142875</wp:posOffset>
                  </wp:positionV>
                  <wp:extent cx="695325" cy="828675"/>
                  <wp:effectExtent l="0" t="0" r="9525" b="9525"/>
                  <wp:wrapNone/>
                  <wp:docPr id="98" name="Picture_21_SpCnt_1"/>
                  <wp:cNvGraphicFramePr/>
                  <a:graphic xmlns:a="http://schemas.openxmlformats.org/drawingml/2006/main">
                    <a:graphicData uri="http://schemas.openxmlformats.org/drawingml/2006/picture">
                      <pic:pic xmlns:pic="http://schemas.openxmlformats.org/drawingml/2006/picture">
                        <pic:nvPicPr>
                          <pic:cNvPr id="98" name="Picture_21_SpCnt_1"/>
                          <pic:cNvPicPr/>
                        </pic:nvPicPr>
                        <pic:blipFill>
                          <a:blip r:embed="rId74"/>
                          <a:stretch>
                            <a:fillRect/>
                          </a:stretch>
                        </pic:blipFill>
                        <pic:spPr>
                          <a:xfrm>
                            <a:off x="0" y="0"/>
                            <a:ext cx="695325" cy="8286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—采用全不锈钢制作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—层框38*25*1.0不锈钢管制作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—搁档30*15*0.8不锈钢方管或不锈钢板折弯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—φ38mm厚度1.0mm不锈钢圆通腿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—配全钢可调式子弹脚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0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6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C8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9"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4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工作台柜(翻门)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1800*750*800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7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151765</wp:posOffset>
                  </wp:positionH>
                  <wp:positionV relativeFrom="paragraph">
                    <wp:posOffset>228600</wp:posOffset>
                  </wp:positionV>
                  <wp:extent cx="668020" cy="475615"/>
                  <wp:effectExtent l="0" t="0" r="17780" b="635"/>
                  <wp:wrapNone/>
                  <wp:docPr id="92" name="Picture_20_SpCnt_1"/>
                  <wp:cNvGraphicFramePr/>
                  <a:graphic xmlns:a="http://schemas.openxmlformats.org/drawingml/2006/main">
                    <a:graphicData uri="http://schemas.openxmlformats.org/drawingml/2006/picture">
                      <pic:pic xmlns:pic="http://schemas.openxmlformats.org/drawingml/2006/picture">
                        <pic:nvPicPr>
                          <pic:cNvPr id="92" name="Picture_20_SpCnt_1"/>
                          <pic:cNvPicPr/>
                        </pic:nvPicPr>
                        <pic:blipFill>
                          <a:blip r:embed="rId75"/>
                          <a:stretch>
                            <a:fillRect/>
                          </a:stretch>
                        </pic:blipFill>
                        <pic:spPr>
                          <a:xfrm>
                            <a:off x="0" y="0"/>
                            <a:ext cx="668020" cy="47561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1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—板材采用SUS304-2B不锈钢制造，台面板厚1.2mm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—面板下衬δ15木工板减噪，木板下复铝板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—侧板、后背板0.8mm，门内复板0.8mm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—门外板、柜内层板、底板厚1.0㎜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—上掀式V型滑轨，弧型轴承，一种带轴承的翻门结构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—配201不锈钢厚3mm加强型三角板，φ50不锈钢重力脚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1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2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DC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工作台柜带水池（左星）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D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1800*750*800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276225</wp:posOffset>
                  </wp:positionV>
                  <wp:extent cx="600075" cy="537845"/>
                  <wp:effectExtent l="0" t="0" r="9525" b="14605"/>
                  <wp:wrapNone/>
                  <wp:docPr id="108" name="Picture_23_SpCnt_1"/>
                  <wp:cNvGraphicFramePr/>
                  <a:graphic xmlns:a="http://schemas.openxmlformats.org/drawingml/2006/main">
                    <a:graphicData uri="http://schemas.openxmlformats.org/drawingml/2006/picture">
                      <pic:pic xmlns:pic="http://schemas.openxmlformats.org/drawingml/2006/picture">
                        <pic:nvPicPr>
                          <pic:cNvPr id="108" name="Picture_23_SpCnt_1"/>
                          <pic:cNvPicPr/>
                        </pic:nvPicPr>
                        <pic:blipFill>
                          <a:blip r:embed="rId76"/>
                          <a:stretch>
                            <a:fillRect/>
                          </a:stretch>
                        </pic:blipFill>
                        <pic:spPr>
                          <a:xfrm>
                            <a:off x="0" y="0"/>
                            <a:ext cx="600075" cy="53784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8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—台面板厚1.2㎜,水斗板厚1.0mm，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—配2″去水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—水斗一体冲压成型，规格：500*500*280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—配304不锈钢一体冲压拦渣篮及隔水盖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—路轨导向趟门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—门外板厚1.0㎜，左右侧板、门内复板0.8mm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—配φ50不锈钢重力脚，201不锈钢厚3mm加强型三角板加固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4DE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A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B17a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F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星盆龙头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72F0">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1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409575</wp:posOffset>
                  </wp:positionH>
                  <wp:positionV relativeFrom="paragraph">
                    <wp:posOffset>428625</wp:posOffset>
                  </wp:positionV>
                  <wp:extent cx="426085" cy="390525"/>
                  <wp:effectExtent l="0" t="0" r="12065" b="9525"/>
                  <wp:wrapNone/>
                  <wp:docPr id="110" name="图片_121_SpCnt_3"/>
                  <wp:cNvGraphicFramePr/>
                  <a:graphic xmlns:a="http://schemas.openxmlformats.org/drawingml/2006/main">
                    <a:graphicData uri="http://schemas.openxmlformats.org/drawingml/2006/picture">
                      <pic:pic xmlns:pic="http://schemas.openxmlformats.org/drawingml/2006/picture">
                        <pic:nvPicPr>
                          <pic:cNvPr id="110" name="图片_121_SpCnt_3"/>
                          <pic:cNvPicPr/>
                        </pic:nvPicPr>
                        <pic:blipFill>
                          <a:blip r:embed="rId60"/>
                          <a:stretch>
                            <a:fillRect/>
                          </a:stretch>
                        </pic:blipFill>
                        <pic:spPr>
                          <a:xfrm>
                            <a:off x="0" y="0"/>
                            <a:ext cx="426085" cy="39052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3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—座台式双孔双温、主体美标低铅铜铸造表面抛光镀铬处理。                                  —配1/4转优质陶瓷阀芯一字型手柄。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—十寸（254mm）平颈水嘴，铜管厚度1.5mm, 360度可旋转。                                           —开孔尺寸25mm*2,左右开孔间距101mm(偏芯设计可调范围15mm)，进水接口为标准1/2''外螺纹。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—总高度230mm,出水口距台面149mm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0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0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40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2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B18</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8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C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1800*750*800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0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190500</wp:posOffset>
                  </wp:positionH>
                  <wp:positionV relativeFrom="paragraph">
                    <wp:posOffset>381000</wp:posOffset>
                  </wp:positionV>
                  <wp:extent cx="695325" cy="397510"/>
                  <wp:effectExtent l="0" t="0" r="9525" b="2540"/>
                  <wp:wrapNone/>
                  <wp:docPr id="107" name="Picture_20_SpCnt_2"/>
                  <wp:cNvGraphicFramePr/>
                  <a:graphic xmlns:a="http://schemas.openxmlformats.org/drawingml/2006/main">
                    <a:graphicData uri="http://schemas.openxmlformats.org/drawingml/2006/picture">
                      <pic:pic xmlns:pic="http://schemas.openxmlformats.org/drawingml/2006/picture">
                        <pic:nvPicPr>
                          <pic:cNvPr id="107" name="Picture_20_SpCnt_2"/>
                          <pic:cNvPicPr/>
                        </pic:nvPicPr>
                        <pic:blipFill>
                          <a:blip r:embed="rId77"/>
                          <a:stretch>
                            <a:fillRect/>
                          </a:stretch>
                        </pic:blipFill>
                        <pic:spPr>
                          <a:xfrm>
                            <a:off x="0" y="0"/>
                            <a:ext cx="695325" cy="3975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C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电源：220V/50HZ，输入功率：316W，电流：1.8A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4、整机及台面采用一体式发泡工艺，整体平整、耐用；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8、采用“前吸风前排风”设计，更加有利于排风扇热，适用于高档酒店及明档厨房使用要求。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E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0D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3"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4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卧式两门冷冻柜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D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1800*750*800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78740</wp:posOffset>
                  </wp:positionH>
                  <wp:positionV relativeFrom="paragraph">
                    <wp:posOffset>335280</wp:posOffset>
                  </wp:positionV>
                  <wp:extent cx="628650" cy="359410"/>
                  <wp:effectExtent l="0" t="0" r="0" b="2540"/>
                  <wp:wrapNone/>
                  <wp:docPr id="102" name="Picture_21_SpCnt_2"/>
                  <wp:cNvGraphicFramePr/>
                  <a:graphic xmlns:a="http://schemas.openxmlformats.org/drawingml/2006/main">
                    <a:graphicData uri="http://schemas.openxmlformats.org/drawingml/2006/picture">
                      <pic:pic xmlns:pic="http://schemas.openxmlformats.org/drawingml/2006/picture">
                        <pic:nvPicPr>
                          <pic:cNvPr id="102" name="Picture_21_SpCnt_2"/>
                          <pic:cNvPicPr/>
                        </pic:nvPicPr>
                        <pic:blipFill>
                          <a:blip r:embed="rId78"/>
                          <a:stretch>
                            <a:fillRect/>
                          </a:stretch>
                        </pic:blipFill>
                        <pic:spPr>
                          <a:xfrm>
                            <a:off x="0" y="0"/>
                            <a:ext cx="628650" cy="35941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1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电源：220V/50HZ，输入功率：465W，电流：3.6A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-22～-15℃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4、整机及台面采用一体式发泡工艺，整体平整、耐用；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8、采用“前吸风前排风”设计，更加有利于排风扇热，适用于高档酒店及明档厨房使用要求。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460L</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6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D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67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C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电脑开水器连净水器底座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4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520*54</w:t>
            </w: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*151</w:t>
            </w:r>
            <w:r>
              <w:rPr>
                <w:rFonts w:hint="eastAsia" w:ascii="宋体" w:hAnsi="宋体" w:cs="宋体"/>
                <w:i w:val="0"/>
                <w:iCs w:val="0"/>
                <w:color w:val="000000"/>
                <w:kern w:val="0"/>
                <w:sz w:val="20"/>
                <w:szCs w:val="20"/>
                <w:u w:val="none"/>
                <w:lang w:val="en-US" w:eastAsia="zh-CN" w:bidi="ar"/>
              </w:rPr>
              <w:t>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298450</wp:posOffset>
                  </wp:positionH>
                  <wp:positionV relativeFrom="paragraph">
                    <wp:posOffset>82550</wp:posOffset>
                  </wp:positionV>
                  <wp:extent cx="323850" cy="828675"/>
                  <wp:effectExtent l="0" t="0" r="0" b="9525"/>
                  <wp:wrapNone/>
                  <wp:docPr id="87" name="Picture_22_SpCnt_1"/>
                  <wp:cNvGraphicFramePr/>
                  <a:graphic xmlns:a="http://schemas.openxmlformats.org/drawingml/2006/main">
                    <a:graphicData uri="http://schemas.openxmlformats.org/drawingml/2006/picture">
                      <pic:pic xmlns:pic="http://schemas.openxmlformats.org/drawingml/2006/picture">
                        <pic:nvPicPr>
                          <pic:cNvPr id="87" name="Picture_22_SpCnt_1"/>
                          <pic:cNvPicPr/>
                        </pic:nvPicPr>
                        <pic:blipFill>
                          <a:blip r:embed="rId79"/>
                          <a:stretch>
                            <a:fillRect/>
                          </a:stretch>
                        </pic:blipFill>
                        <pic:spPr>
                          <a:xfrm>
                            <a:off x="0" y="0"/>
                            <a:ext cx="323850" cy="8286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接水高度：420（可放下大号暖瓶）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额定电压;380V 额定功率：12KW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接线方式：40A/三相四线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储水量：50L  加热方式：步进式加热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出水类型：双热  出水方式：机械龙头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出水量：180L/H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外壳材质采用不锈钢，内胆材质采用食品级SUS800优质合金材质，加热管采用食品级SUS800优质合金材质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实时显示水温，自动防干烧、自动漏电保护、自动缺水保护、自动超温保护、表面温度接近常温、故障自检知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含四级进水过滤器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D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EBE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C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F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立式点菜柜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7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1220*750*1960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6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438150</wp:posOffset>
                  </wp:positionV>
                  <wp:extent cx="475615" cy="720090"/>
                  <wp:effectExtent l="0" t="0" r="635" b="3810"/>
                  <wp:wrapNone/>
                  <wp:docPr id="71" name="图片_1"/>
                  <wp:cNvGraphicFramePr/>
                  <a:graphic xmlns:a="http://schemas.openxmlformats.org/drawingml/2006/main">
                    <a:graphicData uri="http://schemas.openxmlformats.org/drawingml/2006/picture">
                      <pic:pic xmlns:pic="http://schemas.openxmlformats.org/drawingml/2006/picture">
                        <pic:nvPicPr>
                          <pic:cNvPr id="71" name="图片_1"/>
                          <pic:cNvPicPr/>
                        </pic:nvPicPr>
                        <pic:blipFill>
                          <a:blip r:embed="rId80"/>
                          <a:stretch>
                            <a:fillRect/>
                          </a:stretch>
                        </pic:blipFill>
                        <pic:spPr>
                          <a:xfrm>
                            <a:off x="0" y="0"/>
                            <a:ext cx="475615" cy="72009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F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8、柜内左右分割为两个区域，两套机组分别制冷。一侧冷藏、一侧冷冻。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9、铜管蒸发器均增加二次防锈涂层，使用年限更久。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7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D9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1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工作台柜带水池（左星）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8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1500*750*800/950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247650</wp:posOffset>
                  </wp:positionH>
                  <wp:positionV relativeFrom="paragraph">
                    <wp:posOffset>323850</wp:posOffset>
                  </wp:positionV>
                  <wp:extent cx="600075" cy="537845"/>
                  <wp:effectExtent l="0" t="0" r="9525" b="14605"/>
                  <wp:wrapNone/>
                  <wp:docPr id="90" name="Picture_23_SpCnt_2"/>
                  <wp:cNvGraphicFramePr/>
                  <a:graphic xmlns:a="http://schemas.openxmlformats.org/drawingml/2006/main">
                    <a:graphicData uri="http://schemas.openxmlformats.org/drawingml/2006/picture">
                      <pic:pic xmlns:pic="http://schemas.openxmlformats.org/drawingml/2006/picture">
                        <pic:nvPicPr>
                          <pic:cNvPr id="90" name="Picture_23_SpCnt_2"/>
                          <pic:cNvPicPr/>
                        </pic:nvPicPr>
                        <pic:blipFill>
                          <a:blip r:embed="rId76"/>
                          <a:stretch>
                            <a:fillRect/>
                          </a:stretch>
                        </pic:blipFill>
                        <pic:spPr>
                          <a:xfrm>
                            <a:off x="0" y="0"/>
                            <a:ext cx="600075" cy="53784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—板材采用SUS304-2B不锈钢制造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—台面板厚1.2㎜,水斗板厚1.0mm，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—配2″去水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—水斗一体冲压成型，规格：500*500*280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—配304不锈钢一体冲压拦渣篮及隔水盖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—路轨导向趟门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—门外板厚1.0㎜，左右侧板、门内复板0.8mm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—配φ50不锈钢重力脚，201不锈钢厚3mm加强型三角板加固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0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4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3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09D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1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B22a</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7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11CD">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285750</wp:posOffset>
                  </wp:positionH>
                  <wp:positionV relativeFrom="paragraph">
                    <wp:posOffset>228600</wp:posOffset>
                  </wp:positionV>
                  <wp:extent cx="504825" cy="533400"/>
                  <wp:effectExtent l="0" t="0" r="9525" b="0"/>
                  <wp:wrapNone/>
                  <wp:docPr id="76" name="图片_1_SpCnt_1"/>
                  <wp:cNvGraphicFramePr/>
                  <a:graphic xmlns:a="http://schemas.openxmlformats.org/drawingml/2006/main">
                    <a:graphicData uri="http://schemas.openxmlformats.org/drawingml/2006/picture">
                      <pic:pic xmlns:pic="http://schemas.openxmlformats.org/drawingml/2006/picture">
                        <pic:nvPicPr>
                          <pic:cNvPr id="76" name="图片_1_SpCnt_1"/>
                          <pic:cNvPicPr/>
                        </pic:nvPicPr>
                        <pic:blipFill>
                          <a:blip r:embed="rId81"/>
                          <a:stretch>
                            <a:fillRect/>
                          </a:stretch>
                        </pic:blipFill>
                        <pic:spPr>
                          <a:xfrm>
                            <a:off x="0" y="0"/>
                            <a:ext cx="504825" cy="533400"/>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B18B">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 xml:space="preserve">—H62黄铜铸造主体，表面抛光镀铬处理                            —座台式安装，开孔尺寸25mm                                            —红外感应距离25cm，感应距离可调                                    —AC/DC控制模块，电源可选交流电或1.5V*4直流电源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—三通接口设计，可接冷、热水源，接口4分外螺纹。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—感应龙头尺寸</w:t>
            </w:r>
            <w:r>
              <w:rPr>
                <w:rFonts w:hint="eastAsia" w:ascii="宋体" w:hAnsi="宋体" w:cs="宋体"/>
                <w:i w:val="0"/>
                <w:iCs w:val="0"/>
                <w:color w:val="auto"/>
                <w:kern w:val="0"/>
                <w:sz w:val="20"/>
                <w:szCs w:val="20"/>
                <w:u w:val="none"/>
                <w:lang w:val="en-US" w:eastAsia="zh-CN" w:bidi="ar"/>
              </w:rPr>
              <w:t>约</w:t>
            </w: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50</w:t>
            </w:r>
            <w:r>
              <w:rPr>
                <w:rFonts w:hint="eastAsia" w:ascii="宋体" w:hAnsi="宋体" w:eastAsia="宋体" w:cs="宋体"/>
                <w:i w:val="0"/>
                <w:iCs w:val="0"/>
                <w:color w:val="auto"/>
                <w:kern w:val="0"/>
                <w:sz w:val="20"/>
                <w:szCs w:val="20"/>
                <w:u w:val="none"/>
                <w:lang w:val="en-US" w:eastAsia="zh-CN" w:bidi="ar"/>
              </w:rPr>
              <w:t>*170*3</w:t>
            </w:r>
            <w:r>
              <w:rPr>
                <w:rFonts w:hint="eastAsia" w:ascii="宋体" w:hAnsi="宋体" w:cs="宋体"/>
                <w:i w:val="0"/>
                <w:iCs w:val="0"/>
                <w:color w:val="auto"/>
                <w:kern w:val="0"/>
                <w:sz w:val="20"/>
                <w:szCs w:val="20"/>
                <w:u w:val="none"/>
                <w:lang w:val="en-US" w:eastAsia="zh-CN" w:bidi="ar"/>
              </w:rPr>
              <w:t>40</w:t>
            </w:r>
            <w:r>
              <w:rPr>
                <w:rFonts w:hint="eastAsia" w:ascii="宋体" w:hAnsi="宋体" w:eastAsia="宋体" w:cs="宋体"/>
                <w:i w:val="0"/>
                <w:iCs w:val="0"/>
                <w:color w:val="auto"/>
                <w:kern w:val="0"/>
                <w:sz w:val="20"/>
                <w:szCs w:val="20"/>
                <w:u w:val="none"/>
                <w:lang w:val="en-US" w:eastAsia="zh-CN" w:bidi="ar"/>
              </w:rPr>
              <w:t>出水口距台面</w:t>
            </w:r>
            <w:r>
              <w:rPr>
                <w:rFonts w:hint="eastAsia" w:ascii="宋体" w:hAnsi="宋体" w:cs="宋体"/>
                <w:i w:val="0"/>
                <w:iCs w:val="0"/>
                <w:color w:val="auto"/>
                <w:kern w:val="0"/>
                <w:sz w:val="20"/>
                <w:szCs w:val="20"/>
                <w:u w:val="none"/>
                <w:lang w:val="en-US" w:eastAsia="zh-CN" w:bidi="ar"/>
              </w:rPr>
              <w:t>约</w:t>
            </w: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50mm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9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1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E9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2"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A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B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卧式两门冷藏柜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8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1200*600*800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D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44450</wp:posOffset>
                  </wp:positionH>
                  <wp:positionV relativeFrom="paragraph">
                    <wp:posOffset>271145</wp:posOffset>
                  </wp:positionV>
                  <wp:extent cx="785495" cy="485775"/>
                  <wp:effectExtent l="0" t="0" r="14605" b="9525"/>
                  <wp:wrapNone/>
                  <wp:docPr id="105" name="Picture_25_SpCnt_1"/>
                  <wp:cNvGraphicFramePr/>
                  <a:graphic xmlns:a="http://schemas.openxmlformats.org/drawingml/2006/main">
                    <a:graphicData uri="http://schemas.openxmlformats.org/drawingml/2006/picture">
                      <pic:pic xmlns:pic="http://schemas.openxmlformats.org/drawingml/2006/picture">
                        <pic:nvPicPr>
                          <pic:cNvPr id="105" name="Picture_25_SpCnt_1"/>
                          <pic:cNvPicPr/>
                        </pic:nvPicPr>
                        <pic:blipFill>
                          <a:blip r:embed="rId82"/>
                          <a:stretch>
                            <a:fillRect/>
                          </a:stretch>
                        </pic:blipFill>
                        <pic:spPr>
                          <a:xfrm>
                            <a:off x="0" y="0"/>
                            <a:ext cx="785495" cy="485775"/>
                          </a:xfrm>
                          <a:prstGeom prst="rect">
                            <a:avLst/>
                          </a:prstGeom>
                          <a:noFill/>
                          <a:ln>
                            <a:noFill/>
                          </a:ln>
                        </pic:spPr>
                      </pic:pic>
                    </a:graphicData>
                  </a:graphic>
                </wp:anchor>
              </w:drawing>
            </w:r>
          </w:p>
        </w:tc>
        <w:tc>
          <w:tcPr>
            <w:tcW w:w="5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1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电源：220V/50HZ，输入功率：308W，电流：1.8A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  -6～12℃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1、内外箱均为SUS304不锈钢板；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2、使用进口压缩机，全铜管冷凝器、蒸发器；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3、配备强制蒸发装置，自动蒸发化霜水；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4、整机及台面采用一体式发泡工艺，整体平整、耐用；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5、产品能在43℃的环境温度下正常工作；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6、置于箱体内部的高效防露加热丝，能有效防止门框结露、滴水，保证客户的使用效果和环境卫生；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7、冰箱配备了门体自动关闭结构，方便客户操作。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8、采用“前吸风前排风”设计，更加有利于排风扇热，适用于高档酒店及明档厨房使用要求。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容积：</w:t>
            </w:r>
            <w:r>
              <w:rPr>
                <w:rFonts w:hint="eastAsia" w:ascii="宋体" w:hAnsi="宋体" w:cs="宋体"/>
                <w:i w:val="0"/>
                <w:iCs w:val="0"/>
                <w:color w:val="000000"/>
                <w:kern w:val="0"/>
                <w:sz w:val="20"/>
                <w:szCs w:val="20"/>
                <w:u w:val="none"/>
                <w:lang w:val="en-US" w:eastAsia="zh-CN" w:bidi="ar"/>
              </w:rPr>
              <w:t>约</w:t>
            </w:r>
            <w:r>
              <w:rPr>
                <w:rFonts w:hint="eastAsia" w:ascii="宋体" w:hAnsi="宋体" w:eastAsia="宋体" w:cs="宋体"/>
                <w:i w:val="0"/>
                <w:iCs w:val="0"/>
                <w:color w:val="000000"/>
                <w:kern w:val="0"/>
                <w:sz w:val="20"/>
                <w:szCs w:val="20"/>
                <w:u w:val="none"/>
                <w:lang w:val="en-US" w:eastAsia="zh-CN" w:bidi="ar"/>
              </w:rPr>
              <w:t xml:space="preserve">260L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D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B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3D12F6D0">
      <w:pPr>
        <w:numPr>
          <w:ilvl w:val="0"/>
          <w:numId w:val="0"/>
        </w:numPr>
        <w:spacing w:line="360" w:lineRule="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注：</w:t>
      </w:r>
      <w:r>
        <w:rPr>
          <w:rFonts w:ascii="宋体" w:hAnsi="宋体" w:cs="宋体"/>
          <w:b/>
          <w:bCs/>
          <w:sz w:val="24"/>
          <w:szCs w:val="24"/>
          <w:highlight w:val="none"/>
        </w:rPr>
        <w:t>以上规格尺寸允许有土</w:t>
      </w:r>
      <w:r>
        <w:rPr>
          <w:rFonts w:ascii="宋体" w:hAnsi="宋体" w:cs="宋体"/>
          <w:b/>
          <w:bCs/>
          <w:color w:val="FF0000"/>
          <w:sz w:val="24"/>
          <w:szCs w:val="24"/>
          <w:highlight w:val="none"/>
        </w:rPr>
        <w:t>10</w:t>
      </w:r>
      <w:r>
        <w:rPr>
          <w:rFonts w:hint="eastAsia" w:ascii="宋体" w:hAnsi="宋体" w:cs="宋体"/>
          <w:b/>
          <w:bCs/>
          <w:color w:val="FF0000"/>
          <w:sz w:val="24"/>
          <w:szCs w:val="24"/>
          <w:highlight w:val="none"/>
          <w:lang w:val="en-US" w:eastAsia="zh-CN"/>
        </w:rPr>
        <w:t>m</w:t>
      </w:r>
      <w:r>
        <w:rPr>
          <w:rFonts w:ascii="宋体" w:hAnsi="宋体" w:cs="宋体"/>
          <w:b/>
          <w:bCs/>
          <w:color w:val="FF0000"/>
          <w:sz w:val="24"/>
          <w:szCs w:val="24"/>
          <w:highlight w:val="none"/>
        </w:rPr>
        <w:t xml:space="preserve">m </w:t>
      </w:r>
      <w:r>
        <w:rPr>
          <w:rFonts w:ascii="宋体" w:hAnsi="宋体" w:cs="宋体"/>
          <w:b/>
          <w:bCs/>
          <w:sz w:val="24"/>
          <w:szCs w:val="24"/>
          <w:highlight w:val="none"/>
        </w:rPr>
        <w:t>的偏差</w:t>
      </w:r>
      <w:r>
        <w:rPr>
          <w:rFonts w:hint="eastAsia" w:ascii="宋体" w:hAnsi="宋体" w:cs="宋体"/>
          <w:b/>
          <w:bCs/>
          <w:sz w:val="24"/>
          <w:szCs w:val="24"/>
          <w:highlight w:val="none"/>
          <w:lang w:eastAsia="zh-CN"/>
        </w:rPr>
        <w:t>，所有尺寸应考虑到实际安装条件，</w:t>
      </w:r>
      <w:r>
        <w:rPr>
          <w:rFonts w:ascii="宋体" w:hAnsi="宋体" w:cs="宋体"/>
          <w:b/>
          <w:bCs/>
          <w:sz w:val="24"/>
          <w:szCs w:val="24"/>
          <w:highlight w:val="none"/>
        </w:rPr>
        <w:t>以上表格中关于材料厚度的要求为最低要求</w:t>
      </w:r>
      <w:r>
        <w:rPr>
          <w:rFonts w:hint="eastAsia" w:ascii="宋体" w:hAnsi="宋体" w:cs="宋体"/>
          <w:b/>
          <w:bCs/>
          <w:sz w:val="24"/>
          <w:szCs w:val="24"/>
          <w:highlight w:val="none"/>
          <w:lang w:eastAsia="zh-CN"/>
        </w:rPr>
        <w:t>；实际款式根据实际情况可适当调整，满足使用单位实际使用需求。</w:t>
      </w:r>
    </w:p>
    <w:p w14:paraId="2A957A6E">
      <w:pPr>
        <w:keepNext w:val="0"/>
        <w:keepLines w:val="0"/>
        <w:pageBreakBefore w:val="0"/>
        <w:widowControl/>
        <w:kinsoku/>
        <w:wordWrap/>
        <w:overflowPunct/>
        <w:topLinePunct w:val="0"/>
        <w:autoSpaceDE/>
        <w:autoSpaceDN/>
        <w:bidi w:val="0"/>
        <w:spacing w:line="360" w:lineRule="auto"/>
        <w:jc w:val="left"/>
        <w:textAlignment w:val="auto"/>
        <w:outlineLvl w:val="1"/>
        <w:rPr>
          <w:rStyle w:val="58"/>
          <w:rFonts w:hint="eastAsia" w:ascii="宋体" w:hAnsi="宋体" w:eastAsia="宋体" w:cs="宋体"/>
          <w:b/>
          <w:bCs/>
          <w:sz w:val="24"/>
          <w:szCs w:val="24"/>
          <w:highlight w:val="none"/>
        </w:rPr>
      </w:pPr>
      <w:r>
        <w:rPr>
          <w:rStyle w:val="58"/>
          <w:rFonts w:hint="eastAsia" w:ascii="宋体" w:hAnsi="宋体" w:eastAsia="宋体" w:cs="宋体"/>
          <w:b/>
          <w:bCs/>
          <w:sz w:val="24"/>
          <w:szCs w:val="24"/>
          <w:highlight w:val="none"/>
          <w:lang w:val="en-US" w:eastAsia="zh-CN"/>
        </w:rPr>
        <w:t>三、</w:t>
      </w:r>
      <w:r>
        <w:rPr>
          <w:rStyle w:val="58"/>
          <w:rFonts w:hint="eastAsia" w:ascii="宋体" w:hAnsi="宋体" w:eastAsia="宋体" w:cs="宋体"/>
          <w:b/>
          <w:bCs/>
          <w:sz w:val="24"/>
          <w:szCs w:val="24"/>
          <w:highlight w:val="none"/>
        </w:rPr>
        <w:t>样品要求</w:t>
      </w:r>
    </w:p>
    <w:tbl>
      <w:tblPr>
        <w:tblStyle w:val="27"/>
        <w:tblW w:w="13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3111"/>
      </w:tblGrid>
      <w:tr w14:paraId="62E8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782" w:type="dxa"/>
            <w:noWrap w:val="0"/>
            <w:vAlign w:val="center"/>
          </w:tcPr>
          <w:p w14:paraId="00B9A83B">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3111" w:type="dxa"/>
            <w:noWrap w:val="0"/>
            <w:vAlign w:val="center"/>
          </w:tcPr>
          <w:p w14:paraId="296EF18C">
            <w:pPr>
              <w:spacing w:line="400" w:lineRule="exact"/>
              <w:jc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样品要求</w:t>
            </w:r>
          </w:p>
        </w:tc>
      </w:tr>
      <w:tr w14:paraId="0C7E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82" w:type="dxa"/>
            <w:noWrap w:val="0"/>
            <w:vAlign w:val="center"/>
          </w:tcPr>
          <w:p w14:paraId="4810D068">
            <w:pPr>
              <w:tabs>
                <w:tab w:val="left" w:pos="432"/>
              </w:tabs>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111" w:type="dxa"/>
            <w:noWrap w:val="0"/>
            <w:vAlign w:val="center"/>
          </w:tcPr>
          <w:p w14:paraId="36EE4022">
            <w:pPr>
              <w:spacing w:line="400" w:lineRule="exact"/>
              <w:jc w:val="left"/>
              <w:rPr>
                <w:rFonts w:hint="default" w:ascii="宋体" w:hAnsi="宋体" w:eastAsia="宋体" w:cs="宋体"/>
                <w:color w:val="auto"/>
                <w:sz w:val="24"/>
                <w:szCs w:val="24"/>
                <w:lang w:val="en-US"/>
              </w:rPr>
            </w:pPr>
            <w:r>
              <w:rPr>
                <w:rFonts w:hint="eastAsia" w:ascii="宋体" w:hAnsi="宋体" w:eastAsia="宋体" w:cs="宋体"/>
                <w:b w:val="0"/>
                <w:bCs w:val="0"/>
                <w:color w:val="auto"/>
                <w:sz w:val="24"/>
                <w:szCs w:val="24"/>
                <w:highlight w:val="none"/>
                <w:lang w:val="en-US" w:eastAsia="zh-CN"/>
              </w:rPr>
              <w:t>供应商应提供样品：</w:t>
            </w:r>
            <w:r>
              <w:rPr>
                <w:rFonts w:hint="default" w:ascii="宋体" w:hAnsi="宋体" w:eastAsia="宋体" w:cs="宋体"/>
                <w:b w:val="0"/>
                <w:bCs w:val="0"/>
                <w:color w:val="auto"/>
                <w:sz w:val="24"/>
                <w:szCs w:val="24"/>
                <w:highlight w:val="none"/>
                <w:lang w:val="en-US" w:eastAsia="zh-CN"/>
              </w:rPr>
              <w:t xml:space="preserve">①工作台柜（移门）规格：1200*600*800/950 </w:t>
            </w:r>
            <w:r>
              <w:rPr>
                <w:rFonts w:hint="eastAsia" w:ascii="宋体" w:hAnsi="宋体" w:eastAsia="宋体" w:cs="宋体"/>
                <w:b w:val="0"/>
                <w:bCs w:val="0"/>
                <w:color w:val="auto"/>
                <w:sz w:val="24"/>
                <w:szCs w:val="24"/>
                <w:highlight w:val="none"/>
                <w:lang w:val="en-US" w:eastAsia="zh-CN"/>
              </w:rPr>
              <w:t>（编号：A03）；</w:t>
            </w:r>
            <w:r>
              <w:rPr>
                <w:rFonts w:hint="default"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不锈钢风管（</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2平方）（编号：P01）。</w:t>
            </w:r>
            <w:r>
              <w:rPr>
                <w:rFonts w:hint="eastAsia" w:ascii="宋体" w:hAnsi="宋体" w:cs="宋体"/>
                <w:b w:val="0"/>
                <w:bCs w:val="0"/>
                <w:color w:val="auto"/>
                <w:sz w:val="24"/>
                <w:szCs w:val="24"/>
                <w:highlight w:val="none"/>
                <w:lang w:val="en-US" w:eastAsia="zh-CN"/>
              </w:rPr>
              <w:t xml:space="preserve"> </w:t>
            </w:r>
          </w:p>
        </w:tc>
      </w:tr>
      <w:tr w14:paraId="6006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82" w:type="dxa"/>
            <w:noWrap w:val="0"/>
            <w:vAlign w:val="center"/>
          </w:tcPr>
          <w:p w14:paraId="2AFDEFC3">
            <w:pPr>
              <w:tabs>
                <w:tab w:val="left" w:pos="432"/>
              </w:tabs>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111" w:type="dxa"/>
            <w:noWrap w:val="0"/>
            <w:vAlign w:val="center"/>
          </w:tcPr>
          <w:p w14:paraId="0775E0DB">
            <w:pPr>
              <w:keepNext w:val="0"/>
              <w:keepLines w:val="0"/>
              <w:pageBreakBefore w:val="0"/>
              <w:widowControl w:val="0"/>
              <w:kinsoku/>
              <w:wordWrap/>
              <w:overflowPunct/>
              <w:topLinePunct w:val="0"/>
              <w:bidi w:val="0"/>
              <w:adjustRightInd w:val="0"/>
              <w:spacing w:line="440" w:lineRule="exact"/>
              <w:ind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以上样品</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rPr>
              <w:t>在</w:t>
            </w:r>
            <w:r>
              <w:rPr>
                <w:rFonts w:hint="eastAsia" w:ascii="宋体" w:hAnsi="宋体" w:cs="宋体"/>
                <w:b/>
                <w:bCs/>
                <w:color w:val="FF0000"/>
                <w:sz w:val="24"/>
                <w:szCs w:val="24"/>
                <w:highlight w:val="none"/>
                <w:lang w:val="en-US" w:eastAsia="zh-CN"/>
              </w:rPr>
              <w:t>2025年1月14 日09:30</w:t>
            </w:r>
            <w:r>
              <w:rPr>
                <w:rFonts w:hint="eastAsia" w:ascii="宋体" w:hAnsi="宋体" w:eastAsia="宋体" w:cs="宋体"/>
                <w:b/>
                <w:bCs/>
                <w:color w:val="auto"/>
                <w:sz w:val="24"/>
                <w:szCs w:val="24"/>
                <w:highlight w:val="none"/>
                <w:lang w:val="en-US" w:eastAsia="zh-CN"/>
              </w:rPr>
              <w:t>前</w:t>
            </w:r>
            <w:r>
              <w:rPr>
                <w:rFonts w:hint="eastAsia" w:ascii="宋体" w:hAnsi="宋体" w:eastAsia="宋体" w:cs="宋体"/>
                <w:b/>
                <w:bCs/>
                <w:color w:val="auto"/>
                <w:sz w:val="24"/>
                <w:szCs w:val="24"/>
                <w:highlight w:val="none"/>
              </w:rPr>
              <w:t>送至</w:t>
            </w:r>
            <w:r>
              <w:rPr>
                <w:rFonts w:hint="eastAsia" w:ascii="宋体" w:hAnsi="宋体" w:eastAsia="宋体" w:cs="宋体"/>
                <w:b/>
                <w:bCs/>
                <w:color w:val="auto"/>
                <w:sz w:val="24"/>
                <w:szCs w:val="24"/>
                <w:highlight w:val="none"/>
                <w:lang w:eastAsia="zh-CN"/>
              </w:rPr>
              <w:t>嵊州市三江街道兴旺街281号5号楼</w:t>
            </w:r>
            <w:r>
              <w:rPr>
                <w:rFonts w:hint="eastAsia" w:ascii="宋体" w:hAnsi="宋体" w:eastAsia="宋体" w:cs="宋体"/>
                <w:b/>
                <w:bCs/>
                <w:color w:val="auto"/>
                <w:sz w:val="24"/>
                <w:szCs w:val="24"/>
                <w:highlight w:val="none"/>
                <w:lang w:val="en-US" w:eastAsia="zh-CN" w:bidi="ar"/>
              </w:rPr>
              <w:t>（</w:t>
            </w:r>
            <w:r>
              <w:rPr>
                <w:rFonts w:hint="eastAsia" w:ascii="宋体" w:hAnsi="宋体" w:eastAsia="宋体" w:cs="宋体"/>
                <w:b/>
                <w:bCs/>
                <w:color w:val="auto"/>
                <w:sz w:val="24"/>
                <w:szCs w:val="24"/>
                <w:highlight w:val="none"/>
                <w:lang w:eastAsia="zh-CN"/>
              </w:rPr>
              <w:t>浙江省房地产管理咨询有限公司</w:t>
            </w:r>
            <w:r>
              <w:rPr>
                <w:rFonts w:hint="eastAsia" w:ascii="宋体" w:hAnsi="宋体" w:eastAsia="宋体" w:cs="宋体"/>
                <w:b/>
                <w:bCs/>
                <w:color w:val="auto"/>
                <w:sz w:val="24"/>
                <w:szCs w:val="24"/>
                <w:highlight w:val="none"/>
                <w:lang w:val="en-US" w:eastAsia="zh-CN" w:bidi="ar"/>
              </w:rPr>
              <w:t>）</w:t>
            </w:r>
            <w:r>
              <w:rPr>
                <w:rFonts w:hint="eastAsia" w:ascii="宋体" w:hAnsi="宋体" w:eastAsia="宋体" w:cs="宋体"/>
                <w:b/>
                <w:bCs/>
                <w:color w:val="auto"/>
                <w:sz w:val="24"/>
                <w:szCs w:val="24"/>
                <w:highlight w:val="none"/>
              </w:rPr>
              <w:t>。</w:t>
            </w:r>
          </w:p>
        </w:tc>
      </w:tr>
      <w:tr w14:paraId="0761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82" w:type="dxa"/>
            <w:noWrap w:val="0"/>
            <w:vAlign w:val="center"/>
          </w:tcPr>
          <w:p w14:paraId="3C846811">
            <w:pPr>
              <w:tabs>
                <w:tab w:val="left" w:pos="432"/>
              </w:tabs>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111" w:type="dxa"/>
            <w:noWrap w:val="0"/>
            <w:vAlign w:val="center"/>
          </w:tcPr>
          <w:p w14:paraId="40790A76">
            <w:pPr>
              <w:spacing w:line="400" w:lineRule="exact"/>
              <w:jc w:val="left"/>
              <w:rPr>
                <w:rFonts w:hint="eastAsia" w:ascii="宋体" w:hAnsi="宋体" w:eastAsia="宋体" w:cs="宋体"/>
                <w:color w:val="000000"/>
                <w:sz w:val="24"/>
                <w:szCs w:val="24"/>
                <w:highlight w:val="none"/>
              </w:rPr>
            </w:pPr>
            <w:r>
              <w:rPr>
                <w:rFonts w:hint="eastAsia" w:ascii="宋体" w:hAnsi="宋体" w:eastAsia="宋体" w:cs="宋体"/>
                <w:b/>
                <w:bCs/>
                <w:color w:val="auto"/>
                <w:sz w:val="24"/>
                <w:szCs w:val="24"/>
                <w:highlight w:val="none"/>
                <w:lang w:val="en-US" w:eastAsia="zh-CN"/>
              </w:rPr>
              <w:t>投标人应提供以上样品各一个，样品不得出现企业名称、标志等，如出现标记、样品不全或不提供样品的</w:t>
            </w:r>
            <w:r>
              <w:rPr>
                <w:rFonts w:hint="eastAsia" w:ascii="宋体" w:hAnsi="宋体" w:cs="宋体"/>
                <w:b/>
                <w:bCs/>
                <w:color w:val="auto"/>
                <w:sz w:val="24"/>
                <w:szCs w:val="24"/>
                <w:highlight w:val="none"/>
                <w:lang w:val="en-US" w:eastAsia="zh-CN"/>
              </w:rPr>
              <w:t>投标无效</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采购活动结束后，对于未中标人提供的样品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采购人、采购机构将通知未中标人在</w:t>
            </w:r>
            <w:r>
              <w:rPr>
                <w:rFonts w:hint="eastAsia" w:ascii="宋体" w:hAnsi="宋体" w:eastAsia="宋体" w:cs="宋体"/>
                <w:b/>
                <w:bCs/>
                <w:color w:val="auto"/>
                <w:sz w:val="24"/>
                <w:szCs w:val="24"/>
                <w:highlight w:val="none"/>
                <w:lang w:val="en-US" w:eastAsia="zh-CN"/>
              </w:rPr>
              <w:t>开标结束当天</w:t>
            </w:r>
            <w:r>
              <w:rPr>
                <w:rFonts w:hint="eastAsia" w:ascii="宋体" w:hAnsi="宋体" w:eastAsia="宋体" w:cs="宋体"/>
                <w:b/>
                <w:bCs/>
                <w:color w:val="auto"/>
                <w:sz w:val="24"/>
                <w:szCs w:val="24"/>
                <w:highlight w:val="none"/>
              </w:rPr>
              <w:t>内取回，逾期未取回的，采购人、采购机构不负保管义务；</w:t>
            </w:r>
            <w:r>
              <w:rPr>
                <w:rFonts w:hint="eastAsia" w:ascii="宋体" w:hAnsi="宋体" w:eastAsia="宋体" w:cs="宋体"/>
                <w:b/>
                <w:bCs/>
                <w:color w:val="auto"/>
                <w:sz w:val="24"/>
                <w:szCs w:val="24"/>
                <w:highlight w:val="none"/>
                <w:lang w:val="en-US" w:eastAsia="zh-CN"/>
              </w:rPr>
              <w:t>中标人样品由采购单位封存，作为验收标准和依据。</w:t>
            </w:r>
          </w:p>
        </w:tc>
      </w:tr>
    </w:tbl>
    <w:p w14:paraId="2E0F4B50">
      <w:pPr>
        <w:rPr>
          <w:rFonts w:hint="eastAsia" w:ascii="宋体" w:hAnsi="宋体" w:cs="宋体"/>
          <w:color w:val="auto"/>
          <w:sz w:val="24"/>
          <w:szCs w:val="24"/>
          <w:lang w:eastAsia="zh-CN"/>
        </w:rPr>
        <w:sectPr>
          <w:pgSz w:w="16838" w:h="11906" w:orient="landscape"/>
          <w:pgMar w:top="1417" w:right="1417" w:bottom="1797" w:left="1417" w:header="851" w:footer="850" w:gutter="0"/>
          <w:pgNumType w:fmt="decimal"/>
          <w:cols w:space="0" w:num="1"/>
          <w:rtlGutter w:val="0"/>
          <w:docGrid w:linePitch="312" w:charSpace="0"/>
        </w:sectPr>
      </w:pPr>
    </w:p>
    <w:p w14:paraId="5F6AE891">
      <w:pPr>
        <w:numPr>
          <w:ilvl w:val="0"/>
          <w:numId w:val="0"/>
        </w:numPr>
        <w:spacing w:line="360" w:lineRule="auto"/>
        <w:rPr>
          <w:rFonts w:hint="eastAsia"/>
          <w:b/>
          <w:bCs/>
          <w:color w:val="auto"/>
          <w:sz w:val="24"/>
          <w:highlight w:val="none"/>
        </w:rPr>
      </w:pPr>
      <w:r>
        <w:rPr>
          <w:rFonts w:hint="eastAsia" w:ascii="宋体" w:hAnsi="宋体" w:cs="宋体"/>
          <w:color w:val="auto"/>
          <w:sz w:val="24"/>
          <w:szCs w:val="24"/>
          <w:lang w:eastAsia="zh-CN"/>
        </w:rPr>
        <w:t>▲</w:t>
      </w:r>
      <w:r>
        <w:rPr>
          <w:rFonts w:hint="eastAsia" w:ascii="宋体" w:hAnsi="宋体" w:cs="宋体"/>
          <w:b/>
          <w:bCs/>
          <w:color w:val="auto"/>
          <w:sz w:val="24"/>
          <w:szCs w:val="24"/>
          <w:highlight w:val="none"/>
          <w:lang w:val="en-US" w:eastAsia="zh-CN"/>
        </w:rPr>
        <w:t>四</w:t>
      </w:r>
      <w:r>
        <w:rPr>
          <w:rStyle w:val="58"/>
          <w:rFonts w:hint="eastAsia" w:ascii="宋体" w:hAnsi="宋体" w:eastAsia="宋体" w:cs="宋体"/>
          <w:b/>
          <w:bCs/>
          <w:color w:val="auto"/>
          <w:sz w:val="24"/>
          <w:szCs w:val="24"/>
          <w:highlight w:val="none"/>
          <w:lang w:val="en-US" w:eastAsia="zh-CN"/>
        </w:rPr>
        <w:t>、</w:t>
      </w:r>
      <w:r>
        <w:rPr>
          <w:rFonts w:hint="eastAsia"/>
          <w:b/>
          <w:bCs/>
          <w:color w:val="auto"/>
          <w:sz w:val="24"/>
          <w:highlight w:val="none"/>
        </w:rPr>
        <w:t>商务要求</w:t>
      </w:r>
    </w:p>
    <w:tbl>
      <w:tblPr>
        <w:tblStyle w:val="27"/>
        <w:tblW w:w="8894" w:type="dxa"/>
        <w:tblInd w:w="-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6"/>
        <w:gridCol w:w="7328"/>
      </w:tblGrid>
      <w:tr w14:paraId="7A58B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4D728">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质保期</w:t>
            </w:r>
          </w:p>
        </w:tc>
        <w:tc>
          <w:tcPr>
            <w:tcW w:w="732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B878330">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要求投标人提供不少于</w:t>
            </w:r>
            <w:r>
              <w:rPr>
                <w:rFonts w:hint="eastAsia" w:ascii="宋体" w:hAnsi="宋体" w:cs="宋体"/>
                <w:snapToGrid w:val="0"/>
                <w:color w:val="auto"/>
                <w:kern w:val="28"/>
                <w:sz w:val="24"/>
                <w:lang w:val="en-US" w:eastAsia="zh-CN"/>
              </w:rPr>
              <w:t>2</w:t>
            </w:r>
            <w:r>
              <w:rPr>
                <w:rFonts w:hint="eastAsia" w:ascii="宋体" w:hAnsi="宋体" w:eastAsia="宋体" w:cs="宋体"/>
                <w:snapToGrid w:val="0"/>
                <w:color w:val="auto"/>
                <w:kern w:val="28"/>
                <w:sz w:val="24"/>
                <w:lang w:val="en-US" w:eastAsia="zh-CN"/>
              </w:rPr>
              <w:t>年的质保期（按供应完成的时间开始计算，质保期内维修或更换不收取任何费用）。在此质保期内，如在正常使用过程中出现的质量问题，投标人须负责免费维修或调换。以每批次供货安装完成交付使用之日起计算</w:t>
            </w:r>
          </w:p>
        </w:tc>
      </w:tr>
      <w:tr w14:paraId="1796B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2A96F2BB">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交货安装时间及地点</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0C4BE892">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交货期：</w:t>
            </w:r>
            <w:r>
              <w:rPr>
                <w:rFonts w:hint="eastAsia" w:ascii="宋体" w:hAnsi="宋体" w:cs="宋体"/>
                <w:snapToGrid w:val="0"/>
                <w:color w:val="auto"/>
                <w:kern w:val="28"/>
                <w:sz w:val="24"/>
                <w:lang w:val="en-US" w:eastAsia="zh-CN"/>
              </w:rPr>
              <w:t>施工进度同步</w:t>
            </w:r>
            <w:r>
              <w:rPr>
                <w:rFonts w:hint="eastAsia" w:ascii="宋体" w:hAnsi="宋体" w:eastAsia="宋体" w:cs="宋体"/>
                <w:snapToGrid w:val="0"/>
                <w:color w:val="auto"/>
                <w:kern w:val="28"/>
                <w:sz w:val="24"/>
                <w:lang w:val="en-US" w:eastAsia="zh-CN"/>
              </w:rPr>
              <w:t>完成安装（具体以采购人</w:t>
            </w:r>
            <w:r>
              <w:rPr>
                <w:rFonts w:hint="eastAsia" w:ascii="宋体" w:hAnsi="宋体" w:cs="宋体"/>
                <w:snapToGrid w:val="0"/>
                <w:color w:val="auto"/>
                <w:kern w:val="28"/>
                <w:sz w:val="24"/>
                <w:lang w:val="en-US" w:eastAsia="zh-CN"/>
              </w:rPr>
              <w:t>要求</w:t>
            </w:r>
            <w:r>
              <w:rPr>
                <w:rFonts w:hint="eastAsia" w:ascii="宋体" w:hAnsi="宋体" w:eastAsia="宋体" w:cs="宋体"/>
                <w:snapToGrid w:val="0"/>
                <w:color w:val="auto"/>
                <w:kern w:val="28"/>
                <w:sz w:val="24"/>
                <w:lang w:val="en-US" w:eastAsia="zh-CN"/>
              </w:rPr>
              <w:t>为准）。</w:t>
            </w:r>
          </w:p>
          <w:p w14:paraId="43423D18">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交货和安装地点：交货需送达采购人指定地点，并根据采购人要求安装并完成调试。</w:t>
            </w:r>
          </w:p>
        </w:tc>
      </w:tr>
      <w:tr w14:paraId="322E0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73128C53">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验收</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1F71F369">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（1）所供产品的材质、颜色、规格、数量符合招标文件投标人投标承诺及合同约定的要求。所供产品的外观完好，无严重碰撞、表皮脱落、五金件生锈等明显瑕疵。产品结构牢固，无安全隐患；</w:t>
            </w:r>
          </w:p>
          <w:p w14:paraId="7193BA10">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2）产品的验收和抽检：厂家在生产过程中及产品送货后，招标人有权抽检原附材料和成品送第三方检测机构对原材料的环保技术参数进行验证和成品的材质、质量、环保性能等进行检验，所有检验费用由投标人承担。如产品检验不通过，投标人必须接受无条件退货并赔偿由此造成对招标人的所有损失；</w:t>
            </w:r>
          </w:p>
          <w:p w14:paraId="124BA7F7">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lang w:val="en-US" w:eastAsia="zh-CN"/>
              </w:rPr>
              <w:t>(3)所有产品均已运输至指定地点，并安装调试完毕。招标文件投标人投标承诺及采购合同约定的附件、工具、技术资料等齐全；提供产品使用说明书、合格证。</w:t>
            </w:r>
          </w:p>
        </w:tc>
      </w:tr>
      <w:tr w14:paraId="06C6A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4FE7674A">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付款方式</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6B012C78">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Style w:val="37"/>
                <w:rFonts w:hint="eastAsia" w:ascii="宋体" w:hAnsi="宋体"/>
                <w:color w:val="auto"/>
                <w:sz w:val="24"/>
                <w:highlight w:val="none"/>
                <w:lang w:val="en-US" w:eastAsia="zh-CN"/>
              </w:rPr>
            </w:pPr>
            <w:r>
              <w:rPr>
                <w:rFonts w:hint="eastAsia" w:ascii="宋体" w:hAnsi="宋体" w:eastAsia="宋体" w:cs="宋体"/>
                <w:snapToGrid w:val="0"/>
                <w:color w:val="auto"/>
                <w:kern w:val="28"/>
                <w:sz w:val="24"/>
                <w:highlight w:val="none"/>
                <w:lang w:val="en-US" w:eastAsia="zh-CN"/>
              </w:rPr>
              <w:t>所有设备及产品安装调试完成，验收合格后向供应商支付至合同价款的9</w:t>
            </w:r>
            <w:r>
              <w:rPr>
                <w:rFonts w:hint="eastAsia" w:ascii="宋体" w:hAnsi="宋体" w:cs="宋体"/>
                <w:snapToGrid w:val="0"/>
                <w:color w:val="auto"/>
                <w:kern w:val="28"/>
                <w:sz w:val="24"/>
                <w:highlight w:val="none"/>
                <w:lang w:val="en-US" w:eastAsia="zh-CN"/>
              </w:rPr>
              <w:t>8</w:t>
            </w:r>
            <w:r>
              <w:rPr>
                <w:rFonts w:hint="eastAsia" w:ascii="宋体" w:hAnsi="宋体" w:eastAsia="宋体" w:cs="宋体"/>
                <w:snapToGrid w:val="0"/>
                <w:color w:val="auto"/>
                <w:kern w:val="28"/>
                <w:sz w:val="24"/>
                <w:highlight w:val="none"/>
                <w:lang w:val="en-US" w:eastAsia="zh-CN"/>
              </w:rPr>
              <w:t>%</w:t>
            </w:r>
            <w:r>
              <w:rPr>
                <w:rFonts w:hint="eastAsia" w:ascii="宋体" w:hAnsi="宋体" w:cs="宋体"/>
                <w:snapToGrid w:val="0"/>
                <w:color w:val="auto"/>
                <w:kern w:val="28"/>
                <w:sz w:val="24"/>
                <w:highlight w:val="none"/>
                <w:lang w:val="en-US" w:eastAsia="zh-CN"/>
              </w:rPr>
              <w:t>，余款待质保期满后十四天内付清（不计息）。</w:t>
            </w:r>
          </w:p>
        </w:tc>
      </w:tr>
      <w:tr w14:paraId="79AAF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71428DE1">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履约保证金</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1B925E74">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Style w:val="37"/>
                <w:rFonts w:hint="eastAsia" w:ascii="宋体" w:hAnsi="宋体" w:eastAsia="宋体" w:cs="Times New Roman"/>
                <w:color w:val="auto"/>
                <w:sz w:val="24"/>
                <w:highlight w:val="none"/>
                <w:lang w:val="en-US" w:eastAsia="zh-CN"/>
              </w:rPr>
            </w:pPr>
            <w:r>
              <w:rPr>
                <w:rStyle w:val="37"/>
                <w:rFonts w:hint="eastAsia" w:ascii="宋体" w:hAnsi="宋体" w:eastAsia="宋体" w:cs="Times New Roman"/>
                <w:color w:val="auto"/>
                <w:sz w:val="24"/>
                <w:highlight w:val="none"/>
                <w:lang w:val="en-US" w:eastAsia="zh-CN"/>
              </w:rPr>
              <w:t>中标人须向采购人缴纳合同价的1%作为履约保证金，项目建设完成并验收合格后15天内无息退还。（履约保证金可以用转帐、支票、汇票、保函（银行/保险）等非现金形式缴纳）</w:t>
            </w:r>
          </w:p>
        </w:tc>
      </w:tr>
      <w:tr w14:paraId="7D8F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45C1AED3">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售后服务要求</w:t>
            </w:r>
          </w:p>
        </w:tc>
        <w:tc>
          <w:tcPr>
            <w:tcW w:w="7328" w:type="dxa"/>
            <w:tcBorders>
              <w:top w:val="single" w:color="auto" w:sz="4" w:space="0"/>
              <w:left w:val="single" w:color="auto" w:sz="4" w:space="0"/>
              <w:bottom w:val="single" w:color="auto" w:sz="4" w:space="0"/>
              <w:right w:val="single" w:color="auto" w:sz="4" w:space="0"/>
            </w:tcBorders>
            <w:noWrap w:val="0"/>
            <w:vAlign w:val="top"/>
          </w:tcPr>
          <w:p w14:paraId="1531D16B">
            <w:pPr>
              <w:pStyle w:val="57"/>
              <w:keepNext w:val="0"/>
              <w:keepLines w:val="0"/>
              <w:pageBreakBefore w:val="0"/>
              <w:widowControl/>
              <w:kinsoku/>
              <w:wordWrap/>
              <w:overflowPunct/>
              <w:topLinePunct w:val="0"/>
              <w:autoSpaceDE/>
              <w:autoSpaceDN/>
              <w:bidi w:val="0"/>
              <w:adjustRightInd/>
              <w:snapToGrid w:val="0"/>
              <w:spacing w:line="420" w:lineRule="exact"/>
              <w:textAlignment w:val="baseline"/>
              <w:rPr>
                <w:rStyle w:val="37"/>
                <w:rFonts w:hint="eastAsia" w:ascii="宋体" w:hAnsi="宋体" w:eastAsia="宋体" w:cs="Times New Roman"/>
                <w:color w:val="auto"/>
                <w:sz w:val="24"/>
                <w:highlight w:val="none"/>
                <w:lang w:val="en-US" w:eastAsia="zh-CN"/>
              </w:rPr>
            </w:pPr>
            <w:r>
              <w:rPr>
                <w:rStyle w:val="37"/>
                <w:rFonts w:hint="eastAsia" w:ascii="宋体" w:hAnsi="宋体" w:eastAsia="宋体" w:cs="Times New Roman"/>
                <w:color w:val="auto"/>
                <w:sz w:val="24"/>
                <w:highlight w:val="none"/>
                <w:lang w:val="en-US" w:eastAsia="zh-CN"/>
              </w:rPr>
              <w:t>（1）投标人需提供24小时售后服务，且维修人员须在接到维修电话后24小时内赶到现场，提供不间断的服务直到修复为止。维修点需提供足够的备件以适应招标人维修需求</w:t>
            </w:r>
            <w:r>
              <w:rPr>
                <w:rStyle w:val="37"/>
                <w:rFonts w:hint="eastAsia" w:ascii="宋体" w:hAnsi="宋体" w:cs="Times New Roman"/>
                <w:color w:val="auto"/>
                <w:sz w:val="24"/>
                <w:highlight w:val="none"/>
                <w:lang w:val="en-US" w:eastAsia="zh-CN"/>
              </w:rPr>
              <w:t>，</w:t>
            </w:r>
            <w:r>
              <w:rPr>
                <w:rStyle w:val="37"/>
                <w:rFonts w:hint="eastAsia" w:ascii="宋体" w:hAnsi="宋体"/>
                <w:color w:val="auto"/>
                <w:sz w:val="24"/>
                <w:highlight w:val="none"/>
                <w:lang w:val="en-US" w:eastAsia="zh-CN"/>
              </w:rPr>
              <w:t>若24小时内不能修复的，需用同类产品代替使用。</w:t>
            </w:r>
          </w:p>
          <w:p w14:paraId="0CFF3290">
            <w:pPr>
              <w:pStyle w:val="57"/>
              <w:keepNext w:val="0"/>
              <w:keepLines w:val="0"/>
              <w:pageBreakBefore w:val="0"/>
              <w:widowControl/>
              <w:kinsoku/>
              <w:wordWrap/>
              <w:overflowPunct/>
              <w:topLinePunct w:val="0"/>
              <w:autoSpaceDE/>
              <w:autoSpaceDN/>
              <w:bidi w:val="0"/>
              <w:adjustRightInd/>
              <w:snapToGrid w:val="0"/>
              <w:spacing w:line="420" w:lineRule="exact"/>
              <w:textAlignment w:val="baseline"/>
              <w:rPr>
                <w:rStyle w:val="37"/>
                <w:rFonts w:hint="eastAsia" w:ascii="宋体" w:hAnsi="宋体" w:eastAsia="宋体" w:cs="Times New Roman"/>
                <w:color w:val="auto"/>
                <w:sz w:val="24"/>
                <w:highlight w:val="none"/>
                <w:lang w:val="en-US" w:eastAsia="zh-CN"/>
              </w:rPr>
            </w:pPr>
            <w:r>
              <w:rPr>
                <w:rStyle w:val="37"/>
                <w:rFonts w:hint="eastAsia" w:ascii="宋体" w:hAnsi="宋体" w:eastAsia="宋体" w:cs="Times New Roman"/>
                <w:color w:val="auto"/>
                <w:sz w:val="24"/>
                <w:highlight w:val="none"/>
                <w:lang w:val="en-US" w:eastAsia="zh-CN"/>
              </w:rPr>
              <w:t>（2）明确具体售后服务机构、报修响应时间及维修处理时效，并提供巡检回访以及技术培训服务</w:t>
            </w:r>
          </w:p>
        </w:tc>
      </w:tr>
      <w:tr w14:paraId="66D0A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02DBD4B5">
            <w:pPr>
              <w:pStyle w:val="57"/>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baseline"/>
              <w:rPr>
                <w:rFonts w:hint="eastAsia" w:ascii="宋体" w:hAnsi="宋体" w:eastAsia="宋体" w:cs="宋体"/>
                <w:b/>
                <w:bCs/>
                <w:color w:val="auto"/>
                <w:kern w:val="2"/>
                <w:sz w:val="24"/>
                <w:szCs w:val="24"/>
                <w:highlight w:val="none"/>
                <w:lang w:val="en-US" w:eastAsia="zh-CN" w:bidi="ar-SA"/>
              </w:rPr>
            </w:pPr>
            <w:r>
              <w:rPr>
                <w:rFonts w:ascii="宋体" w:hAnsi="宋体" w:cs="宋体"/>
                <w:b/>
                <w:sz w:val="24"/>
                <w:szCs w:val="24"/>
              </w:rPr>
              <w:t>货物包装及质量</w:t>
            </w:r>
          </w:p>
        </w:tc>
        <w:tc>
          <w:tcPr>
            <w:tcW w:w="7328" w:type="dxa"/>
            <w:tcBorders>
              <w:top w:val="single" w:color="auto" w:sz="4" w:space="0"/>
              <w:left w:val="single" w:color="auto" w:sz="4" w:space="0"/>
              <w:bottom w:val="single" w:color="auto" w:sz="4" w:space="0"/>
              <w:right w:val="single" w:color="auto" w:sz="4" w:space="0"/>
            </w:tcBorders>
            <w:noWrap w:val="0"/>
            <w:vAlign w:val="top"/>
          </w:tcPr>
          <w:p w14:paraId="00BE3CBB">
            <w:pPr>
              <w:pStyle w:val="57"/>
              <w:keepNext w:val="0"/>
              <w:keepLines w:val="0"/>
              <w:pageBreakBefore w:val="0"/>
              <w:widowControl/>
              <w:kinsoku/>
              <w:wordWrap/>
              <w:overflowPunct/>
              <w:topLinePunct w:val="0"/>
              <w:autoSpaceDE/>
              <w:autoSpaceDN/>
              <w:bidi w:val="0"/>
              <w:adjustRightInd/>
              <w:snapToGrid w:val="0"/>
              <w:spacing w:line="420" w:lineRule="exact"/>
              <w:textAlignment w:val="baseline"/>
              <w:rPr>
                <w:rStyle w:val="37"/>
                <w:rFonts w:hint="eastAsia" w:ascii="宋体" w:hAnsi="宋体" w:eastAsia="宋体" w:cs="Times New Roman"/>
                <w:color w:val="auto"/>
                <w:sz w:val="24"/>
                <w:highlight w:val="none"/>
                <w:lang w:val="en-US" w:eastAsia="zh-CN"/>
              </w:rPr>
            </w:pPr>
            <w:r>
              <w:rPr>
                <w:rStyle w:val="37"/>
                <w:rFonts w:hint="eastAsia" w:ascii="宋体" w:hAnsi="宋体" w:cs="Times New Roman"/>
                <w:color w:val="auto"/>
                <w:sz w:val="24"/>
                <w:highlight w:val="none"/>
                <w:lang w:val="en-US" w:eastAsia="zh-CN"/>
              </w:rPr>
              <w:t>（1）</w:t>
            </w:r>
            <w:r>
              <w:rPr>
                <w:rStyle w:val="37"/>
                <w:rFonts w:hint="eastAsia" w:ascii="宋体" w:hAnsi="宋体" w:eastAsia="宋体" w:cs="Times New Roman"/>
                <w:color w:val="auto"/>
                <w:sz w:val="24"/>
                <w:highlight w:val="none"/>
                <w:lang w:val="en-US" w:eastAsia="zh-CN"/>
              </w:rPr>
              <w:t>中标人向采购人提供的全部货物，均应采用国家或专业标准的保护方式进行包装，应使包装适应于远距离运输、防潮、防震、防锈和防粗暴装卸，确保货物安全无损运抵采购人指定的到货地点。由于包装不适当所引起的货物锈蚀、损坏和损失均由中标人承担；</w:t>
            </w:r>
          </w:p>
          <w:p w14:paraId="0404AF53">
            <w:pPr>
              <w:pStyle w:val="57"/>
              <w:keepNext w:val="0"/>
              <w:keepLines w:val="0"/>
              <w:pageBreakBefore w:val="0"/>
              <w:widowControl/>
              <w:kinsoku/>
              <w:wordWrap/>
              <w:overflowPunct/>
              <w:topLinePunct w:val="0"/>
              <w:autoSpaceDE/>
              <w:autoSpaceDN/>
              <w:bidi w:val="0"/>
              <w:adjustRightInd/>
              <w:snapToGrid w:val="0"/>
              <w:spacing w:line="420" w:lineRule="exact"/>
              <w:textAlignment w:val="baseline"/>
              <w:rPr>
                <w:rStyle w:val="37"/>
                <w:rFonts w:hint="eastAsia" w:ascii="宋体" w:hAnsi="宋体" w:eastAsia="宋体" w:cs="Times New Roman"/>
                <w:color w:val="auto"/>
                <w:sz w:val="24"/>
                <w:highlight w:val="none"/>
                <w:lang w:val="en-US" w:eastAsia="zh-CN"/>
              </w:rPr>
            </w:pPr>
            <w:r>
              <w:rPr>
                <w:rStyle w:val="37"/>
                <w:rFonts w:hint="eastAsia" w:ascii="宋体" w:hAnsi="宋体" w:cs="Times New Roman"/>
                <w:color w:val="auto"/>
                <w:sz w:val="24"/>
                <w:highlight w:val="none"/>
                <w:lang w:val="en-US" w:eastAsia="zh-CN"/>
              </w:rPr>
              <w:t>（2）</w:t>
            </w:r>
            <w:r>
              <w:rPr>
                <w:rStyle w:val="37"/>
                <w:rFonts w:hint="eastAsia" w:ascii="宋体" w:hAnsi="宋体" w:eastAsia="宋体" w:cs="Times New Roman"/>
                <w:color w:val="auto"/>
                <w:sz w:val="24"/>
                <w:highlight w:val="none"/>
                <w:lang w:val="en-US" w:eastAsia="zh-CN"/>
              </w:rPr>
              <w:t>货物因装卸、运输中发生损坏或短缺后，必须尽快给予调换、修复和补齐缺件，不管其造成的原因如何，也不能以办理索赔为由而拖延。调换、修补和补齐缺件的时间计入。</w:t>
            </w:r>
          </w:p>
        </w:tc>
      </w:tr>
      <w:tr w14:paraId="4FA7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566" w:type="dxa"/>
            <w:tcBorders>
              <w:top w:val="single" w:color="auto" w:sz="4" w:space="0"/>
              <w:left w:val="single" w:color="auto" w:sz="4" w:space="0"/>
              <w:bottom w:val="single" w:color="auto" w:sz="4" w:space="0"/>
              <w:right w:val="single" w:color="auto" w:sz="4" w:space="0"/>
            </w:tcBorders>
            <w:noWrap w:val="0"/>
            <w:vAlign w:val="center"/>
          </w:tcPr>
          <w:p w14:paraId="0340FBA4">
            <w:pPr>
              <w:pStyle w:val="57"/>
              <w:keepNext w:val="0"/>
              <w:keepLines w:val="0"/>
              <w:pageBreakBefore w:val="0"/>
              <w:widowControl/>
              <w:kinsoku/>
              <w:wordWrap/>
              <w:overflowPunct/>
              <w:topLinePunct w:val="0"/>
              <w:autoSpaceDE/>
              <w:autoSpaceDN/>
              <w:bidi w:val="0"/>
              <w:adjustRightInd/>
              <w:snapToGrid w:val="0"/>
              <w:spacing w:line="420" w:lineRule="exact"/>
              <w:ind w:left="0" w:leftChars="0" w:firstLine="0" w:firstLineChars="0"/>
              <w:jc w:val="center"/>
              <w:textAlignment w:val="baseline"/>
              <w:rPr>
                <w:rFonts w:hint="eastAsia" w:ascii="宋体" w:hAnsi="宋体" w:cs="宋体"/>
                <w:color w:val="auto"/>
                <w:sz w:val="21"/>
                <w:szCs w:val="21"/>
                <w:highlight w:val="none"/>
                <w:lang w:eastAsia="zh-CN"/>
              </w:rPr>
            </w:pPr>
            <w:r>
              <w:rPr>
                <w:rFonts w:hint="eastAsia" w:ascii="宋体" w:hAnsi="宋体" w:eastAsia="宋体" w:cs="宋体"/>
                <w:b/>
                <w:bCs/>
                <w:color w:val="auto"/>
                <w:kern w:val="2"/>
                <w:sz w:val="24"/>
                <w:szCs w:val="24"/>
                <w:highlight w:val="none"/>
                <w:lang w:val="en-US" w:eastAsia="zh-CN" w:bidi="ar-SA"/>
              </w:rPr>
              <w:t>投标报价</w:t>
            </w:r>
          </w:p>
        </w:tc>
        <w:tc>
          <w:tcPr>
            <w:tcW w:w="7328" w:type="dxa"/>
            <w:tcBorders>
              <w:top w:val="single" w:color="auto" w:sz="4" w:space="0"/>
              <w:left w:val="single" w:color="auto" w:sz="4" w:space="0"/>
              <w:bottom w:val="single" w:color="auto" w:sz="4" w:space="0"/>
              <w:right w:val="single" w:color="auto" w:sz="4" w:space="0"/>
            </w:tcBorders>
            <w:noWrap w:val="0"/>
            <w:vAlign w:val="center"/>
          </w:tcPr>
          <w:p w14:paraId="660F03E5">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cs="宋体"/>
                <w:color w:val="auto"/>
                <w:sz w:val="21"/>
                <w:szCs w:val="21"/>
              </w:rPr>
            </w:pPr>
            <w:r>
              <w:rPr>
                <w:rStyle w:val="37"/>
                <w:rFonts w:hint="eastAsia" w:ascii="宋体" w:hAnsi="宋体"/>
                <w:color w:val="auto"/>
                <w:sz w:val="24"/>
                <w:highlight w:val="none"/>
                <w:lang w:val="en-US" w:eastAsia="zh-CN"/>
              </w:rPr>
              <w:t>本项目包含</w:t>
            </w:r>
            <w:r>
              <w:rPr>
                <w:rFonts w:hint="eastAsia" w:ascii="宋体" w:hAnsi="宋体" w:eastAsia="宋体" w:cs="宋体"/>
                <w:color w:val="auto"/>
                <w:sz w:val="24"/>
                <w:szCs w:val="24"/>
              </w:rPr>
              <w:t>货款、标准附件、备品备件、专用工具、包装、运输、装卸、保险以及安装、人工费、服务费、保修、招标代理费及专家评审费、验收费、利润、税金等一切费用。投标人根据采购文件的要求，将产品供货、包装、安装、调试、检验、检测、通过验收直至交付使用单位，达到使用要求及质量标准、质保期服务所需的全部费用及招标代理服务费均包含在总价之中。</w:t>
            </w:r>
          </w:p>
        </w:tc>
      </w:tr>
    </w:tbl>
    <w:p w14:paraId="23DA00B0">
      <w:pPr>
        <w:rPr>
          <w:rFonts w:hint="default"/>
          <w:color w:val="auto"/>
          <w:lang w:val="en-US" w:eastAsia="zh-CN"/>
        </w:rPr>
        <w:sectPr>
          <w:pgSz w:w="11906" w:h="16838"/>
          <w:pgMar w:top="1417" w:right="1797" w:bottom="1417" w:left="1417" w:header="851" w:footer="850" w:gutter="0"/>
          <w:pgNumType w:fmt="decimal"/>
          <w:cols w:space="0" w:num="1"/>
          <w:rtlGutter w:val="0"/>
          <w:docGrid w:linePitch="312" w:charSpace="0"/>
        </w:sectPr>
      </w:pPr>
    </w:p>
    <w:bookmarkEnd w:id="60"/>
    <w:p w14:paraId="28431A35">
      <w:pPr>
        <w:spacing w:line="360" w:lineRule="auto"/>
        <w:jc w:val="center"/>
        <w:outlineLvl w:val="0"/>
        <w:rPr>
          <w:rFonts w:hint="eastAsia" w:ascii="宋体" w:hAnsi="宋体" w:eastAsia="宋体" w:cs="宋体"/>
          <w:b/>
          <w:color w:val="auto"/>
          <w:kern w:val="1"/>
          <w:sz w:val="24"/>
          <w:szCs w:val="24"/>
          <w:highlight w:val="none"/>
          <w:lang w:val="en-US" w:eastAsia="zh-CN"/>
        </w:rPr>
      </w:pPr>
      <w:bookmarkStart w:id="61" w:name="_Toc13216"/>
      <w:bookmarkStart w:id="62" w:name="_Toc1067"/>
      <w:r>
        <w:rPr>
          <w:rFonts w:hint="eastAsia" w:ascii="宋体" w:hAnsi="宋体" w:eastAsia="宋体" w:cs="宋体"/>
          <w:b/>
          <w:color w:val="auto"/>
          <w:kern w:val="1"/>
          <w:sz w:val="32"/>
          <w:szCs w:val="32"/>
          <w:highlight w:val="none"/>
          <w:lang w:val="en-US" w:eastAsia="zh-CN"/>
        </w:rPr>
        <w:t>第四章 评标办法</w:t>
      </w:r>
      <w:bookmarkEnd w:id="61"/>
      <w:bookmarkEnd w:id="62"/>
    </w:p>
    <w:p w14:paraId="3729E29A">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b/>
          <w:color w:val="auto"/>
          <w:sz w:val="24"/>
          <w:szCs w:val="24"/>
          <w:lang w:val="en-US" w:eastAsia="zh-CN"/>
        </w:rPr>
      </w:pPr>
      <w:bookmarkStart w:id="63" w:name="_Toc24743"/>
      <w:r>
        <w:rPr>
          <w:rFonts w:hint="eastAsia" w:ascii="宋体" w:hAnsi="宋体" w:cs="宋体"/>
          <w:b/>
          <w:color w:val="auto"/>
          <w:sz w:val="24"/>
          <w:szCs w:val="24"/>
          <w:lang w:val="en-US" w:eastAsia="zh-CN"/>
        </w:rPr>
        <w:t>一、评标办法及标准</w:t>
      </w:r>
    </w:p>
    <w:p w14:paraId="547CFA8C">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1、评标方法：</w:t>
      </w:r>
    </w:p>
    <w:p w14:paraId="66B0B85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本次评标采用综合评分法，评标结果按评审后得分由高到低顺序排列。得分相同的，按投标报价由低到高顺序排列。得分且投标报价相同的并列。投标文件满足</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文件全部实质性要求，且按照评审因素的量化指标评审得分最高的投标人为中标候选人。中标候选人并列的，采用随机抽取的方式确定。</w:t>
      </w:r>
    </w:p>
    <w:p w14:paraId="03569108">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2.评分标准：</w:t>
      </w:r>
      <w:r>
        <w:rPr>
          <w:rFonts w:hint="eastAsia" w:ascii="宋体" w:hAnsi="宋体" w:eastAsia="宋体" w:cs="宋体"/>
          <w:color w:val="auto"/>
          <w:sz w:val="24"/>
          <w:szCs w:val="24"/>
        </w:rPr>
        <w:t>共100分，其中</w:t>
      </w:r>
      <w:r>
        <w:rPr>
          <w:rFonts w:hint="eastAsia" w:ascii="宋体" w:hAnsi="宋体" w:eastAsia="宋体" w:cs="宋体"/>
          <w:color w:val="auto"/>
          <w:sz w:val="24"/>
          <w:szCs w:val="24"/>
          <w:lang w:val="en-US" w:eastAsia="zh-CN"/>
        </w:rPr>
        <w:t>资信</w:t>
      </w:r>
      <w:r>
        <w:rPr>
          <w:rFonts w:hint="eastAsia" w:ascii="宋体" w:hAnsi="宋体" w:eastAsia="宋体" w:cs="宋体"/>
          <w:color w:val="auto"/>
          <w:sz w:val="24"/>
          <w:szCs w:val="24"/>
        </w:rPr>
        <w:t>技术分</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w:t>
      </w:r>
      <w:r>
        <w:rPr>
          <w:rFonts w:hint="eastAsia" w:ascii="宋体" w:hAnsi="宋体" w:eastAsia="宋体" w:cs="宋体"/>
          <w:color w:val="auto"/>
          <w:sz w:val="24"/>
          <w:szCs w:val="24"/>
          <w:u w:val="none"/>
        </w:rPr>
        <w:t>分，价格分</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0</w:t>
      </w:r>
      <w:r>
        <w:rPr>
          <w:rFonts w:hint="eastAsia" w:ascii="宋体" w:hAnsi="宋体" w:eastAsia="宋体" w:cs="宋体"/>
          <w:color w:val="auto"/>
          <w:sz w:val="24"/>
          <w:szCs w:val="24"/>
          <w:u w:val="none"/>
        </w:rPr>
        <w:t>分</w:t>
      </w:r>
      <w:r>
        <w:rPr>
          <w:rFonts w:hint="eastAsia" w:ascii="宋体" w:hAnsi="宋体" w:eastAsia="宋体" w:cs="宋体"/>
          <w:color w:val="auto"/>
          <w:sz w:val="24"/>
          <w:szCs w:val="24"/>
        </w:rPr>
        <w:t>。评分依下述所列为评标</w:t>
      </w:r>
      <w:r>
        <w:rPr>
          <w:rFonts w:hint="eastAsia" w:ascii="宋体" w:hAnsi="宋体" w:eastAsia="宋体" w:cs="宋体"/>
          <w:color w:val="auto"/>
          <w:sz w:val="24"/>
          <w:szCs w:val="24"/>
          <w:lang w:eastAsia="zh-CN"/>
        </w:rPr>
        <w:t>评分</w:t>
      </w:r>
      <w:r>
        <w:rPr>
          <w:rFonts w:hint="eastAsia" w:ascii="宋体" w:hAnsi="宋体" w:eastAsia="宋体" w:cs="宋体"/>
          <w:color w:val="auto"/>
          <w:sz w:val="24"/>
          <w:szCs w:val="24"/>
        </w:rPr>
        <w:t>依据，分值如下（计算分值时，按其算术平均值保留小数2位）。</w:t>
      </w:r>
    </w:p>
    <w:p w14:paraId="3206F658">
      <w:pPr>
        <w:pStyle w:val="5"/>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Cs w:val="0"/>
          <w:color w:val="auto"/>
          <w:kern w:val="1"/>
          <w:sz w:val="24"/>
          <w:szCs w:val="24"/>
          <w:highlight w:val="none"/>
        </w:rPr>
      </w:pPr>
      <w:r>
        <w:rPr>
          <w:rFonts w:hint="eastAsia" w:ascii="宋体" w:hAnsi="宋体" w:eastAsia="宋体" w:cs="宋体"/>
          <w:bCs w:val="0"/>
          <w:color w:val="auto"/>
          <w:kern w:val="1"/>
          <w:sz w:val="24"/>
          <w:szCs w:val="24"/>
          <w:highlight w:val="none"/>
          <w:lang w:val="en-US" w:eastAsia="zh-CN"/>
        </w:rPr>
        <w:t>二</w:t>
      </w:r>
      <w:r>
        <w:rPr>
          <w:rFonts w:hint="eastAsia" w:ascii="宋体" w:hAnsi="宋体" w:eastAsia="宋体" w:cs="宋体"/>
          <w:bCs w:val="0"/>
          <w:color w:val="auto"/>
          <w:kern w:val="1"/>
          <w:sz w:val="24"/>
          <w:szCs w:val="24"/>
          <w:highlight w:val="none"/>
        </w:rPr>
        <w:t>、评分细则</w:t>
      </w:r>
      <w:bookmarkEnd w:id="63"/>
    </w:p>
    <w:p w14:paraId="1A499E6F">
      <w:pPr>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bCs/>
          <w:color w:val="auto"/>
          <w:kern w:val="2"/>
          <w:sz w:val="24"/>
          <w:szCs w:val="24"/>
          <w:highlight w:val="none"/>
          <w:lang w:val="en-US" w:eastAsia="zh-CN"/>
        </w:rPr>
      </w:pPr>
      <w:bookmarkStart w:id="64" w:name="_Toc15877"/>
      <w:bookmarkStart w:id="65" w:name="_Toc5732"/>
      <w:bookmarkStart w:id="66" w:name="_Toc3954"/>
      <w:bookmarkStart w:id="67" w:name="_Toc1494"/>
      <w:bookmarkStart w:id="68" w:name="_Toc361685350"/>
      <w:bookmarkStart w:id="69" w:name="_Toc16967"/>
      <w:bookmarkStart w:id="70" w:name="_Toc8615"/>
      <w:bookmarkStart w:id="71" w:name="_Toc22053"/>
      <w:bookmarkStart w:id="72" w:name="_Toc25523"/>
      <w:bookmarkStart w:id="73" w:name="_Toc31350"/>
      <w:bookmarkStart w:id="74" w:name="_Toc2190"/>
      <w:bookmarkStart w:id="75" w:name="_Toc5109"/>
      <w:r>
        <w:rPr>
          <w:rFonts w:hint="eastAsia" w:ascii="宋体" w:hAnsi="宋体" w:eastAsia="宋体" w:cs="宋体"/>
          <w:color w:val="auto"/>
          <w:kern w:val="1"/>
          <w:sz w:val="24"/>
          <w:szCs w:val="24"/>
          <w:highlight w:val="none"/>
          <w:lang w:val="en-US" w:eastAsia="zh-CN"/>
        </w:rPr>
        <w:t>1、</w:t>
      </w:r>
      <w:r>
        <w:rPr>
          <w:rFonts w:hint="eastAsia" w:ascii="宋体" w:hAnsi="宋体" w:cs="宋体"/>
          <w:color w:val="auto"/>
          <w:kern w:val="1"/>
          <w:sz w:val="24"/>
          <w:szCs w:val="24"/>
          <w:highlight w:val="none"/>
          <w:lang w:eastAsia="zh-CN"/>
        </w:rPr>
        <w:t>资信技术</w:t>
      </w:r>
      <w:r>
        <w:rPr>
          <w:rFonts w:hint="eastAsia" w:ascii="宋体" w:hAnsi="宋体" w:eastAsia="宋体" w:cs="宋体"/>
          <w:color w:val="auto"/>
          <w:kern w:val="1"/>
          <w:sz w:val="24"/>
          <w:szCs w:val="24"/>
          <w:highlight w:val="none"/>
        </w:rPr>
        <w:t>分（</w:t>
      </w:r>
      <w:r>
        <w:rPr>
          <w:rFonts w:hint="eastAsia" w:ascii="宋体" w:hAnsi="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lang w:val="en-US" w:eastAsia="zh-CN"/>
        </w:rPr>
        <w:t>0</w:t>
      </w:r>
      <w:r>
        <w:rPr>
          <w:rFonts w:hint="eastAsia" w:ascii="宋体" w:hAnsi="宋体" w:eastAsia="宋体" w:cs="宋体"/>
          <w:color w:val="auto"/>
          <w:kern w:val="1"/>
          <w:sz w:val="24"/>
          <w:szCs w:val="24"/>
          <w:highlight w:val="none"/>
        </w:rPr>
        <w:t>分）</w:t>
      </w:r>
    </w:p>
    <w:bookmarkEnd w:id="64"/>
    <w:bookmarkEnd w:id="65"/>
    <w:bookmarkEnd w:id="66"/>
    <w:bookmarkEnd w:id="67"/>
    <w:bookmarkEnd w:id="68"/>
    <w:bookmarkEnd w:id="69"/>
    <w:bookmarkEnd w:id="70"/>
    <w:bookmarkEnd w:id="71"/>
    <w:bookmarkEnd w:id="72"/>
    <w:bookmarkEnd w:id="73"/>
    <w:bookmarkEnd w:id="74"/>
    <w:bookmarkEnd w:id="75"/>
    <w:tbl>
      <w:tblPr>
        <w:tblStyle w:val="28"/>
        <w:tblW w:w="900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92"/>
        <w:gridCol w:w="6248"/>
        <w:gridCol w:w="840"/>
      </w:tblGrid>
      <w:tr w14:paraId="2D18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9EBE1EA">
            <w:pPr>
              <w:jc w:val="center"/>
              <w:rPr>
                <w:rFonts w:hint="eastAsia" w:ascii="宋体" w:hAnsi="宋体" w:eastAsia="宋体" w:cs="宋体"/>
                <w:sz w:val="24"/>
                <w:szCs w:val="24"/>
                <w:vertAlign w:val="baseline"/>
                <w:lang w:eastAsia="zh-CN"/>
              </w:rPr>
            </w:pPr>
            <w:bookmarkStart w:id="76" w:name="_Toc3938"/>
            <w:bookmarkStart w:id="77" w:name="_Toc2033"/>
            <w:r>
              <w:rPr>
                <w:rFonts w:hint="eastAsia" w:ascii="宋体" w:hAnsi="宋体" w:eastAsia="宋体" w:cs="宋体"/>
                <w:sz w:val="24"/>
                <w:szCs w:val="24"/>
                <w:vertAlign w:val="baseline"/>
                <w:lang w:eastAsia="zh-CN"/>
              </w:rPr>
              <w:t>序号</w:t>
            </w:r>
          </w:p>
        </w:tc>
        <w:tc>
          <w:tcPr>
            <w:tcW w:w="1192" w:type="dxa"/>
            <w:vAlign w:val="center"/>
          </w:tcPr>
          <w:p w14:paraId="72DBBF1B">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评分项目</w:t>
            </w:r>
          </w:p>
        </w:tc>
        <w:tc>
          <w:tcPr>
            <w:tcW w:w="6248" w:type="dxa"/>
          </w:tcPr>
          <w:p w14:paraId="335994C2">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评标要点及说明</w:t>
            </w:r>
          </w:p>
        </w:tc>
        <w:tc>
          <w:tcPr>
            <w:tcW w:w="840" w:type="dxa"/>
          </w:tcPr>
          <w:p w14:paraId="25BAB44A">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得分</w:t>
            </w:r>
          </w:p>
        </w:tc>
      </w:tr>
      <w:tr w14:paraId="0989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0CB3CA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192" w:type="dxa"/>
            <w:vAlign w:val="center"/>
          </w:tcPr>
          <w:p w14:paraId="5D239397">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综合实力</w:t>
            </w:r>
          </w:p>
        </w:tc>
        <w:tc>
          <w:tcPr>
            <w:tcW w:w="6248" w:type="dxa"/>
          </w:tcPr>
          <w:p w14:paraId="626D6F33">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根据各投标人的经营情况、内部管理制度、信誉等进行评审(2,1.5，1.0.5，0分)。</w:t>
            </w:r>
          </w:p>
        </w:tc>
        <w:tc>
          <w:tcPr>
            <w:tcW w:w="840" w:type="dxa"/>
            <w:vAlign w:val="center"/>
          </w:tcPr>
          <w:p w14:paraId="389045B9">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rPr>
              <w:t>分</w:t>
            </w:r>
          </w:p>
        </w:tc>
      </w:tr>
      <w:tr w14:paraId="49FA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B5E508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192" w:type="dxa"/>
            <w:vAlign w:val="center"/>
          </w:tcPr>
          <w:p w14:paraId="7E50811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业绩</w:t>
            </w:r>
          </w:p>
        </w:tc>
        <w:tc>
          <w:tcPr>
            <w:tcW w:w="6248" w:type="dxa"/>
          </w:tcPr>
          <w:p w14:paraId="3B141BD8">
            <w:pPr>
              <w:jc w:val="left"/>
              <w:rPr>
                <w:rFonts w:hint="eastAsia" w:ascii="宋体" w:hAnsi="宋体" w:eastAsia="宋体" w:cs="宋体"/>
                <w:color w:val="auto"/>
                <w:sz w:val="24"/>
                <w:szCs w:val="24"/>
                <w:vertAlign w:val="baseline"/>
              </w:rPr>
            </w:pPr>
            <w:r>
              <w:rPr>
                <w:rFonts w:hint="eastAsia" w:ascii="宋体" w:hAnsi="宋体" w:eastAsia="宋体" w:cs="宋体"/>
                <w:sz w:val="24"/>
                <w:szCs w:val="24"/>
                <w:vertAlign w:val="baseline"/>
              </w:rPr>
              <w:t>投标人 2021</w:t>
            </w:r>
            <w:r>
              <w:rPr>
                <w:rFonts w:hint="eastAsia" w:ascii="宋体" w:hAnsi="宋体" w:eastAsia="宋体" w:cs="宋体"/>
                <w:color w:val="auto"/>
                <w:sz w:val="24"/>
                <w:szCs w:val="24"/>
                <w:vertAlign w:val="baseline"/>
              </w:rPr>
              <w:t>年7月1日以来</w:t>
            </w:r>
            <w:r>
              <w:rPr>
                <w:rFonts w:hint="eastAsia" w:ascii="宋体" w:hAnsi="宋体" w:eastAsia="宋体" w:cs="宋体"/>
                <w:color w:val="auto"/>
                <w:sz w:val="24"/>
                <w:szCs w:val="24"/>
                <w:vertAlign w:val="baseline"/>
                <w:lang w:eastAsia="zh-CN"/>
              </w:rPr>
              <w:t>（以合同签订时间为准）</w:t>
            </w:r>
            <w:r>
              <w:rPr>
                <w:rFonts w:hint="eastAsia" w:ascii="宋体" w:hAnsi="宋体" w:eastAsia="宋体" w:cs="宋体"/>
                <w:color w:val="auto"/>
                <w:sz w:val="24"/>
                <w:szCs w:val="24"/>
                <w:vertAlign w:val="baseline"/>
              </w:rPr>
              <w:t>同类业绩或案例证明，每提供1个得</w:t>
            </w: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rPr>
              <w:t>分，满分</w:t>
            </w: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rPr>
              <w:t>分。</w:t>
            </w:r>
          </w:p>
          <w:p w14:paraId="0928D7B3">
            <w:pPr>
              <w:jc w:val="left"/>
              <w:rPr>
                <w:rFonts w:hint="eastAsia" w:ascii="宋体" w:hAnsi="宋体" w:eastAsia="宋体" w:cs="宋体"/>
                <w:sz w:val="24"/>
                <w:szCs w:val="24"/>
                <w:vertAlign w:val="baseline"/>
              </w:rPr>
            </w:pPr>
            <w:r>
              <w:rPr>
                <w:rFonts w:hint="eastAsia" w:ascii="宋体" w:hAnsi="宋体" w:eastAsia="宋体" w:cs="宋体"/>
                <w:color w:val="auto"/>
                <w:sz w:val="24"/>
                <w:szCs w:val="24"/>
                <w:vertAlign w:val="baseline"/>
              </w:rPr>
              <w:t>注</w:t>
            </w:r>
            <w:r>
              <w:rPr>
                <w:rFonts w:hint="eastAsia" w:ascii="宋体" w:hAnsi="宋体" w:eastAsia="宋体" w:cs="宋体"/>
                <w:color w:val="auto"/>
                <w:sz w:val="24"/>
                <w:szCs w:val="24"/>
                <w:vertAlign w:val="baseline"/>
                <w:lang w:eastAsia="zh-CN"/>
              </w:rPr>
              <w:t>：须提供</w:t>
            </w:r>
            <w:r>
              <w:rPr>
                <w:rFonts w:hint="eastAsia" w:ascii="宋体" w:hAnsi="宋体" w:eastAsia="宋体" w:cs="宋体"/>
                <w:color w:val="auto"/>
                <w:sz w:val="24"/>
                <w:szCs w:val="24"/>
                <w:vertAlign w:val="baseline"/>
              </w:rPr>
              <w:t>中标通知书、合同及</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竣工</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验收</w:t>
            </w:r>
            <w:r>
              <w:rPr>
                <w:rFonts w:hint="eastAsia" w:ascii="宋体" w:hAnsi="宋体" w:eastAsia="宋体" w:cs="宋体"/>
                <w:color w:val="auto"/>
                <w:sz w:val="24"/>
                <w:szCs w:val="24"/>
                <w:vertAlign w:val="baseline"/>
                <w:lang w:eastAsia="zh-CN"/>
              </w:rPr>
              <w:t>证明材料</w:t>
            </w:r>
            <w:r>
              <w:rPr>
                <w:rFonts w:hint="eastAsia" w:ascii="宋体" w:hAnsi="宋体" w:eastAsia="宋体" w:cs="宋体"/>
                <w:color w:val="auto"/>
                <w:sz w:val="24"/>
                <w:szCs w:val="24"/>
                <w:vertAlign w:val="baseline"/>
              </w:rPr>
              <w:t>，</w:t>
            </w:r>
            <w:r>
              <w:rPr>
                <w:rFonts w:hint="eastAsia" w:ascii="宋体" w:hAnsi="宋体" w:eastAsia="宋体" w:cs="宋体"/>
                <w:sz w:val="24"/>
                <w:szCs w:val="24"/>
                <w:vertAlign w:val="baseline"/>
              </w:rPr>
              <w:t>否则不得分。</w:t>
            </w:r>
          </w:p>
        </w:tc>
        <w:tc>
          <w:tcPr>
            <w:tcW w:w="840" w:type="dxa"/>
            <w:vAlign w:val="center"/>
          </w:tcPr>
          <w:p w14:paraId="317F32BA">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rPr>
              <w:t>分</w:t>
            </w:r>
          </w:p>
        </w:tc>
      </w:tr>
      <w:tr w14:paraId="7831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20" w:type="dxa"/>
            <w:vAlign w:val="center"/>
          </w:tcPr>
          <w:p w14:paraId="30DD8A4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192" w:type="dxa"/>
            <w:vAlign w:val="center"/>
          </w:tcPr>
          <w:p w14:paraId="6BE043D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技术参数</w:t>
            </w:r>
          </w:p>
        </w:tc>
        <w:tc>
          <w:tcPr>
            <w:tcW w:w="6248" w:type="dxa"/>
            <w:vAlign w:val="top"/>
          </w:tcPr>
          <w:p w14:paraId="4D28C868">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完全满足</w:t>
            </w:r>
            <w:r>
              <w:rPr>
                <w:rFonts w:hint="eastAsia" w:ascii="宋体" w:hAnsi="宋体" w:eastAsia="宋体" w:cs="宋体"/>
                <w:sz w:val="24"/>
                <w:szCs w:val="24"/>
                <w:vertAlign w:val="baseline"/>
                <w:lang w:eastAsia="zh-CN"/>
              </w:rPr>
              <w:t>招标</w:t>
            </w:r>
            <w:r>
              <w:rPr>
                <w:rFonts w:hint="eastAsia" w:ascii="宋体" w:hAnsi="宋体" w:eastAsia="宋体" w:cs="宋体"/>
                <w:sz w:val="24"/>
                <w:szCs w:val="24"/>
                <w:vertAlign w:val="baseline"/>
              </w:rPr>
              <w:t>文件的技术要求的得</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分，打“▲”的指标每有一项负偏离的扣1分，其他一般指标每有一项负偏离的扣 0.5分，扣完为止。打“▲”的指标须提供</w:t>
            </w:r>
            <w:r>
              <w:rPr>
                <w:rFonts w:hint="eastAsia" w:ascii="宋体" w:hAnsi="宋体" w:eastAsia="宋体" w:cs="宋体"/>
                <w:sz w:val="24"/>
                <w:szCs w:val="24"/>
                <w:vertAlign w:val="baseline"/>
                <w:lang w:val="en-US" w:eastAsia="zh-CN"/>
              </w:rPr>
              <w:t>带有</w:t>
            </w:r>
            <w:r>
              <w:rPr>
                <w:rFonts w:hint="eastAsia" w:ascii="宋体" w:hAnsi="宋体" w:eastAsia="宋体" w:cs="宋体"/>
                <w:b/>
                <w:bCs/>
                <w:sz w:val="24"/>
                <w:szCs w:val="24"/>
                <w:vertAlign w:val="baseline"/>
                <w:lang w:val="en-US" w:eastAsia="zh-CN"/>
              </w:rPr>
              <w:t>CMA标识</w:t>
            </w:r>
            <w:r>
              <w:rPr>
                <w:rFonts w:hint="eastAsia" w:ascii="宋体" w:hAnsi="宋体" w:eastAsia="宋体" w:cs="宋体"/>
                <w:sz w:val="24"/>
                <w:szCs w:val="24"/>
                <w:vertAlign w:val="baseline"/>
                <w:lang w:eastAsia="zh-CN"/>
              </w:rPr>
              <w:t>的</w:t>
            </w:r>
            <w:r>
              <w:rPr>
                <w:rFonts w:hint="eastAsia" w:ascii="宋体" w:hAnsi="宋体" w:eastAsia="宋体" w:cs="宋体"/>
                <w:sz w:val="24"/>
                <w:szCs w:val="24"/>
                <w:vertAlign w:val="baseline"/>
              </w:rPr>
              <w:t>检测报告</w:t>
            </w:r>
            <w:r>
              <w:rPr>
                <w:rFonts w:hint="eastAsia" w:ascii="宋体" w:hAnsi="宋体" w:eastAsia="宋体" w:cs="宋体"/>
                <w:sz w:val="24"/>
                <w:szCs w:val="24"/>
                <w:vertAlign w:val="baseline"/>
                <w:lang w:eastAsia="zh-CN"/>
              </w:rPr>
              <w:t>并</w:t>
            </w:r>
            <w:r>
              <w:rPr>
                <w:rFonts w:hint="eastAsia" w:ascii="宋体" w:hAnsi="宋体" w:eastAsia="宋体" w:cs="宋体"/>
                <w:sz w:val="24"/>
                <w:szCs w:val="24"/>
                <w:vertAlign w:val="baseline"/>
              </w:rPr>
              <w:t>着重标注</w:t>
            </w:r>
            <w:r>
              <w:rPr>
                <w:rFonts w:hint="eastAsia" w:ascii="宋体" w:hAnsi="宋体" w:eastAsia="宋体" w:cs="宋体"/>
                <w:sz w:val="24"/>
                <w:szCs w:val="24"/>
                <w:vertAlign w:val="baseline"/>
                <w:lang w:eastAsia="zh-CN"/>
              </w:rPr>
              <w:t>相关内容</w:t>
            </w:r>
            <w:r>
              <w:rPr>
                <w:rFonts w:hint="eastAsia" w:ascii="宋体" w:hAnsi="宋体" w:eastAsia="宋体" w:cs="宋体"/>
                <w:sz w:val="24"/>
                <w:szCs w:val="24"/>
                <w:vertAlign w:val="baseline"/>
              </w:rPr>
              <w:t>。</w:t>
            </w:r>
          </w:p>
        </w:tc>
        <w:tc>
          <w:tcPr>
            <w:tcW w:w="840" w:type="dxa"/>
            <w:vAlign w:val="center"/>
          </w:tcPr>
          <w:p w14:paraId="1B420996">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10</w:t>
            </w:r>
            <w:r>
              <w:rPr>
                <w:rFonts w:hint="eastAsia" w:ascii="宋体" w:hAnsi="宋体" w:eastAsia="宋体" w:cs="宋体"/>
                <w:sz w:val="24"/>
                <w:szCs w:val="24"/>
                <w:vertAlign w:val="baseline"/>
              </w:rPr>
              <w:t>分</w:t>
            </w:r>
          </w:p>
        </w:tc>
      </w:tr>
      <w:tr w14:paraId="608D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restart"/>
            <w:vAlign w:val="center"/>
          </w:tcPr>
          <w:p w14:paraId="1F7B792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192" w:type="dxa"/>
            <w:vMerge w:val="restart"/>
            <w:vAlign w:val="center"/>
          </w:tcPr>
          <w:p w14:paraId="2C01C40B">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实施方案</w:t>
            </w:r>
          </w:p>
        </w:tc>
        <w:tc>
          <w:tcPr>
            <w:tcW w:w="6248" w:type="dxa"/>
            <w:vAlign w:val="center"/>
          </w:tcPr>
          <w:p w14:paraId="47546604">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①交付、安装时间节点(</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cs="宋体"/>
                <w:sz w:val="24"/>
                <w:szCs w:val="24"/>
                <w:vertAlign w:val="baseline"/>
                <w:lang w:eastAsia="zh-CN"/>
              </w:rPr>
              <w:t>；</w:t>
            </w:r>
          </w:p>
        </w:tc>
        <w:tc>
          <w:tcPr>
            <w:tcW w:w="840" w:type="dxa"/>
            <w:vAlign w:val="center"/>
          </w:tcPr>
          <w:p w14:paraId="5C9BBD5E">
            <w:pPr>
              <w:jc w:val="center"/>
              <w:rPr>
                <w:rFonts w:hint="eastAsia" w:ascii="宋体" w:hAnsi="宋体" w:eastAsia="宋体" w:cs="宋体"/>
                <w:sz w:val="24"/>
                <w:szCs w:val="24"/>
                <w:vertAlign w:val="baseline"/>
              </w:rPr>
            </w:pP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rPr>
              <w:t>分</w:t>
            </w:r>
          </w:p>
        </w:tc>
      </w:tr>
      <w:tr w14:paraId="7B4A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continue"/>
            <w:vAlign w:val="center"/>
          </w:tcPr>
          <w:p w14:paraId="49BF3CAB">
            <w:pPr>
              <w:jc w:val="center"/>
              <w:rPr>
                <w:rFonts w:hint="eastAsia" w:ascii="宋体" w:hAnsi="宋体" w:eastAsia="宋体" w:cs="宋体"/>
              </w:rPr>
            </w:pPr>
          </w:p>
        </w:tc>
        <w:tc>
          <w:tcPr>
            <w:tcW w:w="1192" w:type="dxa"/>
            <w:vMerge w:val="continue"/>
            <w:vAlign w:val="center"/>
          </w:tcPr>
          <w:p w14:paraId="5F9FDEA0">
            <w:pPr>
              <w:jc w:val="center"/>
              <w:rPr>
                <w:rFonts w:hint="eastAsia" w:ascii="宋体" w:hAnsi="宋体" w:eastAsia="宋体" w:cs="宋体"/>
              </w:rPr>
            </w:pPr>
          </w:p>
        </w:tc>
        <w:tc>
          <w:tcPr>
            <w:tcW w:w="6248" w:type="dxa"/>
            <w:vAlign w:val="center"/>
          </w:tcPr>
          <w:p w14:paraId="5A78A1A3">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②安装方案(</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cs="宋体"/>
                <w:sz w:val="24"/>
                <w:szCs w:val="24"/>
                <w:vertAlign w:val="baseline"/>
                <w:lang w:eastAsia="zh-CN"/>
              </w:rPr>
              <w:t>；</w:t>
            </w:r>
          </w:p>
        </w:tc>
        <w:tc>
          <w:tcPr>
            <w:tcW w:w="840" w:type="dxa"/>
            <w:vAlign w:val="center"/>
          </w:tcPr>
          <w:p w14:paraId="0604D08B">
            <w:pPr>
              <w:jc w:val="center"/>
              <w:rPr>
                <w:rFonts w:hint="eastAsia" w:ascii="宋体" w:hAnsi="宋体" w:eastAsia="宋体" w:cs="宋体"/>
                <w:sz w:val="24"/>
                <w:szCs w:val="24"/>
                <w:vertAlign w:val="baseline"/>
              </w:rPr>
            </w:pPr>
            <w:r>
              <w:rPr>
                <w:rFonts w:hint="eastAsia" w:ascii="仿宋" w:hAnsi="仿宋" w:eastAsia="仿宋" w:cs="仿宋"/>
                <w:sz w:val="24"/>
                <w:szCs w:val="24"/>
                <w:vertAlign w:val="baseline"/>
                <w:lang w:val="en-US" w:eastAsia="zh-CN"/>
              </w:rPr>
              <w:t>3分</w:t>
            </w:r>
          </w:p>
        </w:tc>
      </w:tr>
      <w:tr w14:paraId="0B5D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continue"/>
            <w:vAlign w:val="center"/>
          </w:tcPr>
          <w:p w14:paraId="1B5167E5">
            <w:pPr>
              <w:jc w:val="center"/>
              <w:rPr>
                <w:rFonts w:hint="eastAsia" w:ascii="宋体" w:hAnsi="宋体" w:eastAsia="宋体" w:cs="宋体"/>
                <w:sz w:val="24"/>
                <w:szCs w:val="24"/>
                <w:vertAlign w:val="baseline"/>
              </w:rPr>
            </w:pPr>
          </w:p>
        </w:tc>
        <w:tc>
          <w:tcPr>
            <w:tcW w:w="1192" w:type="dxa"/>
            <w:vMerge w:val="continue"/>
            <w:vAlign w:val="center"/>
          </w:tcPr>
          <w:p w14:paraId="29ACFC3E">
            <w:pPr>
              <w:jc w:val="center"/>
              <w:rPr>
                <w:rFonts w:hint="eastAsia" w:ascii="宋体" w:hAnsi="宋体" w:eastAsia="宋体" w:cs="宋体"/>
                <w:sz w:val="24"/>
                <w:szCs w:val="24"/>
                <w:vertAlign w:val="baseline"/>
              </w:rPr>
            </w:pPr>
          </w:p>
        </w:tc>
        <w:tc>
          <w:tcPr>
            <w:tcW w:w="6248" w:type="dxa"/>
            <w:vAlign w:val="center"/>
          </w:tcPr>
          <w:p w14:paraId="6C878D37">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③人员安排(</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p>
        </w:tc>
        <w:tc>
          <w:tcPr>
            <w:tcW w:w="840" w:type="dxa"/>
            <w:vAlign w:val="center"/>
          </w:tcPr>
          <w:p w14:paraId="3983A351">
            <w:pPr>
              <w:jc w:val="center"/>
              <w:rPr>
                <w:rFonts w:hint="eastAsia" w:ascii="宋体" w:hAnsi="宋体" w:eastAsia="宋体" w:cs="宋体"/>
                <w:sz w:val="24"/>
                <w:szCs w:val="24"/>
                <w:vertAlign w:val="baseline"/>
              </w:rPr>
            </w:pPr>
            <w:r>
              <w:rPr>
                <w:rFonts w:hint="eastAsia" w:ascii="仿宋" w:hAnsi="仿宋" w:eastAsia="仿宋" w:cs="仿宋"/>
                <w:sz w:val="24"/>
                <w:szCs w:val="24"/>
                <w:vertAlign w:val="baseline"/>
                <w:lang w:val="en-US" w:eastAsia="zh-CN"/>
              </w:rPr>
              <w:t>3分</w:t>
            </w:r>
          </w:p>
        </w:tc>
      </w:tr>
      <w:tr w14:paraId="5BDB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restart"/>
            <w:vAlign w:val="center"/>
          </w:tcPr>
          <w:p w14:paraId="37589EC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192" w:type="dxa"/>
            <w:vMerge w:val="restart"/>
            <w:vAlign w:val="center"/>
          </w:tcPr>
          <w:p w14:paraId="01556555">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售后服务及保障</w:t>
            </w:r>
          </w:p>
        </w:tc>
        <w:tc>
          <w:tcPr>
            <w:tcW w:w="6248" w:type="dxa"/>
            <w:vAlign w:val="center"/>
          </w:tcPr>
          <w:p w14:paraId="376BE1AC">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①售后服务方案(</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p>
        </w:tc>
        <w:tc>
          <w:tcPr>
            <w:tcW w:w="840" w:type="dxa"/>
            <w:vAlign w:val="center"/>
          </w:tcPr>
          <w:p w14:paraId="6A19D24B">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rPr>
              <w:t>分</w:t>
            </w:r>
          </w:p>
        </w:tc>
      </w:tr>
      <w:tr w14:paraId="5F46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continue"/>
            <w:vAlign w:val="center"/>
          </w:tcPr>
          <w:p w14:paraId="3231D6E6">
            <w:pPr>
              <w:jc w:val="center"/>
              <w:rPr>
                <w:rFonts w:hint="eastAsia" w:ascii="宋体" w:hAnsi="宋体" w:eastAsia="宋体" w:cs="宋体"/>
              </w:rPr>
            </w:pPr>
          </w:p>
        </w:tc>
        <w:tc>
          <w:tcPr>
            <w:tcW w:w="1192" w:type="dxa"/>
            <w:vMerge w:val="continue"/>
            <w:vAlign w:val="center"/>
          </w:tcPr>
          <w:p w14:paraId="3DD499D6">
            <w:pPr>
              <w:jc w:val="center"/>
              <w:rPr>
                <w:rFonts w:hint="eastAsia" w:ascii="宋体" w:hAnsi="宋体" w:eastAsia="宋体" w:cs="宋体"/>
              </w:rPr>
            </w:pPr>
          </w:p>
        </w:tc>
        <w:tc>
          <w:tcPr>
            <w:tcW w:w="6248" w:type="dxa"/>
            <w:vAlign w:val="center"/>
          </w:tcPr>
          <w:p w14:paraId="29301A9F">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②技术服务支持力量(</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p>
        </w:tc>
        <w:tc>
          <w:tcPr>
            <w:tcW w:w="840" w:type="dxa"/>
            <w:vAlign w:val="center"/>
          </w:tcPr>
          <w:p w14:paraId="230B9280">
            <w:pPr>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rPr>
              <w:t>分</w:t>
            </w:r>
          </w:p>
        </w:tc>
      </w:tr>
      <w:tr w14:paraId="0891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continue"/>
            <w:vAlign w:val="center"/>
          </w:tcPr>
          <w:p w14:paraId="43C9BCC7">
            <w:pPr>
              <w:jc w:val="center"/>
              <w:rPr>
                <w:rFonts w:hint="eastAsia" w:ascii="宋体" w:hAnsi="宋体" w:eastAsia="宋体" w:cs="宋体"/>
              </w:rPr>
            </w:pPr>
          </w:p>
        </w:tc>
        <w:tc>
          <w:tcPr>
            <w:tcW w:w="1192" w:type="dxa"/>
            <w:vMerge w:val="continue"/>
            <w:vAlign w:val="center"/>
          </w:tcPr>
          <w:p w14:paraId="14AC85A5">
            <w:pPr>
              <w:jc w:val="center"/>
              <w:rPr>
                <w:rFonts w:hint="eastAsia" w:ascii="宋体" w:hAnsi="宋体" w:eastAsia="宋体" w:cs="宋体"/>
              </w:rPr>
            </w:pPr>
          </w:p>
        </w:tc>
        <w:tc>
          <w:tcPr>
            <w:tcW w:w="6248" w:type="dxa"/>
            <w:vAlign w:val="center"/>
          </w:tcPr>
          <w:p w14:paraId="0D4155D4">
            <w:pPr>
              <w:jc w:val="left"/>
              <w:rPr>
                <w:rFonts w:hint="eastAsia" w:ascii="宋体" w:hAnsi="宋体" w:eastAsia="宋体" w:cs="宋体"/>
                <w:sz w:val="24"/>
                <w:szCs w:val="24"/>
                <w:vertAlign w:val="baseline"/>
                <w:lang w:eastAsia="zh-CN"/>
              </w:rPr>
            </w:pPr>
            <w:r>
              <w:rPr>
                <w:rFonts w:hint="default" w:ascii="宋体" w:hAnsi="宋体" w:eastAsia="宋体" w:cs="宋体"/>
                <w:sz w:val="24"/>
                <w:szCs w:val="24"/>
                <w:vertAlign w:val="baseline"/>
              </w:rPr>
              <w:t>③</w:t>
            </w:r>
            <w:r>
              <w:rPr>
                <w:rFonts w:hint="eastAsia" w:ascii="宋体" w:hAnsi="宋体" w:eastAsia="宋体" w:cs="宋体"/>
                <w:sz w:val="24"/>
                <w:szCs w:val="24"/>
                <w:vertAlign w:val="baseline"/>
              </w:rPr>
              <w:t>售后服务承诺(</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eastAsia="宋体" w:cs="宋体"/>
                <w:sz w:val="24"/>
                <w:szCs w:val="24"/>
                <w:vertAlign w:val="baseline"/>
                <w:lang w:eastAsia="zh-CN"/>
              </w:rPr>
              <w:t>；</w:t>
            </w:r>
          </w:p>
        </w:tc>
        <w:tc>
          <w:tcPr>
            <w:tcW w:w="840" w:type="dxa"/>
            <w:vAlign w:val="center"/>
          </w:tcPr>
          <w:p w14:paraId="09AD6B77">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rPr>
              <w:t>分</w:t>
            </w:r>
          </w:p>
        </w:tc>
      </w:tr>
      <w:tr w14:paraId="17EE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20" w:type="dxa"/>
            <w:vMerge w:val="continue"/>
            <w:vAlign w:val="center"/>
          </w:tcPr>
          <w:p w14:paraId="773E4B08">
            <w:pPr>
              <w:jc w:val="center"/>
              <w:rPr>
                <w:rFonts w:hint="eastAsia" w:ascii="宋体" w:hAnsi="宋体" w:eastAsia="宋体" w:cs="宋体"/>
                <w:sz w:val="24"/>
                <w:szCs w:val="24"/>
                <w:vertAlign w:val="baseline"/>
              </w:rPr>
            </w:pPr>
          </w:p>
        </w:tc>
        <w:tc>
          <w:tcPr>
            <w:tcW w:w="1192" w:type="dxa"/>
            <w:vMerge w:val="continue"/>
            <w:vAlign w:val="center"/>
          </w:tcPr>
          <w:p w14:paraId="3511C39C">
            <w:pPr>
              <w:jc w:val="center"/>
              <w:rPr>
                <w:rFonts w:hint="eastAsia" w:ascii="宋体" w:hAnsi="宋体" w:eastAsia="宋体" w:cs="宋体"/>
                <w:sz w:val="24"/>
                <w:szCs w:val="24"/>
                <w:vertAlign w:val="baseline"/>
              </w:rPr>
            </w:pPr>
          </w:p>
        </w:tc>
        <w:tc>
          <w:tcPr>
            <w:tcW w:w="6248" w:type="dxa"/>
            <w:vAlign w:val="center"/>
          </w:tcPr>
          <w:p w14:paraId="3B2503C4">
            <w:pPr>
              <w:jc w:val="left"/>
              <w:rPr>
                <w:rFonts w:hint="eastAsia" w:ascii="宋体" w:hAnsi="宋体" w:eastAsia="宋体" w:cs="宋体"/>
                <w:sz w:val="24"/>
                <w:szCs w:val="24"/>
                <w:vertAlign w:val="baseline"/>
                <w:lang w:eastAsia="zh-CN"/>
              </w:rPr>
            </w:pPr>
            <w:r>
              <w:rPr>
                <w:rFonts w:hint="default" w:ascii="宋体" w:hAnsi="宋体" w:eastAsia="宋体" w:cs="宋体"/>
                <w:sz w:val="24"/>
                <w:szCs w:val="24"/>
                <w:vertAlign w:val="baseline"/>
              </w:rPr>
              <w:t>④</w:t>
            </w:r>
            <w:r>
              <w:rPr>
                <w:rFonts w:hint="eastAsia" w:ascii="宋体" w:hAnsi="宋体" w:eastAsia="宋体" w:cs="宋体"/>
                <w:sz w:val="24"/>
                <w:szCs w:val="24"/>
                <w:vertAlign w:val="baseline"/>
              </w:rPr>
              <w:t>故障响应时间</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修复时间(</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cs="宋体"/>
                <w:sz w:val="24"/>
                <w:szCs w:val="24"/>
                <w:vertAlign w:val="baseline"/>
                <w:lang w:eastAsia="zh-CN"/>
              </w:rPr>
              <w:t>。</w:t>
            </w:r>
          </w:p>
        </w:tc>
        <w:tc>
          <w:tcPr>
            <w:tcW w:w="840" w:type="dxa"/>
            <w:vAlign w:val="center"/>
          </w:tcPr>
          <w:p w14:paraId="587EA581">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rPr>
              <w:t>分</w:t>
            </w:r>
          </w:p>
        </w:tc>
      </w:tr>
      <w:tr w14:paraId="2AF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AB67D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192" w:type="dxa"/>
            <w:vAlign w:val="center"/>
          </w:tcPr>
          <w:p w14:paraId="74AE23E2">
            <w:pPr>
              <w:widowControl/>
              <w:spacing w:line="360" w:lineRule="exact"/>
              <w:jc w:val="center"/>
              <w:rPr>
                <w:rFonts w:hint="eastAsia" w:ascii="宋体" w:hAnsi="宋体" w:eastAsia="宋体" w:cs="宋体"/>
                <w:sz w:val="24"/>
                <w:szCs w:val="24"/>
                <w:vertAlign w:val="baseline"/>
              </w:rPr>
            </w:pPr>
            <w:r>
              <w:rPr>
                <w:rFonts w:hint="eastAsia" w:ascii="宋体" w:hAnsi="宋体" w:eastAsia="宋体" w:cs="宋体"/>
                <w:b w:val="0"/>
                <w:bCs w:val="0"/>
                <w:color w:val="auto"/>
                <w:sz w:val="24"/>
                <w:szCs w:val="24"/>
                <w:highlight w:val="none"/>
                <w:lang w:eastAsia="zh-CN"/>
              </w:rPr>
              <w:t>应急措施</w:t>
            </w:r>
          </w:p>
        </w:tc>
        <w:tc>
          <w:tcPr>
            <w:tcW w:w="6248" w:type="dxa"/>
            <w:vAlign w:val="center"/>
          </w:tcPr>
          <w:p w14:paraId="6CDAB43E">
            <w:pPr>
              <w:widowControl/>
              <w:spacing w:line="360" w:lineRule="exact"/>
              <w:rPr>
                <w:rFonts w:hint="eastAsia" w:ascii="宋体" w:hAnsi="宋体" w:eastAsia="宋体" w:cs="宋体"/>
                <w:sz w:val="24"/>
                <w:szCs w:val="24"/>
                <w:vertAlign w:val="baseline"/>
              </w:rPr>
            </w:pPr>
            <w:r>
              <w:rPr>
                <w:rFonts w:hint="eastAsia" w:ascii="宋体" w:hAnsi="宋体" w:eastAsia="宋体" w:cs="宋体"/>
                <w:b w:val="0"/>
                <w:bCs w:val="0"/>
                <w:color w:val="auto"/>
                <w:sz w:val="24"/>
                <w:szCs w:val="24"/>
                <w:highlight w:val="none"/>
                <w:lang w:val="en-US" w:eastAsia="zh-CN"/>
              </w:rPr>
              <w:t>对供货突发事件(天气、交通、安装等因素)时的应急预案及相应的措施进行打分</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3,2.5，2,1.5，1,0.5，0</w:t>
            </w:r>
            <w:r>
              <w:rPr>
                <w:rFonts w:hint="eastAsia" w:ascii="宋体" w:hAnsi="宋体" w:eastAsia="宋体" w:cs="宋体"/>
                <w:sz w:val="24"/>
                <w:szCs w:val="24"/>
                <w:vertAlign w:val="baseline"/>
              </w:rPr>
              <w:t>分)</w:t>
            </w:r>
            <w:r>
              <w:rPr>
                <w:rFonts w:hint="eastAsia" w:ascii="宋体" w:hAnsi="宋体" w:eastAsia="宋体" w:cs="宋体"/>
                <w:b w:val="0"/>
                <w:bCs w:val="0"/>
                <w:color w:val="auto"/>
                <w:sz w:val="24"/>
                <w:szCs w:val="24"/>
                <w:highlight w:val="none"/>
                <w:lang w:val="en-US" w:eastAsia="zh-CN"/>
              </w:rPr>
              <w:t>。</w:t>
            </w:r>
          </w:p>
        </w:tc>
        <w:tc>
          <w:tcPr>
            <w:tcW w:w="840" w:type="dxa"/>
            <w:vAlign w:val="center"/>
          </w:tcPr>
          <w:p w14:paraId="38E49F52">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3</w:t>
            </w:r>
            <w:r>
              <w:rPr>
                <w:rFonts w:hint="eastAsia" w:ascii="宋体" w:hAnsi="宋体" w:eastAsia="宋体" w:cs="宋体"/>
                <w:sz w:val="24"/>
                <w:szCs w:val="24"/>
                <w:vertAlign w:val="baseline"/>
              </w:rPr>
              <w:t>分</w:t>
            </w:r>
          </w:p>
        </w:tc>
      </w:tr>
      <w:tr w14:paraId="37D8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E75F81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192" w:type="dxa"/>
            <w:vAlign w:val="center"/>
          </w:tcPr>
          <w:p w14:paraId="4F7E61DD">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质保期</w:t>
            </w:r>
          </w:p>
        </w:tc>
        <w:tc>
          <w:tcPr>
            <w:tcW w:w="6248" w:type="dxa"/>
          </w:tcPr>
          <w:p w14:paraId="4730EF09">
            <w:pPr>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质保期在招标文件规定的基础上，承诺每延长一年得</w:t>
            </w:r>
            <w:r>
              <w:rPr>
                <w:rFonts w:hint="eastAsia" w:ascii="宋体" w:hAnsi="宋体" w:cs="宋体"/>
                <w:sz w:val="24"/>
                <w:szCs w:val="24"/>
                <w:vertAlign w:val="baseline"/>
                <w:lang w:val="en-US" w:eastAsia="zh-CN"/>
              </w:rPr>
              <w:t>2</w:t>
            </w:r>
          </w:p>
          <w:p w14:paraId="512965E7">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分，最高得</w:t>
            </w: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rPr>
              <w:t>分。</w:t>
            </w:r>
          </w:p>
        </w:tc>
        <w:tc>
          <w:tcPr>
            <w:tcW w:w="840" w:type="dxa"/>
            <w:vAlign w:val="center"/>
          </w:tcPr>
          <w:p w14:paraId="1534D82E">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4</w:t>
            </w:r>
            <w:r>
              <w:rPr>
                <w:rFonts w:hint="eastAsia" w:ascii="宋体" w:hAnsi="宋体" w:eastAsia="宋体" w:cs="宋体"/>
                <w:sz w:val="24"/>
                <w:szCs w:val="24"/>
                <w:vertAlign w:val="baseline"/>
              </w:rPr>
              <w:t>分</w:t>
            </w:r>
          </w:p>
        </w:tc>
      </w:tr>
      <w:tr w14:paraId="7196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1128DFF2">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8</w:t>
            </w:r>
          </w:p>
        </w:tc>
        <w:tc>
          <w:tcPr>
            <w:tcW w:w="1192" w:type="dxa"/>
            <w:vMerge w:val="restart"/>
            <w:vAlign w:val="center"/>
          </w:tcPr>
          <w:p w14:paraId="6F3D5644">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样品</w:t>
            </w:r>
          </w:p>
        </w:tc>
        <w:tc>
          <w:tcPr>
            <w:tcW w:w="6248" w:type="dxa"/>
            <w:vAlign w:val="center"/>
          </w:tcPr>
          <w:p w14:paraId="79917A37">
            <w:pPr>
              <w:widowControl/>
              <w:spacing w:line="36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kern w:val="0"/>
                <w:sz w:val="24"/>
                <w:szCs w:val="24"/>
                <w:lang w:val="en-US" w:eastAsia="zh-CN" w:bidi="ar"/>
              </w:rPr>
              <w:t>工作台柜（移门）（1200*600*800/950）:</w:t>
            </w:r>
            <w:r>
              <w:rPr>
                <w:rFonts w:hint="eastAsia" w:ascii="宋体" w:hAnsi="宋体" w:eastAsia="宋体" w:cs="宋体"/>
                <w:b w:val="0"/>
                <w:bCs/>
                <w:color w:val="auto"/>
                <w:sz w:val="24"/>
                <w:szCs w:val="24"/>
                <w:lang w:val="en-US" w:eastAsia="zh-CN"/>
              </w:rPr>
              <w:t>根据招标文件的技术要求，结合样品的材质用料、外观、制作工艺、实用性能</w:t>
            </w:r>
            <w:r>
              <w:rPr>
                <w:rFonts w:hint="eastAsia" w:ascii="宋体" w:hAnsi="宋体" w:cs="宋体"/>
                <w:b w:val="0"/>
                <w:bCs/>
                <w:color w:val="auto"/>
                <w:sz w:val="24"/>
                <w:szCs w:val="24"/>
                <w:lang w:val="en-US" w:eastAsia="zh-CN"/>
              </w:rPr>
              <w:t>等</w:t>
            </w:r>
            <w:r>
              <w:rPr>
                <w:rFonts w:hint="eastAsia" w:ascii="宋体" w:hAnsi="宋体" w:eastAsia="宋体" w:cs="宋体"/>
                <w:b w:val="0"/>
                <w:bCs/>
                <w:color w:val="auto"/>
                <w:sz w:val="24"/>
                <w:szCs w:val="24"/>
                <w:lang w:val="en-US" w:eastAsia="zh-CN"/>
              </w:rPr>
              <w:t>进行打分</w:t>
            </w: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3,2.5，2,1.5，1,0.5，0</w:t>
            </w:r>
            <w:r>
              <w:rPr>
                <w:rFonts w:hint="eastAsia" w:ascii="宋体" w:hAnsi="宋体" w:eastAsia="宋体" w:cs="宋体"/>
                <w:color w:val="auto"/>
                <w:sz w:val="24"/>
                <w:szCs w:val="24"/>
                <w:vertAlign w:val="baseline"/>
              </w:rPr>
              <w:t>分)</w:t>
            </w:r>
            <w:r>
              <w:rPr>
                <w:rFonts w:hint="eastAsia" w:ascii="宋体" w:hAnsi="宋体" w:eastAsia="宋体" w:cs="宋体"/>
                <w:b w:val="0"/>
                <w:bCs/>
                <w:color w:val="auto"/>
                <w:sz w:val="24"/>
                <w:szCs w:val="24"/>
                <w:lang w:val="en-US" w:eastAsia="zh-CN"/>
              </w:rPr>
              <w:t>。</w:t>
            </w:r>
          </w:p>
        </w:tc>
        <w:tc>
          <w:tcPr>
            <w:tcW w:w="840" w:type="dxa"/>
            <w:vAlign w:val="center"/>
          </w:tcPr>
          <w:p w14:paraId="2433B8FF">
            <w:p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分</w:t>
            </w:r>
          </w:p>
        </w:tc>
      </w:tr>
      <w:tr w14:paraId="7C66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14:paraId="2098E0E6">
            <w:pPr>
              <w:jc w:val="center"/>
              <w:rPr>
                <w:rFonts w:hint="eastAsia" w:ascii="宋体" w:hAnsi="宋体" w:eastAsia="宋体" w:cs="宋体"/>
                <w:color w:val="auto"/>
                <w:sz w:val="24"/>
                <w:szCs w:val="24"/>
                <w:vertAlign w:val="baseline"/>
                <w:lang w:val="en-US" w:eastAsia="zh-CN"/>
              </w:rPr>
            </w:pPr>
          </w:p>
        </w:tc>
        <w:tc>
          <w:tcPr>
            <w:tcW w:w="1192" w:type="dxa"/>
            <w:vMerge w:val="continue"/>
            <w:vAlign w:val="center"/>
          </w:tcPr>
          <w:p w14:paraId="14255476">
            <w:pPr>
              <w:jc w:val="center"/>
              <w:rPr>
                <w:rFonts w:hint="eastAsia" w:ascii="宋体" w:hAnsi="宋体" w:eastAsia="宋体" w:cs="宋体"/>
                <w:color w:val="auto"/>
                <w:sz w:val="24"/>
                <w:szCs w:val="24"/>
                <w:vertAlign w:val="baseline"/>
                <w:lang w:eastAsia="zh-CN"/>
              </w:rPr>
            </w:pPr>
          </w:p>
        </w:tc>
        <w:tc>
          <w:tcPr>
            <w:tcW w:w="6248" w:type="dxa"/>
            <w:vAlign w:val="center"/>
          </w:tcPr>
          <w:p w14:paraId="1743A622">
            <w:pPr>
              <w:widowControl/>
              <w:spacing w:line="360" w:lineRule="exact"/>
              <w:jc w:val="both"/>
              <w:rPr>
                <w:rFonts w:hint="eastAsia" w:ascii="宋体" w:hAnsi="宋体" w:eastAsia="宋体" w:cs="宋体"/>
                <w:color w:val="auto"/>
                <w:sz w:val="24"/>
                <w:szCs w:val="24"/>
                <w:vertAlign w:val="baseline"/>
              </w:rPr>
            </w:pPr>
            <w:r>
              <w:rPr>
                <w:rFonts w:hint="eastAsia" w:ascii="宋体" w:hAnsi="宋体" w:eastAsia="宋体" w:cs="宋体"/>
                <w:color w:val="auto"/>
                <w:kern w:val="0"/>
                <w:sz w:val="24"/>
                <w:szCs w:val="24"/>
                <w:lang w:val="en-US" w:eastAsia="zh-CN" w:bidi="ar"/>
              </w:rPr>
              <w:t>不锈钢风管（≥2平方）:</w:t>
            </w:r>
            <w:r>
              <w:rPr>
                <w:rFonts w:hint="eastAsia" w:ascii="宋体" w:hAnsi="宋体" w:eastAsia="宋体" w:cs="宋体"/>
                <w:b w:val="0"/>
                <w:bCs/>
                <w:color w:val="auto"/>
                <w:sz w:val="24"/>
                <w:szCs w:val="24"/>
                <w:lang w:val="en-US" w:eastAsia="zh-CN"/>
              </w:rPr>
              <w:t>根据招标文件的技术要求，结合样品的材质用料、外观、制作工艺、实用性能</w:t>
            </w:r>
            <w:r>
              <w:rPr>
                <w:rFonts w:hint="eastAsia" w:ascii="宋体" w:hAnsi="宋体" w:cs="宋体"/>
                <w:b w:val="0"/>
                <w:bCs/>
                <w:color w:val="auto"/>
                <w:sz w:val="24"/>
                <w:szCs w:val="24"/>
                <w:lang w:val="en-US" w:eastAsia="zh-CN"/>
              </w:rPr>
              <w:t>等</w:t>
            </w:r>
            <w:r>
              <w:rPr>
                <w:rFonts w:hint="eastAsia" w:ascii="宋体" w:hAnsi="宋体" w:eastAsia="宋体" w:cs="宋体"/>
                <w:b w:val="0"/>
                <w:bCs/>
                <w:color w:val="auto"/>
                <w:sz w:val="24"/>
                <w:szCs w:val="24"/>
                <w:lang w:val="en-US" w:eastAsia="zh-CN"/>
              </w:rPr>
              <w:t>进行打分</w:t>
            </w:r>
            <w:r>
              <w:rPr>
                <w:rFonts w:hint="eastAsia" w:ascii="宋体" w:hAnsi="宋体" w:eastAsia="宋体" w:cs="宋体"/>
                <w:color w:val="auto"/>
                <w:sz w:val="24"/>
                <w:szCs w:val="24"/>
                <w:vertAlign w:val="baseline"/>
              </w:rPr>
              <w:t>(</w:t>
            </w:r>
            <w:r>
              <w:rPr>
                <w:rFonts w:hint="eastAsia" w:ascii="宋体" w:hAnsi="宋体" w:eastAsia="宋体" w:cs="宋体"/>
                <w:color w:val="auto"/>
                <w:sz w:val="24"/>
                <w:szCs w:val="24"/>
                <w:vertAlign w:val="baseline"/>
                <w:lang w:val="en-US" w:eastAsia="zh-CN"/>
              </w:rPr>
              <w:t>3,2.5，2,1.5，1,0.5，0</w:t>
            </w:r>
            <w:r>
              <w:rPr>
                <w:rFonts w:hint="eastAsia" w:ascii="宋体" w:hAnsi="宋体" w:eastAsia="宋体" w:cs="宋体"/>
                <w:color w:val="auto"/>
                <w:sz w:val="24"/>
                <w:szCs w:val="24"/>
                <w:vertAlign w:val="baseline"/>
              </w:rPr>
              <w:t>分)</w:t>
            </w:r>
            <w:r>
              <w:rPr>
                <w:rFonts w:hint="eastAsia" w:ascii="宋体" w:hAnsi="宋体" w:eastAsia="宋体" w:cs="宋体"/>
                <w:color w:val="auto"/>
                <w:spacing w:val="-5"/>
                <w:kern w:val="0"/>
                <w:sz w:val="24"/>
                <w:szCs w:val="24"/>
              </w:rPr>
              <w:t>。</w:t>
            </w:r>
          </w:p>
        </w:tc>
        <w:tc>
          <w:tcPr>
            <w:tcW w:w="840" w:type="dxa"/>
            <w:vAlign w:val="center"/>
          </w:tcPr>
          <w:p w14:paraId="7E65AC79">
            <w:pPr>
              <w:jc w:val="cente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分</w:t>
            </w:r>
          </w:p>
        </w:tc>
      </w:tr>
    </w:tbl>
    <w:p w14:paraId="58603E35">
      <w:pPr>
        <w:keepNext w:val="0"/>
        <w:keepLines w:val="0"/>
        <w:pageBreakBefore w:val="0"/>
        <w:kinsoku/>
        <w:wordWrap/>
        <w:overflowPunct/>
        <w:topLinePunct w:val="0"/>
        <w:bidi w:val="0"/>
        <w:adjustRightInd w:val="0"/>
        <w:spacing w:line="440" w:lineRule="exact"/>
        <w:textAlignment w:val="auto"/>
        <w:rPr>
          <w:rFonts w:hint="eastAsia" w:ascii="宋体" w:hAnsi="宋体" w:eastAsia="宋体" w:cs="宋体"/>
          <w:b/>
          <w:bCs/>
          <w:iCs/>
          <w:color w:val="auto"/>
          <w:sz w:val="24"/>
          <w:szCs w:val="24"/>
        </w:rPr>
      </w:pPr>
      <w:r>
        <w:rPr>
          <w:rFonts w:hint="eastAsia" w:ascii="宋体" w:hAnsi="宋体" w:eastAsia="宋体" w:cs="宋体"/>
          <w:b/>
          <w:bCs/>
          <w:iCs/>
          <w:color w:val="auto"/>
          <w:sz w:val="24"/>
          <w:szCs w:val="24"/>
        </w:rPr>
        <w:t>2</w:t>
      </w:r>
      <w:r>
        <w:rPr>
          <w:rFonts w:hint="eastAsia" w:ascii="宋体" w:hAnsi="宋体" w:cs="宋体"/>
          <w:b/>
          <w:bCs/>
          <w:iCs/>
          <w:color w:val="auto"/>
          <w:sz w:val="24"/>
          <w:szCs w:val="24"/>
          <w:lang w:eastAsia="zh-CN"/>
        </w:rPr>
        <w:t>、</w:t>
      </w:r>
      <w:r>
        <w:rPr>
          <w:rFonts w:hint="eastAsia" w:ascii="宋体" w:hAnsi="宋体" w:eastAsia="宋体" w:cs="宋体"/>
          <w:b/>
          <w:bCs/>
          <w:iCs/>
          <w:color w:val="auto"/>
          <w:sz w:val="24"/>
          <w:szCs w:val="24"/>
        </w:rPr>
        <w:t>价格分（</w:t>
      </w:r>
      <w:r>
        <w:rPr>
          <w:rFonts w:hint="eastAsia" w:ascii="宋体" w:hAnsi="宋体" w:cs="宋体"/>
          <w:b/>
          <w:bCs/>
          <w:iCs/>
          <w:color w:val="auto"/>
          <w:sz w:val="24"/>
          <w:szCs w:val="24"/>
          <w:u w:val="single"/>
          <w:lang w:val="en-US" w:eastAsia="zh-CN"/>
        </w:rPr>
        <w:t>5</w:t>
      </w:r>
      <w:r>
        <w:rPr>
          <w:rFonts w:hint="eastAsia" w:ascii="宋体" w:hAnsi="宋体" w:eastAsia="宋体" w:cs="宋体"/>
          <w:b/>
          <w:bCs/>
          <w:iCs/>
          <w:color w:val="auto"/>
          <w:sz w:val="24"/>
          <w:szCs w:val="24"/>
          <w:u w:val="single"/>
          <w:lang w:val="en-US" w:eastAsia="zh-CN"/>
        </w:rPr>
        <w:t>0</w:t>
      </w:r>
      <w:r>
        <w:rPr>
          <w:rFonts w:hint="eastAsia" w:ascii="宋体" w:hAnsi="宋体" w:eastAsia="宋体" w:cs="宋体"/>
          <w:b/>
          <w:bCs/>
          <w:iCs/>
          <w:color w:val="auto"/>
          <w:sz w:val="24"/>
          <w:szCs w:val="24"/>
        </w:rPr>
        <w:t>分）</w:t>
      </w:r>
    </w:p>
    <w:p w14:paraId="01A5C3CA">
      <w:pPr>
        <w:spacing w:line="500" w:lineRule="exact"/>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rPr>
        <w:t>报价评分应在投标报价范围口径一致的基础上进行。投标人最终评标价为投标报价加上缺报的设备或项目的价格（以所有投标人中最高的报价作为其报价）。属投标人失误造成，如中标，缺报的设备或项目免费提供。</w:t>
      </w:r>
      <w:r>
        <w:rPr>
          <w:rFonts w:hint="eastAsia" w:ascii="新宋体" w:hAnsi="新宋体" w:eastAsia="新宋体" w:cs="新宋体"/>
          <w:color w:val="auto"/>
          <w:sz w:val="24"/>
          <w:szCs w:val="24"/>
          <w:lang w:val="en-US" w:eastAsia="zh-CN"/>
        </w:rPr>
        <w:t xml:space="preserve">             </w:t>
      </w:r>
    </w:p>
    <w:p w14:paraId="0D0E5E8E">
      <w:pPr>
        <w:spacing w:line="500" w:lineRule="exact"/>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评标基准价：以有效投标人的最低投标报价为评标基准价，其价格分为满分。其他投标人的价格分统一按照下列公式计算：</w:t>
      </w:r>
    </w:p>
    <w:p w14:paraId="54C45439">
      <w:pPr>
        <w:spacing w:line="500" w:lineRule="exact"/>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投标报价得分=(评标基准价／投标报价)×价格权值×100</w:t>
      </w:r>
    </w:p>
    <w:p w14:paraId="4831B904">
      <w:pPr>
        <w:spacing w:line="420" w:lineRule="atLeast"/>
        <w:ind w:firstLine="480" w:firstLineChars="200"/>
        <w:jc w:val="left"/>
        <w:rPr>
          <w:rFonts w:hint="default" w:ascii="新宋体" w:hAnsi="新宋体" w:eastAsia="新宋体" w:cs="新宋体"/>
          <w:b/>
          <w:bCs/>
          <w:color w:val="auto"/>
          <w:sz w:val="24"/>
          <w:szCs w:val="24"/>
          <w:lang w:val="en-US" w:eastAsia="zh-CN"/>
        </w:rPr>
      </w:pPr>
      <w:r>
        <w:rPr>
          <w:rFonts w:hint="eastAsia" w:ascii="新宋体" w:hAnsi="新宋体" w:eastAsia="新宋体" w:cs="新宋体"/>
          <w:color w:val="auto"/>
          <w:sz w:val="24"/>
          <w:szCs w:val="24"/>
        </w:rPr>
        <w:t>最高</w:t>
      </w:r>
      <w:r>
        <w:rPr>
          <w:rFonts w:hint="eastAsia" w:ascii="新宋体" w:hAnsi="新宋体" w:eastAsia="新宋体" w:cs="新宋体"/>
          <w:color w:val="auto"/>
          <w:sz w:val="24"/>
          <w:szCs w:val="24"/>
          <w:highlight w:val="none"/>
        </w:rPr>
        <w:t>限价为</w:t>
      </w:r>
      <w:r>
        <w:rPr>
          <w:rFonts w:hint="eastAsia" w:ascii="新宋体" w:hAnsi="新宋体" w:eastAsia="新宋体" w:cs="新宋体"/>
          <w:color w:val="auto"/>
          <w:sz w:val="24"/>
          <w:szCs w:val="24"/>
          <w:highlight w:val="none"/>
          <w:lang w:eastAsia="zh-CN"/>
        </w:rPr>
        <w:t>490200.00.00</w:t>
      </w:r>
      <w:r>
        <w:rPr>
          <w:rFonts w:hint="eastAsia" w:ascii="新宋体" w:hAnsi="新宋体" w:eastAsia="新宋体" w:cs="新宋体"/>
          <w:color w:val="auto"/>
          <w:sz w:val="24"/>
          <w:szCs w:val="24"/>
          <w:highlight w:val="none"/>
        </w:rPr>
        <w:t>元,投标报价超出最高限价的，作无效标处理。</w:t>
      </w:r>
      <w:r>
        <w:rPr>
          <w:rFonts w:hint="eastAsia" w:ascii="新宋体" w:hAnsi="新宋体" w:eastAsia="新宋体" w:cs="新宋体"/>
          <w:color w:val="auto"/>
          <w:sz w:val="24"/>
          <w:szCs w:val="24"/>
          <w:highlight w:val="none"/>
          <w:lang w:val="en-US" w:eastAsia="zh-CN"/>
        </w:rPr>
        <w:t>风险控制价为392160.00元</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预算价的80%</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w:t>
      </w:r>
      <w:r>
        <w:rPr>
          <w:rFonts w:hint="eastAsia" w:ascii="新宋体" w:hAnsi="新宋体" w:eastAsia="新宋体" w:cs="新宋体"/>
          <w:b/>
          <w:bCs/>
          <w:color w:val="auto"/>
          <w:sz w:val="24"/>
          <w:szCs w:val="24"/>
          <w:lang w:val="en-US" w:eastAsia="zh-CN"/>
        </w:rPr>
        <w:t>凡低于该风险控制价的，成交供应商应在中标通知书发出后5个工作日内补交中标价净值与风险控制价之差额，成交供应商不提交的视为放弃中标。差额保证金待质保期后7个工作日内无息退还。（差额保证金应在中标通知书发出后5个工作日内交至采购单位，以现金、电汇、转账方式交纳，其他方式不接受)</w:t>
      </w:r>
    </w:p>
    <w:p w14:paraId="797FA3E3">
      <w:pPr>
        <w:spacing w:line="500" w:lineRule="exact"/>
        <w:ind w:firstLine="482" w:firstLineChars="200"/>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lang w:val="en-US" w:eastAsia="zh-CN"/>
        </w:rPr>
        <w:t>根据相关法律法规规定，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在规定时间内合理说明原因并提供证明材料的，评标委员会应当将该投标人的投标文件作无效处理，并在评审报告中说明。</w:t>
      </w:r>
    </w:p>
    <w:bookmarkEnd w:id="76"/>
    <w:bookmarkEnd w:id="77"/>
    <w:p w14:paraId="2AA4265E">
      <w:pPr>
        <w:rPr>
          <w:rFonts w:hint="eastAsia" w:ascii="宋体" w:hAnsi="宋体" w:eastAsia="宋体" w:cs="宋体"/>
          <w:b/>
          <w:bCs/>
          <w:color w:val="auto"/>
          <w:sz w:val="32"/>
          <w:szCs w:val="32"/>
          <w:highlight w:val="none"/>
        </w:rPr>
      </w:pPr>
      <w:bookmarkStart w:id="78" w:name="_Toc8096"/>
      <w:bookmarkStart w:id="79" w:name="_Toc29887"/>
    </w:p>
    <w:p w14:paraId="07D048A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439954D">
      <w:pPr>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合同主要条款</w:t>
      </w:r>
      <w:bookmarkEnd w:id="78"/>
      <w:bookmarkEnd w:id="79"/>
    </w:p>
    <w:p w14:paraId="038DF3BF">
      <w:pPr>
        <w:pStyle w:val="15"/>
        <w:tabs>
          <w:tab w:val="left" w:pos="180"/>
        </w:tabs>
        <w:snapToGrid w:val="0"/>
        <w:spacing w:beforeLines="0" w:after="120" w:line="600" w:lineRule="exact"/>
        <w:ind w:firstLine="482" w:firstLineChars="200"/>
        <w:rPr>
          <w:rFonts w:hint="default" w:hAnsi="宋体"/>
          <w:b/>
          <w:color w:val="auto"/>
          <w:lang w:val="en-US"/>
        </w:rPr>
      </w:pPr>
      <w:bookmarkStart w:id="80" w:name="_Toc1188"/>
      <w:bookmarkStart w:id="81" w:name="_Toc8187"/>
      <w:r>
        <w:rPr>
          <w:rFonts w:hint="eastAsia" w:hAnsi="宋体"/>
          <w:b/>
          <w:color w:val="auto"/>
        </w:rPr>
        <w:t>甲  方（使用方）：</w:t>
      </w:r>
      <w:r>
        <w:rPr>
          <w:rFonts w:hint="eastAsia" w:hAnsi="宋体" w:cs="宋体"/>
          <w:b w:val="0"/>
          <w:bCs w:val="0"/>
          <w:i w:val="0"/>
          <w:iCs w:val="0"/>
          <w:color w:val="auto"/>
          <w:sz w:val="24"/>
          <w:szCs w:val="24"/>
          <w:highlight w:val="none"/>
          <w:u w:val="none"/>
          <w:lang w:val="en-US" w:eastAsia="zh-CN"/>
        </w:rPr>
        <w:t>嵊州市商业发展集团有限公司</w:t>
      </w:r>
    </w:p>
    <w:p w14:paraId="332950F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jc w:val="left"/>
        <w:textAlignment w:val="auto"/>
        <w:rPr>
          <w:rFonts w:hint="eastAsia" w:hAnsi="宋体"/>
          <w:b/>
          <w:color w:val="auto"/>
        </w:rPr>
      </w:pPr>
      <w:r>
        <w:rPr>
          <w:rFonts w:hint="eastAsia" w:ascii="宋体" w:hAnsi="宋体" w:eastAsia="宋体" w:cs="宋体"/>
          <w:b/>
          <w:color w:val="auto"/>
          <w:kern w:val="2"/>
          <w:sz w:val="24"/>
          <w:szCs w:val="24"/>
          <w:lang w:val="en-US" w:eastAsia="zh-CN" w:bidi="ar-SA"/>
        </w:rPr>
        <w:t>乙  方（供应商）：</w:t>
      </w:r>
    </w:p>
    <w:p w14:paraId="59EA1078">
      <w:pPr>
        <w:spacing w:after="0" w:line="360" w:lineRule="auto"/>
        <w:ind w:firstLine="480" w:firstLineChars="200"/>
        <w:rPr>
          <w:rFonts w:ascii="宋体" w:hAnsi="宋体"/>
          <w:sz w:val="24"/>
        </w:rPr>
      </w:pPr>
      <w:r>
        <w:rPr>
          <w:rFonts w:ascii="宋体" w:hAnsi="宋体"/>
          <w:sz w:val="24"/>
        </w:rPr>
        <w:t>根据年月日</w:t>
      </w:r>
      <w:r>
        <w:rPr>
          <w:rFonts w:ascii="宋体" w:hAnsi="宋体"/>
          <w:sz w:val="24"/>
          <w:u w:val="single"/>
        </w:rPr>
        <w:t xml:space="preserve">   （项目名称）    </w:t>
      </w:r>
      <w:r>
        <w:rPr>
          <w:rFonts w:ascii="宋体" w:hAnsi="宋体"/>
          <w:sz w:val="24"/>
        </w:rPr>
        <w:t xml:space="preserve"> （招标编号：）招标结果和招标文件要求，并依照《民法典》及其他等有关法律、行政法规的规定，同时在平等、公平、诚实和信用的原则下，经双方协商一致，订立本合同。</w:t>
      </w:r>
    </w:p>
    <w:p w14:paraId="0386A5E3">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一、合同文件的组成</w:t>
      </w:r>
    </w:p>
    <w:p w14:paraId="5F96A438">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双方各种协议、合同文本、中标通知书、招标文件、投标文件、技术澄清及询标答复的所有内容是构成合同不可分割的部分，与本合同具有同等法律效力，当文件有相矛盾之处，以时间后者为准。投标文件及其附件（含询标纪要）如有负偏离招标文件要求的内容，则无条件按招标文件执行。</w:t>
      </w:r>
    </w:p>
    <w:p w14:paraId="3126DF5F">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二、货物的品种、数量、价格、配送服务期</w:t>
      </w:r>
    </w:p>
    <w:p w14:paraId="3B540FFC">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（1）货物的品种：（按中标清单）</w:t>
      </w:r>
    </w:p>
    <w:p w14:paraId="22F61389">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（2）供货数量：（以甲方计划为准）。</w:t>
      </w:r>
    </w:p>
    <w:p w14:paraId="55583234">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（3）供货价格：（附中标清单）</w:t>
      </w:r>
    </w:p>
    <w:p w14:paraId="338AE103">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（4）服务期：</w:t>
      </w:r>
      <w:r>
        <w:rPr>
          <w:rFonts w:hint="eastAsia" w:ascii="宋体" w:hAnsi="宋体" w:cs="宋体"/>
          <w:snapToGrid w:val="0"/>
          <w:color w:val="auto"/>
          <w:kern w:val="28"/>
          <w:sz w:val="24"/>
          <w:lang w:val="en-US" w:eastAsia="zh-CN"/>
        </w:rPr>
        <w:t>施工进度同步</w:t>
      </w:r>
      <w:r>
        <w:rPr>
          <w:rFonts w:hint="eastAsia" w:ascii="宋体" w:hAnsi="宋体" w:eastAsia="宋体" w:cs="宋体"/>
          <w:snapToGrid w:val="0"/>
          <w:color w:val="auto"/>
          <w:kern w:val="28"/>
          <w:sz w:val="24"/>
          <w:lang w:val="en-US" w:eastAsia="zh-CN"/>
        </w:rPr>
        <w:t>完成安装（具体以采购人</w:t>
      </w:r>
      <w:r>
        <w:rPr>
          <w:rFonts w:hint="eastAsia" w:ascii="宋体" w:hAnsi="宋体" w:cs="宋体"/>
          <w:snapToGrid w:val="0"/>
          <w:color w:val="auto"/>
          <w:kern w:val="28"/>
          <w:sz w:val="24"/>
          <w:lang w:val="en-US" w:eastAsia="zh-CN"/>
        </w:rPr>
        <w:t>要求</w:t>
      </w:r>
      <w:r>
        <w:rPr>
          <w:rFonts w:hint="eastAsia" w:ascii="宋体" w:hAnsi="宋体" w:eastAsia="宋体" w:cs="宋体"/>
          <w:snapToGrid w:val="0"/>
          <w:color w:val="auto"/>
          <w:kern w:val="28"/>
          <w:sz w:val="24"/>
          <w:lang w:val="en-US" w:eastAsia="zh-CN"/>
        </w:rPr>
        <w:t>为准）。</w:t>
      </w:r>
    </w:p>
    <w:p w14:paraId="71E70E0C">
      <w:pPr>
        <w:autoSpaceDE w:val="0"/>
        <w:autoSpaceDN w:val="0"/>
        <w:adjustRightInd w:val="0"/>
        <w:snapToGrid w:val="0"/>
        <w:spacing w:after="0" w:line="360" w:lineRule="auto"/>
        <w:ind w:firstLine="480" w:firstLineChars="200"/>
        <w:textAlignment w:val="bottom"/>
        <w:rPr>
          <w:rFonts w:ascii="宋体" w:hAnsi="宋体"/>
          <w:b/>
          <w:sz w:val="24"/>
        </w:rPr>
      </w:pPr>
      <w:r>
        <w:rPr>
          <w:rFonts w:ascii="宋体" w:hAnsi="宋体"/>
          <w:sz w:val="24"/>
        </w:rPr>
        <w:t>（5）</w:t>
      </w:r>
      <w:r>
        <w:rPr>
          <w:rFonts w:ascii="宋体" w:hAnsi="宋体"/>
          <w:b/>
          <w:sz w:val="24"/>
        </w:rPr>
        <w:t>合同形式：单价采购、单价合同，具体金额按实结算。</w:t>
      </w:r>
    </w:p>
    <w:p w14:paraId="4812DA05">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三、配送及验收</w:t>
      </w:r>
    </w:p>
    <w:p w14:paraId="2B500099">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1、</w:t>
      </w:r>
      <w:r>
        <w:rPr>
          <w:rFonts w:hint="eastAsia" w:ascii="宋体" w:hAnsi="宋体" w:cs="宋体"/>
          <w:snapToGrid w:val="0"/>
          <w:color w:val="auto"/>
          <w:kern w:val="28"/>
          <w:sz w:val="24"/>
          <w:lang w:val="en-US" w:eastAsia="zh-CN"/>
        </w:rPr>
        <w:t>施工进度同步</w:t>
      </w:r>
      <w:r>
        <w:rPr>
          <w:rFonts w:hint="eastAsia" w:ascii="宋体" w:hAnsi="宋体" w:eastAsia="宋体" w:cs="宋体"/>
          <w:snapToGrid w:val="0"/>
          <w:color w:val="auto"/>
          <w:kern w:val="28"/>
          <w:sz w:val="24"/>
          <w:lang w:val="en-US" w:eastAsia="zh-CN"/>
        </w:rPr>
        <w:t>完成安装（具体以采购人</w:t>
      </w:r>
      <w:r>
        <w:rPr>
          <w:rFonts w:hint="eastAsia" w:ascii="宋体" w:hAnsi="宋体" w:cs="宋体"/>
          <w:snapToGrid w:val="0"/>
          <w:color w:val="auto"/>
          <w:kern w:val="28"/>
          <w:sz w:val="24"/>
          <w:lang w:val="en-US" w:eastAsia="zh-CN"/>
        </w:rPr>
        <w:t>要求</w:t>
      </w:r>
      <w:r>
        <w:rPr>
          <w:rFonts w:hint="eastAsia" w:ascii="宋体" w:hAnsi="宋体" w:eastAsia="宋体" w:cs="宋体"/>
          <w:snapToGrid w:val="0"/>
          <w:color w:val="auto"/>
          <w:kern w:val="28"/>
          <w:sz w:val="24"/>
          <w:lang w:val="en-US" w:eastAsia="zh-CN"/>
        </w:rPr>
        <w:t>为准）</w:t>
      </w:r>
      <w:r>
        <w:rPr>
          <w:rFonts w:ascii="宋体" w:hAnsi="宋体"/>
          <w:sz w:val="24"/>
        </w:rPr>
        <w:t>。乙方应在送货前提前通知甲方送货时间，以便做好交收工作。如乙方未能按时交货的,甲方有权自行采购，并由乙方承担因此产生的一切损失和费用（包括直接经济损失和间接经济损失）。对甲方临时的供货要求，乙方应积极配合。凡乙方提供的商品因质量问题造成事故的，由乙方承担一切责任并赔偿一切损失。</w:t>
      </w:r>
    </w:p>
    <w:p w14:paraId="1642CECE">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2、验收方式</w:t>
      </w:r>
    </w:p>
    <w:p w14:paraId="1C047846">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甲方按乙方投标时提供的资料进行验收，每批货物均需提供商品检验证。</w:t>
      </w:r>
    </w:p>
    <w:p w14:paraId="7286DB2F">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四、结算方式</w:t>
      </w:r>
    </w:p>
    <w:p w14:paraId="3A939E66">
      <w:pPr>
        <w:snapToGrid w:val="0"/>
        <w:spacing w:line="360" w:lineRule="auto"/>
        <w:ind w:firstLine="482" w:firstLineChars="200"/>
        <w:rPr>
          <w:rFonts w:ascii="宋体" w:hAnsi="宋体"/>
          <w:b/>
          <w:sz w:val="24"/>
          <w:highlight w:val="none"/>
        </w:rPr>
      </w:pPr>
      <w:r>
        <w:rPr>
          <w:rFonts w:ascii="宋体" w:hAnsi="宋体"/>
          <w:b/>
          <w:sz w:val="24"/>
          <w:highlight w:val="none"/>
        </w:rPr>
        <w:t>1、</w:t>
      </w:r>
      <w:r>
        <w:rPr>
          <w:rFonts w:ascii="宋体" w:hAnsi="宋体"/>
          <w:sz w:val="24"/>
          <w:highlight w:val="none"/>
        </w:rPr>
        <w:t>合同签订之后向甲方递交履约保证金，</w:t>
      </w:r>
      <w:r>
        <w:rPr>
          <w:rFonts w:ascii="宋体" w:hAnsi="宋体"/>
          <w:sz w:val="24"/>
          <w:highlight w:val="none"/>
          <w:u w:val="single"/>
        </w:rPr>
        <w:t>金额为人民币    元整（</w:t>
      </w:r>
      <w:r>
        <w:rPr>
          <w:rFonts w:hint="eastAsia" w:ascii="宋体" w:hAnsi="宋体"/>
          <w:sz w:val="24"/>
          <w:highlight w:val="none"/>
          <w:u w:val="single"/>
          <w:lang w:val="en-US" w:eastAsia="zh-CN"/>
        </w:rPr>
        <w:t>合同</w:t>
      </w:r>
      <w:r>
        <w:rPr>
          <w:rFonts w:ascii="宋体" w:hAnsi="宋体"/>
          <w:sz w:val="24"/>
          <w:highlight w:val="none"/>
          <w:u w:val="single"/>
        </w:rPr>
        <w:t>金额1%）；</w:t>
      </w:r>
      <w:r>
        <w:rPr>
          <w:rFonts w:ascii="宋体" w:hAnsi="宋体"/>
          <w:sz w:val="24"/>
          <w:highlight w:val="none"/>
        </w:rPr>
        <w:t>形式为银行汇票或现金支票或甲方接受的银行保函。合同履行完毕后30天退还履约保证金，不计利息。</w:t>
      </w:r>
    </w:p>
    <w:p w14:paraId="122E0FFD">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sz w:val="24"/>
          <w:highlight w:val="none"/>
          <w:lang w:eastAsia="zh-CN"/>
        </w:rPr>
      </w:pPr>
      <w:r>
        <w:rPr>
          <w:rFonts w:ascii="宋体" w:hAnsi="宋体"/>
          <w:sz w:val="24"/>
          <w:highlight w:val="none"/>
        </w:rPr>
        <w:t>2、</w:t>
      </w:r>
      <w:r>
        <w:rPr>
          <w:rFonts w:hint="eastAsia" w:ascii="宋体" w:hAnsi="宋体"/>
          <w:sz w:val="24"/>
          <w:highlight w:val="none"/>
          <w:lang w:eastAsia="zh-CN"/>
        </w:rPr>
        <w:t>支付方式</w:t>
      </w:r>
    </w:p>
    <w:p w14:paraId="2B05CF9F">
      <w:pPr>
        <w:pStyle w:val="57"/>
        <w:keepNext w:val="0"/>
        <w:keepLines w:val="0"/>
        <w:pageBreakBefore w:val="0"/>
        <w:widowControl/>
        <w:kinsoku/>
        <w:wordWrap/>
        <w:overflowPunct/>
        <w:topLinePunct w:val="0"/>
        <w:autoSpaceDE/>
        <w:autoSpaceDN/>
        <w:bidi w:val="0"/>
        <w:adjustRightInd/>
        <w:snapToGrid w:val="0"/>
        <w:spacing w:line="420" w:lineRule="exact"/>
        <w:ind w:firstLine="480" w:firstLineChars="0"/>
        <w:textAlignment w:val="baseline"/>
        <w:rPr>
          <w:rFonts w:hint="eastAsia" w:ascii="宋体" w:hAnsi="宋体" w:eastAsia="宋体" w:cs="宋体"/>
          <w:snapToGrid w:val="0"/>
          <w:color w:val="auto"/>
          <w:kern w:val="28"/>
          <w:sz w:val="24"/>
          <w:highlight w:val="yellow"/>
          <w:lang w:val="en-US" w:eastAsia="zh-CN"/>
        </w:rPr>
      </w:pPr>
      <w:r>
        <w:rPr>
          <w:rFonts w:hint="eastAsia" w:ascii="宋体" w:hAnsi="宋体" w:eastAsia="宋体" w:cs="宋体"/>
          <w:snapToGrid w:val="0"/>
          <w:color w:val="auto"/>
          <w:kern w:val="28"/>
          <w:sz w:val="24"/>
          <w:highlight w:val="none"/>
          <w:lang w:val="en-US" w:eastAsia="zh-CN"/>
        </w:rPr>
        <w:t>所有设备及产品安装调试完成，验收合格后向供应商支付至合同价款的9</w:t>
      </w:r>
      <w:r>
        <w:rPr>
          <w:rFonts w:hint="eastAsia" w:ascii="宋体" w:hAnsi="宋体" w:cs="宋体"/>
          <w:snapToGrid w:val="0"/>
          <w:color w:val="auto"/>
          <w:kern w:val="28"/>
          <w:sz w:val="24"/>
          <w:highlight w:val="none"/>
          <w:lang w:val="en-US" w:eastAsia="zh-CN"/>
        </w:rPr>
        <w:t>8</w:t>
      </w:r>
      <w:r>
        <w:rPr>
          <w:rFonts w:hint="eastAsia" w:ascii="宋体" w:hAnsi="宋体" w:eastAsia="宋体" w:cs="宋体"/>
          <w:snapToGrid w:val="0"/>
          <w:color w:val="auto"/>
          <w:kern w:val="28"/>
          <w:sz w:val="24"/>
          <w:highlight w:val="none"/>
          <w:lang w:val="en-US" w:eastAsia="zh-CN"/>
        </w:rPr>
        <w:t>%</w:t>
      </w:r>
      <w:r>
        <w:rPr>
          <w:rFonts w:hint="eastAsia" w:ascii="宋体" w:hAnsi="宋体" w:cs="宋体"/>
          <w:snapToGrid w:val="0"/>
          <w:color w:val="auto"/>
          <w:kern w:val="28"/>
          <w:sz w:val="24"/>
          <w:highlight w:val="none"/>
          <w:lang w:val="en-US" w:eastAsia="zh-CN"/>
        </w:rPr>
        <w:t>，余款待质保期满后十四天内付清（不计息）。</w:t>
      </w:r>
    </w:p>
    <w:p w14:paraId="7BCCDB32">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五、货物质量标准</w:t>
      </w:r>
    </w:p>
    <w:p w14:paraId="7D020160">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1、质保期   年。</w:t>
      </w:r>
    </w:p>
    <w:p w14:paraId="50FBB596">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2、所供全部产品的质量符合或优于国家和行业的技术标准和规范、安全。</w:t>
      </w:r>
    </w:p>
    <w:p w14:paraId="6372231E">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3、甲方对货物质量有异议的，乙方应耐心查实和说明。</w:t>
      </w:r>
    </w:p>
    <w:p w14:paraId="2CBA17C2">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4、如乙方的产品质量、服务态度等存在问题或未达到甲方要求，甲方有权终止合同。</w:t>
      </w:r>
    </w:p>
    <w:p w14:paraId="7A2E297E">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六、检验及费用负担</w:t>
      </w:r>
    </w:p>
    <w:p w14:paraId="57FAB391">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乙方具备货物出厂检验能力须按规定实施货物出厂检验；如乙方不具备货物出厂检验能力，应按照就近的原则委托国家质检总局指定并同意公布的检验机构进行货物出厂检验，费用由乙方负担。</w:t>
      </w:r>
    </w:p>
    <w:p w14:paraId="47C7B7FD">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七、质量与检验</w:t>
      </w:r>
    </w:p>
    <w:p w14:paraId="53EA377B">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1、乙方应严格按照合同要求和国家、部有关行业标准生产和检验，确保货物质量。凡乙方提供的商品因质量问题造成事故的，由乙方承担一切责任并赔偿一切损失。</w:t>
      </w:r>
    </w:p>
    <w:p w14:paraId="5B5F49F7">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2、乙方将货物运达交货地点后，甲方负责清点接货，如因运输过程中发生短少事件，由乙方负责处理。</w:t>
      </w:r>
    </w:p>
    <w:p w14:paraId="71A5723A">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3、甲方对有质疑的货物可送有关检测部门进行质量确认，如质量有问题，则检测费用由乙方支付；否则检测费用由甲方支付。</w:t>
      </w:r>
    </w:p>
    <w:p w14:paraId="731C11AE">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八、运输方式及费用负担：</w:t>
      </w:r>
    </w:p>
    <w:p w14:paraId="16DF2EBC">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乙方在组织货物供应的运输费、搬运费、税金等一切费用由乙方负担，到达甲方指定地点时，乙方负责卸货及</w:t>
      </w:r>
      <w:r>
        <w:rPr>
          <w:rFonts w:ascii="宋体" w:hAnsi="宋体" w:cs="宋体"/>
          <w:sz w:val="24"/>
        </w:rPr>
        <w:t>安装</w:t>
      </w:r>
      <w:r>
        <w:rPr>
          <w:rFonts w:ascii="宋体" w:hAnsi="宋体"/>
          <w:sz w:val="24"/>
        </w:rPr>
        <w:t>。</w:t>
      </w:r>
    </w:p>
    <w:p w14:paraId="0B1092C7">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九、包装标准及包装费用负担</w:t>
      </w:r>
    </w:p>
    <w:p w14:paraId="15DBA3C7">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用于货物包装的材料必须清洁，货物无污染。货物的包装和标签必须符合相应的规定和要求，包装费用由乙方负担。</w:t>
      </w:r>
    </w:p>
    <w:p w14:paraId="2626C7B6">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十、乙方承诺</w:t>
      </w:r>
    </w:p>
    <w:p w14:paraId="38C8505C">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1、遵守有关法律法规。</w:t>
      </w:r>
    </w:p>
    <w:p w14:paraId="77BF9895">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2、按经营范围接受甲方的业务。</w:t>
      </w:r>
    </w:p>
    <w:p w14:paraId="0C4D910E">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3、严格按招标文件规定的和有效的投标报价计算费用。</w:t>
      </w:r>
    </w:p>
    <w:p w14:paraId="16C2828E">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4、确定专人负责本项目的联络和供货管理。</w:t>
      </w:r>
    </w:p>
    <w:p w14:paraId="3F174B77">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5、做好货物品质管理工作。</w:t>
      </w:r>
    </w:p>
    <w:p w14:paraId="7BB6F1D0">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6、根据甲方要求按时交货，送货到指定地点并</w:t>
      </w:r>
      <w:r>
        <w:rPr>
          <w:rFonts w:ascii="宋体" w:hAnsi="宋体" w:cs="宋体"/>
          <w:sz w:val="24"/>
        </w:rPr>
        <w:t>安装</w:t>
      </w:r>
      <w:r>
        <w:rPr>
          <w:rFonts w:ascii="宋体" w:hAnsi="宋体"/>
          <w:sz w:val="24"/>
        </w:rPr>
        <w:t>。</w:t>
      </w:r>
    </w:p>
    <w:p w14:paraId="3467B3BF">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7、自觉接受甲方的监督检查。</w:t>
      </w:r>
    </w:p>
    <w:p w14:paraId="0967718B">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8、货物批量供货前，先将样品送甲方确认。</w:t>
      </w:r>
    </w:p>
    <w:p w14:paraId="607B9C17">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9、乙方在投标文件中的其他承诺。</w:t>
      </w:r>
    </w:p>
    <w:p w14:paraId="011FF9D9">
      <w:pPr>
        <w:autoSpaceDE w:val="0"/>
        <w:autoSpaceDN w:val="0"/>
        <w:adjustRightInd w:val="0"/>
        <w:snapToGrid w:val="0"/>
        <w:spacing w:after="0" w:line="360" w:lineRule="auto"/>
        <w:ind w:firstLine="482" w:firstLineChars="200"/>
        <w:textAlignment w:val="bottom"/>
        <w:rPr>
          <w:rFonts w:ascii="宋体" w:hAnsi="宋体"/>
          <w:b/>
          <w:sz w:val="24"/>
        </w:rPr>
      </w:pPr>
      <w:r>
        <w:rPr>
          <w:rFonts w:ascii="宋体" w:hAnsi="宋体"/>
          <w:b/>
          <w:sz w:val="24"/>
        </w:rPr>
        <w:t>十一、双方的责任</w:t>
      </w:r>
    </w:p>
    <w:p w14:paraId="42C0A4FE">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1、甲方对不合格的货物，有权作退处理并要求赔偿。甲方有按时与乙方结算货款的义务。在验收时有不符合要求的，一律退回，乙方无条件重新更换配送货物，更换后仍然不符合标准的，甲方有权对乙方处以500-1000元的罚款直至单方解除合同。</w:t>
      </w:r>
    </w:p>
    <w:p w14:paraId="73866FB9">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2、由于货物的质量问题或乙方不能按时按量供应，造成甲方该类货物紧缺，甲方有权自行采购，相应的差价和费用由乙方负担。</w:t>
      </w:r>
    </w:p>
    <w:p w14:paraId="07791481">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3、乙方工作人员必须遵守甲方的内部管理规定，否则后果由乙方负责。</w:t>
      </w:r>
    </w:p>
    <w:p w14:paraId="4B145BEC">
      <w:pPr>
        <w:autoSpaceDE w:val="0"/>
        <w:autoSpaceDN w:val="0"/>
        <w:adjustRightInd w:val="0"/>
        <w:snapToGrid w:val="0"/>
        <w:spacing w:after="0" w:line="360" w:lineRule="auto"/>
        <w:ind w:firstLine="482" w:firstLineChars="200"/>
        <w:textAlignment w:val="bottom"/>
        <w:rPr>
          <w:rFonts w:ascii="宋体" w:hAnsi="宋体"/>
          <w:b/>
          <w:bCs/>
          <w:sz w:val="24"/>
        </w:rPr>
      </w:pPr>
      <w:r>
        <w:rPr>
          <w:rFonts w:ascii="宋体" w:hAnsi="宋体"/>
          <w:b/>
          <w:bCs/>
          <w:sz w:val="24"/>
        </w:rPr>
        <w:t>十二、违约纠纷处理</w:t>
      </w:r>
    </w:p>
    <w:p w14:paraId="67175C60">
      <w:pPr>
        <w:autoSpaceDE w:val="0"/>
        <w:autoSpaceDN w:val="0"/>
        <w:adjustRightInd w:val="0"/>
        <w:snapToGrid w:val="0"/>
        <w:spacing w:after="0" w:line="360" w:lineRule="auto"/>
        <w:ind w:firstLine="480" w:firstLineChars="200"/>
        <w:textAlignment w:val="bottom"/>
        <w:rPr>
          <w:rFonts w:ascii="宋体" w:hAnsi="宋体"/>
          <w:sz w:val="24"/>
        </w:rPr>
      </w:pPr>
      <w:r>
        <w:rPr>
          <w:rFonts w:ascii="宋体" w:hAnsi="宋体"/>
          <w:sz w:val="24"/>
        </w:rPr>
        <w:t>本合同在履行过程中发生的争议，由双方当事人协商解决；协商不成时，依法向甲方所在地的人民法院起诉。</w:t>
      </w:r>
    </w:p>
    <w:p w14:paraId="063FC172">
      <w:pPr>
        <w:autoSpaceDE w:val="0"/>
        <w:autoSpaceDN w:val="0"/>
        <w:adjustRightInd w:val="0"/>
        <w:snapToGrid w:val="0"/>
        <w:spacing w:after="0" w:line="360" w:lineRule="auto"/>
        <w:ind w:firstLine="482" w:firstLineChars="200"/>
        <w:textAlignment w:val="bottom"/>
        <w:rPr>
          <w:rFonts w:ascii="宋体" w:hAnsi="宋体"/>
          <w:b/>
          <w:bCs/>
          <w:sz w:val="24"/>
        </w:rPr>
      </w:pPr>
      <w:r>
        <w:rPr>
          <w:rFonts w:ascii="宋体" w:hAnsi="宋体"/>
          <w:b/>
          <w:bCs/>
          <w:sz w:val="24"/>
        </w:rPr>
        <w:t>十三、其它约定事项</w:t>
      </w:r>
    </w:p>
    <w:p w14:paraId="098CB126">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b/>
          <w:bCs/>
          <w:color w:val="auto"/>
          <w:sz w:val="24"/>
          <w:szCs w:val="24"/>
        </w:rPr>
      </w:pPr>
      <w:r>
        <w:rPr>
          <w:rFonts w:ascii="宋体" w:hAnsi="宋体"/>
          <w:sz w:val="24"/>
        </w:rPr>
        <w:t>本合同一式</w:t>
      </w:r>
      <w:r>
        <w:rPr>
          <w:rFonts w:hint="eastAsia" w:ascii="宋体" w:hAnsi="宋体"/>
          <w:sz w:val="24"/>
          <w:highlight w:val="yellow"/>
          <w:lang w:val="en-US" w:eastAsia="zh-CN"/>
        </w:rPr>
        <w:t xml:space="preserve">   </w:t>
      </w:r>
      <w:r>
        <w:rPr>
          <w:rFonts w:ascii="宋体" w:hAnsi="宋体"/>
          <w:sz w:val="24"/>
        </w:rPr>
        <w:t>份，乙方</w:t>
      </w:r>
      <w:r>
        <w:rPr>
          <w:rFonts w:hint="eastAsia" w:ascii="宋体" w:hAnsi="宋体"/>
          <w:sz w:val="24"/>
          <w:highlight w:val="yellow"/>
          <w:lang w:val="en-US" w:eastAsia="zh-CN"/>
        </w:rPr>
        <w:t xml:space="preserve">   </w:t>
      </w:r>
      <w:r>
        <w:rPr>
          <w:rFonts w:ascii="宋体" w:hAnsi="宋体"/>
          <w:sz w:val="24"/>
        </w:rPr>
        <w:t>份，甲方</w:t>
      </w:r>
      <w:r>
        <w:rPr>
          <w:rFonts w:hint="eastAsia" w:ascii="宋体" w:hAnsi="宋体"/>
          <w:sz w:val="24"/>
          <w:highlight w:val="yellow"/>
          <w:lang w:val="en-US" w:eastAsia="zh-CN"/>
        </w:rPr>
        <w:t xml:space="preserve">  </w:t>
      </w:r>
      <w:r>
        <w:rPr>
          <w:rFonts w:ascii="宋体" w:hAnsi="宋体"/>
          <w:sz w:val="24"/>
        </w:rPr>
        <w:t>份，经双方代表签字盖章后并收到履约保证金后生效。</w:t>
      </w:r>
    </w:p>
    <w:p w14:paraId="46695B94">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E8A09F5">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甲方（盖章）：                    　　乙方（盖章）：</w:t>
      </w:r>
    </w:p>
    <w:p w14:paraId="11AA8811">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法定代表人或受委托人                 法定代表人或受委托人</w:t>
      </w:r>
    </w:p>
    <w:p w14:paraId="77C2AEE8">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14:paraId="726694A3">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地址：　　</w:t>
      </w:r>
    </w:p>
    <w:p w14:paraId="0F4D0B81">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电话：　</w:t>
      </w:r>
    </w:p>
    <w:p w14:paraId="422B1165">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                               传真：　</w:t>
      </w:r>
    </w:p>
    <w:p w14:paraId="4C1A7C63">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76C03EEF">
      <w:pPr>
        <w:pStyle w:val="15"/>
        <w:keepNext w:val="0"/>
        <w:keepLines w:val="0"/>
        <w:pageBreakBefore w:val="0"/>
        <w:widowControl w:val="0"/>
        <w:kinsoku/>
        <w:wordWrap/>
        <w:overflowPunct/>
        <w:topLinePunct w:val="0"/>
        <w:autoSpaceDE/>
        <w:autoSpaceDN/>
        <w:bidi w:val="0"/>
        <w:snapToGrid w:val="0"/>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14:paraId="1DBCE1E6">
      <w:pPr>
        <w:rPr>
          <w:rFonts w:hint="eastAsia" w:ascii="宋体" w:hAnsi="宋体" w:cs="宋体"/>
          <w:b/>
          <w:bCs/>
          <w:color w:val="auto"/>
          <w:sz w:val="21"/>
          <w:szCs w:val="21"/>
        </w:rPr>
      </w:pPr>
    </w:p>
    <w:p w14:paraId="6E31080B">
      <w:pPr>
        <w:rPr>
          <w:rFonts w:hint="eastAsia"/>
          <w:color w:val="auto"/>
        </w:rPr>
      </w:pPr>
      <w:r>
        <w:rPr>
          <w:rFonts w:hint="eastAsia" w:ascii="宋体" w:hAnsi="宋体" w:cs="宋体"/>
          <w:b/>
          <w:bCs/>
          <w:color w:val="auto"/>
          <w:sz w:val="21"/>
          <w:szCs w:val="21"/>
        </w:rPr>
        <w:t>注：具体以双方签定的正式合同为准，合同内容不得违背本</w:t>
      </w:r>
      <w:r>
        <w:rPr>
          <w:rFonts w:hint="eastAsia" w:ascii="宋体" w:hAnsi="宋体" w:cs="宋体"/>
          <w:b/>
          <w:bCs/>
          <w:color w:val="auto"/>
          <w:sz w:val="21"/>
          <w:szCs w:val="21"/>
          <w:lang w:eastAsia="zh-CN"/>
        </w:rPr>
        <w:t>采购</w:t>
      </w:r>
      <w:r>
        <w:rPr>
          <w:rFonts w:hint="eastAsia" w:ascii="宋体" w:hAnsi="宋体" w:cs="宋体"/>
          <w:b/>
          <w:bCs/>
          <w:color w:val="auto"/>
          <w:sz w:val="21"/>
          <w:szCs w:val="21"/>
        </w:rPr>
        <w:t>文件实质性要求。</w:t>
      </w:r>
    </w:p>
    <w:p w14:paraId="4E0B3CFF">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03ADB50">
      <w:pPr>
        <w:pStyle w:val="4"/>
        <w:numPr>
          <w:ilvl w:val="0"/>
          <w:numId w:val="6"/>
        </w:num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投标文件格式</w:t>
      </w:r>
      <w:bookmarkEnd w:id="80"/>
      <w:bookmarkEnd w:id="81"/>
    </w:p>
    <w:p w14:paraId="66239E84">
      <w:pPr>
        <w:pStyle w:val="4"/>
        <w:numPr>
          <w:ilvl w:val="0"/>
          <w:numId w:val="0"/>
        </w:numPr>
        <w:jc w:val="both"/>
        <w:outlineLvl w:val="0"/>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附件一 ：</w:t>
      </w:r>
      <w:r>
        <w:rPr>
          <w:rFonts w:hint="eastAsia" w:ascii="新宋体" w:hAnsi="新宋体" w:eastAsia="新宋体" w:cs="新宋体"/>
          <w:b/>
          <w:color w:val="auto"/>
          <w:sz w:val="24"/>
          <w:szCs w:val="24"/>
        </w:rPr>
        <w:t>投标</w:t>
      </w:r>
      <w:r>
        <w:rPr>
          <w:rFonts w:hint="eastAsia" w:ascii="新宋体" w:hAnsi="新宋体" w:eastAsia="新宋体" w:cs="新宋体"/>
          <w:b/>
          <w:color w:val="auto"/>
          <w:sz w:val="24"/>
          <w:szCs w:val="24"/>
          <w:lang w:eastAsia="zh-CN"/>
        </w:rPr>
        <w:t>声明书</w:t>
      </w:r>
    </w:p>
    <w:p w14:paraId="4AC16034">
      <w:pPr>
        <w:jc w:val="center"/>
        <w:rPr>
          <w:rFonts w:hint="eastAsia" w:ascii="新宋体" w:hAnsi="新宋体" w:eastAsia="新宋体" w:cs="新宋体"/>
          <w:b/>
          <w:color w:val="auto"/>
          <w:sz w:val="24"/>
          <w:szCs w:val="24"/>
        </w:rPr>
      </w:pPr>
    </w:p>
    <w:p w14:paraId="75D30CC5">
      <w:pPr>
        <w:jc w:val="center"/>
        <w:rPr>
          <w:rFonts w:hint="eastAsia" w:ascii="新宋体" w:hAnsi="新宋体" w:eastAsia="新宋体" w:cs="新宋体"/>
          <w:b/>
          <w:color w:val="auto"/>
          <w:sz w:val="24"/>
          <w:szCs w:val="24"/>
          <w:lang w:eastAsia="zh-CN"/>
        </w:rPr>
      </w:pPr>
      <w:r>
        <w:rPr>
          <w:rFonts w:hint="eastAsia" w:ascii="新宋体" w:hAnsi="新宋体" w:eastAsia="新宋体" w:cs="新宋体"/>
          <w:b/>
          <w:color w:val="auto"/>
          <w:sz w:val="24"/>
          <w:szCs w:val="24"/>
        </w:rPr>
        <w:t>投标</w:t>
      </w:r>
      <w:r>
        <w:rPr>
          <w:rFonts w:hint="eastAsia" w:ascii="新宋体" w:hAnsi="新宋体" w:eastAsia="新宋体" w:cs="新宋体"/>
          <w:b/>
          <w:color w:val="auto"/>
          <w:sz w:val="24"/>
          <w:szCs w:val="24"/>
          <w:lang w:eastAsia="zh-CN"/>
        </w:rPr>
        <w:t>声明书</w:t>
      </w:r>
    </w:p>
    <w:p w14:paraId="4554029D">
      <w:pPr>
        <w:pStyle w:val="60"/>
        <w:keepNext w:val="0"/>
        <w:keepLines w:val="0"/>
        <w:pageBreakBefore w:val="0"/>
        <w:kinsoku/>
        <w:wordWrap/>
        <w:overflowPunct/>
        <w:topLinePunct w:val="0"/>
        <w:autoSpaceDE/>
        <w:autoSpaceDN/>
        <w:bidi w:val="0"/>
        <w:adjustRightInd/>
        <w:snapToGrid w:val="0"/>
        <w:spacing w:after="0" w:afterLines="0" w:line="440" w:lineRule="exact"/>
        <w:ind w:firstLine="0" w:firstLineChars="0"/>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致：</w:t>
      </w:r>
      <w:r>
        <w:rPr>
          <w:rFonts w:hint="eastAsia" w:ascii="新宋体" w:hAnsi="新宋体" w:eastAsia="新宋体" w:cs="新宋体"/>
          <w:color w:val="auto"/>
          <w:sz w:val="24"/>
          <w:szCs w:val="24"/>
          <w:u w:val="single"/>
          <w:lang w:eastAsia="zh-CN"/>
        </w:rPr>
        <w:t>嵊州市商业发展集团有限公司</w:t>
      </w:r>
      <w:r>
        <w:rPr>
          <w:rFonts w:hint="eastAsia" w:ascii="新宋体" w:hAnsi="新宋体" w:eastAsia="新宋体" w:cs="新宋体"/>
          <w:color w:val="auto"/>
          <w:sz w:val="24"/>
          <w:szCs w:val="24"/>
          <w:u w:val="single"/>
        </w:rPr>
        <w:t xml:space="preserve"> </w:t>
      </w:r>
    </w:p>
    <w:p w14:paraId="3AD09A06">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u w:val="single"/>
          <w:lang w:val="en-US" w:eastAsia="zh-CN" w:bidi="ar-SA"/>
        </w:rPr>
        <w:t xml:space="preserve">           </w:t>
      </w:r>
      <w:r>
        <w:rPr>
          <w:rFonts w:hint="eastAsia" w:ascii="新宋体" w:hAnsi="新宋体" w:eastAsia="新宋体" w:cs="新宋体"/>
          <w:color w:val="auto"/>
          <w:kern w:val="0"/>
          <w:sz w:val="24"/>
          <w:szCs w:val="24"/>
          <w:lang w:val="en-US" w:eastAsia="zh-CN" w:bidi="ar-SA"/>
        </w:rPr>
        <w:t>（投标人名称）系中华人民共和国合法企业，经营地址</w:t>
      </w:r>
      <w:r>
        <w:rPr>
          <w:rFonts w:hint="eastAsia" w:ascii="新宋体" w:hAnsi="新宋体" w:eastAsia="新宋体" w:cs="新宋体"/>
          <w:color w:val="auto"/>
          <w:kern w:val="0"/>
          <w:sz w:val="24"/>
          <w:szCs w:val="24"/>
          <w:u w:val="single"/>
          <w:lang w:val="en-US" w:eastAsia="zh-CN" w:bidi="ar-SA"/>
        </w:rPr>
        <w:t xml:space="preserve">        </w:t>
      </w:r>
      <w:r>
        <w:rPr>
          <w:rFonts w:hint="eastAsia" w:ascii="新宋体" w:hAnsi="新宋体" w:eastAsia="新宋体" w:cs="新宋体"/>
          <w:color w:val="auto"/>
          <w:kern w:val="0"/>
          <w:sz w:val="24"/>
          <w:szCs w:val="24"/>
          <w:lang w:val="en-US" w:eastAsia="zh-CN" w:bidi="ar-SA"/>
        </w:rPr>
        <w:t>我</w:t>
      </w:r>
      <w:r>
        <w:rPr>
          <w:rFonts w:hint="eastAsia" w:ascii="新宋体" w:hAnsi="新宋体" w:eastAsia="新宋体" w:cs="新宋体"/>
          <w:color w:val="auto"/>
          <w:kern w:val="0"/>
          <w:sz w:val="24"/>
          <w:szCs w:val="24"/>
          <w:u w:val="single"/>
          <w:lang w:val="en-US" w:eastAsia="zh-CN" w:bidi="ar-SA"/>
        </w:rPr>
        <w:t xml:space="preserve">          </w:t>
      </w:r>
      <w:r>
        <w:rPr>
          <w:rFonts w:hint="eastAsia" w:ascii="新宋体" w:hAnsi="新宋体" w:eastAsia="新宋体" w:cs="新宋体"/>
          <w:color w:val="auto"/>
          <w:kern w:val="0"/>
          <w:sz w:val="24"/>
          <w:szCs w:val="24"/>
          <w:lang w:val="en-US" w:eastAsia="zh-CN" w:bidi="ar-SA"/>
        </w:rPr>
        <w:t>（姓名）系</w:t>
      </w:r>
      <w:r>
        <w:rPr>
          <w:rFonts w:hint="eastAsia" w:ascii="新宋体" w:hAnsi="新宋体" w:eastAsia="新宋体" w:cs="新宋体"/>
          <w:color w:val="auto"/>
          <w:kern w:val="0"/>
          <w:sz w:val="24"/>
          <w:szCs w:val="24"/>
          <w:u w:val="single"/>
          <w:lang w:val="en-US" w:eastAsia="zh-CN" w:bidi="ar-SA"/>
        </w:rPr>
        <w:t xml:space="preserve">               </w:t>
      </w:r>
      <w:r>
        <w:rPr>
          <w:rFonts w:hint="eastAsia" w:ascii="新宋体" w:hAnsi="新宋体" w:eastAsia="新宋体" w:cs="新宋体"/>
          <w:color w:val="auto"/>
          <w:kern w:val="0"/>
          <w:sz w:val="24"/>
          <w:szCs w:val="24"/>
          <w:lang w:val="en-US" w:eastAsia="zh-CN" w:bidi="ar-SA"/>
        </w:rPr>
        <w:t>（投标人名称）的法定代表人，我方愿意参加贵方组织的</w:t>
      </w:r>
      <w:r>
        <w:rPr>
          <w:rFonts w:hint="eastAsia" w:ascii="新宋体" w:hAnsi="新宋体" w:eastAsia="新宋体" w:cs="新宋体"/>
          <w:color w:val="auto"/>
          <w:kern w:val="0"/>
          <w:sz w:val="24"/>
          <w:szCs w:val="24"/>
          <w:u w:val="single"/>
          <w:lang w:val="en-US" w:eastAsia="zh-CN" w:bidi="ar-SA"/>
        </w:rPr>
        <w:t xml:space="preserve">             </w:t>
      </w:r>
      <w:r>
        <w:rPr>
          <w:rFonts w:hint="eastAsia" w:ascii="新宋体" w:hAnsi="新宋体" w:eastAsia="新宋体" w:cs="新宋体"/>
          <w:color w:val="auto"/>
          <w:kern w:val="0"/>
          <w:sz w:val="24"/>
          <w:szCs w:val="24"/>
          <w:lang w:val="en-US" w:eastAsia="zh-CN" w:bidi="ar-SA"/>
        </w:rPr>
        <w:t>项目的投标，为便于贵方公正、择优地确定中标人及其投标项目的服务，我方就本次投标有关事项郑重声明如下：</w:t>
      </w:r>
    </w:p>
    <w:p w14:paraId="036AD8AB">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1.我方向贵方提交的所有投标文件、资料都是准确的和真实的；</w:t>
      </w:r>
    </w:p>
    <w:p w14:paraId="2F4B526F">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2.我方不是采购人的附属机构；在获知本项目采购信息后，与采购人聘请的为此项目提供咨询服务的公司及其附属机构没有任何联系。</w:t>
      </w:r>
    </w:p>
    <w:p w14:paraId="587D797D">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3.我方承诺已经具备采购文件规定的参加本项目采购活动的供应商应当具备的条件：</w:t>
      </w:r>
    </w:p>
    <w:p w14:paraId="66B898AC">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（1）具有独立承担民事责任的能力；</w:t>
      </w:r>
    </w:p>
    <w:p w14:paraId="63054E31">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（2）具有良好的商业信誉和健全的财务会计制度；</w:t>
      </w:r>
    </w:p>
    <w:p w14:paraId="09E2000C">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（3）具有履行合同所必需的设备和专业技术能力；</w:t>
      </w:r>
    </w:p>
    <w:p w14:paraId="161A98E4">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（4）有依法缴纳税收和社会保障资金的良好记录；</w:t>
      </w:r>
    </w:p>
    <w:p w14:paraId="745E5C35">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（5）参加本次采购活动前三年内，在经营活动中没有重大违法记录；</w:t>
      </w:r>
    </w:p>
    <w:p w14:paraId="3CA61C06">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（6）至本项目投标截止时间前，我方未列入失信被执行人、重大税收违法案件当事人名单、政府采购严重违法失信行为记录名单；</w:t>
      </w:r>
    </w:p>
    <w:p w14:paraId="5C1BC8BF">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kern w:val="0"/>
          <w:sz w:val="24"/>
          <w:szCs w:val="24"/>
          <w:lang w:val="en-US" w:eastAsia="zh-CN" w:bidi="ar-SA"/>
        </w:rPr>
      </w:pPr>
      <w:r>
        <w:rPr>
          <w:rFonts w:hint="eastAsia" w:ascii="新宋体" w:hAnsi="新宋体" w:eastAsia="新宋体" w:cs="新宋体"/>
          <w:color w:val="auto"/>
          <w:kern w:val="0"/>
          <w:sz w:val="24"/>
          <w:szCs w:val="24"/>
          <w:lang w:val="en-US" w:eastAsia="zh-CN" w:bidi="ar-SA"/>
        </w:rPr>
        <w:t xml:space="preserve">4.我方承诺：最近三年我方无行贿犯罪行为，若我方中标，愿意接受社会监督和检察院调查。                                                  </w:t>
      </w:r>
    </w:p>
    <w:p w14:paraId="168DD6AD">
      <w:pPr>
        <w:keepNext w:val="0"/>
        <w:keepLines w:val="0"/>
        <w:pageBreakBefore w:val="0"/>
        <w:widowControl w:val="0"/>
        <w:tabs>
          <w:tab w:val="left" w:pos="1418"/>
        </w:tabs>
        <w:kinsoku/>
        <w:wordWrap/>
        <w:overflowPunct/>
        <w:topLinePunct w:val="0"/>
        <w:autoSpaceDE/>
        <w:autoSpaceDN/>
        <w:bidi w:val="0"/>
        <w:adjustRightInd/>
        <w:snapToGrid w:val="0"/>
        <w:spacing w:line="440" w:lineRule="exact"/>
        <w:ind w:firstLine="480" w:firstLineChars="200"/>
        <w:textAlignment w:val="auto"/>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lang w:val="en-US" w:eastAsia="zh-CN" w:bidi="ar-SA"/>
        </w:rPr>
        <w:t>5.以上事项如有虚假或隐瞒，我方愿意承担一切后果和责任。</w:t>
      </w:r>
    </w:p>
    <w:p w14:paraId="1E0C5F53">
      <w:pPr>
        <w:pStyle w:val="60"/>
        <w:spacing w:after="0" w:afterLines="0" w:line="440" w:lineRule="exact"/>
        <w:ind w:firstLine="420"/>
        <w:rPr>
          <w:rFonts w:hint="eastAsia" w:ascii="新宋体" w:hAnsi="新宋体" w:eastAsia="新宋体" w:cs="新宋体"/>
          <w:color w:val="auto"/>
          <w:sz w:val="24"/>
          <w:szCs w:val="24"/>
        </w:rPr>
      </w:pPr>
    </w:p>
    <w:p w14:paraId="54FF0449">
      <w:pPr>
        <w:pStyle w:val="60"/>
        <w:spacing w:after="0" w:afterLines="0" w:line="440" w:lineRule="exact"/>
        <w:ind w:firstLine="420"/>
        <w:rPr>
          <w:rFonts w:hint="eastAsia" w:ascii="新宋体" w:hAnsi="新宋体" w:eastAsia="新宋体" w:cs="新宋体"/>
          <w:color w:val="auto"/>
          <w:sz w:val="24"/>
          <w:szCs w:val="24"/>
        </w:rPr>
      </w:pPr>
    </w:p>
    <w:p w14:paraId="78B7B459">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2D44751D">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AF9C312">
      <w:pPr>
        <w:pStyle w:val="60"/>
        <w:spacing w:after="0" w:afterLines="0" w:line="440" w:lineRule="exact"/>
        <w:ind w:firstLine="480"/>
        <w:rPr>
          <w:rFonts w:hint="eastAsia" w:ascii="新宋体" w:hAnsi="新宋体" w:eastAsia="新宋体" w:cs="新宋体"/>
          <w:color w:val="auto"/>
          <w:sz w:val="24"/>
          <w:szCs w:val="24"/>
        </w:rPr>
      </w:pPr>
    </w:p>
    <w:p w14:paraId="53BF9A02">
      <w:pPr>
        <w:spacing w:line="460" w:lineRule="exact"/>
        <w:ind w:right="601"/>
        <w:jc w:val="left"/>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br w:type="page"/>
      </w:r>
      <w:r>
        <w:rPr>
          <w:rFonts w:hint="eastAsia" w:ascii="新宋体" w:hAnsi="新宋体" w:eastAsia="新宋体" w:cs="新宋体"/>
          <w:b/>
          <w:bCs/>
          <w:color w:val="auto"/>
          <w:kern w:val="2"/>
          <w:sz w:val="24"/>
          <w:szCs w:val="24"/>
          <w:lang w:val="en-US" w:eastAsia="zh-CN" w:bidi="ar-SA"/>
        </w:rPr>
        <w:t>附件二：</w:t>
      </w:r>
      <w:r>
        <w:rPr>
          <w:rFonts w:hint="eastAsia" w:ascii="新宋体" w:hAnsi="新宋体" w:eastAsia="新宋体" w:cs="新宋体"/>
          <w:b/>
          <w:color w:val="auto"/>
          <w:sz w:val="24"/>
          <w:szCs w:val="24"/>
        </w:rPr>
        <w:t xml:space="preserve"> 符合参加采购活动应当具备的一般条件的承诺函</w:t>
      </w:r>
    </w:p>
    <w:p w14:paraId="41798512">
      <w:pPr>
        <w:jc w:val="left"/>
        <w:rPr>
          <w:rFonts w:hint="eastAsia" w:ascii="新宋体" w:hAnsi="新宋体" w:eastAsia="新宋体" w:cs="新宋体"/>
          <w:b/>
          <w:bCs/>
          <w:color w:val="auto"/>
          <w:sz w:val="24"/>
          <w:szCs w:val="24"/>
        </w:rPr>
      </w:pPr>
    </w:p>
    <w:p w14:paraId="5AFCB0A7">
      <w:pPr>
        <w:spacing w:line="360" w:lineRule="auto"/>
        <w:ind w:right="601"/>
        <w:jc w:val="center"/>
        <w:rPr>
          <w:rFonts w:hint="eastAsia" w:ascii="新宋体" w:hAnsi="新宋体" w:eastAsia="新宋体" w:cs="新宋体"/>
          <w:b/>
          <w:color w:val="auto"/>
          <w:sz w:val="24"/>
          <w:szCs w:val="24"/>
        </w:rPr>
      </w:pPr>
      <w:r>
        <w:rPr>
          <w:rFonts w:hint="eastAsia" w:ascii="新宋体" w:hAnsi="新宋体" w:eastAsia="新宋体" w:cs="新宋体"/>
          <w:bCs/>
          <w:color w:val="auto"/>
          <w:sz w:val="24"/>
          <w:szCs w:val="24"/>
        </w:rPr>
        <w:t>符合参加采购活动应当具备的一般条件的承诺函</w:t>
      </w:r>
    </w:p>
    <w:p w14:paraId="4F866388">
      <w:pPr>
        <w:spacing w:line="480" w:lineRule="auto"/>
        <w:rPr>
          <w:rFonts w:hint="eastAsia" w:ascii="新宋体" w:hAnsi="新宋体" w:eastAsia="新宋体" w:cs="新宋体"/>
          <w:color w:val="auto"/>
          <w:sz w:val="24"/>
          <w:szCs w:val="24"/>
          <w:u w:val="single"/>
        </w:rPr>
      </w:pPr>
    </w:p>
    <w:p w14:paraId="7D9E7B4D">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新宋体" w:hAnsi="新宋体" w:eastAsia="新宋体" w:cs="新宋体"/>
          <w:bCs/>
          <w:color w:val="auto"/>
          <w:kern w:val="0"/>
          <w:sz w:val="24"/>
          <w:szCs w:val="24"/>
          <w:u w:val="single"/>
        </w:rPr>
      </w:pPr>
      <w:r>
        <w:rPr>
          <w:rFonts w:hint="eastAsia" w:ascii="新宋体" w:hAnsi="新宋体" w:eastAsia="新宋体" w:cs="新宋体"/>
          <w:color w:val="auto"/>
          <w:sz w:val="24"/>
          <w:szCs w:val="24"/>
          <w:u w:val="single"/>
          <w:lang w:eastAsia="zh-CN"/>
        </w:rPr>
        <w:t>嵊州市商业发展集团有限公司</w:t>
      </w:r>
      <w:r>
        <w:rPr>
          <w:rFonts w:hint="eastAsia" w:ascii="新宋体" w:hAnsi="新宋体" w:eastAsia="新宋体" w:cs="新宋体"/>
          <w:bCs/>
          <w:color w:val="auto"/>
          <w:kern w:val="0"/>
          <w:sz w:val="24"/>
          <w:szCs w:val="24"/>
          <w:u w:val="single"/>
        </w:rPr>
        <w:t>、</w:t>
      </w:r>
      <w:r>
        <w:rPr>
          <w:rFonts w:hint="eastAsia" w:ascii="新宋体" w:hAnsi="新宋体" w:eastAsia="新宋体" w:cs="新宋体"/>
          <w:bCs/>
          <w:color w:val="auto"/>
          <w:kern w:val="0"/>
          <w:sz w:val="24"/>
          <w:szCs w:val="24"/>
          <w:u w:val="single"/>
          <w:lang w:eastAsia="zh-CN"/>
        </w:rPr>
        <w:t>浙江省房地产管理咨询有限公司</w:t>
      </w:r>
      <w:r>
        <w:rPr>
          <w:rFonts w:hint="eastAsia" w:ascii="新宋体" w:hAnsi="新宋体" w:eastAsia="新宋体" w:cs="新宋体"/>
          <w:bCs/>
          <w:color w:val="auto"/>
          <w:kern w:val="0"/>
          <w:sz w:val="24"/>
          <w:szCs w:val="24"/>
          <w:u w:val="single"/>
        </w:rPr>
        <w:t>：</w:t>
      </w:r>
    </w:p>
    <w:p w14:paraId="1444B267">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新宋体" w:hAnsi="新宋体" w:eastAsia="新宋体" w:cs="新宋体"/>
          <w:b/>
          <w:color w:val="auto"/>
          <w:kern w:val="0"/>
          <w:sz w:val="24"/>
          <w:szCs w:val="24"/>
        </w:rPr>
      </w:pPr>
      <w:r>
        <w:rPr>
          <w:rFonts w:hint="eastAsia" w:ascii="新宋体" w:hAnsi="新宋体" w:eastAsia="新宋体" w:cs="新宋体"/>
          <w:color w:val="auto"/>
          <w:kern w:val="0"/>
          <w:sz w:val="24"/>
          <w:szCs w:val="24"/>
        </w:rPr>
        <w:t>我方参与</w:t>
      </w:r>
      <w:r>
        <w:rPr>
          <w:rFonts w:hint="eastAsia" w:ascii="新宋体" w:hAnsi="新宋体" w:eastAsia="新宋体" w:cs="新宋体"/>
          <w:color w:val="auto"/>
          <w:kern w:val="0"/>
          <w:sz w:val="24"/>
          <w:szCs w:val="24"/>
          <w:u w:val="single"/>
          <w:lang w:eastAsia="zh-CN"/>
        </w:rPr>
        <w:t>嵊州小吃（越秀路)旗舰店项目—厨房设备采购</w:t>
      </w:r>
      <w:r>
        <w:rPr>
          <w:rFonts w:hint="eastAsia" w:ascii="新宋体" w:hAnsi="新宋体" w:eastAsia="新宋体" w:cs="新宋体"/>
          <w:color w:val="auto"/>
          <w:sz w:val="24"/>
          <w:szCs w:val="24"/>
          <w:u w:val="single"/>
        </w:rPr>
        <w:t>(项目编号：</w:t>
      </w:r>
      <w:r>
        <w:rPr>
          <w:rFonts w:hint="eastAsia" w:ascii="新宋体" w:hAnsi="新宋体" w:eastAsia="新宋体" w:cs="新宋体"/>
          <w:color w:val="auto"/>
          <w:sz w:val="24"/>
          <w:szCs w:val="24"/>
          <w:u w:val="single"/>
          <w:lang w:eastAsia="zh-CN"/>
        </w:rPr>
        <w:t>ZJSFDC-SZ2024N54</w:t>
      </w:r>
      <w:r>
        <w:rPr>
          <w:rFonts w:hint="eastAsia" w:ascii="新宋体" w:hAnsi="新宋体" w:eastAsia="新宋体" w:cs="新宋体"/>
          <w:color w:val="auto"/>
          <w:sz w:val="24"/>
          <w:szCs w:val="24"/>
          <w:u w:val="single"/>
          <w:lang w:val="zh-CN"/>
        </w:rPr>
        <w:t>)</w:t>
      </w:r>
      <w:r>
        <w:rPr>
          <w:rFonts w:hint="eastAsia" w:ascii="新宋体" w:hAnsi="新宋体" w:eastAsia="新宋体" w:cs="新宋体"/>
          <w:color w:val="auto"/>
          <w:kern w:val="0"/>
          <w:sz w:val="24"/>
          <w:szCs w:val="24"/>
        </w:rPr>
        <w:t>的采购活动，郑重承诺：</w:t>
      </w:r>
      <w:r>
        <w:rPr>
          <w:rFonts w:hint="eastAsia" w:ascii="新宋体" w:hAnsi="新宋体" w:eastAsia="新宋体" w:cs="新宋体"/>
          <w:color w:val="auto"/>
          <w:sz w:val="24"/>
          <w:szCs w:val="24"/>
        </w:rPr>
        <w:t xml:space="preserve">     </w:t>
      </w:r>
    </w:p>
    <w:p w14:paraId="4C2ABAE6">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rPr>
          <w:rFonts w:hint="eastAsia" w:ascii="新宋体" w:hAnsi="新宋体" w:eastAsia="新宋体" w:cs="新宋体"/>
          <w:b/>
          <w:color w:val="auto"/>
          <w:kern w:val="0"/>
          <w:sz w:val="24"/>
          <w:szCs w:val="24"/>
        </w:rPr>
      </w:pPr>
      <w:r>
        <w:rPr>
          <w:rFonts w:hint="eastAsia" w:ascii="新宋体" w:hAnsi="新宋体" w:eastAsia="新宋体" w:cs="新宋体"/>
          <w:b/>
          <w:color w:val="auto"/>
          <w:sz w:val="24"/>
          <w:szCs w:val="24"/>
        </w:rPr>
        <w:t>一、具备</w:t>
      </w:r>
      <w:r>
        <w:rPr>
          <w:rFonts w:hint="eastAsia" w:ascii="新宋体" w:hAnsi="新宋体" w:eastAsia="新宋体" w:cs="新宋体"/>
          <w:b/>
          <w:color w:val="auto"/>
          <w:sz w:val="24"/>
          <w:szCs w:val="24"/>
          <w:lang w:eastAsia="zh-CN"/>
        </w:rPr>
        <w:t>以下</w:t>
      </w:r>
      <w:r>
        <w:rPr>
          <w:rFonts w:hint="eastAsia" w:ascii="新宋体" w:hAnsi="新宋体" w:eastAsia="新宋体" w:cs="新宋体"/>
          <w:b/>
          <w:color w:val="auto"/>
          <w:sz w:val="24"/>
          <w:szCs w:val="24"/>
        </w:rPr>
        <w:t>条件：</w:t>
      </w:r>
    </w:p>
    <w:p w14:paraId="16CDAE3B">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1.具有独立承担民事责任的能力；</w:t>
      </w:r>
    </w:p>
    <w:p w14:paraId="0D29A63C">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2.具有良好的商业信誉和健全的财务会计制度；</w:t>
      </w:r>
    </w:p>
    <w:p w14:paraId="21304597">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3.具有履行本项目合同所必需的设备和专业技术能力；</w:t>
      </w:r>
    </w:p>
    <w:p w14:paraId="66706789">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4.有依法缴纳税收和社会保障资金的良好记录；</w:t>
      </w:r>
    </w:p>
    <w:p w14:paraId="55B6107E">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sz w:val="24"/>
          <w:szCs w:val="24"/>
        </w:rPr>
      </w:pPr>
      <w:r>
        <w:rPr>
          <w:rFonts w:hint="eastAsia" w:ascii="新宋体" w:hAnsi="新宋体" w:eastAsia="新宋体" w:cs="新宋体"/>
          <w:color w:val="auto"/>
          <w:kern w:val="0"/>
          <w:sz w:val="24"/>
          <w:szCs w:val="24"/>
        </w:rPr>
        <w:t>5.在参加本次政府采购活动前三年内，经营活动中没有重大违法记录</w:t>
      </w:r>
      <w:r>
        <w:rPr>
          <w:rFonts w:hint="eastAsia" w:ascii="新宋体" w:hAnsi="新宋体" w:eastAsia="新宋体" w:cs="新宋体"/>
          <w:color w:val="auto"/>
          <w:sz w:val="24"/>
          <w:szCs w:val="24"/>
        </w:rPr>
        <w:t>；</w:t>
      </w:r>
    </w:p>
    <w:p w14:paraId="3F74D7F9">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6.具有法律、行政法规规定的其他条件。</w:t>
      </w:r>
    </w:p>
    <w:p w14:paraId="0061D368">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rPr>
          <w:rFonts w:hint="eastAsia" w:ascii="新宋体" w:hAnsi="新宋体" w:eastAsia="新宋体" w:cs="新宋体"/>
          <w:b/>
          <w:color w:val="auto"/>
          <w:kern w:val="0"/>
          <w:sz w:val="24"/>
          <w:szCs w:val="24"/>
        </w:rPr>
      </w:pPr>
      <w:r>
        <w:rPr>
          <w:rFonts w:hint="eastAsia" w:ascii="新宋体" w:hAnsi="新宋体" w:eastAsia="新宋体" w:cs="新宋体"/>
          <w:b/>
          <w:color w:val="auto"/>
          <w:sz w:val="24"/>
          <w:szCs w:val="24"/>
        </w:rPr>
        <w:t>二、</w:t>
      </w:r>
      <w:r>
        <w:rPr>
          <w:rFonts w:hint="eastAsia" w:ascii="新宋体" w:hAnsi="新宋体" w:eastAsia="新宋体" w:cs="新宋体"/>
          <w:b/>
          <w:color w:val="auto"/>
          <w:kern w:val="0"/>
          <w:sz w:val="24"/>
          <w:szCs w:val="24"/>
        </w:rPr>
        <w:t>未被“信用中国”（www.creditchina.gov.cn）、“中国政府采购网”（www.ccgp.gov.cn）列入失信被执行人名单、重大税收违法案件当事人名单、政府采购严重违法失信行为记录名单。</w:t>
      </w:r>
    </w:p>
    <w:p w14:paraId="79657CDF">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rPr>
          <w:rFonts w:hint="eastAsia" w:ascii="新宋体" w:hAnsi="新宋体" w:eastAsia="新宋体" w:cs="新宋体"/>
          <w:b/>
          <w:color w:val="auto"/>
          <w:kern w:val="0"/>
          <w:sz w:val="24"/>
          <w:szCs w:val="24"/>
        </w:rPr>
      </w:pPr>
      <w:r>
        <w:rPr>
          <w:rFonts w:hint="eastAsia" w:ascii="新宋体" w:hAnsi="新宋体" w:eastAsia="新宋体" w:cs="新宋体"/>
          <w:b/>
          <w:color w:val="auto"/>
          <w:kern w:val="0"/>
          <w:sz w:val="24"/>
          <w:szCs w:val="24"/>
        </w:rPr>
        <w:t>三、不存在以下情况：</w:t>
      </w:r>
    </w:p>
    <w:p w14:paraId="192EAAD1">
      <w:pPr>
        <w:keepNext w:val="0"/>
        <w:keepLines w:val="0"/>
        <w:pageBreakBefore w:val="0"/>
        <w:widowControl w:val="0"/>
        <w:kinsoku/>
        <w:wordWrap/>
        <w:overflowPunct/>
        <w:topLinePunct w:val="0"/>
        <w:autoSpaceDE/>
        <w:autoSpaceDN/>
        <w:bidi w:val="0"/>
        <w:adjustRightInd/>
        <w:snapToGrid w:val="0"/>
        <w:spacing w:line="440" w:lineRule="exact"/>
        <w:ind w:firstLine="424" w:firstLineChars="177"/>
        <w:textAlignment w:val="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1.单位负责人为同一人或者存在直接控股、管理关系的不同供应商参加同一合同项下的政府采购活动的；</w:t>
      </w:r>
    </w:p>
    <w:p w14:paraId="049F085A">
      <w:pPr>
        <w:keepNext w:val="0"/>
        <w:keepLines w:val="0"/>
        <w:pageBreakBefore w:val="0"/>
        <w:widowControl w:val="0"/>
        <w:kinsoku/>
        <w:wordWrap/>
        <w:overflowPunct/>
        <w:topLinePunct w:val="0"/>
        <w:autoSpaceDE/>
        <w:autoSpaceDN/>
        <w:bidi w:val="0"/>
        <w:adjustRightInd/>
        <w:spacing w:line="440" w:lineRule="exact"/>
        <w:ind w:firstLine="424" w:firstLineChars="177"/>
        <w:textAlignment w:val="auto"/>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rPr>
        <w:t>2.为采购项目提供整体设计、规范编制或者项目管理、监理、检测等服务后再参加该采购项目的其他采购活动的。</w:t>
      </w:r>
    </w:p>
    <w:p w14:paraId="3F1D89DC">
      <w:pPr>
        <w:keepNext w:val="0"/>
        <w:keepLines w:val="0"/>
        <w:pageBreakBefore w:val="0"/>
        <w:widowControl w:val="0"/>
        <w:kinsoku/>
        <w:wordWrap/>
        <w:overflowPunct/>
        <w:topLinePunct w:val="0"/>
        <w:autoSpaceDE/>
        <w:autoSpaceDN/>
        <w:bidi w:val="0"/>
        <w:adjustRightInd/>
        <w:spacing w:line="440" w:lineRule="exact"/>
        <w:ind w:firstLine="426" w:firstLineChars="177"/>
        <w:textAlignment w:val="auto"/>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以上承诺如有虚假或隐瞒，采购人可取消我方任何资格（投标/中标/签订合同），我方对此无任何异议，并愿意承担一切后果和责任。</w:t>
      </w:r>
    </w:p>
    <w:p w14:paraId="35ADDF69">
      <w:pPr>
        <w:ind w:right="-21" w:rightChars="-10" w:firstLine="5520" w:firstLineChars="2300"/>
        <w:rPr>
          <w:rFonts w:hint="eastAsia" w:ascii="新宋体" w:hAnsi="新宋体" w:eastAsia="新宋体" w:cs="新宋体"/>
          <w:color w:val="auto"/>
          <w:sz w:val="24"/>
          <w:szCs w:val="24"/>
        </w:rPr>
      </w:pPr>
    </w:p>
    <w:p w14:paraId="2C39A48C">
      <w:pPr>
        <w:adjustRightInd w:val="0"/>
        <w:snapToGrid w:val="0"/>
        <w:spacing w:line="360" w:lineRule="auto"/>
        <w:textAlignment w:val="baseline"/>
        <w:rPr>
          <w:rFonts w:hint="eastAsia" w:ascii="新宋体" w:hAnsi="新宋体" w:eastAsia="新宋体" w:cs="新宋体"/>
          <w:color w:val="auto"/>
          <w:kern w:val="0"/>
          <w:sz w:val="24"/>
          <w:szCs w:val="24"/>
          <w:lang w:val="zh-CN"/>
        </w:rPr>
      </w:pPr>
    </w:p>
    <w:p w14:paraId="16122347">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07AC5FBB">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0A63D83">
      <w:pP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br w:type="page"/>
      </w:r>
    </w:p>
    <w:p w14:paraId="5A6D5C07">
      <w:pPr>
        <w:pStyle w:val="5"/>
        <w:numPr>
          <w:ilvl w:val="0"/>
          <w:numId w:val="0"/>
        </w:numPr>
        <w:tabs>
          <w:tab w:val="left" w:pos="358"/>
          <w:tab w:val="left" w:pos="420"/>
          <w:tab w:val="clear" w:pos="432"/>
        </w:tabs>
        <w:spacing w:before="400" w:after="0" w:line="360" w:lineRule="auto"/>
        <w:rPr>
          <w:rFonts w:hint="eastAsia" w:ascii="新宋体" w:hAnsi="新宋体" w:eastAsia="新宋体" w:cs="新宋体"/>
          <w:color w:val="auto"/>
          <w:sz w:val="24"/>
          <w:szCs w:val="24"/>
        </w:rPr>
      </w:pPr>
      <w:r>
        <w:rPr>
          <w:rFonts w:hint="eastAsia" w:ascii="新宋体" w:hAnsi="新宋体" w:eastAsia="新宋体" w:cs="新宋体"/>
          <w:bCs/>
          <w:color w:val="auto"/>
          <w:sz w:val="24"/>
          <w:szCs w:val="24"/>
        </w:rPr>
        <w:t>附件</w:t>
      </w:r>
      <w:r>
        <w:rPr>
          <w:rFonts w:hint="eastAsia" w:ascii="新宋体" w:hAnsi="新宋体" w:eastAsia="新宋体" w:cs="新宋体"/>
          <w:bCs/>
          <w:color w:val="auto"/>
          <w:sz w:val="24"/>
          <w:szCs w:val="24"/>
          <w:lang w:val="en-US" w:eastAsia="zh-CN"/>
        </w:rPr>
        <w:t>三</w:t>
      </w:r>
      <w:r>
        <w:rPr>
          <w:rFonts w:hint="eastAsia" w:ascii="新宋体" w:hAnsi="新宋体" w:eastAsia="新宋体" w:cs="新宋体"/>
          <w:bCs/>
          <w:color w:val="auto"/>
          <w:sz w:val="24"/>
          <w:szCs w:val="24"/>
        </w:rPr>
        <w:t xml:space="preserve"> </w:t>
      </w:r>
      <w:r>
        <w:rPr>
          <w:rFonts w:hint="eastAsia" w:ascii="新宋体" w:hAnsi="新宋体" w:eastAsia="新宋体" w:cs="新宋体"/>
          <w:color w:val="auto"/>
          <w:sz w:val="24"/>
          <w:szCs w:val="24"/>
        </w:rPr>
        <w:t xml:space="preserve">  具有履行合同所必需的设备和专业技术能力的承诺函</w:t>
      </w:r>
    </w:p>
    <w:p w14:paraId="77F4388C">
      <w:pPr>
        <w:pStyle w:val="8"/>
        <w:rPr>
          <w:rFonts w:hint="eastAsia" w:ascii="新宋体" w:hAnsi="新宋体" w:eastAsia="新宋体" w:cs="新宋体"/>
          <w:color w:val="auto"/>
          <w:sz w:val="24"/>
          <w:szCs w:val="24"/>
        </w:rPr>
      </w:pPr>
    </w:p>
    <w:p w14:paraId="161CF6EF">
      <w:pPr>
        <w:snapToGrid w:val="0"/>
        <w:spacing w:before="50" w:after="50"/>
        <w:ind w:firstLine="562"/>
        <w:jc w:val="center"/>
        <w:rPr>
          <w:rFonts w:hint="eastAsia" w:ascii="新宋体" w:hAnsi="新宋体" w:eastAsia="新宋体" w:cs="新宋体"/>
          <w:bCs/>
          <w:color w:val="auto"/>
          <w:sz w:val="24"/>
          <w:szCs w:val="24"/>
        </w:rPr>
      </w:pPr>
      <w:r>
        <w:rPr>
          <w:rFonts w:hint="eastAsia" w:ascii="新宋体" w:hAnsi="新宋体" w:eastAsia="新宋体" w:cs="新宋体"/>
          <w:bCs/>
          <w:color w:val="auto"/>
          <w:sz w:val="24"/>
          <w:szCs w:val="24"/>
        </w:rPr>
        <w:t>具有履行合同所必需的设备和专业技术能力的承诺函</w:t>
      </w:r>
    </w:p>
    <w:p w14:paraId="6C530445">
      <w:pPr>
        <w:snapToGrid w:val="0"/>
        <w:spacing w:before="156" w:beforeLines="50" w:after="50" w:line="480" w:lineRule="auto"/>
        <w:rPr>
          <w:rFonts w:hint="eastAsia" w:ascii="新宋体" w:hAnsi="新宋体" w:eastAsia="新宋体" w:cs="新宋体"/>
          <w:color w:val="auto"/>
          <w:sz w:val="24"/>
          <w:szCs w:val="24"/>
          <w:u w:val="single"/>
        </w:rPr>
      </w:pPr>
    </w:p>
    <w:p w14:paraId="72D5CAB6">
      <w:pPr>
        <w:snapToGrid w:val="0"/>
        <w:spacing w:before="156" w:beforeLines="50" w:after="50" w:line="480" w:lineRule="auto"/>
        <w:rPr>
          <w:rFonts w:hint="eastAsia" w:ascii="新宋体" w:hAnsi="新宋体" w:eastAsia="新宋体" w:cs="新宋体"/>
          <w:color w:val="auto"/>
          <w:kern w:val="0"/>
          <w:sz w:val="24"/>
          <w:szCs w:val="24"/>
        </w:rPr>
      </w:pPr>
      <w:r>
        <w:rPr>
          <w:rFonts w:hint="eastAsia" w:ascii="新宋体" w:hAnsi="新宋体" w:eastAsia="新宋体" w:cs="新宋体"/>
          <w:color w:val="auto"/>
          <w:sz w:val="24"/>
          <w:szCs w:val="24"/>
          <w:u w:val="single"/>
          <w:lang w:eastAsia="zh-CN"/>
        </w:rPr>
        <w:t>嵊州市商业发展集团有限公司</w:t>
      </w:r>
      <w:r>
        <w:rPr>
          <w:rFonts w:hint="eastAsia" w:ascii="新宋体" w:hAnsi="新宋体" w:eastAsia="新宋体" w:cs="新宋体"/>
          <w:color w:val="auto"/>
          <w:sz w:val="24"/>
          <w:szCs w:val="24"/>
          <w:u w:val="single"/>
        </w:rPr>
        <w:t>、</w:t>
      </w:r>
      <w:r>
        <w:rPr>
          <w:rFonts w:hint="eastAsia" w:ascii="新宋体" w:hAnsi="新宋体" w:eastAsia="新宋体" w:cs="新宋体"/>
          <w:color w:val="auto"/>
          <w:sz w:val="24"/>
          <w:szCs w:val="24"/>
          <w:u w:val="single"/>
          <w:lang w:eastAsia="zh-CN"/>
        </w:rPr>
        <w:t>浙江省房地产管理咨询有限公司</w:t>
      </w:r>
      <w:r>
        <w:rPr>
          <w:rFonts w:hint="eastAsia" w:ascii="新宋体" w:hAnsi="新宋体" w:eastAsia="新宋体" w:cs="新宋体"/>
          <w:color w:val="auto"/>
          <w:sz w:val="24"/>
          <w:szCs w:val="24"/>
          <w:u w:val="single"/>
        </w:rPr>
        <w:t>：</w:t>
      </w:r>
    </w:p>
    <w:p w14:paraId="061A87BD">
      <w:pPr>
        <w:spacing w:line="48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我方郑重声明，我方具有履行</w:t>
      </w:r>
      <w:r>
        <w:rPr>
          <w:rFonts w:hint="eastAsia" w:ascii="新宋体" w:hAnsi="新宋体" w:eastAsia="新宋体" w:cs="新宋体"/>
          <w:color w:val="auto"/>
          <w:kern w:val="0"/>
          <w:sz w:val="24"/>
          <w:szCs w:val="24"/>
          <w:u w:val="single"/>
        </w:rPr>
        <w:t xml:space="preserve">          （项目编号：        ）</w:t>
      </w:r>
      <w:r>
        <w:rPr>
          <w:rFonts w:hint="eastAsia" w:ascii="新宋体" w:hAnsi="新宋体" w:eastAsia="新宋体" w:cs="新宋体"/>
          <w:color w:val="auto"/>
          <w:kern w:val="0"/>
          <w:sz w:val="24"/>
          <w:szCs w:val="24"/>
        </w:rPr>
        <w:t>合同所必需的设备和专业技术能力，如中标，我方将按我方投标文件承诺，保证合同顺利履行。如有虚假或隐瞒，愿意承担一切后果。</w:t>
      </w:r>
    </w:p>
    <w:p w14:paraId="778C5DC1">
      <w:pPr>
        <w:spacing w:line="480" w:lineRule="auto"/>
        <w:ind w:firstLine="480" w:firstLineChars="200"/>
        <w:rPr>
          <w:rFonts w:hint="eastAsia" w:ascii="新宋体" w:hAnsi="新宋体" w:eastAsia="新宋体" w:cs="新宋体"/>
          <w:color w:val="auto"/>
          <w:kern w:val="0"/>
          <w:sz w:val="24"/>
          <w:szCs w:val="24"/>
        </w:rPr>
      </w:pPr>
    </w:p>
    <w:p w14:paraId="187AF100">
      <w:pPr>
        <w:spacing w:line="480" w:lineRule="auto"/>
        <w:ind w:firstLine="480" w:firstLineChars="2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特此承诺！</w:t>
      </w:r>
    </w:p>
    <w:p w14:paraId="66B0D974">
      <w:pPr>
        <w:spacing w:line="480" w:lineRule="auto"/>
        <w:rPr>
          <w:rFonts w:hint="eastAsia" w:ascii="新宋体" w:hAnsi="新宋体" w:eastAsia="新宋体" w:cs="新宋体"/>
          <w:color w:val="auto"/>
          <w:kern w:val="0"/>
          <w:sz w:val="24"/>
          <w:szCs w:val="24"/>
        </w:rPr>
      </w:pPr>
    </w:p>
    <w:p w14:paraId="01E6536B">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10EC5E2C">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26A52E5">
      <w:pPr>
        <w:ind w:firstLine="480" w:firstLineChars="200"/>
        <w:jc w:val="center"/>
        <w:rPr>
          <w:rFonts w:hint="eastAsia" w:ascii="新宋体" w:hAnsi="新宋体" w:eastAsia="新宋体" w:cs="新宋体"/>
          <w:color w:val="auto"/>
          <w:sz w:val="24"/>
          <w:szCs w:val="24"/>
          <w:shd w:val="clear" w:color="FFFFFF" w:fill="D9D9D9"/>
        </w:rPr>
      </w:pPr>
    </w:p>
    <w:p w14:paraId="5CF78848">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br w:type="page"/>
      </w:r>
    </w:p>
    <w:p w14:paraId="492152B8">
      <w:pPr>
        <w:widowControl/>
        <w:adjustRightInd/>
        <w:jc w:val="both"/>
        <w:rPr>
          <w:rFonts w:hint="default" w:ascii="新宋体" w:hAnsi="新宋体" w:eastAsia="新宋体" w:cs="新宋体"/>
          <w:b/>
          <w:color w:val="auto"/>
          <w:sz w:val="24"/>
          <w:szCs w:val="24"/>
          <w:lang w:val="en-US" w:eastAsia="zh-CN"/>
        </w:rPr>
      </w:pPr>
      <w:r>
        <w:rPr>
          <w:rFonts w:hint="eastAsia" w:ascii="新宋体" w:hAnsi="新宋体" w:eastAsia="新宋体" w:cs="新宋体"/>
          <w:b/>
          <w:bCs/>
          <w:color w:val="auto"/>
          <w:sz w:val="24"/>
          <w:szCs w:val="24"/>
        </w:rPr>
        <w:t>附件</w:t>
      </w:r>
      <w:r>
        <w:rPr>
          <w:rFonts w:hint="eastAsia" w:ascii="新宋体" w:hAnsi="新宋体" w:eastAsia="新宋体" w:cs="新宋体"/>
          <w:b/>
          <w:bCs/>
          <w:color w:val="auto"/>
          <w:sz w:val="24"/>
          <w:szCs w:val="24"/>
          <w:lang w:val="en-US" w:eastAsia="zh-CN"/>
        </w:rPr>
        <w:t>四</w:t>
      </w:r>
      <w:r>
        <w:rPr>
          <w:rFonts w:hint="eastAsia" w:ascii="新宋体" w:hAnsi="新宋体" w:eastAsia="新宋体" w:cs="新宋体"/>
          <w:b/>
          <w:bCs/>
          <w:color w:val="auto"/>
          <w:sz w:val="24"/>
          <w:szCs w:val="24"/>
        </w:rPr>
        <w:t xml:space="preserve"> </w:t>
      </w:r>
      <w:r>
        <w:rPr>
          <w:rFonts w:hint="eastAsia" w:ascii="新宋体" w:hAnsi="新宋体" w:eastAsia="新宋体" w:cs="新宋体"/>
          <w:b/>
          <w:color w:val="auto"/>
          <w:sz w:val="24"/>
          <w:szCs w:val="24"/>
        </w:rPr>
        <w:t xml:space="preserve"> 法定代表人授权委托书</w:t>
      </w:r>
      <w:r>
        <w:rPr>
          <w:rFonts w:hint="eastAsia" w:ascii="新宋体" w:hAnsi="新宋体" w:eastAsia="新宋体" w:cs="新宋体"/>
          <w:b/>
          <w:color w:val="auto"/>
          <w:sz w:val="24"/>
          <w:szCs w:val="24"/>
          <w:lang w:val="en-US" w:eastAsia="zh-CN"/>
        </w:rPr>
        <w:t>或法定代表人身份证明</w:t>
      </w:r>
    </w:p>
    <w:p w14:paraId="0A0A97D1">
      <w:pPr>
        <w:jc w:val="center"/>
        <w:rPr>
          <w:rFonts w:hint="eastAsia" w:ascii="新宋体" w:hAnsi="新宋体" w:eastAsia="新宋体" w:cs="新宋体"/>
          <w:b/>
          <w:color w:val="auto"/>
          <w:sz w:val="24"/>
          <w:szCs w:val="24"/>
        </w:rPr>
      </w:pPr>
    </w:p>
    <w:p w14:paraId="6DC2D5C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法定代表人授权委托书</w:t>
      </w:r>
    </w:p>
    <w:p w14:paraId="7E8E6BDD">
      <w:pPr>
        <w:rPr>
          <w:rFonts w:hint="eastAsia" w:ascii="宋体" w:hAnsi="宋体" w:eastAsia="宋体" w:cs="宋体"/>
          <w:color w:val="auto"/>
          <w:sz w:val="24"/>
          <w:szCs w:val="24"/>
        </w:rPr>
      </w:pPr>
    </w:p>
    <w:p w14:paraId="1555D2D8">
      <w:pPr>
        <w:snapToGrid w:val="0"/>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         (填写姓名)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（填写投标人单位全称）</w:t>
      </w:r>
      <w:r>
        <w:rPr>
          <w:rFonts w:hint="eastAsia" w:ascii="宋体" w:hAnsi="宋体" w:eastAsia="宋体" w:cs="宋体"/>
          <w:color w:val="auto"/>
          <w:sz w:val="24"/>
          <w:szCs w:val="24"/>
        </w:rPr>
        <w:t>的法定代表人，现授权委托</w:t>
      </w:r>
      <w:r>
        <w:rPr>
          <w:rFonts w:hint="eastAsia" w:ascii="宋体" w:hAnsi="宋体" w:eastAsia="宋体" w:cs="宋体"/>
          <w:color w:val="auto"/>
          <w:sz w:val="24"/>
          <w:szCs w:val="24"/>
          <w:u w:val="single"/>
        </w:rPr>
        <w:t xml:space="preserve">                  （填写单位全称）</w:t>
      </w:r>
      <w:r>
        <w:rPr>
          <w:rFonts w:hint="eastAsia" w:ascii="宋体" w:hAnsi="宋体" w:eastAsia="宋体" w:cs="宋体"/>
          <w:color w:val="auto"/>
          <w:sz w:val="24"/>
          <w:szCs w:val="24"/>
        </w:rPr>
        <w:t>的（填写姓名）为我公司授权代表，</w:t>
      </w:r>
      <w:r>
        <w:rPr>
          <w:rFonts w:hint="eastAsia" w:ascii="宋体" w:hAnsi="宋体" w:eastAsia="宋体" w:cs="宋体"/>
          <w:color w:val="auto"/>
          <w:sz w:val="24"/>
          <w:szCs w:val="24"/>
          <w:u w:val="single"/>
        </w:rPr>
        <w:t>（填写身份证号码：                   ）</w:t>
      </w:r>
      <w:r>
        <w:rPr>
          <w:rFonts w:hint="eastAsia" w:ascii="宋体" w:hAnsi="宋体" w:eastAsia="宋体" w:cs="宋体"/>
          <w:color w:val="auto"/>
          <w:sz w:val="24"/>
          <w:szCs w:val="24"/>
        </w:rPr>
        <w:t>。以本公司的名义参加</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组织的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投标活动。授权代表在开标、评标、合同谈判过程中所签署的一切文件和处理与之有关的一切事务，我均予以承认。</w:t>
      </w:r>
    </w:p>
    <w:p w14:paraId="37C55B5D">
      <w:pPr>
        <w:snapToGrid w:val="0"/>
        <w:spacing w:line="56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在撤销授权的书面通知以前，本授权书一直有效。全权代表在授权书有效期内签署的所有文件不因授权的撤销而失效。</w:t>
      </w:r>
    </w:p>
    <w:p w14:paraId="433BDF79">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1292B0D0">
      <w:pPr>
        <w:snapToGrid w:val="0"/>
        <w:spacing w:line="600" w:lineRule="exact"/>
        <w:jc w:val="left"/>
        <w:rPr>
          <w:rFonts w:hint="eastAsia" w:ascii="宋体" w:hAnsi="宋体" w:eastAsia="宋体" w:cs="宋体"/>
          <w:color w:val="auto"/>
          <w:sz w:val="24"/>
          <w:szCs w:val="24"/>
        </w:rPr>
      </w:pPr>
    </w:p>
    <w:p w14:paraId="15F6E073">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授权代表姓名：              性别：               年龄：</w:t>
      </w:r>
    </w:p>
    <w:p w14:paraId="13BF3BC1">
      <w:pPr>
        <w:spacing w:line="360" w:lineRule="exact"/>
        <w:rPr>
          <w:rFonts w:hint="eastAsia" w:ascii="宋体" w:hAnsi="宋体" w:eastAsia="宋体" w:cs="宋体"/>
          <w:color w:val="auto"/>
          <w:sz w:val="24"/>
          <w:szCs w:val="24"/>
        </w:rPr>
      </w:pPr>
    </w:p>
    <w:p w14:paraId="5EC67DB4">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                      部门：               职务：</w:t>
      </w:r>
    </w:p>
    <w:p w14:paraId="15773B62">
      <w:pPr>
        <w:spacing w:line="360" w:lineRule="exact"/>
        <w:rPr>
          <w:rFonts w:hint="eastAsia" w:ascii="宋体" w:hAnsi="宋体" w:eastAsia="宋体" w:cs="宋体"/>
          <w:color w:val="auto"/>
          <w:sz w:val="24"/>
          <w:szCs w:val="24"/>
        </w:rPr>
      </w:pPr>
    </w:p>
    <w:p w14:paraId="5EFABAB8">
      <w:pPr>
        <w:widowControl/>
        <w:snapToGrid w:val="0"/>
        <w:spacing w:line="44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办公地址：                  联系电话：           传真：</w:t>
      </w:r>
    </w:p>
    <w:p w14:paraId="2B382C2D">
      <w:pPr>
        <w:spacing w:line="360" w:lineRule="exact"/>
        <w:rPr>
          <w:rFonts w:hint="eastAsia" w:ascii="宋体" w:hAnsi="宋体" w:eastAsia="宋体" w:cs="宋体"/>
          <w:color w:val="auto"/>
          <w:sz w:val="24"/>
          <w:szCs w:val="24"/>
        </w:rPr>
      </w:pPr>
    </w:p>
    <w:p w14:paraId="61822DD2">
      <w:pPr>
        <w:spacing w:line="360" w:lineRule="exact"/>
        <w:rPr>
          <w:rFonts w:hint="eastAsia" w:ascii="宋体" w:hAnsi="宋体" w:eastAsia="宋体" w:cs="宋体"/>
          <w:color w:val="auto"/>
          <w:sz w:val="24"/>
          <w:szCs w:val="24"/>
        </w:rPr>
      </w:pPr>
    </w:p>
    <w:p w14:paraId="32C5E728">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投标人（电子签章）：</w:t>
      </w:r>
    </w:p>
    <w:p w14:paraId="255C146B">
      <w:pPr>
        <w:spacing w:line="360" w:lineRule="exact"/>
        <w:rPr>
          <w:rFonts w:hint="eastAsia" w:ascii="宋体" w:hAnsi="宋体" w:eastAsia="宋体" w:cs="宋体"/>
          <w:color w:val="auto"/>
          <w:sz w:val="24"/>
          <w:szCs w:val="24"/>
        </w:rPr>
      </w:pPr>
    </w:p>
    <w:p w14:paraId="3FBEAAE8">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p>
    <w:p w14:paraId="4457F1C1">
      <w:pPr>
        <w:spacing w:line="360" w:lineRule="exact"/>
        <w:rPr>
          <w:rFonts w:hint="eastAsia" w:ascii="宋体" w:hAnsi="宋体" w:eastAsia="宋体" w:cs="宋体"/>
          <w:color w:val="auto"/>
          <w:sz w:val="24"/>
          <w:szCs w:val="24"/>
        </w:rPr>
      </w:pPr>
    </w:p>
    <w:p w14:paraId="0AA27B0D">
      <w:pPr>
        <w:spacing w:line="360" w:lineRule="exact"/>
        <w:rPr>
          <w:rFonts w:hint="eastAsia" w:ascii="宋体" w:hAnsi="宋体" w:eastAsia="宋体" w:cs="宋体"/>
          <w:color w:val="auto"/>
          <w:sz w:val="24"/>
          <w:szCs w:val="24"/>
        </w:rPr>
      </w:pPr>
    </w:p>
    <w:p w14:paraId="13A5A035">
      <w:pPr>
        <w:ind w:firstLine="5280" w:firstLineChars="2200"/>
        <w:jc w:val="lef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71B4777B">
      <w:pPr>
        <w:snapToGrid w:val="0"/>
        <w:spacing w:before="50" w:after="50"/>
        <w:jc w:val="both"/>
        <w:rPr>
          <w:rFonts w:hint="eastAsia" w:ascii="宋体" w:hAnsi="宋体" w:eastAsia="宋体" w:cs="宋体"/>
          <w:b/>
          <w:bCs/>
          <w:color w:val="auto"/>
          <w:kern w:val="0"/>
          <w:sz w:val="24"/>
          <w:szCs w:val="24"/>
        </w:rPr>
      </w:pPr>
      <w:r>
        <w:rPr>
          <w:rFonts w:hint="eastAsia" w:ascii="宋体" w:hAnsi="宋体" w:eastAsia="宋体" w:cs="宋体"/>
          <w:bCs/>
          <w:color w:val="auto"/>
          <w:kern w:val="2"/>
          <w:sz w:val="24"/>
          <w:szCs w:val="24"/>
          <w:highlight w:val="none"/>
          <w:lang w:val="en-US" w:eastAsia="zh-CN" w:bidi="ar-SA"/>
        </w:rPr>
        <w:t>附：法定代表人身份证</w:t>
      </w:r>
      <w:r>
        <w:rPr>
          <w:rFonts w:hint="eastAsia" w:ascii="宋体" w:hAnsi="宋体" w:cs="宋体"/>
          <w:bCs/>
          <w:color w:val="auto"/>
          <w:kern w:val="2"/>
          <w:sz w:val="24"/>
          <w:szCs w:val="24"/>
          <w:highlight w:val="none"/>
          <w:lang w:val="en-US" w:eastAsia="zh-CN" w:bidi="ar-SA"/>
        </w:rPr>
        <w:t>和授权代表人身份证</w:t>
      </w:r>
      <w:r>
        <w:rPr>
          <w:rFonts w:hint="eastAsia" w:ascii="宋体" w:hAnsi="宋体" w:eastAsia="宋体" w:cs="宋体"/>
          <w:bCs/>
          <w:color w:val="auto"/>
          <w:kern w:val="2"/>
          <w:sz w:val="24"/>
          <w:szCs w:val="24"/>
          <w:highlight w:val="none"/>
          <w:lang w:val="en-US" w:eastAsia="zh-CN" w:bidi="ar-SA"/>
        </w:rPr>
        <w:t>扫描件</w:t>
      </w:r>
      <w:r>
        <w:rPr>
          <w:rFonts w:hint="eastAsia" w:ascii="宋体" w:hAnsi="宋体" w:eastAsia="宋体" w:cs="宋体"/>
          <w:b/>
          <w:bCs/>
          <w:color w:val="auto"/>
          <w:kern w:val="0"/>
          <w:sz w:val="24"/>
          <w:szCs w:val="24"/>
        </w:rPr>
        <w:t xml:space="preserve">                                                                                                                                                                                                                                                                                                                                                                                                                                                                                                                                                                                                                                                                                                                                                                                                                                                                                                                                                                                                                                                                                                                                                                                                                                                                                                                                                                                                                                                                                                                                                                                                                                                                                                                                                                                                                                                                                                                                                                                                                                                                                                                                                                                                                                                                                                                                                                                                                                                                                                                                                                                                                                                                                                                                                                                                                                                                                                                                                                                                                                                                                                                                                                                                                                                                                                                                                                                                                                                                                       </w:t>
      </w:r>
      <w:bookmarkStart w:id="82" w:name="_Toc384363150"/>
    </w:p>
    <w:p w14:paraId="034D7781">
      <w:pPr>
        <w:snapToGrid w:val="0"/>
        <w:spacing w:before="50" w:after="50"/>
        <w:jc w:val="center"/>
        <w:rPr>
          <w:rFonts w:hint="eastAsia" w:ascii="宋体" w:hAnsi="宋体" w:eastAsia="宋体" w:cs="宋体"/>
          <w:b/>
          <w:bCs/>
          <w:color w:val="auto"/>
          <w:kern w:val="0"/>
          <w:sz w:val="24"/>
          <w:szCs w:val="24"/>
        </w:rPr>
      </w:pPr>
    </w:p>
    <w:bookmarkEnd w:id="82"/>
    <w:p w14:paraId="1294AD66">
      <w:pPr>
        <w:spacing w:line="500" w:lineRule="exact"/>
        <w:jc w:val="center"/>
        <w:rPr>
          <w:rFonts w:hint="eastAsia" w:ascii="宋体" w:hAnsi="宋体" w:eastAsia="宋体" w:cs="宋体"/>
          <w:b/>
          <w:bCs/>
          <w:color w:val="auto"/>
          <w:kern w:val="0"/>
          <w:sz w:val="24"/>
          <w:szCs w:val="24"/>
          <w:highlight w:val="none"/>
          <w:lang w:val="en-US" w:eastAsia="zh-CN"/>
        </w:rPr>
      </w:pPr>
      <w:bookmarkStart w:id="83" w:name="_Toc384363154"/>
    </w:p>
    <w:p w14:paraId="08AB1B05">
      <w:pPr>
        <w:spacing w:line="500" w:lineRule="exact"/>
        <w:jc w:val="center"/>
        <w:rPr>
          <w:rFonts w:hint="eastAsia" w:ascii="宋体" w:hAnsi="宋体" w:eastAsia="宋体" w:cs="宋体"/>
          <w:b/>
          <w:bCs/>
          <w:color w:val="auto"/>
          <w:kern w:val="0"/>
          <w:sz w:val="24"/>
          <w:szCs w:val="24"/>
          <w:highlight w:val="none"/>
        </w:rPr>
      </w:pPr>
    </w:p>
    <w:p w14:paraId="4E83A69B">
      <w:pPr>
        <w:widowControl/>
        <w:adjustRightInd/>
        <w:jc w:val="center"/>
        <w:rPr>
          <w:rFonts w:hint="eastAsia" w:ascii="宋体" w:hAnsi="宋体" w:eastAsia="宋体" w:cs="宋体"/>
          <w:b/>
          <w:color w:val="auto"/>
          <w:sz w:val="24"/>
          <w:szCs w:val="24"/>
          <w:lang w:val="en-US" w:eastAsia="zh-CN"/>
        </w:rPr>
      </w:pPr>
    </w:p>
    <w:p w14:paraId="68F11321">
      <w:pPr>
        <w:spacing w:line="5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法定代表人身份证明</w:t>
      </w:r>
    </w:p>
    <w:p w14:paraId="5FD0036B">
      <w:pPr>
        <w:widowControl/>
        <w:spacing w:line="42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p w14:paraId="4CA4EB0A">
      <w:pPr>
        <w:widowControl/>
        <w:spacing w:line="42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19A2EDDC">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u w:val="single"/>
        </w:rPr>
        <w:t xml:space="preserve">                                               </w:t>
      </w:r>
    </w:p>
    <w:p w14:paraId="14206F55">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p>
    <w:p w14:paraId="0DBDBA2F">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姓    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性    别：</w:t>
      </w:r>
      <w:r>
        <w:rPr>
          <w:rFonts w:hint="eastAsia" w:ascii="宋体" w:hAnsi="宋体" w:eastAsia="宋体" w:cs="宋体"/>
          <w:color w:val="auto"/>
          <w:kern w:val="0"/>
          <w:sz w:val="24"/>
          <w:szCs w:val="24"/>
          <w:highlight w:val="none"/>
          <w:u w:val="single"/>
        </w:rPr>
        <w:t xml:space="preserve">            </w:t>
      </w:r>
    </w:p>
    <w:p w14:paraId="21534CAC">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年    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p>
    <w:p w14:paraId="6186E9D4">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（供应商名称）的法定代表人。</w:t>
      </w:r>
    </w:p>
    <w:p w14:paraId="0A4948F0">
      <w:pPr>
        <w:keepNext w:val="0"/>
        <w:keepLines w:val="0"/>
        <w:pageBreakBefore w:val="0"/>
        <w:widowControl/>
        <w:kinsoku/>
        <w:wordWrap/>
        <w:overflowPunct/>
        <w:topLinePunct w:val="0"/>
        <w:autoSpaceDE/>
        <w:autoSpaceDN/>
        <w:bidi w:val="0"/>
        <w:adjustRightInd/>
        <w:snapToGrid/>
        <w:spacing w:line="360" w:lineRule="auto"/>
        <w:ind w:right="0" w:firstLine="10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22F17CE1">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ADDBB35">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2E43593">
      <w:pPr>
        <w:keepNext w:val="0"/>
        <w:keepLines w:val="0"/>
        <w:pageBreakBefore w:val="0"/>
        <w:widowControl/>
        <w:kinsoku/>
        <w:wordWrap/>
        <w:overflowPunct/>
        <w:topLinePunct w:val="0"/>
        <w:autoSpaceDE/>
        <w:autoSpaceDN/>
        <w:bidi w:val="0"/>
        <w:adjustRightInd/>
        <w:snapToGrid/>
        <w:spacing w:line="360" w:lineRule="auto"/>
        <w:ind w:right="0" w:firstLine="5308" w:firstLineChars="2212"/>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rPr>
        <w:t>投标人</w:t>
      </w:r>
      <w:r>
        <w:rPr>
          <w:rFonts w:hint="eastAsia" w:ascii="宋体" w:hAnsi="宋体" w:eastAsia="宋体" w:cs="宋体"/>
          <w:color w:val="auto"/>
          <w:kern w:val="0"/>
          <w:sz w:val="24"/>
          <w:szCs w:val="24"/>
          <w:highlight w:val="none"/>
          <w:lang w:val="zh-CN"/>
        </w:rPr>
        <w:t>(电子签章)：</w:t>
      </w:r>
    </w:p>
    <w:p w14:paraId="5C01D302">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auto"/>
          <w:kern w:val="0"/>
          <w:sz w:val="24"/>
          <w:szCs w:val="24"/>
          <w:highlight w:val="none"/>
          <w:u w:val="single"/>
        </w:rPr>
      </w:pPr>
    </w:p>
    <w:p w14:paraId="067BE226">
      <w:pPr>
        <w:keepNext w:val="0"/>
        <w:keepLines w:val="0"/>
        <w:pageBreakBefore w:val="0"/>
        <w:widowControl/>
        <w:kinsoku/>
        <w:wordWrap/>
        <w:overflowPunct/>
        <w:topLinePunct w:val="0"/>
        <w:autoSpaceDE/>
        <w:autoSpaceDN/>
        <w:bidi w:val="0"/>
        <w:adjustRightInd/>
        <w:snapToGrid/>
        <w:spacing w:line="360" w:lineRule="auto"/>
        <w:ind w:right="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 </w:t>
      </w:r>
    </w:p>
    <w:p w14:paraId="36136E64">
      <w:pPr>
        <w:widowControl/>
        <w:spacing w:line="420" w:lineRule="atLeast"/>
        <w:jc w:val="center"/>
        <w:rPr>
          <w:rFonts w:hint="eastAsia" w:ascii="宋体" w:hAnsi="宋体" w:eastAsia="宋体" w:cs="宋体"/>
          <w:color w:val="auto"/>
          <w:kern w:val="0"/>
          <w:sz w:val="24"/>
          <w:szCs w:val="24"/>
          <w:highlight w:val="none"/>
        </w:rPr>
      </w:pPr>
    </w:p>
    <w:p w14:paraId="7F21A736">
      <w:pPr>
        <w:pStyle w:val="15"/>
        <w:spacing w:line="440" w:lineRule="atLeast"/>
        <w:jc w:val="center"/>
        <w:rPr>
          <w:rFonts w:hint="eastAsia" w:ascii="宋体" w:hAnsi="宋体" w:eastAsia="宋体" w:cs="宋体"/>
          <w:b/>
          <w:color w:val="auto"/>
          <w:kern w:val="2"/>
          <w:sz w:val="24"/>
          <w:szCs w:val="24"/>
          <w:highlight w:val="none"/>
        </w:rPr>
      </w:pPr>
    </w:p>
    <w:p w14:paraId="1ADB5AD6">
      <w:pPr>
        <w:pStyle w:val="15"/>
        <w:spacing w:line="440" w:lineRule="atLeast"/>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附：法定代表人身份证扫描件</w:t>
      </w:r>
    </w:p>
    <w:tbl>
      <w:tblPr>
        <w:tblStyle w:val="2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7BD2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8900" w:type="dxa"/>
            <w:noWrap w:val="0"/>
            <w:vAlign w:val="top"/>
          </w:tcPr>
          <w:p w14:paraId="08ED239F">
            <w:pPr>
              <w:pStyle w:val="65"/>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6DE52854">
            <w:pPr>
              <w:pStyle w:val="65"/>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tc>
      </w:tr>
    </w:tbl>
    <w:p w14:paraId="3AECA576">
      <w:pPr>
        <w:spacing w:line="360" w:lineRule="auto"/>
        <w:rPr>
          <w:rFonts w:hint="eastAsia" w:ascii="新宋体" w:hAnsi="新宋体" w:eastAsia="新宋体" w:cs="新宋体"/>
          <w:b/>
          <w:bCs/>
          <w:color w:val="auto"/>
          <w:sz w:val="24"/>
          <w:szCs w:val="24"/>
        </w:rPr>
      </w:pPr>
    </w:p>
    <w:p w14:paraId="2310732B">
      <w:pPr>
        <w:spacing w:line="360" w:lineRule="auto"/>
        <w:rPr>
          <w:rFonts w:hint="eastAsia" w:ascii="新宋体" w:hAnsi="新宋体" w:eastAsia="新宋体" w:cs="新宋体"/>
          <w:b/>
          <w:bCs/>
          <w:color w:val="auto"/>
          <w:sz w:val="24"/>
          <w:szCs w:val="24"/>
        </w:rPr>
      </w:pPr>
    </w:p>
    <w:p w14:paraId="721C7AB6">
      <w:pPr>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br w:type="page"/>
      </w:r>
    </w:p>
    <w:p w14:paraId="195F265F">
      <w:pPr>
        <w:spacing w:line="360" w:lineRule="auto"/>
        <w:rPr>
          <w:rFonts w:hint="eastAsia" w:ascii="宋体" w:hAnsi="宋体" w:cs="宋体"/>
          <w:b/>
          <w:bCs/>
          <w:color w:val="auto"/>
          <w:szCs w:val="21"/>
        </w:rPr>
      </w:pPr>
      <w:r>
        <w:rPr>
          <w:rFonts w:hint="eastAsia" w:ascii="新宋体" w:hAnsi="新宋体" w:eastAsia="新宋体" w:cs="新宋体"/>
          <w:b/>
          <w:bCs/>
          <w:color w:val="auto"/>
          <w:sz w:val="24"/>
          <w:szCs w:val="24"/>
        </w:rPr>
        <w:t xml:space="preserve">附件五  </w:t>
      </w:r>
      <w:bookmarkEnd w:id="83"/>
      <w:r>
        <w:rPr>
          <w:rFonts w:hint="eastAsia" w:ascii="新宋体" w:hAnsi="新宋体" w:eastAsia="新宋体" w:cs="新宋体"/>
          <w:b/>
          <w:bCs/>
          <w:color w:val="auto"/>
          <w:sz w:val="24"/>
          <w:szCs w:val="24"/>
          <w:lang w:eastAsia="zh-CN"/>
        </w:rPr>
        <w:t>技术</w:t>
      </w:r>
      <w:r>
        <w:rPr>
          <w:rFonts w:hint="eastAsia" w:ascii="新宋体" w:hAnsi="新宋体" w:eastAsia="新宋体" w:cs="新宋体"/>
          <w:b/>
          <w:bCs/>
          <w:color w:val="auto"/>
          <w:sz w:val="24"/>
          <w:szCs w:val="24"/>
        </w:rPr>
        <w:t>偏离表</w:t>
      </w:r>
    </w:p>
    <w:p w14:paraId="646332EF">
      <w:pPr>
        <w:adjustRightInd w:val="0"/>
        <w:snapToGrid w:val="0"/>
        <w:spacing w:before="50" w:after="50" w:line="360" w:lineRule="auto"/>
        <w:jc w:val="center"/>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技术偏离表</w:t>
      </w:r>
    </w:p>
    <w:p w14:paraId="13DF0707">
      <w:pPr>
        <w:pStyle w:val="26"/>
        <w:rPr>
          <w:rFonts w:hint="eastAsia"/>
          <w:color w:val="auto"/>
          <w:lang w:val="en-US" w:eastAsia="zh-CN"/>
        </w:rPr>
      </w:pPr>
    </w:p>
    <w:tbl>
      <w:tblPr>
        <w:tblStyle w:val="27"/>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431"/>
        <w:gridCol w:w="1175"/>
      </w:tblGrid>
      <w:tr w14:paraId="0831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14:paraId="4A80A726">
            <w:pPr>
              <w:tabs>
                <w:tab w:val="left" w:pos="4905"/>
              </w:tabs>
              <w:spacing w:line="400" w:lineRule="exact"/>
              <w:jc w:val="center"/>
              <w:rPr>
                <w:rFonts w:hint="eastAsia" w:ascii="宋体" w:hAnsi="宋体" w:cs="宋体"/>
                <w:color w:val="auto"/>
                <w:szCs w:val="21"/>
              </w:rPr>
            </w:pPr>
            <w:r>
              <w:rPr>
                <w:rFonts w:hint="eastAsia" w:ascii="宋体" w:hAnsi="宋体" w:cs="宋体"/>
                <w:color w:val="auto"/>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14:paraId="7259FFD3">
            <w:pPr>
              <w:tabs>
                <w:tab w:val="left" w:pos="4905"/>
              </w:tabs>
              <w:spacing w:line="400" w:lineRule="exact"/>
              <w:jc w:val="center"/>
              <w:rPr>
                <w:rFonts w:hint="eastAsia" w:ascii="宋体" w:hAnsi="宋体" w:cs="宋体"/>
                <w:color w:val="auto"/>
                <w:szCs w:val="21"/>
              </w:rPr>
            </w:pPr>
            <w:r>
              <w:rPr>
                <w:rFonts w:hint="eastAsia" w:ascii="宋体" w:hAnsi="宋体" w:cs="宋体"/>
                <w:color w:val="auto"/>
                <w:szCs w:val="21"/>
              </w:rPr>
              <w:t>采购文件要求</w:t>
            </w:r>
          </w:p>
        </w:tc>
        <w:tc>
          <w:tcPr>
            <w:tcW w:w="3431" w:type="dxa"/>
            <w:tcBorders>
              <w:top w:val="single" w:color="auto" w:sz="4" w:space="0"/>
              <w:left w:val="single" w:color="auto" w:sz="4" w:space="0"/>
              <w:bottom w:val="single" w:color="auto" w:sz="4" w:space="0"/>
              <w:right w:val="single" w:color="auto" w:sz="4" w:space="0"/>
            </w:tcBorders>
            <w:noWrap w:val="0"/>
            <w:vAlign w:val="top"/>
          </w:tcPr>
          <w:p w14:paraId="000A3069">
            <w:pPr>
              <w:tabs>
                <w:tab w:val="left" w:pos="4905"/>
              </w:tabs>
              <w:spacing w:line="400" w:lineRule="exact"/>
              <w:jc w:val="center"/>
              <w:rPr>
                <w:rFonts w:hint="eastAsia" w:ascii="宋体" w:hAnsi="宋体" w:cs="宋体"/>
                <w:color w:val="auto"/>
                <w:szCs w:val="21"/>
              </w:rPr>
            </w:pPr>
            <w:r>
              <w:rPr>
                <w:rFonts w:hint="eastAsia" w:ascii="宋体" w:hAnsi="宋体" w:cs="宋体"/>
                <w:color w:val="auto"/>
                <w:szCs w:val="21"/>
              </w:rPr>
              <w:t>投标响应</w:t>
            </w:r>
          </w:p>
        </w:tc>
        <w:tc>
          <w:tcPr>
            <w:tcW w:w="1175" w:type="dxa"/>
            <w:tcBorders>
              <w:top w:val="single" w:color="auto" w:sz="4" w:space="0"/>
              <w:left w:val="single" w:color="auto" w:sz="4" w:space="0"/>
              <w:bottom w:val="single" w:color="auto" w:sz="4" w:space="0"/>
              <w:right w:val="single" w:color="auto" w:sz="4" w:space="0"/>
            </w:tcBorders>
            <w:noWrap w:val="0"/>
            <w:vAlign w:val="top"/>
          </w:tcPr>
          <w:p w14:paraId="297427AC">
            <w:pPr>
              <w:tabs>
                <w:tab w:val="left" w:pos="4905"/>
              </w:tabs>
              <w:spacing w:line="400" w:lineRule="exact"/>
              <w:jc w:val="center"/>
              <w:rPr>
                <w:rFonts w:hint="eastAsia" w:ascii="宋体" w:hAnsi="宋体" w:cs="宋体"/>
                <w:color w:val="auto"/>
                <w:szCs w:val="21"/>
              </w:rPr>
            </w:pPr>
            <w:r>
              <w:rPr>
                <w:rFonts w:hint="eastAsia" w:ascii="宋体" w:hAnsi="宋体" w:cs="宋体"/>
                <w:color w:val="auto"/>
                <w:szCs w:val="21"/>
              </w:rPr>
              <w:t>偏离情况</w:t>
            </w:r>
          </w:p>
        </w:tc>
      </w:tr>
      <w:tr w14:paraId="4F5F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C31A4A9">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1DEF3834">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F8A4BC0">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7C9DDEDE">
            <w:pPr>
              <w:tabs>
                <w:tab w:val="left" w:pos="4905"/>
              </w:tabs>
              <w:spacing w:line="400" w:lineRule="exact"/>
              <w:jc w:val="center"/>
              <w:rPr>
                <w:rFonts w:hint="eastAsia" w:ascii="宋体" w:hAnsi="宋体" w:cs="宋体"/>
                <w:color w:val="auto"/>
                <w:szCs w:val="21"/>
              </w:rPr>
            </w:pPr>
          </w:p>
        </w:tc>
      </w:tr>
      <w:tr w14:paraId="4C89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72C37C6">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F4F2F62">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29719D4">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F351626">
            <w:pPr>
              <w:tabs>
                <w:tab w:val="left" w:pos="4905"/>
              </w:tabs>
              <w:spacing w:line="400" w:lineRule="exact"/>
              <w:jc w:val="center"/>
              <w:rPr>
                <w:rFonts w:hint="eastAsia" w:ascii="宋体" w:hAnsi="宋体" w:cs="宋体"/>
                <w:color w:val="auto"/>
                <w:szCs w:val="21"/>
              </w:rPr>
            </w:pPr>
          </w:p>
        </w:tc>
      </w:tr>
      <w:tr w14:paraId="6508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11F382C">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3A8EAE0">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57179E50">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75B49BD5">
            <w:pPr>
              <w:tabs>
                <w:tab w:val="left" w:pos="4905"/>
              </w:tabs>
              <w:spacing w:line="400" w:lineRule="exact"/>
              <w:jc w:val="center"/>
              <w:rPr>
                <w:rFonts w:hint="eastAsia" w:ascii="宋体" w:hAnsi="宋体" w:cs="宋体"/>
                <w:color w:val="auto"/>
                <w:szCs w:val="21"/>
              </w:rPr>
            </w:pPr>
          </w:p>
        </w:tc>
      </w:tr>
      <w:tr w14:paraId="5F0E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C71E56E">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9C57254">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EF261BA">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E6A9D1D">
            <w:pPr>
              <w:tabs>
                <w:tab w:val="left" w:pos="4905"/>
              </w:tabs>
              <w:spacing w:line="400" w:lineRule="exact"/>
              <w:jc w:val="center"/>
              <w:rPr>
                <w:rFonts w:hint="eastAsia" w:ascii="宋体" w:hAnsi="宋体" w:cs="宋体"/>
                <w:color w:val="auto"/>
                <w:szCs w:val="21"/>
              </w:rPr>
            </w:pPr>
          </w:p>
        </w:tc>
      </w:tr>
      <w:tr w14:paraId="020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A5C8924">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33BF439A">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374C1B32">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7A93C15A">
            <w:pPr>
              <w:tabs>
                <w:tab w:val="left" w:pos="4905"/>
              </w:tabs>
              <w:spacing w:line="400" w:lineRule="exact"/>
              <w:jc w:val="center"/>
              <w:rPr>
                <w:rFonts w:hint="eastAsia" w:ascii="宋体" w:hAnsi="宋体" w:cs="宋体"/>
                <w:color w:val="auto"/>
                <w:szCs w:val="21"/>
              </w:rPr>
            </w:pPr>
          </w:p>
        </w:tc>
      </w:tr>
      <w:tr w14:paraId="37C1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0D9C3559">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6E8F8E37">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9EDED11">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D1EE183">
            <w:pPr>
              <w:tabs>
                <w:tab w:val="left" w:pos="4905"/>
              </w:tabs>
              <w:spacing w:line="400" w:lineRule="exact"/>
              <w:jc w:val="center"/>
              <w:rPr>
                <w:rFonts w:hint="eastAsia" w:ascii="宋体" w:hAnsi="宋体" w:cs="宋体"/>
                <w:color w:val="auto"/>
                <w:szCs w:val="21"/>
              </w:rPr>
            </w:pPr>
          </w:p>
        </w:tc>
      </w:tr>
      <w:tr w14:paraId="0C62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6B450497">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5CCF9D7E">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6E9FBF9D">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88854C1">
            <w:pPr>
              <w:tabs>
                <w:tab w:val="left" w:pos="4905"/>
              </w:tabs>
              <w:spacing w:line="400" w:lineRule="exact"/>
              <w:jc w:val="center"/>
              <w:rPr>
                <w:rFonts w:hint="eastAsia" w:ascii="宋体" w:hAnsi="宋体" w:cs="宋体"/>
                <w:color w:val="auto"/>
                <w:szCs w:val="21"/>
              </w:rPr>
            </w:pPr>
          </w:p>
        </w:tc>
      </w:tr>
      <w:tr w14:paraId="483E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466F83AB">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01286FA3">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CE188B8">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115C83D8">
            <w:pPr>
              <w:tabs>
                <w:tab w:val="left" w:pos="4905"/>
              </w:tabs>
              <w:spacing w:line="400" w:lineRule="exact"/>
              <w:jc w:val="center"/>
              <w:rPr>
                <w:rFonts w:hint="eastAsia" w:ascii="宋体" w:hAnsi="宋体" w:cs="宋体"/>
                <w:color w:val="auto"/>
                <w:szCs w:val="21"/>
              </w:rPr>
            </w:pPr>
          </w:p>
        </w:tc>
      </w:tr>
      <w:tr w14:paraId="46A3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4EE25AB">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7324A345">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50A30EC">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043F071F">
            <w:pPr>
              <w:tabs>
                <w:tab w:val="left" w:pos="4905"/>
              </w:tabs>
              <w:spacing w:line="400" w:lineRule="exact"/>
              <w:jc w:val="center"/>
              <w:rPr>
                <w:rFonts w:hint="eastAsia" w:ascii="宋体" w:hAnsi="宋体" w:cs="宋体"/>
                <w:color w:val="auto"/>
                <w:szCs w:val="21"/>
              </w:rPr>
            </w:pPr>
          </w:p>
        </w:tc>
      </w:tr>
      <w:tr w14:paraId="1D84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14E868D3">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66A1AFB">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7633B02">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9326333">
            <w:pPr>
              <w:tabs>
                <w:tab w:val="left" w:pos="4905"/>
              </w:tabs>
              <w:spacing w:line="400" w:lineRule="exact"/>
              <w:jc w:val="center"/>
              <w:rPr>
                <w:rFonts w:hint="eastAsia" w:ascii="宋体" w:hAnsi="宋体" w:cs="宋体"/>
                <w:color w:val="auto"/>
                <w:szCs w:val="21"/>
              </w:rPr>
            </w:pPr>
          </w:p>
        </w:tc>
      </w:tr>
      <w:tr w14:paraId="681C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3FD1166A">
            <w:pPr>
              <w:tabs>
                <w:tab w:val="left" w:pos="4905"/>
              </w:tabs>
              <w:spacing w:line="400" w:lineRule="exact"/>
              <w:jc w:val="center"/>
              <w:rPr>
                <w:rFonts w:hint="eastAsia" w:ascii="宋体" w:hAnsi="宋体" w:cs="宋体"/>
                <w:color w:val="auto"/>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14:paraId="26176C10">
            <w:pPr>
              <w:tabs>
                <w:tab w:val="left" w:pos="4905"/>
              </w:tabs>
              <w:spacing w:line="400" w:lineRule="exact"/>
              <w:rPr>
                <w:rFonts w:hint="eastAsia" w:ascii="宋体" w:hAnsi="宋体" w:cs="宋体"/>
                <w:color w:val="auto"/>
                <w:szCs w:val="21"/>
              </w:rPr>
            </w:pPr>
          </w:p>
        </w:tc>
        <w:tc>
          <w:tcPr>
            <w:tcW w:w="3431" w:type="dxa"/>
            <w:tcBorders>
              <w:top w:val="single" w:color="auto" w:sz="4" w:space="0"/>
              <w:left w:val="single" w:color="auto" w:sz="4" w:space="0"/>
              <w:bottom w:val="single" w:color="auto" w:sz="4" w:space="0"/>
              <w:right w:val="single" w:color="auto" w:sz="4" w:space="0"/>
            </w:tcBorders>
            <w:noWrap w:val="0"/>
            <w:vAlign w:val="center"/>
          </w:tcPr>
          <w:p w14:paraId="780780E2">
            <w:pPr>
              <w:tabs>
                <w:tab w:val="left" w:pos="4905"/>
              </w:tabs>
              <w:spacing w:line="400" w:lineRule="exact"/>
              <w:rPr>
                <w:rFonts w:hint="eastAsia"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14:paraId="527E8441">
            <w:pPr>
              <w:tabs>
                <w:tab w:val="left" w:pos="4905"/>
              </w:tabs>
              <w:spacing w:line="400" w:lineRule="exact"/>
              <w:jc w:val="center"/>
              <w:rPr>
                <w:rFonts w:hint="eastAsia" w:ascii="宋体" w:hAnsi="宋体" w:cs="宋体"/>
                <w:color w:val="auto"/>
                <w:szCs w:val="21"/>
              </w:rPr>
            </w:pPr>
          </w:p>
        </w:tc>
      </w:tr>
    </w:tbl>
    <w:p w14:paraId="540647CC">
      <w:pPr>
        <w:adjustRightInd w:val="0"/>
        <w:snapToGrid w:val="0"/>
        <w:spacing w:before="50" w:after="50" w:line="360" w:lineRule="auto"/>
        <w:ind w:firstLine="480" w:firstLineChars="20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注：1、此表须与采购文件“采购项目说明及要求”相应标项内的所有</w:t>
      </w:r>
      <w:r>
        <w:rPr>
          <w:rFonts w:hint="eastAsia" w:ascii="新宋体" w:hAnsi="新宋体" w:eastAsia="新宋体" w:cs="新宋体"/>
          <w:color w:val="auto"/>
          <w:sz w:val="24"/>
          <w:szCs w:val="24"/>
          <w:lang w:eastAsia="zh-CN"/>
        </w:rPr>
        <w:t>服务要求</w:t>
      </w:r>
      <w:r>
        <w:rPr>
          <w:rFonts w:hint="eastAsia" w:ascii="新宋体" w:hAnsi="新宋体" w:eastAsia="新宋体" w:cs="新宋体"/>
          <w:color w:val="auto"/>
          <w:sz w:val="24"/>
          <w:szCs w:val="24"/>
        </w:rPr>
        <w:t>相比较且一一对应真实逐条填列。</w:t>
      </w:r>
    </w:p>
    <w:p w14:paraId="1D90930B">
      <w:pPr>
        <w:adjustRightInd w:val="0"/>
        <w:snapToGrid w:val="0"/>
        <w:spacing w:before="50" w:after="50" w:line="360" w:lineRule="auto"/>
        <w:ind w:firstLine="480" w:firstLineChars="20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2、</w:t>
      </w:r>
      <w:r>
        <w:rPr>
          <w:rFonts w:hint="eastAsia" w:ascii="新宋体" w:hAnsi="新宋体" w:eastAsia="新宋体" w:cs="新宋体"/>
          <w:color w:val="auto"/>
          <w:sz w:val="24"/>
          <w:szCs w:val="24"/>
        </w:rPr>
        <w:t>投标人递交的技术规格书中必须真实逐条列明，否则由投标人自行承担相关风险。</w:t>
      </w:r>
    </w:p>
    <w:p w14:paraId="469D5934">
      <w:pPr>
        <w:pStyle w:val="9"/>
        <w:numPr>
          <w:ilvl w:val="0"/>
          <w:numId w:val="0"/>
        </w:numPr>
        <w:rPr>
          <w:rFonts w:hint="eastAsia" w:ascii="新宋体" w:hAnsi="新宋体" w:eastAsia="新宋体" w:cs="新宋体"/>
          <w:color w:val="auto"/>
          <w:sz w:val="24"/>
          <w:szCs w:val="24"/>
        </w:rPr>
      </w:pPr>
    </w:p>
    <w:p w14:paraId="0E805AEF">
      <w:pPr>
        <w:autoSpaceDE w:val="0"/>
        <w:autoSpaceDN w:val="0"/>
        <w:spacing w:line="360" w:lineRule="auto"/>
        <w:ind w:firstLine="5040" w:firstLineChars="2100"/>
        <w:rPr>
          <w:rFonts w:hint="eastAsia" w:ascii="新宋体" w:hAnsi="新宋体" w:eastAsia="新宋体" w:cs="新宋体"/>
          <w:color w:val="auto"/>
          <w:kern w:val="0"/>
          <w:sz w:val="24"/>
          <w:szCs w:val="24"/>
          <w:lang w:val="zh-CN"/>
        </w:rPr>
      </w:pPr>
    </w:p>
    <w:p w14:paraId="2D9C318F">
      <w:pPr>
        <w:pStyle w:val="5"/>
        <w:rPr>
          <w:rFonts w:hint="eastAsia"/>
          <w:color w:val="auto"/>
          <w:lang w:val="zh-CN"/>
        </w:rPr>
      </w:pPr>
    </w:p>
    <w:p w14:paraId="2265E6BF">
      <w:pPr>
        <w:spacing w:line="336" w:lineRule="auto"/>
        <w:jc w:val="center"/>
        <w:rPr>
          <w:rFonts w:hint="eastAsia" w:ascii="宋体" w:hAnsi="宋体" w:cs="宋体"/>
          <w:color w:val="auto"/>
          <w:sz w:val="24"/>
          <w:highlight w:val="none"/>
        </w:rPr>
      </w:pPr>
      <w:r>
        <w:rPr>
          <w:rFonts w:hint="eastAsia" w:ascii="新宋体" w:hAnsi="新宋体" w:eastAsia="新宋体" w:cs="新宋体"/>
          <w:color w:val="auto"/>
          <w:sz w:val="24"/>
          <w:szCs w:val="24"/>
          <w:lang w:bidi="ar"/>
        </w:rPr>
        <w:t xml:space="preserve">  </w:t>
      </w:r>
      <w:r>
        <w:rPr>
          <w:rFonts w:hint="eastAsia" w:ascii="宋体" w:hAnsi="宋体" w:cs="宋体"/>
          <w:color w:val="auto"/>
          <w:sz w:val="24"/>
          <w:highlight w:val="none"/>
        </w:rPr>
        <w:t>投标人名称（电子签名）：</w:t>
      </w:r>
    </w:p>
    <w:p w14:paraId="1C2F39A8">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2090F4C">
      <w:pPr>
        <w:widowControl/>
        <w:numPr>
          <w:ilvl w:val="0"/>
          <w:numId w:val="0"/>
        </w:numPr>
        <w:wordWrap w:val="0"/>
        <w:jc w:val="left"/>
        <w:rPr>
          <w:rFonts w:hint="eastAsia" w:ascii="新宋体" w:hAnsi="新宋体" w:eastAsia="新宋体" w:cs="新宋体"/>
          <w:color w:val="auto"/>
          <w:sz w:val="24"/>
          <w:szCs w:val="24"/>
        </w:rPr>
      </w:pPr>
    </w:p>
    <w:p w14:paraId="649719B6">
      <w:pPr>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注：此表仅提供了表格形式，投标人可按此表格格式进行扩展。</w:t>
      </w:r>
    </w:p>
    <w:p w14:paraId="1718C24E">
      <w:pPr>
        <w:rPr>
          <w:rFonts w:hint="eastAsia" w:ascii="新宋体" w:hAnsi="新宋体" w:eastAsia="新宋体" w:cs="新宋体"/>
          <w:color w:val="auto"/>
          <w:sz w:val="24"/>
          <w:szCs w:val="24"/>
        </w:rPr>
      </w:pPr>
    </w:p>
    <w:p w14:paraId="7B7210A7">
      <w:pPr>
        <w:rPr>
          <w:rFonts w:hint="eastAsia" w:ascii="新宋体" w:hAnsi="新宋体" w:eastAsia="新宋体" w:cs="新宋体"/>
          <w:color w:val="auto"/>
          <w:sz w:val="24"/>
          <w:szCs w:val="24"/>
        </w:rPr>
      </w:pPr>
    </w:p>
    <w:p w14:paraId="38EE5CB7">
      <w:pPr>
        <w:rPr>
          <w:rFonts w:hint="eastAsia" w:ascii="新宋体" w:hAnsi="新宋体" w:eastAsia="新宋体" w:cs="新宋体"/>
          <w:color w:val="auto"/>
          <w:sz w:val="24"/>
          <w:szCs w:val="24"/>
        </w:rPr>
      </w:pPr>
    </w:p>
    <w:p w14:paraId="6BC7932F">
      <w:pP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br w:type="page"/>
      </w:r>
    </w:p>
    <w:p w14:paraId="4ECD384F">
      <w:pPr>
        <w:pStyle w:val="5"/>
        <w:numPr>
          <w:ilvl w:val="0"/>
          <w:numId w:val="0"/>
        </w:numPr>
        <w:tabs>
          <w:tab w:val="left" w:pos="358"/>
          <w:tab w:val="left" w:pos="420"/>
          <w:tab w:val="clear" w:pos="432"/>
        </w:tabs>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附件</w:t>
      </w:r>
      <w:r>
        <w:rPr>
          <w:rFonts w:hint="eastAsia" w:ascii="新宋体" w:hAnsi="新宋体" w:eastAsia="新宋体" w:cs="新宋体"/>
          <w:b/>
          <w:bCs/>
          <w:color w:val="auto"/>
          <w:sz w:val="24"/>
          <w:szCs w:val="24"/>
          <w:lang w:val="en-US" w:eastAsia="zh-CN"/>
        </w:rPr>
        <w:t>六</w:t>
      </w:r>
      <w:r>
        <w:rPr>
          <w:rFonts w:hint="eastAsia" w:ascii="新宋体" w:hAnsi="新宋体" w:eastAsia="新宋体" w:cs="新宋体"/>
          <w:color w:val="auto"/>
          <w:sz w:val="24"/>
          <w:szCs w:val="24"/>
        </w:rPr>
        <w:t xml:space="preserve">  商务响应表 </w:t>
      </w:r>
    </w:p>
    <w:p w14:paraId="0065C7A6">
      <w:pPr>
        <w:jc w:val="center"/>
        <w:rPr>
          <w:rFonts w:hint="eastAsia" w:ascii="新宋体" w:hAnsi="新宋体" w:eastAsia="新宋体" w:cs="新宋体"/>
          <w:b/>
          <w:bCs/>
          <w:color w:val="auto"/>
          <w:sz w:val="24"/>
          <w:szCs w:val="24"/>
          <w:lang w:val="zh-CN"/>
        </w:rPr>
      </w:pPr>
      <w:r>
        <w:rPr>
          <w:rFonts w:hint="eastAsia" w:ascii="新宋体" w:hAnsi="新宋体" w:eastAsia="新宋体" w:cs="新宋体"/>
          <w:b/>
          <w:bCs/>
          <w:color w:val="auto"/>
          <w:sz w:val="24"/>
          <w:szCs w:val="24"/>
          <w:lang w:val="zh-CN"/>
        </w:rPr>
        <w:t>商务响应表</w:t>
      </w:r>
    </w:p>
    <w:p w14:paraId="7B0A9ABB">
      <w:pPr>
        <w:pStyle w:val="8"/>
        <w:spacing w:line="360" w:lineRule="auto"/>
        <w:ind w:left="0" w:leftChars="0" w:firstLine="0" w:firstLineChars="0"/>
        <w:rPr>
          <w:rFonts w:hint="eastAsia" w:ascii="新宋体" w:hAnsi="新宋体" w:eastAsia="新宋体" w:cs="新宋体"/>
          <w:bCs/>
          <w:color w:val="auto"/>
          <w:sz w:val="24"/>
          <w:szCs w:val="24"/>
        </w:rPr>
      </w:pPr>
    </w:p>
    <w:p w14:paraId="4C57E7F0">
      <w:pPr>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项目名称：</w:t>
      </w:r>
    </w:p>
    <w:p w14:paraId="7EE85D61">
      <w:pPr>
        <w:spacing w:line="360" w:lineRule="auto"/>
        <w:ind w:firstLine="48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编号： </w:t>
      </w:r>
    </w:p>
    <w:tbl>
      <w:tblPr>
        <w:tblStyle w:val="27"/>
        <w:tblW w:w="0" w:type="auto"/>
        <w:tblInd w:w="-1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072"/>
        <w:gridCol w:w="2544"/>
        <w:gridCol w:w="1795"/>
        <w:gridCol w:w="2485"/>
      </w:tblGrid>
      <w:tr w14:paraId="0FB72A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1582A727">
            <w:pPr>
              <w:snapToGrid w:val="0"/>
              <w:spacing w:before="156" w:beforeLines="50"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bidi="ar"/>
              </w:rPr>
              <w:t>项目</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02C94A17">
            <w:pPr>
              <w:snapToGrid w:val="0"/>
              <w:spacing w:before="156" w:beforeLines="50"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bidi="ar"/>
              </w:rPr>
              <w:t>采购文件要求</w:t>
            </w:r>
          </w:p>
        </w:tc>
        <w:tc>
          <w:tcPr>
            <w:tcW w:w="1795" w:type="dxa"/>
            <w:tcBorders>
              <w:top w:val="single" w:color="auto" w:sz="4" w:space="0"/>
              <w:left w:val="single" w:color="auto" w:sz="4" w:space="0"/>
              <w:bottom w:val="single" w:color="auto" w:sz="4" w:space="0"/>
              <w:right w:val="single" w:color="auto" w:sz="4" w:space="0"/>
            </w:tcBorders>
            <w:noWrap w:val="0"/>
            <w:vAlign w:val="center"/>
          </w:tcPr>
          <w:p w14:paraId="7F0104C1">
            <w:pPr>
              <w:snapToGrid w:val="0"/>
              <w:spacing w:before="156" w:beforeLines="50"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bidi="ar"/>
              </w:rPr>
              <w:t>是否响应</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094132D">
            <w:pPr>
              <w:snapToGrid w:val="0"/>
              <w:spacing w:before="156" w:beforeLines="50"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bidi="ar"/>
              </w:rPr>
              <w:t>投标人的承诺或说明</w:t>
            </w:r>
          </w:p>
        </w:tc>
      </w:tr>
      <w:tr w14:paraId="6152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3523C0DB">
            <w:pPr>
              <w:spacing w:line="360" w:lineRule="auto"/>
              <w:jc w:val="center"/>
              <w:rPr>
                <w:rFonts w:hint="eastAsia" w:ascii="新宋体" w:hAnsi="新宋体" w:eastAsia="新宋体" w:cs="新宋体"/>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4710039F">
            <w:pPr>
              <w:snapToGrid w:val="0"/>
              <w:spacing w:before="156" w:beforeLines="50" w:line="360" w:lineRule="auto"/>
              <w:jc w:val="center"/>
              <w:rPr>
                <w:rFonts w:hint="eastAsia" w:ascii="新宋体" w:hAnsi="新宋体" w:eastAsia="新宋体" w:cs="新宋体"/>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10ABC0B4">
            <w:pPr>
              <w:snapToGrid w:val="0"/>
              <w:spacing w:before="156" w:beforeLines="50" w:line="360" w:lineRule="auto"/>
              <w:ind w:left="43"/>
              <w:jc w:val="center"/>
              <w:rPr>
                <w:rFonts w:hint="eastAsia" w:ascii="新宋体" w:hAnsi="新宋体" w:eastAsia="新宋体" w:cs="新宋体"/>
                <w:color w:val="auto"/>
                <w:sz w:val="24"/>
                <w:szCs w:val="24"/>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4690EDD9">
            <w:pPr>
              <w:snapToGrid w:val="0"/>
              <w:spacing w:before="156" w:beforeLines="50" w:line="360" w:lineRule="auto"/>
              <w:ind w:left="43"/>
              <w:jc w:val="center"/>
              <w:rPr>
                <w:rFonts w:hint="eastAsia" w:ascii="新宋体" w:hAnsi="新宋体" w:eastAsia="新宋体" w:cs="新宋体"/>
                <w:color w:val="auto"/>
                <w:sz w:val="24"/>
                <w:szCs w:val="24"/>
              </w:rPr>
            </w:pPr>
          </w:p>
        </w:tc>
      </w:tr>
      <w:tr w14:paraId="18C488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48A4DD06">
            <w:pPr>
              <w:spacing w:line="400" w:lineRule="exact"/>
              <w:jc w:val="center"/>
              <w:rPr>
                <w:rFonts w:hint="eastAsia" w:ascii="新宋体" w:hAnsi="新宋体" w:eastAsia="新宋体" w:cs="新宋体"/>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16AFDD1D">
            <w:pPr>
              <w:snapToGrid w:val="0"/>
              <w:spacing w:before="156" w:beforeLines="50" w:line="360" w:lineRule="auto"/>
              <w:jc w:val="center"/>
              <w:rPr>
                <w:rFonts w:hint="eastAsia" w:ascii="新宋体" w:hAnsi="新宋体" w:eastAsia="新宋体" w:cs="新宋体"/>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379236AA">
            <w:pPr>
              <w:snapToGrid w:val="0"/>
              <w:spacing w:before="156" w:beforeLines="50" w:line="360" w:lineRule="auto"/>
              <w:jc w:val="center"/>
              <w:rPr>
                <w:rFonts w:hint="eastAsia" w:ascii="新宋体" w:hAnsi="新宋体" w:eastAsia="新宋体" w:cs="新宋体"/>
                <w:color w:val="auto"/>
                <w:sz w:val="24"/>
                <w:szCs w:val="24"/>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7F767E3C">
            <w:pPr>
              <w:snapToGrid w:val="0"/>
              <w:spacing w:before="156" w:beforeLines="50" w:line="360" w:lineRule="auto"/>
              <w:jc w:val="center"/>
              <w:rPr>
                <w:rFonts w:hint="eastAsia" w:ascii="新宋体" w:hAnsi="新宋体" w:eastAsia="新宋体" w:cs="新宋体"/>
                <w:color w:val="auto"/>
                <w:sz w:val="24"/>
                <w:szCs w:val="24"/>
              </w:rPr>
            </w:pPr>
          </w:p>
        </w:tc>
      </w:tr>
      <w:tr w14:paraId="12C1CF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trPr>
        <w:tc>
          <w:tcPr>
            <w:tcW w:w="2072" w:type="dxa"/>
            <w:tcBorders>
              <w:top w:val="single" w:color="auto" w:sz="4" w:space="0"/>
              <w:left w:val="single" w:color="auto" w:sz="4" w:space="0"/>
              <w:bottom w:val="single" w:color="auto" w:sz="4" w:space="0"/>
              <w:right w:val="single" w:color="auto" w:sz="4" w:space="0"/>
            </w:tcBorders>
            <w:noWrap w:val="0"/>
            <w:vAlign w:val="center"/>
          </w:tcPr>
          <w:p w14:paraId="0F0BD766">
            <w:pPr>
              <w:spacing w:line="360" w:lineRule="auto"/>
              <w:jc w:val="center"/>
              <w:rPr>
                <w:rFonts w:hint="eastAsia" w:ascii="新宋体" w:hAnsi="新宋体" w:eastAsia="新宋体" w:cs="新宋体"/>
                <w:color w:val="auto"/>
                <w:sz w:val="24"/>
                <w:szCs w:val="24"/>
              </w:rPr>
            </w:pPr>
          </w:p>
        </w:tc>
        <w:tc>
          <w:tcPr>
            <w:tcW w:w="2544" w:type="dxa"/>
            <w:tcBorders>
              <w:top w:val="single" w:color="auto" w:sz="4" w:space="0"/>
              <w:left w:val="single" w:color="auto" w:sz="4" w:space="0"/>
              <w:bottom w:val="single" w:color="auto" w:sz="4" w:space="0"/>
              <w:right w:val="single" w:color="auto" w:sz="4" w:space="0"/>
            </w:tcBorders>
            <w:noWrap w:val="0"/>
            <w:vAlign w:val="center"/>
          </w:tcPr>
          <w:p w14:paraId="33DF3F77">
            <w:pPr>
              <w:snapToGrid w:val="0"/>
              <w:spacing w:before="156" w:beforeLines="50" w:line="360" w:lineRule="auto"/>
              <w:jc w:val="center"/>
              <w:rPr>
                <w:rFonts w:hint="eastAsia" w:ascii="新宋体" w:hAnsi="新宋体" w:eastAsia="新宋体" w:cs="新宋体"/>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24960B4B">
            <w:pPr>
              <w:snapToGrid w:val="0"/>
              <w:spacing w:before="156" w:beforeLines="50" w:line="360" w:lineRule="auto"/>
              <w:jc w:val="center"/>
              <w:rPr>
                <w:rFonts w:hint="eastAsia" w:ascii="新宋体" w:hAnsi="新宋体" w:eastAsia="新宋体" w:cs="新宋体"/>
                <w:color w:val="auto"/>
                <w:sz w:val="24"/>
                <w:szCs w:val="24"/>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12B2340D">
            <w:pPr>
              <w:snapToGrid w:val="0"/>
              <w:spacing w:before="156" w:beforeLines="50" w:line="360" w:lineRule="auto"/>
              <w:jc w:val="center"/>
              <w:rPr>
                <w:rFonts w:hint="eastAsia" w:ascii="新宋体" w:hAnsi="新宋体" w:eastAsia="新宋体" w:cs="新宋体"/>
                <w:color w:val="auto"/>
                <w:sz w:val="24"/>
                <w:szCs w:val="24"/>
              </w:rPr>
            </w:pPr>
          </w:p>
        </w:tc>
      </w:tr>
      <w:tr w14:paraId="413A64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072" w:type="dxa"/>
            <w:tcBorders>
              <w:top w:val="single" w:color="auto" w:sz="4" w:space="0"/>
              <w:left w:val="single" w:color="auto" w:sz="4" w:space="0"/>
              <w:bottom w:val="single" w:color="auto" w:sz="4" w:space="0"/>
              <w:right w:val="single" w:color="auto" w:sz="4" w:space="0"/>
            </w:tcBorders>
            <w:noWrap w:val="0"/>
            <w:vAlign w:val="center"/>
          </w:tcPr>
          <w:p w14:paraId="76AF9ECD">
            <w:pPr>
              <w:snapToGrid w:val="0"/>
              <w:spacing w:before="156" w:beforeLines="50"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w:t>
            </w:r>
          </w:p>
        </w:tc>
        <w:tc>
          <w:tcPr>
            <w:tcW w:w="2544" w:type="dxa"/>
            <w:tcBorders>
              <w:top w:val="single" w:color="auto" w:sz="4" w:space="0"/>
              <w:left w:val="single" w:color="auto" w:sz="4" w:space="0"/>
              <w:bottom w:val="single" w:color="auto" w:sz="4" w:space="0"/>
              <w:right w:val="single" w:color="auto" w:sz="4" w:space="0"/>
            </w:tcBorders>
            <w:noWrap w:val="0"/>
            <w:vAlign w:val="center"/>
          </w:tcPr>
          <w:p w14:paraId="55AE1798">
            <w:pPr>
              <w:snapToGrid w:val="0"/>
              <w:spacing w:before="156" w:beforeLines="50" w:line="360" w:lineRule="auto"/>
              <w:jc w:val="center"/>
              <w:rPr>
                <w:rFonts w:hint="eastAsia" w:ascii="新宋体" w:hAnsi="新宋体" w:eastAsia="新宋体" w:cs="新宋体"/>
                <w:color w:val="auto"/>
                <w:sz w:val="24"/>
                <w:szCs w:val="24"/>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14:paraId="4D5410E6">
            <w:pPr>
              <w:snapToGrid w:val="0"/>
              <w:spacing w:before="156" w:beforeLines="50" w:line="360" w:lineRule="auto"/>
              <w:jc w:val="center"/>
              <w:rPr>
                <w:rFonts w:hint="eastAsia" w:ascii="新宋体" w:hAnsi="新宋体" w:eastAsia="新宋体" w:cs="新宋体"/>
                <w:color w:val="auto"/>
                <w:sz w:val="24"/>
                <w:szCs w:val="24"/>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14:paraId="2D417A23">
            <w:pPr>
              <w:snapToGrid w:val="0"/>
              <w:spacing w:before="156" w:beforeLines="50" w:line="360" w:lineRule="auto"/>
              <w:jc w:val="center"/>
              <w:rPr>
                <w:rFonts w:hint="eastAsia" w:ascii="新宋体" w:hAnsi="新宋体" w:eastAsia="新宋体" w:cs="新宋体"/>
                <w:color w:val="auto"/>
                <w:sz w:val="24"/>
                <w:szCs w:val="24"/>
              </w:rPr>
            </w:pPr>
          </w:p>
        </w:tc>
      </w:tr>
    </w:tbl>
    <w:p w14:paraId="6EAA48A7">
      <w:pPr>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注：此表仅提供了表格形式，由</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根据采购需求及采购文件要求编制。</w:t>
      </w:r>
    </w:p>
    <w:p w14:paraId="1938EC52">
      <w:pPr>
        <w:pStyle w:val="9"/>
        <w:spacing w:line="360" w:lineRule="auto"/>
        <w:rPr>
          <w:rFonts w:hint="eastAsia" w:ascii="新宋体" w:hAnsi="新宋体" w:eastAsia="新宋体" w:cs="新宋体"/>
          <w:color w:val="auto"/>
          <w:sz w:val="24"/>
          <w:szCs w:val="24"/>
        </w:rPr>
      </w:pPr>
    </w:p>
    <w:p w14:paraId="6992F15B">
      <w:pPr>
        <w:snapToGrid w:val="0"/>
        <w:spacing w:before="156" w:beforeLines="50" w:line="360" w:lineRule="auto"/>
        <w:rPr>
          <w:rFonts w:hint="eastAsia" w:ascii="新宋体" w:hAnsi="新宋体" w:eastAsia="新宋体" w:cs="新宋体"/>
          <w:color w:val="auto"/>
          <w:sz w:val="24"/>
          <w:szCs w:val="24"/>
        </w:rPr>
      </w:pPr>
    </w:p>
    <w:p w14:paraId="78715781">
      <w:pPr>
        <w:autoSpaceDE w:val="0"/>
        <w:autoSpaceDN w:val="0"/>
        <w:adjustRightInd w:val="0"/>
        <w:spacing w:line="360" w:lineRule="auto"/>
        <w:rPr>
          <w:rFonts w:hint="eastAsia" w:ascii="新宋体" w:hAnsi="新宋体" w:eastAsia="新宋体" w:cs="新宋体"/>
          <w:color w:val="auto"/>
          <w:sz w:val="24"/>
          <w:szCs w:val="24"/>
        </w:rPr>
      </w:pPr>
    </w:p>
    <w:p w14:paraId="68DE5E86">
      <w:pPr>
        <w:adjustRightInd w:val="0"/>
        <w:snapToGrid w:val="0"/>
        <w:spacing w:line="360" w:lineRule="auto"/>
        <w:textAlignment w:val="baseline"/>
        <w:rPr>
          <w:rFonts w:hint="eastAsia" w:ascii="新宋体" w:hAnsi="新宋体" w:eastAsia="新宋体" w:cs="新宋体"/>
          <w:color w:val="auto"/>
          <w:kern w:val="0"/>
          <w:sz w:val="24"/>
          <w:szCs w:val="24"/>
          <w:lang w:val="zh-CN"/>
        </w:rPr>
      </w:pPr>
    </w:p>
    <w:p w14:paraId="15C9B73B">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092D0D72">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7B349E6D">
      <w:pPr>
        <w:jc w:val="both"/>
        <w:rPr>
          <w:rFonts w:hint="eastAsia" w:ascii="新宋体" w:hAnsi="新宋体" w:eastAsia="新宋体" w:cs="新宋体"/>
          <w:b/>
          <w:bCs/>
          <w:color w:val="auto"/>
          <w:sz w:val="24"/>
          <w:highlight w:val="none"/>
          <w:lang w:val="zh-CN"/>
        </w:rPr>
      </w:pPr>
      <w:r>
        <w:rPr>
          <w:rFonts w:hint="eastAsia" w:ascii="新宋体" w:hAnsi="新宋体" w:eastAsia="新宋体" w:cs="新宋体"/>
          <w:color w:val="auto"/>
          <w:sz w:val="24"/>
          <w:szCs w:val="24"/>
          <w:shd w:val="clear" w:color="FFFFFF" w:fill="D9D9D9"/>
        </w:rPr>
        <w:br w:type="page"/>
      </w:r>
      <w:r>
        <w:rPr>
          <w:rFonts w:hint="eastAsia" w:ascii="宋体" w:hAnsi="宋体" w:cs="Times New Roman"/>
          <w:b/>
          <w:bCs/>
          <w:color w:val="auto"/>
          <w:sz w:val="24"/>
          <w:szCs w:val="24"/>
          <w:lang w:eastAsia="zh-CN"/>
        </w:rPr>
        <w:t>附件</w:t>
      </w:r>
      <w:r>
        <w:rPr>
          <w:rFonts w:hint="eastAsia" w:ascii="宋体" w:hAnsi="宋体" w:cs="Times New Roman"/>
          <w:b/>
          <w:bCs/>
          <w:color w:val="auto"/>
          <w:sz w:val="24"/>
          <w:szCs w:val="24"/>
          <w:lang w:val="en-US" w:eastAsia="zh-CN"/>
        </w:rPr>
        <w:t>七</w:t>
      </w:r>
      <w:r>
        <w:rPr>
          <w:rFonts w:hint="eastAsia" w:ascii="宋体" w:hAnsi="宋体" w:cs="Times New Roman"/>
          <w:b/>
          <w:bCs/>
          <w:color w:val="auto"/>
          <w:sz w:val="24"/>
          <w:szCs w:val="24"/>
          <w:lang w:eastAsia="zh-CN"/>
        </w:rPr>
        <w:t xml:space="preserve"> </w:t>
      </w:r>
      <w:r>
        <w:rPr>
          <w:rFonts w:hint="eastAsia" w:ascii="新宋体" w:hAnsi="新宋体" w:eastAsia="新宋体" w:cs="新宋体"/>
          <w:b/>
          <w:color w:val="auto"/>
          <w:sz w:val="24"/>
          <w:szCs w:val="24"/>
          <w:lang w:val="en-US" w:eastAsia="zh-CN"/>
        </w:rPr>
        <w:t xml:space="preserve">  </w:t>
      </w:r>
      <w:r>
        <w:rPr>
          <w:rFonts w:hint="eastAsia" w:ascii="新宋体" w:hAnsi="新宋体" w:eastAsia="新宋体" w:cs="新宋体"/>
          <w:b/>
          <w:bCs/>
          <w:color w:val="auto"/>
          <w:sz w:val="24"/>
          <w:highlight w:val="none"/>
          <w:lang w:val="zh-CN"/>
        </w:rPr>
        <w:t>项目业绩一览表</w:t>
      </w:r>
    </w:p>
    <w:p w14:paraId="773EB848">
      <w:pPr>
        <w:pStyle w:val="33"/>
        <w:rPr>
          <w:rFonts w:hint="eastAsia" w:ascii="新宋体" w:hAnsi="新宋体" w:eastAsia="新宋体" w:cs="新宋体"/>
          <w:b/>
          <w:bCs/>
          <w:color w:val="auto"/>
          <w:sz w:val="24"/>
          <w:highlight w:val="none"/>
          <w:lang w:val="zh-CN"/>
        </w:rPr>
      </w:pPr>
    </w:p>
    <w:p w14:paraId="2CAEB25C">
      <w:pPr>
        <w:pStyle w:val="33"/>
        <w:jc w:val="center"/>
        <w:rPr>
          <w:color w:val="auto"/>
          <w:highlight w:val="none"/>
          <w:lang w:val="zh-CN"/>
        </w:rPr>
      </w:pPr>
      <w:r>
        <w:rPr>
          <w:rFonts w:hint="eastAsia" w:ascii="新宋体" w:hAnsi="新宋体" w:eastAsia="新宋体" w:cs="新宋体"/>
          <w:b/>
          <w:bCs/>
          <w:color w:val="auto"/>
          <w:sz w:val="24"/>
          <w:highlight w:val="none"/>
          <w:lang w:val="zh-CN"/>
        </w:rPr>
        <w:t>项目业绩一览表</w:t>
      </w:r>
    </w:p>
    <w:p w14:paraId="5F386DC8">
      <w:pPr>
        <w:pStyle w:val="34"/>
        <w:rPr>
          <w:color w:val="auto"/>
          <w:highlight w:val="none"/>
          <w:lang w:val="zh-CN"/>
        </w:rPr>
      </w:pPr>
    </w:p>
    <w:p w14:paraId="07DEDF56">
      <w:pPr>
        <w:rPr>
          <w:color w:val="auto"/>
          <w:lang w:val="zh-CN"/>
        </w:rPr>
      </w:pPr>
    </w:p>
    <w:tbl>
      <w:tblPr>
        <w:tblStyle w:val="27"/>
        <w:tblW w:w="8641" w:type="dxa"/>
        <w:tblInd w:w="108" w:type="dxa"/>
        <w:tblLayout w:type="fixed"/>
        <w:tblCellMar>
          <w:top w:w="0" w:type="dxa"/>
          <w:left w:w="108" w:type="dxa"/>
          <w:bottom w:w="0" w:type="dxa"/>
          <w:right w:w="108" w:type="dxa"/>
        </w:tblCellMar>
      </w:tblPr>
      <w:tblGrid>
        <w:gridCol w:w="1928"/>
        <w:gridCol w:w="1338"/>
        <w:gridCol w:w="1337"/>
        <w:gridCol w:w="1325"/>
        <w:gridCol w:w="1963"/>
        <w:gridCol w:w="750"/>
      </w:tblGrid>
      <w:tr w14:paraId="2BC8B252">
        <w:tblPrEx>
          <w:tblCellMar>
            <w:top w:w="0" w:type="dxa"/>
            <w:left w:w="108" w:type="dxa"/>
            <w:bottom w:w="0" w:type="dxa"/>
            <w:right w:w="108" w:type="dxa"/>
          </w:tblCellMar>
        </w:tblPrEx>
        <w:trPr>
          <w:trHeight w:val="1201" w:hRule="atLeast"/>
        </w:trPr>
        <w:tc>
          <w:tcPr>
            <w:tcW w:w="1928" w:type="dxa"/>
            <w:tcBorders>
              <w:top w:val="single" w:color="auto" w:sz="6" w:space="0"/>
              <w:left w:val="single" w:color="auto" w:sz="6" w:space="0"/>
              <w:bottom w:val="single" w:color="auto" w:sz="6" w:space="0"/>
              <w:right w:val="single" w:color="auto" w:sz="6" w:space="0"/>
            </w:tcBorders>
            <w:vAlign w:val="center"/>
          </w:tcPr>
          <w:p w14:paraId="44FD498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338" w:type="dxa"/>
            <w:tcBorders>
              <w:top w:val="single" w:color="auto" w:sz="6" w:space="0"/>
              <w:left w:val="single" w:color="auto" w:sz="6" w:space="0"/>
              <w:bottom w:val="single" w:color="auto" w:sz="6" w:space="0"/>
              <w:right w:val="single" w:color="auto" w:sz="6" w:space="0"/>
            </w:tcBorders>
            <w:vAlign w:val="center"/>
          </w:tcPr>
          <w:p w14:paraId="40CD6BC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简要描述</w:t>
            </w:r>
          </w:p>
        </w:tc>
        <w:tc>
          <w:tcPr>
            <w:tcW w:w="1337" w:type="dxa"/>
            <w:tcBorders>
              <w:top w:val="single" w:color="auto" w:sz="6" w:space="0"/>
              <w:left w:val="single" w:color="auto" w:sz="6" w:space="0"/>
              <w:bottom w:val="single" w:color="auto" w:sz="6" w:space="0"/>
              <w:right w:val="single" w:color="auto" w:sz="6" w:space="0"/>
            </w:tcBorders>
            <w:vAlign w:val="center"/>
          </w:tcPr>
          <w:p w14:paraId="23AC4719">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23305E7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11A44FDA">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1325" w:type="dxa"/>
            <w:tcBorders>
              <w:top w:val="single" w:color="auto" w:sz="6" w:space="0"/>
              <w:left w:val="single" w:color="auto" w:sz="6" w:space="0"/>
              <w:bottom w:val="single" w:color="auto" w:sz="6" w:space="0"/>
              <w:right w:val="single" w:color="auto" w:sz="6" w:space="0"/>
            </w:tcBorders>
            <w:vAlign w:val="center"/>
          </w:tcPr>
          <w:p w14:paraId="67980B2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开完（竣）工日期</w:t>
            </w:r>
          </w:p>
        </w:tc>
        <w:tc>
          <w:tcPr>
            <w:tcW w:w="1963" w:type="dxa"/>
            <w:tcBorders>
              <w:top w:val="single" w:color="auto" w:sz="6" w:space="0"/>
              <w:left w:val="single" w:color="auto" w:sz="6" w:space="0"/>
              <w:bottom w:val="single" w:color="auto" w:sz="6" w:space="0"/>
              <w:right w:val="single" w:color="auto" w:sz="6" w:space="0"/>
            </w:tcBorders>
            <w:vAlign w:val="center"/>
          </w:tcPr>
          <w:p w14:paraId="4EF0B06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项目地址与采购单位联系电话</w:t>
            </w:r>
          </w:p>
        </w:tc>
        <w:tc>
          <w:tcPr>
            <w:tcW w:w="750" w:type="dxa"/>
            <w:tcBorders>
              <w:top w:val="single" w:color="auto" w:sz="6" w:space="0"/>
              <w:left w:val="single" w:color="auto" w:sz="6" w:space="0"/>
              <w:bottom w:val="single" w:color="auto" w:sz="6" w:space="0"/>
              <w:right w:val="single" w:color="auto" w:sz="6" w:space="0"/>
            </w:tcBorders>
            <w:vAlign w:val="center"/>
          </w:tcPr>
          <w:p w14:paraId="02AC6C7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CD87207">
        <w:tblPrEx>
          <w:tblCellMar>
            <w:top w:w="0" w:type="dxa"/>
            <w:left w:w="108" w:type="dxa"/>
            <w:bottom w:w="0" w:type="dxa"/>
            <w:right w:w="108" w:type="dxa"/>
          </w:tblCellMar>
        </w:tblPrEx>
        <w:trPr>
          <w:trHeight w:val="672" w:hRule="atLeast"/>
        </w:trPr>
        <w:tc>
          <w:tcPr>
            <w:tcW w:w="1928" w:type="dxa"/>
            <w:tcBorders>
              <w:top w:val="single" w:color="auto" w:sz="6" w:space="0"/>
              <w:left w:val="single" w:color="auto" w:sz="6" w:space="0"/>
              <w:bottom w:val="single" w:color="auto" w:sz="6" w:space="0"/>
              <w:right w:val="single" w:color="auto" w:sz="6" w:space="0"/>
            </w:tcBorders>
            <w:vAlign w:val="center"/>
          </w:tcPr>
          <w:p w14:paraId="4D6DBF05">
            <w:pPr>
              <w:autoSpaceDE w:val="0"/>
              <w:autoSpaceDN w:val="0"/>
              <w:spacing w:line="360" w:lineRule="auto"/>
              <w:jc w:val="center"/>
              <w:rPr>
                <w:rFonts w:hint="eastAsia" w:ascii="宋体" w:hAnsi="宋体" w:cs="宋体"/>
                <w:color w:val="auto"/>
                <w:sz w:val="24"/>
                <w:highlight w:val="none"/>
              </w:rPr>
            </w:pPr>
          </w:p>
        </w:tc>
        <w:tc>
          <w:tcPr>
            <w:tcW w:w="1338" w:type="dxa"/>
            <w:tcBorders>
              <w:top w:val="single" w:color="auto" w:sz="6" w:space="0"/>
              <w:left w:val="single" w:color="auto" w:sz="6" w:space="0"/>
              <w:bottom w:val="single" w:color="auto" w:sz="6" w:space="0"/>
              <w:right w:val="single" w:color="auto" w:sz="6" w:space="0"/>
            </w:tcBorders>
            <w:vAlign w:val="center"/>
          </w:tcPr>
          <w:p w14:paraId="45C9ACE7">
            <w:pPr>
              <w:autoSpaceDE w:val="0"/>
              <w:autoSpaceDN w:val="0"/>
              <w:spacing w:line="360" w:lineRule="auto"/>
              <w:jc w:val="center"/>
              <w:rPr>
                <w:rFonts w:hint="eastAsia" w:ascii="宋体" w:hAnsi="宋体" w:cs="宋体"/>
                <w:color w:val="auto"/>
                <w:sz w:val="24"/>
                <w:highlight w:val="none"/>
              </w:rPr>
            </w:pPr>
          </w:p>
        </w:tc>
        <w:tc>
          <w:tcPr>
            <w:tcW w:w="1337" w:type="dxa"/>
            <w:tcBorders>
              <w:top w:val="single" w:color="auto" w:sz="6" w:space="0"/>
              <w:left w:val="single" w:color="auto" w:sz="6" w:space="0"/>
              <w:bottom w:val="single" w:color="auto" w:sz="6" w:space="0"/>
              <w:right w:val="single" w:color="auto" w:sz="6" w:space="0"/>
            </w:tcBorders>
            <w:vAlign w:val="center"/>
          </w:tcPr>
          <w:p w14:paraId="64FAECA3">
            <w:pPr>
              <w:autoSpaceDE w:val="0"/>
              <w:autoSpaceDN w:val="0"/>
              <w:spacing w:line="360" w:lineRule="auto"/>
              <w:jc w:val="center"/>
              <w:rPr>
                <w:rFonts w:hint="eastAsia" w:ascii="宋体" w:hAnsi="宋体" w:cs="宋体"/>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vAlign w:val="center"/>
          </w:tcPr>
          <w:p w14:paraId="09551770">
            <w:pPr>
              <w:autoSpaceDE w:val="0"/>
              <w:autoSpaceDN w:val="0"/>
              <w:spacing w:line="360" w:lineRule="auto"/>
              <w:jc w:val="center"/>
              <w:rPr>
                <w:rFonts w:hint="eastAsia" w:ascii="宋体" w:hAnsi="宋体" w:cs="宋体"/>
                <w:color w:val="auto"/>
                <w:sz w:val="24"/>
                <w:highlight w:val="none"/>
              </w:rPr>
            </w:pPr>
          </w:p>
        </w:tc>
        <w:tc>
          <w:tcPr>
            <w:tcW w:w="1963" w:type="dxa"/>
            <w:tcBorders>
              <w:top w:val="single" w:color="auto" w:sz="6" w:space="0"/>
              <w:left w:val="single" w:color="auto" w:sz="6" w:space="0"/>
              <w:bottom w:val="single" w:color="auto" w:sz="6" w:space="0"/>
              <w:right w:val="single" w:color="auto" w:sz="6" w:space="0"/>
            </w:tcBorders>
            <w:vAlign w:val="center"/>
          </w:tcPr>
          <w:p w14:paraId="2070DE95">
            <w:pPr>
              <w:autoSpaceDE w:val="0"/>
              <w:autoSpaceDN w:val="0"/>
              <w:spacing w:line="360" w:lineRule="auto"/>
              <w:jc w:val="center"/>
              <w:rPr>
                <w:rFonts w:hint="eastAsia" w:ascii="宋体" w:hAnsi="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vAlign w:val="center"/>
          </w:tcPr>
          <w:p w14:paraId="2517CB21">
            <w:pPr>
              <w:autoSpaceDE w:val="0"/>
              <w:autoSpaceDN w:val="0"/>
              <w:spacing w:line="360" w:lineRule="auto"/>
              <w:jc w:val="center"/>
              <w:rPr>
                <w:rFonts w:hint="eastAsia" w:ascii="宋体" w:hAnsi="宋体" w:cs="宋体"/>
                <w:color w:val="auto"/>
                <w:sz w:val="24"/>
                <w:highlight w:val="none"/>
              </w:rPr>
            </w:pPr>
          </w:p>
        </w:tc>
      </w:tr>
      <w:tr w14:paraId="3D94AC0A">
        <w:tblPrEx>
          <w:tblCellMar>
            <w:top w:w="0" w:type="dxa"/>
            <w:left w:w="108" w:type="dxa"/>
            <w:bottom w:w="0" w:type="dxa"/>
            <w:right w:w="108" w:type="dxa"/>
          </w:tblCellMar>
        </w:tblPrEx>
        <w:trPr>
          <w:trHeight w:val="711" w:hRule="atLeast"/>
        </w:trPr>
        <w:tc>
          <w:tcPr>
            <w:tcW w:w="1928" w:type="dxa"/>
            <w:tcBorders>
              <w:top w:val="single" w:color="auto" w:sz="6" w:space="0"/>
              <w:left w:val="single" w:color="auto" w:sz="6" w:space="0"/>
              <w:bottom w:val="single" w:color="auto" w:sz="6" w:space="0"/>
              <w:right w:val="single" w:color="auto" w:sz="6" w:space="0"/>
            </w:tcBorders>
            <w:vAlign w:val="center"/>
          </w:tcPr>
          <w:p w14:paraId="369B437F">
            <w:pPr>
              <w:autoSpaceDE w:val="0"/>
              <w:autoSpaceDN w:val="0"/>
              <w:spacing w:line="360" w:lineRule="auto"/>
              <w:jc w:val="center"/>
              <w:rPr>
                <w:rFonts w:hint="eastAsia" w:ascii="宋体" w:hAnsi="宋体" w:cs="宋体"/>
                <w:color w:val="auto"/>
                <w:sz w:val="24"/>
                <w:highlight w:val="none"/>
              </w:rPr>
            </w:pPr>
          </w:p>
        </w:tc>
        <w:tc>
          <w:tcPr>
            <w:tcW w:w="1338" w:type="dxa"/>
            <w:tcBorders>
              <w:top w:val="single" w:color="auto" w:sz="6" w:space="0"/>
              <w:left w:val="single" w:color="auto" w:sz="6" w:space="0"/>
              <w:bottom w:val="single" w:color="auto" w:sz="6" w:space="0"/>
              <w:right w:val="single" w:color="auto" w:sz="6" w:space="0"/>
            </w:tcBorders>
            <w:vAlign w:val="center"/>
          </w:tcPr>
          <w:p w14:paraId="2BEDDEA0">
            <w:pPr>
              <w:autoSpaceDE w:val="0"/>
              <w:autoSpaceDN w:val="0"/>
              <w:spacing w:line="360" w:lineRule="auto"/>
              <w:jc w:val="center"/>
              <w:rPr>
                <w:rFonts w:hint="eastAsia" w:ascii="宋体" w:hAnsi="宋体" w:cs="宋体"/>
                <w:color w:val="auto"/>
                <w:sz w:val="24"/>
                <w:highlight w:val="none"/>
              </w:rPr>
            </w:pPr>
          </w:p>
        </w:tc>
        <w:tc>
          <w:tcPr>
            <w:tcW w:w="1337" w:type="dxa"/>
            <w:tcBorders>
              <w:top w:val="single" w:color="auto" w:sz="6" w:space="0"/>
              <w:left w:val="single" w:color="auto" w:sz="6" w:space="0"/>
              <w:bottom w:val="single" w:color="auto" w:sz="6" w:space="0"/>
              <w:right w:val="single" w:color="auto" w:sz="6" w:space="0"/>
            </w:tcBorders>
            <w:vAlign w:val="center"/>
          </w:tcPr>
          <w:p w14:paraId="5F827AB6">
            <w:pPr>
              <w:autoSpaceDE w:val="0"/>
              <w:autoSpaceDN w:val="0"/>
              <w:spacing w:line="360" w:lineRule="auto"/>
              <w:jc w:val="center"/>
              <w:rPr>
                <w:rFonts w:hint="eastAsia" w:ascii="宋体" w:hAnsi="宋体" w:cs="宋体"/>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vAlign w:val="center"/>
          </w:tcPr>
          <w:p w14:paraId="2BAA891C">
            <w:pPr>
              <w:autoSpaceDE w:val="0"/>
              <w:autoSpaceDN w:val="0"/>
              <w:spacing w:line="360" w:lineRule="auto"/>
              <w:jc w:val="center"/>
              <w:rPr>
                <w:rFonts w:hint="eastAsia" w:ascii="宋体" w:hAnsi="宋体" w:cs="宋体"/>
                <w:color w:val="auto"/>
                <w:sz w:val="24"/>
                <w:highlight w:val="none"/>
              </w:rPr>
            </w:pPr>
          </w:p>
        </w:tc>
        <w:tc>
          <w:tcPr>
            <w:tcW w:w="1963" w:type="dxa"/>
            <w:tcBorders>
              <w:top w:val="single" w:color="auto" w:sz="6" w:space="0"/>
              <w:left w:val="single" w:color="auto" w:sz="6" w:space="0"/>
              <w:bottom w:val="single" w:color="auto" w:sz="6" w:space="0"/>
              <w:right w:val="single" w:color="auto" w:sz="6" w:space="0"/>
            </w:tcBorders>
            <w:vAlign w:val="center"/>
          </w:tcPr>
          <w:p w14:paraId="485ACDB7">
            <w:pPr>
              <w:autoSpaceDE w:val="0"/>
              <w:autoSpaceDN w:val="0"/>
              <w:spacing w:line="360" w:lineRule="auto"/>
              <w:jc w:val="center"/>
              <w:rPr>
                <w:rFonts w:hint="eastAsia" w:ascii="宋体" w:hAnsi="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vAlign w:val="center"/>
          </w:tcPr>
          <w:p w14:paraId="5E92B773">
            <w:pPr>
              <w:autoSpaceDE w:val="0"/>
              <w:autoSpaceDN w:val="0"/>
              <w:spacing w:line="360" w:lineRule="auto"/>
              <w:jc w:val="center"/>
              <w:rPr>
                <w:rFonts w:hint="eastAsia" w:ascii="宋体" w:hAnsi="宋体" w:cs="宋体"/>
                <w:color w:val="auto"/>
                <w:sz w:val="24"/>
                <w:highlight w:val="none"/>
              </w:rPr>
            </w:pPr>
          </w:p>
        </w:tc>
      </w:tr>
      <w:tr w14:paraId="34C1C00C">
        <w:tblPrEx>
          <w:tblCellMar>
            <w:top w:w="0" w:type="dxa"/>
            <w:left w:w="108" w:type="dxa"/>
            <w:bottom w:w="0" w:type="dxa"/>
            <w:right w:w="108" w:type="dxa"/>
          </w:tblCellMar>
        </w:tblPrEx>
        <w:trPr>
          <w:trHeight w:val="707" w:hRule="atLeast"/>
        </w:trPr>
        <w:tc>
          <w:tcPr>
            <w:tcW w:w="1928" w:type="dxa"/>
            <w:tcBorders>
              <w:top w:val="single" w:color="auto" w:sz="6" w:space="0"/>
              <w:left w:val="single" w:color="auto" w:sz="6" w:space="0"/>
              <w:bottom w:val="single" w:color="auto" w:sz="6" w:space="0"/>
              <w:right w:val="single" w:color="auto" w:sz="6" w:space="0"/>
            </w:tcBorders>
            <w:vAlign w:val="center"/>
          </w:tcPr>
          <w:p w14:paraId="0B98DFBE">
            <w:pPr>
              <w:autoSpaceDE w:val="0"/>
              <w:autoSpaceDN w:val="0"/>
              <w:spacing w:line="360" w:lineRule="auto"/>
              <w:jc w:val="center"/>
              <w:rPr>
                <w:rFonts w:hint="eastAsia" w:ascii="宋体" w:hAnsi="宋体" w:cs="宋体"/>
                <w:color w:val="auto"/>
                <w:sz w:val="24"/>
                <w:highlight w:val="none"/>
              </w:rPr>
            </w:pPr>
          </w:p>
        </w:tc>
        <w:tc>
          <w:tcPr>
            <w:tcW w:w="1338" w:type="dxa"/>
            <w:tcBorders>
              <w:top w:val="single" w:color="auto" w:sz="6" w:space="0"/>
              <w:left w:val="single" w:color="auto" w:sz="6" w:space="0"/>
              <w:bottom w:val="single" w:color="auto" w:sz="6" w:space="0"/>
              <w:right w:val="single" w:color="auto" w:sz="6" w:space="0"/>
            </w:tcBorders>
            <w:vAlign w:val="center"/>
          </w:tcPr>
          <w:p w14:paraId="6C6428E5">
            <w:pPr>
              <w:autoSpaceDE w:val="0"/>
              <w:autoSpaceDN w:val="0"/>
              <w:spacing w:line="360" w:lineRule="auto"/>
              <w:jc w:val="center"/>
              <w:rPr>
                <w:rFonts w:hint="eastAsia" w:ascii="宋体" w:hAnsi="宋体" w:cs="宋体"/>
                <w:color w:val="auto"/>
                <w:sz w:val="24"/>
                <w:highlight w:val="none"/>
              </w:rPr>
            </w:pPr>
          </w:p>
        </w:tc>
        <w:tc>
          <w:tcPr>
            <w:tcW w:w="1337" w:type="dxa"/>
            <w:tcBorders>
              <w:top w:val="single" w:color="auto" w:sz="6" w:space="0"/>
              <w:left w:val="single" w:color="auto" w:sz="6" w:space="0"/>
              <w:bottom w:val="single" w:color="auto" w:sz="6" w:space="0"/>
              <w:right w:val="single" w:color="auto" w:sz="6" w:space="0"/>
            </w:tcBorders>
            <w:vAlign w:val="center"/>
          </w:tcPr>
          <w:p w14:paraId="5981DABE">
            <w:pPr>
              <w:autoSpaceDE w:val="0"/>
              <w:autoSpaceDN w:val="0"/>
              <w:spacing w:line="360" w:lineRule="auto"/>
              <w:jc w:val="center"/>
              <w:rPr>
                <w:rFonts w:hint="eastAsia" w:ascii="宋体" w:hAnsi="宋体" w:cs="宋体"/>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vAlign w:val="center"/>
          </w:tcPr>
          <w:p w14:paraId="65B19E09">
            <w:pPr>
              <w:autoSpaceDE w:val="0"/>
              <w:autoSpaceDN w:val="0"/>
              <w:spacing w:line="360" w:lineRule="auto"/>
              <w:jc w:val="center"/>
              <w:rPr>
                <w:rFonts w:hint="eastAsia" w:ascii="宋体" w:hAnsi="宋体" w:cs="宋体"/>
                <w:color w:val="auto"/>
                <w:sz w:val="24"/>
                <w:highlight w:val="none"/>
              </w:rPr>
            </w:pPr>
          </w:p>
        </w:tc>
        <w:tc>
          <w:tcPr>
            <w:tcW w:w="1963" w:type="dxa"/>
            <w:tcBorders>
              <w:top w:val="single" w:color="auto" w:sz="6" w:space="0"/>
              <w:left w:val="single" w:color="auto" w:sz="6" w:space="0"/>
              <w:bottom w:val="single" w:color="auto" w:sz="6" w:space="0"/>
              <w:right w:val="single" w:color="auto" w:sz="6" w:space="0"/>
            </w:tcBorders>
            <w:vAlign w:val="center"/>
          </w:tcPr>
          <w:p w14:paraId="6A08B880">
            <w:pPr>
              <w:autoSpaceDE w:val="0"/>
              <w:autoSpaceDN w:val="0"/>
              <w:spacing w:line="360" w:lineRule="auto"/>
              <w:jc w:val="center"/>
              <w:rPr>
                <w:rFonts w:hint="eastAsia" w:ascii="宋体" w:hAnsi="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vAlign w:val="center"/>
          </w:tcPr>
          <w:p w14:paraId="6B9B02A7">
            <w:pPr>
              <w:autoSpaceDE w:val="0"/>
              <w:autoSpaceDN w:val="0"/>
              <w:spacing w:line="360" w:lineRule="auto"/>
              <w:jc w:val="center"/>
              <w:rPr>
                <w:rFonts w:hint="eastAsia" w:ascii="宋体" w:hAnsi="宋体" w:cs="宋体"/>
                <w:color w:val="auto"/>
                <w:sz w:val="24"/>
                <w:highlight w:val="none"/>
              </w:rPr>
            </w:pPr>
          </w:p>
        </w:tc>
      </w:tr>
      <w:tr w14:paraId="30B5B806">
        <w:tblPrEx>
          <w:tblCellMar>
            <w:top w:w="0" w:type="dxa"/>
            <w:left w:w="108" w:type="dxa"/>
            <w:bottom w:w="0" w:type="dxa"/>
            <w:right w:w="108" w:type="dxa"/>
          </w:tblCellMar>
        </w:tblPrEx>
        <w:trPr>
          <w:trHeight w:val="707" w:hRule="atLeast"/>
        </w:trPr>
        <w:tc>
          <w:tcPr>
            <w:tcW w:w="1928" w:type="dxa"/>
            <w:tcBorders>
              <w:top w:val="single" w:color="auto" w:sz="6" w:space="0"/>
              <w:left w:val="single" w:color="auto" w:sz="6" w:space="0"/>
              <w:bottom w:val="single" w:color="auto" w:sz="6" w:space="0"/>
              <w:right w:val="single" w:color="auto" w:sz="6" w:space="0"/>
            </w:tcBorders>
            <w:vAlign w:val="center"/>
          </w:tcPr>
          <w:p w14:paraId="1C309222">
            <w:pPr>
              <w:autoSpaceDE w:val="0"/>
              <w:autoSpaceDN w:val="0"/>
              <w:spacing w:line="360" w:lineRule="auto"/>
              <w:jc w:val="center"/>
              <w:rPr>
                <w:rFonts w:hint="eastAsia" w:ascii="宋体" w:hAnsi="宋体" w:cs="宋体"/>
                <w:color w:val="auto"/>
                <w:sz w:val="24"/>
                <w:highlight w:val="none"/>
              </w:rPr>
            </w:pPr>
          </w:p>
        </w:tc>
        <w:tc>
          <w:tcPr>
            <w:tcW w:w="1338" w:type="dxa"/>
            <w:tcBorders>
              <w:top w:val="single" w:color="auto" w:sz="6" w:space="0"/>
              <w:left w:val="single" w:color="auto" w:sz="6" w:space="0"/>
              <w:bottom w:val="single" w:color="auto" w:sz="6" w:space="0"/>
              <w:right w:val="single" w:color="auto" w:sz="6" w:space="0"/>
            </w:tcBorders>
            <w:vAlign w:val="center"/>
          </w:tcPr>
          <w:p w14:paraId="23567CD8">
            <w:pPr>
              <w:autoSpaceDE w:val="0"/>
              <w:autoSpaceDN w:val="0"/>
              <w:spacing w:line="360" w:lineRule="auto"/>
              <w:jc w:val="center"/>
              <w:rPr>
                <w:rFonts w:hint="eastAsia" w:ascii="宋体" w:hAnsi="宋体" w:cs="宋体"/>
                <w:color w:val="auto"/>
                <w:sz w:val="24"/>
                <w:highlight w:val="none"/>
              </w:rPr>
            </w:pPr>
          </w:p>
        </w:tc>
        <w:tc>
          <w:tcPr>
            <w:tcW w:w="1337" w:type="dxa"/>
            <w:tcBorders>
              <w:top w:val="single" w:color="auto" w:sz="6" w:space="0"/>
              <w:left w:val="single" w:color="auto" w:sz="6" w:space="0"/>
              <w:bottom w:val="single" w:color="auto" w:sz="6" w:space="0"/>
              <w:right w:val="single" w:color="auto" w:sz="6" w:space="0"/>
            </w:tcBorders>
            <w:vAlign w:val="center"/>
          </w:tcPr>
          <w:p w14:paraId="571CEF49">
            <w:pPr>
              <w:autoSpaceDE w:val="0"/>
              <w:autoSpaceDN w:val="0"/>
              <w:spacing w:line="360" w:lineRule="auto"/>
              <w:jc w:val="center"/>
              <w:rPr>
                <w:rFonts w:hint="eastAsia" w:ascii="宋体" w:hAnsi="宋体" w:cs="宋体"/>
                <w:color w:val="auto"/>
                <w:sz w:val="24"/>
                <w:highlight w:val="none"/>
              </w:rPr>
            </w:pPr>
          </w:p>
        </w:tc>
        <w:tc>
          <w:tcPr>
            <w:tcW w:w="1325" w:type="dxa"/>
            <w:tcBorders>
              <w:top w:val="single" w:color="auto" w:sz="6" w:space="0"/>
              <w:left w:val="single" w:color="auto" w:sz="6" w:space="0"/>
              <w:bottom w:val="single" w:color="auto" w:sz="6" w:space="0"/>
              <w:right w:val="single" w:color="auto" w:sz="6" w:space="0"/>
            </w:tcBorders>
            <w:vAlign w:val="center"/>
          </w:tcPr>
          <w:p w14:paraId="32FC21C6">
            <w:pPr>
              <w:autoSpaceDE w:val="0"/>
              <w:autoSpaceDN w:val="0"/>
              <w:spacing w:line="360" w:lineRule="auto"/>
              <w:jc w:val="center"/>
              <w:rPr>
                <w:rFonts w:hint="eastAsia" w:ascii="宋体" w:hAnsi="宋体" w:cs="宋体"/>
                <w:color w:val="auto"/>
                <w:sz w:val="24"/>
                <w:highlight w:val="none"/>
              </w:rPr>
            </w:pPr>
          </w:p>
        </w:tc>
        <w:tc>
          <w:tcPr>
            <w:tcW w:w="1963" w:type="dxa"/>
            <w:tcBorders>
              <w:top w:val="single" w:color="auto" w:sz="6" w:space="0"/>
              <w:left w:val="single" w:color="auto" w:sz="6" w:space="0"/>
              <w:bottom w:val="single" w:color="auto" w:sz="6" w:space="0"/>
              <w:right w:val="single" w:color="auto" w:sz="6" w:space="0"/>
            </w:tcBorders>
            <w:vAlign w:val="center"/>
          </w:tcPr>
          <w:p w14:paraId="784F9DBA">
            <w:pPr>
              <w:autoSpaceDE w:val="0"/>
              <w:autoSpaceDN w:val="0"/>
              <w:spacing w:line="360" w:lineRule="auto"/>
              <w:jc w:val="center"/>
              <w:rPr>
                <w:rFonts w:hint="eastAsia" w:ascii="宋体" w:hAnsi="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vAlign w:val="center"/>
          </w:tcPr>
          <w:p w14:paraId="5E0FBEEA">
            <w:pPr>
              <w:autoSpaceDE w:val="0"/>
              <w:autoSpaceDN w:val="0"/>
              <w:spacing w:line="360" w:lineRule="auto"/>
              <w:jc w:val="center"/>
              <w:rPr>
                <w:rFonts w:hint="eastAsia" w:ascii="宋体" w:hAnsi="宋体" w:cs="宋体"/>
                <w:color w:val="auto"/>
                <w:sz w:val="24"/>
                <w:highlight w:val="none"/>
              </w:rPr>
            </w:pPr>
          </w:p>
        </w:tc>
      </w:tr>
    </w:tbl>
    <w:p w14:paraId="07F15E1C">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cs="宋体"/>
          <w:b/>
          <w:color w:val="auto"/>
          <w:sz w:val="24"/>
          <w:highlight w:val="none"/>
          <w:lang w:eastAsia="zh-CN"/>
        </w:rPr>
        <w:t>附</w:t>
      </w:r>
      <w:r>
        <w:rPr>
          <w:rFonts w:hint="eastAsia" w:ascii="宋体" w:hAnsi="宋体" w:eastAsia="宋体" w:cs="宋体"/>
          <w:b/>
          <w:color w:val="auto"/>
          <w:sz w:val="24"/>
          <w:highlight w:val="none"/>
        </w:rPr>
        <w:t>中标通知书、合同及（竣工）验收证明材料</w:t>
      </w:r>
      <w:r>
        <w:rPr>
          <w:rFonts w:hint="eastAsia" w:ascii="宋体" w:hAnsi="宋体" w:eastAsia="宋体" w:cs="宋体"/>
          <w:b/>
          <w:color w:val="auto"/>
          <w:sz w:val="24"/>
          <w:highlight w:val="none"/>
          <w:lang w:eastAsia="zh-CN"/>
        </w:rPr>
        <w:t>等</w:t>
      </w:r>
      <w:r>
        <w:rPr>
          <w:rFonts w:hint="eastAsia" w:ascii="宋体" w:hAnsi="宋体" w:eastAsia="宋体" w:cs="宋体"/>
          <w:b/>
          <w:color w:val="auto"/>
          <w:sz w:val="24"/>
          <w:highlight w:val="none"/>
        </w:rPr>
        <w:t>。</w:t>
      </w:r>
    </w:p>
    <w:p w14:paraId="51B4122A">
      <w:pPr>
        <w:autoSpaceDE w:val="0"/>
        <w:autoSpaceDN w:val="0"/>
        <w:spacing w:line="360" w:lineRule="auto"/>
        <w:rPr>
          <w:rFonts w:hint="eastAsia" w:ascii="仿宋_GB2312" w:hAnsi="仿宋_GB2312" w:eastAsia="仿宋_GB2312" w:cs="仿宋_GB2312"/>
          <w:b/>
          <w:color w:val="auto"/>
          <w:sz w:val="24"/>
          <w:highlight w:val="none"/>
        </w:rPr>
      </w:pPr>
    </w:p>
    <w:p w14:paraId="0429C5BB">
      <w:pPr>
        <w:spacing w:line="336" w:lineRule="auto"/>
        <w:jc w:val="center"/>
        <w:rPr>
          <w:rFonts w:hint="eastAsia" w:ascii="宋体" w:hAnsi="宋体" w:cs="宋体"/>
          <w:color w:val="auto"/>
          <w:sz w:val="24"/>
          <w:highlight w:val="none"/>
        </w:rPr>
      </w:pPr>
    </w:p>
    <w:p w14:paraId="51933CB2">
      <w:pPr>
        <w:spacing w:line="336" w:lineRule="auto"/>
        <w:jc w:val="center"/>
        <w:rPr>
          <w:rFonts w:hint="eastAsia" w:ascii="宋体" w:hAnsi="宋体" w:cs="宋体"/>
          <w:color w:val="auto"/>
          <w:sz w:val="24"/>
          <w:highlight w:val="none"/>
        </w:rPr>
      </w:pPr>
    </w:p>
    <w:p w14:paraId="188C677C">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5D6ACC53">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52D628B">
      <w:pPr>
        <w:pStyle w:val="61"/>
        <w:spacing w:line="480" w:lineRule="auto"/>
        <w:ind w:firstLine="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 xml:space="preserve">  </w:t>
      </w:r>
    </w:p>
    <w:p w14:paraId="192A58E6">
      <w:pP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11EC2FE7">
      <w:pPr>
        <w:pStyle w:val="61"/>
        <w:spacing w:line="480" w:lineRule="auto"/>
        <w:ind w:left="0" w:leftChars="0" w:firstLine="0"/>
        <w:rPr>
          <w:rFonts w:hint="eastAsia" w:ascii="新宋体" w:hAnsi="新宋体" w:eastAsia="新宋体" w:cs="新宋体"/>
          <w:b/>
          <w:color w:val="auto"/>
          <w:sz w:val="24"/>
          <w:szCs w:val="24"/>
        </w:rPr>
      </w:pPr>
      <w:r>
        <w:rPr>
          <w:rFonts w:hint="eastAsia" w:ascii="新宋体" w:hAnsi="新宋体" w:eastAsia="新宋体" w:cs="新宋体"/>
          <w:b/>
          <w:bCs/>
          <w:color w:val="auto"/>
          <w:sz w:val="24"/>
          <w:highlight w:val="none"/>
          <w:lang w:eastAsia="zh-CN"/>
        </w:rPr>
        <w:t>附件八</w:t>
      </w:r>
      <w:r>
        <w:rPr>
          <w:rFonts w:hint="eastAsia" w:ascii="新宋体" w:hAnsi="新宋体" w:eastAsia="新宋体" w:cs="新宋体"/>
          <w:b/>
          <w:color w:val="auto"/>
          <w:sz w:val="24"/>
          <w:szCs w:val="24"/>
          <w:lang w:val="en-US" w:eastAsia="zh-CN"/>
        </w:rPr>
        <w:t xml:space="preserve">  </w:t>
      </w:r>
      <w:r>
        <w:rPr>
          <w:rFonts w:hint="eastAsia" w:ascii="新宋体" w:hAnsi="新宋体" w:eastAsia="新宋体" w:cs="新宋体"/>
          <w:b/>
          <w:color w:val="auto"/>
          <w:sz w:val="24"/>
          <w:szCs w:val="24"/>
        </w:rPr>
        <w:t>廉政承诺书</w:t>
      </w:r>
    </w:p>
    <w:p w14:paraId="4DD21835">
      <w:pPr>
        <w:autoSpaceDE w:val="0"/>
        <w:autoSpaceDN w:val="0"/>
        <w:spacing w:line="360" w:lineRule="auto"/>
        <w:ind w:left="2"/>
        <w:jc w:val="center"/>
        <w:rPr>
          <w:rFonts w:hint="eastAsia" w:ascii="新宋体" w:hAnsi="新宋体" w:eastAsia="新宋体" w:cs="新宋体"/>
          <w:color w:val="auto"/>
          <w:sz w:val="24"/>
          <w:szCs w:val="24"/>
        </w:rPr>
      </w:pPr>
      <w:r>
        <w:rPr>
          <w:rFonts w:hint="eastAsia" w:ascii="新宋体" w:hAnsi="新宋体" w:eastAsia="新宋体" w:cs="新宋体"/>
          <w:b/>
          <w:color w:val="auto"/>
          <w:sz w:val="24"/>
          <w:szCs w:val="24"/>
        </w:rPr>
        <w:t>廉政承诺书</w:t>
      </w:r>
    </w:p>
    <w:p w14:paraId="7A1FE0F6">
      <w:pPr>
        <w:autoSpaceDE w:val="0"/>
        <w:autoSpaceDN w:val="0"/>
        <w:spacing w:line="360" w:lineRule="auto"/>
        <w:ind w:left="2"/>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嵊州市商业发展集团有限公司：    </w:t>
      </w:r>
    </w:p>
    <w:p w14:paraId="04D890B6">
      <w:pPr>
        <w:autoSpaceDE w:val="0"/>
        <w:autoSpaceDN w:val="0"/>
        <w:spacing w:line="360" w:lineRule="auto"/>
        <w:ind w:left="2" w:leftChars="1"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我单位响应你</w:t>
      </w:r>
      <w:r>
        <w:rPr>
          <w:rFonts w:hint="eastAsia" w:ascii="新宋体" w:hAnsi="新宋体" w:eastAsia="新宋体" w:cs="新宋体"/>
          <w:color w:val="auto"/>
          <w:sz w:val="24"/>
          <w:szCs w:val="24"/>
        </w:rPr>
        <w:t>单位</w:t>
      </w:r>
      <w:r>
        <w:rPr>
          <w:rFonts w:hint="eastAsia" w:ascii="新宋体" w:hAnsi="新宋体" w:eastAsia="新宋体" w:cs="新宋体"/>
          <w:color w:val="auto"/>
          <w:kern w:val="0"/>
          <w:sz w:val="24"/>
          <w:szCs w:val="24"/>
          <w:lang w:val="zh-CN"/>
        </w:rPr>
        <w:t xml:space="preserve">项目招标要求参加投标。在这次投标过程中和中标后，我们将严格遵守国家法律法规要求，并郑重承诺：    </w:t>
      </w:r>
    </w:p>
    <w:p w14:paraId="587A077C">
      <w:pPr>
        <w:autoSpaceDE w:val="0"/>
        <w:autoSpaceDN w:val="0"/>
        <w:spacing w:line="360" w:lineRule="auto"/>
        <w:ind w:left="2" w:leftChars="1"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一、不向项目有关人员及部门赠送礼金礼物、有价证券、回扣以及中介费、介绍费、咨询费等好处费；    </w:t>
      </w:r>
    </w:p>
    <w:p w14:paraId="105C1BFA">
      <w:pPr>
        <w:autoSpaceDE w:val="0"/>
        <w:autoSpaceDN w:val="0"/>
        <w:spacing w:line="360" w:lineRule="auto"/>
        <w:ind w:left="2" w:leftChars="1"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二、不为项目有关人员及部门报销应由你方单位或个人支付的费用；    </w:t>
      </w:r>
    </w:p>
    <w:p w14:paraId="6E694482">
      <w:pPr>
        <w:autoSpaceDE w:val="0"/>
        <w:autoSpaceDN w:val="0"/>
        <w:spacing w:line="360" w:lineRule="auto"/>
        <w:ind w:left="2" w:leftChars="1"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三、不向项目有关人员及部门提供有可能影响公正的宴请和健身娱乐等活动；    </w:t>
      </w:r>
    </w:p>
    <w:p w14:paraId="301368AD">
      <w:pPr>
        <w:autoSpaceDE w:val="0"/>
        <w:autoSpaceDN w:val="0"/>
        <w:spacing w:line="360" w:lineRule="auto"/>
        <w:ind w:left="2" w:leftChars="1"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四、不为项目有关人员及部门出国（境）、旅游等提供方便；    </w:t>
      </w:r>
    </w:p>
    <w:p w14:paraId="1DEF1781">
      <w:pPr>
        <w:autoSpaceDE w:val="0"/>
        <w:autoSpaceDN w:val="0"/>
        <w:spacing w:line="360" w:lineRule="auto"/>
        <w:ind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五、不为项目有关人员个人装修住房、婚丧嫁娶、配偶子女工作安排等提供好处；    </w:t>
      </w:r>
    </w:p>
    <w:p w14:paraId="3F499310">
      <w:pPr>
        <w:autoSpaceDE w:val="0"/>
        <w:autoSpaceDN w:val="0"/>
        <w:spacing w:line="360" w:lineRule="auto"/>
        <w:ind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 xml:space="preserve">六、严格遵守政府采购法、民法典等法律，诚实守信，合法经营，坚决抵制各种违法违纪行为。    </w:t>
      </w:r>
    </w:p>
    <w:p w14:paraId="2F22A776">
      <w:pPr>
        <w:autoSpaceDE w:val="0"/>
        <w:autoSpaceDN w:val="0"/>
        <w:spacing w:line="360" w:lineRule="auto"/>
        <w:ind w:firstLine="480" w:firstLineChars="200"/>
        <w:jc w:val="left"/>
        <w:rPr>
          <w:rFonts w:hint="eastAsia" w:ascii="新宋体" w:hAnsi="新宋体" w:eastAsia="新宋体" w:cs="新宋体"/>
          <w:color w:val="auto"/>
          <w:kern w:val="0"/>
          <w:sz w:val="24"/>
          <w:szCs w:val="24"/>
          <w:lang w:val="zh-CN"/>
        </w:rPr>
      </w:pPr>
      <w:r>
        <w:rPr>
          <w:rFonts w:hint="eastAsia" w:ascii="新宋体" w:hAnsi="新宋体" w:eastAsia="新宋体" w:cs="新宋体"/>
          <w:color w:val="auto"/>
          <w:kern w:val="0"/>
          <w:sz w:val="24"/>
          <w:szCs w:val="24"/>
          <w:lang w:val="zh-CN"/>
        </w:rPr>
        <w:t>如违反上述承诺，你</w:t>
      </w:r>
      <w:r>
        <w:rPr>
          <w:rFonts w:hint="eastAsia" w:ascii="新宋体" w:hAnsi="新宋体" w:eastAsia="新宋体" w:cs="新宋体"/>
          <w:color w:val="auto"/>
          <w:sz w:val="24"/>
          <w:szCs w:val="24"/>
        </w:rPr>
        <w:t>单位</w:t>
      </w:r>
      <w:r>
        <w:rPr>
          <w:rFonts w:hint="eastAsia" w:ascii="新宋体" w:hAnsi="新宋体" w:eastAsia="新宋体" w:cs="新宋体"/>
          <w:color w:val="auto"/>
          <w:kern w:val="0"/>
          <w:sz w:val="24"/>
          <w:szCs w:val="24"/>
          <w:lang w:val="zh-CN"/>
        </w:rPr>
        <w:t>有权立即取消我单位投标、中标或在建项目的建设资格，有权拒绝我单位在一定时期内进入你</w:t>
      </w:r>
      <w:r>
        <w:rPr>
          <w:rFonts w:hint="eastAsia" w:ascii="新宋体" w:hAnsi="新宋体" w:eastAsia="新宋体" w:cs="新宋体"/>
          <w:color w:val="auto"/>
          <w:sz w:val="24"/>
          <w:szCs w:val="24"/>
        </w:rPr>
        <w:t>单位</w:t>
      </w:r>
      <w:r>
        <w:rPr>
          <w:rFonts w:hint="eastAsia" w:ascii="新宋体" w:hAnsi="新宋体" w:eastAsia="新宋体" w:cs="新宋体"/>
          <w:color w:val="auto"/>
          <w:kern w:val="0"/>
          <w:sz w:val="24"/>
          <w:szCs w:val="24"/>
          <w:lang w:val="zh-CN"/>
        </w:rPr>
        <w:t>进行项目建设或其他经营活动，并通报市财政局。由此引起的相应损失均由我单位承担。</w:t>
      </w:r>
    </w:p>
    <w:p w14:paraId="0669FBF3">
      <w:pPr>
        <w:autoSpaceDE w:val="0"/>
        <w:autoSpaceDN w:val="0"/>
        <w:spacing w:line="360" w:lineRule="auto"/>
        <w:jc w:val="left"/>
        <w:rPr>
          <w:rFonts w:hint="eastAsia" w:ascii="新宋体" w:hAnsi="新宋体" w:eastAsia="新宋体" w:cs="新宋体"/>
          <w:color w:val="auto"/>
          <w:kern w:val="0"/>
          <w:sz w:val="24"/>
          <w:szCs w:val="24"/>
          <w:lang w:val="zh-CN"/>
        </w:rPr>
      </w:pPr>
    </w:p>
    <w:p w14:paraId="2350D22A">
      <w:pPr>
        <w:adjustRightInd w:val="0"/>
        <w:snapToGrid w:val="0"/>
        <w:spacing w:line="360" w:lineRule="auto"/>
        <w:textAlignment w:val="baseline"/>
        <w:rPr>
          <w:rFonts w:hint="eastAsia" w:ascii="新宋体" w:hAnsi="新宋体" w:eastAsia="新宋体" w:cs="新宋体"/>
          <w:color w:val="auto"/>
          <w:kern w:val="0"/>
          <w:sz w:val="24"/>
          <w:szCs w:val="24"/>
          <w:lang w:val="zh-CN"/>
        </w:rPr>
      </w:pPr>
    </w:p>
    <w:p w14:paraId="27B8C32F">
      <w:pPr>
        <w:adjustRightInd w:val="0"/>
        <w:snapToGrid w:val="0"/>
        <w:spacing w:line="360" w:lineRule="auto"/>
        <w:textAlignment w:val="baseline"/>
        <w:rPr>
          <w:rFonts w:hint="eastAsia" w:ascii="新宋体" w:hAnsi="新宋体" w:eastAsia="新宋体" w:cs="新宋体"/>
          <w:color w:val="auto"/>
          <w:kern w:val="0"/>
          <w:sz w:val="24"/>
          <w:szCs w:val="24"/>
          <w:lang w:val="zh-CN"/>
        </w:rPr>
      </w:pPr>
    </w:p>
    <w:p w14:paraId="6DBC79CD">
      <w:pPr>
        <w:adjustRightInd w:val="0"/>
        <w:snapToGrid w:val="0"/>
        <w:spacing w:line="360" w:lineRule="auto"/>
        <w:textAlignment w:val="baseline"/>
        <w:rPr>
          <w:rFonts w:hint="eastAsia" w:ascii="新宋体" w:hAnsi="新宋体" w:eastAsia="新宋体" w:cs="新宋体"/>
          <w:color w:val="auto"/>
          <w:kern w:val="0"/>
          <w:sz w:val="24"/>
          <w:szCs w:val="24"/>
          <w:lang w:val="zh-CN"/>
        </w:rPr>
      </w:pPr>
    </w:p>
    <w:p w14:paraId="73F74460">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17D03321">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493C92E">
      <w:pPr>
        <w:spacing w:line="440" w:lineRule="exact"/>
        <w:jc w:val="left"/>
        <w:rPr>
          <w:rFonts w:hint="eastAsia" w:ascii="新宋体" w:hAnsi="新宋体" w:eastAsia="新宋体" w:cs="新宋体"/>
          <w:color w:val="auto"/>
          <w:sz w:val="24"/>
          <w:szCs w:val="24"/>
          <w:shd w:val="clear" w:color="FFFFFF" w:fill="D9D9D9"/>
        </w:rPr>
      </w:pPr>
    </w:p>
    <w:p w14:paraId="2953DECA">
      <w:pPr>
        <w:jc w:val="left"/>
        <w:rPr>
          <w:rFonts w:hint="eastAsia" w:ascii="新宋体" w:hAnsi="新宋体" w:eastAsia="新宋体" w:cs="新宋体"/>
          <w:b/>
          <w:color w:val="auto"/>
          <w:sz w:val="24"/>
          <w:szCs w:val="24"/>
        </w:rPr>
      </w:pPr>
    </w:p>
    <w:p w14:paraId="698AD456">
      <w:pPr>
        <w:jc w:val="left"/>
        <w:rPr>
          <w:rFonts w:hint="eastAsia" w:ascii="新宋体" w:hAnsi="新宋体" w:eastAsia="新宋体" w:cs="新宋体"/>
          <w:b/>
          <w:color w:val="auto"/>
          <w:sz w:val="24"/>
          <w:szCs w:val="24"/>
        </w:rPr>
      </w:pPr>
    </w:p>
    <w:p w14:paraId="7FA2B4C5">
      <w:pPr>
        <w:rPr>
          <w:rFonts w:hint="eastAsia" w:ascii="新宋体" w:hAnsi="新宋体" w:eastAsia="新宋体" w:cs="新宋体"/>
          <w:b/>
          <w:color w:val="auto"/>
          <w:sz w:val="24"/>
          <w:szCs w:val="24"/>
        </w:rPr>
      </w:pPr>
    </w:p>
    <w:p w14:paraId="2436BB14">
      <w:pPr>
        <w:rPr>
          <w:rFonts w:hint="eastAsia" w:ascii="新宋体" w:hAnsi="新宋体" w:eastAsia="新宋体" w:cs="新宋体"/>
          <w:b/>
          <w:color w:val="auto"/>
          <w:sz w:val="24"/>
          <w:szCs w:val="24"/>
        </w:rPr>
      </w:pPr>
    </w:p>
    <w:p w14:paraId="34BA93CA">
      <w:pPr>
        <w:rPr>
          <w:rFonts w:hint="eastAsia" w:ascii="新宋体" w:hAnsi="新宋体" w:eastAsia="新宋体" w:cs="新宋体"/>
          <w:b/>
          <w:color w:val="auto"/>
          <w:sz w:val="24"/>
          <w:szCs w:val="24"/>
        </w:rPr>
      </w:pPr>
    </w:p>
    <w:p w14:paraId="4B3F9610">
      <w:pPr>
        <w:rPr>
          <w:rFonts w:hint="eastAsia" w:ascii="新宋体" w:hAnsi="新宋体" w:eastAsia="新宋体" w:cs="新宋体"/>
          <w:b/>
          <w:color w:val="auto"/>
          <w:sz w:val="24"/>
          <w:szCs w:val="24"/>
        </w:rPr>
      </w:pPr>
    </w:p>
    <w:p w14:paraId="2B891BF5">
      <w:pPr>
        <w:rPr>
          <w:rFonts w:hint="eastAsia" w:ascii="新宋体" w:hAnsi="新宋体" w:eastAsia="新宋体" w:cs="新宋体"/>
          <w:b/>
          <w:color w:val="auto"/>
          <w:sz w:val="24"/>
          <w:szCs w:val="24"/>
        </w:rPr>
      </w:pPr>
    </w:p>
    <w:p w14:paraId="76E750A6">
      <w:pPr>
        <w:ind w:firstLine="2650" w:firstLineChars="110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br w:type="page"/>
      </w:r>
    </w:p>
    <w:p w14:paraId="3F0A762C">
      <w:pPr>
        <w:pStyle w:val="60"/>
        <w:spacing w:after="0" w:afterLines="0" w:line="440" w:lineRule="exact"/>
        <w:ind w:firstLine="0" w:firstLineChars="0"/>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附件</w:t>
      </w:r>
      <w:r>
        <w:rPr>
          <w:rFonts w:hint="eastAsia" w:ascii="新宋体" w:hAnsi="新宋体" w:eastAsia="新宋体" w:cs="新宋体"/>
          <w:b/>
          <w:color w:val="auto"/>
          <w:sz w:val="24"/>
          <w:szCs w:val="24"/>
          <w:lang w:val="en-US" w:eastAsia="zh-CN"/>
        </w:rPr>
        <w:t xml:space="preserve">九 </w:t>
      </w:r>
      <w:r>
        <w:rPr>
          <w:rFonts w:hint="eastAsia" w:ascii="新宋体" w:hAnsi="新宋体" w:eastAsia="新宋体" w:cs="新宋体"/>
          <w:b/>
          <w:color w:val="auto"/>
          <w:sz w:val="24"/>
          <w:szCs w:val="24"/>
        </w:rPr>
        <w:t>开标一览表</w:t>
      </w:r>
    </w:p>
    <w:p w14:paraId="29EF9387">
      <w:pPr>
        <w:snapToGrid w:val="0"/>
        <w:spacing w:line="400" w:lineRule="exact"/>
        <w:jc w:val="center"/>
        <w:rPr>
          <w:rFonts w:hint="eastAsia" w:ascii="新宋体" w:hAnsi="新宋体" w:eastAsia="新宋体" w:cs="新宋体"/>
          <w:b/>
          <w:color w:val="auto"/>
          <w:sz w:val="24"/>
          <w:szCs w:val="24"/>
        </w:rPr>
      </w:pPr>
    </w:p>
    <w:p w14:paraId="6AC02AD3">
      <w:pPr>
        <w:spacing w:line="400" w:lineRule="exact"/>
        <w:jc w:val="center"/>
        <w:rPr>
          <w:rFonts w:hint="eastAsia" w:ascii="新宋体" w:hAnsi="新宋体" w:eastAsia="新宋体" w:cs="新宋体"/>
          <w:color w:val="auto"/>
          <w:sz w:val="24"/>
          <w:szCs w:val="24"/>
        </w:rPr>
      </w:pPr>
      <w:r>
        <w:rPr>
          <w:rFonts w:hint="eastAsia" w:ascii="新宋体" w:hAnsi="新宋体" w:eastAsia="新宋体" w:cs="新宋体"/>
          <w:b/>
          <w:bCs/>
          <w:color w:val="auto"/>
          <w:sz w:val="24"/>
          <w:szCs w:val="24"/>
        </w:rPr>
        <w:t xml:space="preserve">开标一览表（报价表）                            </w:t>
      </w:r>
    </w:p>
    <w:p w14:paraId="1C9B922C">
      <w:pPr>
        <w:snapToGrid w:val="0"/>
        <w:spacing w:line="400" w:lineRule="exact"/>
        <w:rPr>
          <w:rFonts w:hint="eastAsia" w:ascii="新宋体" w:hAnsi="新宋体" w:eastAsia="新宋体" w:cs="新宋体"/>
          <w:color w:val="auto"/>
          <w:sz w:val="24"/>
          <w:szCs w:val="24"/>
          <w:u w:val="single"/>
          <w:lang w:val="en-US"/>
        </w:rPr>
      </w:pPr>
      <w:r>
        <w:rPr>
          <w:rFonts w:hint="eastAsia" w:ascii="新宋体" w:hAnsi="新宋体" w:eastAsia="新宋体" w:cs="新宋体"/>
          <w:color w:val="auto"/>
          <w:sz w:val="24"/>
          <w:szCs w:val="24"/>
        </w:rPr>
        <w:t>项目名称：</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eastAsia="zh-CN"/>
        </w:rPr>
        <w:t>嵊州小吃（越秀路)旗舰店项目—厨房设备采购</w:t>
      </w:r>
      <w:r>
        <w:rPr>
          <w:rFonts w:hint="eastAsia" w:ascii="新宋体" w:hAnsi="新宋体" w:eastAsia="新宋体" w:cs="新宋体"/>
          <w:color w:val="auto"/>
          <w:sz w:val="24"/>
          <w:szCs w:val="24"/>
          <w:u w:val="single"/>
          <w:lang w:val="en-US" w:eastAsia="zh-CN"/>
        </w:rPr>
        <w:t xml:space="preserve"> </w:t>
      </w:r>
    </w:p>
    <w:p w14:paraId="09EDE906">
      <w:pPr>
        <w:snapToGrid w:val="0"/>
        <w:spacing w:line="400" w:lineRule="exact"/>
        <w:rPr>
          <w:rFonts w:hint="eastAsia" w:ascii="新宋体" w:hAnsi="新宋体" w:eastAsia="新宋体" w:cs="新宋体"/>
          <w:color w:val="auto"/>
          <w:sz w:val="24"/>
          <w:szCs w:val="24"/>
          <w:u w:val="single"/>
        </w:rPr>
      </w:pPr>
      <w:r>
        <w:rPr>
          <w:rFonts w:hint="eastAsia" w:ascii="新宋体" w:hAnsi="新宋体" w:eastAsia="新宋体" w:cs="新宋体"/>
          <w:color w:val="auto"/>
          <w:sz w:val="24"/>
          <w:szCs w:val="24"/>
          <w:lang w:eastAsia="zh-CN"/>
        </w:rPr>
        <w:t>项目</w:t>
      </w:r>
      <w:r>
        <w:rPr>
          <w:rFonts w:hint="eastAsia" w:ascii="新宋体" w:hAnsi="新宋体" w:eastAsia="新宋体" w:cs="新宋体"/>
          <w:color w:val="auto"/>
          <w:sz w:val="24"/>
          <w:szCs w:val="24"/>
        </w:rPr>
        <w:t>编号：</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val="en-US" w:eastAsia="zh-CN"/>
        </w:rPr>
        <w:t xml:space="preserve">   </w:t>
      </w:r>
      <w:r>
        <w:rPr>
          <w:rFonts w:hint="eastAsia" w:ascii="新宋体" w:hAnsi="新宋体" w:eastAsia="新宋体" w:cs="新宋体"/>
          <w:color w:val="auto"/>
          <w:sz w:val="24"/>
          <w:szCs w:val="24"/>
          <w:u w:val="single"/>
        </w:rPr>
        <w:t xml:space="preserve"> </w:t>
      </w:r>
      <w:r>
        <w:rPr>
          <w:rFonts w:hint="eastAsia" w:ascii="新宋体" w:hAnsi="新宋体" w:eastAsia="新宋体" w:cs="新宋体"/>
          <w:color w:val="auto"/>
          <w:sz w:val="24"/>
          <w:szCs w:val="24"/>
          <w:u w:val="single"/>
          <w:lang w:eastAsia="zh-CN"/>
        </w:rPr>
        <w:t>ZJSFDC-SZ2024N54</w:t>
      </w:r>
      <w:r>
        <w:rPr>
          <w:rFonts w:hint="eastAsia" w:ascii="新宋体" w:hAnsi="新宋体" w:eastAsia="新宋体" w:cs="新宋体"/>
          <w:color w:val="auto"/>
          <w:sz w:val="24"/>
          <w:szCs w:val="24"/>
          <w:u w:val="single"/>
        </w:rPr>
        <w:t xml:space="preserve">              </w:t>
      </w:r>
    </w:p>
    <w:p w14:paraId="0CC556B2">
      <w:pPr>
        <w:snapToGrid w:val="0"/>
        <w:spacing w:line="400" w:lineRule="exact"/>
        <w:jc w:val="left"/>
        <w:rPr>
          <w:rFonts w:hint="eastAsia" w:ascii="新宋体" w:hAnsi="新宋体" w:eastAsia="新宋体" w:cs="新宋体"/>
          <w:b/>
          <w:color w:val="auto"/>
          <w:sz w:val="24"/>
          <w:szCs w:val="24"/>
        </w:rPr>
      </w:pPr>
      <w:r>
        <w:rPr>
          <w:rFonts w:hint="eastAsia" w:ascii="新宋体" w:hAnsi="新宋体" w:eastAsia="新宋体" w:cs="新宋体"/>
          <w:color w:val="auto"/>
          <w:sz w:val="24"/>
          <w:szCs w:val="24"/>
        </w:rPr>
        <w:t xml:space="preserve">单位：人民币元                                              </w:t>
      </w:r>
    </w:p>
    <w:tbl>
      <w:tblPr>
        <w:tblStyle w:val="27"/>
        <w:tblW w:w="8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306"/>
        <w:gridCol w:w="1472"/>
        <w:gridCol w:w="1890"/>
        <w:gridCol w:w="1208"/>
      </w:tblGrid>
      <w:tr w14:paraId="44218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33308191">
            <w:pPr>
              <w:snapToGrid w:val="0"/>
              <w:spacing w:before="100" w:beforeAutospacing="1" w:after="100" w:afterAutospacing="1" w:line="500" w:lineRule="exact"/>
              <w:jc w:val="center"/>
              <w:rPr>
                <w:rFonts w:ascii="宋体" w:hAnsi="宋体"/>
                <w:b/>
                <w:color w:val="auto"/>
                <w:szCs w:val="21"/>
              </w:rPr>
            </w:pPr>
            <w:r>
              <w:rPr>
                <w:rFonts w:hint="eastAsia" w:ascii="宋体" w:hAnsi="宋体"/>
                <w:b/>
                <w:color w:val="auto"/>
                <w:szCs w:val="21"/>
              </w:rPr>
              <w:t>序号</w:t>
            </w:r>
          </w:p>
        </w:tc>
        <w:tc>
          <w:tcPr>
            <w:tcW w:w="3306" w:type="dxa"/>
            <w:tcBorders>
              <w:top w:val="single" w:color="auto" w:sz="4" w:space="0"/>
              <w:left w:val="single" w:color="auto" w:sz="4" w:space="0"/>
              <w:bottom w:val="single" w:color="auto" w:sz="4" w:space="0"/>
              <w:right w:val="single" w:color="auto" w:sz="4" w:space="0"/>
            </w:tcBorders>
            <w:noWrap w:val="0"/>
            <w:vAlign w:val="center"/>
          </w:tcPr>
          <w:p w14:paraId="623CD243">
            <w:pPr>
              <w:snapToGrid w:val="0"/>
              <w:spacing w:before="100" w:beforeAutospacing="1" w:after="100" w:afterAutospacing="1" w:line="500" w:lineRule="exact"/>
              <w:jc w:val="center"/>
              <w:rPr>
                <w:rFonts w:ascii="宋体" w:hAnsi="宋体"/>
                <w:b/>
                <w:color w:val="auto"/>
                <w:szCs w:val="21"/>
              </w:rPr>
            </w:pPr>
            <w:r>
              <w:rPr>
                <w:rFonts w:hint="eastAsia" w:ascii="宋体" w:hAnsi="宋体"/>
                <w:b/>
                <w:color w:val="auto"/>
                <w:szCs w:val="21"/>
              </w:rPr>
              <w:t>名称</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F05CE87">
            <w:pPr>
              <w:snapToGrid w:val="0"/>
              <w:spacing w:before="100" w:beforeAutospacing="1" w:after="100" w:afterAutospacing="1" w:line="500" w:lineRule="exact"/>
              <w:jc w:val="center"/>
              <w:rPr>
                <w:rFonts w:hint="eastAsia" w:ascii="宋体" w:hAnsi="宋体" w:eastAsia="宋体"/>
                <w:b/>
                <w:color w:val="auto"/>
                <w:szCs w:val="21"/>
                <w:lang w:eastAsia="zh-CN"/>
              </w:rPr>
            </w:pPr>
            <w:r>
              <w:rPr>
                <w:rFonts w:hint="eastAsia" w:ascii="宋体" w:hAnsi="宋体"/>
                <w:b/>
                <w:color w:val="auto"/>
                <w:szCs w:val="21"/>
              </w:rPr>
              <w:t>数量</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AF854D9">
            <w:pPr>
              <w:snapToGrid w:val="0"/>
              <w:spacing w:before="100" w:beforeAutospacing="1" w:after="100" w:afterAutospacing="1" w:line="5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投标报价</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079F411D">
            <w:pPr>
              <w:snapToGrid w:val="0"/>
              <w:spacing w:before="100" w:beforeAutospacing="1" w:after="100" w:afterAutospacing="1" w:line="500" w:lineRule="exact"/>
              <w:jc w:val="center"/>
              <w:rPr>
                <w:rFonts w:ascii="宋体" w:hAnsi="宋体"/>
                <w:b/>
                <w:color w:val="auto"/>
                <w:szCs w:val="21"/>
              </w:rPr>
            </w:pPr>
            <w:r>
              <w:rPr>
                <w:rFonts w:hint="eastAsia" w:ascii="宋体" w:hAnsi="宋体"/>
                <w:b/>
                <w:color w:val="auto"/>
                <w:szCs w:val="21"/>
              </w:rPr>
              <w:t>备注</w:t>
            </w:r>
          </w:p>
        </w:tc>
      </w:tr>
      <w:tr w14:paraId="224E1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2756BE13">
            <w:pPr>
              <w:snapToGrid w:val="0"/>
              <w:spacing w:before="100" w:beforeAutospacing="1" w:after="100" w:afterAutospacing="1" w:line="500" w:lineRule="exact"/>
              <w:jc w:val="center"/>
              <w:rPr>
                <w:rFonts w:ascii="宋体" w:hAnsi="宋体"/>
                <w:bCs/>
                <w:color w:val="auto"/>
                <w:szCs w:val="21"/>
              </w:rPr>
            </w:pPr>
            <w:r>
              <w:rPr>
                <w:rFonts w:hint="eastAsia" w:ascii="宋体" w:hAnsi="宋体"/>
                <w:bCs/>
                <w:color w:val="auto"/>
                <w:szCs w:val="21"/>
              </w:rPr>
              <w:t>1</w:t>
            </w:r>
          </w:p>
        </w:tc>
        <w:tc>
          <w:tcPr>
            <w:tcW w:w="3306" w:type="dxa"/>
            <w:tcBorders>
              <w:top w:val="single" w:color="auto" w:sz="4" w:space="0"/>
              <w:left w:val="single" w:color="auto" w:sz="4" w:space="0"/>
              <w:bottom w:val="single" w:color="auto" w:sz="4" w:space="0"/>
              <w:right w:val="single" w:color="auto" w:sz="4" w:space="0"/>
            </w:tcBorders>
            <w:noWrap w:val="0"/>
            <w:vAlign w:val="center"/>
          </w:tcPr>
          <w:p w14:paraId="34E5220B">
            <w:pPr>
              <w:snapToGrid w:val="0"/>
              <w:spacing w:line="440" w:lineRule="exact"/>
              <w:jc w:val="center"/>
              <w:rPr>
                <w:rFonts w:hint="eastAsia" w:ascii="宋体" w:hAnsi="宋体" w:cs="宋体"/>
                <w:bCs/>
                <w:color w:val="auto"/>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2C60735">
            <w:pPr>
              <w:snapToGrid w:val="0"/>
              <w:spacing w:line="440" w:lineRule="exact"/>
              <w:jc w:val="center"/>
              <w:rPr>
                <w:rFonts w:hint="default" w:ascii="宋体" w:hAnsi="宋体" w:eastAsia="宋体"/>
                <w:color w:val="auto"/>
                <w:sz w:val="21"/>
                <w:szCs w:val="21"/>
                <w:lang w:val="en-US" w:eastAsia="zh-CN"/>
              </w:rPr>
            </w:pP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DF6A4DA">
            <w:pPr>
              <w:snapToGrid w:val="0"/>
              <w:spacing w:line="440" w:lineRule="exact"/>
              <w:jc w:val="center"/>
              <w:rPr>
                <w:rFonts w:hint="eastAsia" w:ascii="宋体" w:hAnsi="宋体" w:eastAsia="宋体"/>
                <w:color w:val="auto"/>
                <w:sz w:val="21"/>
                <w:szCs w:val="21"/>
                <w:lang w:eastAsia="zh-CN"/>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7216C860">
            <w:pPr>
              <w:snapToGrid w:val="0"/>
              <w:spacing w:before="100" w:beforeAutospacing="1" w:after="100" w:afterAutospacing="1" w:line="500" w:lineRule="exact"/>
              <w:rPr>
                <w:rFonts w:ascii="宋体" w:hAnsi="宋体"/>
                <w:color w:val="auto"/>
                <w:szCs w:val="21"/>
              </w:rPr>
            </w:pPr>
          </w:p>
        </w:tc>
      </w:tr>
      <w:tr w14:paraId="0A9F9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jc w:val="center"/>
        </w:trPr>
        <w:tc>
          <w:tcPr>
            <w:tcW w:w="8626" w:type="dxa"/>
            <w:gridSpan w:val="5"/>
            <w:tcBorders>
              <w:top w:val="single" w:color="auto" w:sz="4" w:space="0"/>
              <w:left w:val="single" w:color="auto" w:sz="4" w:space="0"/>
              <w:bottom w:val="single" w:color="auto" w:sz="4" w:space="0"/>
              <w:right w:val="single" w:color="auto" w:sz="4" w:space="0"/>
            </w:tcBorders>
            <w:noWrap w:val="0"/>
            <w:vAlign w:val="center"/>
          </w:tcPr>
          <w:p w14:paraId="75A30DAB">
            <w:pPr>
              <w:snapToGrid w:val="0"/>
              <w:spacing w:before="100" w:beforeAutospacing="1" w:after="100" w:afterAutospacing="1" w:line="500" w:lineRule="exact"/>
              <w:rPr>
                <w:rFonts w:hint="eastAsia" w:ascii="宋体" w:hAnsi="宋体" w:eastAsia="宋体"/>
                <w:color w:val="auto"/>
                <w:szCs w:val="21"/>
                <w:lang w:eastAsia="zh-CN"/>
              </w:rPr>
            </w:pPr>
            <w:r>
              <w:rPr>
                <w:rFonts w:hint="eastAsia" w:ascii="宋体" w:hAnsi="宋体"/>
                <w:b/>
                <w:bCs/>
                <w:color w:val="auto"/>
                <w:szCs w:val="21"/>
                <w:lang w:eastAsia="zh-CN"/>
              </w:rPr>
              <w:t>投标总</w:t>
            </w:r>
            <w:r>
              <w:rPr>
                <w:rFonts w:hint="eastAsia" w:ascii="宋体" w:hAnsi="宋体"/>
                <w:b/>
                <w:bCs/>
                <w:color w:val="auto"/>
                <w:szCs w:val="21"/>
                <w:lang w:val="en-US" w:eastAsia="zh-CN"/>
              </w:rPr>
              <w:t>报价</w:t>
            </w:r>
            <w:r>
              <w:rPr>
                <w:rFonts w:hint="eastAsia" w:ascii="宋体" w:hAnsi="宋体"/>
                <w:b/>
                <w:bCs/>
                <w:color w:val="auto"/>
                <w:szCs w:val="21"/>
                <w:lang w:eastAsia="zh-CN"/>
              </w:rPr>
              <w:t>（大写）：</w:t>
            </w:r>
            <w:r>
              <w:rPr>
                <w:rFonts w:hint="eastAsia" w:ascii="宋体" w:hAnsi="宋体"/>
                <w:b/>
                <w:bCs/>
                <w:color w:val="auto"/>
                <w:szCs w:val="21"/>
                <w:lang w:val="en-US" w:eastAsia="zh-CN"/>
              </w:rPr>
              <w:t xml:space="preserve">               </w:t>
            </w:r>
            <w:r>
              <w:rPr>
                <w:rFonts w:hint="eastAsia" w:ascii="宋体" w:hAnsi="宋体"/>
                <w:b/>
                <w:bCs/>
                <w:color w:val="auto"/>
                <w:szCs w:val="21"/>
                <w:lang w:eastAsia="zh-CN"/>
              </w:rPr>
              <w:t>元整</w:t>
            </w:r>
          </w:p>
        </w:tc>
      </w:tr>
    </w:tbl>
    <w:p w14:paraId="0B06E331">
      <w:pPr>
        <w:adjustRightInd w:val="0"/>
        <w:snapToGrid w:val="0"/>
        <w:spacing w:before="50" w:after="50" w:line="360" w:lineRule="auto"/>
        <w:ind w:firstLine="482" w:firstLineChars="200"/>
        <w:jc w:val="left"/>
        <w:rPr>
          <w:rFonts w:hint="eastAsia" w:ascii="新宋体" w:hAnsi="新宋体" w:eastAsia="新宋体" w:cs="新宋体"/>
          <w:color w:val="auto"/>
          <w:sz w:val="24"/>
          <w:szCs w:val="24"/>
        </w:rPr>
      </w:pPr>
      <w:r>
        <w:rPr>
          <w:rFonts w:hint="eastAsia" w:ascii="新宋体" w:hAnsi="新宋体" w:eastAsia="新宋体" w:cs="新宋体"/>
          <w:b/>
          <w:color w:val="auto"/>
          <w:sz w:val="24"/>
          <w:szCs w:val="24"/>
        </w:rPr>
        <w:t xml:space="preserve">注: </w:t>
      </w:r>
      <w:r>
        <w:rPr>
          <w:rFonts w:hint="eastAsia" w:ascii="新宋体" w:hAnsi="新宋体" w:eastAsia="新宋体" w:cs="新宋体"/>
          <w:color w:val="auto"/>
          <w:sz w:val="24"/>
          <w:szCs w:val="24"/>
        </w:rPr>
        <w:t>1、报价一经涂改，应在涂改处加盖单位公章或者由法定代表人或授权委托人签字或盖章，否则其投标作无效标处理。</w:t>
      </w:r>
    </w:p>
    <w:p w14:paraId="72EAD96B">
      <w:pPr>
        <w:adjustRightInd w:val="0"/>
        <w:snapToGrid w:val="0"/>
        <w:spacing w:before="50" w:after="50" w:line="360" w:lineRule="auto"/>
        <w:ind w:firstLine="480" w:firstLineChars="200"/>
        <w:jc w:val="lef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2、投标报价须包括完成本项目技术要求所需的全部费用。</w:t>
      </w:r>
    </w:p>
    <w:p w14:paraId="11C8232F">
      <w:pPr>
        <w:spacing w:line="360" w:lineRule="auto"/>
        <w:ind w:firstLine="482"/>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3、按国家规定由中标人缴纳的各种税收已包含在投标总价内，由中标人向税务机关缴纳。</w:t>
      </w:r>
    </w:p>
    <w:p w14:paraId="23E3154C">
      <w:pPr>
        <w:spacing w:line="360" w:lineRule="auto"/>
        <w:rPr>
          <w:rFonts w:hint="default" w:ascii="新宋体" w:hAnsi="新宋体" w:eastAsia="新宋体" w:cs="新宋体"/>
          <w:color w:val="auto"/>
          <w:sz w:val="24"/>
          <w:szCs w:val="24"/>
          <w:lang w:val="en-US" w:eastAsia="zh-CN"/>
        </w:rPr>
      </w:pPr>
      <w:r>
        <w:rPr>
          <w:rFonts w:hint="eastAsia" w:ascii="新宋体" w:hAnsi="新宋体" w:eastAsia="新宋体" w:cs="新宋体"/>
          <w:color w:val="auto"/>
          <w:sz w:val="24"/>
          <w:szCs w:val="24"/>
          <w:lang w:val="en-US" w:eastAsia="zh-CN"/>
        </w:rPr>
        <w:t xml:space="preserve">    </w:t>
      </w:r>
    </w:p>
    <w:p w14:paraId="1DCC4056">
      <w:pPr>
        <w:spacing w:line="360" w:lineRule="auto"/>
        <w:ind w:firstLine="482"/>
        <w:rPr>
          <w:rFonts w:hint="eastAsia" w:ascii="新宋体" w:hAnsi="新宋体" w:eastAsia="新宋体" w:cs="新宋体"/>
          <w:color w:val="auto"/>
          <w:sz w:val="24"/>
          <w:szCs w:val="24"/>
        </w:rPr>
      </w:pPr>
    </w:p>
    <w:p w14:paraId="00D58C69">
      <w:pPr>
        <w:adjustRightInd w:val="0"/>
        <w:snapToGrid w:val="0"/>
        <w:spacing w:line="360" w:lineRule="auto"/>
        <w:textAlignment w:val="baseline"/>
        <w:rPr>
          <w:rFonts w:hint="eastAsia" w:ascii="新宋体" w:hAnsi="新宋体" w:eastAsia="新宋体" w:cs="新宋体"/>
          <w:color w:val="auto"/>
          <w:kern w:val="0"/>
          <w:sz w:val="24"/>
          <w:szCs w:val="24"/>
          <w:lang w:val="zh-CN"/>
        </w:rPr>
      </w:pPr>
    </w:p>
    <w:p w14:paraId="3655BA15">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42AE4185">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D87CC02">
      <w:pPr>
        <w:adjustRightInd w:val="0"/>
        <w:snapToGrid w:val="0"/>
        <w:jc w:val="left"/>
        <w:textAlignment w:val="baseline"/>
        <w:rPr>
          <w:rFonts w:hint="eastAsia" w:ascii="宋体" w:hAnsi="宋体" w:eastAsia="宋体" w:cs="宋体"/>
          <w:b/>
          <w:bCs w:val="0"/>
          <w:color w:val="auto"/>
          <w:sz w:val="24"/>
          <w:szCs w:val="24"/>
          <w:lang w:eastAsia="zh-CN"/>
        </w:rPr>
      </w:pPr>
      <w:r>
        <w:rPr>
          <w:rFonts w:hint="eastAsia" w:ascii="宋体" w:hAnsi="宋体" w:eastAsia="宋体" w:cs="宋体"/>
          <w:color w:val="auto"/>
          <w:sz w:val="21"/>
          <w:szCs w:val="21"/>
        </w:rPr>
        <w:br w:type="page"/>
      </w:r>
      <w:r>
        <w:rPr>
          <w:rFonts w:hint="eastAsia" w:ascii="宋体" w:hAnsi="宋体" w:eastAsia="宋体" w:cs="宋体"/>
          <w:b/>
          <w:bCs w:val="0"/>
          <w:color w:val="auto"/>
          <w:sz w:val="24"/>
          <w:szCs w:val="24"/>
          <w:lang w:eastAsia="zh-CN"/>
        </w:rPr>
        <w:t>附件十</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lang w:eastAsia="zh-CN"/>
        </w:rPr>
        <w:t>报价明细表</w:t>
      </w:r>
    </w:p>
    <w:p w14:paraId="5E10FEC9">
      <w:pPr>
        <w:snapToGrid w:val="0"/>
        <w:jc w:val="center"/>
        <w:rPr>
          <w:rFonts w:hint="eastAsia" w:ascii="新宋体" w:hAnsi="新宋体" w:eastAsia="新宋体" w:cs="新宋体"/>
          <w:color w:val="auto"/>
          <w:sz w:val="36"/>
          <w:szCs w:val="36"/>
        </w:rPr>
      </w:pPr>
      <w:r>
        <w:rPr>
          <w:rFonts w:hint="eastAsia" w:ascii="新宋体" w:hAnsi="新宋体" w:eastAsia="新宋体" w:cs="新宋体"/>
          <w:color w:val="auto"/>
          <w:sz w:val="32"/>
          <w:szCs w:val="32"/>
        </w:rPr>
        <w:t>报价</w:t>
      </w:r>
      <w:r>
        <w:rPr>
          <w:rFonts w:hint="eastAsia" w:ascii="新宋体" w:hAnsi="新宋体" w:eastAsia="新宋体" w:cs="新宋体"/>
          <w:color w:val="auto"/>
          <w:sz w:val="32"/>
          <w:szCs w:val="32"/>
          <w:lang w:eastAsia="zh-CN"/>
        </w:rPr>
        <w:t>明细</w:t>
      </w:r>
      <w:r>
        <w:rPr>
          <w:rFonts w:hint="eastAsia" w:ascii="新宋体" w:hAnsi="新宋体" w:eastAsia="新宋体" w:cs="新宋体"/>
          <w:color w:val="auto"/>
          <w:sz w:val="32"/>
          <w:szCs w:val="32"/>
        </w:rPr>
        <w:t>表</w:t>
      </w:r>
      <w:r>
        <w:rPr>
          <w:rFonts w:hint="eastAsia" w:ascii="新宋体" w:hAnsi="新宋体" w:eastAsia="新宋体" w:cs="新宋体"/>
          <w:color w:val="auto"/>
          <w:sz w:val="36"/>
          <w:szCs w:val="36"/>
        </w:rPr>
        <w:t xml:space="preserve">     </w:t>
      </w:r>
    </w:p>
    <w:p w14:paraId="56C9B17F">
      <w:pPr>
        <w:snapToGrid w:val="0"/>
        <w:spacing w:line="500" w:lineRule="exact"/>
        <w:ind w:left="1200" w:hanging="1200" w:hangingChars="5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项目名称：                           </w:t>
      </w:r>
    </w:p>
    <w:p w14:paraId="4F8ADC49">
      <w:pPr>
        <w:snapToGrid w:val="0"/>
        <w:spacing w:line="500" w:lineRule="exac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 xml:space="preserve">项目编号：                                 </w:t>
      </w:r>
      <w:r>
        <w:rPr>
          <w:rFonts w:hint="eastAsia" w:ascii="新宋体" w:hAnsi="新宋体" w:eastAsia="新宋体" w:cs="新宋体"/>
          <w:color w:val="auto"/>
          <w:sz w:val="24"/>
          <w:highlight w:val="none"/>
          <w:lang w:val="en-US" w:eastAsia="zh-CN"/>
        </w:rPr>
        <w:t xml:space="preserve">       </w:t>
      </w:r>
      <w:r>
        <w:rPr>
          <w:rFonts w:hint="eastAsia" w:ascii="新宋体" w:hAnsi="新宋体" w:eastAsia="新宋体" w:cs="新宋体"/>
          <w:color w:val="auto"/>
          <w:sz w:val="24"/>
          <w:highlight w:val="none"/>
        </w:rPr>
        <w:t>金额单位：元</w:t>
      </w:r>
    </w:p>
    <w:tbl>
      <w:tblPr>
        <w:tblStyle w:val="2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14"/>
        <w:gridCol w:w="775"/>
        <w:gridCol w:w="1438"/>
        <w:gridCol w:w="800"/>
        <w:gridCol w:w="775"/>
        <w:gridCol w:w="787"/>
        <w:gridCol w:w="938"/>
        <w:gridCol w:w="836"/>
      </w:tblGrid>
      <w:tr w14:paraId="0C59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F7C417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14" w:type="dxa"/>
            <w:tcBorders>
              <w:top w:val="single" w:color="auto" w:sz="4" w:space="0"/>
              <w:left w:val="nil"/>
              <w:bottom w:val="single" w:color="auto" w:sz="4" w:space="0"/>
              <w:right w:val="single" w:color="auto" w:sz="4" w:space="0"/>
            </w:tcBorders>
            <w:noWrap w:val="0"/>
            <w:vAlign w:val="center"/>
          </w:tcPr>
          <w:p w14:paraId="6F55C94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775" w:type="dxa"/>
            <w:tcBorders>
              <w:top w:val="single" w:color="auto" w:sz="4" w:space="0"/>
              <w:left w:val="nil"/>
              <w:bottom w:val="single" w:color="auto" w:sz="4" w:space="0"/>
              <w:right w:val="single" w:color="auto" w:sz="4" w:space="0"/>
            </w:tcBorders>
            <w:noWrap w:val="0"/>
            <w:vAlign w:val="center"/>
          </w:tcPr>
          <w:p w14:paraId="1F47C60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438" w:type="dxa"/>
            <w:tcBorders>
              <w:top w:val="single" w:color="auto" w:sz="4" w:space="0"/>
              <w:left w:val="nil"/>
              <w:bottom w:val="single" w:color="auto" w:sz="4" w:space="0"/>
              <w:right w:val="single" w:color="auto" w:sz="4" w:space="0"/>
            </w:tcBorders>
            <w:noWrap w:val="0"/>
            <w:vAlign w:val="center"/>
          </w:tcPr>
          <w:p w14:paraId="2640754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规格及型号</w:t>
            </w:r>
          </w:p>
        </w:tc>
        <w:tc>
          <w:tcPr>
            <w:tcW w:w="800" w:type="dxa"/>
            <w:tcBorders>
              <w:top w:val="single" w:color="auto" w:sz="4" w:space="0"/>
              <w:left w:val="nil"/>
              <w:bottom w:val="single" w:color="auto" w:sz="4" w:space="0"/>
              <w:right w:val="single" w:color="auto" w:sz="4" w:space="0"/>
            </w:tcBorders>
            <w:noWrap w:val="0"/>
            <w:vAlign w:val="center"/>
          </w:tcPr>
          <w:p w14:paraId="42F3C17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75" w:type="dxa"/>
            <w:tcBorders>
              <w:top w:val="single" w:color="auto" w:sz="4" w:space="0"/>
              <w:left w:val="nil"/>
              <w:bottom w:val="single" w:color="auto" w:sz="4" w:space="0"/>
              <w:right w:val="single" w:color="auto" w:sz="4" w:space="0"/>
            </w:tcBorders>
            <w:noWrap w:val="0"/>
            <w:vAlign w:val="center"/>
          </w:tcPr>
          <w:p w14:paraId="26B4CE2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87" w:type="dxa"/>
            <w:tcBorders>
              <w:top w:val="single" w:color="auto" w:sz="4" w:space="0"/>
              <w:left w:val="nil"/>
              <w:bottom w:val="single" w:color="auto" w:sz="4" w:space="0"/>
              <w:right w:val="single" w:color="auto" w:sz="4" w:space="0"/>
            </w:tcBorders>
            <w:noWrap w:val="0"/>
            <w:vAlign w:val="center"/>
          </w:tcPr>
          <w:p w14:paraId="5B9F18C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938" w:type="dxa"/>
            <w:tcBorders>
              <w:top w:val="single" w:color="auto" w:sz="4" w:space="0"/>
              <w:left w:val="nil"/>
              <w:bottom w:val="single" w:color="auto" w:sz="4" w:space="0"/>
              <w:right w:val="single" w:color="auto" w:sz="4" w:space="0"/>
            </w:tcBorders>
            <w:noWrap w:val="0"/>
            <w:vAlign w:val="center"/>
          </w:tcPr>
          <w:p w14:paraId="2C94F9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836" w:type="dxa"/>
            <w:tcBorders>
              <w:top w:val="single" w:color="auto" w:sz="4" w:space="0"/>
              <w:left w:val="nil"/>
              <w:bottom w:val="single" w:color="auto" w:sz="4" w:space="0"/>
              <w:right w:val="single" w:color="auto" w:sz="4" w:space="0"/>
            </w:tcBorders>
            <w:noWrap w:val="0"/>
            <w:vAlign w:val="center"/>
          </w:tcPr>
          <w:p w14:paraId="78F770C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B0E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D8FAC80">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14" w:type="dxa"/>
            <w:tcBorders>
              <w:top w:val="single" w:color="auto" w:sz="4" w:space="0"/>
              <w:left w:val="nil"/>
              <w:bottom w:val="single" w:color="auto" w:sz="4" w:space="0"/>
              <w:right w:val="single" w:color="auto" w:sz="4" w:space="0"/>
            </w:tcBorders>
            <w:noWrap w:val="0"/>
            <w:vAlign w:val="center"/>
          </w:tcPr>
          <w:p w14:paraId="5CF6D562">
            <w:pPr>
              <w:jc w:val="center"/>
              <w:rPr>
                <w:rFonts w:hint="default" w:ascii="宋体" w:hAnsi="宋体" w:eastAsia="宋体" w:cs="宋体"/>
                <w:color w:val="auto"/>
                <w:sz w:val="24"/>
                <w:szCs w:val="24"/>
                <w:lang w:val="en-US" w:eastAsia="zh-CN"/>
              </w:rPr>
            </w:pPr>
          </w:p>
        </w:tc>
        <w:tc>
          <w:tcPr>
            <w:tcW w:w="775" w:type="dxa"/>
            <w:tcBorders>
              <w:top w:val="single" w:color="auto" w:sz="4" w:space="0"/>
              <w:left w:val="nil"/>
              <w:bottom w:val="single" w:color="auto" w:sz="4" w:space="0"/>
              <w:right w:val="single" w:color="auto" w:sz="4" w:space="0"/>
            </w:tcBorders>
            <w:noWrap w:val="0"/>
            <w:vAlign w:val="center"/>
          </w:tcPr>
          <w:p w14:paraId="3BB67373">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4F342AAD">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36EFA752">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1EB93BAD">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241F89F2">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63BE55BB">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39360284">
            <w:pPr>
              <w:jc w:val="center"/>
              <w:rPr>
                <w:rFonts w:hint="eastAsia" w:ascii="宋体" w:hAnsi="宋体" w:eastAsia="宋体" w:cs="宋体"/>
                <w:color w:val="auto"/>
                <w:sz w:val="24"/>
                <w:szCs w:val="24"/>
              </w:rPr>
            </w:pPr>
          </w:p>
        </w:tc>
      </w:tr>
      <w:tr w14:paraId="4F2C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665C39A">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14" w:type="dxa"/>
            <w:tcBorders>
              <w:top w:val="single" w:color="auto" w:sz="4" w:space="0"/>
              <w:left w:val="nil"/>
              <w:bottom w:val="single" w:color="auto" w:sz="4" w:space="0"/>
              <w:right w:val="single" w:color="auto" w:sz="4" w:space="0"/>
            </w:tcBorders>
            <w:noWrap w:val="0"/>
            <w:vAlign w:val="center"/>
          </w:tcPr>
          <w:p w14:paraId="7BD4629E">
            <w:pPr>
              <w:jc w:val="center"/>
              <w:rPr>
                <w:rFonts w:hint="default" w:ascii="宋体" w:hAnsi="宋体" w:eastAsia="宋体" w:cs="宋体"/>
                <w:color w:val="auto"/>
                <w:sz w:val="24"/>
                <w:szCs w:val="24"/>
                <w:lang w:val="en-US" w:eastAsia="zh-CN"/>
              </w:rPr>
            </w:pPr>
          </w:p>
        </w:tc>
        <w:tc>
          <w:tcPr>
            <w:tcW w:w="775" w:type="dxa"/>
            <w:tcBorders>
              <w:top w:val="single" w:color="auto" w:sz="4" w:space="0"/>
              <w:left w:val="nil"/>
              <w:bottom w:val="single" w:color="auto" w:sz="4" w:space="0"/>
              <w:right w:val="single" w:color="auto" w:sz="4" w:space="0"/>
            </w:tcBorders>
            <w:noWrap w:val="0"/>
            <w:vAlign w:val="center"/>
          </w:tcPr>
          <w:p w14:paraId="5F0CDA35">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4D5CBDE1">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51EE6D4A">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7DE1E71E">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7A2F431E">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5330015A">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135161DB">
            <w:pPr>
              <w:jc w:val="center"/>
              <w:rPr>
                <w:rFonts w:hint="eastAsia" w:ascii="宋体" w:hAnsi="宋体" w:eastAsia="宋体" w:cs="宋体"/>
                <w:color w:val="auto"/>
                <w:sz w:val="24"/>
                <w:szCs w:val="24"/>
              </w:rPr>
            </w:pPr>
          </w:p>
        </w:tc>
      </w:tr>
      <w:tr w14:paraId="34AE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A1B44F5">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14" w:type="dxa"/>
            <w:tcBorders>
              <w:top w:val="single" w:color="auto" w:sz="4" w:space="0"/>
              <w:left w:val="nil"/>
              <w:bottom w:val="single" w:color="auto" w:sz="4" w:space="0"/>
              <w:right w:val="single" w:color="auto" w:sz="4" w:space="0"/>
            </w:tcBorders>
            <w:noWrap w:val="0"/>
            <w:vAlign w:val="center"/>
          </w:tcPr>
          <w:p w14:paraId="02F67AC8">
            <w:pPr>
              <w:jc w:val="center"/>
              <w:rPr>
                <w:rFonts w:hint="eastAsia" w:ascii="宋体" w:hAnsi="宋体" w:eastAsia="宋体" w:cs="宋体"/>
                <w:color w:val="auto"/>
                <w:sz w:val="24"/>
                <w:szCs w:val="24"/>
                <w:lang w:eastAsia="zh-CN"/>
              </w:rPr>
            </w:pPr>
          </w:p>
        </w:tc>
        <w:tc>
          <w:tcPr>
            <w:tcW w:w="775" w:type="dxa"/>
            <w:tcBorders>
              <w:top w:val="single" w:color="auto" w:sz="4" w:space="0"/>
              <w:left w:val="nil"/>
              <w:bottom w:val="single" w:color="auto" w:sz="4" w:space="0"/>
              <w:right w:val="single" w:color="auto" w:sz="4" w:space="0"/>
            </w:tcBorders>
            <w:noWrap w:val="0"/>
            <w:vAlign w:val="center"/>
          </w:tcPr>
          <w:p w14:paraId="084B718F">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22A2735E">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28F7374C">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2EAB3998">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4920DA8A">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35739E8E">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406EFAF1">
            <w:pPr>
              <w:jc w:val="center"/>
              <w:rPr>
                <w:rFonts w:hint="eastAsia" w:ascii="宋体" w:hAnsi="宋体" w:eastAsia="宋体" w:cs="宋体"/>
                <w:color w:val="auto"/>
                <w:sz w:val="24"/>
                <w:szCs w:val="24"/>
              </w:rPr>
            </w:pPr>
          </w:p>
        </w:tc>
      </w:tr>
      <w:tr w14:paraId="3B27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417A3C02">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14" w:type="dxa"/>
            <w:tcBorders>
              <w:top w:val="single" w:color="auto" w:sz="4" w:space="0"/>
              <w:left w:val="nil"/>
              <w:bottom w:val="single" w:color="auto" w:sz="4" w:space="0"/>
              <w:right w:val="single" w:color="auto" w:sz="4" w:space="0"/>
            </w:tcBorders>
            <w:noWrap w:val="0"/>
            <w:vAlign w:val="center"/>
          </w:tcPr>
          <w:p w14:paraId="55E2D4DF">
            <w:pPr>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09C5350E">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3F4AC61A">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537025B5">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79EE8F21">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4261E5F3">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7097543C">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26F33324">
            <w:pPr>
              <w:jc w:val="center"/>
              <w:rPr>
                <w:rFonts w:hint="eastAsia" w:ascii="宋体" w:hAnsi="宋体" w:eastAsia="宋体" w:cs="宋体"/>
                <w:color w:val="auto"/>
                <w:sz w:val="24"/>
                <w:szCs w:val="24"/>
              </w:rPr>
            </w:pPr>
          </w:p>
        </w:tc>
      </w:tr>
      <w:tr w14:paraId="6915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7042FB2">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14" w:type="dxa"/>
            <w:tcBorders>
              <w:top w:val="single" w:color="auto" w:sz="4" w:space="0"/>
              <w:left w:val="nil"/>
              <w:bottom w:val="single" w:color="auto" w:sz="4" w:space="0"/>
              <w:right w:val="single" w:color="auto" w:sz="4" w:space="0"/>
            </w:tcBorders>
            <w:noWrap w:val="0"/>
            <w:vAlign w:val="center"/>
          </w:tcPr>
          <w:p w14:paraId="60E6989D">
            <w:pPr>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02238225">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4D3EF344">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5F04B508">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3B3AE79A">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5730661D">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370AE5F2">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4CC64655">
            <w:pPr>
              <w:jc w:val="center"/>
              <w:rPr>
                <w:rFonts w:hint="eastAsia" w:ascii="宋体" w:hAnsi="宋体" w:eastAsia="宋体" w:cs="宋体"/>
                <w:color w:val="auto"/>
                <w:sz w:val="24"/>
                <w:szCs w:val="24"/>
              </w:rPr>
            </w:pPr>
          </w:p>
        </w:tc>
      </w:tr>
      <w:tr w14:paraId="241E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7965DF1">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14" w:type="dxa"/>
            <w:tcBorders>
              <w:top w:val="single" w:color="auto" w:sz="4" w:space="0"/>
              <w:left w:val="nil"/>
              <w:bottom w:val="single" w:color="auto" w:sz="4" w:space="0"/>
              <w:right w:val="single" w:color="auto" w:sz="4" w:space="0"/>
            </w:tcBorders>
            <w:noWrap w:val="0"/>
            <w:vAlign w:val="center"/>
          </w:tcPr>
          <w:p w14:paraId="6A7D07EC">
            <w:pPr>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09F09F9A">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6F44B440">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70B884D8">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4C7AE989">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18941A8F">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2FF709F7">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15E105A7">
            <w:pPr>
              <w:jc w:val="center"/>
              <w:rPr>
                <w:rFonts w:hint="eastAsia" w:ascii="宋体" w:hAnsi="宋体" w:eastAsia="宋体" w:cs="宋体"/>
                <w:color w:val="auto"/>
                <w:sz w:val="24"/>
                <w:szCs w:val="24"/>
              </w:rPr>
            </w:pPr>
          </w:p>
        </w:tc>
      </w:tr>
      <w:tr w14:paraId="44C0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318CC83B">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14" w:type="dxa"/>
            <w:tcBorders>
              <w:top w:val="single" w:color="auto" w:sz="4" w:space="0"/>
              <w:left w:val="nil"/>
              <w:bottom w:val="single" w:color="auto" w:sz="4" w:space="0"/>
              <w:right w:val="single" w:color="auto" w:sz="4" w:space="0"/>
            </w:tcBorders>
            <w:noWrap w:val="0"/>
            <w:vAlign w:val="center"/>
          </w:tcPr>
          <w:p w14:paraId="2D3EF630">
            <w:pPr>
              <w:jc w:val="center"/>
              <w:rPr>
                <w:rFonts w:hint="eastAsia" w:ascii="宋体" w:hAnsi="宋体" w:eastAsia="宋体" w:cs="宋体"/>
                <w:color w:val="auto"/>
                <w:sz w:val="24"/>
                <w:szCs w:val="24"/>
                <w:lang w:val="en-US" w:eastAsia="zh-CN"/>
              </w:rPr>
            </w:pPr>
          </w:p>
        </w:tc>
        <w:tc>
          <w:tcPr>
            <w:tcW w:w="775" w:type="dxa"/>
            <w:tcBorders>
              <w:top w:val="single" w:color="auto" w:sz="4" w:space="0"/>
              <w:left w:val="nil"/>
              <w:bottom w:val="single" w:color="auto" w:sz="4" w:space="0"/>
              <w:right w:val="single" w:color="auto" w:sz="4" w:space="0"/>
            </w:tcBorders>
            <w:noWrap w:val="0"/>
            <w:vAlign w:val="center"/>
          </w:tcPr>
          <w:p w14:paraId="6DD55307">
            <w:pPr>
              <w:jc w:val="center"/>
              <w:rPr>
                <w:rFonts w:hint="eastAsia" w:ascii="宋体" w:hAnsi="宋体" w:eastAsia="宋体" w:cs="宋体"/>
                <w:color w:val="auto"/>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46D56394">
            <w:pPr>
              <w:jc w:val="center"/>
              <w:rPr>
                <w:rFonts w:hint="eastAsia" w:ascii="宋体" w:hAnsi="宋体" w:eastAsia="宋体" w:cs="宋体"/>
                <w:color w:val="auto"/>
                <w:sz w:val="24"/>
                <w:szCs w:val="24"/>
              </w:rPr>
            </w:pPr>
          </w:p>
        </w:tc>
        <w:tc>
          <w:tcPr>
            <w:tcW w:w="800" w:type="dxa"/>
            <w:tcBorders>
              <w:top w:val="single" w:color="auto" w:sz="4" w:space="0"/>
              <w:left w:val="nil"/>
              <w:bottom w:val="single" w:color="auto" w:sz="4" w:space="0"/>
              <w:right w:val="single" w:color="auto" w:sz="4" w:space="0"/>
            </w:tcBorders>
            <w:noWrap w:val="0"/>
            <w:vAlign w:val="center"/>
          </w:tcPr>
          <w:p w14:paraId="3B4B39A7">
            <w:pPr>
              <w:widowControl/>
              <w:jc w:val="center"/>
              <w:rPr>
                <w:rFonts w:hint="eastAsia" w:ascii="宋体" w:hAnsi="宋体" w:eastAsia="宋体" w:cs="宋体"/>
                <w:color w:val="auto"/>
                <w:sz w:val="24"/>
                <w:szCs w:val="24"/>
              </w:rPr>
            </w:pPr>
          </w:p>
        </w:tc>
        <w:tc>
          <w:tcPr>
            <w:tcW w:w="775" w:type="dxa"/>
            <w:tcBorders>
              <w:top w:val="single" w:color="auto" w:sz="4" w:space="0"/>
              <w:left w:val="nil"/>
              <w:bottom w:val="single" w:color="auto" w:sz="4" w:space="0"/>
              <w:right w:val="single" w:color="auto" w:sz="4" w:space="0"/>
            </w:tcBorders>
            <w:noWrap w:val="0"/>
            <w:vAlign w:val="center"/>
          </w:tcPr>
          <w:p w14:paraId="452846BF">
            <w:pPr>
              <w:widowControl/>
              <w:jc w:val="center"/>
              <w:rPr>
                <w:rFonts w:hint="eastAsia" w:ascii="宋体" w:hAnsi="宋体" w:eastAsia="宋体" w:cs="宋体"/>
                <w:color w:val="auto"/>
                <w:sz w:val="24"/>
                <w:szCs w:val="24"/>
              </w:rPr>
            </w:pPr>
          </w:p>
        </w:tc>
        <w:tc>
          <w:tcPr>
            <w:tcW w:w="787" w:type="dxa"/>
            <w:tcBorders>
              <w:top w:val="single" w:color="auto" w:sz="4" w:space="0"/>
              <w:left w:val="nil"/>
              <w:bottom w:val="single" w:color="auto" w:sz="4" w:space="0"/>
              <w:right w:val="single" w:color="auto" w:sz="4" w:space="0"/>
            </w:tcBorders>
            <w:noWrap w:val="0"/>
            <w:vAlign w:val="center"/>
          </w:tcPr>
          <w:p w14:paraId="01835B5D">
            <w:pPr>
              <w:jc w:val="center"/>
              <w:rPr>
                <w:rFonts w:hint="eastAsia" w:ascii="宋体" w:hAnsi="宋体" w:eastAsia="宋体" w:cs="宋体"/>
                <w:color w:val="auto"/>
                <w:sz w:val="24"/>
                <w:szCs w:val="24"/>
              </w:rPr>
            </w:pPr>
          </w:p>
        </w:tc>
        <w:tc>
          <w:tcPr>
            <w:tcW w:w="938" w:type="dxa"/>
            <w:tcBorders>
              <w:top w:val="single" w:color="auto" w:sz="4" w:space="0"/>
              <w:left w:val="nil"/>
              <w:bottom w:val="single" w:color="auto" w:sz="4" w:space="0"/>
              <w:right w:val="single" w:color="auto" w:sz="4" w:space="0"/>
            </w:tcBorders>
            <w:noWrap w:val="0"/>
            <w:vAlign w:val="center"/>
          </w:tcPr>
          <w:p w14:paraId="00BDD655">
            <w:pPr>
              <w:jc w:val="cente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2241653A">
            <w:pPr>
              <w:jc w:val="center"/>
              <w:rPr>
                <w:rFonts w:hint="eastAsia" w:ascii="宋体" w:hAnsi="宋体" w:eastAsia="宋体" w:cs="宋体"/>
                <w:color w:val="auto"/>
                <w:sz w:val="24"/>
                <w:szCs w:val="24"/>
              </w:rPr>
            </w:pPr>
          </w:p>
        </w:tc>
      </w:tr>
      <w:tr w14:paraId="3799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022A3262">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w:t>
            </w:r>
          </w:p>
        </w:tc>
        <w:tc>
          <w:tcPr>
            <w:tcW w:w="4127" w:type="dxa"/>
            <w:gridSpan w:val="3"/>
            <w:tcBorders>
              <w:top w:val="single" w:color="auto" w:sz="4" w:space="0"/>
              <w:left w:val="nil"/>
              <w:bottom w:val="single" w:color="auto" w:sz="4" w:space="0"/>
              <w:right w:val="single" w:color="auto" w:sz="4" w:space="0"/>
            </w:tcBorders>
            <w:noWrap w:val="0"/>
            <w:vAlign w:val="center"/>
          </w:tcPr>
          <w:p w14:paraId="1864D56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合计（元）</w:t>
            </w:r>
          </w:p>
        </w:tc>
        <w:tc>
          <w:tcPr>
            <w:tcW w:w="3300" w:type="dxa"/>
            <w:gridSpan w:val="4"/>
            <w:tcBorders>
              <w:top w:val="single" w:color="auto" w:sz="4" w:space="0"/>
              <w:left w:val="nil"/>
              <w:bottom w:val="single" w:color="auto" w:sz="4" w:space="0"/>
              <w:right w:val="single" w:color="auto" w:sz="4" w:space="0"/>
            </w:tcBorders>
            <w:noWrap w:val="0"/>
            <w:vAlign w:val="center"/>
          </w:tcPr>
          <w:p w14:paraId="5043FB89">
            <w:pP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18028A25">
            <w:pPr>
              <w:rPr>
                <w:rFonts w:hint="eastAsia" w:ascii="宋体" w:hAnsi="宋体" w:eastAsia="宋体" w:cs="宋体"/>
                <w:color w:val="auto"/>
                <w:sz w:val="24"/>
                <w:szCs w:val="24"/>
              </w:rPr>
            </w:pPr>
          </w:p>
        </w:tc>
      </w:tr>
      <w:tr w14:paraId="703E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5DBC4683">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二</w:t>
            </w:r>
          </w:p>
        </w:tc>
        <w:tc>
          <w:tcPr>
            <w:tcW w:w="4127" w:type="dxa"/>
            <w:gridSpan w:val="3"/>
            <w:tcBorders>
              <w:top w:val="single" w:color="auto" w:sz="4" w:space="0"/>
              <w:left w:val="nil"/>
              <w:bottom w:val="single" w:color="auto" w:sz="4" w:space="0"/>
              <w:right w:val="single" w:color="auto" w:sz="4" w:space="0"/>
            </w:tcBorders>
            <w:noWrap w:val="0"/>
            <w:vAlign w:val="center"/>
          </w:tcPr>
          <w:p w14:paraId="4409FD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安装、运输、税金等（元）</w:t>
            </w:r>
          </w:p>
        </w:tc>
        <w:tc>
          <w:tcPr>
            <w:tcW w:w="3300" w:type="dxa"/>
            <w:gridSpan w:val="4"/>
            <w:tcBorders>
              <w:top w:val="single" w:color="auto" w:sz="4" w:space="0"/>
              <w:left w:val="nil"/>
              <w:bottom w:val="single" w:color="auto" w:sz="4" w:space="0"/>
              <w:right w:val="single" w:color="auto" w:sz="4" w:space="0"/>
            </w:tcBorders>
            <w:noWrap w:val="0"/>
            <w:vAlign w:val="center"/>
          </w:tcPr>
          <w:p w14:paraId="0F44EE00">
            <w:pP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5F55C0C6">
            <w:pPr>
              <w:rPr>
                <w:rFonts w:hint="eastAsia" w:ascii="宋体" w:hAnsi="宋体" w:eastAsia="宋体" w:cs="宋体"/>
                <w:color w:val="auto"/>
                <w:sz w:val="24"/>
                <w:szCs w:val="24"/>
              </w:rPr>
            </w:pPr>
          </w:p>
        </w:tc>
      </w:tr>
      <w:tr w14:paraId="3F7B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14:paraId="2005207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4127" w:type="dxa"/>
            <w:gridSpan w:val="3"/>
            <w:tcBorders>
              <w:top w:val="single" w:color="auto" w:sz="4" w:space="0"/>
              <w:left w:val="nil"/>
              <w:bottom w:val="single" w:color="auto" w:sz="4" w:space="0"/>
              <w:right w:val="single" w:color="auto" w:sz="4" w:space="0"/>
            </w:tcBorders>
            <w:noWrap w:val="0"/>
            <w:vAlign w:val="center"/>
          </w:tcPr>
          <w:p w14:paraId="180B6F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总报价（元）（一+二）</w:t>
            </w:r>
          </w:p>
        </w:tc>
        <w:tc>
          <w:tcPr>
            <w:tcW w:w="3300" w:type="dxa"/>
            <w:gridSpan w:val="4"/>
            <w:tcBorders>
              <w:top w:val="single" w:color="auto" w:sz="4" w:space="0"/>
              <w:left w:val="nil"/>
              <w:bottom w:val="single" w:color="auto" w:sz="4" w:space="0"/>
              <w:right w:val="single" w:color="auto" w:sz="4" w:space="0"/>
            </w:tcBorders>
            <w:noWrap w:val="0"/>
            <w:vAlign w:val="center"/>
          </w:tcPr>
          <w:p w14:paraId="16D9FBFE">
            <w:pPr>
              <w:rPr>
                <w:rFonts w:hint="eastAsia" w:ascii="宋体" w:hAnsi="宋体" w:eastAsia="宋体" w:cs="宋体"/>
                <w:color w:val="auto"/>
                <w:sz w:val="24"/>
                <w:szCs w:val="24"/>
              </w:rPr>
            </w:pPr>
          </w:p>
        </w:tc>
        <w:tc>
          <w:tcPr>
            <w:tcW w:w="836" w:type="dxa"/>
            <w:tcBorders>
              <w:top w:val="single" w:color="auto" w:sz="4" w:space="0"/>
              <w:left w:val="nil"/>
              <w:bottom w:val="single" w:color="auto" w:sz="4" w:space="0"/>
              <w:right w:val="single" w:color="auto" w:sz="4" w:space="0"/>
            </w:tcBorders>
            <w:noWrap w:val="0"/>
            <w:vAlign w:val="center"/>
          </w:tcPr>
          <w:p w14:paraId="3A1526C8">
            <w:pPr>
              <w:rPr>
                <w:rFonts w:hint="eastAsia" w:ascii="宋体" w:hAnsi="宋体" w:eastAsia="宋体" w:cs="宋体"/>
                <w:color w:val="auto"/>
                <w:sz w:val="24"/>
                <w:szCs w:val="24"/>
              </w:rPr>
            </w:pPr>
          </w:p>
        </w:tc>
      </w:tr>
    </w:tbl>
    <w:p w14:paraId="39D0711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以上合同总价包括</w:t>
      </w:r>
      <w:r>
        <w:rPr>
          <w:rFonts w:hint="eastAsia" w:ascii="宋体" w:hAnsi="宋体" w:eastAsia="宋体" w:cs="宋体"/>
          <w:color w:val="auto"/>
          <w:sz w:val="24"/>
          <w:szCs w:val="24"/>
        </w:rPr>
        <w:t>货款、标准附件、备品备件、专用工具、包装、运输、装卸、保险以及安装、人工费、服务费、保修、招标代理费及专家评审费、验收费、利润、税金</w:t>
      </w:r>
      <w:r>
        <w:rPr>
          <w:rFonts w:hint="eastAsia" w:ascii="新宋体" w:hAnsi="新宋体" w:eastAsia="新宋体" w:cs="新宋体"/>
          <w:color w:val="auto"/>
          <w:sz w:val="22"/>
          <w:szCs w:val="22"/>
          <w:highlight w:val="none"/>
        </w:rPr>
        <w:t>等一切费用。所有价格均应予人民币报价，金额单位为元。</w:t>
      </w:r>
    </w:p>
    <w:p w14:paraId="042AA0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以上表格格式仅供参考，投标人可根据采购文件要求及实际情况编制。</w:t>
      </w:r>
    </w:p>
    <w:p w14:paraId="0F405A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此表是投标文件的必要文件，是投标文件的组成部分</w:t>
      </w:r>
      <w:r>
        <w:rPr>
          <w:rFonts w:hint="eastAsia" w:ascii="新宋体" w:hAnsi="新宋体" w:eastAsia="新宋体" w:cs="新宋体"/>
          <w:color w:val="auto"/>
          <w:sz w:val="22"/>
          <w:szCs w:val="22"/>
          <w:highlight w:val="none"/>
          <w:lang w:eastAsia="zh-CN"/>
        </w:rPr>
        <w:t>。</w:t>
      </w:r>
      <w:bookmarkStart w:id="84" w:name="_GoBack"/>
      <w:bookmarkEnd w:id="84"/>
    </w:p>
    <w:p w14:paraId="7BFF9E84">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宋体" w:hAnsi="宋体" w:eastAsia="宋体" w:cs="宋体"/>
          <w:b/>
          <w:color w:val="auto"/>
          <w:sz w:val="22"/>
          <w:szCs w:val="22"/>
          <w:highlight w:val="none"/>
        </w:rPr>
        <w:t>以上投标总价不得超出最高限价，否则作无效标处理。</w:t>
      </w:r>
    </w:p>
    <w:p w14:paraId="53758FA7">
      <w:pPr>
        <w:adjustRightInd w:val="0"/>
        <w:snapToGrid w:val="0"/>
        <w:spacing w:line="360" w:lineRule="auto"/>
        <w:textAlignment w:val="baseline"/>
        <w:rPr>
          <w:rFonts w:hint="eastAsia" w:ascii="新宋体" w:hAnsi="新宋体" w:eastAsia="新宋体" w:cs="新宋体"/>
          <w:color w:val="auto"/>
          <w:sz w:val="24"/>
          <w:highlight w:val="none"/>
        </w:rPr>
      </w:pPr>
    </w:p>
    <w:p w14:paraId="269D1CEF">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6FE73E84">
      <w:pPr>
        <w:spacing w:line="336"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ED90A17">
      <w:pPr>
        <w:rPr>
          <w:rFonts w:hint="eastAsia"/>
          <w:color w:val="auto"/>
          <w:lang w:val="en-US" w:eastAsia="zh-CN"/>
        </w:rPr>
      </w:pPr>
      <w:r>
        <w:rPr>
          <w:rFonts w:hint="eastAsia"/>
          <w:color w:val="auto"/>
          <w:lang w:val="en-US" w:eastAsia="zh-CN"/>
        </w:rPr>
        <w:br w:type="page"/>
      </w:r>
    </w:p>
    <w:p w14:paraId="458BAD1D">
      <w:pPr>
        <w:pStyle w:val="66"/>
        <w:widowControl w:val="0"/>
        <w:shd w:val="clear" w:color="auto" w:fill="auto"/>
        <w:snapToGrid w:val="0"/>
        <w:spacing w:line="4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国企采购</w:t>
      </w:r>
      <w:r>
        <w:rPr>
          <w:rFonts w:hint="eastAsia" w:ascii="宋体" w:hAnsi="宋体" w:eastAsia="宋体" w:cs="宋体"/>
          <w:b/>
          <w:bCs/>
          <w:color w:val="auto"/>
          <w:sz w:val="24"/>
          <w:szCs w:val="24"/>
          <w:highlight w:val="none"/>
        </w:rPr>
        <w:t>活动现场确认声明书</w:t>
      </w:r>
    </w:p>
    <w:p w14:paraId="4D43B640">
      <w:pPr>
        <w:pStyle w:val="66"/>
        <w:widowControl w:val="0"/>
        <w:shd w:val="clear" w:color="auto" w:fill="auto"/>
        <w:snapToGrid w:val="0"/>
        <w:spacing w:line="480" w:lineRule="exact"/>
        <w:ind w:firstLine="480" w:firstLineChars="200"/>
        <w:jc w:val="both"/>
        <w:rPr>
          <w:rFonts w:hint="eastAsia" w:ascii="宋体" w:hAnsi="宋体" w:eastAsia="宋体" w:cs="宋体"/>
          <w:color w:val="auto"/>
          <w:spacing w:val="6"/>
          <w:sz w:val="24"/>
          <w:szCs w:val="24"/>
          <w:highlight w:val="none"/>
          <w:u w:val="single"/>
        </w:rPr>
      </w:pPr>
      <w:r>
        <w:rPr>
          <w:rFonts w:hint="eastAsia" w:ascii="宋体" w:hAnsi="宋体" w:eastAsia="宋体" w:cs="宋体"/>
          <w:color w:val="auto"/>
          <w:sz w:val="24"/>
          <w:szCs w:val="24"/>
          <w:u w:val="single"/>
          <w:lang w:eastAsia="zh-CN"/>
        </w:rPr>
        <w:t>浙江省房地产管理咨询有限公司</w:t>
      </w:r>
      <w:r>
        <w:rPr>
          <w:rFonts w:hint="eastAsia" w:ascii="宋体" w:hAnsi="宋体" w:eastAsia="宋体" w:cs="宋体"/>
          <w:color w:val="auto"/>
          <w:spacing w:val="6"/>
          <w:sz w:val="24"/>
          <w:szCs w:val="24"/>
          <w:highlight w:val="none"/>
          <w:u w:val="single"/>
        </w:rPr>
        <w:t>：</w:t>
      </w:r>
    </w:p>
    <w:p w14:paraId="7A8DE4F1">
      <w:pPr>
        <w:pStyle w:val="66"/>
        <w:widowControl w:val="0"/>
        <w:shd w:val="clear" w:color="auto" w:fill="auto"/>
        <w:snapToGrid w:val="0"/>
        <w:spacing w:line="480" w:lineRule="exact"/>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u w:val="single"/>
        </w:rPr>
        <w:t>本人经由           （单位）负责人     （姓名）合法授权参加</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spacing w:val="6"/>
          <w:sz w:val="24"/>
          <w:szCs w:val="24"/>
          <w:highlight w:val="none"/>
          <w:u w:val="single"/>
          <w:lang w:val="en-US" w:eastAsia="zh-CN"/>
        </w:rPr>
        <w:t>项目</w:t>
      </w:r>
      <w:r>
        <w:rPr>
          <w:rFonts w:hint="eastAsia" w:ascii="宋体" w:hAnsi="宋体" w:eastAsia="宋体" w:cs="宋体"/>
          <w:color w:val="auto"/>
          <w:spacing w:val="6"/>
          <w:sz w:val="24"/>
          <w:szCs w:val="24"/>
          <w:highlight w:val="none"/>
          <w:u w:val="single"/>
        </w:rPr>
        <w:t>编号：</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spacing w:val="6"/>
          <w:sz w:val="24"/>
          <w:szCs w:val="24"/>
          <w:highlight w:val="none"/>
          <w:lang w:eastAsia="zh-CN"/>
        </w:rPr>
        <w:t>国企采购</w:t>
      </w:r>
      <w:r>
        <w:rPr>
          <w:rFonts w:hint="eastAsia" w:ascii="宋体" w:hAnsi="宋体" w:eastAsia="宋体" w:cs="宋体"/>
          <w:color w:val="auto"/>
          <w:spacing w:val="6"/>
          <w:sz w:val="24"/>
          <w:szCs w:val="24"/>
          <w:highlight w:val="none"/>
        </w:rPr>
        <w:t xml:space="preserve">活动，经与本单位法人代表（负责人）联系确认，现就有关公平竞争事项郑重声明如下： </w:t>
      </w:r>
    </w:p>
    <w:p w14:paraId="0B20CC95">
      <w:pPr>
        <w:pStyle w:val="67"/>
        <w:widowControl/>
        <w:numPr>
          <w:ilvl w:val="0"/>
          <w:numId w:val="0"/>
        </w:numPr>
        <w:shd w:val="clear" w:color="auto" w:fill="auto"/>
        <w:snapToGrid w:val="0"/>
        <w:spacing w:line="4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本单位与</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 xml:space="preserve">之间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不存在利害关系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3ABCF53">
      <w:pPr>
        <w:pStyle w:val="67"/>
        <w:widowControl/>
        <w:shd w:val="clear" w:color="auto" w:fill="auto"/>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3F6346E2">
      <w:pPr>
        <w:pStyle w:val="67"/>
        <w:widowControl/>
        <w:shd w:val="clear" w:color="auto" w:fill="auto"/>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58BFFAD2">
      <w:pPr>
        <w:pStyle w:val="67"/>
        <w:widowControl/>
        <w:shd w:val="clear" w:color="auto" w:fill="auto"/>
        <w:snapToGrid w:val="0"/>
        <w:spacing w:line="48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1FA8924">
      <w:pPr>
        <w:pStyle w:val="66"/>
        <w:widowControl w:val="0"/>
        <w:shd w:val="clear" w:color="auto" w:fill="auto"/>
        <w:snapToGrid w:val="0"/>
        <w:spacing w:line="48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2AC23099">
      <w:pPr>
        <w:pStyle w:val="66"/>
        <w:widowControl w:val="0"/>
        <w:shd w:val="clear" w:color="auto" w:fill="auto"/>
        <w:snapToGrid w:val="0"/>
        <w:spacing w:line="48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493E6C5F">
      <w:pPr>
        <w:pStyle w:val="66"/>
        <w:widowControl w:val="0"/>
        <w:shd w:val="clear" w:color="auto" w:fill="auto"/>
        <w:snapToGrid w:val="0"/>
        <w:spacing w:line="48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330E91BF">
      <w:pPr>
        <w:pStyle w:val="66"/>
        <w:widowControl w:val="0"/>
        <w:shd w:val="clear" w:color="auto" w:fill="auto"/>
        <w:snapToGrid w:val="0"/>
        <w:spacing w:line="48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B8025B9">
      <w:pPr>
        <w:pStyle w:val="66"/>
        <w:widowControl w:val="0"/>
        <w:shd w:val="clear" w:color="auto" w:fill="auto"/>
        <w:snapToGrid w:val="0"/>
        <w:spacing w:line="48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78FA83B3">
      <w:pPr>
        <w:pStyle w:val="66"/>
        <w:widowControl w:val="0"/>
        <w:shd w:val="clear" w:color="auto" w:fill="auto"/>
        <w:snapToGrid w:val="0"/>
        <w:spacing w:line="48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753DB51C">
      <w:pPr>
        <w:pStyle w:val="66"/>
        <w:widowControl w:val="0"/>
        <w:shd w:val="clear" w:color="auto" w:fill="auto"/>
        <w:snapToGrid w:val="0"/>
        <w:spacing w:line="48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31D7495A">
      <w:pPr>
        <w:pStyle w:val="66"/>
        <w:widowControl w:val="0"/>
        <w:shd w:val="clear" w:color="auto" w:fill="auto"/>
        <w:snapToGrid w:val="0"/>
        <w:spacing w:line="48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67460589">
      <w:pPr>
        <w:pStyle w:val="66"/>
        <w:widowControl w:val="0"/>
        <w:shd w:val="clear" w:color="auto" w:fill="auto"/>
        <w:snapToGrid w:val="0"/>
        <w:spacing w:line="480" w:lineRule="exact"/>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1312FDE">
      <w:pPr>
        <w:pStyle w:val="67"/>
        <w:widowControl/>
        <w:numPr>
          <w:ilvl w:val="0"/>
          <w:numId w:val="7"/>
        </w:numPr>
        <w:shd w:val="clear" w:color="auto" w:fill="auto"/>
        <w:snapToGrid w:val="0"/>
        <w:spacing w:line="4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w:t>
      </w:r>
      <w:r>
        <w:rPr>
          <w:rFonts w:hint="eastAsia" w:ascii="宋体" w:hAnsi="宋体" w:eastAsia="宋体" w:cs="宋体"/>
          <w:color w:val="auto"/>
          <w:kern w:val="0"/>
          <w:sz w:val="24"/>
          <w:szCs w:val="24"/>
          <w:highlight w:val="none"/>
          <w:lang w:eastAsia="zh-CN"/>
        </w:rPr>
        <w:t>国企采购</w:t>
      </w:r>
      <w:r>
        <w:rPr>
          <w:rFonts w:hint="eastAsia" w:ascii="宋体" w:hAnsi="宋体" w:eastAsia="宋体" w:cs="宋体"/>
          <w:color w:val="auto"/>
          <w:kern w:val="0"/>
          <w:sz w:val="24"/>
          <w:szCs w:val="24"/>
          <w:highlight w:val="none"/>
        </w:rPr>
        <w:t>法律法规和现场纪律。</w:t>
      </w:r>
    </w:p>
    <w:p w14:paraId="09CF79C5">
      <w:pPr>
        <w:pStyle w:val="67"/>
        <w:widowControl/>
        <w:numPr>
          <w:ilvl w:val="0"/>
          <w:numId w:val="7"/>
        </w:numPr>
        <w:shd w:val="clear" w:color="auto" w:fill="auto"/>
        <w:snapToGrid w:val="0"/>
        <w:spacing w:line="4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9B9FA3B">
      <w:pPr>
        <w:pStyle w:val="66"/>
        <w:widowControl w:val="0"/>
        <w:shd w:val="clear" w:color="auto" w:fill="auto"/>
        <w:snapToGrid w:val="0"/>
        <w:spacing w:line="480" w:lineRule="exact"/>
        <w:ind w:firstLine="5760"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（供应商代表签名）</w:t>
      </w:r>
    </w:p>
    <w:p w14:paraId="7CB42D7F">
      <w:pPr>
        <w:pStyle w:val="66"/>
        <w:widowControl w:val="0"/>
        <w:shd w:val="clear" w:color="auto" w:fill="auto"/>
        <w:snapToGrid w:val="0"/>
        <w:spacing w:line="48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82917BF">
      <w:pPr>
        <w:shd w:val="clear" w:color="auto" w:fill="auto"/>
        <w:snapToGrid w:val="0"/>
        <w:ind w:firstLine="482" w:firstLineChars="200"/>
        <w:rPr>
          <w:rFonts w:hint="eastAsia" w:ascii="宋体" w:hAnsi="宋体" w:eastAsia="宋体" w:cs="宋体"/>
          <w:b/>
          <w:bCs/>
          <w:color w:val="auto"/>
          <w:sz w:val="24"/>
          <w:szCs w:val="24"/>
          <w:highlight w:val="none"/>
        </w:rPr>
      </w:pPr>
    </w:p>
    <w:p w14:paraId="0265571C">
      <w:pPr>
        <w:pStyle w:val="2"/>
        <w:ind w:left="0" w:leftChars="0" w:firstLine="0" w:firstLineChars="0"/>
        <w:rPr>
          <w:rFonts w:hint="eastAsia"/>
          <w:color w:val="auto"/>
          <w:lang w:val="en-US" w:eastAsia="zh-CN"/>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文件解密结束后，各投标供应商签署《</w:t>
      </w:r>
      <w:r>
        <w:rPr>
          <w:rFonts w:hint="eastAsia" w:ascii="宋体" w:hAnsi="宋体" w:eastAsia="宋体" w:cs="宋体"/>
          <w:b/>
          <w:bCs/>
          <w:color w:val="auto"/>
          <w:sz w:val="24"/>
          <w:szCs w:val="24"/>
          <w:highlight w:val="none"/>
          <w:lang w:eastAsia="zh-CN"/>
        </w:rPr>
        <w:t>国企采购</w:t>
      </w:r>
      <w:r>
        <w:rPr>
          <w:rFonts w:hint="eastAsia" w:ascii="宋体" w:hAnsi="宋体" w:eastAsia="宋体" w:cs="宋体"/>
          <w:b/>
          <w:bCs/>
          <w:color w:val="auto"/>
          <w:sz w:val="24"/>
          <w:szCs w:val="24"/>
          <w:highlight w:val="none"/>
        </w:rPr>
        <w:t>活动现场确认声明书》，并在</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分钟内以扫描件方式发送至代理机构邮箱：</w:t>
      </w:r>
      <w:r>
        <w:rPr>
          <w:rFonts w:hint="eastAsia" w:ascii="宋体" w:hAnsi="宋体" w:eastAsia="宋体" w:cs="宋体"/>
          <w:b/>
          <w:bCs/>
          <w:color w:val="auto"/>
          <w:sz w:val="24"/>
          <w:szCs w:val="24"/>
          <w:highlight w:val="none"/>
          <w:lang w:val="en-US" w:eastAsia="zh-CN"/>
        </w:rPr>
        <w:t>493720300</w:t>
      </w:r>
      <w:r>
        <w:rPr>
          <w:rFonts w:hint="eastAsia" w:ascii="宋体" w:hAnsi="宋体" w:eastAsia="宋体" w:cs="宋体"/>
          <w:b/>
          <w:bCs/>
          <w:color w:val="auto"/>
          <w:sz w:val="24"/>
          <w:szCs w:val="24"/>
          <w:highlight w:val="none"/>
        </w:rPr>
        <w:t>@qq.com</w:t>
      </w:r>
      <w:r>
        <w:rPr>
          <w:rFonts w:hint="eastAsia" w:ascii="宋体" w:hAnsi="宋体" w:eastAsia="宋体" w:cs="宋体"/>
          <w:b/>
          <w:bCs/>
          <w:color w:val="auto"/>
          <w:sz w:val="24"/>
          <w:szCs w:val="24"/>
          <w:highlight w:val="none"/>
          <w:lang w:eastAsia="zh-CN"/>
        </w:rPr>
        <w:t>。</w:t>
      </w:r>
    </w:p>
    <w:sectPr>
      <w:headerReference r:id="rId10" w:type="default"/>
      <w:footerReference r:id="rId11" w:type="default"/>
      <w:pgSz w:w="11906" w:h="16838"/>
      <w:pgMar w:top="1417" w:right="1797" w:bottom="1417" w:left="1417"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AB47">
    <w:pPr>
      <w:pStyle w:val="19"/>
      <w:framePr w:wrap="around" w:vAnchor="text" w:hAnchor="margin" w:xAlign="right" w:y="1"/>
      <w:rPr>
        <w:rStyle w:val="30"/>
      </w:rPr>
    </w:pPr>
    <w:r>
      <w:fldChar w:fldCharType="begin"/>
    </w:r>
    <w:r>
      <w:rPr>
        <w:rStyle w:val="30"/>
      </w:rPr>
      <w:instrText xml:space="preserve">PAGE  </w:instrText>
    </w:r>
    <w:r>
      <w:fldChar w:fldCharType="end"/>
    </w:r>
  </w:p>
  <w:p w14:paraId="725A2D37">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E1C79">
    <w:pPr>
      <w:pStyle w:val="1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F8DD">
    <w:pPr>
      <w:pStyle w:val="1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674F5">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0674F5">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AB5E">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4ACA4">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24ACA4">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ADF1">
    <w:pPr>
      <w:pStyle w:val="19"/>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37255">
                          <w:pPr>
                            <w:pStyle w:val="1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67D37255">
                    <w:pPr>
                      <w:pStyle w:val="1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305F">
    <w:pPr>
      <w:pStyle w:val="20"/>
      <w:pBdr>
        <w:bottom w:val="none" w:color="auto" w:sz="0" w:space="4"/>
      </w:pBdr>
      <w:tabs>
        <w:tab w:val="left" w:pos="1394"/>
        <w:tab w:val="right" w:pos="9190"/>
      </w:tabs>
      <w:jc w:val="left"/>
      <w:rPr>
        <w:rFonts w:ascii="仿宋_GB2312" w:eastAsia="仿宋_GB2312"/>
        <w:b w:val="0"/>
        <w:i/>
        <w:sz w:val="18"/>
        <w:u w:val="single"/>
        <w:lang w:val="en-US"/>
      </w:rPr>
    </w:pPr>
    <w:r>
      <w:rPr>
        <w:rFonts w:hint="eastAsia"/>
        <w:lang w:eastAsia="zh-CN"/>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590D">
    <w:pPr>
      <w:pStyle w:val="20"/>
      <w:pBdr>
        <w:bottom w:val="none" w:color="auto" w:sz="0" w:space="0"/>
      </w:pBdr>
      <w:tabs>
        <w:tab w:val="center" w:pos="4535"/>
        <w:tab w:val="right" w:pos="9070"/>
        <w:tab w:val="clear" w:pos="4153"/>
        <w:tab w:val="clear" w:pos="8306"/>
      </w:tabs>
      <w:jc w:val="right"/>
      <w:rPr>
        <w:rFonts w:hint="eastAsia" w:eastAsia="宋体"/>
        <w:lang w:eastAsia="zh-CN"/>
      </w:rPr>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26EA">
    <w:pPr>
      <w:pStyle w:val="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C2D8">
    <w:pPr>
      <w:pStyle w:val="20"/>
      <w:pBdr>
        <w:bottom w:val="none" w:color="auto" w:sz="0" w:space="0"/>
      </w:pBdr>
      <w:tabs>
        <w:tab w:val="center" w:pos="4535"/>
        <w:tab w:val="right" w:pos="9070"/>
        <w:tab w:val="clear" w:pos="4153"/>
        <w:tab w:val="clear" w:pos="8306"/>
      </w:tabs>
      <w:jc w:val="both"/>
      <w:rPr>
        <w:rFonts w:hint="eastAsia" w:eastAsia="宋体"/>
        <w:lang w:eastAsia="zh-CN"/>
      </w:rPr>
    </w:pPr>
    <w:r>
      <w:rPr>
        <w:lang w:val="zh-CN"/>
      </w:rPr>
      <w:t></w:t>
    </w:r>
  </w:p>
  <w:p w14:paraId="711355AD">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8D2FD"/>
    <w:multiLevelType w:val="singleLevel"/>
    <w:tmpl w:val="9B88D2FD"/>
    <w:lvl w:ilvl="0" w:tentative="0">
      <w:start w:val="2"/>
      <w:numFmt w:val="chineseCounting"/>
      <w:suff w:val="nothing"/>
      <w:lvlText w:val="%1、"/>
      <w:lvlJc w:val="left"/>
      <w:pPr>
        <w:ind w:left="210"/>
      </w:pPr>
      <w:rPr>
        <w:rFonts w:hint="eastAsia"/>
      </w:rPr>
    </w:lvl>
  </w:abstractNum>
  <w:abstractNum w:abstractNumId="1">
    <w:nsid w:val="F815E59C"/>
    <w:multiLevelType w:val="singleLevel"/>
    <w:tmpl w:val="F815E59C"/>
    <w:lvl w:ilvl="0" w:tentative="0">
      <w:start w:val="1"/>
      <w:numFmt w:val="decimal"/>
      <w:pStyle w:val="7"/>
      <w:lvlText w:val="%1."/>
      <w:lvlJc w:val="left"/>
      <w:pPr>
        <w:tabs>
          <w:tab w:val="left" w:pos="360"/>
        </w:tabs>
        <w:ind w:left="360" w:hanging="360"/>
      </w:pPr>
    </w:lvl>
  </w:abstractNum>
  <w:abstractNum w:abstractNumId="2">
    <w:nsid w:val="00000002"/>
    <w:multiLevelType w:val="singleLevel"/>
    <w:tmpl w:val="00000002"/>
    <w:lvl w:ilvl="0" w:tentative="0">
      <w:start w:val="1"/>
      <w:numFmt w:val="decimal"/>
      <w:pStyle w:val="6"/>
      <w:lvlText w:val="%1."/>
      <w:lvlJc w:val="left"/>
      <w:pPr>
        <w:tabs>
          <w:tab w:val="left" w:pos="1200"/>
        </w:tabs>
        <w:ind w:left="1200" w:hanging="360"/>
      </w:pPr>
    </w:lvl>
  </w:abstractNum>
  <w:abstractNum w:abstractNumId="3">
    <w:nsid w:val="3ACA936A"/>
    <w:multiLevelType w:val="singleLevel"/>
    <w:tmpl w:val="3ACA936A"/>
    <w:lvl w:ilvl="0" w:tentative="0">
      <w:start w:val="6"/>
      <w:numFmt w:val="chineseCounting"/>
      <w:suff w:val="space"/>
      <w:lvlText w:val="第%1章"/>
      <w:lvlJc w:val="left"/>
      <w:rPr>
        <w:rFonts w:hint="eastAsia"/>
      </w:rPr>
    </w:lvl>
  </w:abstractNum>
  <w:abstractNum w:abstractNumId="4">
    <w:nsid w:val="419319EE"/>
    <w:multiLevelType w:val="singleLevel"/>
    <w:tmpl w:val="419319EE"/>
    <w:lvl w:ilvl="0" w:tentative="0">
      <w:start w:val="7"/>
      <w:numFmt w:val="decimal"/>
      <w:lvlText w:val="%1."/>
      <w:lvlJc w:val="left"/>
      <w:pPr>
        <w:tabs>
          <w:tab w:val="left" w:pos="312"/>
        </w:tabs>
      </w:pPr>
    </w:lvl>
  </w:abstractNum>
  <w:abstractNum w:abstractNumId="5">
    <w:nsid w:val="545A512C"/>
    <w:multiLevelType w:val="multilevel"/>
    <w:tmpl w:val="545A512C"/>
    <w:lvl w:ilvl="0" w:tentative="0">
      <w:start w:val="1"/>
      <w:numFmt w:val="chineseCountingThousand"/>
      <w:pStyle w:val="54"/>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ODZlZDk3NTJjM2ZjNzAzOTFkOGEyYjliNWQyYmIifQ=="/>
    <w:docVar w:name="KSO_WPS_MARK_KEY" w:val="32788969-611e-4250-af95-9c694458ee98"/>
  </w:docVars>
  <w:rsids>
    <w:rsidRoot w:val="00172A27"/>
    <w:rsid w:val="001E20C4"/>
    <w:rsid w:val="00392C9F"/>
    <w:rsid w:val="004C1763"/>
    <w:rsid w:val="007A6F63"/>
    <w:rsid w:val="00883F05"/>
    <w:rsid w:val="00BD4A02"/>
    <w:rsid w:val="01D17056"/>
    <w:rsid w:val="01D64ED1"/>
    <w:rsid w:val="02640718"/>
    <w:rsid w:val="02C31095"/>
    <w:rsid w:val="03174EFC"/>
    <w:rsid w:val="03204FD2"/>
    <w:rsid w:val="048C3708"/>
    <w:rsid w:val="048D515B"/>
    <w:rsid w:val="049F3ADE"/>
    <w:rsid w:val="04BB7326"/>
    <w:rsid w:val="050B287F"/>
    <w:rsid w:val="05A9347B"/>
    <w:rsid w:val="05AB7E42"/>
    <w:rsid w:val="05AC22B4"/>
    <w:rsid w:val="05AD539E"/>
    <w:rsid w:val="05D11D1B"/>
    <w:rsid w:val="06345E66"/>
    <w:rsid w:val="066E30C6"/>
    <w:rsid w:val="068D11C9"/>
    <w:rsid w:val="068F128E"/>
    <w:rsid w:val="072C6C80"/>
    <w:rsid w:val="07750484"/>
    <w:rsid w:val="078359E7"/>
    <w:rsid w:val="07A6439C"/>
    <w:rsid w:val="07B43E80"/>
    <w:rsid w:val="07E55609"/>
    <w:rsid w:val="08137BB3"/>
    <w:rsid w:val="08255E29"/>
    <w:rsid w:val="089D258D"/>
    <w:rsid w:val="08A13C26"/>
    <w:rsid w:val="08C13889"/>
    <w:rsid w:val="091617A9"/>
    <w:rsid w:val="0922094A"/>
    <w:rsid w:val="09251340"/>
    <w:rsid w:val="09787BD2"/>
    <w:rsid w:val="0995305F"/>
    <w:rsid w:val="09B56422"/>
    <w:rsid w:val="09F33027"/>
    <w:rsid w:val="0A006C19"/>
    <w:rsid w:val="0A1E12A6"/>
    <w:rsid w:val="0A7A3337"/>
    <w:rsid w:val="0AD37C84"/>
    <w:rsid w:val="0ADF29D6"/>
    <w:rsid w:val="0AEC4F01"/>
    <w:rsid w:val="0B187AA4"/>
    <w:rsid w:val="0B1A26F2"/>
    <w:rsid w:val="0B2051ED"/>
    <w:rsid w:val="0B5A00BC"/>
    <w:rsid w:val="0B61144B"/>
    <w:rsid w:val="0B640F3B"/>
    <w:rsid w:val="0C045FAE"/>
    <w:rsid w:val="0C1C5F69"/>
    <w:rsid w:val="0C3850CA"/>
    <w:rsid w:val="0C7D22B4"/>
    <w:rsid w:val="0C9870EE"/>
    <w:rsid w:val="0CAB39C1"/>
    <w:rsid w:val="0CED209E"/>
    <w:rsid w:val="0D35493D"/>
    <w:rsid w:val="0D523602"/>
    <w:rsid w:val="0D742C3A"/>
    <w:rsid w:val="0DFA16E3"/>
    <w:rsid w:val="0E481840"/>
    <w:rsid w:val="0E574324"/>
    <w:rsid w:val="0EB145F3"/>
    <w:rsid w:val="0EFF3289"/>
    <w:rsid w:val="0F160D00"/>
    <w:rsid w:val="0F492922"/>
    <w:rsid w:val="0FB75ADD"/>
    <w:rsid w:val="0FD96780"/>
    <w:rsid w:val="10252FC2"/>
    <w:rsid w:val="10613C9B"/>
    <w:rsid w:val="11A66257"/>
    <w:rsid w:val="11D54941"/>
    <w:rsid w:val="11DF3F6F"/>
    <w:rsid w:val="11E32BE3"/>
    <w:rsid w:val="122A37A2"/>
    <w:rsid w:val="122D652B"/>
    <w:rsid w:val="123A1761"/>
    <w:rsid w:val="125504D8"/>
    <w:rsid w:val="127057E2"/>
    <w:rsid w:val="12D96480"/>
    <w:rsid w:val="136F1FAB"/>
    <w:rsid w:val="13E250F3"/>
    <w:rsid w:val="141379A2"/>
    <w:rsid w:val="1436279F"/>
    <w:rsid w:val="14813B92"/>
    <w:rsid w:val="14E153AA"/>
    <w:rsid w:val="15652FB8"/>
    <w:rsid w:val="156B73D6"/>
    <w:rsid w:val="159224CF"/>
    <w:rsid w:val="15B421EE"/>
    <w:rsid w:val="15E50ECA"/>
    <w:rsid w:val="16736123"/>
    <w:rsid w:val="167E1845"/>
    <w:rsid w:val="16997282"/>
    <w:rsid w:val="16AE2DB5"/>
    <w:rsid w:val="16BE5E75"/>
    <w:rsid w:val="16EA778B"/>
    <w:rsid w:val="173619DD"/>
    <w:rsid w:val="17502DFE"/>
    <w:rsid w:val="17551109"/>
    <w:rsid w:val="17AE5F69"/>
    <w:rsid w:val="17EB6C6C"/>
    <w:rsid w:val="183C689F"/>
    <w:rsid w:val="186D58D3"/>
    <w:rsid w:val="18A961DF"/>
    <w:rsid w:val="18C82B09"/>
    <w:rsid w:val="199B60B9"/>
    <w:rsid w:val="19CE71CF"/>
    <w:rsid w:val="1A2542E3"/>
    <w:rsid w:val="1A9C3B54"/>
    <w:rsid w:val="1AC53CEC"/>
    <w:rsid w:val="1AD31C39"/>
    <w:rsid w:val="1B1251DA"/>
    <w:rsid w:val="1B2C18EF"/>
    <w:rsid w:val="1B3F540B"/>
    <w:rsid w:val="1B495CB6"/>
    <w:rsid w:val="1BB36E2D"/>
    <w:rsid w:val="1BB604AF"/>
    <w:rsid w:val="1BC079CB"/>
    <w:rsid w:val="1BDB6D28"/>
    <w:rsid w:val="1BDE747D"/>
    <w:rsid w:val="1C0830AE"/>
    <w:rsid w:val="1C6E5776"/>
    <w:rsid w:val="1CA73630"/>
    <w:rsid w:val="1CC51E11"/>
    <w:rsid w:val="1CC70F5D"/>
    <w:rsid w:val="1CDA72AF"/>
    <w:rsid w:val="1D025BE3"/>
    <w:rsid w:val="1D060C56"/>
    <w:rsid w:val="1D5F3860"/>
    <w:rsid w:val="1DE101C9"/>
    <w:rsid w:val="1E4946EC"/>
    <w:rsid w:val="1E961885"/>
    <w:rsid w:val="1EBF0F3E"/>
    <w:rsid w:val="1F03794F"/>
    <w:rsid w:val="1F2733E1"/>
    <w:rsid w:val="1F714618"/>
    <w:rsid w:val="1FBB33C8"/>
    <w:rsid w:val="1FE419F9"/>
    <w:rsid w:val="1FFE5062"/>
    <w:rsid w:val="20436F19"/>
    <w:rsid w:val="20623F6B"/>
    <w:rsid w:val="207003FC"/>
    <w:rsid w:val="20C71F84"/>
    <w:rsid w:val="21245C7B"/>
    <w:rsid w:val="214E571E"/>
    <w:rsid w:val="22283319"/>
    <w:rsid w:val="22427671"/>
    <w:rsid w:val="22AC2190"/>
    <w:rsid w:val="22BF2D49"/>
    <w:rsid w:val="22F60296"/>
    <w:rsid w:val="22FE5C89"/>
    <w:rsid w:val="23052BAC"/>
    <w:rsid w:val="23091023"/>
    <w:rsid w:val="233139A1"/>
    <w:rsid w:val="23715468"/>
    <w:rsid w:val="23CD0296"/>
    <w:rsid w:val="23CD191B"/>
    <w:rsid w:val="23F03210"/>
    <w:rsid w:val="23F073B8"/>
    <w:rsid w:val="24356516"/>
    <w:rsid w:val="24613E12"/>
    <w:rsid w:val="246E6D2A"/>
    <w:rsid w:val="249F642D"/>
    <w:rsid w:val="24E54A43"/>
    <w:rsid w:val="24F529AD"/>
    <w:rsid w:val="24F9398B"/>
    <w:rsid w:val="25172F64"/>
    <w:rsid w:val="255816B9"/>
    <w:rsid w:val="258B7119"/>
    <w:rsid w:val="25DA20CE"/>
    <w:rsid w:val="25EB0FC4"/>
    <w:rsid w:val="261849A4"/>
    <w:rsid w:val="261D1FBA"/>
    <w:rsid w:val="263E265D"/>
    <w:rsid w:val="265E0AC9"/>
    <w:rsid w:val="26EC5331"/>
    <w:rsid w:val="26FB3F19"/>
    <w:rsid w:val="272B2A55"/>
    <w:rsid w:val="2774773A"/>
    <w:rsid w:val="27FA0EB0"/>
    <w:rsid w:val="28102B00"/>
    <w:rsid w:val="284952C6"/>
    <w:rsid w:val="28602CF9"/>
    <w:rsid w:val="28610884"/>
    <w:rsid w:val="286179A4"/>
    <w:rsid w:val="287265EE"/>
    <w:rsid w:val="28767CDC"/>
    <w:rsid w:val="28887BBF"/>
    <w:rsid w:val="28AB1AFF"/>
    <w:rsid w:val="28B24203"/>
    <w:rsid w:val="28B46C06"/>
    <w:rsid w:val="28C606E7"/>
    <w:rsid w:val="28F17E5A"/>
    <w:rsid w:val="29162A39"/>
    <w:rsid w:val="291A3901"/>
    <w:rsid w:val="2936586D"/>
    <w:rsid w:val="297840D8"/>
    <w:rsid w:val="298A250D"/>
    <w:rsid w:val="29A11BC3"/>
    <w:rsid w:val="29B64C00"/>
    <w:rsid w:val="29D761B0"/>
    <w:rsid w:val="2A6328D0"/>
    <w:rsid w:val="2B053749"/>
    <w:rsid w:val="2B717030"/>
    <w:rsid w:val="2B7F765C"/>
    <w:rsid w:val="2B983E5B"/>
    <w:rsid w:val="2BCA36FB"/>
    <w:rsid w:val="2C2B5431"/>
    <w:rsid w:val="2C491492"/>
    <w:rsid w:val="2C536103"/>
    <w:rsid w:val="2CF02E0A"/>
    <w:rsid w:val="2D0B3147"/>
    <w:rsid w:val="2D7C7310"/>
    <w:rsid w:val="2E470BBC"/>
    <w:rsid w:val="2E536EC1"/>
    <w:rsid w:val="2E6B2346"/>
    <w:rsid w:val="2E762398"/>
    <w:rsid w:val="2E8A60D5"/>
    <w:rsid w:val="2E8B40A5"/>
    <w:rsid w:val="2E9B6E1D"/>
    <w:rsid w:val="2EC84807"/>
    <w:rsid w:val="2F8F6B4E"/>
    <w:rsid w:val="30A80AFD"/>
    <w:rsid w:val="31040592"/>
    <w:rsid w:val="312F6607"/>
    <w:rsid w:val="31590542"/>
    <w:rsid w:val="317C228B"/>
    <w:rsid w:val="31960443"/>
    <w:rsid w:val="31C66C9D"/>
    <w:rsid w:val="31CD0D39"/>
    <w:rsid w:val="31E179A2"/>
    <w:rsid w:val="31FD161E"/>
    <w:rsid w:val="322070BA"/>
    <w:rsid w:val="324C4353"/>
    <w:rsid w:val="336851BD"/>
    <w:rsid w:val="33887F26"/>
    <w:rsid w:val="33997124"/>
    <w:rsid w:val="33C61EE3"/>
    <w:rsid w:val="341E43E4"/>
    <w:rsid w:val="34357285"/>
    <w:rsid w:val="345A5B9C"/>
    <w:rsid w:val="346E4CE5"/>
    <w:rsid w:val="349C4A25"/>
    <w:rsid w:val="35095DD3"/>
    <w:rsid w:val="35284C04"/>
    <w:rsid w:val="353848E4"/>
    <w:rsid w:val="35415CC5"/>
    <w:rsid w:val="35AB3FE0"/>
    <w:rsid w:val="35CF548D"/>
    <w:rsid w:val="35D00C8D"/>
    <w:rsid w:val="372C02AF"/>
    <w:rsid w:val="37667C65"/>
    <w:rsid w:val="380F20AB"/>
    <w:rsid w:val="38196A86"/>
    <w:rsid w:val="381A5686"/>
    <w:rsid w:val="38CD16FA"/>
    <w:rsid w:val="38DF76EC"/>
    <w:rsid w:val="39B83C7A"/>
    <w:rsid w:val="39DD01C6"/>
    <w:rsid w:val="3A28466F"/>
    <w:rsid w:val="3AF51FAE"/>
    <w:rsid w:val="3B013F51"/>
    <w:rsid w:val="3B481E05"/>
    <w:rsid w:val="3B693880"/>
    <w:rsid w:val="3BA4630A"/>
    <w:rsid w:val="3C035D77"/>
    <w:rsid w:val="3C0C7849"/>
    <w:rsid w:val="3C1B4E74"/>
    <w:rsid w:val="3C2F521E"/>
    <w:rsid w:val="3C3B3D4B"/>
    <w:rsid w:val="3C522566"/>
    <w:rsid w:val="3C6F5846"/>
    <w:rsid w:val="3CBA349C"/>
    <w:rsid w:val="3CCC5372"/>
    <w:rsid w:val="3D284D41"/>
    <w:rsid w:val="3DB8163F"/>
    <w:rsid w:val="3DCF2E33"/>
    <w:rsid w:val="3DED5018"/>
    <w:rsid w:val="3E0E6961"/>
    <w:rsid w:val="3E4533F9"/>
    <w:rsid w:val="3EE020AB"/>
    <w:rsid w:val="3F6E2034"/>
    <w:rsid w:val="3F7C65CA"/>
    <w:rsid w:val="3F894D05"/>
    <w:rsid w:val="401D2E8B"/>
    <w:rsid w:val="406B3A5D"/>
    <w:rsid w:val="40774C91"/>
    <w:rsid w:val="40905D53"/>
    <w:rsid w:val="40F26DC2"/>
    <w:rsid w:val="4102302D"/>
    <w:rsid w:val="41485C02"/>
    <w:rsid w:val="418D3461"/>
    <w:rsid w:val="41CD3BBB"/>
    <w:rsid w:val="42461484"/>
    <w:rsid w:val="424E74B9"/>
    <w:rsid w:val="426E45CA"/>
    <w:rsid w:val="42983F5E"/>
    <w:rsid w:val="429964FE"/>
    <w:rsid w:val="42A11B51"/>
    <w:rsid w:val="430F7403"/>
    <w:rsid w:val="436C03B1"/>
    <w:rsid w:val="43790813"/>
    <w:rsid w:val="437B6846"/>
    <w:rsid w:val="438E3585"/>
    <w:rsid w:val="43A10A30"/>
    <w:rsid w:val="43A96511"/>
    <w:rsid w:val="43BC51C5"/>
    <w:rsid w:val="43C81360"/>
    <w:rsid w:val="440B2BD3"/>
    <w:rsid w:val="449E054F"/>
    <w:rsid w:val="44C54D20"/>
    <w:rsid w:val="45350C77"/>
    <w:rsid w:val="455E6898"/>
    <w:rsid w:val="457355B8"/>
    <w:rsid w:val="457C4C9E"/>
    <w:rsid w:val="4609787D"/>
    <w:rsid w:val="46143D97"/>
    <w:rsid w:val="463827CD"/>
    <w:rsid w:val="46D83FB0"/>
    <w:rsid w:val="46EB7AE7"/>
    <w:rsid w:val="47201F5D"/>
    <w:rsid w:val="472068AA"/>
    <w:rsid w:val="472B3A45"/>
    <w:rsid w:val="4746792E"/>
    <w:rsid w:val="47EA3F9B"/>
    <w:rsid w:val="48061232"/>
    <w:rsid w:val="484B3C78"/>
    <w:rsid w:val="4882187E"/>
    <w:rsid w:val="49AB59AC"/>
    <w:rsid w:val="49B602E6"/>
    <w:rsid w:val="49F96DF7"/>
    <w:rsid w:val="4A01737A"/>
    <w:rsid w:val="4A761B16"/>
    <w:rsid w:val="4A8C758B"/>
    <w:rsid w:val="4ADF2496"/>
    <w:rsid w:val="4AE159AE"/>
    <w:rsid w:val="4B6127C6"/>
    <w:rsid w:val="4B9806D2"/>
    <w:rsid w:val="4BEF0206"/>
    <w:rsid w:val="4C0A4515"/>
    <w:rsid w:val="4C151123"/>
    <w:rsid w:val="4C883BFB"/>
    <w:rsid w:val="4CC31472"/>
    <w:rsid w:val="4D926C66"/>
    <w:rsid w:val="4D957FFE"/>
    <w:rsid w:val="4D9C5EC7"/>
    <w:rsid w:val="4E231EC4"/>
    <w:rsid w:val="4E3A10AC"/>
    <w:rsid w:val="4E956242"/>
    <w:rsid w:val="4F2B4960"/>
    <w:rsid w:val="4F2D3FC6"/>
    <w:rsid w:val="4F3D70A6"/>
    <w:rsid w:val="4F870321"/>
    <w:rsid w:val="4F902856"/>
    <w:rsid w:val="504B2EFC"/>
    <w:rsid w:val="51791528"/>
    <w:rsid w:val="51CE5AD4"/>
    <w:rsid w:val="521D136B"/>
    <w:rsid w:val="52A10F35"/>
    <w:rsid w:val="52A1794C"/>
    <w:rsid w:val="52C00FCB"/>
    <w:rsid w:val="52DC26C4"/>
    <w:rsid w:val="532145A8"/>
    <w:rsid w:val="533E33EC"/>
    <w:rsid w:val="53737017"/>
    <w:rsid w:val="53B27C58"/>
    <w:rsid w:val="53C03E02"/>
    <w:rsid w:val="53F84C6D"/>
    <w:rsid w:val="54010C90"/>
    <w:rsid w:val="5421760C"/>
    <w:rsid w:val="54336CC9"/>
    <w:rsid w:val="54A94D46"/>
    <w:rsid w:val="54FD6C70"/>
    <w:rsid w:val="55052414"/>
    <w:rsid w:val="552C79A0"/>
    <w:rsid w:val="55986DE4"/>
    <w:rsid w:val="55B278D2"/>
    <w:rsid w:val="55F3683A"/>
    <w:rsid w:val="562A1811"/>
    <w:rsid w:val="566D0271"/>
    <w:rsid w:val="5675374B"/>
    <w:rsid w:val="569E52E2"/>
    <w:rsid w:val="570556BE"/>
    <w:rsid w:val="57174DF3"/>
    <w:rsid w:val="573B509D"/>
    <w:rsid w:val="57533581"/>
    <w:rsid w:val="57BD4234"/>
    <w:rsid w:val="57D12A81"/>
    <w:rsid w:val="57FB7AFE"/>
    <w:rsid w:val="58276B98"/>
    <w:rsid w:val="584E2BC1"/>
    <w:rsid w:val="58801DB1"/>
    <w:rsid w:val="58D31E5E"/>
    <w:rsid w:val="58DE173C"/>
    <w:rsid w:val="594E523B"/>
    <w:rsid w:val="59645E7F"/>
    <w:rsid w:val="59D61C2E"/>
    <w:rsid w:val="59E15CAF"/>
    <w:rsid w:val="5A1153B7"/>
    <w:rsid w:val="5A2040C5"/>
    <w:rsid w:val="5A260E3A"/>
    <w:rsid w:val="5A3B68D8"/>
    <w:rsid w:val="5A5E1183"/>
    <w:rsid w:val="5A6A2118"/>
    <w:rsid w:val="5A6D74C9"/>
    <w:rsid w:val="5A865DA5"/>
    <w:rsid w:val="5AA17634"/>
    <w:rsid w:val="5ACE6B45"/>
    <w:rsid w:val="5ADE2363"/>
    <w:rsid w:val="5B1C3014"/>
    <w:rsid w:val="5B53337B"/>
    <w:rsid w:val="5B5D30D4"/>
    <w:rsid w:val="5B7850F9"/>
    <w:rsid w:val="5BC70423"/>
    <w:rsid w:val="5BDF3E49"/>
    <w:rsid w:val="5C782694"/>
    <w:rsid w:val="5CBB5B7C"/>
    <w:rsid w:val="5D3B6F2A"/>
    <w:rsid w:val="5D6A4E62"/>
    <w:rsid w:val="5D8248E2"/>
    <w:rsid w:val="5DA430DC"/>
    <w:rsid w:val="5DC052E0"/>
    <w:rsid w:val="5DE413E6"/>
    <w:rsid w:val="5E0C3C77"/>
    <w:rsid w:val="5E27164D"/>
    <w:rsid w:val="5E745B0B"/>
    <w:rsid w:val="5ED327B2"/>
    <w:rsid w:val="5EE24D3D"/>
    <w:rsid w:val="5F420880"/>
    <w:rsid w:val="5F684E46"/>
    <w:rsid w:val="5F851BEE"/>
    <w:rsid w:val="600E76A2"/>
    <w:rsid w:val="601C4AE4"/>
    <w:rsid w:val="602933BD"/>
    <w:rsid w:val="602C2F4B"/>
    <w:rsid w:val="60BE63C8"/>
    <w:rsid w:val="611F2CEE"/>
    <w:rsid w:val="613F3A29"/>
    <w:rsid w:val="614918DA"/>
    <w:rsid w:val="619A5388"/>
    <w:rsid w:val="61A46067"/>
    <w:rsid w:val="61C45305"/>
    <w:rsid w:val="61D221A3"/>
    <w:rsid w:val="626C5880"/>
    <w:rsid w:val="62BF27C0"/>
    <w:rsid w:val="63183093"/>
    <w:rsid w:val="63573A25"/>
    <w:rsid w:val="63997ABC"/>
    <w:rsid w:val="63DE611E"/>
    <w:rsid w:val="63EA73A4"/>
    <w:rsid w:val="641E1B13"/>
    <w:rsid w:val="648669A1"/>
    <w:rsid w:val="648D7576"/>
    <w:rsid w:val="64AC465A"/>
    <w:rsid w:val="64DF1BB4"/>
    <w:rsid w:val="65293B35"/>
    <w:rsid w:val="65395319"/>
    <w:rsid w:val="654B0031"/>
    <w:rsid w:val="65612869"/>
    <w:rsid w:val="657607C4"/>
    <w:rsid w:val="65E96C18"/>
    <w:rsid w:val="664B5A81"/>
    <w:rsid w:val="66557ECD"/>
    <w:rsid w:val="665B39BA"/>
    <w:rsid w:val="66C5335B"/>
    <w:rsid w:val="66EC059D"/>
    <w:rsid w:val="67566EED"/>
    <w:rsid w:val="675863D3"/>
    <w:rsid w:val="67790886"/>
    <w:rsid w:val="67E16AD1"/>
    <w:rsid w:val="67EF7E71"/>
    <w:rsid w:val="68150768"/>
    <w:rsid w:val="68182925"/>
    <w:rsid w:val="68297D70"/>
    <w:rsid w:val="68407865"/>
    <w:rsid w:val="68F4037D"/>
    <w:rsid w:val="697114BB"/>
    <w:rsid w:val="697D0373"/>
    <w:rsid w:val="69817B62"/>
    <w:rsid w:val="69C2248D"/>
    <w:rsid w:val="69EC54F9"/>
    <w:rsid w:val="69F745C9"/>
    <w:rsid w:val="6A6C63FD"/>
    <w:rsid w:val="6A7B707A"/>
    <w:rsid w:val="6A88588B"/>
    <w:rsid w:val="6ACF7D9F"/>
    <w:rsid w:val="6B2146DE"/>
    <w:rsid w:val="6B2D4220"/>
    <w:rsid w:val="6B3929BF"/>
    <w:rsid w:val="6B773E86"/>
    <w:rsid w:val="6BBF78A7"/>
    <w:rsid w:val="6BEB7E32"/>
    <w:rsid w:val="6C3273A4"/>
    <w:rsid w:val="6C4018A9"/>
    <w:rsid w:val="6CB57E24"/>
    <w:rsid w:val="6D4F2026"/>
    <w:rsid w:val="6D5F7DD5"/>
    <w:rsid w:val="6DC46483"/>
    <w:rsid w:val="6E1F40EF"/>
    <w:rsid w:val="6E490F00"/>
    <w:rsid w:val="6E971ED7"/>
    <w:rsid w:val="6EBB22D2"/>
    <w:rsid w:val="6ED96F57"/>
    <w:rsid w:val="6EEB568F"/>
    <w:rsid w:val="6EF11E06"/>
    <w:rsid w:val="6F245138"/>
    <w:rsid w:val="6F4831D1"/>
    <w:rsid w:val="6FBE16E5"/>
    <w:rsid w:val="7009419F"/>
    <w:rsid w:val="704240C4"/>
    <w:rsid w:val="704E4817"/>
    <w:rsid w:val="7136383E"/>
    <w:rsid w:val="71500A3D"/>
    <w:rsid w:val="717C3606"/>
    <w:rsid w:val="71B477D2"/>
    <w:rsid w:val="71C42D2E"/>
    <w:rsid w:val="71F72C8D"/>
    <w:rsid w:val="7271765A"/>
    <w:rsid w:val="72DD45B3"/>
    <w:rsid w:val="731107FB"/>
    <w:rsid w:val="73845205"/>
    <w:rsid w:val="738A4257"/>
    <w:rsid w:val="73AF1A71"/>
    <w:rsid w:val="73D56FFD"/>
    <w:rsid w:val="73E62FB9"/>
    <w:rsid w:val="74602D6B"/>
    <w:rsid w:val="74A92964"/>
    <w:rsid w:val="74BE7A92"/>
    <w:rsid w:val="75071439"/>
    <w:rsid w:val="75153B55"/>
    <w:rsid w:val="753A227F"/>
    <w:rsid w:val="753E3ED0"/>
    <w:rsid w:val="75406992"/>
    <w:rsid w:val="754E350B"/>
    <w:rsid w:val="755328D0"/>
    <w:rsid w:val="75B5159D"/>
    <w:rsid w:val="75BE5F9B"/>
    <w:rsid w:val="75D13559"/>
    <w:rsid w:val="75D45C09"/>
    <w:rsid w:val="76886E4D"/>
    <w:rsid w:val="76A47C80"/>
    <w:rsid w:val="76C27D0D"/>
    <w:rsid w:val="76CE443F"/>
    <w:rsid w:val="770816CA"/>
    <w:rsid w:val="775015AB"/>
    <w:rsid w:val="7796026E"/>
    <w:rsid w:val="77C11D73"/>
    <w:rsid w:val="782D11B6"/>
    <w:rsid w:val="787978AF"/>
    <w:rsid w:val="78914469"/>
    <w:rsid w:val="789234F5"/>
    <w:rsid w:val="78B0254F"/>
    <w:rsid w:val="78CB7529"/>
    <w:rsid w:val="792739D7"/>
    <w:rsid w:val="79800739"/>
    <w:rsid w:val="7A652E89"/>
    <w:rsid w:val="7A8A28F0"/>
    <w:rsid w:val="7AFC6F42"/>
    <w:rsid w:val="7B5B0FFC"/>
    <w:rsid w:val="7B6E3FBF"/>
    <w:rsid w:val="7BFF03C0"/>
    <w:rsid w:val="7C367925"/>
    <w:rsid w:val="7C602F7B"/>
    <w:rsid w:val="7C75137E"/>
    <w:rsid w:val="7C860123"/>
    <w:rsid w:val="7D40798F"/>
    <w:rsid w:val="7DD74212"/>
    <w:rsid w:val="7E097FCF"/>
    <w:rsid w:val="7E1A4F84"/>
    <w:rsid w:val="7E603A39"/>
    <w:rsid w:val="7E8D35B6"/>
    <w:rsid w:val="7EE423FE"/>
    <w:rsid w:val="7F2A6DE2"/>
    <w:rsid w:val="7F351391"/>
    <w:rsid w:val="7F3761A7"/>
    <w:rsid w:val="7F9A1827"/>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jc w:val="center"/>
      <w:outlineLvl w:val="0"/>
    </w:pPr>
    <w:rPr>
      <w:b/>
      <w:bCs/>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0"/>
        <w:numId w:val="1"/>
      </w:numPr>
      <w:tabs>
        <w:tab w:val="left" w:pos="2651"/>
      </w:tabs>
      <w:spacing w:before="260" w:after="260" w:line="416" w:lineRule="auto"/>
      <w:outlineLvl w:val="2"/>
    </w:pPr>
    <w:rPr>
      <w:rFonts w:eastAsia="仿宋_GB2312"/>
      <w:b/>
      <w:sz w:val="32"/>
      <w:szCs w:val="20"/>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200" w:leftChars="200" w:firstLine="200" w:firstLineChars="200"/>
      <w:jc w:val="both"/>
      <w:textAlignment w:val="baseline"/>
    </w:pPr>
    <w:rPr>
      <w:rFonts w:ascii="Calibri" w:hAnsi="Calibri"/>
      <w:spacing w:val="-4"/>
      <w:kern w:val="2"/>
      <w:sz w:val="21"/>
      <w:szCs w:val="22"/>
      <w:lang w:val="en-US" w:eastAsia="zh-CN" w:bidi="ar-SA"/>
    </w:rPr>
  </w:style>
  <w:style w:type="paragraph" w:customStyle="1" w:styleId="3">
    <w:name w:val="BodyTextIndent"/>
    <w:basedOn w:val="1"/>
    <w:autoRedefine/>
    <w:qFormat/>
    <w:uiPriority w:val="0"/>
    <w:pPr>
      <w:spacing w:line="200" w:lineRule="exact"/>
      <w:ind w:firstLine="301"/>
    </w:pPr>
    <w:rPr>
      <w:rFonts w:ascii="宋体" w:hAnsi="Courier New"/>
      <w:spacing w:val="-4"/>
      <w:sz w:val="18"/>
    </w:rPr>
  </w:style>
  <w:style w:type="paragraph" w:styleId="7">
    <w:name w:val="List Number"/>
    <w:basedOn w:val="1"/>
    <w:autoRedefine/>
    <w:qFormat/>
    <w:uiPriority w:val="0"/>
    <w:pPr>
      <w:numPr>
        <w:ilvl w:val="0"/>
        <w:numId w:val="2"/>
      </w:numPr>
    </w:pPr>
  </w:style>
  <w:style w:type="paragraph" w:styleId="8">
    <w:name w:val="Normal Indent"/>
    <w:basedOn w:val="1"/>
    <w:next w:val="9"/>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autoRedefine/>
    <w:qFormat/>
    <w:uiPriority w:val="0"/>
    <w:pPr>
      <w:spacing w:line="200" w:lineRule="exact"/>
      <w:ind w:firstLine="301"/>
    </w:pPr>
    <w:rPr>
      <w:rFonts w:ascii="宋体" w:hAnsi="Courier New" w:cs="宋体"/>
      <w:spacing w:val="-4"/>
      <w:sz w:val="18"/>
      <w:szCs w:val="18"/>
    </w:rPr>
  </w:style>
  <w:style w:type="paragraph" w:styleId="10">
    <w:name w:val="caption"/>
    <w:basedOn w:val="1"/>
    <w:next w:val="1"/>
    <w:autoRedefine/>
    <w:qFormat/>
    <w:uiPriority w:val="0"/>
    <w:pPr>
      <w:spacing w:before="152" w:after="160"/>
    </w:pPr>
    <w:rPr>
      <w:rFonts w:ascii="Arial" w:hAnsi="Arial" w:eastAsia="黑体"/>
      <w:sz w:val="20"/>
      <w:szCs w:val="20"/>
    </w:rPr>
  </w:style>
  <w:style w:type="paragraph" w:styleId="11">
    <w:name w:val="Body Text 3"/>
    <w:basedOn w:val="1"/>
    <w:autoRedefine/>
    <w:qFormat/>
    <w:uiPriority w:val="0"/>
    <w:pPr>
      <w:snapToGrid w:val="0"/>
      <w:spacing w:before="50" w:after="50"/>
    </w:pPr>
    <w:rPr>
      <w:rFonts w:hAnsi="宋体" w:eastAsia="仿宋_GB2312"/>
      <w:b/>
      <w:bCs/>
      <w:sz w:val="24"/>
      <w:szCs w:val="24"/>
    </w:rPr>
  </w:style>
  <w:style w:type="paragraph" w:styleId="12">
    <w:name w:val="Body Text"/>
    <w:basedOn w:val="1"/>
    <w:next w:val="1"/>
    <w:autoRedefine/>
    <w:qFormat/>
    <w:uiPriority w:val="0"/>
    <w:pPr>
      <w:spacing w:before="100" w:beforeAutospacing="1" w:after="120"/>
    </w:pPr>
    <w:rPr>
      <w:sz w:val="28"/>
      <w:szCs w:val="28"/>
    </w:rPr>
  </w:style>
  <w:style w:type="paragraph" w:styleId="13">
    <w:name w:val="List 2"/>
    <w:basedOn w:val="1"/>
    <w:autoRedefine/>
    <w:qFormat/>
    <w:uiPriority w:val="0"/>
    <w:pPr>
      <w:ind w:left="100" w:leftChars="200" w:hanging="200" w:hangingChars="200"/>
    </w:pPr>
    <w:rPr>
      <w:sz w:val="28"/>
    </w:rPr>
  </w:style>
  <w:style w:type="paragraph" w:styleId="14">
    <w:name w:val="Block Text"/>
    <w:basedOn w:val="1"/>
    <w:autoRedefine/>
    <w:qFormat/>
    <w:uiPriority w:val="0"/>
    <w:pPr>
      <w:widowControl w:val="0"/>
      <w:adjustRightInd w:val="0"/>
      <w:snapToGrid w:val="0"/>
      <w:spacing w:line="300" w:lineRule="auto"/>
      <w:ind w:left="958" w:right="-120" w:rightChars="-120"/>
      <w:jc w:val="left"/>
      <w:textAlignment w:val="baseline"/>
    </w:pPr>
    <w:rPr>
      <w:rFonts w:hint="eastAsia" w:ascii="宋体" w:hAnsi="宋体" w:eastAsia="宋体" w:cs="Times New Roman"/>
      <w:kern w:val="2"/>
      <w:sz w:val="28"/>
      <w:szCs w:val="20"/>
      <w:lang w:val="en-US" w:eastAsia="zh-CN" w:bidi="ar-SA"/>
    </w:rPr>
  </w:style>
  <w:style w:type="paragraph" w:styleId="15">
    <w:name w:val="Plain Text"/>
    <w:basedOn w:val="1"/>
    <w:next w:val="16"/>
    <w:autoRedefine/>
    <w:qFormat/>
    <w:uiPriority w:val="0"/>
    <w:pPr>
      <w:spacing w:beforeLines="50" w:afterLines="50" w:line="400" w:lineRule="exact"/>
    </w:pPr>
    <w:rPr>
      <w:rFonts w:ascii="宋体" w:hAnsi="Courier New" w:cs="宋体"/>
      <w:sz w:val="24"/>
      <w:szCs w:val="24"/>
    </w:rPr>
  </w:style>
  <w:style w:type="paragraph" w:styleId="16">
    <w:name w:val="toc 2"/>
    <w:basedOn w:val="1"/>
    <w:next w:val="1"/>
    <w:qFormat/>
    <w:uiPriority w:val="0"/>
    <w:pPr>
      <w:ind w:left="420" w:leftChars="200"/>
    </w:pPr>
  </w:style>
  <w:style w:type="paragraph" w:styleId="17">
    <w:name w:val="Date"/>
    <w:basedOn w:val="1"/>
    <w:next w:val="1"/>
    <w:autoRedefine/>
    <w:qFormat/>
    <w:uiPriority w:val="0"/>
    <w:pPr>
      <w:ind w:left="2500" w:leftChars="2500"/>
    </w:pPr>
    <w:rPr>
      <w:rFonts w:eastAsia="楷体_GB2312"/>
      <w:sz w:val="32"/>
      <w:szCs w:val="20"/>
    </w:rPr>
  </w:style>
  <w:style w:type="paragraph" w:styleId="18">
    <w:name w:val="Body Text Indent 2"/>
    <w:basedOn w:val="1"/>
    <w:autoRedefine/>
    <w:qFormat/>
    <w:uiPriority w:val="0"/>
    <w:pPr>
      <w:spacing w:line="480" w:lineRule="auto"/>
      <w:ind w:left="420" w:leftChars="20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4"/>
    <w:basedOn w:val="1"/>
    <w:next w:val="1"/>
    <w:autoRedefine/>
    <w:qFormat/>
    <w:uiPriority w:val="0"/>
    <w:pPr>
      <w:wordWrap w:val="0"/>
      <w:ind w:left="850"/>
      <w:jc w:val="both"/>
    </w:pPr>
    <w:rPr>
      <w:rFonts w:ascii="Calibri" w:hAnsi="Calibri"/>
      <w:sz w:val="21"/>
      <w:lang w:val="en-US" w:eastAsia="zh-CN" w:bidi="ar-SA"/>
    </w:rPr>
  </w:style>
  <w:style w:type="paragraph" w:styleId="22">
    <w:name w:val="toc 6"/>
    <w:basedOn w:val="1"/>
    <w:next w:val="1"/>
    <w:autoRedefine/>
    <w:unhideWhenUsed/>
    <w:qFormat/>
    <w:uiPriority w:val="39"/>
    <w:pPr>
      <w:spacing w:line="240" w:lineRule="auto"/>
      <w:ind w:left="2100" w:leftChars="1000" w:firstLine="0" w:firstLineChars="0"/>
    </w:pPr>
    <w:rPr>
      <w:rFonts w:ascii="等线" w:hAnsi="等线" w:eastAsia="等线"/>
      <w:sz w:val="21"/>
      <w:szCs w:val="22"/>
    </w:rPr>
  </w:style>
  <w:style w:type="paragraph" w:styleId="2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4">
    <w:name w:val="Title"/>
    <w:basedOn w:val="1"/>
    <w:next w:val="1"/>
    <w:autoRedefine/>
    <w:qFormat/>
    <w:uiPriority w:val="99"/>
    <w:pPr>
      <w:jc w:val="center"/>
      <w:outlineLvl w:val="0"/>
    </w:pPr>
    <w:rPr>
      <w:rFonts w:ascii="Cambria" w:hAnsi="Cambria"/>
      <w:b/>
      <w:bCs/>
      <w:sz w:val="32"/>
      <w:szCs w:val="32"/>
    </w:rPr>
  </w:style>
  <w:style w:type="paragraph" w:styleId="25">
    <w:name w:val="Body Text First Indent"/>
    <w:basedOn w:val="12"/>
    <w:autoRedefine/>
    <w:qFormat/>
    <w:uiPriority w:val="0"/>
    <w:pPr>
      <w:widowControl/>
      <w:spacing w:before="120" w:beforeAutospacing="0"/>
      <w:ind w:firstLine="100" w:firstLineChars="100"/>
    </w:pPr>
    <w:rPr>
      <w:color w:val="000000"/>
    </w:rPr>
  </w:style>
  <w:style w:type="paragraph" w:styleId="26">
    <w:name w:val="Body Text First Indent 2"/>
    <w:basedOn w:val="9"/>
    <w:autoRedefine/>
    <w:qFormat/>
    <w:uiPriority w:val="0"/>
    <w:pPr>
      <w:ind w:firstLine="420"/>
    </w:pPr>
    <w:rPr>
      <w:rFonts w:cs="宋体"/>
      <w:sz w:val="21"/>
    </w:rPr>
  </w:style>
  <w:style w:type="table" w:styleId="28">
    <w:name w:val="Table Grid"/>
    <w:basedOn w:val="2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Hyperlink"/>
    <w:autoRedefine/>
    <w:qFormat/>
    <w:uiPriority w:val="99"/>
    <w:rPr>
      <w:rFonts w:ascii="Arial" w:hAnsi="Arial" w:eastAsia="黑体" w:cs="Arial"/>
      <w:snapToGrid w:val="0"/>
      <w:color w:val="000000"/>
      <w:kern w:val="0"/>
      <w:sz w:val="18"/>
      <w:szCs w:val="18"/>
      <w:u w:val="none"/>
    </w:rPr>
  </w:style>
  <w:style w:type="paragraph" w:customStyle="1" w:styleId="32">
    <w:name w:val="Heading1"/>
    <w:basedOn w:val="1"/>
    <w:next w:val="1"/>
    <w:qFormat/>
    <w:uiPriority w:val="0"/>
    <w:pPr>
      <w:keepNext/>
      <w:keepLines/>
      <w:spacing w:before="340" w:after="330" w:line="578" w:lineRule="auto"/>
      <w:ind w:left="425" w:hanging="425"/>
    </w:pPr>
    <w:rPr>
      <w:rFonts w:eastAsia="仿宋_GB2312"/>
      <w:b/>
      <w:kern w:val="44"/>
      <w:sz w:val="44"/>
      <w:szCs w:val="20"/>
    </w:rPr>
  </w:style>
  <w:style w:type="paragraph" w:customStyle="1" w:styleId="33">
    <w:name w:val="Default"/>
    <w:next w:val="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3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
    <w:name w:val="正文2"/>
    <w:basedOn w:val="1"/>
    <w:autoRedefine/>
    <w:qFormat/>
    <w:uiPriority w:val="0"/>
    <w:pPr>
      <w:spacing w:before="156" w:line="360" w:lineRule="auto"/>
      <w:ind w:firstLine="510" w:firstLineChars="200"/>
    </w:pPr>
    <w:rPr>
      <w:sz w:val="24"/>
      <w:szCs w:val="20"/>
    </w:rPr>
  </w:style>
  <w:style w:type="character" w:customStyle="1" w:styleId="37">
    <w:name w:val="NormalCharacter"/>
    <w:autoRedefine/>
    <w:qFormat/>
    <w:uiPriority w:val="0"/>
  </w:style>
  <w:style w:type="paragraph" w:customStyle="1" w:styleId="3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0">
    <w:name w:val="font01"/>
    <w:basedOn w:val="29"/>
    <w:autoRedefine/>
    <w:qFormat/>
    <w:uiPriority w:val="0"/>
    <w:rPr>
      <w:rFonts w:hint="eastAsia" w:ascii="仿宋" w:hAnsi="仿宋" w:eastAsia="仿宋" w:cs="仿宋"/>
      <w:color w:val="000000"/>
      <w:sz w:val="20"/>
      <w:szCs w:val="20"/>
      <w:u w:val="none"/>
    </w:rPr>
  </w:style>
  <w:style w:type="paragraph" w:customStyle="1" w:styleId="41">
    <w:name w:val="_正文"/>
    <w:basedOn w:val="1"/>
    <w:autoRedefine/>
    <w:qFormat/>
    <w:uiPriority w:val="0"/>
    <w:pPr>
      <w:tabs>
        <w:tab w:val="left" w:pos="540"/>
      </w:tabs>
      <w:spacing w:line="360" w:lineRule="auto"/>
      <w:ind w:firstLine="200" w:firstLineChars="200"/>
    </w:pPr>
    <w:rPr>
      <w:rFonts w:cs="Arial"/>
      <w:sz w:val="24"/>
    </w:rPr>
  </w:style>
  <w:style w:type="paragraph" w:customStyle="1" w:styleId="42">
    <w:name w:val="样式 列表编号 + 段后: 0.5 行"/>
    <w:basedOn w:val="7"/>
    <w:autoRedefine/>
    <w:qFormat/>
    <w:uiPriority w:val="0"/>
    <w:pPr>
      <w:ind w:left="720"/>
    </w:pPr>
  </w:style>
  <w:style w:type="paragraph" w:customStyle="1" w:styleId="43">
    <w:name w:val="Table caption|1"/>
    <w:basedOn w:val="1"/>
    <w:autoRedefine/>
    <w:qFormat/>
    <w:uiPriority w:val="0"/>
    <w:pPr>
      <w:widowControl w:val="0"/>
      <w:shd w:val="clear" w:color="auto" w:fill="auto"/>
      <w:spacing w:line="463" w:lineRule="auto"/>
      <w:ind w:firstLine="400"/>
    </w:pPr>
    <w:rPr>
      <w:sz w:val="20"/>
      <w:szCs w:val="20"/>
      <w:u w:val="none"/>
      <w:shd w:val="clear" w:color="auto" w:fill="auto"/>
      <w:lang w:val="zh-TW" w:eastAsia="zh-TW" w:bidi="zh-TW"/>
    </w:rPr>
  </w:style>
  <w:style w:type="paragraph" w:customStyle="1" w:styleId="44">
    <w:name w:val="Table Paragraph"/>
    <w:basedOn w:val="1"/>
    <w:autoRedefine/>
    <w:qFormat/>
    <w:uiPriority w:val="1"/>
  </w:style>
  <w:style w:type="paragraph" w:customStyle="1" w:styleId="45">
    <w:name w:val="DG正文"/>
    <w:basedOn w:val="1"/>
    <w:autoRedefine/>
    <w:qFormat/>
    <w:uiPriority w:val="99"/>
    <w:pPr>
      <w:widowControl/>
      <w:spacing w:line="360" w:lineRule="auto"/>
      <w:ind w:right="142" w:firstLine="640"/>
      <w:jc w:val="left"/>
    </w:pPr>
    <w:rPr>
      <w:rFonts w:ascii="Calibri" w:hAnsi="Calibri" w:cs="Calibri"/>
    </w:rPr>
  </w:style>
  <w:style w:type="paragraph" w:customStyle="1" w:styleId="46">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7">
    <w:name w:val="font11"/>
    <w:basedOn w:val="29"/>
    <w:autoRedefine/>
    <w:qFormat/>
    <w:uiPriority w:val="0"/>
    <w:rPr>
      <w:rFonts w:hint="eastAsia" w:ascii="宋体" w:hAnsi="宋体" w:eastAsia="宋体" w:cs="宋体"/>
      <w:color w:val="FF0000"/>
      <w:sz w:val="24"/>
      <w:szCs w:val="24"/>
      <w:u w:val="none"/>
    </w:rPr>
  </w:style>
  <w:style w:type="character" w:customStyle="1" w:styleId="48">
    <w:name w:val="font71"/>
    <w:basedOn w:val="29"/>
    <w:autoRedefine/>
    <w:qFormat/>
    <w:uiPriority w:val="0"/>
    <w:rPr>
      <w:rFonts w:hint="eastAsia" w:ascii="宋体" w:hAnsi="宋体" w:eastAsia="宋体" w:cs="宋体"/>
      <w:color w:val="FF0000"/>
      <w:sz w:val="24"/>
      <w:szCs w:val="24"/>
      <w:u w:val="none"/>
    </w:rPr>
  </w:style>
  <w:style w:type="character" w:customStyle="1" w:styleId="49">
    <w:name w:val="font61"/>
    <w:basedOn w:val="29"/>
    <w:autoRedefine/>
    <w:qFormat/>
    <w:uiPriority w:val="0"/>
    <w:rPr>
      <w:rFonts w:hint="eastAsia" w:ascii="宋体" w:hAnsi="宋体" w:eastAsia="宋体" w:cs="宋体"/>
      <w:color w:val="000000"/>
      <w:sz w:val="24"/>
      <w:szCs w:val="24"/>
      <w:u w:val="none"/>
    </w:rPr>
  </w:style>
  <w:style w:type="character" w:customStyle="1" w:styleId="50">
    <w:name w:val="font21"/>
    <w:basedOn w:val="29"/>
    <w:autoRedefine/>
    <w:qFormat/>
    <w:uiPriority w:val="0"/>
    <w:rPr>
      <w:rFonts w:hint="eastAsia" w:ascii="宋体" w:hAnsi="宋体" w:eastAsia="宋体" w:cs="宋体"/>
      <w:color w:val="FF0000"/>
      <w:sz w:val="24"/>
      <w:szCs w:val="24"/>
      <w:u w:val="none"/>
    </w:rPr>
  </w:style>
  <w:style w:type="character" w:customStyle="1" w:styleId="51">
    <w:name w:val="font41"/>
    <w:basedOn w:val="29"/>
    <w:autoRedefine/>
    <w:qFormat/>
    <w:uiPriority w:val="0"/>
    <w:rPr>
      <w:rFonts w:hint="eastAsia" w:ascii="宋体" w:hAnsi="宋体" w:eastAsia="宋体" w:cs="宋体"/>
      <w:color w:val="000000"/>
      <w:sz w:val="24"/>
      <w:szCs w:val="24"/>
      <w:u w:val="none"/>
    </w:rPr>
  </w:style>
  <w:style w:type="character" w:customStyle="1" w:styleId="52">
    <w:name w:val="font51"/>
    <w:basedOn w:val="29"/>
    <w:autoRedefine/>
    <w:qFormat/>
    <w:uiPriority w:val="0"/>
    <w:rPr>
      <w:rFonts w:hint="eastAsia" w:ascii="宋体" w:hAnsi="宋体" w:eastAsia="宋体" w:cs="宋体"/>
      <w:color w:val="FF0000"/>
      <w:sz w:val="24"/>
      <w:szCs w:val="24"/>
      <w:u w:val="none"/>
    </w:rPr>
  </w:style>
  <w:style w:type="paragraph" w:customStyle="1" w:styleId="53">
    <w:name w:val="样式 宋体"/>
    <w:basedOn w:val="1"/>
    <w:next w:val="1"/>
    <w:autoRedefine/>
    <w:qFormat/>
    <w:uiPriority w:val="0"/>
    <w:pPr>
      <w:widowControl/>
      <w:spacing w:line="240" w:lineRule="auto"/>
      <w:ind w:firstLine="0" w:firstLineChars="0"/>
    </w:pPr>
    <w:rPr>
      <w:rFonts w:ascii="宋体" w:hAnsi="Times New Roman"/>
      <w:color w:val="000000"/>
      <w:sz w:val="24"/>
      <w:szCs w:val="20"/>
    </w:rPr>
  </w:style>
  <w:style w:type="paragraph" w:customStyle="1" w:styleId="54">
    <w:name w:val="Plain Text"/>
    <w:basedOn w:val="55"/>
    <w:autoRedefine/>
    <w:qFormat/>
    <w:uiPriority w:val="0"/>
    <w:pPr>
      <w:numPr>
        <w:ilvl w:val="0"/>
        <w:numId w:val="3"/>
      </w:numPr>
      <w:autoSpaceDE w:val="0"/>
      <w:autoSpaceDN w:val="0"/>
      <w:adjustRightInd w:val="0"/>
      <w:ind w:left="0" w:firstLine="0"/>
      <w:textAlignment w:val="baseline"/>
    </w:pPr>
    <w:rPr>
      <w:rFonts w:ascii="宋体" w:hAnsi="Tms Rmn"/>
      <w:kern w:val="0"/>
      <w:sz w:val="21"/>
    </w:rPr>
  </w:style>
  <w:style w:type="paragraph" w:customStyle="1" w:styleId="55">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6">
    <w:name w:val="UserStyle_187"/>
    <w:autoRedefine/>
    <w:qFormat/>
    <w:uiPriority w:val="0"/>
    <w:pPr>
      <w:spacing w:line="360" w:lineRule="auto"/>
      <w:jc w:val="both"/>
      <w:textAlignment w:val="baseline"/>
    </w:pPr>
    <w:rPr>
      <w:rFonts w:ascii="Calibri" w:hAnsi="Calibri" w:eastAsia="宋体" w:cs="Times New Roman"/>
      <w:kern w:val="2"/>
      <w:sz w:val="24"/>
      <w:szCs w:val="21"/>
      <w:lang w:val="en-US" w:eastAsia="zh-CN" w:bidi="ar-SA"/>
    </w:rPr>
  </w:style>
  <w:style w:type="paragraph" w:customStyle="1" w:styleId="57">
    <w:name w:val="NormalIndent"/>
    <w:basedOn w:val="1"/>
    <w:next w:val="3"/>
    <w:autoRedefine/>
    <w:qFormat/>
    <w:uiPriority w:val="0"/>
    <w:pPr>
      <w:ind w:firstLine="420"/>
    </w:pPr>
  </w:style>
  <w:style w:type="character" w:customStyle="1" w:styleId="58">
    <w:name w:val="textfont1"/>
    <w:basedOn w:val="29"/>
    <w:autoRedefine/>
    <w:qFormat/>
    <w:uiPriority w:val="0"/>
    <w:rPr>
      <w:rFonts w:ascii="Times New Roman" w:hAnsi="Times New Roman" w:eastAsia="宋体" w:cs="Times New Roman"/>
      <w:sz w:val="22"/>
      <w:szCs w:val="22"/>
    </w:rPr>
  </w:style>
  <w:style w:type="paragraph" w:customStyle="1" w:styleId="59">
    <w:name w:val="p0"/>
    <w:basedOn w:val="1"/>
    <w:autoRedefine/>
    <w:qFormat/>
    <w:uiPriority w:val="0"/>
    <w:pPr>
      <w:widowControl/>
    </w:pPr>
    <w:rPr>
      <w:rFonts w:ascii="Times New Roman" w:hAnsi="Times New Roman" w:eastAsia="宋体" w:cs="Times New Roman"/>
      <w:kern w:val="0"/>
      <w:szCs w:val="21"/>
    </w:rPr>
  </w:style>
  <w:style w:type="paragraph" w:customStyle="1" w:styleId="60">
    <w:name w:val="正文段"/>
    <w:basedOn w:val="1"/>
    <w:autoRedefine/>
    <w:qFormat/>
    <w:uiPriority w:val="0"/>
    <w:pPr>
      <w:widowControl/>
      <w:snapToGrid w:val="0"/>
      <w:spacing w:after="50" w:afterLines="50"/>
      <w:ind w:firstLine="200" w:firstLineChars="200"/>
    </w:pPr>
    <w:rPr>
      <w:rFonts w:ascii="Times New Roman" w:hAnsi="Times New Roman"/>
      <w:kern w:val="0"/>
      <w:sz w:val="24"/>
      <w:szCs w:val="20"/>
    </w:rPr>
  </w:style>
  <w:style w:type="paragraph" w:customStyle="1" w:styleId="61">
    <w:name w:val="样式4"/>
    <w:basedOn w:val="9"/>
    <w:autoRedefine/>
    <w:qFormat/>
    <w:uiPriority w:val="0"/>
    <w:pPr>
      <w:snapToGrid w:val="0"/>
      <w:ind w:firstLine="539"/>
    </w:pPr>
    <w:rPr>
      <w:rFonts w:ascii="Times New Roman" w:hAnsi="Times New Roman" w:eastAsia="宋体" w:cs="Times New Roman"/>
    </w:rPr>
  </w:style>
  <w:style w:type="paragraph" w:customStyle="1" w:styleId="6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_Style 3"/>
    <w:basedOn w:val="1"/>
    <w:autoRedefine/>
    <w:qFormat/>
    <w:uiPriority w:val="0"/>
    <w:pPr>
      <w:ind w:firstLine="420" w:firstLineChars="200"/>
    </w:pPr>
    <w:rPr>
      <w:rFonts w:eastAsia="仿宋_GB2312"/>
      <w:sz w:val="28"/>
    </w:rPr>
  </w:style>
  <w:style w:type="paragraph" w:customStyle="1" w:styleId="64">
    <w:name w:val="列出段落1"/>
    <w:basedOn w:val="1"/>
    <w:autoRedefine/>
    <w:qFormat/>
    <w:uiPriority w:val="99"/>
    <w:pPr>
      <w:ind w:firstLine="420" w:firstLineChars="200"/>
    </w:pPr>
  </w:style>
  <w:style w:type="paragraph" w:customStyle="1" w:styleId="65">
    <w:name w:val="纯文本_0_0"/>
    <w:basedOn w:val="1"/>
    <w:autoRedefine/>
    <w:qFormat/>
    <w:uiPriority w:val="0"/>
    <w:pPr>
      <w:adjustRightInd/>
    </w:pPr>
    <w:rPr>
      <w:rFonts w:ascii="宋体" w:hAnsi="Courier New"/>
      <w:szCs w:val="21"/>
    </w:rPr>
  </w:style>
  <w:style w:type="paragraph" w:customStyle="1" w:styleId="66">
    <w:name w:val="纯文本1"/>
    <w:basedOn w:val="1"/>
    <w:autoRedefine/>
    <w:qFormat/>
    <w:uiPriority w:val="0"/>
    <w:rPr>
      <w:rFonts w:ascii="宋体" w:hAnsi="Courier New" w:cs="Times New Roman"/>
      <w:kern w:val="0"/>
      <w:sz w:val="20"/>
      <w:szCs w:val="20"/>
    </w:rPr>
  </w:style>
  <w:style w:type="paragraph" w:customStyle="1" w:styleId="67">
    <w:name w:val="正文1"/>
    <w:basedOn w:val="1"/>
    <w:autoRedefine/>
    <w:qFormat/>
    <w:uiPriority w:val="0"/>
    <w:pPr>
      <w:adjustRightInd w:val="0"/>
      <w:spacing w:line="360" w:lineRule="atLeast"/>
      <w:jc w:val="left"/>
    </w:pPr>
    <w:rPr>
      <w:rFonts w:eastAsia="Tahoma"/>
      <w:kern w:val="0"/>
      <w:sz w:val="24"/>
      <w:szCs w:val="20"/>
    </w:rPr>
  </w:style>
  <w:style w:type="paragraph" w:customStyle="1" w:styleId="68">
    <w:name w:val="表格文字"/>
    <w:basedOn w:val="1"/>
    <w:next w:val="12"/>
    <w:autoRedefine/>
    <w:qFormat/>
    <w:uiPriority w:val="99"/>
    <w:pPr>
      <w:spacing w:line="420" w:lineRule="atLeast"/>
      <w:textAlignment w:val="baseline"/>
    </w:pPr>
    <w:rPr>
      <w:rFonts w:ascii="Calibri" w:hAnsi="Calibri"/>
    </w:rPr>
  </w:style>
  <w:style w:type="paragraph" w:customStyle="1" w:styleId="69">
    <w:name w:val="Table Text"/>
    <w:basedOn w:val="1"/>
    <w:autoRedefine/>
    <w:semiHidden/>
    <w:qFormat/>
    <w:uiPriority w:val="0"/>
    <w:rPr>
      <w:rFonts w:ascii="宋体" w:hAnsi="宋体" w:eastAsia="宋体" w:cs="宋体"/>
      <w:sz w:val="20"/>
      <w:szCs w:val="20"/>
      <w:lang w:val="en-US" w:eastAsia="en-US" w:bidi="ar-SA"/>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正文文本1"/>
    <w:basedOn w:val="1"/>
    <w:autoRedefine/>
    <w:qFormat/>
    <w:uiPriority w:val="0"/>
    <w:pPr>
      <w:shd w:val="clear" w:color="auto" w:fill="FFFFFF"/>
      <w:spacing w:after="60" w:line="394" w:lineRule="exact"/>
      <w:ind w:hanging="520"/>
      <w:jc w:val="distribute"/>
    </w:pPr>
    <w:rPr>
      <w:rFonts w:hAnsi="宋体"/>
      <w:sz w:val="19"/>
      <w:szCs w:val="19"/>
    </w:rPr>
  </w:style>
  <w:style w:type="character" w:customStyle="1" w:styleId="72">
    <w:name w:val="font81"/>
    <w:basedOn w:val="29"/>
    <w:qFormat/>
    <w:uiPriority w:val="0"/>
    <w:rPr>
      <w:rFonts w:ascii="Arial" w:hAnsi="Arial" w:cs="Arial"/>
      <w:color w:val="000000"/>
      <w:sz w:val="20"/>
      <w:szCs w:val="20"/>
      <w:u w:val="none"/>
    </w:rPr>
  </w:style>
  <w:style w:type="paragraph" w:customStyle="1" w:styleId="73">
    <w:name w:val="列出段落11"/>
    <w:basedOn w:val="1"/>
    <w:qFormat/>
    <w:uiPriority w:val="0"/>
    <w:pPr>
      <w:adjustRightInd/>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70.png"/><Relationship Id="rId81" Type="http://schemas.openxmlformats.org/officeDocument/2006/relationships/image" Target="media/image69.png"/><Relationship Id="rId80" Type="http://schemas.openxmlformats.org/officeDocument/2006/relationships/image" Target="media/image68.png"/><Relationship Id="rId8" Type="http://schemas.openxmlformats.org/officeDocument/2006/relationships/header" Target="header3.xml"/><Relationship Id="rId79" Type="http://schemas.openxmlformats.org/officeDocument/2006/relationships/image" Target="media/image67.png"/><Relationship Id="rId78" Type="http://schemas.openxmlformats.org/officeDocument/2006/relationships/image" Target="media/image66.png"/><Relationship Id="rId77" Type="http://schemas.openxmlformats.org/officeDocument/2006/relationships/image" Target="media/image65.png"/><Relationship Id="rId76" Type="http://schemas.openxmlformats.org/officeDocument/2006/relationships/image" Target="media/image64.png"/><Relationship Id="rId75" Type="http://schemas.openxmlformats.org/officeDocument/2006/relationships/image" Target="media/image63.png"/><Relationship Id="rId74" Type="http://schemas.openxmlformats.org/officeDocument/2006/relationships/image" Target="media/image62.png"/><Relationship Id="rId73" Type="http://schemas.openxmlformats.org/officeDocument/2006/relationships/image" Target="media/image61.png"/><Relationship Id="rId72" Type="http://schemas.openxmlformats.org/officeDocument/2006/relationships/image" Target="media/image60.png"/><Relationship Id="rId71" Type="http://schemas.openxmlformats.org/officeDocument/2006/relationships/image" Target="media/image59.png"/><Relationship Id="rId70" Type="http://schemas.openxmlformats.org/officeDocument/2006/relationships/image" Target="media/image58.png"/><Relationship Id="rId7" Type="http://schemas.openxmlformats.org/officeDocument/2006/relationships/footer" Target="footer3.xml"/><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image" Target="media/image51.png"/><Relationship Id="rId62" Type="http://schemas.openxmlformats.org/officeDocument/2006/relationships/image" Target="media/image50.png"/><Relationship Id="rId61" Type="http://schemas.openxmlformats.org/officeDocument/2006/relationships/image" Target="media/image49.png"/><Relationship Id="rId60" Type="http://schemas.openxmlformats.org/officeDocument/2006/relationships/image" Target="media/image48.png"/><Relationship Id="rId6" Type="http://schemas.openxmlformats.org/officeDocument/2006/relationships/footer" Target="footer2.xml"/><Relationship Id="rId59" Type="http://schemas.openxmlformats.org/officeDocument/2006/relationships/image" Target="media/image47.png"/><Relationship Id="rId58" Type="http://schemas.openxmlformats.org/officeDocument/2006/relationships/image" Target="media/image46.png"/><Relationship Id="rId57" Type="http://schemas.openxmlformats.org/officeDocument/2006/relationships/image" Target="media/image45.png"/><Relationship Id="rId56"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3" Type="http://schemas.openxmlformats.org/officeDocument/2006/relationships/image" Target="media/image41.png"/><Relationship Id="rId52" Type="http://schemas.openxmlformats.org/officeDocument/2006/relationships/image" Target="media/image40.png"/><Relationship Id="rId51" Type="http://schemas.openxmlformats.org/officeDocument/2006/relationships/image" Target="media/image39.png"/><Relationship Id="rId50" Type="http://schemas.openxmlformats.org/officeDocument/2006/relationships/image" Target="media/image38.png"/><Relationship Id="rId5" Type="http://schemas.openxmlformats.org/officeDocument/2006/relationships/footer" Target="footer1.xml"/><Relationship Id="rId49" Type="http://schemas.openxmlformats.org/officeDocument/2006/relationships/image" Target="media/image37.png"/><Relationship Id="rId48" Type="http://schemas.openxmlformats.org/officeDocument/2006/relationships/image" Target="media/image36.png"/><Relationship Id="rId47" Type="http://schemas.openxmlformats.org/officeDocument/2006/relationships/image" Target="media/image35.png"/><Relationship Id="rId46" Type="http://schemas.openxmlformats.org/officeDocument/2006/relationships/image" Target="media/image34.png"/><Relationship Id="rId45" Type="http://schemas.openxmlformats.org/officeDocument/2006/relationships/image" Target="media/image33.png"/><Relationship Id="rId44" Type="http://schemas.openxmlformats.org/officeDocument/2006/relationships/image" Target="media/image32.png"/><Relationship Id="rId43" Type="http://schemas.openxmlformats.org/officeDocument/2006/relationships/image" Target="media/image31.png"/><Relationship Id="rId42" Type="http://schemas.openxmlformats.org/officeDocument/2006/relationships/image" Target="media/image30.png"/><Relationship Id="rId41" Type="http://schemas.openxmlformats.org/officeDocument/2006/relationships/image" Target="media/image29.png"/><Relationship Id="rId40" Type="http://schemas.openxmlformats.org/officeDocument/2006/relationships/image" Target="media/image28.png"/><Relationship Id="rId4" Type="http://schemas.openxmlformats.org/officeDocument/2006/relationships/header" Target="header2.xml"/><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image" Target="media/image25.jpeg"/><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media/image22.png"/><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18904</Words>
  <Characters>20775</Characters>
  <Lines>0</Lines>
  <Paragraphs>0</Paragraphs>
  <TotalTime>1</TotalTime>
  <ScaleCrop>false</ScaleCrop>
  <LinksUpToDate>false</LinksUpToDate>
  <CharactersWithSpaces>21116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Administrator</cp:lastModifiedBy>
  <cp:lastPrinted>2024-12-13T07:48:00Z</cp:lastPrinted>
  <dcterms:modified xsi:type="dcterms:W3CDTF">2024-12-25T02:23:54Z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8EBF1E13B73B4125804CFF44B06CA1AE_13</vt:lpwstr>
  </property>
</Properties>
</file>